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污水样本处理及检测业务委托</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项目编号：SZZZ2024-QC0176</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Pr>
        <w:rPr>
          <w:rFonts w:hint="eastAsia"/>
        </w:rPr>
      </w:pPr>
    </w:p>
    <w:p>
      <w:pPr>
        <w:pStyle w:val="2"/>
      </w:pPr>
    </w:p>
    <w:p/>
    <w:p/>
    <w:p>
      <w:pPr>
        <w:pStyle w:val="29"/>
        <w:adjustRightInd w:val="0"/>
        <w:snapToGrid w:val="0"/>
        <w:spacing w:line="300" w:lineRule="auto"/>
        <w:ind w:hanging="835"/>
        <w:jc w:val="center"/>
        <w:rPr>
          <w:rFonts w:hint="eastAsia"/>
          <w:b/>
          <w:snapToGrid w:val="0"/>
          <w:sz w:val="30"/>
        </w:rPr>
      </w:pPr>
      <w:r>
        <w:rPr>
          <w:rFonts w:hint="eastAsia"/>
          <w:b/>
          <w:snapToGrid w:val="0"/>
          <w:sz w:val="30"/>
        </w:rPr>
        <w:t>二〇二四年四月</w:t>
      </w:r>
    </w:p>
    <w:p/>
    <w:p/>
    <w:p/>
    <w:p>
      <w:pPr>
        <w:jc w:val="center"/>
        <w:rPr>
          <w:rFonts w:asciiTheme="minorEastAsia" w:hAnsiTheme="minorEastAsia" w:eastAsiaTheme="minorEastAsia"/>
          <w:b/>
          <w:bCs/>
          <w:szCs w:val="21"/>
        </w:rPr>
      </w:pPr>
    </w:p>
    <w:p>
      <w:pPr>
        <w:rPr>
          <w:rFonts w:asciiTheme="minorEastAsia" w:hAnsiTheme="minorEastAsia" w:eastAsiaTheme="minorEastAsia"/>
          <w:b/>
          <w:bCs/>
          <w:sz w:val="44"/>
          <w:szCs w:val="44"/>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 xml:space="preserve">（三）隐瞒真实情况，提供虚假资料的； </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5"/>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pStyle w:val="35"/>
            <w:tabs>
              <w:tab w:val="right" w:leader="dot" w:pos="9628"/>
            </w:tabs>
            <w:rPr>
              <w:rFonts w:ascii="仿宋_GB2312" w:eastAsia="仿宋_GB2312"/>
              <w:sz w:val="24"/>
            </w:rPr>
          </w:pPr>
        </w:p>
        <w:p>
          <w:pPr>
            <w:pStyle w:val="35"/>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8"/>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8"/>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8"/>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8"/>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8"/>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8"/>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8"/>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8"/>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8"/>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8"/>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8"/>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8"/>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8"/>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8"/>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8"/>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8"/>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8"/>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8"/>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8"/>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8"/>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8"/>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8"/>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8"/>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8"/>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8"/>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8"/>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8"/>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8"/>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8"/>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8"/>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pPr>
          <w:r>
            <w:rPr>
              <w:rFonts w:hint="eastAsia" w:ascii="仿宋_GB2312" w:eastAsia="仿宋_GB2312"/>
              <w:sz w:val="24"/>
            </w:rPr>
            <w:fldChar w:fldCharType="end"/>
          </w:r>
        </w:p>
      </w:sdtContent>
    </w:sdt>
    <w:p/>
    <w:p/>
    <w:p/>
    <w:p/>
    <w:p>
      <w:pPr>
        <w:pStyle w:val="4"/>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污水样本处理及检测业务委托</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05</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日10点00分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SZZZ2024-QC0176</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2、项目名称：污水样本处理及检测业务委托</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cs="仿宋" w:asciiTheme="minorEastAsia" w:hAnsiTheme="minorEastAsia" w:eastAsiaTheme="minorEastAsia"/>
          <w:bCs/>
          <w:sz w:val="21"/>
          <w:szCs w:val="21"/>
        </w:rPr>
        <w:t>99.82万</w:t>
      </w:r>
      <w:r>
        <w:rPr>
          <w:rFonts w:hint="eastAsia" w:ascii="宋体" w:hAnsi="宋体" w:eastAsia="宋体"/>
          <w:snapToGrid w:val="0"/>
          <w:color w:val="auto"/>
          <w:sz w:val="21"/>
          <w:szCs w:val="21"/>
        </w:rPr>
        <w:t>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cs="仿宋" w:asciiTheme="minorEastAsia" w:hAnsiTheme="minorEastAsia" w:eastAsiaTheme="minorEastAsia"/>
          <w:bCs/>
          <w:sz w:val="21"/>
          <w:szCs w:val="21"/>
        </w:rPr>
        <w:t>99.82万</w:t>
      </w:r>
      <w:r>
        <w:rPr>
          <w:rFonts w:hint="eastAsia" w:ascii="宋体" w:hAnsi="宋体" w:eastAsia="宋体"/>
          <w:snapToGrid w:val="0"/>
          <w:color w:val="auto"/>
          <w:sz w:val="21"/>
          <w:szCs w:val="21"/>
        </w:rPr>
        <w:t>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6"/>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6"/>
              <w:spacing w:line="360" w:lineRule="auto"/>
              <w:jc w:val="center"/>
              <w:rPr>
                <w:sz w:val="21"/>
              </w:rPr>
            </w:pPr>
            <w:r>
              <w:rPr>
                <w:sz w:val="21"/>
              </w:rPr>
              <w:t>标的名称</w:t>
            </w:r>
          </w:p>
        </w:tc>
        <w:tc>
          <w:tcPr>
            <w:tcW w:w="921" w:type="dxa"/>
            <w:shd w:val="clear" w:color="auto" w:fill="ABCDEF"/>
            <w:vAlign w:val="center"/>
          </w:tcPr>
          <w:p>
            <w:pPr>
              <w:pStyle w:val="46"/>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6"/>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6"/>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6"/>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0" w:hRule="atLeast"/>
        </w:trPr>
        <w:tc>
          <w:tcPr>
            <w:tcW w:w="68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6"/>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污水样本处理及检测业务委托</w:t>
            </w:r>
          </w:p>
        </w:tc>
        <w:tc>
          <w:tcPr>
            <w:tcW w:w="921"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w:t>
      </w:r>
      <w:r>
        <w:rPr>
          <w:rFonts w:hint="eastAsia" w:ascii="宋体" w:hAnsi="宋体" w:eastAsia="宋体"/>
          <w:snapToGrid w:val="0"/>
          <w:color w:val="auto"/>
          <w:sz w:val="21"/>
        </w:rPr>
        <w:t>本项目属于专门面向中小微企业采购的项目（提供符合要求的《中小企业声明函》，且供应商属于中型企业、小型企业或微型企业；如供应商为残疾人福利性单位或监狱企业，视同小型、微型企业，提供《残疾人福利性单位声明函》或《监狱企业声明函》及监狱企业证明文件亦视为符合）</w:t>
      </w:r>
      <w:r>
        <w:rPr>
          <w:rFonts w:hint="eastAsia" w:asciiTheme="minorEastAsia" w:hAnsiTheme="minorEastAsia" w:eastAsiaTheme="minorEastAsia"/>
          <w:snapToGrid w:val="0"/>
          <w:color w:val="auto"/>
          <w:sz w:val="21"/>
        </w:rPr>
        <w:t>。</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w:t>
      </w:r>
      <w:r>
        <w:rPr>
          <w:rFonts w:hint="default" w:asciiTheme="minorEastAsia" w:hAnsiTheme="minorEastAsia" w:eastAsiaTheme="minorEastAsia"/>
          <w:snapToGrid w:val="0"/>
          <w:color w:val="auto"/>
          <w:sz w:val="21"/>
        </w:rPr>
        <w:t>7</w:t>
      </w:r>
      <w:r>
        <w:rPr>
          <w:rFonts w:hint="eastAsia" w:asciiTheme="minorEastAsia" w:hAnsiTheme="minorEastAsia" w:eastAsiaTheme="minorEastAsia"/>
          <w:snapToGrid w:val="0"/>
          <w:color w:val="auto"/>
          <w:sz w:val="21"/>
        </w:rPr>
        <w:t>）本项目不接受联合体投标，不允许非法分包或转包。</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30</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日10点00分（北京时间）</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名称：深圳市疾病预防控制中心</w:t>
      </w:r>
      <w:r>
        <w:rPr>
          <w:rFonts w:ascii="宋体" w:hAnsi="宋体" w:eastAsia="宋体"/>
          <w:snapToGrid w:val="0"/>
          <w:color w:val="auto"/>
          <w:sz w:val="21"/>
          <w:szCs w:val="21"/>
        </w:rPr>
        <w:t xml:space="preserve"> </w:t>
      </w:r>
    </w:p>
    <w:p>
      <w:pPr>
        <w:pStyle w:val="454"/>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rPr>
      </w:pPr>
      <w:r>
        <w:rPr>
          <w:rFonts w:hint="eastAsia" w:ascii="宋体" w:hAnsi="宋体" w:eastAsia="宋体"/>
          <w:snapToGrid w:val="0"/>
          <w:color w:val="auto"/>
          <w:sz w:val="21"/>
          <w:szCs w:val="21"/>
        </w:rPr>
        <w:t>地址：深圳市南山区龙苑路8号</w:t>
      </w:r>
    </w:p>
    <w:p>
      <w:pPr>
        <w:pStyle w:val="454"/>
        <w:adjustRightInd w:val="0"/>
        <w:snapToGrid w:val="0"/>
        <w:spacing w:before="0" w:beforeAutospacing="0" w:after="0" w:afterAutospacing="0" w:line="360" w:lineRule="auto"/>
        <w:ind w:left="359" w:leftChars="171" w:firstLine="65" w:firstLineChars="31"/>
        <w:rPr>
          <w:rFonts w:hint="eastAsia" w:ascii="宋体" w:hAnsi="宋体" w:eastAsia="宋体"/>
          <w:b w:val="0"/>
          <w:bCs w:val="0"/>
          <w:i w:val="0"/>
          <w:iCs w:val="0"/>
          <w:caps w:val="0"/>
          <w:snapToGrid w:val="0"/>
          <w:color w:val="auto"/>
          <w:spacing w:val="0"/>
          <w:sz w:val="21"/>
          <w:szCs w:val="21"/>
        </w:rPr>
      </w:pPr>
      <w:r>
        <w:rPr>
          <w:rFonts w:hint="eastAsia" w:ascii="宋体" w:hAnsi="宋体" w:eastAsia="宋体"/>
          <w:snapToGrid w:val="0"/>
          <w:color w:val="auto"/>
          <w:sz w:val="21"/>
          <w:szCs w:val="21"/>
        </w:rPr>
        <w:t>联系方式：吴先生</w:t>
      </w:r>
      <w:r>
        <w:rPr>
          <w:rFonts w:hint="eastAsia" w:ascii="宋体" w:hAnsi="宋体" w:eastAsia="宋体"/>
          <w:snapToGrid w:val="0"/>
          <w:color w:val="auto"/>
          <w:sz w:val="21"/>
          <w:szCs w:val="21"/>
          <w:lang w:eastAsia="zh-CN"/>
        </w:rPr>
        <w:t>，</w:t>
      </w:r>
      <w:r>
        <w:rPr>
          <w:rFonts w:hint="eastAsia" w:ascii="宋体" w:hAnsi="宋体" w:eastAsia="宋体"/>
          <w:b w:val="0"/>
          <w:bCs w:val="0"/>
          <w:i w:val="0"/>
          <w:iCs w:val="0"/>
          <w:caps w:val="0"/>
          <w:snapToGrid w:val="0"/>
          <w:color w:val="auto"/>
          <w:spacing w:val="0"/>
          <w:sz w:val="21"/>
          <w:szCs w:val="21"/>
          <w:shd w:val="clear"/>
        </w:rPr>
        <w:t>0755-86580786</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lang w:val="en-US" w:eastAsia="zh-CN"/>
        </w:rPr>
        <w:t>04</w:t>
      </w:r>
      <w:r>
        <w:rPr>
          <w:rFonts w:ascii="宋体" w:hAnsi="宋体"/>
          <w:snapToGrid w:val="0"/>
          <w:kern w:val="0"/>
          <w:sz w:val="24"/>
        </w:rPr>
        <w:t>月</w:t>
      </w:r>
      <w:r>
        <w:rPr>
          <w:rFonts w:hint="eastAsia" w:ascii="宋体" w:hAnsi="宋体"/>
          <w:snapToGrid w:val="0"/>
          <w:kern w:val="0"/>
          <w:sz w:val="24"/>
          <w:lang w:val="en-US" w:eastAsia="zh-CN"/>
        </w:rPr>
        <w:t>30</w:t>
      </w:r>
      <w:r>
        <w:rPr>
          <w:rFonts w:hint="eastAsia" w:ascii="宋体" w:hAnsi="宋体"/>
          <w:snapToGrid w:val="0"/>
          <w:kern w:val="0"/>
          <w:sz w:val="24"/>
        </w:rPr>
        <w:t>日</w:t>
      </w:r>
    </w:p>
    <w:p/>
    <w:p/>
    <w:p>
      <w:pPr>
        <w:pStyle w:val="4"/>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2"/>
        <w:ind w:firstLine="0" w:firstLineChars="0"/>
        <w:rPr>
          <w:b/>
        </w:rPr>
      </w:pPr>
    </w:p>
    <w:p>
      <w:pPr>
        <w:pStyle w:val="322"/>
        <w:ind w:firstLine="0" w:firstLineChars="0"/>
        <w:rPr>
          <w:b/>
        </w:rPr>
      </w:pPr>
      <w:r>
        <w:rPr>
          <w:rFonts w:hint="eastAsia"/>
          <w:b/>
        </w:rPr>
        <w:t>一、项目概况</w:t>
      </w:r>
    </w:p>
    <w:p>
      <w:pPr>
        <w:pStyle w:val="256"/>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1"/>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napToGrid w:val="0"/>
                <w:szCs w:val="21"/>
              </w:rPr>
              <w:t>污水样本处理及检测业务委托</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ascii="宋体" w:hAnsi="宋体" w:cs="宋体"/>
                <w:szCs w:val="21"/>
              </w:rPr>
              <w:t>998</w:t>
            </w:r>
            <w:r>
              <w:rPr>
                <w:rFonts w:hint="eastAsia" w:ascii="宋体" w:hAnsi="宋体" w:cs="宋体"/>
                <w:szCs w:val="21"/>
              </w:rPr>
              <w:t>,</w:t>
            </w:r>
            <w:r>
              <w:rPr>
                <w:rFonts w:ascii="宋体" w:hAnsi="宋体" w:cs="宋体"/>
                <w:szCs w:val="21"/>
              </w:rPr>
              <w:t>200.00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322"/>
        <w:ind w:firstLine="0" w:firstLineChars="0"/>
        <w:rPr>
          <w:b/>
          <w:sz w:val="21"/>
          <w:szCs w:val="21"/>
        </w:rPr>
      </w:pPr>
      <w:r>
        <w:rPr>
          <w:rFonts w:hint="eastAsia"/>
          <w:b/>
          <w:sz w:val="21"/>
          <w:szCs w:val="21"/>
        </w:rPr>
        <w:t>（二）服务内容</w:t>
      </w:r>
    </w:p>
    <w:tbl>
      <w:tblPr>
        <w:tblStyle w:val="51"/>
        <w:tblW w:w="9789" w:type="dxa"/>
        <w:tblInd w:w="93" w:type="dxa"/>
        <w:tblLayout w:type="fixed"/>
        <w:tblCellMar>
          <w:top w:w="0" w:type="dxa"/>
          <w:left w:w="108" w:type="dxa"/>
          <w:bottom w:w="0" w:type="dxa"/>
          <w:right w:w="108" w:type="dxa"/>
        </w:tblCellMar>
      </w:tblPr>
      <w:tblGrid>
        <w:gridCol w:w="879"/>
        <w:gridCol w:w="3660"/>
        <w:gridCol w:w="1380"/>
        <w:gridCol w:w="945"/>
        <w:gridCol w:w="1650"/>
        <w:gridCol w:w="1275"/>
      </w:tblGrid>
      <w:tr>
        <w:tblPrEx>
          <w:tblCellMar>
            <w:top w:w="0" w:type="dxa"/>
            <w:left w:w="108" w:type="dxa"/>
            <w:bottom w:w="0" w:type="dxa"/>
            <w:right w:w="108" w:type="dxa"/>
          </w:tblCellMar>
        </w:tblPrEx>
        <w:trPr>
          <w:trHeight w:val="780"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rPr>
              <w:t>服务项目内容</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b/>
                <w:bCs/>
                <w:color w:val="000000"/>
                <w:kern w:val="0"/>
                <w:szCs w:val="21"/>
              </w:rPr>
            </w:pPr>
            <w:r>
              <w:rPr>
                <w:rFonts w:hint="eastAsia" w:ascii="宋体" w:hAnsi="宋体" w:cs="宋体"/>
                <w:b/>
                <w:bCs/>
                <w:color w:val="000000"/>
                <w:kern w:val="0"/>
                <w:szCs w:val="21"/>
              </w:rPr>
              <w:t>预算单价</w:t>
            </w:r>
          </w:p>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rPr>
              <w:t>（</w:t>
            </w:r>
            <w:r>
              <w:rPr>
                <w:rFonts w:hint="eastAsia" w:ascii="宋体" w:hAnsi="宋体" w:cs="宋体"/>
                <w:b/>
                <w:szCs w:val="21"/>
              </w:rPr>
              <w:t>人民币</w:t>
            </w:r>
            <w:r>
              <w:rPr>
                <w:rFonts w:hint="eastAsia" w:ascii="宋体" w:hAnsi="宋体" w:cs="宋体"/>
                <w:b/>
                <w:bCs/>
                <w:color w:val="000000"/>
                <w:kern w:val="0"/>
                <w:szCs w:val="21"/>
              </w:rPr>
              <w:t>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rPr>
              <w:t>样本量（份）</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b/>
                <w:bCs/>
                <w:color w:val="000000"/>
                <w:kern w:val="0"/>
                <w:szCs w:val="21"/>
              </w:rPr>
            </w:pPr>
            <w:r>
              <w:rPr>
                <w:rFonts w:hint="eastAsia" w:ascii="宋体" w:hAnsi="宋体" w:cs="宋体"/>
                <w:b/>
                <w:bCs/>
                <w:color w:val="000000"/>
                <w:kern w:val="0"/>
                <w:szCs w:val="21"/>
              </w:rPr>
              <w:t>预算金额</w:t>
            </w:r>
          </w:p>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rPr>
              <w:t>（</w:t>
            </w:r>
            <w:r>
              <w:rPr>
                <w:rFonts w:hint="eastAsia" w:ascii="宋体" w:hAnsi="宋体" w:cs="宋体"/>
                <w:b/>
                <w:szCs w:val="21"/>
              </w:rPr>
              <w:t>人民币</w:t>
            </w:r>
            <w:r>
              <w:rPr>
                <w:rFonts w:hint="eastAsia" w:ascii="宋体" w:hAnsi="宋体" w:cs="宋体"/>
                <w:b/>
                <w:bCs/>
                <w:color w:val="000000"/>
                <w:kern w:val="0"/>
                <w:szCs w:val="21"/>
              </w:rPr>
              <w:t>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90"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城市及航班污水样本富集浓缩及新冠病毒核酸检测。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148.00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4500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666,000.00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污水样本富集浓缩备份：每周1、4的污水样本</w:t>
            </w:r>
            <w:r>
              <w:rPr>
                <w:rFonts w:hint="default" w:ascii="宋体" w:hAnsi="宋体" w:cs="宋体"/>
                <w:color w:val="000000"/>
                <w:kern w:val="0"/>
                <w:szCs w:val="21"/>
              </w:rPr>
              <w:t>按新冠病毒检测流程</w:t>
            </w:r>
            <w:r>
              <w:rPr>
                <w:rFonts w:hint="eastAsia" w:ascii="宋体" w:hAnsi="宋体" w:cs="宋体"/>
                <w:color w:val="000000"/>
                <w:kern w:val="0"/>
                <w:szCs w:val="21"/>
              </w:rPr>
              <w:t>额外富集浓缩一份，保留沉淀物。</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32.00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4700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150,400.00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剩余核酸样本逆转录及保存：污水监测每日剩余的核酸样本从提取板中取出，取10ul进行逆转录，其余剩余核酸放入1.5mlEP管中，及时上送或者-80℃冰箱存放。</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24.00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4700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112,800.00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szCs w:val="21"/>
              </w:rPr>
            </w:pPr>
            <w:r>
              <w:rPr>
                <w:rFonts w:hint="eastAsia" w:ascii="宋体" w:hAnsi="宋体" w:cs="宋体"/>
                <w:kern w:val="0"/>
                <w:szCs w:val="21"/>
              </w:rPr>
              <w:t>污水样本多管离心沉淀保存：每周2的城市污水样本额外离心多管沉淀保存。</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rPr>
              <w:t>30</w:t>
            </w:r>
            <w:r>
              <w:rPr>
                <w:rFonts w:hint="eastAsia" w:ascii="宋体" w:hAnsi="宋体" w:cs="宋体"/>
                <w:color w:val="000000"/>
                <w:kern w:val="0"/>
                <w:szCs w:val="21"/>
              </w:rPr>
              <w:t>.00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rPr>
              <w:t>2100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rPr>
              <w:t>63,000</w:t>
            </w:r>
            <w:r>
              <w:rPr>
                <w:rFonts w:hint="eastAsia" w:ascii="宋体" w:hAnsi="宋体" w:cs="宋体"/>
                <w:color w:val="000000"/>
                <w:kern w:val="0"/>
                <w:szCs w:val="21"/>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kern w:val="0"/>
                <w:szCs w:val="21"/>
              </w:rPr>
            </w:pPr>
            <w:r>
              <w:rPr>
                <w:rFonts w:hint="eastAsia" w:ascii="宋体" w:hAnsi="宋体" w:cs="宋体"/>
                <w:kern w:val="0"/>
                <w:szCs w:val="21"/>
              </w:rPr>
              <w:t>仅针对水质净化厂和泵站样本</w:t>
            </w:r>
          </w:p>
        </w:tc>
      </w:tr>
      <w:tr>
        <w:tblPrEx>
          <w:tblCellMar>
            <w:top w:w="0" w:type="dxa"/>
            <w:left w:w="108" w:type="dxa"/>
            <w:bottom w:w="0" w:type="dxa"/>
            <w:right w:w="108" w:type="dxa"/>
          </w:tblCellMar>
        </w:tblPrEx>
        <w:trPr>
          <w:trHeight w:val="90" w:hRule="atLeast"/>
        </w:trPr>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szCs w:val="21"/>
              </w:rPr>
            </w:pPr>
            <w:r>
              <w:rPr>
                <w:rFonts w:hint="eastAsia" w:ascii="宋体" w:hAnsi="宋体" w:cs="宋体"/>
                <w:kern w:val="0"/>
                <w:szCs w:val="21"/>
              </w:rPr>
              <w:t>每周2、5实验结束后将样本运送到市疾控中心。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rPr>
              <w:t>60</w:t>
            </w:r>
            <w:r>
              <w:rPr>
                <w:rFonts w:hint="eastAsia" w:ascii="宋体" w:hAnsi="宋体" w:cs="宋体"/>
                <w:color w:val="000000"/>
                <w:kern w:val="0"/>
                <w:szCs w:val="21"/>
              </w:rPr>
              <w:t>.00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default" w:ascii="宋体" w:hAnsi="宋体" w:cs="宋体"/>
                <w:szCs w:val="21"/>
              </w:rPr>
            </w:pPr>
            <w:r>
              <w:rPr>
                <w:rFonts w:hint="eastAsia" w:ascii="宋体" w:hAnsi="宋体" w:cs="宋体"/>
                <w:kern w:val="0"/>
                <w:szCs w:val="21"/>
              </w:rPr>
              <w:t>100</w:t>
            </w:r>
            <w:r>
              <w:rPr>
                <w:rStyle w:val="59"/>
              </w:rPr>
              <w:t>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rPr>
              <w:t>6,000</w:t>
            </w:r>
            <w:r>
              <w:rPr>
                <w:rFonts w:hint="eastAsia" w:ascii="宋体" w:hAnsi="宋体" w:cs="宋体"/>
                <w:color w:val="000000"/>
                <w:kern w:val="0"/>
                <w:szCs w:val="21"/>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90" w:hRule="atLeast"/>
        </w:trPr>
        <w:tc>
          <w:tcPr>
            <w:tcW w:w="68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szCs w:val="21"/>
              </w:rPr>
            </w:pPr>
            <w:r>
              <w:rPr>
                <w:rFonts w:hint="eastAsia" w:ascii="宋体" w:hAnsi="宋体" w:cs="宋体"/>
                <w:kern w:val="0"/>
                <w:szCs w:val="21"/>
              </w:rPr>
              <w:t>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rPr>
              <w:t>998,200.00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kern w:val="0"/>
                <w:szCs w:val="21"/>
              </w:rPr>
            </w:pPr>
          </w:p>
        </w:tc>
      </w:tr>
    </w:tbl>
    <w:p>
      <w:pPr>
        <w:pStyle w:val="322"/>
        <w:ind w:firstLine="0" w:firstLineChars="0"/>
        <w:rPr>
          <w:b/>
          <w:sz w:val="21"/>
          <w:szCs w:val="21"/>
        </w:rPr>
      </w:pPr>
      <w:r>
        <w:rPr>
          <w:rFonts w:hint="eastAsia"/>
          <w:b/>
          <w:bCs/>
          <w:kern w:val="2"/>
          <w:sz w:val="21"/>
          <w:szCs w:val="21"/>
          <w:highlight w:val="yellow"/>
        </w:rPr>
        <w:t>注：★投标人提供的分项报价表中任</w:t>
      </w:r>
      <w:r>
        <w:rPr>
          <w:rFonts w:hint="eastAsia"/>
          <w:b/>
          <w:kern w:val="2"/>
          <w:sz w:val="21"/>
          <w:szCs w:val="21"/>
          <w:highlight w:val="yellow"/>
        </w:rPr>
        <w:t>意一项服务项目内容的投标报价超过其预算单价或预算金额的，将导致投标无效。</w:t>
      </w:r>
    </w:p>
    <w:p>
      <w:pPr>
        <w:pStyle w:val="322"/>
        <w:ind w:firstLine="0" w:firstLineChars="0"/>
        <w:rPr>
          <w:b/>
        </w:rPr>
      </w:pPr>
    </w:p>
    <w:p>
      <w:pPr>
        <w:pStyle w:val="322"/>
        <w:ind w:firstLine="0" w:firstLineChars="0"/>
        <w:rPr>
          <w:b/>
        </w:rPr>
      </w:pPr>
      <w:r>
        <w:rPr>
          <w:rFonts w:hint="eastAsia"/>
          <w:b/>
        </w:rPr>
        <w:t>二、项目服务要求</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（一）服务要求</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1.参照《污水中新型冠状病毒富集浓缩和核酸检测方法标准》（WS/T799-2022）对采购人指定的污水样本进行富集浓缩、核酸提取、新冠病毒核酸检测及核酸样本保存。</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2.检测项目及样本量要求：</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（1）城市</w:t>
      </w:r>
      <w:r>
        <w:rPr>
          <w:rFonts w:cs="Times New Roman"/>
          <w:snapToGrid/>
          <w:spacing w:val="0"/>
          <w:sz w:val="21"/>
          <w:szCs w:val="21"/>
        </w:rPr>
        <w:t>污水</w:t>
      </w:r>
      <w:r>
        <w:rPr>
          <w:rFonts w:hint="eastAsia" w:cs="Times New Roman"/>
          <w:snapToGrid/>
          <w:spacing w:val="0"/>
          <w:sz w:val="21"/>
          <w:szCs w:val="21"/>
        </w:rPr>
        <w:t>及航班污水样本富集浓缩及新冠病毒核酸检测：样本量</w:t>
      </w:r>
      <w:r>
        <w:rPr>
          <w:rFonts w:cs="Times New Roman"/>
          <w:snapToGrid/>
          <w:spacing w:val="0"/>
          <w:sz w:val="21"/>
          <w:szCs w:val="21"/>
        </w:rPr>
        <w:t>45</w:t>
      </w:r>
      <w:r>
        <w:rPr>
          <w:rFonts w:hint="eastAsia" w:cs="Times New Roman"/>
          <w:snapToGrid/>
          <w:spacing w:val="0"/>
          <w:sz w:val="21"/>
          <w:szCs w:val="21"/>
        </w:rPr>
        <w:t>00份，出具检测报告；</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（2）污水样本富集浓缩</w:t>
      </w:r>
      <w:r>
        <w:rPr>
          <w:rFonts w:cs="Times New Roman"/>
          <w:snapToGrid/>
          <w:spacing w:val="0"/>
          <w:sz w:val="21"/>
          <w:szCs w:val="21"/>
        </w:rPr>
        <w:t>，保留富集沉淀物</w:t>
      </w:r>
      <w:r>
        <w:rPr>
          <w:rFonts w:hint="eastAsia" w:cs="Times New Roman"/>
          <w:snapToGrid/>
          <w:spacing w:val="0"/>
          <w:sz w:val="21"/>
          <w:szCs w:val="21"/>
        </w:rPr>
        <w:t>：样本量</w:t>
      </w:r>
      <w:r>
        <w:rPr>
          <w:rFonts w:cs="Times New Roman"/>
          <w:snapToGrid/>
          <w:spacing w:val="0"/>
          <w:sz w:val="21"/>
          <w:szCs w:val="21"/>
        </w:rPr>
        <w:t>4700</w:t>
      </w:r>
      <w:r>
        <w:rPr>
          <w:rFonts w:hint="eastAsia" w:cs="Times New Roman"/>
          <w:snapToGrid/>
          <w:spacing w:val="0"/>
          <w:sz w:val="21"/>
          <w:szCs w:val="21"/>
        </w:rPr>
        <w:t>份；</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（3）核酸样本逆转录</w:t>
      </w:r>
      <w:r>
        <w:rPr>
          <w:rFonts w:cs="Times New Roman"/>
          <w:snapToGrid/>
          <w:spacing w:val="0"/>
          <w:sz w:val="21"/>
          <w:szCs w:val="21"/>
        </w:rPr>
        <w:t>，保存逆转录产物及剩余核酸样本</w:t>
      </w:r>
      <w:r>
        <w:rPr>
          <w:rFonts w:hint="eastAsia" w:cs="Times New Roman"/>
          <w:snapToGrid/>
          <w:spacing w:val="0"/>
          <w:sz w:val="21"/>
          <w:szCs w:val="21"/>
        </w:rPr>
        <w:t>：样本量</w:t>
      </w:r>
      <w:r>
        <w:rPr>
          <w:rFonts w:cs="Times New Roman"/>
          <w:snapToGrid/>
          <w:spacing w:val="0"/>
          <w:sz w:val="21"/>
          <w:szCs w:val="21"/>
        </w:rPr>
        <w:t>4700</w:t>
      </w:r>
      <w:r>
        <w:rPr>
          <w:rFonts w:hint="eastAsia" w:cs="Times New Roman"/>
          <w:snapToGrid/>
          <w:spacing w:val="0"/>
          <w:sz w:val="21"/>
          <w:szCs w:val="21"/>
        </w:rPr>
        <w:t>份；</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（4）污水样本离心富集</w:t>
      </w:r>
      <w:r>
        <w:rPr>
          <w:rFonts w:cs="Times New Roman"/>
          <w:snapToGrid/>
          <w:spacing w:val="0"/>
          <w:sz w:val="21"/>
          <w:szCs w:val="21"/>
        </w:rPr>
        <w:t>及</w:t>
      </w:r>
      <w:r>
        <w:rPr>
          <w:rFonts w:hint="eastAsia" w:cs="Times New Roman"/>
          <w:snapToGrid/>
          <w:spacing w:val="0"/>
          <w:sz w:val="21"/>
          <w:szCs w:val="21"/>
        </w:rPr>
        <w:t>甘油保存：样本量</w:t>
      </w:r>
      <w:r>
        <w:rPr>
          <w:rFonts w:cs="Times New Roman"/>
          <w:snapToGrid/>
          <w:spacing w:val="0"/>
          <w:sz w:val="21"/>
          <w:szCs w:val="21"/>
        </w:rPr>
        <w:t>2</w:t>
      </w:r>
      <w:r>
        <w:rPr>
          <w:rFonts w:hint="eastAsia" w:cs="Times New Roman"/>
          <w:snapToGrid/>
          <w:spacing w:val="0"/>
          <w:sz w:val="21"/>
          <w:szCs w:val="21"/>
        </w:rPr>
        <w:t>100份。</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3.样本运输：按指定时间要求将</w:t>
      </w:r>
      <w:r>
        <w:rPr>
          <w:rFonts w:cs="Times New Roman"/>
          <w:snapToGrid/>
          <w:spacing w:val="0"/>
          <w:sz w:val="21"/>
          <w:szCs w:val="21"/>
        </w:rPr>
        <w:t>检测后</w:t>
      </w:r>
      <w:r>
        <w:rPr>
          <w:rFonts w:hint="eastAsia" w:cs="Times New Roman"/>
          <w:snapToGrid/>
          <w:spacing w:val="0"/>
          <w:sz w:val="21"/>
          <w:szCs w:val="21"/>
        </w:rPr>
        <w:t>样本运送/快递到深圳市指定地点，共计</w:t>
      </w:r>
      <w:r>
        <w:rPr>
          <w:rFonts w:cs="Times New Roman"/>
          <w:snapToGrid/>
          <w:spacing w:val="0"/>
          <w:sz w:val="21"/>
          <w:szCs w:val="21"/>
        </w:rPr>
        <w:t>100</w:t>
      </w:r>
      <w:r>
        <w:rPr>
          <w:rFonts w:hint="eastAsia" w:cs="Times New Roman"/>
          <w:snapToGrid/>
          <w:spacing w:val="0"/>
          <w:sz w:val="21"/>
          <w:szCs w:val="21"/>
        </w:rPr>
        <w:t>次。</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（二）人员要求</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1.实验室检验人员配备≥</w:t>
      </w:r>
      <w:r>
        <w:rPr>
          <w:rFonts w:hint="default" w:cs="Times New Roman"/>
          <w:snapToGrid/>
          <w:spacing w:val="0"/>
          <w:sz w:val="21"/>
          <w:szCs w:val="21"/>
        </w:rPr>
        <w:t>5</w:t>
      </w:r>
      <w:r>
        <w:rPr>
          <w:rFonts w:hint="eastAsia" w:cs="Times New Roman"/>
          <w:snapToGrid/>
          <w:spacing w:val="0"/>
          <w:sz w:val="21"/>
          <w:szCs w:val="21"/>
        </w:rPr>
        <w:t>人，具备检验相关专业</w:t>
      </w:r>
      <w:r>
        <w:rPr>
          <w:rFonts w:hint="default" w:cs="Times New Roman"/>
          <w:snapToGrid/>
          <w:spacing w:val="0"/>
          <w:sz w:val="21"/>
          <w:szCs w:val="21"/>
        </w:rPr>
        <w:t>学历</w:t>
      </w:r>
      <w:r>
        <w:rPr>
          <w:rFonts w:hint="eastAsia" w:cs="Times New Roman"/>
          <w:snapToGrid/>
          <w:spacing w:val="0"/>
          <w:sz w:val="21"/>
          <w:szCs w:val="21"/>
        </w:rPr>
        <w:t>或工作经验。</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2.取得临床检验相关资格证书。</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3.取得临床基因扩增检验技术人员上岗证书。</w:t>
      </w:r>
    </w:p>
    <w:p>
      <w:pPr>
        <w:pStyle w:val="507"/>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（三）投入设施设备要求</w:t>
      </w:r>
    </w:p>
    <w:p>
      <w:pPr>
        <w:pStyle w:val="322"/>
        <w:ind w:firstLine="420"/>
        <w:rPr>
          <w:sz w:val="21"/>
          <w:szCs w:val="21"/>
        </w:rPr>
      </w:pPr>
      <w:r>
        <w:rPr>
          <w:sz w:val="21"/>
          <w:szCs w:val="21"/>
        </w:rPr>
        <w:t>1</w:t>
      </w:r>
      <w:r>
        <w:rPr>
          <w:rFonts w:hint="eastAsia"/>
          <w:sz w:val="21"/>
          <w:szCs w:val="21"/>
        </w:rPr>
        <w:t>.</w:t>
      </w:r>
      <w:r>
        <w:rPr>
          <w:sz w:val="21"/>
          <w:szCs w:val="21"/>
        </w:rPr>
        <w:t>在深圳市有固定</w:t>
      </w:r>
      <w:r>
        <w:rPr>
          <w:rFonts w:hint="eastAsia"/>
          <w:sz w:val="21"/>
          <w:szCs w:val="21"/>
        </w:rPr>
        <w:t>的</w:t>
      </w:r>
      <w:r>
        <w:rPr>
          <w:sz w:val="21"/>
          <w:szCs w:val="21"/>
        </w:rPr>
        <w:t>办公场所和实验室。</w:t>
      </w:r>
    </w:p>
    <w:p>
      <w:pPr>
        <w:pStyle w:val="322"/>
        <w:ind w:firstLine="420"/>
        <w:rPr>
          <w:sz w:val="21"/>
          <w:szCs w:val="21"/>
        </w:rPr>
      </w:pPr>
      <w:r>
        <w:rPr>
          <w:sz w:val="21"/>
          <w:szCs w:val="21"/>
        </w:rPr>
        <w:t>2</w:t>
      </w:r>
      <w:r>
        <w:rPr>
          <w:rFonts w:hint="eastAsia"/>
          <w:sz w:val="21"/>
          <w:szCs w:val="21"/>
        </w:rPr>
        <w:t>.</w:t>
      </w:r>
      <w:r>
        <w:rPr>
          <w:rFonts w:hint="eastAsia"/>
          <w:sz w:val="21"/>
          <w:szCs w:val="21"/>
          <w:lang w:val="en-US" w:eastAsia="zh-CN"/>
        </w:rPr>
        <w:t>具有检测</w:t>
      </w:r>
      <w:r>
        <w:rPr>
          <w:sz w:val="21"/>
          <w:szCs w:val="21"/>
        </w:rPr>
        <w:t>实验室</w:t>
      </w:r>
      <w:r>
        <w:rPr>
          <w:rFonts w:hint="eastAsia"/>
          <w:sz w:val="21"/>
          <w:szCs w:val="21"/>
          <w:lang w:val="en-US" w:eastAsia="zh-CN"/>
        </w:rPr>
        <w:t>且面积满足本项目要求，</w:t>
      </w:r>
      <w:r>
        <w:rPr>
          <w:sz w:val="21"/>
          <w:szCs w:val="21"/>
        </w:rPr>
        <w:t>至少具备试剂准备</w:t>
      </w:r>
      <w:r>
        <w:rPr>
          <w:rFonts w:hint="eastAsia"/>
          <w:sz w:val="21"/>
          <w:szCs w:val="21"/>
          <w:lang w:val="en-US" w:eastAsia="zh-CN"/>
        </w:rPr>
        <w:t>间</w:t>
      </w:r>
      <w:r>
        <w:rPr>
          <w:sz w:val="21"/>
          <w:szCs w:val="21"/>
        </w:rPr>
        <w:t>、标本制备</w:t>
      </w:r>
      <w:r>
        <w:rPr>
          <w:rFonts w:hint="eastAsia"/>
          <w:sz w:val="21"/>
          <w:szCs w:val="21"/>
          <w:lang w:val="en-US" w:eastAsia="zh-CN"/>
        </w:rPr>
        <w:t>间</w:t>
      </w:r>
      <w:r>
        <w:rPr>
          <w:sz w:val="21"/>
          <w:szCs w:val="21"/>
        </w:rPr>
        <w:t>和 PCR 扩增</w:t>
      </w:r>
      <w:r>
        <w:rPr>
          <w:rFonts w:hint="eastAsia"/>
          <w:sz w:val="21"/>
          <w:szCs w:val="21"/>
          <w:lang w:val="en-US" w:eastAsia="zh-CN"/>
        </w:rPr>
        <w:t>室</w:t>
      </w:r>
      <w:r>
        <w:rPr>
          <w:sz w:val="21"/>
          <w:szCs w:val="21"/>
        </w:rPr>
        <w:t>三个</w:t>
      </w:r>
      <w:r>
        <w:rPr>
          <w:rFonts w:hint="eastAsia"/>
          <w:sz w:val="21"/>
          <w:szCs w:val="21"/>
          <w:lang w:val="en-US" w:eastAsia="zh-CN"/>
        </w:rPr>
        <w:t>独立</w:t>
      </w:r>
      <w:r>
        <w:rPr>
          <w:sz w:val="21"/>
          <w:szCs w:val="21"/>
        </w:rPr>
        <w:t>区域。</w:t>
      </w:r>
    </w:p>
    <w:p>
      <w:pPr>
        <w:pStyle w:val="322"/>
        <w:ind w:firstLine="420"/>
        <w:rPr>
          <w:sz w:val="21"/>
          <w:szCs w:val="21"/>
        </w:rPr>
      </w:pPr>
      <w:r>
        <w:rPr>
          <w:sz w:val="21"/>
          <w:szCs w:val="21"/>
        </w:rPr>
        <w:t>3</w:t>
      </w:r>
      <w:r>
        <w:rPr>
          <w:rFonts w:hint="eastAsia"/>
          <w:sz w:val="21"/>
          <w:szCs w:val="21"/>
        </w:rPr>
        <w:t>.</w:t>
      </w:r>
      <w:r>
        <w:rPr>
          <w:sz w:val="21"/>
          <w:szCs w:val="21"/>
        </w:rPr>
        <w:t>具备恒温培养摇床、大容量冷冻离心机、高速冷冻离心机、二级生物安全柜、实时荧光定量PCR仪、全自动核酸提取仪、高压灭菌器</w:t>
      </w:r>
      <w:r>
        <w:rPr>
          <w:rFonts w:hint="eastAsia"/>
          <w:sz w:val="21"/>
          <w:szCs w:val="21"/>
          <w:lang w:eastAsia="zh-CN"/>
        </w:rPr>
        <w:t>、</w:t>
      </w:r>
      <w:r>
        <w:rPr>
          <w:rFonts w:hint="eastAsia"/>
          <w:sz w:val="21"/>
          <w:szCs w:val="21"/>
          <w:lang w:val="en-US" w:eastAsia="zh-CN"/>
        </w:rPr>
        <w:t>低温冰箱</w:t>
      </w:r>
      <w:r>
        <w:rPr>
          <w:sz w:val="21"/>
          <w:szCs w:val="21"/>
        </w:rPr>
        <w:t>等。</w:t>
      </w:r>
    </w:p>
    <w:p>
      <w:pPr>
        <w:pStyle w:val="322"/>
        <w:ind w:firstLine="420"/>
        <w:rPr>
          <w:rFonts w:hint="eastAsia"/>
          <w:b/>
          <w:bCs/>
          <w:sz w:val="21"/>
          <w:szCs w:val="21"/>
          <w:highlight w:val="yellow"/>
          <w:lang w:val="en-US" w:eastAsia="zh-CN"/>
        </w:rPr>
      </w:pPr>
      <w:r>
        <w:rPr>
          <w:rFonts w:hint="eastAsia"/>
          <w:b/>
          <w:bCs/>
          <w:sz w:val="21"/>
          <w:szCs w:val="21"/>
          <w:highlight w:val="yellow"/>
          <w:lang w:eastAsia="zh-CN"/>
        </w:rPr>
        <w:t>★（</w:t>
      </w:r>
      <w:r>
        <w:rPr>
          <w:rFonts w:hint="eastAsia"/>
          <w:b/>
          <w:bCs/>
          <w:sz w:val="21"/>
          <w:szCs w:val="21"/>
          <w:highlight w:val="yellow"/>
          <w:lang w:val="en-US" w:eastAsia="zh-CN"/>
        </w:rPr>
        <w:t>四</w:t>
      </w:r>
      <w:r>
        <w:rPr>
          <w:rFonts w:hint="eastAsia"/>
          <w:b/>
          <w:bCs/>
          <w:sz w:val="21"/>
          <w:szCs w:val="21"/>
          <w:highlight w:val="yellow"/>
          <w:lang w:eastAsia="zh-CN"/>
        </w:rPr>
        <w:t>）</w:t>
      </w:r>
      <w:r>
        <w:rPr>
          <w:rFonts w:hint="eastAsia"/>
          <w:b/>
          <w:bCs/>
          <w:sz w:val="21"/>
          <w:szCs w:val="21"/>
          <w:highlight w:val="yellow"/>
          <w:lang w:val="en-US" w:eastAsia="zh-CN"/>
        </w:rPr>
        <w:t>检测时效性要求</w:t>
      </w:r>
    </w:p>
    <w:p>
      <w:pPr>
        <w:pStyle w:val="322"/>
        <w:ind w:firstLine="420"/>
        <w:rPr>
          <w:rFonts w:hint="eastAsia" w:eastAsia="宋体"/>
          <w:sz w:val="21"/>
          <w:szCs w:val="21"/>
          <w:lang w:val="en-US" w:eastAsia="zh-CN"/>
        </w:rPr>
      </w:pPr>
      <w:r>
        <w:rPr>
          <w:rFonts w:hint="eastAsia" w:ascii="宋体" w:hAnsi="宋体" w:eastAsia="宋体" w:cs="Times New Roman"/>
          <w:b/>
          <w:bCs/>
          <w:sz w:val="21"/>
          <w:szCs w:val="21"/>
          <w:highlight w:val="yellow"/>
          <w:lang w:val="en-US" w:eastAsia="zh-CN"/>
        </w:rPr>
        <w:t>检测时效性≥98%，样本接收到结果报告时间不超过30小时【投标人需提供检测时效性承诺函（格式自拟）作为响应依据，未提供承诺或承诺内容不满足要求的视为负偏离，按投标无效处理】。</w:t>
      </w:r>
    </w:p>
    <w:p>
      <w:pPr>
        <w:pStyle w:val="322"/>
        <w:ind w:firstLine="0" w:firstLineChars="0"/>
        <w:rPr>
          <w:b/>
        </w:rPr>
      </w:pPr>
    </w:p>
    <w:p>
      <w:pPr>
        <w:pStyle w:val="322"/>
        <w:ind w:firstLine="0" w:firstLineChars="0"/>
        <w:rPr>
          <w:b/>
        </w:rPr>
      </w:pPr>
      <w:r>
        <w:rPr>
          <w:rFonts w:hint="eastAsia"/>
          <w:b/>
        </w:rPr>
        <w:t>三、项目商务要求</w:t>
      </w:r>
    </w:p>
    <w:p>
      <w:pPr>
        <w:pStyle w:val="256"/>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6"/>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rPr>
        <w:t>自合同签订之日起一年。本项目为长期服务项目，合同累计履行期限最长不超过三十六个月。服务期满后采购人可根据项目需求和中标供应商的履约情况确定合同期限是否延长，最多续签两次，合同一年一签。</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6"/>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ascii="宋体" w:hAnsi="宋体" w:cs="宋体"/>
          <w:szCs w:val="21"/>
        </w:rPr>
      </w:pPr>
      <w:r>
        <w:rPr>
          <w:rFonts w:hint="eastAsia" w:ascii="宋体" w:hAnsi="宋体"/>
          <w:szCs w:val="21"/>
        </w:rPr>
        <w:t>投标人报价应按人民币报价，包括但不限于管理费用、人员费用、税费、生产材料费用、设施硬件配置</w:t>
      </w:r>
      <w:r>
        <w:rPr>
          <w:rFonts w:hint="eastAsia" w:ascii="宋体" w:hAnsi="宋体" w:cs="宋体"/>
          <w:szCs w:val="21"/>
        </w:rPr>
        <w:t>费用等与完成本项目服务工作有关的全部费用。</w:t>
      </w:r>
    </w:p>
    <w:p>
      <w:pPr>
        <w:pStyle w:val="256"/>
        <w:spacing w:beforeLines="0" w:line="360" w:lineRule="auto"/>
        <w:ind w:firstLine="0" w:firstLineChars="0"/>
        <w:rPr>
          <w:rFonts w:ascii="宋体" w:hAnsi="宋体" w:eastAsia="宋体" w:cs="宋体"/>
          <w:b/>
        </w:rPr>
      </w:pPr>
      <w:r>
        <w:rPr>
          <w:rFonts w:hint="eastAsia" w:ascii="宋体" w:hAnsi="宋体" w:eastAsia="宋体" w:cs="宋体"/>
          <w:b/>
        </w:rPr>
        <w:t>（四）付款方式：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1.签订合同后，投标人提供全额发票，并经采购人审核通过后，支付合同金额的70%；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szCs w:val="21"/>
        </w:rPr>
      </w:pPr>
      <w:r>
        <w:rPr>
          <w:rFonts w:hint="eastAsia" w:ascii="宋体" w:hAnsi="宋体" w:cs="宋体"/>
        </w:rPr>
        <w:t>2.</w:t>
      </w:r>
      <w:r>
        <w:rPr>
          <w:rFonts w:hint="eastAsia" w:ascii="宋体" w:hAnsi="宋体"/>
          <w:szCs w:val="21"/>
        </w:rPr>
        <w:t>工作量完成</w:t>
      </w:r>
      <w:r>
        <w:rPr>
          <w:rFonts w:ascii="宋体" w:hAnsi="宋体"/>
          <w:szCs w:val="21"/>
        </w:rPr>
        <w:t>7</w:t>
      </w:r>
      <w:r>
        <w:rPr>
          <w:rFonts w:hint="eastAsia" w:ascii="宋体" w:hAnsi="宋体"/>
          <w:szCs w:val="21"/>
        </w:rPr>
        <w:t>0%</w:t>
      </w:r>
      <w:r>
        <w:rPr>
          <w:rStyle w:val="59"/>
        </w:rPr>
        <w:t>后，经时效性和质量评估达标，</w:t>
      </w:r>
      <w:r>
        <w:rPr>
          <w:rFonts w:hint="eastAsia" w:ascii="宋体" w:hAnsi="宋体"/>
          <w:szCs w:val="21"/>
        </w:rPr>
        <w:t>支付合同金额的30%。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Cs w:val="21"/>
        </w:rPr>
      </w:pPr>
      <w:r>
        <w:rPr>
          <w:rFonts w:hint="eastAsia" w:ascii="宋体" w:hAnsi="宋体" w:cs="宋体"/>
          <w:szCs w:val="21"/>
          <w:lang w:val="en-US" w:eastAsia="zh-CN"/>
        </w:rPr>
        <w:t>3.</w:t>
      </w:r>
      <w:r>
        <w:rPr>
          <w:rFonts w:hint="eastAsia" w:ascii="宋体" w:hAnsi="宋体" w:eastAsia="宋体" w:cs="宋体"/>
          <w:szCs w:val="21"/>
        </w:rPr>
        <w:t>评估内容及要求包括：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Style w:val="59"/>
          <w:rFonts w:hint="eastAsia" w:ascii="宋体" w:hAnsi="宋体" w:eastAsia="宋体" w:cs="宋体"/>
        </w:rPr>
      </w:pPr>
      <w:r>
        <w:rPr>
          <w:rStyle w:val="59"/>
          <w:rFonts w:hint="eastAsia" w:ascii="宋体" w:hAnsi="宋体" w:eastAsia="宋体" w:cs="宋体"/>
        </w:rPr>
        <w:t>①</w:t>
      </w:r>
      <w:r>
        <w:rPr>
          <w:rStyle w:val="59"/>
          <w:rFonts w:hint="eastAsia" w:ascii="宋体" w:hAnsi="宋体" w:cs="宋体"/>
          <w:lang w:val="en-US" w:eastAsia="zh-CN"/>
        </w:rPr>
        <w:t xml:space="preserve"> </w:t>
      </w:r>
      <w:r>
        <w:rPr>
          <w:rStyle w:val="59"/>
          <w:rFonts w:hint="eastAsia" w:ascii="宋体" w:hAnsi="宋体" w:eastAsia="宋体" w:cs="宋体"/>
        </w:rPr>
        <w:t>质量控制达标率100%（严格按照方案要求设质控和标准曲线，质控结果满足要求）；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szCs w:val="21"/>
        </w:rPr>
      </w:pPr>
      <w:r>
        <w:rPr>
          <w:rStyle w:val="59"/>
          <w:rFonts w:hint="eastAsia" w:ascii="宋体" w:hAnsi="宋体" w:eastAsia="宋体" w:cs="宋体"/>
        </w:rPr>
        <w:t>②</w:t>
      </w:r>
      <w:r>
        <w:rPr>
          <w:rStyle w:val="59"/>
          <w:rFonts w:hint="eastAsia" w:ascii="宋体" w:hAnsi="宋体" w:cs="宋体"/>
          <w:lang w:val="en-US" w:eastAsia="zh-CN"/>
        </w:rPr>
        <w:t xml:space="preserve"> </w:t>
      </w:r>
      <w:r>
        <w:rPr>
          <w:rStyle w:val="59"/>
          <w:rFonts w:hint="eastAsia" w:ascii="宋体" w:hAnsi="宋体" w:eastAsia="宋体" w:cs="宋体"/>
        </w:rPr>
        <w:t>样本运送中全程处于0~6℃低温环境（提供样本记录表和签字交接表）。</w:t>
      </w:r>
    </w:p>
    <w:p>
      <w:pPr>
        <w:spacing w:after="60" w:line="440" w:lineRule="exact"/>
        <w:ind w:firstLine="371" w:firstLineChars="177"/>
        <w:rPr>
          <w:rFonts w:ascii="宋体" w:hAnsi="宋体" w:cs="宋体"/>
        </w:rPr>
      </w:pPr>
    </w:p>
    <w:p>
      <w:pPr>
        <w:spacing w:line="360" w:lineRule="auto"/>
        <w:ind w:firstLine="420" w:firstLineChars="200"/>
        <w:jc w:val="left"/>
        <w:rPr>
          <w:rFonts w:ascii="宋体" w:hAnsi="宋体"/>
          <w:szCs w:val="21"/>
        </w:rPr>
      </w:pPr>
    </w:p>
    <w:p>
      <w:pPr>
        <w:rPr>
          <w:sz w:val="21"/>
          <w:szCs w:val="21"/>
        </w:rPr>
      </w:pPr>
      <w:r>
        <w:rPr>
          <w:sz w:val="21"/>
          <w:szCs w:val="21"/>
        </w:rPr>
        <w:br w:type="page"/>
      </w:r>
    </w:p>
    <w:p>
      <w:pPr>
        <w:pStyle w:val="457"/>
        <w:spacing w:before="0" w:beforeAutospacing="0" w:after="0" w:afterAutospacing="0" w:line="360" w:lineRule="auto"/>
        <w:rPr>
          <w:sz w:val="21"/>
          <w:szCs w:val="21"/>
        </w:rPr>
      </w:pPr>
    </w:p>
    <w:p>
      <w:pPr>
        <w:pStyle w:val="4"/>
      </w:pPr>
      <w:bookmarkStart w:id="2" w:name="_Toc135293161"/>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
      <w:pPr>
        <w:pStyle w:val="4"/>
        <w:spacing w:after="0"/>
      </w:pPr>
      <w:bookmarkStart w:id="3" w:name="_Toc135293162"/>
      <w:r>
        <w:rPr>
          <w:rFonts w:hint="eastAsia"/>
        </w:rPr>
        <w:t>第四章  评标方法和标准</w:t>
      </w:r>
      <w:bookmarkEnd w:id="3"/>
    </w:p>
    <w:p/>
    <w:p>
      <w:pPr>
        <w:pStyle w:val="6"/>
        <w:spacing w:before="0" w:after="0"/>
      </w:pPr>
      <w:bookmarkStart w:id="4" w:name="_Toc44690702"/>
      <w:bookmarkStart w:id="5" w:name="_Toc135293163"/>
      <w:bookmarkStart w:id="6" w:name="_Toc44691393"/>
      <w:bookmarkStart w:id="7" w:name="_Toc44690429"/>
      <w:bookmarkStart w:id="8" w:name="_Toc44691161"/>
      <w:r>
        <w:rPr>
          <w:rFonts w:hint="eastAsia"/>
        </w:rPr>
        <w:t>一、</w:t>
      </w:r>
      <w:r>
        <w:t>评标方法</w:t>
      </w:r>
      <w:bookmarkEnd w:id="4"/>
      <w:bookmarkEnd w:id="5"/>
      <w:bookmarkEnd w:id="6"/>
      <w:bookmarkEnd w:id="7"/>
      <w:bookmarkEnd w:id="8"/>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6"/>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6"/>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3"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评分项及评分规则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一、价格部分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投标报价得分=(评标基准价／投标报价)×权重</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备注：</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Cs/>
                <w:snapToGrid w:val="0"/>
                <w:kern w:val="0"/>
                <w:sz w:val="21"/>
                <w:szCs w:val="21"/>
              </w:rPr>
            </w:pPr>
            <w:r>
              <w:rPr>
                <w:rFonts w:hint="eastAsia" w:ascii="宋体" w:hAnsi="宋体" w:eastAsia="宋体" w:cs="宋体"/>
                <w:snapToGrid w:val="0"/>
                <w:kern w:val="0"/>
                <w:sz w:val="21"/>
                <w:szCs w:val="21"/>
              </w:rPr>
              <w:t>1、因落实政府采购政策进行价格调整的，以调整后的价格计算评标基准价和投标报价</w:t>
            </w:r>
            <w:r>
              <w:rPr>
                <w:rFonts w:hint="eastAsia" w:ascii="宋体" w:hAnsi="宋体" w:eastAsia="宋体" w:cs="宋体"/>
                <w:bCs/>
                <w:snapToGrid w:val="0"/>
                <w:kern w:val="0"/>
                <w:sz w:val="21"/>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1"/>
                <w:szCs w:val="21"/>
              </w:rPr>
            </w:pPr>
            <w:r>
              <w:rPr>
                <w:rFonts w:hint="eastAsia" w:ascii="宋体" w:hAnsi="宋体" w:eastAsia="宋体" w:cs="宋体"/>
                <w:snapToGrid w:val="0"/>
                <w:kern w:val="0"/>
                <w:sz w:val="21"/>
                <w:szCs w:val="21"/>
              </w:rPr>
              <w:t>2、投标报价得分四舍五入后，小数点后保留两位有效数</w:t>
            </w:r>
            <w:r>
              <w:rPr>
                <w:rFonts w:hint="eastAsia" w:ascii="宋体" w:hAnsi="宋体" w:eastAsia="宋体" w:cs="宋体"/>
                <w:sz w:val="21"/>
                <w:szCs w:val="21"/>
              </w:rPr>
              <w:t>。</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二、技术部分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bookmarkStart w:id="10" w:name="_Hlk161493468"/>
            <w:r>
              <w:rPr>
                <w:rFonts w:hint="eastAsia" w:ascii="宋体" w:hAnsi="宋体" w:eastAsia="宋体" w:cs="宋体"/>
                <w:kern w:val="0"/>
                <w:sz w:val="21"/>
                <w:szCs w:val="21"/>
              </w:rPr>
              <w:t>项目实施方案</w:t>
            </w:r>
            <w:bookmarkEnd w:id="10"/>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考察投标人提供的项目实施方案，包含以下内容：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1、对</w:t>
            </w:r>
            <w:r>
              <w:rPr>
                <w:rFonts w:hint="eastAsia" w:ascii="宋体" w:hAnsi="宋体" w:eastAsia="宋体" w:cs="宋体"/>
                <w:sz w:val="21"/>
                <w:szCs w:val="21"/>
              </w:rPr>
              <w:t>项目服务需求的理解</w:t>
            </w:r>
            <w:r>
              <w:rPr>
                <w:rFonts w:hint="eastAsia" w:ascii="宋体" w:hAnsi="宋体" w:eastAsia="宋体" w:cs="宋体"/>
                <w:kern w:val="0"/>
                <w:sz w:val="21"/>
                <w:szCs w:val="21"/>
              </w:rPr>
              <w:t>；</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2、项目实施计划；</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3、</w:t>
            </w:r>
            <w:r>
              <w:rPr>
                <w:rFonts w:hint="eastAsia" w:ascii="宋体" w:hAnsi="宋体" w:eastAsia="宋体" w:cs="宋体"/>
                <w:sz w:val="21"/>
                <w:szCs w:val="21"/>
              </w:rPr>
              <w:t>项目管理服务承诺</w:t>
            </w:r>
            <w:r>
              <w:rPr>
                <w:rFonts w:hint="eastAsia" w:ascii="宋体" w:hAnsi="宋体" w:eastAsia="宋体" w:cs="宋体"/>
                <w:kern w:val="0"/>
                <w:sz w:val="21"/>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方案包含以上三项内容得3分；包含以上二项内容得2分；包含以上一项内容得1分；其他情况不得分。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在此基础上，根据方案响应情况进一步评审：</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1.方案内容全面、具体，可行性高，加5分；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2.方案内容较全面，可行性较高，加3分；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3.方案全面性、可行性一般，加1分；</w:t>
            </w:r>
          </w:p>
          <w:p>
            <w:pPr>
              <w:pStyle w:val="20"/>
              <w:keepNext w:val="0"/>
              <w:keepLines w:val="0"/>
              <w:pageBreakBefore w:val="0"/>
              <w:kinsoku/>
              <w:wordWrap/>
              <w:overflowPunct/>
              <w:topLinePunct w:val="0"/>
              <w:bidi w:val="0"/>
              <w:spacing w:after="0"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z w:val="21"/>
                <w:szCs w:val="21"/>
              </w:rPr>
              <w:t>4.方案不全，可行性低，不加分。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2</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sz w:val="21"/>
                <w:szCs w:val="21"/>
              </w:rPr>
              <w:t>项目重点难点分析、应对措施及相关的合理化建议</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sz w:val="21"/>
                <w:szCs w:val="21"/>
              </w:rPr>
              <w:t>8</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考察投标人提供的</w:t>
            </w:r>
            <w:r>
              <w:rPr>
                <w:rFonts w:hint="eastAsia" w:ascii="宋体" w:hAnsi="宋体" w:eastAsia="宋体" w:cs="宋体"/>
                <w:sz w:val="21"/>
                <w:szCs w:val="21"/>
              </w:rPr>
              <w:t>项目重点难点分析、应对措施及相关的合理化建议</w:t>
            </w:r>
            <w:r>
              <w:rPr>
                <w:rFonts w:hint="eastAsia" w:ascii="宋体" w:hAnsi="宋体" w:eastAsia="宋体" w:cs="宋体"/>
                <w:kern w:val="0"/>
                <w:sz w:val="21"/>
                <w:szCs w:val="21"/>
              </w:rPr>
              <w:t>，包含以下内容：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1、项目重点难点分析；</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2、针对项目重点难点逐项提出应对措施；</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3、相关的合理化建议。</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方案包含以上三项内容得3分；包含以上二项内容得2分；包含以上一项内容得1分；其他情况不得分。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在此基础上，根据方案响应情况进一步评审：</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1.方案内容全面、具体，可行性高，加5分；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2.方案内容较全面，可行性较高，加3分；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3.方案全面性、可行性一般，加1分；</w:t>
            </w:r>
          </w:p>
          <w:p>
            <w:pPr>
              <w:pStyle w:val="20"/>
              <w:keepNext w:val="0"/>
              <w:keepLines w:val="0"/>
              <w:pageBreakBefore w:val="0"/>
              <w:kinsoku/>
              <w:wordWrap/>
              <w:overflowPunct/>
              <w:topLinePunct w:val="0"/>
              <w:bidi w:val="0"/>
              <w:spacing w:after="0"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4.方案不全，可行性低，不加分。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bookmarkStart w:id="11" w:name="_Hlk161493506"/>
            <w:r>
              <w:rPr>
                <w:rFonts w:hint="eastAsia" w:ascii="宋体" w:hAnsi="宋体" w:eastAsia="宋体" w:cs="宋体"/>
                <w:sz w:val="21"/>
                <w:szCs w:val="21"/>
              </w:rPr>
              <w:t>质量保障措施及方案</w:t>
            </w:r>
            <w:bookmarkEnd w:id="11"/>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考察投标人提供的</w:t>
            </w:r>
            <w:r>
              <w:rPr>
                <w:rFonts w:hint="eastAsia" w:ascii="宋体" w:hAnsi="宋体" w:eastAsia="宋体" w:cs="宋体"/>
                <w:sz w:val="21"/>
                <w:szCs w:val="21"/>
              </w:rPr>
              <w:t>质量保障措施及方案</w:t>
            </w:r>
            <w:r>
              <w:rPr>
                <w:rFonts w:hint="eastAsia" w:ascii="宋体" w:hAnsi="宋体" w:eastAsia="宋体" w:cs="宋体"/>
                <w:kern w:val="0"/>
                <w:sz w:val="21"/>
                <w:szCs w:val="21"/>
              </w:rPr>
              <w:t>，包含以下内容：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sz w:val="21"/>
                <w:szCs w:val="21"/>
              </w:rPr>
              <w:t>项目进度控制措施</w:t>
            </w:r>
            <w:r>
              <w:rPr>
                <w:rFonts w:hint="eastAsia" w:ascii="宋体" w:hAnsi="宋体" w:eastAsia="宋体" w:cs="宋体"/>
                <w:kern w:val="0"/>
                <w:sz w:val="21"/>
                <w:szCs w:val="21"/>
              </w:rPr>
              <w:t>；</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sz w:val="21"/>
                <w:szCs w:val="21"/>
              </w:rPr>
              <w:t>项目保密性措施</w:t>
            </w:r>
            <w:r>
              <w:rPr>
                <w:rFonts w:hint="eastAsia" w:ascii="宋体" w:hAnsi="宋体" w:eastAsia="宋体" w:cs="宋体"/>
                <w:kern w:val="0"/>
                <w:sz w:val="21"/>
                <w:szCs w:val="21"/>
              </w:rPr>
              <w:t>；</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3、项目质量保障措施。</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方案包含以上三项内容得3分；包含以上二项内容得2分；包含以上一项内容得1分；其他情况不得分。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在此基础上，根据方案响应情况进一步评审：</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1.方案内容全面、具体，可行性高，加5分；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2.方案内容较全面，可行性较高，加3分；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3.方案全面性、可行性一般，加1分；</w:t>
            </w:r>
          </w:p>
          <w:p>
            <w:pPr>
              <w:pStyle w:val="20"/>
              <w:keepNext w:val="0"/>
              <w:keepLines w:val="0"/>
              <w:pageBreakBefore w:val="0"/>
              <w:kinsoku/>
              <w:wordWrap/>
              <w:overflowPunct/>
              <w:topLinePunct w:val="0"/>
              <w:bidi w:val="0"/>
              <w:spacing w:after="0"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z w:val="21"/>
                <w:szCs w:val="21"/>
              </w:rPr>
              <w:t>4.方案不全，可行性低，不加分。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rPr>
            </w:pPr>
            <w:bookmarkStart w:id="12" w:name="_Hlk161493524"/>
            <w:r>
              <w:rPr>
                <w:rFonts w:hint="eastAsia" w:ascii="宋体" w:hAnsi="宋体" w:eastAsia="宋体" w:cs="宋体"/>
                <w:sz w:val="21"/>
                <w:szCs w:val="21"/>
              </w:rPr>
              <w:t>服务承诺</w:t>
            </w:r>
            <w:bookmarkEnd w:id="12"/>
            <w:r>
              <w:rPr>
                <w:rFonts w:hint="eastAsia" w:ascii="宋体" w:hAnsi="宋体" w:eastAsia="宋体" w:cs="宋体"/>
                <w:sz w:val="21"/>
                <w:szCs w:val="21"/>
              </w:rPr>
              <w:t>方案</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考察投标人提供的服务承诺方案，包含以下内容：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sz w:val="21"/>
                <w:szCs w:val="21"/>
              </w:rPr>
              <w:t>检验报告结果服务承诺</w:t>
            </w:r>
            <w:r>
              <w:rPr>
                <w:rFonts w:hint="eastAsia" w:ascii="宋体" w:hAnsi="宋体" w:eastAsia="宋体" w:cs="宋体"/>
                <w:kern w:val="0"/>
                <w:sz w:val="21"/>
                <w:szCs w:val="21"/>
              </w:rPr>
              <w:t>；</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2、技术支持服务承诺；</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3、技术服务人员</w:t>
            </w:r>
            <w:r>
              <w:rPr>
                <w:rFonts w:hint="eastAsia" w:ascii="宋体" w:hAnsi="宋体" w:eastAsia="宋体" w:cs="宋体"/>
                <w:sz w:val="21"/>
                <w:szCs w:val="21"/>
              </w:rPr>
              <w:t>服务承诺</w:t>
            </w:r>
            <w:r>
              <w:rPr>
                <w:rFonts w:hint="eastAsia" w:ascii="宋体" w:hAnsi="宋体" w:eastAsia="宋体" w:cs="宋体"/>
                <w:kern w:val="0"/>
                <w:sz w:val="21"/>
                <w:szCs w:val="21"/>
              </w:rPr>
              <w:t>。</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方案包含以上三项内容得2分；包含以上二项内容得1分；包含以上一项内容得0.5分；其他情况不得分。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在此基础上，根据方案响应情况进一步评审：</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1.方案内容全面、具体，可行性高，加2分；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2.方案内容较全面，可行性较高，加1分；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3.方案全面性、可行性一般，加0.5分；</w:t>
            </w:r>
          </w:p>
          <w:p>
            <w:pPr>
              <w:pStyle w:val="20"/>
              <w:keepNext w:val="0"/>
              <w:keepLines w:val="0"/>
              <w:pageBreakBefore w:val="0"/>
              <w:kinsoku/>
              <w:wordWrap/>
              <w:overflowPunct/>
              <w:topLinePunct w:val="0"/>
              <w:bidi w:val="0"/>
              <w:spacing w:after="0"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4.方案不全，可行性低，不加分。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违约承诺</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投标人提供项目违约承诺，满足以下全部要求的得2分，否则不得分。</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（1）人员严格按照招标文件及投标承诺配置； </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（2）服务质量达到招标文件要求； </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（3）对未能达到的管理要求承担管理责任。</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提供《违约承诺函》（格式自定）作为得分依据，未提供承诺或承诺内容不满足要求不得分。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拟安排的项目负责人(仅限1人）情况</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投标人拟安排</w:t>
            </w:r>
            <w:r>
              <w:rPr>
                <w:rFonts w:hint="eastAsia" w:ascii="宋体" w:hAnsi="宋体" w:eastAsia="宋体" w:cs="宋体"/>
                <w:sz w:val="21"/>
                <w:szCs w:val="21"/>
                <w:highlight w:val="none"/>
              </w:rPr>
              <w:t>的项目负责人</w:t>
            </w:r>
            <w:r>
              <w:rPr>
                <w:rFonts w:hint="eastAsia" w:ascii="宋体" w:hAnsi="宋体" w:eastAsia="宋体" w:cs="宋体"/>
                <w:kern w:val="0"/>
                <w:sz w:val="21"/>
                <w:szCs w:val="21"/>
                <w:highlight w:val="none"/>
              </w:rPr>
              <w:t>(</w:t>
            </w:r>
            <w:r>
              <w:rPr>
                <w:rFonts w:hint="eastAsia" w:ascii="宋体" w:hAnsi="宋体" w:eastAsia="宋体" w:cs="宋体"/>
                <w:kern w:val="0"/>
                <w:sz w:val="21"/>
                <w:szCs w:val="21"/>
              </w:rPr>
              <w:t>仅限1人）</w:t>
            </w:r>
            <w:r>
              <w:rPr>
                <w:rFonts w:hint="eastAsia" w:ascii="宋体" w:hAnsi="宋体" w:eastAsia="宋体" w:cs="宋体"/>
                <w:sz w:val="21"/>
                <w:szCs w:val="21"/>
              </w:rPr>
              <w:t>需为投标人自有员工，否则本项不得分。在此基础上，按以下标准评分：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rPr>
              <w:t>1.具有</w:t>
            </w:r>
            <w:r>
              <w:rPr>
                <w:rFonts w:hint="eastAsia" w:ascii="宋体" w:hAnsi="宋体" w:eastAsia="宋体" w:cs="宋体"/>
                <w:sz w:val="21"/>
                <w:szCs w:val="21"/>
                <w:highlight w:val="none"/>
              </w:rPr>
              <w:t>临床检验相关专业</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高级职称（含副高）得1分，中级职称得0.5分，初级职称及以下职称不得分，此小项最高得1分。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2.具有新冠肺炎核酸检测培训合格证书的，得1分。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3.具有临床基因扩增</w:t>
            </w:r>
            <w:r>
              <w:rPr>
                <w:rFonts w:hint="eastAsia" w:ascii="宋体" w:hAnsi="宋体" w:cs="宋体"/>
                <w:sz w:val="21"/>
                <w:szCs w:val="21"/>
                <w:highlight w:val="none"/>
                <w:lang w:val="en-US" w:eastAsia="zh-CN"/>
              </w:rPr>
              <w:t>实验室</w:t>
            </w:r>
            <w:r>
              <w:rPr>
                <w:rFonts w:hint="eastAsia" w:ascii="宋体" w:hAnsi="宋体" w:eastAsia="宋体" w:cs="宋体"/>
                <w:sz w:val="21"/>
                <w:szCs w:val="21"/>
                <w:highlight w:val="none"/>
              </w:rPr>
              <w:t>检验技术</w:t>
            </w:r>
            <w:r>
              <w:rPr>
                <w:rFonts w:hint="eastAsia" w:ascii="宋体" w:hAnsi="宋体" w:cs="宋体"/>
                <w:sz w:val="21"/>
                <w:szCs w:val="21"/>
                <w:highlight w:val="none"/>
                <w:lang w:val="en-US" w:eastAsia="zh-CN"/>
              </w:rPr>
              <w:t>培训合格</w:t>
            </w:r>
            <w:r>
              <w:rPr>
                <w:rFonts w:hint="eastAsia" w:ascii="宋体" w:hAnsi="宋体" w:eastAsia="宋体" w:cs="宋体"/>
                <w:sz w:val="21"/>
                <w:szCs w:val="21"/>
                <w:highlight w:val="none"/>
              </w:rPr>
              <w:t>证书的，得1分。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4.具有市级及以上</w:t>
            </w:r>
            <w:r>
              <w:rPr>
                <w:rFonts w:hint="eastAsia" w:ascii="宋体" w:hAnsi="宋体" w:cs="宋体"/>
                <w:sz w:val="21"/>
                <w:szCs w:val="21"/>
                <w:highlight w:val="none"/>
                <w:lang w:val="en-US" w:eastAsia="zh-CN"/>
              </w:rPr>
              <w:t>卫生行政部门颁发</w:t>
            </w:r>
            <w:r>
              <w:rPr>
                <w:rFonts w:hint="eastAsia" w:ascii="宋体" w:hAnsi="宋体" w:eastAsia="宋体" w:cs="宋体"/>
                <w:sz w:val="21"/>
                <w:szCs w:val="21"/>
                <w:highlight w:val="none"/>
              </w:rPr>
              <w:t>的病原微生物实验室生物安全培训</w:t>
            </w:r>
            <w:r>
              <w:rPr>
                <w:rFonts w:hint="eastAsia" w:ascii="宋体" w:hAnsi="宋体" w:cs="宋体"/>
                <w:sz w:val="21"/>
                <w:szCs w:val="21"/>
                <w:highlight w:val="none"/>
                <w:lang w:val="en-US" w:eastAsia="zh-CN"/>
              </w:rPr>
              <w:t>合格</w:t>
            </w:r>
            <w:r>
              <w:rPr>
                <w:rFonts w:hint="eastAsia" w:ascii="宋体" w:hAnsi="宋体" w:eastAsia="宋体" w:cs="宋体"/>
                <w:sz w:val="21"/>
                <w:szCs w:val="21"/>
                <w:highlight w:val="none"/>
              </w:rPr>
              <w:t>证书的，得1分。</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注：以上累计最高得4分。</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提供项目负责人通过投标单位缴纳的载有社保部门或税务部门公章的近三个月内任意一个月的个人社保证明（如供应商为新成立单位且成立时间不足一个月的，可提供加盖公章的情况说明或者证明材料，无需提供相关人员社保，亦视为符合；如为退休返聘或聘任人员则提供返聘协议或投标单位颁发的相关聘书，无需提供相关人员社保，亦视为符合）或与投标单位签订的劳动合同；</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2.提供项目负责人上述相关证书作为评分依据；</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auto"/>
              <w:jc w:val="center"/>
              <w:textAlignment w:val="auto"/>
              <w:rPr>
                <w:rFonts w:hint="eastAsia" w:ascii="宋体" w:hAnsi="宋体" w:eastAsia="宋体" w:cs="宋体"/>
                <w:kern w:val="0"/>
                <w:sz w:val="21"/>
                <w:szCs w:val="21"/>
              </w:rPr>
            </w:pPr>
            <w:bookmarkStart w:id="113" w:name="_GoBack"/>
            <w:r>
              <w:rPr>
                <w:rFonts w:hint="eastAsia" w:ascii="宋体" w:hAnsi="宋体" w:eastAsia="宋体" w:cs="宋体"/>
                <w:kern w:val="0"/>
                <w:sz w:val="21"/>
                <w:szCs w:val="21"/>
              </w:rPr>
              <w:t>7</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拟安排的项目团队成员（项目负责人除外）情况</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投标人拟安排的项目团队成员（不含项目负责人）必须为投标人自有员工，否则本项不得分。在此基础上，按以下标准评分：</w:t>
            </w:r>
          </w:p>
          <w:p>
            <w:pPr>
              <w:keepNext w:val="0"/>
              <w:keepLines w:val="0"/>
              <w:pageBreakBefore w:val="0"/>
              <w:kinsoku/>
              <w:wordWrap/>
              <w:overflowPunct/>
              <w:topLinePunct w:val="0"/>
              <w:bidi w:val="0"/>
              <w:spacing w:line="360" w:lineRule="auto"/>
              <w:ind w:right="-88" w:rightChars="-42"/>
              <w:jc w:val="left"/>
              <w:textAlignment w:val="auto"/>
              <w:rPr>
                <w:rFonts w:hint="eastAsia" w:ascii="宋体" w:hAnsi="宋体" w:eastAsia="宋体" w:cs="宋体"/>
                <w:sz w:val="21"/>
                <w:szCs w:val="21"/>
              </w:rPr>
            </w:pPr>
            <w:r>
              <w:rPr>
                <w:rFonts w:hint="eastAsia" w:ascii="宋体" w:hAnsi="宋体" w:eastAsia="宋体" w:cs="宋体"/>
                <w:sz w:val="21"/>
                <w:szCs w:val="21"/>
              </w:rPr>
              <w:t>1.具有临床检验相关资质证书的，每提供1人得</w:t>
            </w:r>
            <w:r>
              <w:rPr>
                <w:rFonts w:hint="eastAsia" w:ascii="宋体" w:hAnsi="宋体" w:cs="宋体"/>
                <w:sz w:val="21"/>
                <w:szCs w:val="21"/>
                <w:highlight w:val="none"/>
                <w:lang w:eastAsia="zh-CN"/>
              </w:rPr>
              <w:t>1</w:t>
            </w:r>
            <w:r>
              <w:rPr>
                <w:rFonts w:hint="eastAsia" w:ascii="宋体" w:hAnsi="宋体" w:eastAsia="宋体" w:cs="宋体"/>
                <w:sz w:val="21"/>
                <w:szCs w:val="21"/>
              </w:rPr>
              <w:t>分，最高得</w:t>
            </w:r>
            <w:r>
              <w:rPr>
                <w:rFonts w:hint="eastAsia" w:ascii="宋体" w:hAnsi="宋体" w:cs="宋体"/>
                <w:sz w:val="21"/>
                <w:szCs w:val="21"/>
                <w:highlight w:val="none"/>
                <w:lang w:eastAsia="zh-CN"/>
              </w:rPr>
              <w:t>4</w:t>
            </w:r>
            <w:r>
              <w:rPr>
                <w:rFonts w:hint="eastAsia" w:ascii="宋体" w:hAnsi="宋体" w:eastAsia="宋体" w:cs="宋体"/>
                <w:sz w:val="21"/>
                <w:szCs w:val="21"/>
              </w:rPr>
              <w:t>分。</w:t>
            </w:r>
          </w:p>
          <w:p>
            <w:pPr>
              <w:keepNext w:val="0"/>
              <w:keepLines w:val="0"/>
              <w:pageBreakBefore w:val="0"/>
              <w:kinsoku/>
              <w:wordWrap/>
              <w:overflowPunct/>
              <w:topLinePunct w:val="0"/>
              <w:bidi w:val="0"/>
              <w:spacing w:line="360" w:lineRule="auto"/>
              <w:ind w:right="-88" w:rightChars="-42"/>
              <w:jc w:val="left"/>
              <w:textAlignment w:val="auto"/>
              <w:rPr>
                <w:rFonts w:hint="eastAsia" w:ascii="宋体" w:hAnsi="宋体" w:eastAsia="宋体" w:cs="宋体"/>
                <w:sz w:val="21"/>
                <w:szCs w:val="21"/>
                <w:highlight w:val="none"/>
              </w:rPr>
            </w:pPr>
            <w:r>
              <w:rPr>
                <w:rFonts w:hint="eastAsia" w:ascii="宋体" w:hAnsi="宋体" w:cs="宋体"/>
                <w:sz w:val="21"/>
                <w:szCs w:val="21"/>
                <w:lang w:val="en-US" w:eastAsia="zh-CN"/>
              </w:rPr>
              <w:t>2.</w:t>
            </w:r>
            <w:r>
              <w:rPr>
                <w:rFonts w:hint="eastAsia" w:ascii="宋体" w:hAnsi="宋体" w:eastAsia="宋体" w:cs="宋体"/>
                <w:sz w:val="21"/>
                <w:szCs w:val="21"/>
                <w:highlight w:val="none"/>
              </w:rPr>
              <w:t>具有新冠肺炎核酸检测培训合格证书</w:t>
            </w:r>
            <w:r>
              <w:rPr>
                <w:rFonts w:hint="eastAsia" w:ascii="宋体" w:hAnsi="宋体" w:cs="宋体"/>
                <w:sz w:val="21"/>
                <w:szCs w:val="21"/>
                <w:highlight w:val="none"/>
                <w:lang w:val="en-US" w:eastAsia="zh-CN"/>
              </w:rPr>
              <w:t>或者</w:t>
            </w:r>
            <w:r>
              <w:rPr>
                <w:rFonts w:hint="eastAsia" w:ascii="宋体" w:hAnsi="宋体" w:eastAsia="宋体" w:cs="宋体"/>
                <w:sz w:val="21"/>
                <w:szCs w:val="21"/>
                <w:highlight w:val="none"/>
              </w:rPr>
              <w:t>临床基因扩增</w:t>
            </w:r>
            <w:r>
              <w:rPr>
                <w:rFonts w:hint="eastAsia" w:ascii="宋体" w:hAnsi="宋体" w:cs="宋体"/>
                <w:sz w:val="21"/>
                <w:szCs w:val="21"/>
                <w:highlight w:val="none"/>
                <w:lang w:val="en-US" w:eastAsia="zh-CN"/>
              </w:rPr>
              <w:t>实验室</w:t>
            </w:r>
            <w:r>
              <w:rPr>
                <w:rFonts w:hint="eastAsia" w:ascii="宋体" w:hAnsi="宋体" w:eastAsia="宋体" w:cs="宋体"/>
                <w:sz w:val="21"/>
                <w:szCs w:val="21"/>
                <w:highlight w:val="none"/>
              </w:rPr>
              <w:t>检验技术</w:t>
            </w:r>
            <w:r>
              <w:rPr>
                <w:rFonts w:hint="eastAsia" w:ascii="宋体" w:hAnsi="宋体" w:cs="宋体"/>
                <w:sz w:val="21"/>
                <w:szCs w:val="21"/>
                <w:highlight w:val="none"/>
                <w:lang w:val="en-US" w:eastAsia="zh-CN"/>
              </w:rPr>
              <w:t>培训合格</w:t>
            </w:r>
            <w:r>
              <w:rPr>
                <w:rFonts w:hint="eastAsia" w:ascii="宋体" w:hAnsi="宋体" w:eastAsia="宋体" w:cs="宋体"/>
                <w:sz w:val="21"/>
                <w:szCs w:val="21"/>
                <w:highlight w:val="none"/>
              </w:rPr>
              <w:t>证书的，每提供1人得</w:t>
            </w:r>
            <w:r>
              <w:rPr>
                <w:rFonts w:hint="eastAsia" w:ascii="宋体" w:hAnsi="宋体" w:cs="宋体"/>
                <w:sz w:val="21"/>
                <w:szCs w:val="21"/>
                <w:highlight w:val="none"/>
                <w:lang w:val="en-US" w:eastAsia="zh-CN"/>
              </w:rPr>
              <w:t>0.5</w:t>
            </w:r>
            <w:r>
              <w:rPr>
                <w:rFonts w:hint="eastAsia" w:ascii="宋体" w:hAnsi="宋体" w:eastAsia="宋体" w:cs="宋体"/>
                <w:sz w:val="21"/>
                <w:szCs w:val="21"/>
                <w:highlight w:val="none"/>
              </w:rPr>
              <w:t>分</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同一人不累计计分）</w:t>
            </w:r>
            <w:r>
              <w:rPr>
                <w:rFonts w:hint="eastAsia" w:ascii="宋体" w:hAnsi="宋体" w:eastAsia="宋体" w:cs="宋体"/>
                <w:sz w:val="21"/>
                <w:szCs w:val="21"/>
                <w:highlight w:val="none"/>
              </w:rPr>
              <w:t>，最高得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w:t>
            </w:r>
          </w:p>
          <w:p>
            <w:pPr>
              <w:keepNext w:val="0"/>
              <w:keepLines w:val="0"/>
              <w:pageBreakBefore w:val="0"/>
              <w:kinsoku/>
              <w:wordWrap/>
              <w:overflowPunct/>
              <w:topLinePunct w:val="0"/>
              <w:bidi w:val="0"/>
              <w:spacing w:line="360" w:lineRule="auto"/>
              <w:ind w:right="-88" w:rightChars="-42"/>
              <w:jc w:val="left"/>
              <w:textAlignment w:val="auto"/>
              <w:rPr>
                <w:rFonts w:hint="eastAsia" w:ascii="宋体" w:hAnsi="宋体" w:eastAsia="宋体" w:cs="宋体"/>
                <w:sz w:val="21"/>
                <w:szCs w:val="21"/>
                <w:highlight w:val="none"/>
              </w:rPr>
            </w:pPr>
            <w:r>
              <w:rPr>
                <w:rFonts w:hint="eastAsia" w:ascii="宋体" w:hAnsi="宋体" w:cs="宋体"/>
                <w:sz w:val="21"/>
                <w:szCs w:val="21"/>
                <w:lang w:val="en-US" w:eastAsia="zh-CN"/>
              </w:rPr>
              <w:t>3.</w:t>
            </w:r>
            <w:r>
              <w:rPr>
                <w:rFonts w:hint="eastAsia" w:ascii="宋体" w:hAnsi="宋体" w:eastAsia="宋体" w:cs="宋体"/>
                <w:sz w:val="21"/>
                <w:szCs w:val="21"/>
                <w:highlight w:val="none"/>
              </w:rPr>
              <w:t>具有病原微生物实验室生物安全培训</w:t>
            </w:r>
            <w:r>
              <w:rPr>
                <w:rFonts w:hint="eastAsia" w:ascii="宋体" w:hAnsi="宋体" w:cs="宋体"/>
                <w:sz w:val="21"/>
                <w:szCs w:val="21"/>
                <w:highlight w:val="none"/>
                <w:lang w:val="en-US" w:eastAsia="zh-CN"/>
              </w:rPr>
              <w:t>合格</w:t>
            </w:r>
            <w:r>
              <w:rPr>
                <w:rFonts w:hint="eastAsia" w:ascii="宋体" w:hAnsi="宋体" w:eastAsia="宋体" w:cs="宋体"/>
                <w:sz w:val="21"/>
                <w:szCs w:val="21"/>
                <w:highlight w:val="none"/>
              </w:rPr>
              <w:t>证书的</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每提供1人得</w:t>
            </w:r>
            <w:r>
              <w:rPr>
                <w:rFonts w:hint="eastAsia" w:ascii="宋体" w:hAnsi="宋体" w:cs="宋体"/>
                <w:sz w:val="21"/>
                <w:szCs w:val="21"/>
                <w:highlight w:val="none"/>
                <w:lang w:val="en-US" w:eastAsia="zh-CN"/>
              </w:rPr>
              <w:t>0.5</w:t>
            </w:r>
            <w:r>
              <w:rPr>
                <w:rFonts w:hint="eastAsia" w:ascii="宋体" w:hAnsi="宋体" w:eastAsia="宋体" w:cs="宋体"/>
                <w:sz w:val="21"/>
                <w:szCs w:val="21"/>
                <w:highlight w:val="none"/>
              </w:rPr>
              <w:t>分，最高得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w:t>
            </w:r>
          </w:p>
          <w:p>
            <w:pPr>
              <w:keepNext w:val="0"/>
              <w:keepLines w:val="0"/>
              <w:pageBreakBefore w:val="0"/>
              <w:kinsoku/>
              <w:wordWrap/>
              <w:overflowPunct/>
              <w:topLinePunct w:val="0"/>
              <w:bidi w:val="0"/>
              <w:spacing w:line="360" w:lineRule="auto"/>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注：以上累计最高得8分。</w:t>
            </w:r>
          </w:p>
          <w:p>
            <w:pPr>
              <w:keepNext w:val="0"/>
              <w:keepLines w:val="0"/>
              <w:pageBreakBefore w:val="0"/>
              <w:kinsoku/>
              <w:wordWrap/>
              <w:overflowPunct/>
              <w:topLinePunct w:val="0"/>
              <w:bidi w:val="0"/>
              <w:spacing w:line="360" w:lineRule="auto"/>
              <w:textAlignment w:val="auto"/>
              <w:rPr>
                <w:rFonts w:hint="eastAsia" w:ascii="宋体" w:hAnsi="宋体" w:eastAsia="宋体" w:cs="宋体"/>
                <w:sz w:val="21"/>
                <w:szCs w:val="21"/>
              </w:rPr>
            </w:pPr>
          </w:p>
          <w:p>
            <w:pPr>
              <w:keepNext w:val="0"/>
              <w:keepLines w:val="0"/>
              <w:pageBreakBefore w:val="0"/>
              <w:kinsoku/>
              <w:wordWrap/>
              <w:overflowPunct/>
              <w:topLinePunct w:val="0"/>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（二）</w:t>
            </w:r>
            <w:r>
              <w:rPr>
                <w:rFonts w:hint="eastAsia" w:ascii="宋体" w:hAnsi="宋体" w:eastAsia="宋体" w:cs="宋体"/>
                <w:kern w:val="0"/>
                <w:sz w:val="21"/>
                <w:szCs w:val="21"/>
              </w:rPr>
              <w:t>评分依据：</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提供项目团队成员通过投标单位缴纳的载有社保部门或税务部门公章的近三个月内任意一个月的个人社保证明（如供应商为新成立单位且成立时间不足一个月的，可提供加盖公章的情况说明或者证明材料，无需提供相关人员社保，亦视为符合；如为退休返聘或聘任人员则提供返聘协议或投标单位颁发的相关聘书，无需提供相关人员社保，亦视为符合）或与投标单位签订的劳动合同；</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2.提供项目团队成员上述相关证书作为评分依据；</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w:t>
            </w:r>
            <w:r>
              <w:rPr>
                <w:rFonts w:hint="eastAsia" w:ascii="宋体" w:hAnsi="宋体" w:eastAsia="宋体" w:cs="宋体"/>
                <w:sz w:val="21"/>
                <w:szCs w:val="21"/>
                <w:lang w:val="zh-CN"/>
              </w:rPr>
              <w:t>打</w:t>
            </w:r>
            <w:r>
              <w:rPr>
                <w:rFonts w:hint="eastAsia" w:ascii="宋体" w:hAnsi="宋体" w:eastAsia="宋体" w:cs="宋体"/>
                <w:sz w:val="21"/>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项目拟使用的设备（车辆、工具）情况</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（一）评分内容： </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1.投标人具有（自有或租赁）</w:t>
            </w:r>
            <w:r>
              <w:rPr>
                <w:rFonts w:hint="eastAsia" w:ascii="宋体" w:hAnsi="宋体" w:eastAsia="宋体" w:cs="宋体"/>
                <w:sz w:val="21"/>
                <w:szCs w:val="21"/>
                <w:highlight w:val="none"/>
              </w:rPr>
              <w:t>低温运输功能工作用车</w:t>
            </w:r>
            <w:r>
              <w:rPr>
                <w:rFonts w:hint="eastAsia" w:ascii="宋体" w:hAnsi="宋体" w:eastAsia="宋体" w:cs="宋体"/>
                <w:sz w:val="21"/>
                <w:szCs w:val="21"/>
              </w:rPr>
              <w:t>以保障项目样品采集和运输的，每提供1辆得2分，本小项最高得2分。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2.投标人拟投入使用的设备（自有或租赁）情况</w:t>
            </w:r>
            <w:r>
              <w:rPr>
                <w:rFonts w:hint="eastAsia" w:ascii="宋体" w:hAnsi="宋体" w:cs="宋体"/>
                <w:sz w:val="21"/>
                <w:szCs w:val="21"/>
                <w:lang w:eastAsia="zh-CN"/>
              </w:rPr>
              <w:t>（</w:t>
            </w:r>
            <w:r>
              <w:rPr>
                <w:rFonts w:hint="eastAsia" w:ascii="宋体" w:hAnsi="宋体" w:cs="宋体"/>
                <w:sz w:val="21"/>
                <w:szCs w:val="21"/>
                <w:lang w:val="en-US" w:eastAsia="zh-CN"/>
              </w:rPr>
              <w:t>13分</w:t>
            </w:r>
            <w:r>
              <w:rPr>
                <w:rFonts w:hint="eastAsia" w:ascii="宋体" w:hAnsi="宋体" w:cs="宋体"/>
                <w:sz w:val="21"/>
                <w:szCs w:val="21"/>
                <w:lang w:eastAsia="zh-CN"/>
              </w:rPr>
              <w:t>）</w:t>
            </w:r>
            <w:r>
              <w:rPr>
                <w:rFonts w:hint="eastAsia" w:ascii="宋体" w:hAnsi="宋体" w:eastAsia="宋体" w:cs="宋体"/>
                <w:sz w:val="21"/>
                <w:szCs w:val="21"/>
              </w:rPr>
              <w:t>：</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（1）具有全自动核酸提取仪，每提供一台得0.</w:t>
            </w:r>
            <w:r>
              <w:rPr>
                <w:rFonts w:hint="default" w:ascii="宋体" w:hAnsi="宋体" w:eastAsia="宋体" w:cs="宋体"/>
                <w:sz w:val="21"/>
                <w:szCs w:val="21"/>
                <w:lang w:val="en-US"/>
              </w:rPr>
              <w:t>2</w:t>
            </w:r>
            <w:r>
              <w:rPr>
                <w:rFonts w:hint="eastAsia" w:ascii="宋体" w:hAnsi="宋体" w:cs="宋体"/>
                <w:sz w:val="21"/>
                <w:szCs w:val="21"/>
                <w:lang w:val="en-US" w:eastAsia="zh-CN"/>
              </w:rPr>
              <w:t>5</w:t>
            </w:r>
            <w:r>
              <w:rPr>
                <w:rFonts w:hint="eastAsia" w:ascii="宋体" w:hAnsi="宋体" w:eastAsia="宋体" w:cs="宋体"/>
                <w:sz w:val="21"/>
                <w:szCs w:val="21"/>
              </w:rPr>
              <w:t>分，最高得1分；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（2）具有实时荧光定量PCR仪，每提供一台/套得0.</w:t>
            </w:r>
            <w:r>
              <w:rPr>
                <w:rFonts w:hint="eastAsia" w:ascii="宋体" w:hAnsi="宋体" w:cs="宋体"/>
                <w:sz w:val="21"/>
                <w:szCs w:val="21"/>
                <w:lang w:val="en-US" w:eastAsia="zh-CN"/>
              </w:rPr>
              <w:t>25</w:t>
            </w:r>
            <w:r>
              <w:rPr>
                <w:rFonts w:hint="eastAsia" w:ascii="宋体" w:hAnsi="宋体" w:eastAsia="宋体" w:cs="宋体"/>
                <w:sz w:val="21"/>
                <w:szCs w:val="21"/>
              </w:rPr>
              <w:t>分，最高得1分；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（3）具有高压灭菌器，每提供一台得0.</w:t>
            </w:r>
            <w:r>
              <w:rPr>
                <w:rFonts w:hint="eastAsia" w:ascii="宋体" w:hAnsi="宋体" w:cs="宋体"/>
                <w:sz w:val="21"/>
                <w:szCs w:val="21"/>
                <w:lang w:val="en-US" w:eastAsia="zh-CN"/>
              </w:rPr>
              <w:t>5</w:t>
            </w:r>
            <w:r>
              <w:rPr>
                <w:rFonts w:hint="eastAsia" w:ascii="宋体" w:hAnsi="宋体" w:eastAsia="宋体" w:cs="宋体"/>
                <w:sz w:val="21"/>
                <w:szCs w:val="21"/>
              </w:rPr>
              <w:t>分，最高得1分；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（4）具有二级生物安全柜，每提供一台/套得0.5分，最高得1分；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（5）具有恒温培养摇床，每提供一台得1分，最高得3分；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（6）具有大容量冷冻离心机，每提供一台得1.5分，最高得3分；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（7）具有高速冷冻离心机；每提供一台得1分，最高得2分。</w:t>
            </w:r>
          </w:p>
          <w:p>
            <w:pPr>
              <w:pStyle w:val="95"/>
              <w:keepNext w:val="0"/>
              <w:keepLines w:val="0"/>
              <w:pageBreakBefore w:val="0"/>
              <w:numPr>
                <w:ilvl w:val="-1"/>
                <w:numId w:val="0"/>
              </w:numPr>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（8）具有-</w:t>
            </w:r>
            <w:r>
              <w:rPr>
                <w:rFonts w:hint="eastAsia" w:ascii="宋体" w:hAnsi="宋体" w:cs="宋体"/>
                <w:sz w:val="21"/>
                <w:szCs w:val="21"/>
                <w:lang w:val="en-US" w:eastAsia="zh-CN"/>
              </w:rPr>
              <w:t>20</w:t>
            </w:r>
            <w:r>
              <w:rPr>
                <w:rFonts w:hint="eastAsia" w:ascii="宋体" w:hAnsi="宋体" w:eastAsia="宋体" w:cs="宋体"/>
                <w:sz w:val="21"/>
                <w:szCs w:val="21"/>
              </w:rPr>
              <w:t>℃冰箱，每提供一台得</w:t>
            </w:r>
            <w:r>
              <w:rPr>
                <w:rFonts w:hint="eastAsia" w:ascii="宋体" w:hAnsi="宋体" w:cs="宋体"/>
                <w:sz w:val="21"/>
                <w:szCs w:val="21"/>
                <w:lang w:val="en-US" w:eastAsia="zh-CN"/>
              </w:rPr>
              <w:t>0.5</w:t>
            </w:r>
            <w:r>
              <w:rPr>
                <w:rFonts w:hint="eastAsia" w:ascii="宋体" w:hAnsi="宋体" w:eastAsia="宋体" w:cs="宋体"/>
                <w:sz w:val="21"/>
                <w:szCs w:val="21"/>
              </w:rPr>
              <w:t>分，最高得1分。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注：以上累计最高得15分。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（二）评分依据：</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1.投标人自有的车辆提供车辆行驶证，租赁的车辆提供租赁合同和车辆行驶证。</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2.投标人自有的仪器设备提供设备购买发票和设备图片，租赁的仪器设备提供租赁</w:t>
            </w:r>
            <w:r>
              <w:rPr>
                <w:rFonts w:hint="eastAsia" w:ascii="宋体" w:hAnsi="宋体" w:eastAsia="宋体" w:cs="宋体"/>
                <w:sz w:val="21"/>
                <w:szCs w:val="21"/>
                <w:lang w:val="en-US" w:eastAsia="zh-CN"/>
              </w:rPr>
              <w:t>合同</w:t>
            </w:r>
            <w:r>
              <w:rPr>
                <w:rFonts w:hint="eastAsia" w:ascii="宋体" w:hAnsi="宋体" w:eastAsia="宋体" w:cs="宋体"/>
                <w:sz w:val="21"/>
                <w:szCs w:val="21"/>
              </w:rPr>
              <w:t>和设备图片。</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3.提供以上证明文件复印件或扫描件，均要求加盖投标人公章，原件备查。未按要求提供有效证明材料或提供不清晰导致评委无法识别的不计得分。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w:t>
            </w:r>
            <w:r>
              <w:rPr>
                <w:rFonts w:hint="eastAsia" w:ascii="宋体" w:hAnsi="宋体" w:eastAsia="宋体" w:cs="宋体"/>
                <w:sz w:val="21"/>
                <w:szCs w:val="21"/>
                <w:lang w:val="zh-CN"/>
              </w:rPr>
              <w:t>打</w:t>
            </w:r>
            <w:r>
              <w:rPr>
                <w:rFonts w:hint="eastAsia" w:ascii="宋体" w:hAnsi="宋体" w:eastAsia="宋体" w:cs="宋体"/>
                <w:sz w:val="21"/>
                <w:szCs w:val="21"/>
              </w:rPr>
              <w:t>分</w:t>
            </w:r>
          </w:p>
        </w:tc>
      </w:tr>
      <w:bookmarkEnd w:id="11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lang w:val="zh-CN"/>
              </w:rPr>
              <w:t>三、商务部分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43"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snapToGrid w:val="0"/>
                <w:kern w:val="0"/>
                <w:sz w:val="21"/>
                <w:szCs w:val="21"/>
              </w:rPr>
            </w:pPr>
            <w:r>
              <w:rPr>
                <w:rFonts w:hint="eastAsia" w:ascii="宋体" w:hAnsi="宋体" w:eastAsia="宋体" w:cs="宋体"/>
                <w:sz w:val="21"/>
                <w:szCs w:val="21"/>
              </w:rPr>
              <w:t>投标人通过相关认证情况</w:t>
            </w:r>
          </w:p>
        </w:tc>
        <w:tc>
          <w:tcPr>
            <w:tcW w:w="709"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15</w:t>
            </w:r>
          </w:p>
        </w:tc>
        <w:tc>
          <w:tcPr>
            <w:tcW w:w="5953" w:type="dxa"/>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（一）评分内容：</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1.投标人实验室取得新冠肺炎病毒核酸检测实验活动备案证明文件的，得5分；</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2.投标人实验室取得卫生健康行政部门审核备案的生物安全二级及以上实验室证明文件的，得5分；</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3.投标人实验室通过</w:t>
            </w:r>
            <w:r>
              <w:rPr>
                <w:rFonts w:hint="eastAsia" w:ascii="宋体" w:hAnsi="宋体" w:cs="宋体"/>
                <w:kern w:val="0"/>
                <w:sz w:val="21"/>
                <w:szCs w:val="21"/>
                <w:lang w:val="en-US" w:eastAsia="zh-CN"/>
              </w:rPr>
              <w:t>副</w:t>
            </w:r>
            <w:r>
              <w:rPr>
                <w:rFonts w:hint="eastAsia" w:ascii="宋体" w:hAnsi="宋体" w:eastAsia="宋体" w:cs="宋体"/>
                <w:kern w:val="0"/>
                <w:sz w:val="21"/>
                <w:szCs w:val="21"/>
              </w:rPr>
              <w:t>省级及以上卫生健康行政部门临检中心新型冠状病毒核酸检测室间质量评价并取得合格证书的，每提供一次得2.5分，最高得5分。</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注：以上累计最高得15分。</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1.提供上述证明文件和评价合格证书作为评分依据；</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2.</w:t>
            </w:r>
            <w:r>
              <w:rPr>
                <w:rFonts w:hint="eastAsia" w:ascii="宋体" w:hAnsi="宋体" w:eastAsia="宋体" w:cs="宋体"/>
                <w:sz w:val="21"/>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143"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投标人业绩情况</w:t>
            </w:r>
          </w:p>
        </w:tc>
        <w:tc>
          <w:tcPr>
            <w:tcW w:w="709"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10</w:t>
            </w:r>
          </w:p>
        </w:tc>
        <w:tc>
          <w:tcPr>
            <w:tcW w:w="5953" w:type="dxa"/>
            <w:vAlign w:val="center"/>
          </w:tcPr>
          <w:p>
            <w:pPr>
              <w:keepNext w:val="0"/>
              <w:keepLines w:val="0"/>
              <w:pageBreakBefore w:val="0"/>
              <w:kinsoku/>
              <w:wordWrap/>
              <w:overflowPunct/>
              <w:topLinePunct w:val="0"/>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tabs>
                <w:tab w:val="left" w:pos="426"/>
              </w:tabs>
              <w:kinsoku/>
              <w:wordWrap/>
              <w:overflowPunct/>
              <w:topLinePunct w:val="0"/>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2021年1月1日至本项目投标截止之日（以合同签订日期为准），投标人承接过政府部门（或事业单位）委托的污水核酸检测相关项目的，每提供一个有效业绩得2分，最高得10分。</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sz w:val="21"/>
                <w:szCs w:val="21"/>
              </w:rPr>
              <w:t>提供合同关键信息页（含签订合同双方的单位名称、合同项目名称、服务内容与含签订合同双方的落款盖章）</w:t>
            </w:r>
            <w:r>
              <w:rPr>
                <w:rFonts w:hint="eastAsia" w:ascii="宋体" w:hAnsi="宋体" w:eastAsia="宋体" w:cs="宋体"/>
                <w:kern w:val="0"/>
                <w:sz w:val="21"/>
                <w:szCs w:val="21"/>
              </w:rPr>
              <w:t>且提供的材料各项信息不得有任何遮挡；</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2.通过合同关键信息无法判断是否得分的，还需提供能证明得分的其它证明资料，如项目报告或合同甲方出具的证明文件；</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3.提供以上证明文件复印件或扫描件，如涉及网站截图或照片等证明材料,需提供清晰图片,均要求加盖投标人公章,原件备查。未按要求提供有效证明材料或提供不清晰导致评委无法识别的不计得分。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场所配备</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投标人拟投入本项目使用（自有或租赁）检测场所情况：</w:t>
            </w:r>
          </w:p>
          <w:p>
            <w:pPr>
              <w:pStyle w:val="322"/>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cs="宋体"/>
                <w:sz w:val="21"/>
                <w:szCs w:val="21"/>
                <w:lang w:eastAsia="zh-CN"/>
              </w:rPr>
              <w:t>（</w:t>
            </w:r>
            <w:r>
              <w:rPr>
                <w:rFonts w:hint="eastAsia" w:cs="宋体"/>
                <w:sz w:val="21"/>
                <w:szCs w:val="21"/>
                <w:lang w:val="en-US" w:eastAsia="zh-CN"/>
              </w:rPr>
              <w:t>1</w:t>
            </w:r>
            <w:r>
              <w:rPr>
                <w:rFonts w:hint="eastAsia" w:cs="宋体"/>
                <w:sz w:val="21"/>
                <w:szCs w:val="21"/>
                <w:lang w:eastAsia="zh-CN"/>
              </w:rPr>
              <w:t>）</w:t>
            </w:r>
            <w:r>
              <w:rPr>
                <w:rFonts w:hint="eastAsia" w:ascii="宋体" w:hAnsi="宋体" w:eastAsia="宋体" w:cs="宋体"/>
                <w:sz w:val="21"/>
                <w:szCs w:val="21"/>
                <w:lang w:val="en-US" w:eastAsia="zh-CN"/>
              </w:rPr>
              <w:t>投标人</w:t>
            </w:r>
            <w:r>
              <w:rPr>
                <w:rFonts w:hint="eastAsia" w:ascii="宋体" w:hAnsi="宋体" w:eastAsia="宋体" w:cs="宋体"/>
                <w:sz w:val="21"/>
                <w:szCs w:val="21"/>
              </w:rPr>
              <w:t>在深圳市</w:t>
            </w:r>
            <w:r>
              <w:rPr>
                <w:rFonts w:hint="eastAsia" w:ascii="宋体" w:hAnsi="宋体" w:eastAsia="宋体" w:cs="宋体"/>
                <w:sz w:val="21"/>
                <w:szCs w:val="21"/>
                <w:lang w:val="en-US" w:eastAsia="zh-CN"/>
              </w:rPr>
              <w:t>具</w:t>
            </w:r>
            <w:r>
              <w:rPr>
                <w:rFonts w:hint="eastAsia" w:ascii="宋体" w:hAnsi="宋体" w:eastAsia="宋体" w:cs="宋体"/>
                <w:sz w:val="21"/>
                <w:szCs w:val="21"/>
              </w:rPr>
              <w:t>有本地服务网点和实验室</w:t>
            </w:r>
            <w:r>
              <w:rPr>
                <w:rFonts w:hint="eastAsia" w:ascii="宋体" w:hAnsi="宋体" w:eastAsia="宋体" w:cs="宋体"/>
                <w:sz w:val="21"/>
                <w:szCs w:val="21"/>
                <w:lang w:val="en-US" w:eastAsia="zh-CN"/>
              </w:rPr>
              <w:t>或承诺中标后在深圳市设置</w:t>
            </w:r>
            <w:r>
              <w:rPr>
                <w:rFonts w:hint="eastAsia" w:ascii="宋体" w:hAnsi="宋体" w:eastAsia="宋体" w:cs="宋体"/>
                <w:sz w:val="21"/>
                <w:szCs w:val="21"/>
              </w:rPr>
              <w:t>本地服务网点</w:t>
            </w:r>
            <w:r>
              <w:rPr>
                <w:rFonts w:hint="eastAsia" w:ascii="宋体" w:hAnsi="宋体" w:eastAsia="宋体" w:cs="宋体"/>
                <w:sz w:val="21"/>
                <w:szCs w:val="21"/>
                <w:lang w:val="en-US" w:eastAsia="zh-CN"/>
              </w:rPr>
              <w:t>和实验室的，得</w:t>
            </w:r>
            <w:r>
              <w:rPr>
                <w:rFonts w:hint="eastAsia" w:cs="宋体"/>
                <w:sz w:val="21"/>
                <w:szCs w:val="21"/>
                <w:lang w:val="en-US" w:eastAsia="zh-CN"/>
              </w:rPr>
              <w:t>1.5</w:t>
            </w:r>
            <w:r>
              <w:rPr>
                <w:rFonts w:hint="eastAsia" w:ascii="宋体" w:hAnsi="宋体" w:eastAsia="宋体" w:cs="宋体"/>
                <w:sz w:val="21"/>
                <w:szCs w:val="21"/>
                <w:lang w:val="en-US" w:eastAsia="zh-CN"/>
              </w:rPr>
              <w:t>分</w:t>
            </w:r>
            <w:r>
              <w:rPr>
                <w:rFonts w:hint="eastAsia" w:cs="宋体"/>
                <w:sz w:val="21"/>
                <w:szCs w:val="21"/>
                <w:lang w:val="en-US" w:eastAsia="zh-CN"/>
              </w:rPr>
              <w:t>；</w:t>
            </w:r>
          </w:p>
          <w:p>
            <w:pPr>
              <w:pStyle w:val="322"/>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cs="宋体"/>
                <w:sz w:val="21"/>
                <w:szCs w:val="21"/>
                <w:lang w:val="en-US" w:eastAsia="zh-CN"/>
              </w:rPr>
              <w:t>（2）投标人承诺</w:t>
            </w:r>
            <w:r>
              <w:rPr>
                <w:rFonts w:hint="eastAsia" w:ascii="宋体" w:hAnsi="宋体" w:eastAsia="宋体" w:cs="宋体"/>
                <w:sz w:val="21"/>
                <w:szCs w:val="21"/>
                <w:vertAlign w:val="baseline"/>
              </w:rPr>
              <w:t>实验室</w:t>
            </w:r>
            <w:r>
              <w:rPr>
                <w:rFonts w:hint="eastAsia" w:ascii="宋体" w:hAnsi="宋体" w:eastAsia="宋体" w:cs="宋体"/>
                <w:sz w:val="21"/>
                <w:szCs w:val="21"/>
              </w:rPr>
              <w:t>分区明确，</w:t>
            </w:r>
            <w:r>
              <w:rPr>
                <w:rFonts w:hint="eastAsia" w:cs="宋体"/>
                <w:sz w:val="21"/>
                <w:szCs w:val="21"/>
                <w:lang w:val="en-US" w:eastAsia="zh-CN"/>
              </w:rPr>
              <w:t>且</w:t>
            </w:r>
            <w:r>
              <w:rPr>
                <w:rFonts w:hint="eastAsia" w:ascii="宋体" w:hAnsi="宋体" w:eastAsia="宋体" w:cs="宋体"/>
                <w:sz w:val="21"/>
                <w:szCs w:val="21"/>
              </w:rPr>
              <w:t>具备试剂准备间、标本制备间和PCR扩增室三个区域</w:t>
            </w:r>
            <w:r>
              <w:rPr>
                <w:rFonts w:hint="eastAsia" w:cs="宋体"/>
                <w:sz w:val="21"/>
                <w:szCs w:val="21"/>
                <w:lang w:eastAsia="zh-CN"/>
              </w:rPr>
              <w:t>的，</w:t>
            </w:r>
            <w:r>
              <w:rPr>
                <w:rFonts w:hint="eastAsia" w:cs="宋体"/>
                <w:sz w:val="21"/>
                <w:szCs w:val="21"/>
                <w:lang w:val="en-US" w:eastAsia="zh-CN"/>
              </w:rPr>
              <w:t>得1.5分</w:t>
            </w:r>
            <w:r>
              <w:rPr>
                <w:rFonts w:hint="eastAsia" w:ascii="宋体" w:hAnsi="宋体" w:eastAsia="宋体" w:cs="宋体"/>
                <w:sz w:val="21"/>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keepNext w:val="0"/>
              <w:keepLines w:val="0"/>
              <w:pageBreakBefore w:val="0"/>
              <w:tabs>
                <w:tab w:val="left" w:pos="175"/>
              </w:tabs>
              <w:kinsoku/>
              <w:wordWrap/>
              <w:overflowPunct/>
              <w:topLinePunct w:val="0"/>
              <w:bidi w:val="0"/>
              <w:spacing w:line="360" w:lineRule="auto"/>
              <w:ind w:left="33"/>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rPr>
              <w:t>1.评分内容</w:t>
            </w:r>
            <w:r>
              <w:rPr>
                <w:rFonts w:hint="eastAsia" w:ascii="宋体" w:hAnsi="宋体" w:eastAsia="宋体" w:cs="宋体"/>
                <w:sz w:val="21"/>
                <w:szCs w:val="21"/>
                <w:lang w:val="en-US" w:eastAsia="zh-CN"/>
              </w:rPr>
              <w:t>第（1）项，</w:t>
            </w:r>
            <w:r>
              <w:rPr>
                <w:rFonts w:hint="eastAsia" w:ascii="宋体" w:hAnsi="宋体" w:eastAsia="宋体" w:cs="宋体"/>
                <w:color w:val="000000"/>
                <w:sz w:val="21"/>
                <w:szCs w:val="21"/>
              </w:rPr>
              <w:t>自有场地</w:t>
            </w:r>
            <w:r>
              <w:rPr>
                <w:rFonts w:hint="eastAsia" w:ascii="宋体" w:hAnsi="宋体" w:cs="宋体"/>
                <w:color w:val="000000"/>
                <w:sz w:val="21"/>
                <w:szCs w:val="21"/>
                <w:lang w:val="en-US" w:eastAsia="zh-CN"/>
              </w:rPr>
              <w:t>需</w:t>
            </w:r>
            <w:r>
              <w:rPr>
                <w:rFonts w:hint="eastAsia" w:ascii="宋体" w:hAnsi="宋体" w:eastAsia="宋体" w:cs="宋体"/>
                <w:color w:val="000000"/>
                <w:sz w:val="21"/>
                <w:szCs w:val="21"/>
              </w:rPr>
              <w:t>提供相关的房产证明材料或买卖房产合同作为评分依据</w:t>
            </w:r>
            <w:r>
              <w:rPr>
                <w:rFonts w:hint="eastAsia" w:ascii="宋体" w:hAnsi="宋体" w:eastAsia="宋体" w:cs="宋体"/>
                <w:sz w:val="21"/>
                <w:szCs w:val="21"/>
              </w:rPr>
              <w:t>；租赁场地</w:t>
            </w:r>
            <w:r>
              <w:rPr>
                <w:rFonts w:hint="eastAsia" w:ascii="宋体" w:hAnsi="宋体" w:eastAsia="宋体" w:cs="宋体"/>
                <w:sz w:val="21"/>
                <w:szCs w:val="21"/>
                <w:lang w:val="en-US" w:eastAsia="zh-CN"/>
              </w:rPr>
              <w:t>需</w:t>
            </w:r>
            <w:r>
              <w:rPr>
                <w:rFonts w:hint="eastAsia" w:ascii="宋体" w:hAnsi="宋体" w:eastAsia="宋体" w:cs="宋体"/>
                <w:sz w:val="21"/>
                <w:szCs w:val="21"/>
              </w:rPr>
              <w:t>提供相关的租赁合同和合同期内任一个月租金转账记录或租金发票（抬头为投标人）</w:t>
            </w:r>
            <w:r>
              <w:rPr>
                <w:rFonts w:hint="eastAsia" w:ascii="宋体" w:hAnsi="宋体" w:eastAsia="宋体" w:cs="宋体"/>
                <w:color w:val="000000"/>
                <w:sz w:val="21"/>
                <w:szCs w:val="21"/>
              </w:rPr>
              <w:t>作为评分依据</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承诺</w:t>
            </w:r>
            <w:r>
              <w:rPr>
                <w:rFonts w:hint="eastAsia" w:ascii="宋体" w:hAnsi="宋体" w:eastAsia="宋体" w:cs="宋体"/>
                <w:sz w:val="21"/>
                <w:szCs w:val="21"/>
                <w:lang w:val="en-US" w:eastAsia="zh-CN"/>
              </w:rPr>
              <w:t>中标后在深圳市设置</w:t>
            </w:r>
            <w:r>
              <w:rPr>
                <w:rFonts w:hint="eastAsia" w:ascii="宋体" w:hAnsi="宋体" w:eastAsia="宋体" w:cs="宋体"/>
                <w:sz w:val="21"/>
                <w:szCs w:val="21"/>
              </w:rPr>
              <w:t>本地服务网点</w:t>
            </w:r>
            <w:r>
              <w:rPr>
                <w:rFonts w:hint="eastAsia" w:ascii="宋体" w:hAnsi="宋体" w:eastAsia="宋体" w:cs="宋体"/>
                <w:sz w:val="21"/>
                <w:szCs w:val="21"/>
                <w:lang w:val="en-US" w:eastAsia="zh-CN"/>
              </w:rPr>
              <w:t>和实验室的，提供承诺函（格式自拟）作为评分依据，</w:t>
            </w:r>
            <w:r>
              <w:rPr>
                <w:rFonts w:hint="eastAsia" w:ascii="宋体" w:hAnsi="宋体" w:eastAsia="宋体" w:cs="宋体"/>
                <w:sz w:val="21"/>
                <w:szCs w:val="21"/>
              </w:rPr>
              <w:t>未提供承诺或承诺内容不满足要求不得分。</w:t>
            </w:r>
          </w:p>
          <w:p>
            <w:pPr>
              <w:pStyle w:val="2"/>
              <w:keepNext w:val="0"/>
              <w:keepLines w:val="0"/>
              <w:pageBreakBefore w:val="0"/>
              <w:kinsoku/>
              <w:wordWrap/>
              <w:overflowPunct/>
              <w:topLinePunct w:val="0"/>
              <w:bidi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2.评分内容</w:t>
            </w:r>
            <w:r>
              <w:rPr>
                <w:rFonts w:hint="eastAsia" w:ascii="宋体" w:hAnsi="宋体" w:eastAsia="宋体" w:cs="宋体"/>
                <w:sz w:val="21"/>
                <w:szCs w:val="21"/>
                <w:lang w:val="en-US" w:eastAsia="zh-CN"/>
              </w:rPr>
              <w:t>第（2）项提供</w:t>
            </w:r>
            <w:r>
              <w:rPr>
                <w:rFonts w:hint="eastAsia" w:ascii="宋体" w:hAnsi="宋体" w:eastAsia="宋体" w:cs="宋体"/>
                <w:sz w:val="21"/>
                <w:szCs w:val="21"/>
                <w:vertAlign w:val="baseline"/>
              </w:rPr>
              <w:t>实验室</w:t>
            </w:r>
            <w:r>
              <w:rPr>
                <w:rFonts w:hint="eastAsia" w:ascii="宋体" w:hAnsi="宋体" w:eastAsia="宋体" w:cs="宋体"/>
                <w:sz w:val="21"/>
                <w:szCs w:val="21"/>
              </w:rPr>
              <w:t>分区</w:t>
            </w:r>
            <w:r>
              <w:rPr>
                <w:rFonts w:hint="eastAsia" w:ascii="宋体" w:hAnsi="宋体" w:eastAsia="宋体" w:cs="宋体"/>
                <w:sz w:val="21"/>
                <w:szCs w:val="21"/>
                <w:lang w:val="en-US" w:eastAsia="zh-CN"/>
              </w:rPr>
              <w:t>承诺函（格式自拟）作为评分依据，</w:t>
            </w:r>
            <w:r>
              <w:rPr>
                <w:rFonts w:hint="eastAsia" w:ascii="宋体" w:hAnsi="宋体" w:eastAsia="宋体" w:cs="宋体"/>
                <w:sz w:val="21"/>
                <w:szCs w:val="21"/>
              </w:rPr>
              <w:t>未提供承诺或承诺内容不满足要求不得分。</w:t>
            </w:r>
          </w:p>
          <w:p>
            <w:pPr>
              <w:keepNext w:val="0"/>
              <w:keepLines w:val="0"/>
              <w:pageBreakBefore w:val="0"/>
              <w:tabs>
                <w:tab w:val="left" w:pos="175"/>
              </w:tabs>
              <w:kinsoku/>
              <w:wordWrap/>
              <w:overflowPunct/>
              <w:topLinePunct w:val="0"/>
              <w:bidi w:val="0"/>
              <w:spacing w:line="360" w:lineRule="auto"/>
              <w:ind w:left="33"/>
              <w:jc w:val="left"/>
              <w:textAlignment w:val="auto"/>
              <w:rPr>
                <w:rFonts w:hint="eastAsia" w:ascii="宋体" w:hAnsi="宋体" w:eastAsia="宋体" w:cs="宋体"/>
                <w:sz w:val="21"/>
                <w:szCs w:val="21"/>
              </w:rPr>
            </w:pPr>
            <w:r>
              <w:rPr>
                <w:rFonts w:hint="eastAsia" w:ascii="宋体" w:hAnsi="宋体" w:eastAsia="宋体" w:cs="宋体"/>
                <w:sz w:val="21"/>
                <w:szCs w:val="21"/>
              </w:rPr>
              <w:t>3.提供以上证明文件复印件或扫描件，均要求加盖投标人公章,原件备查。未按要求提供有效证明材料或提供不清晰导致评委无法识别的不计得分。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4</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诚信评审</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5953" w:type="dxa"/>
            <w:vAlign w:val="center"/>
          </w:tcPr>
          <w:p>
            <w:pPr>
              <w:pStyle w:val="95"/>
              <w:keepNext w:val="0"/>
              <w:keepLines w:val="0"/>
              <w:pageBreakBefore w:val="0"/>
              <w:kinsoku/>
              <w:wordWrap/>
              <w:overflowPunct/>
              <w:topLinePunct w:val="0"/>
              <w:bidi w:val="0"/>
              <w:spacing w:line="360" w:lineRule="auto"/>
              <w:ind w:left="34" w:leftChars="16"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keepNext w:val="0"/>
              <w:keepLines w:val="0"/>
              <w:pageBreakBefore w:val="0"/>
              <w:tabs>
                <w:tab w:val="left" w:pos="175"/>
              </w:tabs>
              <w:kinsoku/>
              <w:wordWrap/>
              <w:overflowPunct/>
              <w:topLinePunct w:val="0"/>
              <w:bidi w:val="0"/>
              <w:spacing w:line="360" w:lineRule="auto"/>
              <w:ind w:left="33"/>
              <w:jc w:val="left"/>
              <w:textAlignment w:val="auto"/>
              <w:rPr>
                <w:rFonts w:hint="eastAsia" w:ascii="宋体" w:hAnsi="宋体" w:eastAsia="宋体" w:cs="宋体"/>
                <w:sz w:val="21"/>
                <w:szCs w:val="21"/>
              </w:rPr>
            </w:pPr>
            <w:r>
              <w:rPr>
                <w:rFonts w:hint="eastAsia" w:ascii="宋体" w:hAnsi="宋体" w:eastAsia="宋体" w:cs="宋体"/>
                <w:sz w:val="21"/>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bl>
    <w:p>
      <w:pPr>
        <w:pStyle w:val="6"/>
        <w:spacing w:before="0" w:after="0"/>
        <w:jc w:val="left"/>
        <w:rPr>
          <w:rFonts w:asciiTheme="minorEastAsia" w:hAnsiTheme="minorEastAsia"/>
          <w:bCs w:val="0"/>
          <w:sz w:val="21"/>
          <w:szCs w:val="21"/>
        </w:rPr>
      </w:pPr>
      <w:bookmarkStart w:id="13" w:name="_Toc44690703"/>
      <w:bookmarkStart w:id="14" w:name="_Toc44690430"/>
      <w:bookmarkStart w:id="15" w:name="_Toc135293165"/>
      <w:bookmarkStart w:id="16" w:name="_Toc44691394"/>
      <w:bookmarkStart w:id="17" w:name="_Toc44691162"/>
      <w:r>
        <w:rPr>
          <w:rFonts w:hint="eastAsia" w:asciiTheme="minorEastAsia" w:hAnsiTheme="minorEastAsia"/>
          <w:bCs w:val="0"/>
          <w:sz w:val="21"/>
          <w:szCs w:val="21"/>
        </w:rPr>
        <w:t>备注：</w:t>
      </w:r>
      <w:bookmarkEnd w:id="13"/>
      <w:bookmarkEnd w:id="14"/>
      <w:bookmarkEnd w:id="15"/>
      <w:bookmarkEnd w:id="16"/>
      <w:bookmarkEnd w:id="17"/>
    </w:p>
    <w:p>
      <w:pPr>
        <w:pStyle w:val="5"/>
        <w:spacing w:before="0" w:after="0"/>
      </w:pPr>
      <w:bookmarkStart w:id="18" w:name="_Toc135293166"/>
      <w:r>
        <w:rPr>
          <w:rFonts w:hint="eastAsia"/>
        </w:rPr>
        <w:t>1、资质证书有效期</w:t>
      </w:r>
      <w:bookmarkEnd w:id="18"/>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5"/>
        <w:spacing w:before="0" w:after="0"/>
        <w:rPr>
          <w:rFonts w:asciiTheme="minorEastAsia" w:hAnsiTheme="minorEastAsia" w:eastAsiaTheme="minorEastAsia"/>
        </w:rPr>
      </w:pPr>
      <w:bookmarkStart w:id="19" w:name="_Toc135293167"/>
      <w:r>
        <w:rPr>
          <w:rFonts w:hint="eastAsia" w:asciiTheme="minorEastAsia" w:hAnsiTheme="minorEastAsia" w:eastAsiaTheme="minorEastAsia"/>
        </w:rPr>
        <w:t>2、政府采购扶持政策</w:t>
      </w:r>
      <w:bookmarkEnd w:id="19"/>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r>
        <w:br w:type="page"/>
      </w:r>
    </w:p>
    <w:p>
      <w:pPr>
        <w:pStyle w:val="2"/>
      </w:pPr>
    </w:p>
    <w:p>
      <w:pPr>
        <w:pStyle w:val="4"/>
      </w:pPr>
      <w:bookmarkStart w:id="20" w:name="_Toc135293168"/>
      <w:r>
        <w:rPr>
          <w:rFonts w:hint="eastAsia"/>
        </w:rPr>
        <w:t>第五章  投标人须知前附表</w:t>
      </w:r>
      <w:bookmarkEnd w:id="20"/>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pPr>
            <w:r>
              <w:rPr>
                <w:rFonts w:hint="eastAsia"/>
              </w:rPr>
              <w:t>污水样本处理及检测业务委托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hAnsi="宋体"/>
                <w:snapToGrid w:val="0"/>
                <w:szCs w:val="21"/>
              </w:rPr>
              <w:t>深圳市疾病预防控制中心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7"/>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7"/>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4"/>
      </w:pPr>
      <w:bookmarkStart w:id="21" w:name="_Toc135293169"/>
      <w:r>
        <w:rPr>
          <w:rFonts w:hint="eastAsia"/>
        </w:rPr>
        <w:t>第六章  投标人须知</w:t>
      </w:r>
      <w:bookmarkEnd w:id="21"/>
    </w:p>
    <w:p>
      <w:pPr>
        <w:pStyle w:val="6"/>
        <w:spacing w:before="0" w:after="0"/>
      </w:pPr>
      <w:bookmarkStart w:id="22" w:name="_Toc135293170"/>
      <w:r>
        <w:rPr>
          <w:rFonts w:hint="eastAsia"/>
        </w:rPr>
        <w:t>一、说</w:t>
      </w:r>
      <w:r>
        <w:t xml:space="preserve">  </w:t>
      </w:r>
      <w:r>
        <w:rPr>
          <w:rFonts w:hint="eastAsia"/>
        </w:rPr>
        <w:t>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3" w:name="q5"/>
      <w:bookmarkEnd w:id="23"/>
    </w:p>
    <w:p>
      <w:pPr>
        <w:pStyle w:val="6"/>
        <w:spacing w:before="0" w:after="0"/>
      </w:pPr>
      <w:bookmarkStart w:id="24" w:name="_Toc135293171"/>
      <w:r>
        <w:rPr>
          <w:rFonts w:hint="eastAsia"/>
        </w:rPr>
        <w:t>二、招标文件说明</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6"/>
        <w:spacing w:before="0" w:after="0"/>
      </w:pPr>
      <w:bookmarkStart w:id="25" w:name="q6"/>
      <w:bookmarkEnd w:id="25"/>
      <w:bookmarkStart w:id="26" w:name="_Toc135293172"/>
      <w:r>
        <w:rPr>
          <w:rFonts w:hint="eastAsia"/>
        </w:rPr>
        <w:t>三、投标文件的编写</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6"/>
        <w:spacing w:before="0" w:after="0"/>
      </w:pPr>
      <w:bookmarkStart w:id="27" w:name="q7"/>
      <w:bookmarkEnd w:id="27"/>
      <w:bookmarkStart w:id="28" w:name="_Toc135293173"/>
      <w:r>
        <w:rPr>
          <w:rFonts w:hint="eastAsia"/>
        </w:rPr>
        <w:t>四、投标文件的递交</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9" w:name="_Hlt35050056"/>
      <w:bookmarkEnd w:id="29"/>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6"/>
        <w:spacing w:before="0" w:after="0"/>
      </w:pPr>
      <w:bookmarkStart w:id="30" w:name="q8"/>
      <w:bookmarkEnd w:id="30"/>
      <w:bookmarkStart w:id="31" w:name="_Toc135293174"/>
      <w:r>
        <w:rPr>
          <w:rFonts w:hint="eastAsia"/>
        </w:rPr>
        <w:t>五、开标和评标</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2" w:name="q9"/>
      <w:bookmarkEnd w:id="32"/>
    </w:p>
    <w:p>
      <w:pPr>
        <w:pStyle w:val="6"/>
        <w:spacing w:before="0" w:after="0"/>
      </w:pPr>
      <w:bookmarkStart w:id="33" w:name="_Toc135293175"/>
      <w:r>
        <w:rPr>
          <w:rFonts w:hint="eastAsia"/>
        </w:rPr>
        <w:t>六、授予合同</w:t>
      </w:r>
      <w:bookmarkEnd w:id="33"/>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1"/>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6"/>
        <w:spacing w:before="0" w:after="0"/>
      </w:pPr>
      <w:bookmarkStart w:id="34" w:name="_Toc135293176"/>
      <w:r>
        <w:rPr>
          <w:rFonts w:hint="eastAsia"/>
        </w:rPr>
        <w:t>七、质疑处理</w:t>
      </w:r>
      <w:bookmarkEnd w:id="34"/>
    </w:p>
    <w:p>
      <w:pPr>
        <w:spacing w:line="360" w:lineRule="auto"/>
        <w:rPr>
          <w:rFonts w:asciiTheme="majorEastAsia" w:hAnsiTheme="majorEastAsia" w:eastAsiaTheme="majorEastAsia"/>
          <w:b/>
          <w:bCs/>
          <w:szCs w:val="21"/>
        </w:rPr>
      </w:pPr>
      <w:bookmarkStart w:id="35"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6" w:name="_Hlk75374941"/>
      <w:r>
        <w:rPr>
          <w:rFonts w:hint="eastAsia" w:asciiTheme="majorEastAsia" w:hAnsiTheme="majorEastAsia" w:eastAsiaTheme="majorEastAsia"/>
          <w:szCs w:val="21"/>
        </w:rPr>
        <w:t>以联合体形式参与的，质疑应当由组成联合体的所有成员共同提出</w:t>
      </w:r>
      <w:bookmarkEnd w:id="36"/>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5"/>
    </w:p>
    <w:p/>
    <w:p/>
    <w:p/>
    <w:p/>
    <w:p/>
    <w:p/>
    <w:p/>
    <w:p/>
    <w:p/>
    <w:p/>
    <w:p/>
    <w:p/>
    <w:p/>
    <w:p/>
    <w:p/>
    <w:p/>
    <w:p/>
    <w:p>
      <w:pPr>
        <w:pStyle w:val="4"/>
      </w:pPr>
      <w:bookmarkStart w:id="37" w:name="_Toc135293177"/>
      <w:r>
        <w:rPr>
          <w:rFonts w:hint="eastAsia"/>
        </w:rPr>
        <w:t>第七章  投标文件格式</w:t>
      </w:r>
      <w:bookmarkEnd w:id="37"/>
    </w:p>
    <w:p>
      <w:pPr>
        <w:jc w:val="center"/>
        <w:rPr>
          <w:b/>
          <w:sz w:val="52"/>
          <w:szCs w:val="52"/>
        </w:rPr>
      </w:pPr>
    </w:p>
    <w:p>
      <w:pPr>
        <w:pStyle w:val="6"/>
        <w:spacing w:line="400" w:lineRule="exact"/>
        <w:rPr>
          <w:rFonts w:ascii="仿宋" w:hAnsi="仿宋" w:eastAsia="仿宋"/>
        </w:rPr>
      </w:pPr>
      <w:bookmarkStart w:id="38" w:name="_Toc44690704"/>
      <w:bookmarkStart w:id="39" w:name="_Toc31468"/>
      <w:bookmarkStart w:id="40" w:name="_Toc135293178"/>
      <w:bookmarkStart w:id="41" w:name="_Toc11772"/>
      <w:bookmarkStart w:id="42" w:name="_Toc44690431"/>
      <w:bookmarkStart w:id="43" w:name="_Toc14934"/>
      <w:bookmarkStart w:id="44" w:name="_Toc25194"/>
      <w:bookmarkStart w:id="45" w:name="_Toc44691163"/>
      <w:bookmarkStart w:id="46" w:name="_Toc44691395"/>
      <w:r>
        <w:rPr>
          <w:rFonts w:hint="eastAsia" w:ascii="仿宋" w:hAnsi="仿宋" w:eastAsia="仿宋"/>
        </w:rPr>
        <w:t>投标文件编制说明</w:t>
      </w:r>
      <w:bookmarkEnd w:id="38"/>
      <w:bookmarkEnd w:id="39"/>
      <w:bookmarkEnd w:id="40"/>
      <w:bookmarkEnd w:id="41"/>
      <w:bookmarkEnd w:id="42"/>
      <w:bookmarkEnd w:id="43"/>
      <w:bookmarkEnd w:id="44"/>
      <w:bookmarkEnd w:id="45"/>
      <w:bookmarkEnd w:id="46"/>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7" w:name="_投标文件格式（第一册）"/>
      <w:bookmarkEnd w:id="47"/>
      <w:bookmarkStart w:id="48" w:name="q0"/>
    </w:p>
    <w:p>
      <w:pPr>
        <w:spacing w:line="400" w:lineRule="exact"/>
        <w:rPr>
          <w:rFonts w:ascii="仿宋" w:hAnsi="仿宋" w:eastAsia="仿宋"/>
        </w:rPr>
      </w:pPr>
    </w:p>
    <w:p>
      <w:pPr>
        <w:spacing w:line="400" w:lineRule="exact"/>
        <w:rPr>
          <w:rFonts w:ascii="仿宋" w:hAnsi="仿宋" w:eastAsia="仿宋"/>
        </w:rPr>
      </w:pPr>
    </w:p>
    <w:p>
      <w:pPr>
        <w:pStyle w:val="6"/>
        <w:spacing w:line="400" w:lineRule="exact"/>
        <w:rPr>
          <w:rFonts w:ascii="仿宋" w:hAnsi="仿宋" w:eastAsia="仿宋"/>
        </w:rPr>
      </w:pPr>
      <w:bookmarkStart w:id="49" w:name="_Toc135293179"/>
      <w:r>
        <w:rPr>
          <w:rFonts w:hint="eastAsia" w:ascii="仿宋" w:hAnsi="仿宋" w:eastAsia="仿宋"/>
        </w:rPr>
        <w:t>投标文件格式</w:t>
      </w:r>
      <w:bookmarkEnd w:id="49"/>
    </w:p>
    <w:bookmarkEnd w:id="48"/>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6"/>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50" w:name="_格式1__投标人资格证明文件"/>
      <w:bookmarkEnd w:id="50"/>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6"/>
        <w:spacing w:line="400" w:lineRule="exact"/>
        <w:rPr>
          <w:rFonts w:ascii="仿宋" w:hAnsi="仿宋" w:eastAsia="仿宋"/>
        </w:rPr>
      </w:pPr>
      <w:bookmarkStart w:id="51" w:name="_Toc135293180"/>
      <w:bookmarkStart w:id="52" w:name="_Toc73613640"/>
      <w:r>
        <w:rPr>
          <w:rFonts w:hint="eastAsia" w:ascii="仿宋" w:hAnsi="仿宋" w:eastAsia="仿宋"/>
        </w:rPr>
        <w:t>政府采购违法行为风险知悉确认书</w:t>
      </w:r>
      <w:bookmarkEnd w:id="51"/>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6"/>
        <w:spacing w:line="400" w:lineRule="exact"/>
        <w:rPr>
          <w:rFonts w:ascii="仿宋" w:hAnsi="仿宋" w:eastAsia="仿宋"/>
        </w:rPr>
      </w:pPr>
      <w:bookmarkStart w:id="53" w:name="_Toc135293181"/>
      <w:r>
        <w:rPr>
          <w:rFonts w:hint="eastAsia" w:ascii="仿宋" w:hAnsi="仿宋" w:eastAsia="仿宋"/>
        </w:rPr>
        <w:t>评标指引表</w:t>
      </w:r>
      <w:bookmarkEnd w:id="52"/>
      <w:bookmarkEnd w:id="53"/>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7"/>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5"/>
        <w:tabs>
          <w:tab w:val="left" w:pos="371"/>
        </w:tabs>
        <w:spacing w:before="120" w:after="120"/>
        <w:ind w:left="-1" w:leftChars="-1" w:hanging="1"/>
        <w:jc w:val="center"/>
        <w:rPr>
          <w:rFonts w:asciiTheme="minorEastAsia" w:hAnsiTheme="minorEastAsia" w:eastAsiaTheme="minorEastAsia"/>
          <w:snapToGrid w:val="0"/>
          <w:kern w:val="0"/>
        </w:rPr>
      </w:pPr>
      <w:bookmarkStart w:id="54" w:name="_Toc44691164"/>
      <w:bookmarkStart w:id="55" w:name="_Toc135293182"/>
      <w:bookmarkStart w:id="56" w:name="_Toc44691396"/>
      <w:bookmarkStart w:id="57" w:name="_Toc44690705"/>
      <w:bookmarkStart w:id="58" w:name="_Toc44690432"/>
      <w:r>
        <w:rPr>
          <w:rFonts w:hint="eastAsia" w:asciiTheme="minorEastAsia" w:hAnsiTheme="minorEastAsia" w:eastAsiaTheme="minorEastAsia"/>
        </w:rPr>
        <w:t>格式1  投标人资格证明文件</w:t>
      </w:r>
      <w:bookmarkEnd w:id="54"/>
      <w:bookmarkEnd w:id="55"/>
      <w:bookmarkEnd w:id="56"/>
      <w:bookmarkEnd w:id="57"/>
      <w:bookmarkEnd w:id="58"/>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3、中小企业声明函或残疾人福利性单位声明函或监狱企业声明函</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r>
        <w:rPr>
          <w:rFonts w:hint="eastAsia"/>
        </w:rPr>
        <w:br w:type="page"/>
      </w:r>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59" w:name="_Hlk71925120"/>
      <w:r>
        <w:rPr>
          <w:rFonts w:hint="eastAsia" w:asciiTheme="minorEastAsia" w:hAnsiTheme="minorEastAsia" w:eastAsiaTheme="minorEastAsia"/>
          <w:kern w:val="0"/>
          <w:szCs w:val="21"/>
        </w:rPr>
        <w:t>《关于印发中小企业划型标准规定的通知》（工信部联企业〔2011〕300 号</w:t>
      </w:r>
      <w:bookmarkEnd w:id="59"/>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eastAsiaTheme="minorEastAsia" w:cstheme="minorBidi"/>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r>
        <w:rPr>
          <w:rFonts w:hint="eastAsia" w:ascii="宋体" w:hAnsi="宋体" w:eastAsiaTheme="minorEastAsia" w:cstheme="minorBidi"/>
          <w:kern w:val="0"/>
          <w:szCs w:val="21"/>
        </w:rPr>
        <w:t>；</w:t>
      </w:r>
    </w:p>
    <w:p>
      <w:pPr>
        <w:widowControl/>
        <w:snapToGrid w:val="0"/>
        <w:spacing w:line="360" w:lineRule="auto"/>
        <w:ind w:firstLine="426" w:firstLineChars="202"/>
        <w:jc w:val="left"/>
        <w:rPr>
          <w:b/>
          <w:bCs/>
          <w:color w:val="FF0000"/>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7"/>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7"/>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7"/>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2"/>
      </w:pPr>
    </w:p>
    <w:p>
      <w:pPr>
        <w:adjustRightInd w:val="0"/>
        <w:snapToGrid w:val="0"/>
        <w:spacing w:line="360" w:lineRule="auto"/>
        <w:ind w:firstLine="600"/>
        <w:jc w:val="right"/>
      </w:pPr>
    </w:p>
    <w:p>
      <w:pPr>
        <w:pStyle w:val="5"/>
        <w:tabs>
          <w:tab w:val="left" w:pos="371"/>
        </w:tabs>
        <w:spacing w:before="120" w:after="120"/>
        <w:ind w:left="-1" w:leftChars="-1" w:hanging="1"/>
        <w:jc w:val="center"/>
        <w:rPr>
          <w:rFonts w:asciiTheme="minorEastAsia" w:hAnsiTheme="minorEastAsia" w:eastAsiaTheme="minorEastAsia"/>
          <w:snapToGrid w:val="0"/>
          <w:kern w:val="0"/>
        </w:rPr>
      </w:pPr>
      <w:bookmarkStart w:id="60" w:name="_Toc135293183"/>
      <w:r>
        <w:rPr>
          <w:rFonts w:hint="eastAsia" w:asciiTheme="minorEastAsia" w:hAnsiTheme="minorEastAsia" w:eastAsiaTheme="minorEastAsia"/>
        </w:rPr>
        <w:t>格式2  法定代表人（负责人）证明书及授权委托书</w:t>
      </w:r>
      <w:bookmarkEnd w:id="60"/>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Lbtl9gAAAAKAQAADwAAAAAAAAABACAAAAAiAAAAZHJzL2Rvd25yZXYu&#10;eG1sUEsBAhQAFAAAAAgAh07iQPEXkV/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B3WTbz6AQAAOw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84M6Cp4d/JNDC9QvYh2TO6&#10;UFPUs3vy51UgmLROndfpSyrYlC09XSzFKTJBP9+Xq/uqJLcF7VUPq4pGILEWf447H+JntJol0HBP&#10;6bOVcPwS4hz6OyRlC1bJdieVygvf7z8qz45A/d3l58z+IkwZNjb84W5JIgXQ0HY0LAS1I+HB9Dnf&#10;ixPhmrjMz7+IU2FbCMNcQGZIYVBrGdFnNCC0n0zL4smRuYbuFE/FaGw5U0hXMKEcGUGqWyLJO2VS&#10;EswDfnYp9WnuTEJx2k9EmuDetifq8cF52Q9kcJWFpB2aqdyJ8/ynob1eE76+8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X9fxdkAAAAKAQAADwAAAAAAAAABACAAAAAiAAAAZHJzL2Rvd25yZXYu&#10;eG1sUEsBAhQAFAAAAAgAh07iQB3WTbz6AQAAOwQAAA4AAAAAAAAAAQAgAAAAKAEAAGRycy9lMm9E&#10;b2MueG1sUEsFBgAAAAAGAAYAWQEAAJQFAAAAAA==&#10;">
                <v:fill on="t" focussize="0,0"/>
                <v:stroke color="#000000" joinstyle="miter"/>
                <v:imagedata o:title=""/>
                <o:lock v:ext="edit" aspectratio="f"/>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61"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CVzB5H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dm/rtgAAAAKAQAADwAAAAAAAAABACAAAAAiAAAAZHJzL2Rvd25yZXYu&#10;eG1sUEsBAhQAFAAAAAgAh07iQLirKnX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61"/>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5"/>
        <w:tabs>
          <w:tab w:val="left" w:pos="371"/>
        </w:tabs>
        <w:spacing w:before="120" w:after="120"/>
        <w:ind w:left="-1" w:leftChars="-1" w:hanging="1"/>
        <w:jc w:val="center"/>
        <w:rPr>
          <w:rFonts w:asciiTheme="minorEastAsia" w:hAnsiTheme="minorEastAsia" w:eastAsiaTheme="minorEastAsia"/>
        </w:rPr>
      </w:pPr>
      <w:bookmarkStart w:id="62"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62"/>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5"/>
        <w:tabs>
          <w:tab w:val="left" w:pos="371"/>
        </w:tabs>
        <w:spacing w:before="120" w:after="120"/>
        <w:ind w:left="-1" w:leftChars="-1" w:hanging="1"/>
        <w:jc w:val="center"/>
        <w:rPr>
          <w:rFonts w:asciiTheme="minorEastAsia" w:hAnsiTheme="minorEastAsia" w:eastAsiaTheme="minorEastAsia"/>
        </w:rPr>
      </w:pPr>
      <w:bookmarkStart w:id="63" w:name="_Toc135293185"/>
      <w:r>
        <w:rPr>
          <w:rFonts w:hint="eastAsia" w:asciiTheme="minorEastAsia" w:hAnsiTheme="minorEastAsia" w:eastAsiaTheme="minorEastAsia"/>
        </w:rPr>
        <w:t>格式4  评分中涉及的承诺及声明函</w:t>
      </w:r>
      <w:bookmarkEnd w:id="63"/>
    </w:p>
    <w:p>
      <w:pPr>
        <w:keepNext/>
        <w:keepLines/>
        <w:tabs>
          <w:tab w:val="left" w:pos="0"/>
        </w:tabs>
        <w:spacing w:before="280" w:after="290" w:line="376" w:lineRule="auto"/>
        <w:jc w:val="center"/>
        <w:outlineLvl w:val="3"/>
        <w:rPr>
          <w:rFonts w:ascii="宋体" w:hAnsi="宋体"/>
          <w:b/>
          <w:bCs/>
          <w:sz w:val="28"/>
          <w:szCs w:val="28"/>
        </w:rPr>
      </w:pPr>
      <w:bookmarkStart w:id="64" w:name="_Toc135293186"/>
      <w:bookmarkStart w:id="65" w:name="_Toc44690433"/>
      <w:bookmarkStart w:id="66" w:name="_Toc44690706"/>
      <w:bookmarkStart w:id="67" w:name="_Toc44691165"/>
      <w:bookmarkStart w:id="68" w:name="_Toc44691397"/>
      <w:r>
        <w:rPr>
          <w:rFonts w:hint="eastAsia" w:ascii="宋体" w:hAnsi="宋体"/>
          <w:b/>
          <w:bCs/>
          <w:sz w:val="28"/>
          <w:szCs w:val="28"/>
        </w:rPr>
        <w:t>列入政府优先采购清单的投标产品一览表</w:t>
      </w:r>
    </w:p>
    <w:tbl>
      <w:tblPr>
        <w:tblStyle w:val="51"/>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5"/>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4"/>
      <w:bookmarkEnd w:id="65"/>
      <w:bookmarkEnd w:id="66"/>
      <w:bookmarkEnd w:id="67"/>
      <w:bookmarkEnd w:id="68"/>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4034"/>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1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034"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611"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污水样本处理及检测业务委托</w:t>
            </w:r>
          </w:p>
        </w:tc>
        <w:tc>
          <w:tcPr>
            <w:tcW w:w="4034"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5"/>
        <w:tabs>
          <w:tab w:val="left" w:pos="371"/>
        </w:tabs>
        <w:spacing w:before="120" w:after="120"/>
        <w:ind w:left="-1" w:leftChars="-1" w:hanging="1"/>
        <w:jc w:val="center"/>
        <w:rPr>
          <w:rFonts w:asciiTheme="minorEastAsia" w:hAnsiTheme="minorEastAsia" w:eastAsiaTheme="minorEastAsia"/>
        </w:rPr>
      </w:pPr>
      <w:bookmarkStart w:id="69" w:name="_Toc135293187"/>
      <w:bookmarkStart w:id="70" w:name="_Toc44691398"/>
      <w:bookmarkStart w:id="71" w:name="_Toc44690434"/>
      <w:bookmarkStart w:id="72" w:name="_Toc44690707"/>
      <w:bookmarkStart w:id="73" w:name="_Toc44691166"/>
      <w:r>
        <w:rPr>
          <w:rFonts w:hint="eastAsia" w:asciiTheme="minorEastAsia" w:hAnsiTheme="minorEastAsia" w:eastAsiaTheme="minorEastAsia"/>
        </w:rPr>
        <w:t>格式6  报价表</w:t>
      </w:r>
      <w:bookmarkEnd w:id="69"/>
      <w:bookmarkEnd w:id="70"/>
      <w:bookmarkEnd w:id="71"/>
      <w:bookmarkEnd w:id="72"/>
      <w:bookmarkEnd w:id="7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1"/>
        <w:tblW w:w="966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4020"/>
        <w:gridCol w:w="1014"/>
        <w:gridCol w:w="2031"/>
        <w:gridCol w:w="20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45" w:type="dxa"/>
            <w:vAlign w:val="center"/>
          </w:tcPr>
          <w:p>
            <w:pPr>
              <w:adjustRightInd w:val="0"/>
              <w:snapToGrid w:val="0"/>
              <w:spacing w:line="300" w:lineRule="auto"/>
              <w:jc w:val="center"/>
              <w:rPr>
                <w:b/>
                <w:snapToGrid w:val="0"/>
                <w:kern w:val="0"/>
              </w:rPr>
            </w:pPr>
            <w:r>
              <w:rPr>
                <w:b/>
                <w:snapToGrid w:val="0"/>
                <w:kern w:val="0"/>
              </w:rPr>
              <w:t>序号</w:t>
            </w:r>
          </w:p>
        </w:tc>
        <w:tc>
          <w:tcPr>
            <w:tcW w:w="4020"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1014" w:type="dxa"/>
            <w:vAlign w:val="center"/>
          </w:tcPr>
          <w:p>
            <w:pPr>
              <w:widowControl/>
              <w:jc w:val="center"/>
              <w:textAlignment w:val="center"/>
              <w:rPr>
                <w:b/>
                <w:snapToGrid w:val="0"/>
                <w:kern w:val="0"/>
              </w:rPr>
            </w:pPr>
            <w:r>
              <w:rPr>
                <w:rFonts w:hint="eastAsia" w:ascii="宋体" w:hAnsi="宋体" w:cs="宋体"/>
                <w:b/>
                <w:bCs/>
                <w:color w:val="000000"/>
                <w:kern w:val="0"/>
                <w:szCs w:val="21"/>
              </w:rPr>
              <w:t>样本量（份）</w:t>
            </w:r>
          </w:p>
        </w:tc>
        <w:tc>
          <w:tcPr>
            <w:tcW w:w="2031" w:type="dxa"/>
            <w:vAlign w:val="center"/>
          </w:tcPr>
          <w:p>
            <w:pPr>
              <w:adjustRightInd w:val="0"/>
              <w:snapToGrid w:val="0"/>
              <w:spacing w:line="300" w:lineRule="auto"/>
              <w:jc w:val="center"/>
              <w:rPr>
                <w:b/>
                <w:snapToGrid w:val="0"/>
                <w:kern w:val="0"/>
              </w:rPr>
            </w:pPr>
            <w:r>
              <w:rPr>
                <w:rFonts w:hint="eastAsia"/>
                <w:b/>
                <w:snapToGrid w:val="0"/>
                <w:kern w:val="0"/>
              </w:rPr>
              <w:t>单价</w:t>
            </w:r>
          </w:p>
          <w:p>
            <w:pPr>
              <w:adjustRightInd w:val="0"/>
              <w:snapToGrid w:val="0"/>
              <w:spacing w:line="300" w:lineRule="auto"/>
              <w:jc w:val="center"/>
              <w:rPr>
                <w:b/>
                <w:snapToGrid w:val="0"/>
                <w:kern w:val="0"/>
              </w:rPr>
            </w:pPr>
            <w:r>
              <w:rPr>
                <w:b/>
                <w:snapToGrid w:val="0"/>
                <w:kern w:val="0"/>
              </w:rPr>
              <w:t>（单位：</w:t>
            </w:r>
            <w:r>
              <w:rPr>
                <w:rFonts w:hint="eastAsia"/>
                <w:b/>
                <w:snapToGrid w:val="0"/>
                <w:kern w:val="0"/>
              </w:rPr>
              <w:t>人民币</w:t>
            </w:r>
            <w:r>
              <w:rPr>
                <w:b/>
                <w:snapToGrid w:val="0"/>
                <w:kern w:val="0"/>
              </w:rPr>
              <w:t>元）</w:t>
            </w:r>
          </w:p>
        </w:tc>
        <w:tc>
          <w:tcPr>
            <w:tcW w:w="2050" w:type="dxa"/>
            <w:vAlign w:val="center"/>
          </w:tcPr>
          <w:p>
            <w:pPr>
              <w:adjustRightInd w:val="0"/>
              <w:snapToGrid w:val="0"/>
              <w:spacing w:line="300" w:lineRule="auto"/>
              <w:jc w:val="center"/>
              <w:rPr>
                <w:b/>
                <w:snapToGrid w:val="0"/>
                <w:kern w:val="0"/>
              </w:rPr>
            </w:pPr>
            <w:r>
              <w:rPr>
                <w:rFonts w:hint="eastAsia"/>
                <w:b/>
                <w:snapToGrid w:val="0"/>
                <w:kern w:val="0"/>
              </w:rPr>
              <w:t>投标报价</w:t>
            </w:r>
          </w:p>
          <w:p>
            <w:pPr>
              <w:adjustRightInd w:val="0"/>
              <w:snapToGrid w:val="0"/>
              <w:spacing w:line="300" w:lineRule="auto"/>
              <w:jc w:val="center"/>
              <w:rPr>
                <w:b/>
                <w:snapToGrid w:val="0"/>
                <w:kern w:val="0"/>
              </w:rPr>
            </w:pPr>
            <w:r>
              <w:rPr>
                <w:b/>
                <w:snapToGrid w:val="0"/>
                <w:kern w:val="0"/>
              </w:rPr>
              <w:t>（单位：</w:t>
            </w:r>
            <w:r>
              <w:rPr>
                <w:rFonts w:hint="eastAsia"/>
                <w:b/>
                <w:snapToGrid w:val="0"/>
                <w:kern w:val="0"/>
              </w:rPr>
              <w:t>人民币</w:t>
            </w:r>
            <w:r>
              <w:rPr>
                <w:b/>
                <w:snapToGrid w:val="0"/>
                <w:kern w:val="0"/>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45"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4020" w:type="dxa"/>
            <w:vAlign w:val="center"/>
          </w:tcPr>
          <w:p>
            <w:pPr>
              <w:widowControl/>
              <w:jc w:val="left"/>
              <w:textAlignment w:val="center"/>
              <w:rPr>
                <w:rFonts w:ascii="宋体" w:hAnsi="宋体"/>
                <w:snapToGrid w:val="0"/>
                <w:kern w:val="0"/>
              </w:rPr>
            </w:pPr>
            <w:r>
              <w:rPr>
                <w:rFonts w:hint="eastAsia" w:ascii="宋体" w:hAnsi="宋体" w:cs="宋体"/>
                <w:color w:val="000000"/>
                <w:kern w:val="0"/>
                <w:szCs w:val="21"/>
              </w:rPr>
              <w:t>城市及航班污水样本富集浓缩及新冠病毒核酸检测。</w:t>
            </w:r>
          </w:p>
        </w:tc>
        <w:tc>
          <w:tcPr>
            <w:tcW w:w="1014" w:type="dxa"/>
            <w:vAlign w:val="center"/>
          </w:tcPr>
          <w:p>
            <w:pPr>
              <w:widowControl/>
              <w:jc w:val="center"/>
              <w:textAlignment w:val="center"/>
              <w:rPr>
                <w:snapToGrid w:val="0"/>
                <w:kern w:val="0"/>
              </w:rPr>
            </w:pPr>
            <w:r>
              <w:rPr>
                <w:rFonts w:hint="eastAsia" w:ascii="宋体" w:hAnsi="宋体" w:cs="宋体"/>
                <w:color w:val="000000"/>
                <w:kern w:val="0"/>
                <w:szCs w:val="21"/>
              </w:rPr>
              <w:t>4500</w:t>
            </w:r>
          </w:p>
        </w:tc>
        <w:tc>
          <w:tcPr>
            <w:tcW w:w="2031" w:type="dxa"/>
            <w:vAlign w:val="center"/>
          </w:tcPr>
          <w:p>
            <w:pPr>
              <w:adjustRightInd w:val="0"/>
              <w:snapToGrid w:val="0"/>
              <w:spacing w:line="300" w:lineRule="auto"/>
              <w:jc w:val="center"/>
              <w:rPr>
                <w:snapToGrid w:val="0"/>
                <w:kern w:val="0"/>
              </w:rPr>
            </w:pPr>
          </w:p>
        </w:tc>
        <w:tc>
          <w:tcPr>
            <w:tcW w:w="2050"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545"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4020" w:type="dxa"/>
            <w:vAlign w:val="center"/>
          </w:tcPr>
          <w:p>
            <w:pPr>
              <w:widowControl/>
              <w:jc w:val="left"/>
              <w:textAlignment w:val="center"/>
              <w:rPr>
                <w:rFonts w:ascii="宋体" w:hAnsi="宋体"/>
                <w:szCs w:val="21"/>
                <w:lang w:val="zh-CN"/>
              </w:rPr>
            </w:pPr>
            <w:r>
              <w:rPr>
                <w:rFonts w:hint="eastAsia" w:ascii="宋体" w:hAnsi="宋体" w:cs="宋体"/>
                <w:color w:val="000000"/>
                <w:kern w:val="0"/>
                <w:szCs w:val="21"/>
              </w:rPr>
              <w:t>污水样本富集浓缩备份：每周1、4的污水样本额外富集浓缩一份，12000g离心5min后，去掉全部上清，保留沉淀物。</w:t>
            </w:r>
          </w:p>
        </w:tc>
        <w:tc>
          <w:tcPr>
            <w:tcW w:w="1014" w:type="dxa"/>
            <w:vAlign w:val="center"/>
          </w:tcPr>
          <w:p>
            <w:pPr>
              <w:widowControl/>
              <w:jc w:val="center"/>
              <w:textAlignment w:val="center"/>
              <w:rPr>
                <w:snapToGrid w:val="0"/>
                <w:kern w:val="0"/>
              </w:rPr>
            </w:pPr>
            <w:r>
              <w:rPr>
                <w:rFonts w:hint="eastAsia" w:ascii="宋体" w:hAnsi="宋体" w:cs="宋体"/>
                <w:color w:val="000000"/>
                <w:kern w:val="0"/>
                <w:szCs w:val="21"/>
              </w:rPr>
              <w:t>4700</w:t>
            </w:r>
          </w:p>
        </w:tc>
        <w:tc>
          <w:tcPr>
            <w:tcW w:w="2031" w:type="dxa"/>
            <w:vAlign w:val="center"/>
          </w:tcPr>
          <w:p>
            <w:pPr>
              <w:adjustRightInd w:val="0"/>
              <w:snapToGrid w:val="0"/>
              <w:spacing w:line="300" w:lineRule="auto"/>
              <w:jc w:val="center"/>
              <w:rPr>
                <w:snapToGrid w:val="0"/>
                <w:kern w:val="0"/>
              </w:rPr>
            </w:pPr>
          </w:p>
        </w:tc>
        <w:tc>
          <w:tcPr>
            <w:tcW w:w="2050"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545"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4020" w:type="dxa"/>
            <w:vAlign w:val="center"/>
          </w:tcPr>
          <w:p>
            <w:pPr>
              <w:widowControl/>
              <w:jc w:val="left"/>
              <w:textAlignment w:val="center"/>
              <w:rPr>
                <w:rFonts w:ascii="宋体" w:hAnsi="宋体"/>
                <w:szCs w:val="21"/>
                <w:lang w:val="zh-CN"/>
              </w:rPr>
            </w:pPr>
            <w:r>
              <w:rPr>
                <w:rFonts w:hint="eastAsia" w:ascii="宋体" w:hAnsi="宋体" w:cs="宋体"/>
                <w:color w:val="000000"/>
                <w:kern w:val="0"/>
                <w:szCs w:val="21"/>
              </w:rPr>
              <w:t>剩余核酸样本逆转录及保存：污水监测每日剩余的核酸样本从提取板中取出，取10ul进行逆转录，其余剩余核酸放入1.5mlEP管中，及时上送或者-80℃冰箱存放。</w:t>
            </w:r>
          </w:p>
        </w:tc>
        <w:tc>
          <w:tcPr>
            <w:tcW w:w="1014" w:type="dxa"/>
            <w:vAlign w:val="center"/>
          </w:tcPr>
          <w:p>
            <w:pPr>
              <w:widowControl/>
              <w:jc w:val="center"/>
              <w:textAlignment w:val="center"/>
              <w:rPr>
                <w:snapToGrid w:val="0"/>
                <w:kern w:val="0"/>
              </w:rPr>
            </w:pPr>
            <w:r>
              <w:rPr>
                <w:rFonts w:hint="eastAsia" w:ascii="宋体" w:hAnsi="宋体" w:cs="宋体"/>
                <w:color w:val="000000"/>
                <w:kern w:val="0"/>
                <w:szCs w:val="21"/>
              </w:rPr>
              <w:t>4700</w:t>
            </w:r>
          </w:p>
        </w:tc>
        <w:tc>
          <w:tcPr>
            <w:tcW w:w="2031" w:type="dxa"/>
            <w:vAlign w:val="center"/>
          </w:tcPr>
          <w:p>
            <w:pPr>
              <w:adjustRightInd w:val="0"/>
              <w:snapToGrid w:val="0"/>
              <w:spacing w:line="300" w:lineRule="auto"/>
              <w:jc w:val="center"/>
              <w:rPr>
                <w:snapToGrid w:val="0"/>
                <w:kern w:val="0"/>
              </w:rPr>
            </w:pPr>
          </w:p>
        </w:tc>
        <w:tc>
          <w:tcPr>
            <w:tcW w:w="2050"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545"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4020" w:type="dxa"/>
            <w:vAlign w:val="center"/>
          </w:tcPr>
          <w:p>
            <w:pPr>
              <w:widowControl/>
              <w:jc w:val="left"/>
              <w:textAlignment w:val="center"/>
              <w:rPr>
                <w:rFonts w:ascii="宋体" w:hAnsi="宋体"/>
                <w:szCs w:val="21"/>
                <w:lang w:val="zh-CN"/>
              </w:rPr>
            </w:pPr>
            <w:r>
              <w:rPr>
                <w:rFonts w:hint="eastAsia" w:ascii="宋体" w:hAnsi="宋体" w:cs="宋体"/>
                <w:kern w:val="0"/>
                <w:szCs w:val="21"/>
              </w:rPr>
              <w:t>污水样本多管离心沉淀保存：每周2的城市污水样本额外离心多管沉淀保存。</w:t>
            </w:r>
          </w:p>
        </w:tc>
        <w:tc>
          <w:tcPr>
            <w:tcW w:w="1014" w:type="dxa"/>
            <w:vAlign w:val="center"/>
          </w:tcPr>
          <w:p>
            <w:pPr>
              <w:widowControl/>
              <w:jc w:val="center"/>
              <w:textAlignment w:val="center"/>
              <w:rPr>
                <w:snapToGrid w:val="0"/>
                <w:kern w:val="0"/>
              </w:rPr>
            </w:pPr>
            <w:r>
              <w:rPr>
                <w:rFonts w:hint="eastAsia" w:ascii="宋体" w:hAnsi="宋体" w:cs="宋体"/>
                <w:kern w:val="0"/>
                <w:szCs w:val="21"/>
              </w:rPr>
              <w:t>2100</w:t>
            </w:r>
          </w:p>
        </w:tc>
        <w:tc>
          <w:tcPr>
            <w:tcW w:w="2031" w:type="dxa"/>
            <w:vAlign w:val="center"/>
          </w:tcPr>
          <w:p>
            <w:pPr>
              <w:adjustRightInd w:val="0"/>
              <w:snapToGrid w:val="0"/>
              <w:spacing w:line="300" w:lineRule="auto"/>
              <w:jc w:val="center"/>
              <w:rPr>
                <w:snapToGrid w:val="0"/>
                <w:kern w:val="0"/>
              </w:rPr>
            </w:pPr>
          </w:p>
        </w:tc>
        <w:tc>
          <w:tcPr>
            <w:tcW w:w="2050"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545"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5</w:t>
            </w:r>
          </w:p>
        </w:tc>
        <w:tc>
          <w:tcPr>
            <w:tcW w:w="4020" w:type="dxa"/>
            <w:vAlign w:val="center"/>
          </w:tcPr>
          <w:p>
            <w:pPr>
              <w:widowControl/>
              <w:jc w:val="left"/>
              <w:textAlignment w:val="center"/>
              <w:rPr>
                <w:rFonts w:ascii="宋体" w:hAnsi="宋体"/>
                <w:szCs w:val="21"/>
                <w:lang w:val="zh-CN"/>
              </w:rPr>
            </w:pPr>
            <w:r>
              <w:rPr>
                <w:rFonts w:hint="eastAsia" w:ascii="宋体" w:hAnsi="宋体" w:cs="宋体"/>
                <w:kern w:val="0"/>
                <w:szCs w:val="21"/>
              </w:rPr>
              <w:t>每周2、5实验结束后将样本运送到市疾控中心。</w:t>
            </w:r>
          </w:p>
        </w:tc>
        <w:tc>
          <w:tcPr>
            <w:tcW w:w="1014" w:type="dxa"/>
            <w:vAlign w:val="center"/>
          </w:tcPr>
          <w:p>
            <w:pPr>
              <w:widowControl/>
              <w:jc w:val="center"/>
              <w:textAlignment w:val="center"/>
              <w:rPr>
                <w:snapToGrid w:val="0"/>
                <w:kern w:val="0"/>
              </w:rPr>
            </w:pPr>
            <w:r>
              <w:rPr>
                <w:rFonts w:hint="eastAsia" w:ascii="宋体" w:hAnsi="宋体" w:cs="宋体"/>
                <w:kern w:val="0"/>
                <w:szCs w:val="21"/>
              </w:rPr>
              <w:t>100</w:t>
            </w:r>
          </w:p>
        </w:tc>
        <w:tc>
          <w:tcPr>
            <w:tcW w:w="2031" w:type="dxa"/>
            <w:vAlign w:val="center"/>
          </w:tcPr>
          <w:p>
            <w:pPr>
              <w:adjustRightInd w:val="0"/>
              <w:snapToGrid w:val="0"/>
              <w:spacing w:line="300" w:lineRule="auto"/>
              <w:jc w:val="center"/>
              <w:rPr>
                <w:snapToGrid w:val="0"/>
                <w:kern w:val="0"/>
              </w:rPr>
            </w:pPr>
          </w:p>
        </w:tc>
        <w:tc>
          <w:tcPr>
            <w:tcW w:w="2050"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610" w:type="dxa"/>
            <w:gridSpan w:val="4"/>
            <w:vAlign w:val="center"/>
          </w:tcPr>
          <w:p>
            <w:pPr>
              <w:adjustRightInd w:val="0"/>
              <w:snapToGrid w:val="0"/>
              <w:spacing w:line="300" w:lineRule="auto"/>
              <w:jc w:val="center"/>
              <w:rPr>
                <w:snapToGrid w:val="0"/>
                <w:kern w:val="0"/>
              </w:rPr>
            </w:pPr>
            <w:r>
              <w:rPr>
                <w:snapToGrid w:val="0"/>
                <w:kern w:val="0"/>
              </w:rPr>
              <w:t>合   计（单位：人民币元）</w:t>
            </w:r>
          </w:p>
        </w:tc>
        <w:tc>
          <w:tcPr>
            <w:tcW w:w="2050"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本表格格式不得修改调整。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rPr>
          <w:rFonts w:asciiTheme="minorEastAsia" w:hAnsiTheme="minorEastAsia" w:eastAsiaTheme="minorEastAsia"/>
        </w:rPr>
      </w:pPr>
      <w:bookmarkStart w:id="74" w:name="_Toc44691167"/>
      <w:bookmarkStart w:id="75" w:name="_Toc44690435"/>
      <w:bookmarkStart w:id="76" w:name="_Toc44690708"/>
      <w:bookmarkStart w:id="77" w:name="_Toc135293188"/>
      <w:bookmarkStart w:id="78" w:name="_Toc44691399"/>
      <w:r>
        <w:rPr>
          <w:rFonts w:hint="eastAsia" w:asciiTheme="minorEastAsia" w:hAnsiTheme="minorEastAsia" w:eastAsiaTheme="minorEastAsia"/>
        </w:rPr>
        <w:br w:type="page"/>
      </w:r>
    </w:p>
    <w:p>
      <w:pPr>
        <w:pStyle w:val="5"/>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格式7  服务方案</w:t>
      </w:r>
      <w:bookmarkEnd w:id="74"/>
      <w:bookmarkEnd w:id="75"/>
      <w:bookmarkEnd w:id="76"/>
      <w:bookmarkEnd w:id="77"/>
      <w:bookmarkEnd w:id="78"/>
    </w:p>
    <w:p>
      <w:pPr>
        <w:pStyle w:val="9"/>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cs="宋体"/>
          <w:szCs w:val="21"/>
        </w:rPr>
      </w:pPr>
      <w:r>
        <w:rPr>
          <w:rFonts w:hint="eastAsia" w:ascii="宋体" w:hAnsi="宋体"/>
          <w:szCs w:val="21"/>
        </w:rPr>
        <w:t>1、</w:t>
      </w:r>
      <w:r>
        <w:rPr>
          <w:rFonts w:hint="eastAsia" w:ascii="宋体" w:hAnsi="宋体" w:cs="宋体"/>
          <w:szCs w:val="21"/>
        </w:rPr>
        <w:t>项目实施方案</w:t>
      </w:r>
    </w:p>
    <w:p>
      <w:pPr>
        <w:spacing w:line="360" w:lineRule="auto"/>
        <w:ind w:firstLine="420" w:firstLineChars="200"/>
        <w:rPr>
          <w:rFonts w:ascii="宋体" w:hAnsi="宋体" w:cs="宋体"/>
          <w:szCs w:val="21"/>
        </w:rPr>
      </w:pPr>
      <w:r>
        <w:rPr>
          <w:rFonts w:hint="eastAsia" w:ascii="宋体" w:hAnsi="宋体" w:cs="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3、质量保障措施及方案</w:t>
      </w:r>
    </w:p>
    <w:p>
      <w:pPr>
        <w:spacing w:line="360" w:lineRule="auto"/>
        <w:ind w:firstLine="420" w:firstLineChars="200"/>
        <w:rPr>
          <w:rFonts w:ascii="宋体" w:hAnsi="宋体" w:cs="宋体"/>
          <w:szCs w:val="21"/>
        </w:rPr>
      </w:pPr>
      <w:r>
        <w:rPr>
          <w:rFonts w:hint="eastAsia" w:ascii="宋体" w:hAnsi="宋体" w:cs="宋体"/>
          <w:szCs w:val="21"/>
        </w:rPr>
        <w:t>4、服务承诺方案</w:t>
      </w:r>
    </w:p>
    <w:p>
      <w:pPr>
        <w:spacing w:line="360" w:lineRule="auto"/>
        <w:ind w:firstLine="420" w:firstLineChars="200"/>
        <w:rPr>
          <w:rFonts w:ascii="宋体" w:hAnsi="宋体" w:cs="宋体"/>
          <w:szCs w:val="21"/>
        </w:rPr>
      </w:pPr>
      <w:r>
        <w:rPr>
          <w:rFonts w:hint="eastAsia" w:ascii="宋体" w:hAnsi="宋体" w:cs="宋体"/>
          <w:szCs w:val="21"/>
        </w:rPr>
        <w:t>5、违约承诺</w:t>
      </w:r>
    </w:p>
    <w:p>
      <w:pPr>
        <w:spacing w:line="360" w:lineRule="auto"/>
        <w:ind w:firstLine="420" w:firstLineChars="200"/>
        <w:rPr>
          <w:rFonts w:ascii="宋体" w:hAnsi="宋体" w:cs="宋体"/>
          <w:szCs w:val="21"/>
        </w:rPr>
      </w:pPr>
      <w:r>
        <w:rPr>
          <w:rFonts w:hint="eastAsia" w:ascii="宋体" w:hAnsi="宋体" w:cs="宋体"/>
          <w:szCs w:val="21"/>
        </w:rPr>
        <w:t>6、拟安排的项目负责人(仅限1人）情况</w:t>
      </w:r>
    </w:p>
    <w:p>
      <w:pPr>
        <w:spacing w:line="360" w:lineRule="auto"/>
        <w:ind w:firstLine="420" w:firstLineChars="200"/>
        <w:rPr>
          <w:rFonts w:ascii="宋体" w:hAnsi="宋体" w:cs="宋体"/>
          <w:szCs w:val="21"/>
        </w:rPr>
      </w:pPr>
      <w:r>
        <w:rPr>
          <w:rFonts w:hint="eastAsia" w:ascii="宋体" w:hAnsi="宋体" w:cs="宋体"/>
          <w:szCs w:val="21"/>
        </w:rPr>
        <w:t>7、拟安排的项目团队成员（项目负责人除外）情况</w:t>
      </w:r>
    </w:p>
    <w:p>
      <w:pPr>
        <w:spacing w:line="360" w:lineRule="auto"/>
        <w:ind w:firstLine="420" w:firstLineChars="200"/>
        <w:rPr>
          <w:rFonts w:ascii="宋体" w:hAnsi="宋体" w:cs="宋体"/>
          <w:szCs w:val="21"/>
        </w:rPr>
      </w:pPr>
      <w:r>
        <w:rPr>
          <w:rFonts w:hint="eastAsia" w:ascii="宋体" w:hAnsi="宋体" w:cs="宋体"/>
          <w:szCs w:val="21"/>
        </w:rPr>
        <w:t>8、项目拟使用的设备（车辆、工具）情况</w:t>
      </w:r>
    </w:p>
    <w:p>
      <w:pPr>
        <w:spacing w:line="360" w:lineRule="auto"/>
        <w:ind w:firstLine="420" w:firstLineChars="200"/>
        <w:rPr>
          <w:rFonts w:ascii="宋体" w:hAnsi="宋体" w:cs="宋体"/>
          <w:szCs w:val="21"/>
        </w:rPr>
      </w:pPr>
      <w:r>
        <w:rPr>
          <w:rFonts w:hint="eastAsia" w:ascii="宋体" w:hAnsi="宋体" w:cs="宋体"/>
          <w:szCs w:val="21"/>
        </w:rPr>
        <w:t>9、投标人通过相关认证情况</w:t>
      </w:r>
    </w:p>
    <w:p>
      <w:pPr>
        <w:spacing w:line="360" w:lineRule="auto"/>
        <w:ind w:firstLine="420" w:firstLineChars="200"/>
        <w:rPr>
          <w:rFonts w:ascii="宋体" w:hAnsi="宋体" w:cs="宋体"/>
          <w:szCs w:val="21"/>
        </w:rPr>
      </w:pPr>
      <w:r>
        <w:rPr>
          <w:rFonts w:hint="eastAsia" w:ascii="宋体" w:hAnsi="宋体" w:cs="宋体"/>
          <w:szCs w:val="21"/>
        </w:rPr>
        <w:t>10、投标人业绩情况</w:t>
      </w:r>
    </w:p>
    <w:p>
      <w:pPr>
        <w:spacing w:line="360" w:lineRule="auto"/>
        <w:ind w:firstLine="420" w:firstLineChars="200"/>
        <w:rPr>
          <w:rFonts w:ascii="宋体" w:hAnsi="宋体" w:cs="宋体"/>
          <w:szCs w:val="21"/>
        </w:rPr>
      </w:pPr>
      <w:r>
        <w:rPr>
          <w:rFonts w:hint="eastAsia" w:ascii="宋体" w:hAnsi="宋体" w:cs="宋体"/>
          <w:szCs w:val="21"/>
        </w:rPr>
        <w:t>11、场所配备</w:t>
      </w:r>
    </w:p>
    <w:p>
      <w:pPr>
        <w:spacing w:line="360" w:lineRule="auto"/>
        <w:ind w:firstLine="420" w:firstLineChars="200"/>
        <w:rPr>
          <w:rFonts w:ascii="宋体" w:hAnsi="宋体"/>
          <w:szCs w:val="21"/>
        </w:rPr>
      </w:pPr>
      <w:r>
        <w:rPr>
          <w:rFonts w:hint="eastAsia" w:ascii="宋体" w:hAnsi="宋体" w:cs="宋体"/>
          <w:szCs w:val="21"/>
        </w:rPr>
        <w:t>12、诚信评审</w:t>
      </w:r>
    </w:p>
    <w:p>
      <w:pPr>
        <w:spacing w:line="360" w:lineRule="auto"/>
        <w:ind w:left="420"/>
        <w:rPr>
          <w:rFonts w:ascii="宋体" w:hAnsi="宋体"/>
          <w:bCs/>
        </w:rPr>
      </w:pPr>
      <w:r>
        <w:rPr>
          <w:rFonts w:hint="eastAsia" w:ascii="宋体" w:hAnsi="宋体"/>
          <w:bCs/>
        </w:rPr>
        <w:t>13、投标人认为必要的其他方案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8248"/>
          <w:tab w:val="left" w:pos="9368"/>
        </w:tabs>
        <w:spacing w:line="360" w:lineRule="auto"/>
      </w:pPr>
      <w:r>
        <w:rPr>
          <w:rFonts w:hint="eastAsia"/>
        </w:rPr>
        <w:t>附表：</w:t>
      </w:r>
    </w:p>
    <w:p>
      <w:pPr>
        <w:pStyle w:val="360"/>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center"/>
        <w:rPr>
          <w:rFonts w:ascii="Times New Roman" w:hAnsi="Times New Roman"/>
          <w:b/>
          <w:sz w:val="28"/>
        </w:rPr>
      </w:pPr>
    </w:p>
    <w:p/>
    <w:p/>
    <w:p/>
    <w:p/>
    <w:p/>
    <w:p>
      <w:pPr>
        <w:pStyle w:val="5"/>
        <w:tabs>
          <w:tab w:val="left" w:pos="371"/>
        </w:tabs>
        <w:spacing w:before="120" w:after="120"/>
        <w:ind w:left="-1" w:leftChars="-1" w:hanging="1"/>
        <w:jc w:val="center"/>
        <w:rPr>
          <w:rFonts w:asciiTheme="minorEastAsia" w:hAnsiTheme="minorEastAsia" w:eastAsiaTheme="minorEastAsia"/>
        </w:rPr>
      </w:pPr>
      <w:bookmarkStart w:id="79"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9"/>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5"/>
        <w:tabs>
          <w:tab w:val="left" w:pos="371"/>
        </w:tabs>
        <w:spacing w:before="120" w:after="120"/>
        <w:ind w:left="-1" w:leftChars="-1" w:hanging="1"/>
        <w:jc w:val="center"/>
        <w:rPr>
          <w:rFonts w:asciiTheme="minorEastAsia" w:hAnsiTheme="minorEastAsia" w:eastAsiaTheme="minorEastAsia"/>
        </w:rPr>
      </w:pPr>
      <w:bookmarkStart w:id="80" w:name="_Toc44690436"/>
      <w:bookmarkStart w:id="81" w:name="_Toc44691168"/>
      <w:bookmarkStart w:id="82" w:name="_Toc44690709"/>
      <w:bookmarkStart w:id="83" w:name="_Toc44691400"/>
      <w:bookmarkStart w:id="84" w:name="_Toc135293190"/>
      <w:r>
        <w:rPr>
          <w:rFonts w:hint="eastAsia" w:asciiTheme="minorEastAsia" w:hAnsiTheme="minorEastAsia" w:eastAsiaTheme="minorEastAsia"/>
        </w:rPr>
        <w:t>格式9  偏离表</w:t>
      </w:r>
      <w:bookmarkEnd w:id="80"/>
      <w:bookmarkEnd w:id="81"/>
      <w:bookmarkEnd w:id="82"/>
      <w:bookmarkEnd w:id="83"/>
      <w:bookmarkEnd w:id="84"/>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1"/>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5"/>
        <w:tabs>
          <w:tab w:val="left" w:pos="371"/>
        </w:tabs>
        <w:spacing w:before="120" w:after="120"/>
        <w:ind w:left="-1" w:leftChars="-1" w:hanging="1"/>
        <w:jc w:val="center"/>
        <w:rPr>
          <w:rFonts w:asciiTheme="minorEastAsia" w:hAnsiTheme="minorEastAsia" w:eastAsiaTheme="minorEastAsia"/>
        </w:rPr>
      </w:pPr>
      <w:bookmarkStart w:id="85" w:name="_格式2__投标保证金凭证"/>
      <w:bookmarkEnd w:id="85"/>
      <w:bookmarkStart w:id="86" w:name="q15"/>
      <w:bookmarkEnd w:id="86"/>
      <w:bookmarkStart w:id="87" w:name="q16"/>
      <w:bookmarkEnd w:id="87"/>
      <w:bookmarkStart w:id="88" w:name="_格式5__"/>
      <w:bookmarkEnd w:id="88"/>
      <w:bookmarkStart w:id="89" w:name="_格式4__"/>
      <w:bookmarkEnd w:id="89"/>
      <w:bookmarkStart w:id="90" w:name="_格式3__"/>
      <w:bookmarkEnd w:id="90"/>
      <w:bookmarkStart w:id="91" w:name="q17"/>
      <w:bookmarkEnd w:id="91"/>
      <w:r>
        <w:rPr>
          <w:rFonts w:asciiTheme="minorEastAsia" w:hAnsiTheme="minorEastAsia" w:eastAsiaTheme="minorEastAsia"/>
        </w:rPr>
        <w:tab/>
      </w:r>
      <w:bookmarkStart w:id="92" w:name="_Toc44691401"/>
      <w:bookmarkStart w:id="93" w:name="_Toc44690710"/>
      <w:bookmarkStart w:id="94" w:name="_Toc44690437"/>
      <w:bookmarkStart w:id="95" w:name="_Toc44691169"/>
      <w:bookmarkStart w:id="96" w:name="_Toc135293191"/>
      <w:r>
        <w:rPr>
          <w:rFonts w:hint="eastAsia" w:asciiTheme="minorEastAsia" w:hAnsiTheme="minorEastAsia" w:eastAsiaTheme="minorEastAsia"/>
        </w:rPr>
        <w:t xml:space="preserve">格式10  </w:t>
      </w:r>
      <w:bookmarkEnd w:id="92"/>
      <w:bookmarkEnd w:id="93"/>
      <w:bookmarkEnd w:id="94"/>
      <w:bookmarkEnd w:id="95"/>
      <w:r>
        <w:rPr>
          <w:rFonts w:hint="eastAsia" w:asciiTheme="minorEastAsia" w:hAnsiTheme="minorEastAsia" w:eastAsiaTheme="minorEastAsia"/>
        </w:rPr>
        <w:t>招标文件要求的其他资料或投标人认为需要补充的资料</w:t>
      </w:r>
      <w:bookmarkEnd w:id="96"/>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tabs>
          <w:tab w:val="left" w:pos="1875"/>
        </w:tabs>
      </w:pPr>
    </w:p>
    <w:p>
      <w:pPr>
        <w:widowControl/>
        <w:jc w:val="left"/>
        <w:rPr>
          <w:rFonts w:eastAsiaTheme="minorEastAsia"/>
          <w:b/>
          <w:kern w:val="44"/>
          <w:sz w:val="44"/>
          <w:szCs w:val="28"/>
        </w:rPr>
      </w:pPr>
    </w:p>
    <w:p/>
    <w:p>
      <w:pPr>
        <w:pStyle w:val="4"/>
      </w:pPr>
      <w:bookmarkStart w:id="97" w:name="_Toc135293192"/>
      <w:r>
        <w:rPr>
          <w:rFonts w:hint="eastAsia"/>
        </w:rPr>
        <w:t>第八章  合同条款</w:t>
      </w:r>
      <w:bookmarkEnd w:id="97"/>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7"/>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7"/>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7"/>
        <w:snapToGrid w:val="0"/>
        <w:spacing w:line="360" w:lineRule="auto"/>
        <w:ind w:firstLine="422" w:firstLineChars="200"/>
        <w:rPr>
          <w:rFonts w:hAnsi="宋体"/>
          <w:b/>
          <w:szCs w:val="21"/>
        </w:rPr>
      </w:pPr>
      <w:r>
        <w:rPr>
          <w:rFonts w:hint="eastAsia" w:hAnsi="宋体"/>
          <w:b/>
          <w:szCs w:val="21"/>
        </w:rPr>
        <w:t>二、合同金额</w:t>
      </w:r>
    </w:p>
    <w:p>
      <w:pPr>
        <w:pStyle w:val="27"/>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7"/>
        <w:snapToGrid w:val="0"/>
        <w:spacing w:line="360" w:lineRule="auto"/>
        <w:ind w:firstLine="422" w:firstLineChars="200"/>
        <w:rPr>
          <w:rFonts w:hAnsi="宋体"/>
          <w:b/>
          <w:szCs w:val="21"/>
        </w:rPr>
      </w:pPr>
      <w:r>
        <w:rPr>
          <w:rFonts w:hint="eastAsia" w:hAnsi="宋体"/>
          <w:b/>
          <w:szCs w:val="21"/>
        </w:rPr>
        <w:t>三、技术资料</w:t>
      </w:r>
    </w:p>
    <w:p>
      <w:pPr>
        <w:pStyle w:val="27"/>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7"/>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7"/>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7"/>
        <w:snapToGrid w:val="0"/>
        <w:spacing w:line="360" w:lineRule="auto"/>
        <w:ind w:firstLine="422" w:firstLineChars="200"/>
        <w:rPr>
          <w:rFonts w:hAnsi="宋体"/>
          <w:b/>
          <w:szCs w:val="21"/>
        </w:rPr>
      </w:pPr>
      <w:r>
        <w:rPr>
          <w:rFonts w:hint="eastAsia" w:hAnsi="宋体"/>
          <w:b/>
          <w:szCs w:val="21"/>
        </w:rPr>
        <w:t>四、知识产权</w:t>
      </w:r>
    </w:p>
    <w:p>
      <w:pPr>
        <w:pStyle w:val="27"/>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7"/>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7"/>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7"/>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7"/>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7"/>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7"/>
        <w:snapToGrid w:val="0"/>
        <w:spacing w:line="360" w:lineRule="auto"/>
        <w:ind w:firstLine="422" w:firstLineChars="200"/>
        <w:rPr>
          <w:rFonts w:hAnsi="宋体"/>
          <w:b/>
          <w:szCs w:val="21"/>
        </w:rPr>
      </w:pPr>
      <w:r>
        <w:rPr>
          <w:rFonts w:hint="eastAsia" w:hAnsi="宋体"/>
          <w:b/>
          <w:szCs w:val="21"/>
        </w:rPr>
        <w:t>十、付款方式和税费</w:t>
      </w:r>
    </w:p>
    <w:p>
      <w:pPr>
        <w:pStyle w:val="27"/>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7"/>
        <w:snapToGrid w:val="0"/>
        <w:spacing w:line="360" w:lineRule="auto"/>
        <w:ind w:firstLine="422" w:firstLineChars="200"/>
        <w:rPr>
          <w:rFonts w:hAnsi="宋体"/>
          <w:b/>
          <w:szCs w:val="21"/>
        </w:rPr>
      </w:pPr>
      <w:r>
        <w:rPr>
          <w:rFonts w:hint="eastAsia" w:hAnsi="宋体"/>
          <w:b/>
          <w:szCs w:val="21"/>
        </w:rPr>
        <w:t>十二、违约责任</w:t>
      </w:r>
    </w:p>
    <w:p>
      <w:pPr>
        <w:pStyle w:val="27"/>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7"/>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4"/>
      </w:pPr>
      <w:bookmarkStart w:id="98" w:name="_Toc73610161"/>
      <w:bookmarkStart w:id="99" w:name="_Toc135293193"/>
      <w:r>
        <w:rPr>
          <w:rFonts w:hint="eastAsia"/>
        </w:rPr>
        <w:t>第九章  附件</w:t>
      </w:r>
      <w:bookmarkEnd w:id="98"/>
      <w:bookmarkEnd w:id="99"/>
    </w:p>
    <w:p>
      <w:pPr>
        <w:pStyle w:val="6"/>
        <w:spacing w:before="0" w:after="0"/>
      </w:pPr>
      <w:bookmarkStart w:id="100" w:name="_Toc135293194"/>
      <w:bookmarkStart w:id="101" w:name="_Toc73610162"/>
      <w:bookmarkStart w:id="102" w:name="_Toc73613644"/>
      <w:r>
        <w:rPr>
          <w:rFonts w:hint="eastAsia"/>
        </w:rPr>
        <w:t>一、财政部 工业和信息化部关于印发《政府采购促进中小企业发展管理办法》的通知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6"/>
        <w:spacing w:before="0" w:after="0"/>
      </w:pPr>
      <w:bookmarkStart w:id="103" w:name="_Toc135293195"/>
      <w:bookmarkStart w:id="104" w:name="_Toc73610163"/>
      <w:bookmarkStart w:id="105" w:name="_Toc73613645"/>
      <w:r>
        <w:rPr>
          <w:rFonts w:hint="eastAsia"/>
        </w:rPr>
        <w:t>二、关于印发中小企业划型标准规定的通知</w:t>
      </w:r>
      <w:bookmarkEnd w:id="103"/>
      <w:bookmarkEnd w:id="104"/>
      <w:bookmarkEnd w:id="105"/>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6"/>
        <w:spacing w:before="0" w:after="0"/>
      </w:pPr>
      <w:bookmarkStart w:id="106" w:name="_Toc135293196"/>
      <w:bookmarkStart w:id="107" w:name="_Toc73610164"/>
      <w:bookmarkStart w:id="108" w:name="_Toc73613646"/>
      <w:r>
        <w:rPr>
          <w:rFonts w:hint="eastAsia"/>
        </w:rPr>
        <w:t>三、</w:t>
      </w:r>
      <w:r>
        <w:t>国家统计局关于印发《统计上大中小微型企业划分办法 （2017）》的通知</w:t>
      </w:r>
      <w:bookmarkEnd w:id="106"/>
      <w:bookmarkEnd w:id="107"/>
      <w:bookmarkEnd w:id="108"/>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1"/>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6"/>
        <w:spacing w:before="0" w:after="0"/>
      </w:pPr>
      <w:bookmarkStart w:id="109" w:name="_Toc135293197"/>
      <w:bookmarkStart w:id="110" w:name="_Toc73610165"/>
      <w:bookmarkStart w:id="111" w:name="_Toc73613647"/>
      <w:r>
        <w:rPr>
          <w:rFonts w:hint="eastAsia"/>
        </w:rPr>
        <w:t>四、</w:t>
      </w:r>
      <w:r>
        <w:t>财政部 民政部 中国残疾人联合会关于促进残疾人就业 政府采购政策的通知</w:t>
      </w:r>
      <w:bookmarkEnd w:id="109"/>
      <w:bookmarkEnd w:id="110"/>
      <w:bookmarkEnd w:id="111"/>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6"/>
        <w:spacing w:before="0" w:after="0"/>
      </w:pPr>
      <w:bookmarkStart w:id="112" w:name="_Toc135293198"/>
      <w:r>
        <w:rPr>
          <w:rFonts w:hint="eastAsia"/>
        </w:rPr>
        <w:t>五、财政部 司法部关于政府采购支持监狱企业发展有关问题的通知</w:t>
      </w:r>
      <w:bookmarkEnd w:id="112"/>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华文仿宋"/>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华文仿宋"/>
    <w:panose1 w:val="00000000000000000000"/>
    <w:charset w:val="00"/>
    <w:family w:val="auto"/>
    <w:pitch w:val="default"/>
    <w:sig w:usb0="00000000" w:usb1="00000000" w:usb2="00000000" w:usb3="00000000" w:csb0="00040001" w:csb1="00000000"/>
  </w:font>
  <w:font w:name="??">
    <w:altName w:val="华文仿宋"/>
    <w:panose1 w:val="00000000000000000000"/>
    <w:charset w:val="00"/>
    <w:family w:val="auto"/>
    <w:pitch w:val="default"/>
    <w:sig w:usb0="00000000" w:usb1="00000000" w:usb2="00000000" w:usb3="00000000" w:csb0="00040001" w:csb1="00000000"/>
  </w:font>
  <w:font w:name="经典标宋简">
    <w:altName w:val="宋体"/>
    <w:panose1 w:val="00000000000000000000"/>
    <w:charset w:val="00"/>
    <w:family w:val="modern"/>
    <w:pitch w:val="default"/>
    <w:sig w:usb0="00000000" w:usb1="00000000" w:usb2="00000010" w:usb3="00000000" w:csb0="00040000" w:csb1="00000000"/>
  </w:font>
  <w:font w:name="经典等线简">
    <w:altName w:val="华文仿宋"/>
    <w:panose1 w:val="00000000000000000000"/>
    <w:charset w:val="00"/>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6</w:t>
    </w:r>
    <w:r>
      <w:rPr>
        <w:rStyle w:val="55"/>
      </w:rPr>
      <w:fldChar w:fldCharType="end"/>
    </w:r>
  </w:p>
  <w:p>
    <w:pPr>
      <w:pStyle w:val="3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right" w:pos="9638"/>
      </w:tabs>
      <w:jc w:val="left"/>
    </w:pPr>
    <w:r>
      <w:rPr>
        <w:rFonts w:hint="eastAsia"/>
      </w:rPr>
      <w:t>项目名称：</w:t>
    </w:r>
    <w:r>
      <w:rPr>
        <w:rFonts w:hint="eastAsia" w:asciiTheme="minorEastAsia" w:hAnsiTheme="minorEastAsia" w:eastAsiaTheme="minorEastAsia"/>
      </w:rPr>
      <w:t xml:space="preserve">污水样本处理及检测业务委托  </w:t>
    </w:r>
    <w:r>
      <w:rPr>
        <w:rFonts w:hint="eastAsia"/>
      </w:rPr>
      <w:t xml:space="preserve">                                            项目编号：</w:t>
    </w:r>
    <w:r>
      <w:rPr>
        <w:rFonts w:hint="eastAsia" w:asciiTheme="minorEastAsia" w:hAnsiTheme="minorEastAsia" w:eastAsiaTheme="minorEastAsia"/>
      </w:rPr>
      <w:t>SZZZ2024-QC0176</w:t>
    </w:r>
    <w:r>
      <w:tab/>
    </w:r>
  </w:p>
  <w:p>
    <w:pPr>
      <w:pStyle w:val="33"/>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8"/>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8"/>
      <w:lvlText w:val="%5)"/>
      <w:lvlJc w:val="left"/>
      <w:pPr>
        <w:tabs>
          <w:tab w:val="left" w:pos="2111"/>
        </w:tabs>
        <w:ind w:left="2111" w:hanging="420"/>
      </w:pPr>
    </w:lvl>
    <w:lvl w:ilvl="5" w:tentative="0">
      <w:start w:val="1"/>
      <w:numFmt w:val="lowerRoman"/>
      <w:pStyle w:val="10"/>
      <w:lvlText w:val="%6."/>
      <w:lvlJc w:val="right"/>
      <w:pPr>
        <w:tabs>
          <w:tab w:val="left" w:pos="2531"/>
        </w:tabs>
        <w:ind w:left="2531" w:hanging="420"/>
      </w:pPr>
    </w:lvl>
    <w:lvl w:ilvl="6" w:tentative="0">
      <w:start w:val="1"/>
      <w:numFmt w:val="decimal"/>
      <w:pStyle w:val="11"/>
      <w:lvlText w:val="%7."/>
      <w:lvlJc w:val="left"/>
      <w:pPr>
        <w:tabs>
          <w:tab w:val="left" w:pos="2951"/>
        </w:tabs>
        <w:ind w:left="2951" w:hanging="420"/>
      </w:pPr>
    </w:lvl>
    <w:lvl w:ilvl="7" w:tentative="0">
      <w:start w:val="1"/>
      <w:numFmt w:val="lowerLetter"/>
      <w:pStyle w:val="12"/>
      <w:lvlText w:val="%8)"/>
      <w:lvlJc w:val="left"/>
      <w:pPr>
        <w:tabs>
          <w:tab w:val="left" w:pos="3371"/>
        </w:tabs>
        <w:ind w:left="3371" w:hanging="420"/>
      </w:pPr>
    </w:lvl>
    <w:lvl w:ilvl="8" w:tentative="0">
      <w:start w:val="1"/>
      <w:numFmt w:val="lowerRoman"/>
      <w:pStyle w:val="13"/>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3ZGI1NGU1OGM1YTllOWE4MmU2OWFiNWJlZWUxODk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87BA7"/>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8F5"/>
    <w:rsid w:val="00264D98"/>
    <w:rsid w:val="00265054"/>
    <w:rsid w:val="0026523F"/>
    <w:rsid w:val="002657D5"/>
    <w:rsid w:val="00265EBC"/>
    <w:rsid w:val="0026696D"/>
    <w:rsid w:val="00266BE6"/>
    <w:rsid w:val="00266EC1"/>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0F79"/>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537"/>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742"/>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1BFF"/>
    <w:rsid w:val="003B20E9"/>
    <w:rsid w:val="003B2926"/>
    <w:rsid w:val="003B3713"/>
    <w:rsid w:val="003B3AA5"/>
    <w:rsid w:val="003B445F"/>
    <w:rsid w:val="003B4982"/>
    <w:rsid w:val="003B4B46"/>
    <w:rsid w:val="003B4DF0"/>
    <w:rsid w:val="003B5725"/>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9B3"/>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0A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33A"/>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4F80"/>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2C"/>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120"/>
    <w:rsid w:val="004E52D5"/>
    <w:rsid w:val="004E59C7"/>
    <w:rsid w:val="004E67BD"/>
    <w:rsid w:val="004E67CC"/>
    <w:rsid w:val="004E6BED"/>
    <w:rsid w:val="004E7CFB"/>
    <w:rsid w:val="004F0094"/>
    <w:rsid w:val="004F091C"/>
    <w:rsid w:val="004F1279"/>
    <w:rsid w:val="004F1517"/>
    <w:rsid w:val="004F18C4"/>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A5C"/>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38B"/>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5D86"/>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732"/>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138"/>
    <w:rsid w:val="008C455A"/>
    <w:rsid w:val="008C4CA8"/>
    <w:rsid w:val="008C4EDA"/>
    <w:rsid w:val="008C5305"/>
    <w:rsid w:val="008C5566"/>
    <w:rsid w:val="008C562A"/>
    <w:rsid w:val="008C5863"/>
    <w:rsid w:val="008C69A9"/>
    <w:rsid w:val="008C6D7A"/>
    <w:rsid w:val="008C7124"/>
    <w:rsid w:val="008C713E"/>
    <w:rsid w:val="008C794E"/>
    <w:rsid w:val="008C7B9B"/>
    <w:rsid w:val="008C7FF7"/>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62"/>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327"/>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0BFB"/>
    <w:rsid w:val="00911100"/>
    <w:rsid w:val="00911C21"/>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06C"/>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38CE"/>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205"/>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0D9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049"/>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17C0B"/>
    <w:rsid w:val="00B20364"/>
    <w:rsid w:val="00B20E6F"/>
    <w:rsid w:val="00B20EED"/>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4933"/>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4ED7"/>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517"/>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380"/>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4A1"/>
    <w:rsid w:val="00E37673"/>
    <w:rsid w:val="00E408E9"/>
    <w:rsid w:val="00E413F2"/>
    <w:rsid w:val="00E418F1"/>
    <w:rsid w:val="00E419DB"/>
    <w:rsid w:val="00E41C29"/>
    <w:rsid w:val="00E41D45"/>
    <w:rsid w:val="00E4238A"/>
    <w:rsid w:val="00E42C17"/>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4FD2"/>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4D8A"/>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0E9D"/>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51C"/>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69A3"/>
    <w:rsid w:val="00FF7533"/>
    <w:rsid w:val="0101383E"/>
    <w:rsid w:val="01F0299B"/>
    <w:rsid w:val="026E4F91"/>
    <w:rsid w:val="02FC1A3F"/>
    <w:rsid w:val="041D095D"/>
    <w:rsid w:val="05C87DB9"/>
    <w:rsid w:val="084E65B9"/>
    <w:rsid w:val="0961739E"/>
    <w:rsid w:val="098E6083"/>
    <w:rsid w:val="0AD12F5C"/>
    <w:rsid w:val="0B205B2B"/>
    <w:rsid w:val="0B782559"/>
    <w:rsid w:val="0D566BC9"/>
    <w:rsid w:val="0E180322"/>
    <w:rsid w:val="0E8C4995"/>
    <w:rsid w:val="0EF27BFB"/>
    <w:rsid w:val="0FBC50EF"/>
    <w:rsid w:val="115F3FD7"/>
    <w:rsid w:val="11A259DD"/>
    <w:rsid w:val="11F9269A"/>
    <w:rsid w:val="120474A0"/>
    <w:rsid w:val="13102ABE"/>
    <w:rsid w:val="167D280D"/>
    <w:rsid w:val="16880D9B"/>
    <w:rsid w:val="17047766"/>
    <w:rsid w:val="17935895"/>
    <w:rsid w:val="17E03819"/>
    <w:rsid w:val="17EB3D9B"/>
    <w:rsid w:val="17F52C18"/>
    <w:rsid w:val="184530EF"/>
    <w:rsid w:val="19227A4B"/>
    <w:rsid w:val="1A4E7B88"/>
    <w:rsid w:val="1B3E182A"/>
    <w:rsid w:val="1B4B5195"/>
    <w:rsid w:val="1C174C6F"/>
    <w:rsid w:val="1C7C020D"/>
    <w:rsid w:val="1C8F78BA"/>
    <w:rsid w:val="1C9B0D84"/>
    <w:rsid w:val="1CDD3F3B"/>
    <w:rsid w:val="1D4D6869"/>
    <w:rsid w:val="1DC80A69"/>
    <w:rsid w:val="1EEE175D"/>
    <w:rsid w:val="20707345"/>
    <w:rsid w:val="21760101"/>
    <w:rsid w:val="22B25284"/>
    <w:rsid w:val="22C07D9F"/>
    <w:rsid w:val="23056CBA"/>
    <w:rsid w:val="234C1E42"/>
    <w:rsid w:val="23C6059E"/>
    <w:rsid w:val="23C95079"/>
    <w:rsid w:val="23FF75FB"/>
    <w:rsid w:val="24031A53"/>
    <w:rsid w:val="24307C26"/>
    <w:rsid w:val="248E5D4C"/>
    <w:rsid w:val="24C47897"/>
    <w:rsid w:val="24E337F8"/>
    <w:rsid w:val="252A68FA"/>
    <w:rsid w:val="258D3B57"/>
    <w:rsid w:val="262336EE"/>
    <w:rsid w:val="269E4C0C"/>
    <w:rsid w:val="27024D1A"/>
    <w:rsid w:val="2A1252D4"/>
    <w:rsid w:val="2AD85037"/>
    <w:rsid w:val="2BD0253B"/>
    <w:rsid w:val="2C2D1274"/>
    <w:rsid w:val="2C444480"/>
    <w:rsid w:val="2C564DC3"/>
    <w:rsid w:val="2D465FE8"/>
    <w:rsid w:val="2D6C141D"/>
    <w:rsid w:val="2E980D64"/>
    <w:rsid w:val="2EB64B4B"/>
    <w:rsid w:val="2EDB590A"/>
    <w:rsid w:val="2F0A29E3"/>
    <w:rsid w:val="2F974F0A"/>
    <w:rsid w:val="30817D6A"/>
    <w:rsid w:val="3157114E"/>
    <w:rsid w:val="31F2037F"/>
    <w:rsid w:val="329B11F6"/>
    <w:rsid w:val="336E087E"/>
    <w:rsid w:val="33A85DA6"/>
    <w:rsid w:val="33C3087D"/>
    <w:rsid w:val="35521C81"/>
    <w:rsid w:val="35961B12"/>
    <w:rsid w:val="364523AD"/>
    <w:rsid w:val="36700D38"/>
    <w:rsid w:val="36C4673D"/>
    <w:rsid w:val="376536BA"/>
    <w:rsid w:val="37B10B63"/>
    <w:rsid w:val="37D17C49"/>
    <w:rsid w:val="38170F5F"/>
    <w:rsid w:val="38950836"/>
    <w:rsid w:val="390721D7"/>
    <w:rsid w:val="393B510C"/>
    <w:rsid w:val="393F4767"/>
    <w:rsid w:val="39A97E97"/>
    <w:rsid w:val="3A260C29"/>
    <w:rsid w:val="3B57268D"/>
    <w:rsid w:val="3B6176CE"/>
    <w:rsid w:val="3BF9504C"/>
    <w:rsid w:val="3C363D11"/>
    <w:rsid w:val="3CF11603"/>
    <w:rsid w:val="3D7507FB"/>
    <w:rsid w:val="3EB5127A"/>
    <w:rsid w:val="3F503E5E"/>
    <w:rsid w:val="3FC16214"/>
    <w:rsid w:val="40192345"/>
    <w:rsid w:val="41576FF8"/>
    <w:rsid w:val="41D9164E"/>
    <w:rsid w:val="41DD521D"/>
    <w:rsid w:val="423B7022"/>
    <w:rsid w:val="42A87124"/>
    <w:rsid w:val="4389060E"/>
    <w:rsid w:val="43C8028A"/>
    <w:rsid w:val="43D51667"/>
    <w:rsid w:val="443B2C25"/>
    <w:rsid w:val="448421F1"/>
    <w:rsid w:val="450F30DF"/>
    <w:rsid w:val="45D37D9B"/>
    <w:rsid w:val="48194FD5"/>
    <w:rsid w:val="484514CB"/>
    <w:rsid w:val="48C86EE1"/>
    <w:rsid w:val="48E704DA"/>
    <w:rsid w:val="49FA6EF8"/>
    <w:rsid w:val="4A784961"/>
    <w:rsid w:val="4ACF3A3C"/>
    <w:rsid w:val="4B1700DF"/>
    <w:rsid w:val="4B6A5B5B"/>
    <w:rsid w:val="4F0F6A19"/>
    <w:rsid w:val="4F665846"/>
    <w:rsid w:val="4FB69834"/>
    <w:rsid w:val="511950E4"/>
    <w:rsid w:val="51D10A66"/>
    <w:rsid w:val="528A390F"/>
    <w:rsid w:val="528C6991"/>
    <w:rsid w:val="52C3297B"/>
    <w:rsid w:val="54054633"/>
    <w:rsid w:val="540605E4"/>
    <w:rsid w:val="547F0032"/>
    <w:rsid w:val="54A02A20"/>
    <w:rsid w:val="55C87B3E"/>
    <w:rsid w:val="57DE9661"/>
    <w:rsid w:val="58D67D8C"/>
    <w:rsid w:val="58E10577"/>
    <w:rsid w:val="59165EF7"/>
    <w:rsid w:val="59702A12"/>
    <w:rsid w:val="5AED2A9C"/>
    <w:rsid w:val="5AFD3B64"/>
    <w:rsid w:val="5BC746C9"/>
    <w:rsid w:val="5CC61F72"/>
    <w:rsid w:val="5CF206F7"/>
    <w:rsid w:val="5EA0340D"/>
    <w:rsid w:val="5ED66C3C"/>
    <w:rsid w:val="5FDD643B"/>
    <w:rsid w:val="5FDE5D3B"/>
    <w:rsid w:val="60BA3E42"/>
    <w:rsid w:val="61225262"/>
    <w:rsid w:val="6194383B"/>
    <w:rsid w:val="61CB5375"/>
    <w:rsid w:val="623348CA"/>
    <w:rsid w:val="65CA685B"/>
    <w:rsid w:val="65CF34A7"/>
    <w:rsid w:val="65F660EF"/>
    <w:rsid w:val="6673798C"/>
    <w:rsid w:val="673905B6"/>
    <w:rsid w:val="67E92EA9"/>
    <w:rsid w:val="681C3942"/>
    <w:rsid w:val="68460AAC"/>
    <w:rsid w:val="68AC1CFE"/>
    <w:rsid w:val="68EC626C"/>
    <w:rsid w:val="6BCD1DE6"/>
    <w:rsid w:val="6C505023"/>
    <w:rsid w:val="6CFEB608"/>
    <w:rsid w:val="6D14299F"/>
    <w:rsid w:val="6D672A1E"/>
    <w:rsid w:val="6DC237D1"/>
    <w:rsid w:val="6F40725E"/>
    <w:rsid w:val="6F4C2770"/>
    <w:rsid w:val="6F524050"/>
    <w:rsid w:val="6F745D74"/>
    <w:rsid w:val="6FDDFFF5"/>
    <w:rsid w:val="711172CF"/>
    <w:rsid w:val="71873BAE"/>
    <w:rsid w:val="71FD54DD"/>
    <w:rsid w:val="739A7F5B"/>
    <w:rsid w:val="7410294D"/>
    <w:rsid w:val="75E3349E"/>
    <w:rsid w:val="76D71644"/>
    <w:rsid w:val="776C2FB6"/>
    <w:rsid w:val="796853FA"/>
    <w:rsid w:val="79982284"/>
    <w:rsid w:val="7998662D"/>
    <w:rsid w:val="7A8C5878"/>
    <w:rsid w:val="7AAF114E"/>
    <w:rsid w:val="7B471854"/>
    <w:rsid w:val="7C552333"/>
    <w:rsid w:val="7CA86C55"/>
    <w:rsid w:val="7CF019C1"/>
    <w:rsid w:val="7D4528D5"/>
    <w:rsid w:val="7D461CAD"/>
    <w:rsid w:val="7DC75B33"/>
    <w:rsid w:val="7E28286A"/>
    <w:rsid w:val="7E4515FE"/>
    <w:rsid w:val="7EAD59B2"/>
    <w:rsid w:val="7EC9082C"/>
    <w:rsid w:val="7EE84A61"/>
    <w:rsid w:val="7F91273C"/>
    <w:rsid w:val="B7F77543"/>
    <w:rsid w:val="FE77A4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61"/>
    <w:autoRedefine/>
    <w:qFormat/>
    <w:uiPriority w:val="0"/>
    <w:pPr>
      <w:spacing w:before="340" w:after="330" w:line="360" w:lineRule="auto"/>
      <w:jc w:val="center"/>
      <w:outlineLvl w:val="0"/>
    </w:pPr>
    <w:rPr>
      <w:rFonts w:eastAsiaTheme="minorEastAsia"/>
      <w:bCs w:val="0"/>
      <w:kern w:val="44"/>
      <w:sz w:val="44"/>
      <w:szCs w:val="28"/>
    </w:rPr>
  </w:style>
  <w:style w:type="paragraph" w:styleId="6">
    <w:name w:val="heading 2"/>
    <w:basedOn w:val="1"/>
    <w:next w:val="1"/>
    <w:link w:val="62"/>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5">
    <w:name w:val="heading 3"/>
    <w:basedOn w:val="1"/>
    <w:next w:val="1"/>
    <w:link w:val="60"/>
    <w:autoRedefine/>
    <w:qFormat/>
    <w:uiPriority w:val="0"/>
    <w:pPr>
      <w:keepNext/>
      <w:keepLines/>
      <w:spacing w:before="260" w:after="260" w:line="416" w:lineRule="auto"/>
      <w:jc w:val="left"/>
      <w:outlineLvl w:val="2"/>
    </w:pPr>
    <w:rPr>
      <w:b/>
      <w:bCs/>
      <w:sz w:val="24"/>
      <w:szCs w:val="32"/>
    </w:rPr>
  </w:style>
  <w:style w:type="paragraph" w:styleId="7">
    <w:name w:val="heading 4"/>
    <w:basedOn w:val="1"/>
    <w:next w:val="1"/>
    <w:link w:val="63"/>
    <w:autoRedefine/>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65"/>
    <w:autoRedefine/>
    <w:qFormat/>
    <w:uiPriority w:val="0"/>
    <w:pPr>
      <w:keepNext/>
      <w:keepLines/>
      <w:numPr>
        <w:ilvl w:val="4"/>
        <w:numId w:val="1"/>
      </w:numPr>
      <w:tabs>
        <w:tab w:val="left" w:pos="371"/>
      </w:tabs>
      <w:spacing w:before="280" w:after="290" w:line="374" w:lineRule="auto"/>
      <w:outlineLvl w:val="4"/>
    </w:pPr>
    <w:rPr>
      <w:b/>
      <w:sz w:val="28"/>
    </w:rPr>
  </w:style>
  <w:style w:type="paragraph" w:styleId="10">
    <w:name w:val="heading 6"/>
    <w:basedOn w:val="1"/>
    <w:next w:val="9"/>
    <w:link w:val="66"/>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11">
    <w:name w:val="heading 7"/>
    <w:basedOn w:val="1"/>
    <w:next w:val="9"/>
    <w:link w:val="67"/>
    <w:autoRedefine/>
    <w:qFormat/>
    <w:uiPriority w:val="9"/>
    <w:pPr>
      <w:keepNext/>
      <w:keepLines/>
      <w:numPr>
        <w:ilvl w:val="6"/>
        <w:numId w:val="1"/>
      </w:numPr>
      <w:spacing w:before="240" w:after="64" w:line="319" w:lineRule="auto"/>
      <w:outlineLvl w:val="6"/>
    </w:pPr>
    <w:rPr>
      <w:b/>
      <w:sz w:val="24"/>
    </w:rPr>
  </w:style>
  <w:style w:type="paragraph" w:styleId="12">
    <w:name w:val="heading 8"/>
    <w:basedOn w:val="1"/>
    <w:next w:val="9"/>
    <w:link w:val="68"/>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3">
    <w:name w:val="heading 9"/>
    <w:basedOn w:val="1"/>
    <w:next w:val="9"/>
    <w:link w:val="69"/>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autoRedefine/>
    <w:semiHidden/>
    <w:unhideWhenUsed/>
    <w:qFormat/>
    <w:uiPriority w:val="1"/>
  </w:style>
  <w:style w:type="table" w:default="1" w:styleId="5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72"/>
    <w:autoRedefine/>
    <w:qFormat/>
    <w:uiPriority w:val="0"/>
    <w:pPr>
      <w:spacing w:after="120"/>
    </w:pPr>
  </w:style>
  <w:style w:type="paragraph" w:styleId="3">
    <w:name w:val="Quote"/>
    <w:basedOn w:val="1"/>
    <w:next w:val="1"/>
    <w:autoRedefine/>
    <w:qFormat/>
    <w:uiPriority w:val="29"/>
    <w:pPr>
      <w:spacing w:beforeLines="50" w:afterLines="50" w:line="360" w:lineRule="auto"/>
    </w:pPr>
    <w:rPr>
      <w:i/>
      <w:iCs/>
      <w:color w:val="000000"/>
      <w:lang w:val="zh-CN"/>
    </w:rPr>
  </w:style>
  <w:style w:type="paragraph" w:styleId="9">
    <w:name w:val="Normal Indent"/>
    <w:basedOn w:val="1"/>
    <w:link w:val="64"/>
    <w:autoRedefine/>
    <w:qFormat/>
    <w:uiPriority w:val="0"/>
    <w:pPr>
      <w:ind w:firstLine="420" w:firstLineChars="200"/>
    </w:pPr>
  </w:style>
  <w:style w:type="paragraph" w:styleId="14">
    <w:name w:val="toc 7"/>
    <w:basedOn w:val="1"/>
    <w:next w:val="1"/>
    <w:autoRedefine/>
    <w:qFormat/>
    <w:uiPriority w:val="0"/>
    <w:pPr>
      <w:ind w:left="1260"/>
      <w:jc w:val="left"/>
    </w:pPr>
    <w:rPr>
      <w:szCs w:val="21"/>
    </w:rPr>
  </w:style>
  <w:style w:type="paragraph" w:styleId="15">
    <w:name w:val="List Number 2"/>
    <w:basedOn w:val="1"/>
    <w:autoRedefine/>
    <w:qFormat/>
    <w:uiPriority w:val="0"/>
    <w:pPr>
      <w:tabs>
        <w:tab w:val="left" w:pos="780"/>
      </w:tabs>
      <w:ind w:left="780" w:hanging="360"/>
    </w:pPr>
    <w:rPr>
      <w:szCs w:val="20"/>
    </w:rPr>
  </w:style>
  <w:style w:type="paragraph" w:styleId="16">
    <w:name w:val="List Bullet 4"/>
    <w:basedOn w:val="1"/>
    <w:autoRedefine/>
    <w:qFormat/>
    <w:uiPriority w:val="0"/>
    <w:pPr>
      <w:tabs>
        <w:tab w:val="left" w:pos="425"/>
        <w:tab w:val="left" w:pos="1620"/>
      </w:tabs>
      <w:ind w:left="425" w:hanging="425"/>
    </w:pPr>
    <w:rPr>
      <w:szCs w:val="20"/>
    </w:rPr>
  </w:style>
  <w:style w:type="paragraph" w:styleId="17">
    <w:name w:val="caption"/>
    <w:basedOn w:val="1"/>
    <w:next w:val="1"/>
    <w:link w:val="298"/>
    <w:autoRedefine/>
    <w:qFormat/>
    <w:uiPriority w:val="0"/>
    <w:rPr>
      <w:rFonts w:ascii="Cambria" w:hAnsi="Cambria" w:eastAsia="黑体"/>
    </w:rPr>
  </w:style>
  <w:style w:type="paragraph" w:styleId="18">
    <w:name w:val="List Bullet"/>
    <w:basedOn w:val="1"/>
    <w:autoRedefine/>
    <w:qFormat/>
    <w:uiPriority w:val="0"/>
    <w:pPr>
      <w:numPr>
        <w:ilvl w:val="0"/>
        <w:numId w:val="1"/>
      </w:numPr>
      <w:tabs>
        <w:tab w:val="left" w:pos="360"/>
        <w:tab w:val="clear" w:pos="371"/>
      </w:tabs>
    </w:pPr>
    <w:rPr>
      <w:szCs w:val="20"/>
    </w:rPr>
  </w:style>
  <w:style w:type="paragraph" w:styleId="19">
    <w:name w:val="Document Map"/>
    <w:basedOn w:val="1"/>
    <w:link w:val="74"/>
    <w:autoRedefine/>
    <w:qFormat/>
    <w:uiPriority w:val="0"/>
    <w:pPr>
      <w:shd w:val="clear" w:color="auto" w:fill="000080"/>
    </w:pPr>
  </w:style>
  <w:style w:type="paragraph" w:styleId="20">
    <w:name w:val="annotation text"/>
    <w:basedOn w:val="1"/>
    <w:link w:val="510"/>
    <w:autoRedefine/>
    <w:qFormat/>
    <w:uiPriority w:val="99"/>
    <w:pPr>
      <w:spacing w:after="60" w:line="440" w:lineRule="exact"/>
      <w:ind w:firstLine="372" w:firstLineChars="177"/>
      <w:jc w:val="left"/>
    </w:pPr>
  </w:style>
  <w:style w:type="paragraph" w:styleId="21">
    <w:name w:val="Body Text 3"/>
    <w:basedOn w:val="1"/>
    <w:link w:val="459"/>
    <w:autoRedefine/>
    <w:unhideWhenUsed/>
    <w:qFormat/>
    <w:uiPriority w:val="0"/>
    <w:pPr>
      <w:spacing w:after="120"/>
    </w:pPr>
    <w:rPr>
      <w:sz w:val="16"/>
      <w:szCs w:val="16"/>
    </w:rPr>
  </w:style>
  <w:style w:type="paragraph" w:styleId="22">
    <w:name w:val="Body Text Indent"/>
    <w:basedOn w:val="1"/>
    <w:link w:val="75"/>
    <w:autoRedefine/>
    <w:qFormat/>
    <w:uiPriority w:val="0"/>
    <w:pPr>
      <w:spacing w:after="120"/>
      <w:ind w:left="420" w:leftChars="200"/>
    </w:pPr>
  </w:style>
  <w:style w:type="paragraph" w:styleId="23">
    <w:name w:val="Block Text"/>
    <w:basedOn w:val="1"/>
    <w:autoRedefine/>
    <w:qFormat/>
    <w:uiPriority w:val="0"/>
    <w:pPr>
      <w:spacing w:after="120"/>
      <w:ind w:left="1440" w:leftChars="700" w:right="1440" w:rightChars="700"/>
    </w:pPr>
  </w:style>
  <w:style w:type="paragraph" w:styleId="24">
    <w:name w:val="List Bullet 2"/>
    <w:basedOn w:val="1"/>
    <w:autoRedefine/>
    <w:qFormat/>
    <w:uiPriority w:val="0"/>
    <w:pPr>
      <w:numPr>
        <w:ilvl w:val="0"/>
        <w:numId w:val="2"/>
      </w:numPr>
      <w:tabs>
        <w:tab w:val="left" w:pos="780"/>
      </w:tabs>
    </w:pPr>
    <w:rPr>
      <w:szCs w:val="20"/>
    </w:rPr>
  </w:style>
  <w:style w:type="paragraph" w:styleId="25">
    <w:name w:val="toc 5"/>
    <w:basedOn w:val="1"/>
    <w:next w:val="1"/>
    <w:autoRedefine/>
    <w:qFormat/>
    <w:uiPriority w:val="0"/>
    <w:pPr>
      <w:ind w:left="840"/>
      <w:jc w:val="left"/>
    </w:pPr>
    <w:rPr>
      <w:szCs w:val="21"/>
    </w:rPr>
  </w:style>
  <w:style w:type="paragraph" w:styleId="26">
    <w:name w:val="toc 3"/>
    <w:basedOn w:val="1"/>
    <w:next w:val="1"/>
    <w:autoRedefine/>
    <w:qFormat/>
    <w:uiPriority w:val="39"/>
    <w:pPr>
      <w:ind w:left="420"/>
      <w:jc w:val="left"/>
    </w:pPr>
    <w:rPr>
      <w:iCs/>
    </w:rPr>
  </w:style>
  <w:style w:type="paragraph" w:styleId="27">
    <w:name w:val="Plain Text"/>
    <w:basedOn w:val="1"/>
    <w:link w:val="76"/>
    <w:autoRedefine/>
    <w:qFormat/>
    <w:uiPriority w:val="0"/>
    <w:rPr>
      <w:rFonts w:ascii="宋体" w:hAnsi="Courier New"/>
      <w:szCs w:val="20"/>
    </w:rPr>
  </w:style>
  <w:style w:type="paragraph" w:styleId="28">
    <w:name w:val="toc 8"/>
    <w:basedOn w:val="1"/>
    <w:next w:val="1"/>
    <w:autoRedefine/>
    <w:qFormat/>
    <w:uiPriority w:val="0"/>
    <w:pPr>
      <w:ind w:left="1470"/>
      <w:jc w:val="left"/>
    </w:pPr>
    <w:rPr>
      <w:szCs w:val="21"/>
    </w:rPr>
  </w:style>
  <w:style w:type="paragraph" w:styleId="29">
    <w:name w:val="Date"/>
    <w:basedOn w:val="1"/>
    <w:next w:val="1"/>
    <w:link w:val="317"/>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ody Text Indent 2"/>
    <w:basedOn w:val="1"/>
    <w:next w:val="1"/>
    <w:link w:val="77"/>
    <w:autoRedefine/>
    <w:qFormat/>
    <w:uiPriority w:val="0"/>
    <w:pPr>
      <w:spacing w:after="120" w:line="480" w:lineRule="auto"/>
      <w:ind w:left="420" w:leftChars="200"/>
    </w:pPr>
  </w:style>
  <w:style w:type="paragraph" w:styleId="31">
    <w:name w:val="Balloon Text"/>
    <w:basedOn w:val="1"/>
    <w:link w:val="78"/>
    <w:autoRedefine/>
    <w:qFormat/>
    <w:uiPriority w:val="0"/>
    <w:rPr>
      <w:sz w:val="18"/>
      <w:szCs w:val="18"/>
    </w:rPr>
  </w:style>
  <w:style w:type="paragraph" w:styleId="32">
    <w:name w:val="footer"/>
    <w:basedOn w:val="1"/>
    <w:link w:val="79"/>
    <w:autoRedefine/>
    <w:qFormat/>
    <w:uiPriority w:val="99"/>
    <w:pPr>
      <w:tabs>
        <w:tab w:val="center" w:pos="4153"/>
        <w:tab w:val="right" w:pos="8306"/>
      </w:tabs>
      <w:snapToGrid w:val="0"/>
      <w:jc w:val="left"/>
    </w:pPr>
    <w:rPr>
      <w:sz w:val="18"/>
      <w:szCs w:val="18"/>
    </w:rPr>
  </w:style>
  <w:style w:type="paragraph" w:styleId="33">
    <w:name w:val="header"/>
    <w:basedOn w:val="1"/>
    <w:link w:val="80"/>
    <w:autoRedefine/>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288"/>
    <w:autoRedefine/>
    <w:qFormat/>
    <w:uiPriority w:val="0"/>
    <w:pPr>
      <w:ind w:left="4320"/>
    </w:pPr>
    <w:rPr>
      <w:rFonts w:eastAsia="楷体_GB2312"/>
      <w:szCs w:val="20"/>
    </w:rPr>
  </w:style>
  <w:style w:type="paragraph" w:styleId="35">
    <w:name w:val="toc 1"/>
    <w:basedOn w:val="1"/>
    <w:next w:val="1"/>
    <w:autoRedefine/>
    <w:qFormat/>
    <w:uiPriority w:val="39"/>
    <w:pPr>
      <w:spacing w:before="120" w:after="120"/>
      <w:jc w:val="left"/>
    </w:pPr>
    <w:rPr>
      <w:b/>
      <w:bCs/>
      <w:caps/>
    </w:rPr>
  </w:style>
  <w:style w:type="paragraph" w:styleId="36">
    <w:name w:val="toc 4"/>
    <w:basedOn w:val="1"/>
    <w:next w:val="1"/>
    <w:autoRedefine/>
    <w:qFormat/>
    <w:uiPriority w:val="0"/>
    <w:pPr>
      <w:ind w:left="630"/>
      <w:jc w:val="left"/>
    </w:pPr>
    <w:rPr>
      <w:szCs w:val="21"/>
    </w:rPr>
  </w:style>
  <w:style w:type="paragraph" w:styleId="37">
    <w:name w:val="index heading"/>
    <w:basedOn w:val="1"/>
    <w:next w:val="38"/>
    <w:autoRedefine/>
    <w:qFormat/>
    <w:uiPriority w:val="0"/>
    <w:rPr>
      <w:szCs w:val="20"/>
    </w:rPr>
  </w:style>
  <w:style w:type="paragraph" w:styleId="38">
    <w:name w:val="index 1"/>
    <w:basedOn w:val="1"/>
    <w:next w:val="1"/>
    <w:autoRedefine/>
    <w:qFormat/>
    <w:uiPriority w:val="0"/>
  </w:style>
  <w:style w:type="paragraph" w:styleId="39">
    <w:name w:val="footnote text"/>
    <w:basedOn w:val="1"/>
    <w:link w:val="482"/>
    <w:autoRedefine/>
    <w:qFormat/>
    <w:uiPriority w:val="0"/>
    <w:pPr>
      <w:snapToGrid w:val="0"/>
      <w:jc w:val="left"/>
    </w:pPr>
    <w:rPr>
      <w:sz w:val="18"/>
      <w:szCs w:val="18"/>
    </w:rPr>
  </w:style>
  <w:style w:type="paragraph" w:styleId="40">
    <w:name w:val="toc 6"/>
    <w:basedOn w:val="1"/>
    <w:next w:val="1"/>
    <w:autoRedefine/>
    <w:qFormat/>
    <w:uiPriority w:val="0"/>
    <w:pPr>
      <w:ind w:left="1050"/>
      <w:jc w:val="left"/>
    </w:pPr>
    <w:rPr>
      <w:szCs w:val="21"/>
    </w:rPr>
  </w:style>
  <w:style w:type="paragraph" w:styleId="41">
    <w:name w:val="Body Text Indent 3"/>
    <w:basedOn w:val="1"/>
    <w:link w:val="314"/>
    <w:autoRedefine/>
    <w:qFormat/>
    <w:uiPriority w:val="0"/>
    <w:pPr>
      <w:ind w:firstLine="426"/>
    </w:pPr>
    <w:rPr>
      <w:szCs w:val="20"/>
    </w:rPr>
  </w:style>
  <w:style w:type="paragraph" w:styleId="42">
    <w:name w:val="toc 2"/>
    <w:basedOn w:val="1"/>
    <w:next w:val="1"/>
    <w:autoRedefine/>
    <w:qFormat/>
    <w:uiPriority w:val="39"/>
    <w:pPr>
      <w:ind w:left="210"/>
      <w:jc w:val="left"/>
    </w:pPr>
    <w:rPr>
      <w:smallCaps/>
    </w:rPr>
  </w:style>
  <w:style w:type="paragraph" w:styleId="43">
    <w:name w:val="toc 9"/>
    <w:basedOn w:val="1"/>
    <w:next w:val="1"/>
    <w:autoRedefine/>
    <w:qFormat/>
    <w:uiPriority w:val="0"/>
    <w:pPr>
      <w:ind w:left="1680"/>
      <w:jc w:val="left"/>
    </w:pPr>
    <w:rPr>
      <w:szCs w:val="21"/>
    </w:rPr>
  </w:style>
  <w:style w:type="paragraph" w:styleId="44">
    <w:name w:val="Body Text 2"/>
    <w:basedOn w:val="1"/>
    <w:link w:val="307"/>
    <w:autoRedefine/>
    <w:qFormat/>
    <w:uiPriority w:val="0"/>
    <w:rPr>
      <w:sz w:val="28"/>
      <w:szCs w:val="20"/>
    </w:rPr>
  </w:style>
  <w:style w:type="paragraph" w:styleId="45">
    <w:name w:val="HTML Preformatted"/>
    <w:basedOn w:val="1"/>
    <w:link w:val="8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autoRedefine/>
    <w:qFormat/>
    <w:uiPriority w:val="99"/>
    <w:pPr>
      <w:widowControl/>
      <w:spacing w:before="100" w:beforeAutospacing="1" w:after="100" w:afterAutospacing="1"/>
      <w:jc w:val="left"/>
    </w:pPr>
    <w:rPr>
      <w:kern w:val="0"/>
      <w:sz w:val="24"/>
    </w:rPr>
  </w:style>
  <w:style w:type="paragraph" w:styleId="47">
    <w:name w:val="Title"/>
    <w:basedOn w:val="1"/>
    <w:link w:val="82"/>
    <w:autoRedefine/>
    <w:qFormat/>
    <w:uiPriority w:val="0"/>
    <w:pPr>
      <w:spacing w:before="240" w:after="60"/>
      <w:jc w:val="center"/>
      <w:outlineLvl w:val="0"/>
    </w:pPr>
    <w:rPr>
      <w:rFonts w:ascii="Arial" w:hAnsi="Arial" w:eastAsia="隶书"/>
      <w:b/>
      <w:bCs/>
      <w:sz w:val="32"/>
      <w:szCs w:val="32"/>
    </w:rPr>
  </w:style>
  <w:style w:type="paragraph" w:styleId="48">
    <w:name w:val="annotation subject"/>
    <w:basedOn w:val="20"/>
    <w:next w:val="20"/>
    <w:link w:val="71"/>
    <w:autoRedefine/>
    <w:qFormat/>
    <w:uiPriority w:val="0"/>
    <w:rPr>
      <w:b/>
      <w:bCs/>
    </w:rPr>
  </w:style>
  <w:style w:type="paragraph" w:styleId="49">
    <w:name w:val="Body Text First Indent"/>
    <w:basedOn w:val="2"/>
    <w:link w:val="73"/>
    <w:autoRedefine/>
    <w:qFormat/>
    <w:uiPriority w:val="0"/>
    <w:pPr>
      <w:ind w:firstLine="420" w:firstLineChars="100"/>
    </w:pPr>
  </w:style>
  <w:style w:type="paragraph" w:styleId="50">
    <w:name w:val="Body Text First Indent 2"/>
    <w:basedOn w:val="22"/>
    <w:link w:val="293"/>
    <w:autoRedefine/>
    <w:qFormat/>
    <w:uiPriority w:val="0"/>
    <w:pPr>
      <w:spacing w:after="160" w:line="360" w:lineRule="auto"/>
      <w:ind w:firstLine="480" w:firstLineChars="200"/>
    </w:pPr>
    <w:rPr>
      <w:kern w:val="0"/>
      <w:sz w:val="24"/>
    </w:rPr>
  </w:style>
  <w:style w:type="table" w:styleId="52">
    <w:name w:val="Table Grid"/>
    <w:basedOn w:val="5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autoRedefine/>
    <w:qFormat/>
    <w:uiPriority w:val="22"/>
    <w:rPr>
      <w:b/>
      <w:bCs/>
    </w:rPr>
  </w:style>
  <w:style w:type="character" w:styleId="55">
    <w:name w:val="page number"/>
    <w:basedOn w:val="53"/>
    <w:autoRedefine/>
    <w:qFormat/>
    <w:uiPriority w:val="0"/>
  </w:style>
  <w:style w:type="character" w:styleId="56">
    <w:name w:val="FollowedHyperlink"/>
    <w:basedOn w:val="53"/>
    <w:autoRedefine/>
    <w:unhideWhenUsed/>
    <w:qFormat/>
    <w:uiPriority w:val="0"/>
    <w:rPr>
      <w:color w:val="800080"/>
      <w:u w:val="single"/>
    </w:rPr>
  </w:style>
  <w:style w:type="character" w:styleId="57">
    <w:name w:val="Emphasis"/>
    <w:autoRedefine/>
    <w:qFormat/>
    <w:uiPriority w:val="20"/>
    <w:rPr>
      <w:i/>
      <w:iCs/>
    </w:rPr>
  </w:style>
  <w:style w:type="character" w:styleId="58">
    <w:name w:val="Hyperlink"/>
    <w:autoRedefine/>
    <w:qFormat/>
    <w:uiPriority w:val="99"/>
    <w:rPr>
      <w:color w:val="0000FF"/>
      <w:u w:val="single"/>
    </w:rPr>
  </w:style>
  <w:style w:type="character" w:styleId="59">
    <w:name w:val="annotation reference"/>
    <w:autoRedefine/>
    <w:qFormat/>
    <w:uiPriority w:val="99"/>
    <w:rPr>
      <w:sz w:val="21"/>
      <w:szCs w:val="21"/>
    </w:rPr>
  </w:style>
  <w:style w:type="character" w:customStyle="1" w:styleId="60">
    <w:name w:val="标题 3 Char"/>
    <w:basedOn w:val="53"/>
    <w:link w:val="5"/>
    <w:autoRedefine/>
    <w:qFormat/>
    <w:uiPriority w:val="0"/>
    <w:rPr>
      <w:b/>
      <w:bCs/>
      <w:kern w:val="2"/>
      <w:sz w:val="24"/>
      <w:szCs w:val="32"/>
    </w:rPr>
  </w:style>
  <w:style w:type="character" w:customStyle="1" w:styleId="61">
    <w:name w:val="标题 1 Char"/>
    <w:basedOn w:val="53"/>
    <w:link w:val="4"/>
    <w:autoRedefine/>
    <w:qFormat/>
    <w:uiPriority w:val="0"/>
    <w:rPr>
      <w:rFonts w:eastAsiaTheme="minorEastAsia"/>
      <w:b/>
      <w:kern w:val="44"/>
      <w:sz w:val="44"/>
      <w:szCs w:val="28"/>
    </w:rPr>
  </w:style>
  <w:style w:type="character" w:customStyle="1" w:styleId="62">
    <w:name w:val="标题 2 Char"/>
    <w:basedOn w:val="53"/>
    <w:link w:val="6"/>
    <w:autoRedefine/>
    <w:qFormat/>
    <w:uiPriority w:val="0"/>
    <w:rPr>
      <w:rFonts w:ascii="Arial" w:hAnsi="Arial" w:eastAsiaTheme="minorEastAsia"/>
      <w:b/>
      <w:bCs/>
      <w:kern w:val="2"/>
      <w:sz w:val="28"/>
      <w:szCs w:val="32"/>
    </w:rPr>
  </w:style>
  <w:style w:type="character" w:customStyle="1" w:styleId="63">
    <w:name w:val="标题 4 Char1"/>
    <w:basedOn w:val="53"/>
    <w:link w:val="7"/>
    <w:autoRedefine/>
    <w:qFormat/>
    <w:uiPriority w:val="99"/>
    <w:rPr>
      <w:rFonts w:ascii="Arial" w:hAnsi="Arial" w:eastAsia="黑体"/>
      <w:b/>
      <w:bCs/>
      <w:kern w:val="2"/>
      <w:sz w:val="28"/>
      <w:szCs w:val="28"/>
    </w:rPr>
  </w:style>
  <w:style w:type="character" w:customStyle="1" w:styleId="64">
    <w:name w:val="正文缩进 Char"/>
    <w:link w:val="9"/>
    <w:autoRedefine/>
    <w:qFormat/>
    <w:uiPriority w:val="0"/>
    <w:rPr>
      <w:rFonts w:eastAsia="宋体"/>
      <w:kern w:val="2"/>
      <w:sz w:val="21"/>
      <w:szCs w:val="24"/>
      <w:lang w:val="en-US" w:eastAsia="zh-CN" w:bidi="ar-SA"/>
    </w:rPr>
  </w:style>
  <w:style w:type="character" w:customStyle="1" w:styleId="65">
    <w:name w:val="标题 5 Char1"/>
    <w:basedOn w:val="53"/>
    <w:link w:val="8"/>
    <w:autoRedefine/>
    <w:qFormat/>
    <w:uiPriority w:val="0"/>
    <w:rPr>
      <w:b/>
      <w:kern w:val="2"/>
      <w:sz w:val="28"/>
      <w:szCs w:val="24"/>
    </w:rPr>
  </w:style>
  <w:style w:type="character" w:customStyle="1" w:styleId="66">
    <w:name w:val="标题 6 Char1"/>
    <w:basedOn w:val="53"/>
    <w:link w:val="10"/>
    <w:autoRedefine/>
    <w:qFormat/>
    <w:uiPriority w:val="9"/>
    <w:rPr>
      <w:rFonts w:ascii="Arial" w:hAnsi="Arial" w:eastAsia="黑体"/>
      <w:b/>
      <w:kern w:val="2"/>
      <w:sz w:val="24"/>
      <w:szCs w:val="24"/>
    </w:rPr>
  </w:style>
  <w:style w:type="character" w:customStyle="1" w:styleId="67">
    <w:name w:val="标题 7 Char1"/>
    <w:basedOn w:val="53"/>
    <w:link w:val="11"/>
    <w:autoRedefine/>
    <w:qFormat/>
    <w:uiPriority w:val="9"/>
    <w:rPr>
      <w:b/>
      <w:kern w:val="2"/>
      <w:sz w:val="24"/>
      <w:szCs w:val="24"/>
    </w:rPr>
  </w:style>
  <w:style w:type="character" w:customStyle="1" w:styleId="68">
    <w:name w:val="标题 8 Char1"/>
    <w:basedOn w:val="53"/>
    <w:link w:val="12"/>
    <w:autoRedefine/>
    <w:qFormat/>
    <w:uiPriority w:val="9"/>
    <w:rPr>
      <w:rFonts w:ascii="Arial" w:hAnsi="Arial" w:eastAsia="黑体"/>
      <w:kern w:val="2"/>
      <w:sz w:val="24"/>
      <w:szCs w:val="24"/>
    </w:rPr>
  </w:style>
  <w:style w:type="character" w:customStyle="1" w:styleId="69">
    <w:name w:val="标题 9 Char1"/>
    <w:basedOn w:val="53"/>
    <w:link w:val="13"/>
    <w:autoRedefine/>
    <w:qFormat/>
    <w:uiPriority w:val="0"/>
    <w:rPr>
      <w:rFonts w:ascii="Arial" w:hAnsi="Arial" w:eastAsia="黑体"/>
      <w:kern w:val="2"/>
      <w:sz w:val="21"/>
      <w:szCs w:val="24"/>
    </w:rPr>
  </w:style>
  <w:style w:type="character" w:customStyle="1" w:styleId="70">
    <w:name w:val="批注文字 Char"/>
    <w:link w:val="20"/>
    <w:autoRedefine/>
    <w:qFormat/>
    <w:uiPriority w:val="99"/>
    <w:rPr>
      <w:kern w:val="2"/>
      <w:sz w:val="21"/>
      <w:szCs w:val="24"/>
    </w:rPr>
  </w:style>
  <w:style w:type="character" w:customStyle="1" w:styleId="71">
    <w:name w:val="批注主题 Char"/>
    <w:basedOn w:val="70"/>
    <w:link w:val="48"/>
    <w:autoRedefine/>
    <w:qFormat/>
    <w:uiPriority w:val="0"/>
    <w:rPr>
      <w:b/>
      <w:bCs/>
      <w:kern w:val="2"/>
      <w:sz w:val="21"/>
      <w:szCs w:val="24"/>
    </w:rPr>
  </w:style>
  <w:style w:type="character" w:customStyle="1" w:styleId="72">
    <w:name w:val="正文文本 Char"/>
    <w:basedOn w:val="53"/>
    <w:link w:val="2"/>
    <w:autoRedefine/>
    <w:qFormat/>
    <w:uiPriority w:val="0"/>
    <w:rPr>
      <w:kern w:val="2"/>
      <w:sz w:val="21"/>
      <w:szCs w:val="24"/>
    </w:rPr>
  </w:style>
  <w:style w:type="character" w:customStyle="1" w:styleId="73">
    <w:name w:val="正文首行缩进 Char"/>
    <w:link w:val="49"/>
    <w:autoRedefine/>
    <w:qFormat/>
    <w:uiPriority w:val="0"/>
    <w:rPr>
      <w:rFonts w:eastAsia="宋体"/>
      <w:kern w:val="2"/>
      <w:sz w:val="21"/>
      <w:szCs w:val="24"/>
      <w:lang w:val="en-US" w:eastAsia="zh-CN" w:bidi="ar-SA"/>
    </w:rPr>
  </w:style>
  <w:style w:type="character" w:customStyle="1" w:styleId="74">
    <w:name w:val="文档结构图 Char"/>
    <w:basedOn w:val="53"/>
    <w:link w:val="19"/>
    <w:autoRedefine/>
    <w:qFormat/>
    <w:uiPriority w:val="0"/>
    <w:rPr>
      <w:kern w:val="2"/>
      <w:sz w:val="21"/>
      <w:szCs w:val="24"/>
      <w:shd w:val="clear" w:color="auto" w:fill="000080"/>
    </w:rPr>
  </w:style>
  <w:style w:type="character" w:customStyle="1" w:styleId="75">
    <w:name w:val="正文文本缩进 Char1"/>
    <w:basedOn w:val="53"/>
    <w:link w:val="22"/>
    <w:autoRedefine/>
    <w:qFormat/>
    <w:uiPriority w:val="0"/>
    <w:rPr>
      <w:kern w:val="2"/>
      <w:sz w:val="21"/>
      <w:szCs w:val="24"/>
    </w:rPr>
  </w:style>
  <w:style w:type="character" w:customStyle="1" w:styleId="76">
    <w:name w:val="纯文本 Char"/>
    <w:link w:val="27"/>
    <w:autoRedefine/>
    <w:qFormat/>
    <w:uiPriority w:val="0"/>
    <w:rPr>
      <w:rFonts w:ascii="宋体" w:hAnsi="Courier New" w:eastAsia="宋体"/>
      <w:kern w:val="2"/>
      <w:sz w:val="21"/>
      <w:lang w:val="en-US" w:eastAsia="zh-CN" w:bidi="ar-SA"/>
    </w:rPr>
  </w:style>
  <w:style w:type="character" w:customStyle="1" w:styleId="77">
    <w:name w:val="正文文本缩进 2 Char1"/>
    <w:link w:val="30"/>
    <w:autoRedefine/>
    <w:qFormat/>
    <w:uiPriority w:val="0"/>
    <w:rPr>
      <w:kern w:val="2"/>
      <w:sz w:val="21"/>
      <w:szCs w:val="24"/>
    </w:rPr>
  </w:style>
  <w:style w:type="character" w:customStyle="1" w:styleId="78">
    <w:name w:val="批注框文本 Char"/>
    <w:basedOn w:val="53"/>
    <w:link w:val="31"/>
    <w:autoRedefine/>
    <w:qFormat/>
    <w:uiPriority w:val="99"/>
    <w:rPr>
      <w:kern w:val="2"/>
      <w:sz w:val="18"/>
      <w:szCs w:val="18"/>
    </w:rPr>
  </w:style>
  <w:style w:type="character" w:customStyle="1" w:styleId="79">
    <w:name w:val="页脚 Char"/>
    <w:basedOn w:val="53"/>
    <w:link w:val="32"/>
    <w:autoRedefine/>
    <w:qFormat/>
    <w:uiPriority w:val="99"/>
    <w:rPr>
      <w:kern w:val="2"/>
      <w:sz w:val="18"/>
      <w:szCs w:val="18"/>
    </w:rPr>
  </w:style>
  <w:style w:type="character" w:customStyle="1" w:styleId="80">
    <w:name w:val="页眉 Char"/>
    <w:link w:val="33"/>
    <w:autoRedefine/>
    <w:qFormat/>
    <w:uiPriority w:val="99"/>
    <w:rPr>
      <w:kern w:val="2"/>
      <w:sz w:val="18"/>
      <w:szCs w:val="18"/>
    </w:rPr>
  </w:style>
  <w:style w:type="character" w:customStyle="1" w:styleId="81">
    <w:name w:val="HTML 预设格式 Char1"/>
    <w:link w:val="45"/>
    <w:autoRedefine/>
    <w:qFormat/>
    <w:uiPriority w:val="0"/>
    <w:rPr>
      <w:rFonts w:ascii="宋体" w:hAnsi="宋体" w:cs="宋体"/>
      <w:sz w:val="24"/>
      <w:szCs w:val="24"/>
    </w:rPr>
  </w:style>
  <w:style w:type="character" w:customStyle="1" w:styleId="82">
    <w:name w:val="标题 Char"/>
    <w:link w:val="47"/>
    <w:autoRedefine/>
    <w:qFormat/>
    <w:uiPriority w:val="0"/>
    <w:rPr>
      <w:rFonts w:ascii="Arial" w:hAnsi="Arial" w:eastAsia="隶书" w:cs="Arial"/>
      <w:b/>
      <w:bCs/>
      <w:kern w:val="2"/>
      <w:sz w:val="32"/>
      <w:szCs w:val="32"/>
    </w:rPr>
  </w:style>
  <w:style w:type="paragraph" w:customStyle="1" w:styleId="83">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autoRedefine/>
    <w:qFormat/>
    <w:uiPriority w:val="0"/>
    <w:pPr>
      <w:spacing w:line="360" w:lineRule="auto"/>
      <w:ind w:firstLine="516" w:firstLineChars="215"/>
    </w:pPr>
    <w:rPr>
      <w:sz w:val="24"/>
      <w:szCs w:val="20"/>
    </w:rPr>
  </w:style>
  <w:style w:type="character" w:customStyle="1" w:styleId="85">
    <w:name w:val="样式1 Char Char Char"/>
    <w:link w:val="84"/>
    <w:autoRedefine/>
    <w:qFormat/>
    <w:uiPriority w:val="0"/>
    <w:rPr>
      <w:rFonts w:eastAsia="宋体"/>
      <w:kern w:val="2"/>
      <w:sz w:val="24"/>
      <w:lang w:val="en-US" w:eastAsia="zh-CN" w:bidi="ar-SA"/>
    </w:rPr>
  </w:style>
  <w:style w:type="paragraph" w:customStyle="1" w:styleId="86">
    <w:name w:val="样式1"/>
    <w:basedOn w:val="47"/>
    <w:link w:val="87"/>
    <w:autoRedefine/>
    <w:qFormat/>
    <w:uiPriority w:val="0"/>
    <w:pPr>
      <w:spacing w:before="120" w:after="120"/>
    </w:pPr>
    <w:rPr>
      <w:rFonts w:eastAsia="黑体" w:cs="Arial"/>
      <w:b w:val="0"/>
      <w:sz w:val="30"/>
      <w:szCs w:val="21"/>
    </w:rPr>
  </w:style>
  <w:style w:type="character" w:customStyle="1" w:styleId="87">
    <w:name w:val="样式1 Char"/>
    <w:link w:val="86"/>
    <w:autoRedefine/>
    <w:qFormat/>
    <w:uiPriority w:val="0"/>
    <w:rPr>
      <w:rFonts w:ascii="Arial" w:hAnsi="Arial" w:eastAsia="黑体" w:cs="Arial"/>
      <w:bCs/>
      <w:kern w:val="2"/>
      <w:sz w:val="30"/>
      <w:szCs w:val="21"/>
      <w:lang w:val="en-US" w:eastAsia="zh-CN" w:bidi="ar-SA"/>
    </w:rPr>
  </w:style>
  <w:style w:type="paragraph" w:customStyle="1" w:styleId="88">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autoRedefine/>
    <w:qFormat/>
    <w:uiPriority w:val="0"/>
    <w:rPr>
      <w:rFonts w:ascii="仿宋_GB2312" w:eastAsia="仿宋_GB2312"/>
      <w:b/>
      <w:sz w:val="32"/>
      <w:szCs w:val="32"/>
    </w:rPr>
  </w:style>
  <w:style w:type="character" w:customStyle="1" w:styleId="92">
    <w:name w:val="tpc_title1"/>
    <w:autoRedefine/>
    <w:qFormat/>
    <w:uiPriority w:val="0"/>
    <w:rPr>
      <w:b/>
      <w:bCs/>
      <w:sz w:val="18"/>
      <w:szCs w:val="18"/>
    </w:rPr>
  </w:style>
  <w:style w:type="character" w:customStyle="1" w:styleId="93">
    <w:name w:val="tpc_content1"/>
    <w:autoRedefine/>
    <w:qFormat/>
    <w:uiPriority w:val="0"/>
    <w:rPr>
      <w:sz w:val="20"/>
      <w:szCs w:val="20"/>
    </w:rPr>
  </w:style>
  <w:style w:type="paragraph" w:customStyle="1" w:styleId="94">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autoRedefine/>
    <w:qFormat/>
    <w:uiPriority w:val="0"/>
    <w:pPr>
      <w:ind w:firstLine="420" w:firstLineChars="200"/>
    </w:pPr>
  </w:style>
  <w:style w:type="character" w:customStyle="1" w:styleId="96">
    <w:name w:val="列表段落 字符"/>
    <w:link w:val="95"/>
    <w:autoRedefine/>
    <w:qFormat/>
    <w:uiPriority w:val="34"/>
    <w:rPr>
      <w:kern w:val="2"/>
      <w:sz w:val="21"/>
      <w:szCs w:val="24"/>
    </w:rPr>
  </w:style>
  <w:style w:type="paragraph" w:customStyle="1" w:styleId="97">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9">
    <w:name w:val="缩进正文"/>
    <w:basedOn w:val="1"/>
    <w:link w:val="100"/>
    <w:autoRedefine/>
    <w:qFormat/>
    <w:uiPriority w:val="0"/>
    <w:pPr>
      <w:ind w:firstLine="560" w:firstLineChars="200"/>
    </w:pPr>
    <w:rPr>
      <w:rFonts w:eastAsia="仿宋_GB2312" w:cs="宋体"/>
      <w:sz w:val="28"/>
      <w:szCs w:val="20"/>
    </w:rPr>
  </w:style>
  <w:style w:type="character" w:customStyle="1" w:styleId="100">
    <w:name w:val="缩进正文 Char"/>
    <w:link w:val="99"/>
    <w:autoRedefine/>
    <w:qFormat/>
    <w:uiPriority w:val="0"/>
    <w:rPr>
      <w:rFonts w:eastAsia="仿宋_GB2312" w:cs="宋体"/>
      <w:kern w:val="2"/>
      <w:sz w:val="28"/>
      <w:lang w:val="en-US" w:eastAsia="zh-CN" w:bidi="ar-SA"/>
    </w:rPr>
  </w:style>
  <w:style w:type="character" w:customStyle="1" w:styleId="101">
    <w:name w:val="访问过的超链接1"/>
    <w:autoRedefine/>
    <w:qFormat/>
    <w:uiPriority w:val="0"/>
    <w:rPr>
      <w:color w:val="800080"/>
      <w:u w:val="single"/>
    </w:rPr>
  </w:style>
  <w:style w:type="paragraph" w:customStyle="1" w:styleId="102">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3">
    <w:name w:val="正文缩进 Char1"/>
    <w:autoRedefine/>
    <w:qFormat/>
    <w:uiPriority w:val="0"/>
    <w:rPr>
      <w:rFonts w:eastAsia="宋体"/>
      <w:kern w:val="2"/>
      <w:sz w:val="21"/>
      <w:lang w:val="en-US" w:eastAsia="zh-CN" w:bidi="ar-SA"/>
    </w:rPr>
  </w:style>
  <w:style w:type="paragraph" w:customStyle="1" w:styleId="104">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autoRedefine/>
    <w:unhideWhenUsed/>
    <w:qFormat/>
    <w:uiPriority w:val="34"/>
    <w:pPr>
      <w:ind w:firstLine="420" w:firstLineChars="200"/>
    </w:pPr>
  </w:style>
  <w:style w:type="paragraph" w:customStyle="1" w:styleId="106">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7">
    <w:name w:val="font11"/>
    <w:basedOn w:val="53"/>
    <w:autoRedefine/>
    <w:qFormat/>
    <w:uiPriority w:val="0"/>
    <w:rPr>
      <w:rFonts w:hint="eastAsia" w:ascii="宋体" w:hAnsi="宋体" w:eastAsia="宋体" w:cs="宋体"/>
      <w:b/>
      <w:color w:val="000000"/>
      <w:sz w:val="21"/>
      <w:szCs w:val="21"/>
      <w:u w:val="none"/>
    </w:rPr>
  </w:style>
  <w:style w:type="character" w:customStyle="1" w:styleId="108">
    <w:name w:val="批注文字 Char1"/>
    <w:autoRedefine/>
    <w:qFormat/>
    <w:locked/>
    <w:uiPriority w:val="0"/>
    <w:rPr>
      <w:rFonts w:ascii="Calibri" w:hAnsi="Calibri" w:eastAsia="宋体" w:cs="Calibri"/>
      <w:szCs w:val="21"/>
    </w:rPr>
  </w:style>
  <w:style w:type="character" w:customStyle="1" w:styleId="109">
    <w:name w:val="title1"/>
    <w:autoRedefine/>
    <w:qFormat/>
    <w:uiPriority w:val="0"/>
    <w:rPr>
      <w:rFonts w:hint="eastAsia" w:ascii="微软雅黑" w:hAnsi="微软雅黑" w:eastAsia="微软雅黑"/>
      <w:sz w:val="21"/>
      <w:szCs w:val="21"/>
    </w:rPr>
  </w:style>
  <w:style w:type="character" w:customStyle="1" w:styleId="110">
    <w:name w:val="sect2title1"/>
    <w:autoRedefine/>
    <w:qFormat/>
    <w:uiPriority w:val="0"/>
    <w:rPr>
      <w:rFonts w:hint="eastAsia" w:ascii="微软雅黑" w:hAnsi="微软雅黑" w:eastAsia="微软雅黑"/>
      <w:b/>
      <w:bCs/>
      <w:sz w:val="21"/>
      <w:szCs w:val="21"/>
    </w:rPr>
  </w:style>
  <w:style w:type="paragraph" w:customStyle="1" w:styleId="111">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3"/>
    <w:autoRedefine/>
    <w:qFormat/>
    <w:uiPriority w:val="0"/>
    <w:rPr>
      <w:rFonts w:ascii="Tahoma" w:hAnsi="Tahoma" w:eastAsia="Tahoma" w:cs="Tahoma"/>
      <w:color w:val="000000"/>
      <w:sz w:val="20"/>
      <w:szCs w:val="20"/>
      <w:u w:val="none"/>
    </w:rPr>
  </w:style>
  <w:style w:type="paragraph" w:customStyle="1" w:styleId="113">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3"/>
    <w:autoRedefine/>
    <w:qFormat/>
    <w:uiPriority w:val="0"/>
    <w:rPr>
      <w:rFonts w:hint="eastAsia" w:ascii="仿宋_GB2312" w:eastAsia="仿宋_GB2312" w:cs="仿宋_GB2312"/>
      <w:color w:val="000000"/>
      <w:sz w:val="20"/>
      <w:szCs w:val="20"/>
      <w:u w:val="none"/>
    </w:rPr>
  </w:style>
  <w:style w:type="character" w:customStyle="1" w:styleId="168">
    <w:name w:val="font31"/>
    <w:basedOn w:val="53"/>
    <w:autoRedefine/>
    <w:qFormat/>
    <w:uiPriority w:val="0"/>
    <w:rPr>
      <w:rFonts w:hint="default" w:ascii="Symbol" w:hAnsi="Symbol" w:cs="Symbol"/>
      <w:color w:val="000000"/>
      <w:sz w:val="20"/>
      <w:szCs w:val="20"/>
      <w:u w:val="none"/>
    </w:rPr>
  </w:style>
  <w:style w:type="character" w:customStyle="1" w:styleId="169">
    <w:name w:val="font71"/>
    <w:basedOn w:val="53"/>
    <w:autoRedefine/>
    <w:qFormat/>
    <w:uiPriority w:val="0"/>
    <w:rPr>
      <w:rFonts w:ascii="Arial" w:hAnsi="Arial" w:cs="Arial"/>
      <w:color w:val="000000"/>
      <w:sz w:val="20"/>
      <w:szCs w:val="20"/>
      <w:u w:val="none"/>
    </w:rPr>
  </w:style>
  <w:style w:type="character" w:customStyle="1" w:styleId="170">
    <w:name w:val="font21"/>
    <w:basedOn w:val="53"/>
    <w:autoRedefine/>
    <w:qFormat/>
    <w:uiPriority w:val="0"/>
    <w:rPr>
      <w:rFonts w:hint="default" w:ascii="Symbol" w:hAnsi="Symbol" w:cs="Symbol"/>
      <w:color w:val="000000"/>
      <w:sz w:val="20"/>
      <w:szCs w:val="20"/>
      <w:u w:val="none"/>
    </w:rPr>
  </w:style>
  <w:style w:type="character" w:customStyle="1" w:styleId="171">
    <w:name w:val="font91"/>
    <w:basedOn w:val="53"/>
    <w:autoRedefine/>
    <w:qFormat/>
    <w:uiPriority w:val="0"/>
    <w:rPr>
      <w:rFonts w:ascii="Arial" w:hAnsi="Arial" w:cs="Arial"/>
      <w:color w:val="000000"/>
      <w:sz w:val="20"/>
      <w:szCs w:val="20"/>
      <w:u w:val="none"/>
    </w:rPr>
  </w:style>
  <w:style w:type="character" w:customStyle="1" w:styleId="172">
    <w:name w:val="font51"/>
    <w:basedOn w:val="53"/>
    <w:autoRedefine/>
    <w:qFormat/>
    <w:uiPriority w:val="0"/>
    <w:rPr>
      <w:rFonts w:ascii="仿宋" w:hAnsi="仿宋" w:eastAsia="仿宋" w:cs="仿宋"/>
      <w:color w:val="000000"/>
      <w:sz w:val="21"/>
      <w:szCs w:val="21"/>
      <w:u w:val="none"/>
    </w:rPr>
  </w:style>
  <w:style w:type="character" w:customStyle="1" w:styleId="173">
    <w:name w:val="font101"/>
    <w:basedOn w:val="53"/>
    <w:autoRedefine/>
    <w:qFormat/>
    <w:uiPriority w:val="0"/>
    <w:rPr>
      <w:rFonts w:hint="eastAsia" w:ascii="仿宋_GB2312" w:eastAsia="仿宋_GB2312" w:cs="仿宋_GB2312"/>
      <w:color w:val="000000"/>
      <w:sz w:val="20"/>
      <w:szCs w:val="20"/>
      <w:u w:val="none"/>
    </w:rPr>
  </w:style>
  <w:style w:type="character" w:customStyle="1" w:styleId="174">
    <w:name w:val="font61"/>
    <w:basedOn w:val="53"/>
    <w:autoRedefine/>
    <w:qFormat/>
    <w:uiPriority w:val="0"/>
    <w:rPr>
      <w:rFonts w:hint="eastAsia" w:ascii="宋体" w:hAnsi="宋体" w:eastAsia="宋体" w:cs="宋体"/>
      <w:color w:val="000000"/>
      <w:sz w:val="20"/>
      <w:szCs w:val="20"/>
      <w:u w:val="none"/>
    </w:rPr>
  </w:style>
  <w:style w:type="character" w:customStyle="1" w:styleId="175">
    <w:name w:val="font81"/>
    <w:basedOn w:val="53"/>
    <w:autoRedefine/>
    <w:qFormat/>
    <w:uiPriority w:val="0"/>
    <w:rPr>
      <w:rFonts w:hint="eastAsia" w:ascii="仿宋" w:hAnsi="仿宋" w:eastAsia="仿宋" w:cs="仿宋"/>
      <w:color w:val="000000"/>
      <w:sz w:val="21"/>
      <w:szCs w:val="21"/>
      <w:u w:val="none"/>
    </w:rPr>
  </w:style>
  <w:style w:type="character" w:customStyle="1" w:styleId="176">
    <w:name w:val="font111"/>
    <w:basedOn w:val="53"/>
    <w:autoRedefine/>
    <w:qFormat/>
    <w:uiPriority w:val="0"/>
    <w:rPr>
      <w:rFonts w:hint="eastAsia" w:ascii="仿宋_GB2312" w:eastAsia="仿宋_GB2312" w:cs="仿宋_GB2312"/>
      <w:color w:val="000000"/>
      <w:sz w:val="21"/>
      <w:szCs w:val="21"/>
      <w:u w:val="none"/>
    </w:rPr>
  </w:style>
  <w:style w:type="character" w:customStyle="1" w:styleId="177">
    <w:name w:val="font121"/>
    <w:basedOn w:val="53"/>
    <w:autoRedefine/>
    <w:qFormat/>
    <w:uiPriority w:val="0"/>
    <w:rPr>
      <w:rFonts w:ascii="Arial" w:hAnsi="Arial" w:cs="Arial"/>
      <w:color w:val="000000"/>
      <w:sz w:val="20"/>
      <w:szCs w:val="20"/>
      <w:u w:val="none"/>
    </w:rPr>
  </w:style>
  <w:style w:type="character" w:customStyle="1" w:styleId="178">
    <w:name w:val="font112"/>
    <w:basedOn w:val="53"/>
    <w:autoRedefine/>
    <w:qFormat/>
    <w:uiPriority w:val="0"/>
    <w:rPr>
      <w:rFonts w:hint="eastAsia" w:ascii="仿宋_GB2312" w:eastAsia="仿宋_GB2312" w:cs="仿宋_GB2312"/>
      <w:color w:val="000000"/>
      <w:sz w:val="21"/>
      <w:szCs w:val="21"/>
      <w:u w:val="none"/>
    </w:rPr>
  </w:style>
  <w:style w:type="paragraph" w:customStyle="1" w:styleId="179">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7">
    <w:name w:val="正文A缩进"/>
    <w:basedOn w:val="1"/>
    <w:autoRedefine/>
    <w:qFormat/>
    <w:uiPriority w:val="0"/>
    <w:pPr>
      <w:spacing w:line="360" w:lineRule="auto"/>
      <w:ind w:firstLine="200" w:firstLineChars="200"/>
    </w:pPr>
    <w:rPr>
      <w:kern w:val="0"/>
      <w:sz w:val="28"/>
      <w:szCs w:val="20"/>
    </w:rPr>
  </w:style>
  <w:style w:type="paragraph" w:customStyle="1" w:styleId="258">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3"/>
    <w:autoRedefine/>
    <w:qFormat/>
    <w:uiPriority w:val="0"/>
    <w:rPr>
      <w:b/>
      <w:bCs/>
      <w:kern w:val="2"/>
      <w:sz w:val="28"/>
      <w:szCs w:val="28"/>
    </w:rPr>
  </w:style>
  <w:style w:type="character" w:customStyle="1" w:styleId="260">
    <w:name w:val="标题 6 Char"/>
    <w:basedOn w:val="53"/>
    <w:autoRedefine/>
    <w:qFormat/>
    <w:uiPriority w:val="9"/>
    <w:rPr>
      <w:rFonts w:asciiTheme="majorHAnsi" w:hAnsiTheme="majorHAnsi" w:eastAsiaTheme="majorEastAsia" w:cstheme="majorBidi"/>
      <w:b/>
      <w:bCs/>
      <w:kern w:val="2"/>
      <w:sz w:val="24"/>
      <w:szCs w:val="24"/>
    </w:rPr>
  </w:style>
  <w:style w:type="character" w:customStyle="1" w:styleId="261">
    <w:name w:val="标题 7 Char"/>
    <w:basedOn w:val="53"/>
    <w:autoRedefine/>
    <w:qFormat/>
    <w:uiPriority w:val="9"/>
    <w:rPr>
      <w:b/>
      <w:bCs/>
      <w:kern w:val="2"/>
      <w:sz w:val="24"/>
      <w:szCs w:val="24"/>
    </w:rPr>
  </w:style>
  <w:style w:type="character" w:customStyle="1" w:styleId="262">
    <w:name w:val="标题 8 Char"/>
    <w:basedOn w:val="53"/>
    <w:autoRedefine/>
    <w:qFormat/>
    <w:uiPriority w:val="9"/>
    <w:rPr>
      <w:rFonts w:asciiTheme="majorHAnsi" w:hAnsiTheme="majorHAnsi" w:eastAsiaTheme="majorEastAsia" w:cstheme="majorBidi"/>
      <w:kern w:val="2"/>
      <w:sz w:val="24"/>
      <w:szCs w:val="24"/>
    </w:rPr>
  </w:style>
  <w:style w:type="character" w:customStyle="1" w:styleId="263">
    <w:name w:val="标题 9 Char"/>
    <w:basedOn w:val="53"/>
    <w:autoRedefine/>
    <w:qFormat/>
    <w:uiPriority w:val="0"/>
    <w:rPr>
      <w:rFonts w:asciiTheme="majorHAnsi" w:hAnsiTheme="majorHAnsi" w:eastAsiaTheme="majorEastAsia" w:cstheme="majorBidi"/>
      <w:kern w:val="2"/>
      <w:sz w:val="21"/>
      <w:szCs w:val="21"/>
    </w:rPr>
  </w:style>
  <w:style w:type="paragraph" w:customStyle="1" w:styleId="264">
    <w:name w:val="！表格内容"/>
    <w:basedOn w:val="1"/>
    <w:autoRedefine/>
    <w:qFormat/>
    <w:uiPriority w:val="0"/>
    <w:pPr>
      <w:spacing w:line="320" w:lineRule="atLeast"/>
    </w:pPr>
  </w:style>
  <w:style w:type="character" w:customStyle="1" w:styleId="265">
    <w:name w:val="页眉 Char2"/>
    <w:basedOn w:val="53"/>
    <w:autoRedefine/>
    <w:qFormat/>
    <w:uiPriority w:val="99"/>
    <w:rPr>
      <w:rFonts w:ascii="Times New Roman" w:hAnsi="Times New Roman" w:eastAsia="宋体" w:cs="Times New Roman"/>
      <w:sz w:val="18"/>
      <w:szCs w:val="18"/>
    </w:rPr>
  </w:style>
  <w:style w:type="character" w:customStyle="1" w:styleId="266">
    <w:name w:val="页脚 Char1"/>
    <w:basedOn w:val="53"/>
    <w:autoRedefine/>
    <w:qFormat/>
    <w:uiPriority w:val="99"/>
    <w:rPr>
      <w:rFonts w:ascii="Times New Roman" w:hAnsi="Times New Roman" w:eastAsia="宋体" w:cs="Times New Roman"/>
      <w:sz w:val="18"/>
      <w:szCs w:val="18"/>
    </w:rPr>
  </w:style>
  <w:style w:type="paragraph" w:customStyle="1" w:styleId="267">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3"/>
    <w:autoRedefine/>
    <w:qFormat/>
    <w:uiPriority w:val="99"/>
    <w:rPr>
      <w:rFonts w:ascii="Times New Roman" w:hAnsi="Times New Roman" w:eastAsia="宋体" w:cs="Times New Roman"/>
      <w:szCs w:val="24"/>
    </w:rPr>
  </w:style>
  <w:style w:type="character" w:customStyle="1" w:styleId="269">
    <w:name w:val="文档结构图 Char1"/>
    <w:basedOn w:val="53"/>
    <w:autoRedefine/>
    <w:qFormat/>
    <w:uiPriority w:val="0"/>
    <w:rPr>
      <w:rFonts w:ascii="宋体" w:hAnsi="Times New Roman" w:eastAsia="宋体" w:cs="Times New Roman"/>
      <w:sz w:val="18"/>
      <w:szCs w:val="18"/>
    </w:rPr>
  </w:style>
  <w:style w:type="character" w:customStyle="1" w:styleId="270">
    <w:name w:val="批注主题 Char1"/>
    <w:basedOn w:val="108"/>
    <w:autoRedefine/>
    <w:qFormat/>
    <w:uiPriority w:val="0"/>
    <w:rPr>
      <w:rFonts w:ascii="Times New Roman" w:hAnsi="Times New Roman" w:eastAsia="宋体" w:cs="Times New Roman"/>
      <w:b/>
      <w:bCs/>
      <w:szCs w:val="24"/>
    </w:rPr>
  </w:style>
  <w:style w:type="character" w:customStyle="1" w:styleId="271">
    <w:name w:val="批注框文本 Char1"/>
    <w:basedOn w:val="53"/>
    <w:autoRedefine/>
    <w:qFormat/>
    <w:uiPriority w:val="0"/>
    <w:rPr>
      <w:rFonts w:ascii="Times New Roman" w:hAnsi="Times New Roman" w:eastAsia="宋体" w:cs="Times New Roman"/>
      <w:sz w:val="18"/>
      <w:szCs w:val="18"/>
    </w:rPr>
  </w:style>
  <w:style w:type="character" w:customStyle="1" w:styleId="272">
    <w:name w:val="标题 1 Char1"/>
    <w:basedOn w:val="53"/>
    <w:autoRedefine/>
    <w:qFormat/>
    <w:uiPriority w:val="0"/>
    <w:rPr>
      <w:b/>
      <w:bCs/>
      <w:kern w:val="44"/>
      <w:sz w:val="44"/>
      <w:szCs w:val="44"/>
    </w:rPr>
  </w:style>
  <w:style w:type="character" w:customStyle="1" w:styleId="273">
    <w:name w:val="标题 2 Char1"/>
    <w:basedOn w:val="53"/>
    <w:autoRedefine/>
    <w:qFormat/>
    <w:uiPriority w:val="0"/>
    <w:rPr>
      <w:rFonts w:asciiTheme="majorHAnsi" w:hAnsiTheme="majorHAnsi" w:eastAsiaTheme="majorEastAsia" w:cstheme="majorBidi"/>
      <w:b/>
      <w:bCs/>
      <w:kern w:val="2"/>
      <w:sz w:val="32"/>
      <w:szCs w:val="32"/>
    </w:rPr>
  </w:style>
  <w:style w:type="character" w:customStyle="1" w:styleId="274">
    <w:name w:val="标题 3 Char1"/>
    <w:basedOn w:val="53"/>
    <w:autoRedefine/>
    <w:qFormat/>
    <w:uiPriority w:val="99"/>
    <w:rPr>
      <w:rFonts w:ascii="宋体" w:hAnsi="Arial"/>
      <w:b/>
      <w:kern w:val="2"/>
      <w:sz w:val="28"/>
    </w:rPr>
  </w:style>
  <w:style w:type="character" w:customStyle="1" w:styleId="275">
    <w:name w:val="Char Char3"/>
    <w:autoRedefine/>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autoRedefine/>
    <w:qFormat/>
    <w:uiPriority w:val="0"/>
    <w:rPr>
      <w:rFonts w:eastAsia="Times New Roman"/>
      <w:sz w:val="24"/>
      <w:szCs w:val="24"/>
    </w:rPr>
  </w:style>
  <w:style w:type="paragraph" w:customStyle="1" w:styleId="277">
    <w:name w:val="正文－段落"/>
    <w:link w:val="276"/>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autoRedefine/>
    <w:qFormat/>
    <w:uiPriority w:val="0"/>
    <w:rPr>
      <w:rFonts w:ascii="宋体" w:hAnsi="Courier New"/>
      <w:spacing w:val="-8"/>
      <w:kern w:val="2"/>
      <w:sz w:val="24"/>
    </w:rPr>
  </w:style>
  <w:style w:type="character" w:customStyle="1" w:styleId="279">
    <w:name w:val="日期 Char"/>
    <w:autoRedefine/>
    <w:qFormat/>
    <w:uiPriority w:val="0"/>
    <w:rPr>
      <w:rFonts w:ascii="宋体" w:hAnsi="宋体"/>
      <w:sz w:val="24"/>
    </w:rPr>
  </w:style>
  <w:style w:type="character" w:customStyle="1" w:styleId="280">
    <w:name w:val="Char Char9"/>
    <w:autoRedefine/>
    <w:qFormat/>
    <w:uiPriority w:val="0"/>
    <w:rPr>
      <w:rFonts w:hint="default" w:ascii="Calibri" w:hAnsi="Calibri" w:eastAsia="宋体"/>
      <w:sz w:val="18"/>
      <w:szCs w:val="18"/>
      <w:lang w:bidi="ar-SA"/>
    </w:rPr>
  </w:style>
  <w:style w:type="character" w:customStyle="1" w:styleId="281">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autoRedefine/>
    <w:qFormat/>
    <w:uiPriority w:val="0"/>
    <w:rPr>
      <w:rFonts w:ascii="黑体" w:hAnsi="Courier New" w:eastAsia="黑体" w:cs="Courier New"/>
    </w:rPr>
  </w:style>
  <w:style w:type="character" w:customStyle="1" w:styleId="283">
    <w:name w:val="1.5倍行距 Char Char"/>
    <w:link w:val="284"/>
    <w:autoRedefine/>
    <w:qFormat/>
    <w:uiPriority w:val="0"/>
    <w:rPr>
      <w:kern w:val="2"/>
      <w:sz w:val="21"/>
      <w:szCs w:val="24"/>
    </w:rPr>
  </w:style>
  <w:style w:type="paragraph" w:customStyle="1" w:styleId="284">
    <w:name w:val="1.5倍行距"/>
    <w:basedOn w:val="1"/>
    <w:link w:val="283"/>
    <w:autoRedefine/>
    <w:qFormat/>
    <w:uiPriority w:val="0"/>
    <w:pPr>
      <w:spacing w:line="360" w:lineRule="auto"/>
      <w:ind w:firstLine="420"/>
    </w:pPr>
  </w:style>
  <w:style w:type="character" w:customStyle="1" w:styleId="285">
    <w:name w:val="H2 Char1"/>
    <w:autoRedefine/>
    <w:qFormat/>
    <w:uiPriority w:val="0"/>
    <w:rPr>
      <w:rFonts w:ascii="Cambria" w:hAnsi="Cambria"/>
      <w:b/>
      <w:bCs/>
      <w:sz w:val="32"/>
      <w:szCs w:val="32"/>
    </w:rPr>
  </w:style>
  <w:style w:type="character" w:customStyle="1" w:styleId="286">
    <w:name w:val="Char Char4"/>
    <w:autoRedefine/>
    <w:qFormat/>
    <w:uiPriority w:val="0"/>
    <w:rPr>
      <w:rFonts w:hint="default" w:ascii="Calibri" w:hAnsi="Calibri" w:eastAsia="宋体"/>
      <w:kern w:val="2"/>
      <w:sz w:val="21"/>
      <w:szCs w:val="22"/>
      <w:lang w:val="en-US" w:eastAsia="zh-CN" w:bidi="ar-SA"/>
    </w:rPr>
  </w:style>
  <w:style w:type="character" w:customStyle="1" w:styleId="287">
    <w:name w:val="正文文本缩进 2 Char"/>
    <w:autoRedefine/>
    <w:qFormat/>
    <w:uiPriority w:val="0"/>
    <w:rPr>
      <w:kern w:val="2"/>
      <w:sz w:val="21"/>
    </w:rPr>
  </w:style>
  <w:style w:type="character" w:customStyle="1" w:styleId="288">
    <w:name w:val="签名 Char1"/>
    <w:link w:val="34"/>
    <w:autoRedefine/>
    <w:qFormat/>
    <w:uiPriority w:val="0"/>
    <w:rPr>
      <w:rFonts w:eastAsia="楷体_GB2312"/>
      <w:kern w:val="2"/>
      <w:sz w:val="21"/>
    </w:rPr>
  </w:style>
  <w:style w:type="character" w:customStyle="1" w:styleId="289">
    <w:name w:val="标题2 Char"/>
    <w:link w:val="290"/>
    <w:autoRedefine/>
    <w:qFormat/>
    <w:uiPriority w:val="0"/>
    <w:rPr>
      <w:rFonts w:ascii="仿宋" w:hAnsi="仿宋" w:eastAsia="仿宋"/>
      <w:b/>
      <w:bCs/>
      <w:color w:val="000000"/>
      <w:kern w:val="2"/>
      <w:sz w:val="24"/>
      <w:szCs w:val="24"/>
    </w:rPr>
  </w:style>
  <w:style w:type="paragraph" w:customStyle="1" w:styleId="290">
    <w:name w:val="标题2"/>
    <w:basedOn w:val="291"/>
    <w:link w:val="289"/>
    <w:autoRedefine/>
    <w:qFormat/>
    <w:uiPriority w:val="0"/>
    <w:pPr>
      <w:tabs>
        <w:tab w:val="left" w:pos="425"/>
        <w:tab w:val="left" w:pos="709"/>
        <w:tab w:val="left" w:pos="851"/>
        <w:tab w:val="left" w:pos="1419"/>
      </w:tabs>
    </w:pPr>
    <w:rPr>
      <w:szCs w:val="24"/>
    </w:rPr>
  </w:style>
  <w:style w:type="paragraph" w:customStyle="1" w:styleId="291">
    <w:name w:val="三级"/>
    <w:basedOn w:val="5"/>
    <w:link w:val="292"/>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autoRedefine/>
    <w:qFormat/>
    <w:uiPriority w:val="0"/>
    <w:rPr>
      <w:rFonts w:ascii="仿宋" w:hAnsi="仿宋" w:eastAsia="仿宋"/>
      <w:b/>
      <w:bCs/>
      <w:color w:val="000000"/>
      <w:kern w:val="2"/>
      <w:sz w:val="32"/>
      <w:szCs w:val="32"/>
    </w:rPr>
  </w:style>
  <w:style w:type="character" w:customStyle="1" w:styleId="293">
    <w:name w:val="正文首行缩进 2 Char"/>
    <w:link w:val="50"/>
    <w:autoRedefine/>
    <w:qFormat/>
    <w:uiPriority w:val="0"/>
    <w:rPr>
      <w:sz w:val="24"/>
      <w:szCs w:val="24"/>
    </w:rPr>
  </w:style>
  <w:style w:type="character" w:customStyle="1" w:styleId="294">
    <w:name w:val="正文首行缩进 Char Char Char1"/>
    <w:autoRedefine/>
    <w:qFormat/>
    <w:uiPriority w:val="0"/>
    <w:rPr>
      <w:rFonts w:ascii="Times New Roman" w:hAnsi="Times New Roman"/>
      <w:kern w:val="2"/>
      <w:sz w:val="24"/>
      <w:szCs w:val="24"/>
    </w:rPr>
  </w:style>
  <w:style w:type="character" w:customStyle="1" w:styleId="295">
    <w:name w:val="标题 Char1"/>
    <w:autoRedefine/>
    <w:qFormat/>
    <w:uiPriority w:val="0"/>
    <w:rPr>
      <w:rFonts w:ascii="Arial" w:hAnsi="Arial"/>
      <w:b/>
      <w:kern w:val="2"/>
      <w:sz w:val="36"/>
      <w:szCs w:val="24"/>
    </w:rPr>
  </w:style>
  <w:style w:type="character" w:customStyle="1" w:styleId="296">
    <w:name w:val="正文文本 字符"/>
    <w:autoRedefine/>
    <w:qFormat/>
    <w:uiPriority w:val="0"/>
    <w:rPr>
      <w:rFonts w:eastAsia="宋体"/>
      <w:kern w:val="2"/>
      <w:sz w:val="21"/>
      <w:szCs w:val="24"/>
      <w:lang w:bidi="ar-SA"/>
    </w:rPr>
  </w:style>
  <w:style w:type="character" w:customStyle="1" w:styleId="297">
    <w:name w:val="正文文本缩进 Char"/>
    <w:autoRedefine/>
    <w:qFormat/>
    <w:uiPriority w:val="0"/>
    <w:rPr>
      <w:kern w:val="2"/>
      <w:sz w:val="24"/>
    </w:rPr>
  </w:style>
  <w:style w:type="character" w:customStyle="1" w:styleId="298">
    <w:name w:val="题注 Char1"/>
    <w:link w:val="17"/>
    <w:autoRedefine/>
    <w:qFormat/>
    <w:uiPriority w:val="0"/>
    <w:rPr>
      <w:rFonts w:ascii="Cambria" w:hAnsi="Cambria" w:eastAsia="黑体"/>
      <w:kern w:val="2"/>
      <w:sz w:val="21"/>
      <w:szCs w:val="24"/>
    </w:rPr>
  </w:style>
  <w:style w:type="character" w:customStyle="1" w:styleId="299">
    <w:name w:val="bt Char1"/>
    <w:autoRedefine/>
    <w:qFormat/>
    <w:uiPriority w:val="0"/>
    <w:rPr>
      <w:rFonts w:ascii="Times New Roman" w:hAnsi="Times New Roman"/>
      <w:kern w:val="2"/>
      <w:sz w:val="24"/>
      <w:szCs w:val="24"/>
    </w:rPr>
  </w:style>
  <w:style w:type="character" w:customStyle="1" w:styleId="300">
    <w:name w:val="Char Char18"/>
    <w:autoRedefine/>
    <w:qFormat/>
    <w:uiPriority w:val="0"/>
    <w:rPr>
      <w:rFonts w:hint="default" w:ascii="Cambria" w:hAnsi="Cambria" w:eastAsia="宋体"/>
      <w:b/>
      <w:bCs/>
      <w:sz w:val="32"/>
      <w:szCs w:val="32"/>
      <w:lang w:bidi="ar-SA"/>
    </w:rPr>
  </w:style>
  <w:style w:type="character" w:customStyle="1" w:styleId="301">
    <w:name w:val="四级 Char"/>
    <w:link w:val="302"/>
    <w:autoRedefine/>
    <w:qFormat/>
    <w:uiPriority w:val="0"/>
    <w:rPr>
      <w:rFonts w:ascii="仿宋" w:hAnsi="仿宋" w:eastAsia="仿宋"/>
      <w:bCs/>
      <w:kern w:val="2"/>
      <w:sz w:val="32"/>
      <w:szCs w:val="32"/>
    </w:rPr>
  </w:style>
  <w:style w:type="paragraph" w:customStyle="1" w:styleId="302">
    <w:name w:val="四级"/>
    <w:basedOn w:val="7"/>
    <w:link w:val="301"/>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3"/>
    <w:autoRedefine/>
    <w:qFormat/>
    <w:uiPriority w:val="0"/>
  </w:style>
  <w:style w:type="character" w:customStyle="1" w:styleId="304">
    <w:name w:val="p141"/>
    <w:autoRedefine/>
    <w:qFormat/>
    <w:uiPriority w:val="0"/>
    <w:rPr>
      <w:sz w:val="21"/>
      <w:szCs w:val="21"/>
    </w:rPr>
  </w:style>
  <w:style w:type="character" w:customStyle="1" w:styleId="305">
    <w:name w:val="正文文本缩进 3 Char"/>
    <w:autoRedefine/>
    <w:qFormat/>
    <w:uiPriority w:val="0"/>
    <w:rPr>
      <w:kern w:val="2"/>
      <w:sz w:val="21"/>
    </w:rPr>
  </w:style>
  <w:style w:type="character" w:customStyle="1" w:styleId="306">
    <w:name w:val="Char Char13"/>
    <w:autoRedefine/>
    <w:qFormat/>
    <w:uiPriority w:val="0"/>
    <w:rPr>
      <w:rFonts w:ascii="Cambria" w:hAnsi="Cambria" w:eastAsia="宋体"/>
      <w:sz w:val="24"/>
      <w:szCs w:val="24"/>
      <w:lang w:bidi="ar-SA"/>
    </w:rPr>
  </w:style>
  <w:style w:type="character" w:customStyle="1" w:styleId="307">
    <w:name w:val="正文文本 2 Char1"/>
    <w:link w:val="44"/>
    <w:autoRedefine/>
    <w:qFormat/>
    <w:uiPriority w:val="0"/>
    <w:rPr>
      <w:kern w:val="2"/>
      <w:sz w:val="28"/>
    </w:rPr>
  </w:style>
  <w:style w:type="character" w:customStyle="1" w:styleId="308">
    <w:name w:val="Char Char5"/>
    <w:autoRedefine/>
    <w:qFormat/>
    <w:uiPriority w:val="0"/>
    <w:rPr>
      <w:rFonts w:ascii="宋体" w:hAnsi="宋体" w:eastAsia="宋体"/>
      <w:b/>
      <w:bCs/>
      <w:szCs w:val="24"/>
      <w:lang w:bidi="ar-SA"/>
    </w:rPr>
  </w:style>
  <w:style w:type="character" w:customStyle="1" w:styleId="309">
    <w:name w:val="正文文本 2 Char"/>
    <w:autoRedefine/>
    <w:qFormat/>
    <w:uiPriority w:val="0"/>
    <w:rPr>
      <w:kern w:val="2"/>
      <w:sz w:val="28"/>
    </w:rPr>
  </w:style>
  <w:style w:type="character" w:customStyle="1" w:styleId="310">
    <w:name w:val="Char Char6"/>
    <w:autoRedefine/>
    <w:qFormat/>
    <w:uiPriority w:val="0"/>
    <w:rPr>
      <w:rFonts w:ascii="宋体" w:hAnsi="宋体" w:eastAsia="宋体"/>
      <w:szCs w:val="24"/>
      <w:lang w:bidi="ar-SA"/>
    </w:rPr>
  </w:style>
  <w:style w:type="character" w:customStyle="1" w:styleId="311">
    <w:name w:val="Char Char15"/>
    <w:autoRedefine/>
    <w:qFormat/>
    <w:uiPriority w:val="0"/>
    <w:rPr>
      <w:rFonts w:hint="default" w:ascii="Cambria" w:hAnsi="Cambria" w:eastAsia="宋体"/>
      <w:b/>
      <w:bCs/>
      <w:sz w:val="24"/>
      <w:szCs w:val="24"/>
      <w:lang w:bidi="ar-SA"/>
    </w:rPr>
  </w:style>
  <w:style w:type="character" w:customStyle="1" w:styleId="312">
    <w:name w:val="H4 Char"/>
    <w:autoRedefine/>
    <w:qFormat/>
    <w:uiPriority w:val="0"/>
    <w:rPr>
      <w:rFonts w:ascii="Cambria" w:hAnsi="Cambria" w:eastAsia="仿宋_GB2312"/>
      <w:b/>
      <w:bCs/>
      <w:sz w:val="32"/>
      <w:szCs w:val="28"/>
    </w:rPr>
  </w:style>
  <w:style w:type="character" w:customStyle="1" w:styleId="313">
    <w:name w:val="Char Char20"/>
    <w:autoRedefine/>
    <w:qFormat/>
    <w:uiPriority w:val="0"/>
    <w:rPr>
      <w:rFonts w:eastAsia="宋体"/>
      <w:b/>
      <w:kern w:val="2"/>
      <w:sz w:val="28"/>
      <w:lang w:bidi="ar-SA"/>
    </w:rPr>
  </w:style>
  <w:style w:type="character" w:customStyle="1" w:styleId="314">
    <w:name w:val="正文文本缩进 3 Char1"/>
    <w:link w:val="41"/>
    <w:autoRedefine/>
    <w:qFormat/>
    <w:uiPriority w:val="0"/>
    <w:rPr>
      <w:kern w:val="2"/>
      <w:sz w:val="21"/>
    </w:rPr>
  </w:style>
  <w:style w:type="character" w:customStyle="1" w:styleId="315">
    <w:name w:val="Char Char16"/>
    <w:autoRedefine/>
    <w:qFormat/>
    <w:uiPriority w:val="0"/>
    <w:rPr>
      <w:rFonts w:hint="eastAsia" w:ascii="仿宋_GB2313" w:hAnsi="仿宋_GB2313" w:eastAsia="仿宋_GB2312"/>
      <w:b/>
      <w:bCs/>
      <w:sz w:val="32"/>
      <w:szCs w:val="28"/>
      <w:lang w:bidi="ar-SA"/>
    </w:rPr>
  </w:style>
  <w:style w:type="character" w:customStyle="1" w:styleId="316">
    <w:name w:val="Char Char7"/>
    <w:autoRedefine/>
    <w:qFormat/>
    <w:uiPriority w:val="0"/>
    <w:rPr>
      <w:rFonts w:ascii="宋体" w:hAnsi="宋体" w:eastAsia="宋体"/>
      <w:sz w:val="24"/>
      <w:szCs w:val="24"/>
      <w:lang w:bidi="ar-SA"/>
    </w:rPr>
  </w:style>
  <w:style w:type="character" w:customStyle="1" w:styleId="317">
    <w:name w:val="日期 Char1"/>
    <w:link w:val="29"/>
    <w:autoRedefine/>
    <w:qFormat/>
    <w:uiPriority w:val="0"/>
    <w:rPr>
      <w:rFonts w:ascii="宋体" w:hAnsi="宋体"/>
      <w:kern w:val="2"/>
      <w:sz w:val="24"/>
      <w:szCs w:val="24"/>
    </w:rPr>
  </w:style>
  <w:style w:type="character" w:customStyle="1" w:styleId="318">
    <w:name w:val="Char Char12"/>
    <w:autoRedefine/>
    <w:qFormat/>
    <w:uiPriority w:val="0"/>
    <w:rPr>
      <w:rFonts w:hint="default" w:ascii="Cambria" w:hAnsi="Cambria" w:eastAsia="宋体"/>
      <w:szCs w:val="21"/>
      <w:lang w:bidi="ar-SA"/>
    </w:rPr>
  </w:style>
  <w:style w:type="character" w:customStyle="1" w:styleId="319">
    <w:name w:val="标题 4 Char"/>
    <w:autoRedefine/>
    <w:qFormat/>
    <w:uiPriority w:val="0"/>
    <w:rPr>
      <w:rFonts w:ascii="Arial" w:hAnsi="Arial" w:eastAsia="黑体"/>
      <w:b/>
      <w:kern w:val="2"/>
      <w:sz w:val="24"/>
    </w:rPr>
  </w:style>
  <w:style w:type="character" w:customStyle="1" w:styleId="320">
    <w:name w:val="Char Char2"/>
    <w:autoRedefine/>
    <w:qFormat/>
    <w:uiPriority w:val="0"/>
    <w:rPr>
      <w:rFonts w:ascii="宋体" w:hAnsi="宋体" w:eastAsia="宋体"/>
      <w:kern w:val="2"/>
      <w:sz w:val="24"/>
      <w:szCs w:val="24"/>
      <w:lang w:val="en-US" w:eastAsia="zh-CN" w:bidi="ar-SA"/>
    </w:rPr>
  </w:style>
  <w:style w:type="character" w:customStyle="1" w:styleId="321">
    <w:name w:val="*正文 Char"/>
    <w:link w:val="322"/>
    <w:autoRedefine/>
    <w:qFormat/>
    <w:uiPriority w:val="0"/>
    <w:rPr>
      <w:rFonts w:ascii="宋体" w:hAnsi="宋体"/>
      <w:sz w:val="24"/>
      <w:szCs w:val="24"/>
    </w:rPr>
  </w:style>
  <w:style w:type="paragraph" w:customStyle="1" w:styleId="322">
    <w:name w:val="*正文"/>
    <w:basedOn w:val="1"/>
    <w:link w:val="321"/>
    <w:autoRedefine/>
    <w:qFormat/>
    <w:uiPriority w:val="0"/>
    <w:pPr>
      <w:spacing w:line="360" w:lineRule="auto"/>
      <w:ind w:firstLine="200" w:firstLineChars="200"/>
    </w:pPr>
    <w:rPr>
      <w:rFonts w:ascii="宋体" w:hAnsi="宋体"/>
      <w:kern w:val="0"/>
      <w:sz w:val="24"/>
    </w:rPr>
  </w:style>
  <w:style w:type="character" w:customStyle="1" w:styleId="323">
    <w:name w:val="页脚 字符1"/>
    <w:autoRedefine/>
    <w:qFormat/>
    <w:uiPriority w:val="0"/>
    <w:rPr>
      <w:rFonts w:eastAsia="宋体"/>
      <w:kern w:val="2"/>
      <w:sz w:val="18"/>
      <w:lang w:bidi="ar-SA"/>
    </w:rPr>
  </w:style>
  <w:style w:type="character" w:customStyle="1" w:styleId="324">
    <w:name w:val="GP正文[858D7CFB-ED40-4347-BF05-701D383B685F]"/>
    <w:link w:val="325"/>
    <w:autoRedefine/>
    <w:qFormat/>
    <w:uiPriority w:val="0"/>
    <w:rPr>
      <w:rFonts w:ascii="宋体" w:hAnsi="宋体"/>
      <w:kern w:val="2"/>
      <w:sz w:val="24"/>
      <w:szCs w:val="24"/>
    </w:rPr>
  </w:style>
  <w:style w:type="paragraph" w:customStyle="1" w:styleId="325">
    <w:name w:val="GP正文"/>
    <w:basedOn w:val="1"/>
    <w:link w:val="324"/>
    <w:autoRedefine/>
    <w:qFormat/>
    <w:uiPriority w:val="0"/>
    <w:pPr>
      <w:spacing w:line="360" w:lineRule="auto"/>
      <w:ind w:firstLine="200" w:firstLineChars="200"/>
      <w:jc w:val="left"/>
    </w:pPr>
    <w:rPr>
      <w:rFonts w:ascii="宋体" w:hAnsi="宋体"/>
      <w:sz w:val="24"/>
    </w:rPr>
  </w:style>
  <w:style w:type="character" w:customStyle="1" w:styleId="326">
    <w:name w:val="Char Char14"/>
    <w:autoRedefine/>
    <w:qFormat/>
    <w:uiPriority w:val="0"/>
    <w:rPr>
      <w:rFonts w:ascii="Calibri" w:hAnsi="Calibri" w:eastAsia="宋体"/>
      <w:b/>
      <w:bCs/>
      <w:sz w:val="24"/>
      <w:szCs w:val="24"/>
      <w:lang w:bidi="ar-SA"/>
    </w:rPr>
  </w:style>
  <w:style w:type="character" w:customStyle="1" w:styleId="327">
    <w:name w:val="Char Char19"/>
    <w:autoRedefine/>
    <w:qFormat/>
    <w:uiPriority w:val="0"/>
    <w:rPr>
      <w:rFonts w:ascii="Arial" w:hAnsi="Arial" w:eastAsia="黑体"/>
      <w:b/>
      <w:kern w:val="2"/>
      <w:sz w:val="24"/>
      <w:lang w:bidi="ar-SA"/>
    </w:rPr>
  </w:style>
  <w:style w:type="character" w:customStyle="1" w:styleId="328">
    <w:name w:val="正文文本 Char1"/>
    <w:autoRedefine/>
    <w:qFormat/>
    <w:uiPriority w:val="0"/>
    <w:rPr>
      <w:kern w:val="2"/>
      <w:sz w:val="21"/>
      <w:szCs w:val="24"/>
    </w:rPr>
  </w:style>
  <w:style w:type="character" w:customStyle="1" w:styleId="329">
    <w:name w:val="二级 Char"/>
    <w:link w:val="330"/>
    <w:autoRedefine/>
    <w:qFormat/>
    <w:uiPriority w:val="0"/>
    <w:rPr>
      <w:rFonts w:ascii="仿宋" w:hAnsi="仿宋" w:eastAsia="仿宋"/>
      <w:b/>
      <w:bCs/>
      <w:spacing w:val="24"/>
      <w:kern w:val="2"/>
      <w:sz w:val="32"/>
      <w:szCs w:val="32"/>
    </w:rPr>
  </w:style>
  <w:style w:type="paragraph" w:customStyle="1" w:styleId="330">
    <w:name w:val="二级"/>
    <w:basedOn w:val="6"/>
    <w:link w:val="329"/>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autoRedefine/>
    <w:qFormat/>
    <w:uiPriority w:val="0"/>
    <w:rPr>
      <w:rFonts w:eastAsia="楷体_GB2312"/>
      <w:kern w:val="2"/>
      <w:sz w:val="21"/>
    </w:rPr>
  </w:style>
  <w:style w:type="character" w:customStyle="1" w:styleId="332">
    <w:name w:val="Char Char"/>
    <w:autoRedefine/>
    <w:qFormat/>
    <w:uiPriority w:val="0"/>
    <w:rPr>
      <w:rFonts w:hint="eastAsia" w:ascii="宋体" w:hAnsi="Courier New" w:eastAsia="宋体"/>
      <w:spacing w:val="-8"/>
      <w:kern w:val="2"/>
      <w:sz w:val="24"/>
      <w:lang w:val="en-US" w:eastAsia="zh-CN" w:bidi="ar-SA"/>
    </w:rPr>
  </w:style>
  <w:style w:type="character" w:customStyle="1" w:styleId="333">
    <w:name w:val="Char Char11"/>
    <w:autoRedefine/>
    <w:qFormat/>
    <w:uiPriority w:val="0"/>
    <w:rPr>
      <w:rFonts w:hint="default" w:ascii="Calibri" w:hAnsi="Calibri" w:eastAsia="宋体"/>
      <w:sz w:val="18"/>
      <w:szCs w:val="18"/>
      <w:lang w:bidi="ar-SA"/>
    </w:rPr>
  </w:style>
  <w:style w:type="character" w:customStyle="1" w:styleId="334">
    <w:name w:val="页眉 字符1"/>
    <w:autoRedefine/>
    <w:qFormat/>
    <w:uiPriority w:val="0"/>
    <w:rPr>
      <w:rFonts w:eastAsia="宋体"/>
      <w:kern w:val="2"/>
      <w:sz w:val="18"/>
      <w:szCs w:val="18"/>
      <w:lang w:bidi="ar-SA"/>
    </w:rPr>
  </w:style>
  <w:style w:type="character" w:customStyle="1" w:styleId="335">
    <w:name w:val="正文首行缩进 Char1"/>
    <w:autoRedefine/>
    <w:qFormat/>
    <w:uiPriority w:val="0"/>
    <w:rPr>
      <w:kern w:val="2"/>
      <w:sz w:val="21"/>
    </w:rPr>
  </w:style>
  <w:style w:type="character" w:customStyle="1" w:styleId="336">
    <w:name w:val="页眉 Char1"/>
    <w:autoRedefine/>
    <w:qFormat/>
    <w:uiPriority w:val="0"/>
    <w:rPr>
      <w:rFonts w:eastAsia="宋体"/>
      <w:kern w:val="2"/>
      <w:sz w:val="18"/>
      <w:szCs w:val="18"/>
      <w:lang w:val="en-US" w:eastAsia="zh-CN" w:bidi="ar-SA"/>
    </w:rPr>
  </w:style>
  <w:style w:type="character" w:customStyle="1" w:styleId="337">
    <w:name w:val="题注 Char"/>
    <w:autoRedefine/>
    <w:qFormat/>
    <w:uiPriority w:val="0"/>
    <w:rPr>
      <w:rFonts w:ascii="Cambria" w:hAnsi="Cambria" w:eastAsia="黑体"/>
      <w:kern w:val="2"/>
      <w:lang w:bidi="ar-SA"/>
    </w:rPr>
  </w:style>
  <w:style w:type="character" w:customStyle="1" w:styleId="338">
    <w:name w:val="样式 标题 3 + 小四 Char"/>
    <w:autoRedefine/>
    <w:qFormat/>
    <w:uiPriority w:val="0"/>
    <w:rPr>
      <w:rFonts w:ascii="宋体" w:hAnsi="宋体" w:cs="Arial"/>
      <w:b/>
      <w:bCs/>
      <w:smallCaps/>
      <w:sz w:val="24"/>
      <w:lang w:val="en-US" w:eastAsia="zh-CN"/>
    </w:rPr>
  </w:style>
  <w:style w:type="character" w:customStyle="1" w:styleId="339">
    <w:name w:val="unnamed21"/>
    <w:autoRedefine/>
    <w:qFormat/>
    <w:uiPriority w:val="0"/>
    <w:rPr>
      <w:color w:val="CC6633"/>
      <w:u w:val="none"/>
    </w:rPr>
  </w:style>
  <w:style w:type="character" w:customStyle="1" w:styleId="340">
    <w:name w:val="16"/>
    <w:autoRedefine/>
    <w:qFormat/>
    <w:uiPriority w:val="0"/>
    <w:rPr>
      <w:rFonts w:hint="eastAsia" w:ascii="宋体" w:hAnsi="宋体" w:eastAsia="宋体" w:cs="Arial"/>
      <w:b/>
      <w:bCs/>
      <w:smallCaps/>
      <w:kern w:val="2"/>
      <w:sz w:val="24"/>
      <w:szCs w:val="24"/>
    </w:rPr>
  </w:style>
  <w:style w:type="character" w:customStyle="1" w:styleId="341">
    <w:name w:val="正文文本缩进 字符"/>
    <w:autoRedefine/>
    <w:qFormat/>
    <w:uiPriority w:val="0"/>
    <w:rPr>
      <w:rFonts w:eastAsia="宋体"/>
      <w:kern w:val="2"/>
      <w:sz w:val="24"/>
      <w:lang w:bidi="ar-SA"/>
    </w:rPr>
  </w:style>
  <w:style w:type="character" w:customStyle="1" w:styleId="342">
    <w:name w:val="Char Char8"/>
    <w:autoRedefine/>
    <w:qFormat/>
    <w:uiPriority w:val="0"/>
    <w:rPr>
      <w:rFonts w:hint="default" w:ascii="Calibri" w:hAnsi="Calibri" w:eastAsia="宋体"/>
      <w:kern w:val="2"/>
      <w:sz w:val="21"/>
      <w:szCs w:val="22"/>
      <w:lang w:val="en-US" w:eastAsia="zh-CN" w:bidi="ar-SA"/>
    </w:rPr>
  </w:style>
  <w:style w:type="character" w:customStyle="1" w:styleId="343">
    <w:name w:val="H3 Char1"/>
    <w:autoRedefine/>
    <w:qFormat/>
    <w:uiPriority w:val="0"/>
    <w:rPr>
      <w:rFonts w:ascii="仿宋_GB2312" w:eastAsia="仿宋_GB2312"/>
      <w:b/>
      <w:bCs/>
      <w:color w:val="000000"/>
      <w:kern w:val="2"/>
      <w:sz w:val="32"/>
      <w:szCs w:val="32"/>
    </w:rPr>
  </w:style>
  <w:style w:type="character" w:customStyle="1" w:styleId="344">
    <w:name w:val="Char Char1"/>
    <w:autoRedefine/>
    <w:qFormat/>
    <w:uiPriority w:val="0"/>
    <w:rPr>
      <w:rFonts w:hint="eastAsia" w:ascii="宋体" w:hAnsi="宋体" w:eastAsia="宋体"/>
      <w:kern w:val="2"/>
      <w:sz w:val="21"/>
      <w:szCs w:val="24"/>
      <w:lang w:val="en-US" w:eastAsia="zh-CN" w:bidi="ar-SA"/>
    </w:rPr>
  </w:style>
  <w:style w:type="character" w:customStyle="1" w:styleId="345">
    <w:name w:val="Char Char10"/>
    <w:autoRedefine/>
    <w:qFormat/>
    <w:uiPriority w:val="0"/>
    <w:rPr>
      <w:rFonts w:eastAsia="宋体"/>
      <w:kern w:val="2"/>
      <w:sz w:val="18"/>
      <w:szCs w:val="18"/>
      <w:lang w:val="en-US" w:eastAsia="zh-CN" w:bidi="ar-SA"/>
    </w:rPr>
  </w:style>
  <w:style w:type="character" w:customStyle="1" w:styleId="346">
    <w:name w:val="文档正文 Char"/>
    <w:link w:val="347"/>
    <w:autoRedefine/>
    <w:qFormat/>
    <w:uiPriority w:val="0"/>
    <w:rPr>
      <w:rFonts w:ascii="Arial" w:hAnsi="Arial" w:cs="Arial"/>
      <w:bCs/>
      <w:kern w:val="2"/>
      <w:sz w:val="24"/>
      <w:szCs w:val="24"/>
    </w:rPr>
  </w:style>
  <w:style w:type="paragraph" w:customStyle="1" w:styleId="347">
    <w:name w:val="文档正文"/>
    <w:basedOn w:val="1"/>
    <w:link w:val="346"/>
    <w:autoRedefine/>
    <w:qFormat/>
    <w:uiPriority w:val="0"/>
    <w:rPr>
      <w:rFonts w:ascii="Arial" w:hAnsi="Arial" w:cs="Arial"/>
      <w:bCs/>
      <w:sz w:val="24"/>
    </w:rPr>
  </w:style>
  <w:style w:type="character" w:customStyle="1" w:styleId="348">
    <w:name w:val="正文文本 2 Char2"/>
    <w:basedOn w:val="53"/>
    <w:autoRedefine/>
    <w:semiHidden/>
    <w:qFormat/>
    <w:uiPriority w:val="0"/>
    <w:rPr>
      <w:kern w:val="2"/>
      <w:sz w:val="21"/>
      <w:szCs w:val="24"/>
    </w:rPr>
  </w:style>
  <w:style w:type="character" w:customStyle="1" w:styleId="349">
    <w:name w:val="标题 字符1"/>
    <w:basedOn w:val="53"/>
    <w:autoRedefine/>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autoRedefine/>
    <w:qFormat/>
    <w:uiPriority w:val="0"/>
    <w:rPr>
      <w:kern w:val="2"/>
      <w:sz w:val="21"/>
      <w:szCs w:val="24"/>
    </w:rPr>
  </w:style>
  <w:style w:type="character" w:customStyle="1" w:styleId="351">
    <w:name w:val="签名 Char2"/>
    <w:basedOn w:val="53"/>
    <w:autoRedefine/>
    <w:semiHidden/>
    <w:qFormat/>
    <w:uiPriority w:val="0"/>
    <w:rPr>
      <w:kern w:val="2"/>
      <w:sz w:val="21"/>
      <w:szCs w:val="24"/>
    </w:rPr>
  </w:style>
  <w:style w:type="character" w:customStyle="1" w:styleId="352">
    <w:name w:val="正文文本缩进 3 Char2"/>
    <w:basedOn w:val="53"/>
    <w:autoRedefine/>
    <w:semiHidden/>
    <w:qFormat/>
    <w:uiPriority w:val="0"/>
    <w:rPr>
      <w:kern w:val="2"/>
      <w:sz w:val="16"/>
      <w:szCs w:val="16"/>
    </w:rPr>
  </w:style>
  <w:style w:type="character" w:customStyle="1" w:styleId="353">
    <w:name w:val="日期 Char2"/>
    <w:basedOn w:val="53"/>
    <w:autoRedefine/>
    <w:semiHidden/>
    <w:qFormat/>
    <w:uiPriority w:val="0"/>
    <w:rPr>
      <w:kern w:val="2"/>
      <w:sz w:val="21"/>
      <w:szCs w:val="24"/>
    </w:rPr>
  </w:style>
  <w:style w:type="paragraph" w:customStyle="1" w:styleId="354">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autoRedefine/>
    <w:qFormat/>
    <w:uiPriority w:val="0"/>
    <w:pPr>
      <w:widowControl/>
      <w:jc w:val="center"/>
    </w:pPr>
    <w:rPr>
      <w:rFonts w:ascii="Arial" w:hAnsi="Arial"/>
      <w:b/>
      <w:kern w:val="0"/>
      <w:sz w:val="18"/>
      <w:szCs w:val="20"/>
    </w:rPr>
  </w:style>
  <w:style w:type="paragraph" w:customStyle="1" w:styleId="360">
    <w:name w:val="4"/>
    <w:basedOn w:val="1"/>
    <w:next w:val="1"/>
    <w:autoRedefine/>
    <w:qFormat/>
    <w:uiPriority w:val="0"/>
  </w:style>
  <w:style w:type="paragraph" w:customStyle="1" w:styleId="361">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autoRedefine/>
    <w:qFormat/>
    <w:uiPriority w:val="0"/>
    <w:pPr>
      <w:spacing w:line="360" w:lineRule="auto"/>
      <w:ind w:firstLine="200" w:firstLineChars="200"/>
    </w:pPr>
    <w:rPr>
      <w:szCs w:val="20"/>
    </w:rPr>
  </w:style>
  <w:style w:type="paragraph" w:customStyle="1" w:styleId="363">
    <w:name w:val="样式 标题 5H5dashdsddh5PIM 5口一heading 5Titre5Table label...3"/>
    <w:basedOn w:val="8"/>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6"/>
    <w:autoRedefine/>
    <w:qFormat/>
    <w:uiPriority w:val="0"/>
    <w:pPr>
      <w:tabs>
        <w:tab w:val="right" w:leader="dot" w:pos="9458"/>
      </w:tabs>
    </w:pPr>
    <w:rPr>
      <w:rFonts w:ascii="Arial" w:cs="Arial"/>
      <w:i/>
    </w:rPr>
  </w:style>
  <w:style w:type="paragraph" w:customStyle="1" w:styleId="366">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autoRedefine/>
    <w:qFormat/>
    <w:uiPriority w:val="0"/>
    <w:pPr>
      <w:keepLines/>
      <w:widowControl/>
      <w:spacing w:beforeLines="50" w:afterLines="50" w:line="300" w:lineRule="auto"/>
    </w:pPr>
    <w:rPr>
      <w:rFonts w:ascii="Arial" w:hAnsi="Arial"/>
      <w:bCs/>
    </w:rPr>
  </w:style>
  <w:style w:type="paragraph" w:customStyle="1" w:styleId="368">
    <w:name w:val="样式5"/>
    <w:basedOn w:val="369"/>
    <w:next w:val="369"/>
    <w:autoRedefine/>
    <w:qFormat/>
    <w:uiPriority w:val="0"/>
    <w:pPr>
      <w:tabs>
        <w:tab w:val="right" w:leader="dot" w:pos="9458"/>
      </w:tabs>
    </w:pPr>
  </w:style>
  <w:style w:type="paragraph" w:customStyle="1" w:styleId="369">
    <w:name w:val="样式4"/>
    <w:basedOn w:val="35"/>
    <w:autoRedefine/>
    <w:qFormat/>
    <w:uiPriority w:val="0"/>
    <w:pPr>
      <w:tabs>
        <w:tab w:val="right" w:leader="dot" w:pos="9458"/>
      </w:tabs>
    </w:pPr>
    <w:rPr>
      <w:b w:val="0"/>
    </w:rPr>
  </w:style>
  <w:style w:type="paragraph" w:customStyle="1" w:styleId="370">
    <w:name w:val="TOC 标题1"/>
    <w:basedOn w:val="4"/>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autoRedefine/>
    <w:qFormat/>
    <w:uiPriority w:val="0"/>
    <w:pPr>
      <w:widowControl/>
      <w:jc w:val="center"/>
    </w:pPr>
    <w:rPr>
      <w:rFonts w:ascii="Arial" w:hAnsi="Arial"/>
      <w:snapToGrid w:val="0"/>
      <w:kern w:val="0"/>
      <w:sz w:val="18"/>
      <w:szCs w:val="20"/>
    </w:rPr>
  </w:style>
  <w:style w:type="paragraph" w:customStyle="1" w:styleId="375">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4"/>
    <w:next w:val="379"/>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autoRedefine/>
    <w:qFormat/>
    <w:uiPriority w:val="0"/>
    <w:pPr>
      <w:ind w:firstLine="567"/>
    </w:pPr>
    <w:rPr>
      <w:spacing w:val="20"/>
      <w:sz w:val="24"/>
      <w:szCs w:val="20"/>
    </w:rPr>
  </w:style>
  <w:style w:type="paragraph" w:customStyle="1" w:styleId="386">
    <w:name w:val="_正文"/>
    <w:basedOn w:val="1"/>
    <w:autoRedefine/>
    <w:qFormat/>
    <w:uiPriority w:val="99"/>
    <w:pPr>
      <w:spacing w:line="360" w:lineRule="auto"/>
      <w:ind w:firstLine="200" w:firstLineChars="200"/>
    </w:pPr>
    <w:rPr>
      <w:rFonts w:ascii="宋体" w:hAnsi="宋体"/>
      <w:sz w:val="24"/>
    </w:rPr>
  </w:style>
  <w:style w:type="paragraph" w:customStyle="1" w:styleId="387">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9">
    <w:name w:val="_Style 15"/>
    <w:basedOn w:val="1"/>
    <w:autoRedefine/>
    <w:qFormat/>
    <w:uiPriority w:val="0"/>
  </w:style>
  <w:style w:type="paragraph" w:customStyle="1" w:styleId="390">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7"/>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3"/>
    <w:autoRedefine/>
    <w:qFormat/>
    <w:uiPriority w:val="0"/>
    <w:pPr>
      <w:ind w:left="572" w:right="32" w:firstLine="478"/>
    </w:pPr>
    <w:rPr>
      <w:szCs w:val="21"/>
    </w:rPr>
  </w:style>
  <w:style w:type="paragraph" w:customStyle="1" w:styleId="398">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9">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autoRedefine/>
    <w:qFormat/>
    <w:uiPriority w:val="0"/>
    <w:pPr>
      <w:spacing w:line="360" w:lineRule="auto"/>
      <w:ind w:hanging="420"/>
      <w:jc w:val="center"/>
    </w:pPr>
    <w:rPr>
      <w:sz w:val="24"/>
      <w:szCs w:val="20"/>
    </w:rPr>
  </w:style>
  <w:style w:type="paragraph" w:customStyle="1" w:styleId="401">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autoRedefine/>
    <w:qFormat/>
    <w:uiPriority w:val="0"/>
  </w:style>
  <w:style w:type="paragraph" w:customStyle="1" w:styleId="403">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autoRedefine/>
    <w:qFormat/>
    <w:uiPriority w:val="0"/>
  </w:style>
  <w:style w:type="paragraph" w:customStyle="1" w:styleId="40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6"/>
    <w:autoRedefine/>
    <w:qFormat/>
    <w:uiPriority w:val="0"/>
    <w:pPr>
      <w:tabs>
        <w:tab w:val="right" w:leader="dot" w:pos="9458"/>
      </w:tabs>
    </w:pPr>
    <w:rPr>
      <w:i/>
    </w:rPr>
  </w:style>
  <w:style w:type="paragraph" w:customStyle="1" w:styleId="408">
    <w:name w:val="msolistparagraph"/>
    <w:basedOn w:val="1"/>
    <w:autoRedefine/>
    <w:qFormat/>
    <w:uiPriority w:val="0"/>
    <w:pPr>
      <w:ind w:firstLine="420" w:firstLineChars="200"/>
    </w:pPr>
    <w:rPr>
      <w:rFonts w:ascii="Calibri" w:hAnsi="Calibri"/>
      <w:szCs w:val="22"/>
    </w:rPr>
  </w:style>
  <w:style w:type="paragraph" w:customStyle="1" w:styleId="409">
    <w:name w:val="Char Char16 Char Char"/>
    <w:basedOn w:val="1"/>
    <w:autoRedefine/>
    <w:qFormat/>
    <w:uiPriority w:val="0"/>
    <w:rPr>
      <w:rFonts w:ascii="Tahoma" w:hAnsi="Tahoma"/>
      <w:sz w:val="24"/>
      <w:szCs w:val="20"/>
    </w:rPr>
  </w:style>
  <w:style w:type="paragraph" w:customStyle="1" w:styleId="410">
    <w:name w:val="正文内容"/>
    <w:basedOn w:val="1"/>
    <w:autoRedefine/>
    <w:qFormat/>
    <w:uiPriority w:val="0"/>
    <w:rPr>
      <w:rFonts w:ascii="Arial" w:hAnsi="Arial"/>
      <w:spacing w:val="-12"/>
      <w:szCs w:val="20"/>
    </w:rPr>
  </w:style>
  <w:style w:type="paragraph" w:customStyle="1" w:styleId="4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autoRedefine/>
    <w:qFormat/>
    <w:uiPriority w:val="0"/>
    <w:rPr>
      <w:rFonts w:ascii="Times New Roman" w:hAnsi="Times New Roman" w:eastAsia="宋体" w:cs="Times New Roman"/>
      <w:lang w:val="en-US" w:eastAsia="zh-CN" w:bidi="ar-SA"/>
    </w:rPr>
  </w:style>
  <w:style w:type="paragraph" w:customStyle="1" w:styleId="414">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autoRedefine/>
    <w:qFormat/>
    <w:uiPriority w:val="0"/>
  </w:style>
  <w:style w:type="paragraph" w:customStyle="1" w:styleId="420">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autoRedefine/>
    <w:qFormat/>
    <w:uiPriority w:val="0"/>
    <w:pPr>
      <w:spacing w:before="120" w:after="120"/>
    </w:pPr>
    <w:rPr>
      <w:rFonts w:ascii="宋体"/>
      <w:b/>
      <w:sz w:val="28"/>
    </w:rPr>
  </w:style>
  <w:style w:type="paragraph" w:customStyle="1" w:styleId="423">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autoRedefine/>
    <w:qFormat/>
    <w:uiPriority w:val="0"/>
    <w:pPr>
      <w:ind w:left="980" w:hanging="420"/>
    </w:pPr>
    <w:rPr>
      <w:sz w:val="24"/>
    </w:rPr>
  </w:style>
  <w:style w:type="paragraph" w:customStyle="1" w:styleId="427">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autoRedefine/>
    <w:qFormat/>
    <w:uiPriority w:val="0"/>
    <w:pPr>
      <w:ind w:firstLine="480" w:firstLineChars="200"/>
    </w:pPr>
    <w:rPr>
      <w:rFonts w:cs="宋体"/>
      <w:szCs w:val="20"/>
    </w:rPr>
  </w:style>
  <w:style w:type="paragraph" w:customStyle="1" w:styleId="430">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autoRedefine/>
    <w:qFormat/>
    <w:uiPriority w:val="34"/>
    <w:rPr>
      <w:kern w:val="2"/>
      <w:sz w:val="21"/>
      <w:szCs w:val="24"/>
    </w:rPr>
  </w:style>
  <w:style w:type="paragraph" w:styleId="456">
    <w:name w:val="List Paragraph"/>
    <w:basedOn w:val="1"/>
    <w:link w:val="455"/>
    <w:autoRedefine/>
    <w:qFormat/>
    <w:uiPriority w:val="34"/>
    <w:pPr>
      <w:ind w:firstLine="420" w:firstLineChars="200"/>
    </w:pPr>
  </w:style>
  <w:style w:type="paragraph" w:customStyle="1" w:styleId="457">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autoRedefine/>
    <w:qFormat/>
    <w:uiPriority w:val="0"/>
    <w:pPr>
      <w:spacing w:afterLines="20"/>
      <w:ind w:firstLine="1446" w:firstLineChars="200"/>
    </w:pPr>
    <w:rPr>
      <w:rFonts w:ascii="Calibri" w:hAnsi="Calibri"/>
      <w:sz w:val="24"/>
    </w:rPr>
  </w:style>
  <w:style w:type="character" w:customStyle="1" w:styleId="459">
    <w:name w:val="正文文本 3 Char"/>
    <w:basedOn w:val="53"/>
    <w:link w:val="21"/>
    <w:autoRedefine/>
    <w:qFormat/>
    <w:uiPriority w:val="0"/>
    <w:rPr>
      <w:kern w:val="2"/>
      <w:sz w:val="16"/>
      <w:szCs w:val="16"/>
    </w:rPr>
  </w:style>
  <w:style w:type="character" w:customStyle="1" w:styleId="460">
    <w:name w:val="content"/>
    <w:basedOn w:val="53"/>
    <w:autoRedefine/>
    <w:qFormat/>
    <w:uiPriority w:val="0"/>
  </w:style>
  <w:style w:type="character" w:customStyle="1" w:styleId="461">
    <w:name w:val="ca-3"/>
    <w:basedOn w:val="53"/>
    <w:autoRedefine/>
    <w:qFormat/>
    <w:uiPriority w:val="0"/>
  </w:style>
  <w:style w:type="character" w:customStyle="1" w:styleId="462">
    <w:name w:val="textcontents1"/>
    <w:autoRedefine/>
    <w:qFormat/>
    <w:uiPriority w:val="0"/>
    <w:rPr>
      <w:rFonts w:hint="default" w:ascii="ˎ̥" w:hAnsi="ˎ̥"/>
      <w:sz w:val="21"/>
      <w:szCs w:val="21"/>
    </w:rPr>
  </w:style>
  <w:style w:type="character" w:customStyle="1" w:styleId="463">
    <w:name w:val="脚注文本 Char1"/>
    <w:autoRedefine/>
    <w:qFormat/>
    <w:uiPriority w:val="0"/>
    <w:rPr>
      <w:kern w:val="2"/>
      <w:sz w:val="18"/>
      <w:szCs w:val="18"/>
    </w:rPr>
  </w:style>
  <w:style w:type="character" w:customStyle="1" w:styleId="464">
    <w:name w:val="脚注文本 Char"/>
    <w:link w:val="39"/>
    <w:autoRedefine/>
    <w:qFormat/>
    <w:uiPriority w:val="0"/>
    <w:rPr>
      <w:kern w:val="2"/>
      <w:sz w:val="18"/>
      <w:szCs w:val="18"/>
    </w:rPr>
  </w:style>
  <w:style w:type="character" w:customStyle="1" w:styleId="465">
    <w:name w:val="正文首行缩进（绿盟科技） Char"/>
    <w:link w:val="466"/>
    <w:autoRedefine/>
    <w:qFormat/>
    <w:uiPriority w:val="0"/>
    <w:rPr>
      <w:rFonts w:ascii="Arial" w:hAnsi="Arial"/>
      <w:szCs w:val="21"/>
    </w:rPr>
  </w:style>
  <w:style w:type="paragraph" w:customStyle="1" w:styleId="466">
    <w:name w:val="正文首行缩进（绿盟科技）"/>
    <w:basedOn w:val="1"/>
    <w:link w:val="465"/>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3"/>
    <w:autoRedefine/>
    <w:qFormat/>
    <w:uiPriority w:val="0"/>
  </w:style>
  <w:style w:type="character" w:customStyle="1" w:styleId="468">
    <w:name w:val="Char Char21"/>
    <w:autoRedefine/>
    <w:qFormat/>
    <w:uiPriority w:val="0"/>
    <w:rPr>
      <w:b/>
      <w:bCs/>
      <w:kern w:val="2"/>
      <w:sz w:val="32"/>
      <w:szCs w:val="32"/>
    </w:rPr>
  </w:style>
  <w:style w:type="character" w:customStyle="1" w:styleId="469">
    <w:name w:val="content1"/>
    <w:autoRedefine/>
    <w:qFormat/>
    <w:uiPriority w:val="0"/>
    <w:rPr>
      <w:rFonts w:hint="default" w:ascii="??" w:hAnsi="??"/>
      <w:sz w:val="16"/>
      <w:szCs w:val="16"/>
      <w:u w:val="none"/>
    </w:rPr>
  </w:style>
  <w:style w:type="character" w:customStyle="1" w:styleId="470">
    <w:name w:val="text21"/>
    <w:basedOn w:val="53"/>
    <w:autoRedefine/>
    <w:qFormat/>
    <w:uiPriority w:val="0"/>
  </w:style>
  <w:style w:type="character" w:customStyle="1" w:styleId="471">
    <w:name w:val="apple-style-span"/>
    <w:basedOn w:val="53"/>
    <w:autoRedefine/>
    <w:qFormat/>
    <w:uiPriority w:val="0"/>
  </w:style>
  <w:style w:type="paragraph" w:customStyle="1" w:styleId="472">
    <w:name w:val="缺省文本"/>
    <w:basedOn w:val="1"/>
    <w:autoRedefine/>
    <w:qFormat/>
    <w:uiPriority w:val="0"/>
    <w:pPr>
      <w:autoSpaceDE w:val="0"/>
      <w:autoSpaceDN w:val="0"/>
      <w:adjustRightInd w:val="0"/>
      <w:jc w:val="left"/>
    </w:pPr>
    <w:rPr>
      <w:kern w:val="0"/>
      <w:sz w:val="24"/>
    </w:rPr>
  </w:style>
  <w:style w:type="paragraph" w:customStyle="1" w:styleId="473">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7"/>
    <w:autoRedefine/>
    <w:qFormat/>
    <w:uiPriority w:val="0"/>
    <w:rPr>
      <w:rFonts w:ascii="宋体" w:hAnsi="Courier New"/>
      <w:szCs w:val="20"/>
    </w:rPr>
  </w:style>
  <w:style w:type="paragraph" w:customStyle="1" w:styleId="475">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autoRedefine/>
    <w:qFormat/>
    <w:uiPriority w:val="0"/>
    <w:pPr>
      <w:widowControl/>
      <w:spacing w:after="160" w:line="240" w:lineRule="exact"/>
      <w:jc w:val="left"/>
    </w:pPr>
  </w:style>
  <w:style w:type="paragraph" w:customStyle="1" w:styleId="477">
    <w:name w:val="USE 1"/>
    <w:basedOn w:val="1"/>
    <w:autoRedefine/>
    <w:qFormat/>
    <w:uiPriority w:val="0"/>
    <w:pPr>
      <w:spacing w:line="200" w:lineRule="atLeast"/>
      <w:jc w:val="left"/>
    </w:pPr>
    <w:rPr>
      <w:rFonts w:ascii="宋体" w:hAnsi="宋体"/>
      <w:b/>
      <w:sz w:val="24"/>
      <w:szCs w:val="28"/>
    </w:rPr>
  </w:style>
  <w:style w:type="paragraph" w:customStyle="1" w:styleId="478">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7"/>
    <w:autoRedefine/>
    <w:qFormat/>
    <w:uiPriority w:val="0"/>
    <w:rPr>
      <w:rFonts w:ascii="宋体" w:hAnsi="Courier New"/>
      <w:szCs w:val="20"/>
    </w:rPr>
  </w:style>
  <w:style w:type="character" w:customStyle="1" w:styleId="482">
    <w:name w:val="脚注文本 Char2"/>
    <w:basedOn w:val="53"/>
    <w:link w:val="39"/>
    <w:autoRedefine/>
    <w:semiHidden/>
    <w:qFormat/>
    <w:uiPriority w:val="0"/>
    <w:rPr>
      <w:kern w:val="2"/>
      <w:sz w:val="18"/>
      <w:szCs w:val="18"/>
    </w:rPr>
  </w:style>
  <w:style w:type="paragraph" w:customStyle="1" w:styleId="483">
    <w:name w:val="_Style 56"/>
    <w:basedOn w:val="1"/>
    <w:next w:val="27"/>
    <w:autoRedefine/>
    <w:qFormat/>
    <w:uiPriority w:val="0"/>
    <w:rPr>
      <w:rFonts w:ascii="宋体" w:hAnsi="Courier New"/>
      <w:szCs w:val="20"/>
    </w:rPr>
  </w:style>
  <w:style w:type="paragraph" w:customStyle="1" w:styleId="484">
    <w:name w:val="Char Char Char Char2"/>
    <w:basedOn w:val="1"/>
    <w:autoRedefine/>
    <w:qFormat/>
    <w:uiPriority w:val="0"/>
    <w:pPr>
      <w:widowControl/>
      <w:spacing w:after="160" w:line="240" w:lineRule="exact"/>
      <w:jc w:val="center"/>
    </w:pPr>
  </w:style>
  <w:style w:type="paragraph" w:customStyle="1" w:styleId="485">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autoRedefine/>
    <w:qFormat/>
    <w:uiPriority w:val="0"/>
    <w:pPr>
      <w:widowControl/>
      <w:spacing w:after="160" w:line="240" w:lineRule="exact"/>
      <w:jc w:val="left"/>
    </w:pPr>
  </w:style>
  <w:style w:type="paragraph" w:customStyle="1" w:styleId="491">
    <w:name w:val="_Style 50"/>
    <w:basedOn w:val="1"/>
    <w:next w:val="30"/>
    <w:autoRedefine/>
    <w:qFormat/>
    <w:uiPriority w:val="0"/>
    <w:pPr>
      <w:adjustRightInd w:val="0"/>
      <w:snapToGrid w:val="0"/>
      <w:spacing w:line="300" w:lineRule="auto"/>
      <w:ind w:firstLine="630" w:firstLineChars="300"/>
    </w:pPr>
    <w:rPr>
      <w:snapToGrid w:val="0"/>
      <w:kern w:val="0"/>
    </w:rPr>
  </w:style>
  <w:style w:type="paragraph" w:customStyle="1" w:styleId="492">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7"/>
    <w:autoRedefine/>
    <w:qFormat/>
    <w:uiPriority w:val="0"/>
    <w:rPr>
      <w:rFonts w:ascii="宋体" w:hAnsi="Courier New"/>
      <w:szCs w:val="20"/>
    </w:rPr>
  </w:style>
  <w:style w:type="paragraph" w:customStyle="1" w:styleId="496">
    <w:name w:val="Char Char Char"/>
    <w:basedOn w:val="1"/>
    <w:autoRedefine/>
    <w:qFormat/>
    <w:uiPriority w:val="0"/>
    <w:rPr>
      <w:szCs w:val="20"/>
    </w:rPr>
  </w:style>
  <w:style w:type="paragraph" w:customStyle="1" w:styleId="497">
    <w:name w:val="Char2"/>
    <w:basedOn w:val="1"/>
    <w:autoRedefine/>
    <w:qFormat/>
    <w:uiPriority w:val="0"/>
    <w:rPr>
      <w:rFonts w:ascii="Tahoma" w:hAnsi="Tahoma"/>
      <w:sz w:val="24"/>
      <w:szCs w:val="20"/>
    </w:rPr>
  </w:style>
  <w:style w:type="paragraph" w:customStyle="1" w:styleId="498">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7"/>
    <w:autoRedefine/>
    <w:qFormat/>
    <w:uiPriority w:val="0"/>
    <w:rPr>
      <w:rFonts w:ascii="宋体" w:hAnsi="Courier New"/>
      <w:szCs w:val="20"/>
    </w:rPr>
  </w:style>
  <w:style w:type="paragraph" w:customStyle="1" w:styleId="502">
    <w:name w:val="2"/>
    <w:basedOn w:val="1"/>
    <w:next w:val="46"/>
    <w:autoRedefine/>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0"/>
    <w:autoRedefine/>
    <w:qFormat/>
    <w:uiPriority w:val="0"/>
    <w:pPr>
      <w:adjustRightInd w:val="0"/>
      <w:snapToGrid w:val="0"/>
      <w:spacing w:line="300" w:lineRule="auto"/>
      <w:ind w:firstLine="630" w:firstLineChars="300"/>
    </w:pPr>
    <w:rPr>
      <w:snapToGrid w:val="0"/>
      <w:kern w:val="0"/>
    </w:rPr>
  </w:style>
  <w:style w:type="paragraph" w:customStyle="1" w:styleId="504">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6">
    <w:name w:val="Ｒ07-正!!文 Char Char"/>
    <w:link w:val="507"/>
    <w:autoRedefine/>
    <w:qFormat/>
    <w:uiPriority w:val="0"/>
    <w:rPr>
      <w:rFonts w:ascii="宋体" w:hAnsi="宋体" w:cs="宋体"/>
      <w:snapToGrid w:val="0"/>
      <w:spacing w:val="4"/>
      <w:kern w:val="2"/>
      <w:sz w:val="24"/>
      <w:szCs w:val="24"/>
    </w:rPr>
  </w:style>
  <w:style w:type="paragraph" w:customStyle="1" w:styleId="507">
    <w:name w:val="Ｒ07-正!!文"/>
    <w:link w:val="506"/>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8">
    <w:name w:val="Ｒ07-!正! Char Char"/>
    <w:link w:val="509"/>
    <w:autoRedefine/>
    <w:qFormat/>
    <w:uiPriority w:val="0"/>
    <w:rPr>
      <w:rFonts w:ascii="宋体" w:hAnsi="宋体" w:cs="宋体"/>
      <w:snapToGrid w:val="0"/>
      <w:spacing w:val="8"/>
      <w:kern w:val="2"/>
      <w:sz w:val="24"/>
      <w:szCs w:val="24"/>
    </w:rPr>
  </w:style>
  <w:style w:type="paragraph" w:customStyle="1" w:styleId="509">
    <w:name w:val="Ｒ07-!正!"/>
    <w:link w:val="508"/>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character" w:customStyle="1" w:styleId="510">
    <w:name w:val="批注文字 Char2"/>
    <w:basedOn w:val="53"/>
    <w:link w:val="20"/>
    <w:autoRedefine/>
    <w:qFormat/>
    <w:uiPriority w:val="0"/>
    <w:rPr>
      <w:kern w:val="2"/>
      <w:sz w:val="21"/>
      <w:szCs w:val="24"/>
    </w:rPr>
  </w:style>
  <w:style w:type="character" w:customStyle="1" w:styleId="511">
    <w:name w:val="10"/>
    <w:basedOn w:val="53"/>
    <w:autoRedefine/>
    <w:qFormat/>
    <w:uiPriority w:val="0"/>
    <w:rPr>
      <w:rFonts w:hint="default" w:ascii="Times New Roman" w:hAnsi="Times New Roman" w:cs="Times New Roman"/>
    </w:rPr>
  </w:style>
  <w:style w:type="character" w:customStyle="1" w:styleId="512">
    <w:name w:val="15"/>
    <w:basedOn w:val="53"/>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77</Pages>
  <Words>8300</Words>
  <Characters>47314</Characters>
  <Lines>394</Lines>
  <Paragraphs>111</Paragraphs>
  <TotalTime>37</TotalTime>
  <ScaleCrop>false</ScaleCrop>
  <LinksUpToDate>false</LinksUpToDate>
  <CharactersWithSpaces>55503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2019-11-08T17:16:00Z</dcterms:created>
  <dc:creator>微软用户</dc:creator>
  <cp:lastModifiedBy>中正招标庄学华</cp:lastModifiedBy>
  <cp:lastPrinted>2020-05-26T17:03:00Z</cp:lastPrinted>
  <dcterms:modified xsi:type="dcterms:W3CDTF">2024-05-11T02:29:38Z</dcterms:modified>
  <dc:title>招标编号：UHO2010-G0029</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970830F764D746D6B8DE42F20D70C986_13</vt:lpwstr>
  </property>
</Properties>
</file>