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snapToGrid w:val="0"/>
          <w:kern w:val="0"/>
          <w:sz w:val="72"/>
          <w:szCs w:val="72"/>
          <w:lang w:eastAsia="zh-CN"/>
        </w:rPr>
      </w:pPr>
      <w:r>
        <w:rPr>
          <w:rFonts w:hint="eastAsia" w:asciiTheme="minorEastAsia" w:hAnsiTheme="minorEastAsia" w:eastAsiaTheme="minorEastAsia"/>
          <w:b/>
          <w:bCs/>
          <w:snapToGrid w:val="0"/>
          <w:kern w:val="0"/>
          <w:sz w:val="56"/>
          <w:szCs w:val="56"/>
          <w:lang w:eastAsia="zh-CN"/>
        </w:rPr>
        <w:t>2024年宝安区、龙华区、光明区农地薇甘菊疫情防控服务项目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hint="eastAsia" w:asciiTheme="minorEastAsia" w:hAnsiTheme="minorEastAsia" w:eastAsiaTheme="minorEastAsia"/>
          <w:b/>
          <w:snapToGrid w:val="0"/>
          <w:kern w:val="0"/>
          <w:sz w:val="32"/>
          <w:lang w:eastAsia="zh-CN"/>
        </w:rPr>
      </w:pPr>
      <w:r>
        <w:rPr>
          <w:rFonts w:hint="eastAsia" w:asciiTheme="minorEastAsia" w:hAnsiTheme="minorEastAsia" w:eastAsiaTheme="minorEastAsia"/>
          <w:b/>
          <w:snapToGrid w:val="0"/>
          <w:kern w:val="0"/>
          <w:sz w:val="32"/>
        </w:rPr>
        <w:t>项目编号：</w:t>
      </w:r>
      <w:r>
        <w:rPr>
          <w:rFonts w:hint="eastAsia" w:asciiTheme="minorEastAsia" w:hAnsiTheme="minorEastAsia" w:eastAsiaTheme="minorEastAsia"/>
          <w:b/>
          <w:snapToGrid w:val="0"/>
          <w:kern w:val="0"/>
          <w:sz w:val="32"/>
          <w:lang w:eastAsia="zh-CN"/>
        </w:rPr>
        <w:t>SZZZ2024-QC0111</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pPr>
      <w:r>
        <w:rPr>
          <w:rFonts w:eastAsia="经典标宋简"/>
          <w:b/>
          <w:snapToGrid w:val="0"/>
          <w:kern w:val="0"/>
          <w:sz w:val="44"/>
        </w:rPr>
        <w:t xml:space="preserve"> </w:t>
      </w:r>
    </w:p>
    <w:p/>
    <w:p/>
    <w:p/>
    <w:p/>
    <w:p/>
    <w:p/>
    <w:p>
      <w:pPr>
        <w:pStyle w:val="28"/>
        <w:adjustRightInd w:val="0"/>
        <w:snapToGrid w:val="0"/>
        <w:spacing w:line="300" w:lineRule="auto"/>
        <w:ind w:hanging="835"/>
        <w:jc w:val="center"/>
        <w:rPr>
          <w:b/>
          <w:kern w:val="0"/>
          <w:sz w:val="28"/>
          <w:szCs w:val="28"/>
        </w:rPr>
      </w:pPr>
      <w:r>
        <w:rPr>
          <w:rFonts w:hint="eastAsia"/>
          <w:b/>
          <w:snapToGrid w:val="0"/>
          <w:sz w:val="30"/>
        </w:rPr>
        <w:t>二〇二四年</w:t>
      </w:r>
      <w:r>
        <w:rPr>
          <w:rFonts w:hint="eastAsia"/>
          <w:b/>
          <w:snapToGrid w:val="0"/>
          <w:sz w:val="30"/>
          <w:lang w:val="en-US" w:eastAsia="zh-CN"/>
        </w:rPr>
        <w:t>三</w:t>
      </w:r>
      <w:r>
        <w:rPr>
          <w:rFonts w:hint="eastAsia"/>
          <w:b/>
          <w:snapToGrid w:val="0"/>
          <w:sz w:val="30"/>
        </w:rPr>
        <w:t>月</w:t>
      </w:r>
    </w:p>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w:t>
      </w:r>
    </w:p>
    <w:p>
      <w:pPr>
        <w:spacing w:line="440" w:lineRule="exact"/>
        <w:ind w:firstLine="480" w:firstLineChars="200"/>
        <w:rPr>
          <w:rFonts w:ascii="仿宋" w:hAnsi="仿宋" w:eastAsia="仿宋"/>
          <w:sz w:val="24"/>
        </w:rPr>
      </w:pPr>
      <w:r>
        <w:rPr>
          <w:rFonts w:hint="eastAsia" w:ascii="仿宋" w:hAnsi="仿宋" w:eastAsia="仿宋"/>
          <w:sz w:val="24"/>
        </w:rPr>
        <w:t>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第七十五条 供应商有下列情形的，属于采购条例所称的串通投标行为，按照采购条例第五十七条有关规定处理：</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（一）投标供应商之间相互约定给予未中标的供应商利益补偿；</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（三）不同投标供应商的投标文件由同一单位或者同一人编制，或者由同一人分阶段参与编制的；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（四）不同投标供应商的投标文件或部分投标文件相互混装；</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（五）不同投标供应商的投标文件内容存在非正常一致；</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（六）由同一单位工作人员为两家以上（含两家）供应商进行同一项投标活动的；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第七十七条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三、《中华人民共和国政府采购法实施条例》</w:t>
      </w:r>
    </w:p>
    <w:p>
      <w:pPr>
        <w:spacing w:line="440" w:lineRule="exact"/>
        <w:ind w:firstLine="424" w:firstLineChars="177"/>
        <w:rPr>
          <w:rFonts w:ascii="仿宋" w:hAnsi="仿宋" w:eastAsia="仿宋"/>
          <w:sz w:val="24"/>
        </w:rPr>
      </w:pPr>
      <w:r>
        <w:rPr>
          <w:rFonts w:hint="eastAsia" w:ascii="仿宋" w:hAnsi="仿宋" w:eastAsia="仿宋"/>
          <w:sz w:val="24"/>
        </w:rPr>
        <w:t>第十八条 单位负责人为同一人或者存在直接控股、管理关系的不同供应商，不得参加同一合同项下的政府采购活动。</w:t>
      </w:r>
    </w:p>
    <w:p>
      <w:pPr>
        <w:spacing w:line="440" w:lineRule="exact"/>
        <w:ind w:firstLine="424" w:firstLineChars="177"/>
        <w:rPr>
          <w:rFonts w:ascii="仿宋" w:hAnsi="仿宋" w:eastAsia="仿宋"/>
          <w:sz w:val="24"/>
        </w:rPr>
      </w:pPr>
      <w:r>
        <w:rPr>
          <w:rFonts w:hint="eastAsia" w:ascii="仿宋" w:hAnsi="仿宋" w:eastAsia="仿宋"/>
          <w:sz w:val="24"/>
        </w:rPr>
        <w:t>除单一来源采购项目外，为采购项目提供整体设计、规范编制或者项目管理、监理、检测等服务的供应商，不得再参加该采购项目的其他采购活动。</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rFonts w:ascii="Times New Roman" w:hAnsi="Times New Roman" w:eastAsia="宋体" w:cs="Times New Roman"/>
              <w:b w:val="0"/>
              <w:bCs w:val="0"/>
              <w:iCs/>
              <w:smallCaps/>
              <w:color w:val="auto"/>
              <w:kern w:val="2"/>
              <w:sz w:val="21"/>
              <w:szCs w:val="24"/>
              <w:lang w:val="zh-CN"/>
            </w:rPr>
          </w:pPr>
        </w:p>
        <w:p>
          <w:pPr>
            <w:pStyle w:val="504"/>
            <w:jc w:val="center"/>
            <w:rPr>
              <w:rFonts w:ascii="Times New Roman" w:hAnsi="Times New Roman" w:eastAsia="宋体" w:cs="Times New Roman"/>
              <w:b w:val="0"/>
              <w:bCs w:val="0"/>
              <w:iCs/>
              <w:smallCaps/>
              <w:color w:val="auto"/>
              <w:kern w:val="2"/>
              <w:sz w:val="21"/>
              <w:szCs w:val="24"/>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pPr>
            <w:pStyle w:val="34"/>
            <w:tabs>
              <w:tab w:val="right" w:leader="dot" w:pos="9628"/>
            </w:tabs>
            <w:rPr>
              <w:rFonts w:ascii="仿宋_GB2312" w:eastAsia="仿宋_GB2312"/>
              <w:sz w:val="24"/>
            </w:rPr>
          </w:pPr>
        </w:p>
        <w:p>
          <w:pPr>
            <w:pStyle w:val="34"/>
            <w:tabs>
              <w:tab w:val="right" w:leader="dot" w:pos="9628"/>
            </w:tabs>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"_Toc135293159"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_Toc135293159 \h </w:instrText>
          </w:r>
          <w:r>
            <w:rPr>
              <w:rFonts w:hint="eastAsia" w:ascii="仿宋_GB2312" w:eastAsia="仿宋_GB2312"/>
              <w:sz w:val="24"/>
            </w:rPr>
            <w:fldChar w:fldCharType="separate"/>
          </w:r>
          <w:r>
            <w:rPr>
              <w:rFonts w:hint="eastAsia" w:ascii="仿宋_GB2312" w:eastAsia="仿宋_GB2312"/>
              <w:sz w:val="24"/>
            </w:rPr>
            <w:t>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"_Toc135293160"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_Toc135293160 \h </w:instrText>
          </w:r>
          <w:r>
            <w:rPr>
              <w:rFonts w:hint="eastAsia" w:ascii="仿宋_GB2312" w:eastAsia="仿宋_GB2312"/>
              <w:sz w:val="24"/>
            </w:rPr>
            <w:fldChar w:fldCharType="separate"/>
          </w:r>
          <w:r>
            <w:rPr>
              <w:rFonts w:hint="eastAsia" w:ascii="仿宋_GB2312" w:eastAsia="仿宋_GB2312"/>
              <w:sz w:val="24"/>
            </w:rPr>
            <w:t>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"_Toc135293161"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_Toc135293161 \h </w:instrText>
          </w:r>
          <w:r>
            <w:rPr>
              <w:rFonts w:hint="eastAsia" w:ascii="仿宋_GB2312" w:eastAsia="仿宋_GB2312"/>
              <w:sz w:val="24"/>
            </w:rPr>
            <w:fldChar w:fldCharType="separate"/>
          </w:r>
          <w:r>
            <w:rPr>
              <w:rFonts w:hint="eastAsia" w:ascii="仿宋_GB2312" w:eastAsia="仿宋_GB2312"/>
              <w:sz w:val="24"/>
            </w:rPr>
            <w:t>11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"_Toc135293162"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_Toc135293162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"_Toc135293163"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_Toc135293163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"_Toc135293164"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_Toc135293164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"_Toc135293165"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_Toc135293165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"_Toc135293166"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_Toc135293166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"_Toc135293167"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_Toc135293167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"_Toc135293168"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_Toc135293168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"_Toc135293169"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_Toc135293169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"_Toc135293170"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_Toc135293170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"_Toc135293171"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_Toc135293171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"_Toc135293172"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_Toc135293172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"_Toc135293173"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_Toc135293173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"_Toc135293174"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_Toc135293174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"_Toc135293175"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_Toc135293175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"_Toc135293176"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_Toc135293176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"_Toc135293177"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_Toc135293177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"_Toc135293178"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_Toc135293178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"_Toc135293179"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_Toc135293179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"_Toc135293180"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_Toc135293180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"_Toc135293181"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_Toc135293181 \h </w:instrText>
          </w:r>
          <w:r>
            <w:rPr>
              <w:rFonts w:hint="eastAsia" w:ascii="仿宋_GB2312" w:eastAsia="仿宋_GB2312"/>
              <w:sz w:val="24"/>
            </w:rPr>
            <w:fldChar w:fldCharType="separate"/>
          </w:r>
          <w:r>
            <w:rPr>
              <w:rFonts w:hint="eastAsia" w:ascii="仿宋_GB2312" w:eastAsia="仿宋_GB2312"/>
              <w:sz w:val="24"/>
            </w:rPr>
            <w:t>40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"_Toc135293192"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_Toc135293192 \h </w:instrText>
          </w:r>
          <w:r>
            <w:rPr>
              <w:rFonts w:hint="eastAsia" w:ascii="仿宋_GB2312" w:eastAsia="仿宋_GB2312"/>
              <w:sz w:val="24"/>
            </w:rPr>
            <w:fldChar w:fldCharType="separate"/>
          </w:r>
          <w:r>
            <w:rPr>
              <w:rFonts w:hint="eastAsia" w:ascii="仿宋_GB2312" w:eastAsia="仿宋_GB2312"/>
              <w:sz w:val="24"/>
            </w:rPr>
            <w:t>59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"_Toc135293193"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_Toc135293193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"_Toc135293194"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_Toc135293194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"_Toc135293195"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_Toc135293195 \h </w:instrText>
          </w:r>
          <w:r>
            <w:rPr>
              <w:rFonts w:hint="eastAsia" w:ascii="仿宋_GB2312" w:eastAsia="仿宋_GB2312"/>
              <w:sz w:val="24"/>
            </w:rPr>
            <w:fldChar w:fldCharType="separate"/>
          </w:r>
          <w:r>
            <w:rPr>
              <w:rFonts w:hint="eastAsia"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"_Toc135293196"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_Toc135293196 \h </w:instrText>
          </w:r>
          <w:r>
            <w:rPr>
              <w:rFonts w:hint="eastAsia" w:ascii="仿宋_GB2312" w:eastAsia="仿宋_GB2312"/>
              <w:sz w:val="24"/>
            </w:rPr>
            <w:fldChar w:fldCharType="separate"/>
          </w:r>
          <w:r>
            <w:rPr>
              <w:rFonts w:hint="eastAsia" w:ascii="仿宋_GB2312" w:eastAsia="仿宋_GB2312"/>
              <w:sz w:val="24"/>
            </w:rPr>
            <w:t>69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"_Toc135293197"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_Toc135293197 \h </w:instrText>
          </w:r>
          <w:r>
            <w:rPr>
              <w:rFonts w:hint="eastAsia" w:ascii="仿宋_GB2312" w:eastAsia="仿宋_GB2312"/>
              <w:sz w:val="24"/>
            </w:rPr>
            <w:fldChar w:fldCharType="separate"/>
          </w:r>
          <w:r>
            <w:rPr>
              <w:rFonts w:hint="eastAsia" w:ascii="仿宋_GB2312" w:eastAsia="仿宋_GB2312"/>
              <w:sz w:val="24"/>
            </w:rPr>
            <w:t>72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"_Toc135293198" </w:instrText>
          </w:r>
          <w:r>
            <w:fldChar w:fldCharType="separate"/>
          </w:r>
          <w:r>
            <w:rPr>
              <w:rStyle w:val="57"/>
              <w:rFonts w:hint="eastAsia" w:ascii="仿宋_GB2312" w:eastAsia="仿宋_GB2312"/>
              <w:sz w:val="24"/>
            </w:rPr>
            <w:t>五、财政部 司法部关于政府采购支持监狱企业发展有关问题的通知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_Toc135293198 \h </w:instrText>
          </w:r>
          <w:r>
            <w:rPr>
              <w:rFonts w:hint="eastAsia" w:ascii="仿宋_GB2312" w:eastAsia="仿宋_GB2312"/>
              <w:sz w:val="24"/>
            </w:rPr>
            <w:fldChar w:fldCharType="separate"/>
          </w:r>
          <w:r>
            <w:rPr>
              <w:rFonts w:hint="eastAsia" w:ascii="仿宋_GB2312" w:eastAsia="仿宋_GB2312"/>
              <w:sz w:val="24"/>
            </w:rPr>
            <w:t>74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rPr>
              <w:rFonts w:hint="eastAsia" w:ascii="仿宋_GB2312" w:eastAsia="仿宋_GB2312"/>
              <w:sz w:val="24"/>
            </w:rPr>
            <w:fldChar w:fldCharType="end"/>
          </w:r>
        </w:p>
      </w:sdtContent>
    </w:sdt>
    <w:p/>
    <w:p/>
    <w:p/>
    <w:p/>
    <w:p>
      <w:pPr>
        <w:pStyle w:val="3"/>
      </w:pPr>
      <w:bookmarkStart w:id="0" w:name="_Toc135293159"/>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2024年宝安区、龙华区、光明区农地薇甘菊疫情防控服务项目</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2024年</w:t>
      </w:r>
      <w:r>
        <w:rPr>
          <w:rFonts w:hint="eastAsia" w:ascii="宋体" w:hAnsi="宋体" w:cs="Arial Unicode MS"/>
          <w:snapToGrid w:val="0"/>
          <w:kern w:val="0"/>
          <w:szCs w:val="21"/>
          <w:u w:val="single"/>
          <w:lang w:val="en-US" w:eastAsia="zh-CN"/>
        </w:rPr>
        <w:t>03</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26</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10</w:t>
      </w:r>
      <w:r>
        <w:rPr>
          <w:rFonts w:hint="eastAsia" w:ascii="宋体" w:hAnsi="宋体" w:cs="Arial Unicode MS"/>
          <w:snapToGrid w:val="0"/>
          <w:kern w:val="0"/>
          <w:szCs w:val="21"/>
          <w:u w:val="single"/>
        </w:rPr>
        <w:t>点</w:t>
      </w:r>
      <w:r>
        <w:rPr>
          <w:rFonts w:hint="eastAsia" w:ascii="宋体" w:hAnsi="宋体" w:cs="Arial Unicode MS"/>
          <w:snapToGrid w:val="0"/>
          <w:kern w:val="0"/>
          <w:szCs w:val="21"/>
          <w:u w:val="single"/>
          <w:lang w:val="en-US" w:eastAsia="zh-CN"/>
        </w:rPr>
        <w:t>0</w:t>
      </w:r>
      <w:r>
        <w:rPr>
          <w:rFonts w:hint="eastAsia" w:ascii="宋体" w:hAnsi="宋体" w:cs="Arial Unicode MS"/>
          <w:snapToGrid w:val="0"/>
          <w:kern w:val="0"/>
          <w:szCs w:val="21"/>
          <w:u w:val="single"/>
        </w:rPr>
        <w:t>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lang w:eastAsia="zh-CN"/>
        </w:rPr>
        <w:t>SZZZ2024-QC0111</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eastAsia="zh-CN"/>
        </w:rPr>
        <w:t>2024年宝安区、龙华区、光明区农地薇甘菊疫情防控服务项目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lang w:val="en-US" w:eastAsia="zh-CN"/>
        </w:rPr>
        <w:t>67.5万</w:t>
      </w:r>
      <w:r>
        <w:rPr>
          <w:rFonts w:hint="eastAsia" w:ascii="宋体" w:hAnsi="宋体" w:eastAsia="宋体"/>
          <w:snapToGrid w:val="0"/>
          <w:color w:val="auto"/>
          <w:sz w:val="21"/>
          <w:szCs w:val="21"/>
        </w:rPr>
        <w:t>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lang w:val="en-US" w:eastAsia="zh-CN"/>
        </w:rPr>
        <w:t>67.5万</w:t>
      </w:r>
      <w:r>
        <w:rPr>
          <w:rFonts w:hint="eastAsia" w:ascii="宋体" w:hAnsi="宋体" w:eastAsia="宋体"/>
          <w:snapToGrid w:val="0"/>
          <w:color w:val="auto"/>
          <w:sz w:val="21"/>
          <w:szCs w:val="21"/>
        </w:rPr>
        <w:t>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287"/>
        <w:gridCol w:w="921"/>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87" w:type="dxa"/>
            <w:shd w:val="clear" w:color="auto" w:fill="ABCDEF"/>
            <w:vAlign w:val="center"/>
          </w:tcPr>
          <w:p>
            <w:pPr>
              <w:pStyle w:val="45"/>
              <w:spacing w:line="360" w:lineRule="auto"/>
              <w:jc w:val="center"/>
              <w:rPr>
                <w:sz w:val="21"/>
              </w:rPr>
            </w:pPr>
            <w:r>
              <w:rPr>
                <w:sz w:val="21"/>
              </w:rPr>
              <w:t>标的名称</w:t>
            </w:r>
          </w:p>
        </w:tc>
        <w:tc>
          <w:tcPr>
            <w:tcW w:w="921"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922"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693"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287" w:type="dxa"/>
            <w:shd w:val="clear" w:color="auto" w:fill="auto"/>
            <w:vAlign w:val="center"/>
          </w:tcPr>
          <w:p>
            <w:pPr>
              <w:pStyle w:val="45"/>
              <w:spacing w:line="360" w:lineRule="auto"/>
              <w:jc w:val="center"/>
              <w:rPr>
                <w:rFonts w:hint="eastAsia" w:asciiTheme="minorEastAsia" w:hAnsiTheme="minorEastAsia" w:eastAsiaTheme="minorEastAsia"/>
                <w:sz w:val="21"/>
                <w:lang w:eastAsia="zh-CN"/>
              </w:rPr>
            </w:pPr>
            <w:r>
              <w:rPr>
                <w:rFonts w:hint="eastAsia" w:ascii="宋体" w:hAnsi="宋体" w:eastAsiaTheme="minorEastAsia"/>
                <w:snapToGrid w:val="0"/>
                <w:sz w:val="21"/>
                <w:szCs w:val="21"/>
                <w:lang w:eastAsia="zh-CN"/>
              </w:rPr>
              <w:t>2024年宝安区、龙华区、光明区农地薇甘菊疫情防控服务项目</w:t>
            </w:r>
          </w:p>
        </w:tc>
        <w:tc>
          <w:tcPr>
            <w:tcW w:w="92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92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69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w:t>
      </w:r>
      <w:r>
        <w:rPr>
          <w:rFonts w:hint="eastAsia" w:ascii="宋体" w:hAnsi="宋体" w:eastAsia="宋体"/>
          <w:snapToGrid w:val="0"/>
          <w:color w:val="auto"/>
          <w:sz w:val="21"/>
        </w:rPr>
        <w:t>有效授权书及</w:t>
      </w:r>
      <w:r>
        <w:rPr>
          <w:rFonts w:hint="eastAsia" w:asciiTheme="minorEastAsia" w:hAnsiTheme="minorEastAsia" w:eastAsiaTheme="minorEastAsia"/>
          <w:snapToGrid w:val="0"/>
          <w:color w:val="auto"/>
          <w:sz w:val="21"/>
        </w:rPr>
        <w:t>上级主体的</w:t>
      </w:r>
      <w:r>
        <w:rPr>
          <w:rFonts w:hint="eastAsia" w:ascii="宋体" w:hAnsi="宋体" w:eastAsia="宋体"/>
          <w:snapToGrid w:val="0"/>
          <w:color w:val="auto"/>
          <w:sz w:val="21"/>
        </w:rPr>
        <w:t>营业执照或法人证书等证明材料复印件或扫描件加盖</w:t>
      </w:r>
      <w:r>
        <w:rPr>
          <w:rFonts w:hint="eastAsia" w:asciiTheme="minorEastAsia" w:hAnsiTheme="minorEastAsia" w:eastAsiaTheme="minorEastAsia"/>
          <w:snapToGrid w:val="0"/>
          <w:color w:val="auto"/>
          <w:sz w:val="21"/>
        </w:rPr>
        <w:t>投标人</w:t>
      </w:r>
      <w:r>
        <w:rPr>
          <w:rFonts w:hint="eastAsia" w:ascii="宋体" w:hAnsi="宋体" w:eastAsia="宋体"/>
          <w:snapToGrid w:val="0"/>
          <w:color w:val="auto"/>
          <w:sz w:val="21"/>
        </w:rPr>
        <w:t>公章</w:t>
      </w:r>
      <w:r>
        <w:rPr>
          <w:rFonts w:hint="eastAsia" w:asciiTheme="minorEastAsia" w:hAnsiTheme="minorEastAsia" w:eastAsiaTheme="minorEastAsia"/>
          <w:snapToGrid w:val="0"/>
          <w:color w:val="auto"/>
          <w:sz w:val="21"/>
        </w:rPr>
        <w:t>；</w:t>
      </w:r>
      <w:r>
        <w:rPr>
          <w:rFonts w:hint="eastAsia" w:ascii="宋体" w:hAnsi="宋体" w:eastAsia="宋体"/>
          <w:snapToGrid w:val="0"/>
          <w:color w:val="auto"/>
          <w:sz w:val="21"/>
        </w:rPr>
        <w:t>本项目不接受总公司与分支机构同时参与投标，也不接受同一总公司有两个或以上分支机构参与投标，如出现以上情形，该两家或以上投标人均按无效投标处理。</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（1）参与本项目采购活动前三年内，在经营活动中没有重大违法记录（须按本项目投标文件格式要求提供《政府采购投标及履约承诺函》加盖投标人公章）；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03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15</w:t>
      </w:r>
      <w:r>
        <w:rPr>
          <w:rFonts w:hint="eastAsia" w:ascii="宋体" w:hAnsi="宋体" w:eastAsia="宋体"/>
          <w:snapToGrid w:val="0"/>
          <w:color w:val="auto"/>
          <w:sz w:val="21"/>
          <w:szCs w:val="21"/>
          <w:u w:val="single"/>
        </w:rPr>
        <w:t>日至2024年</w:t>
      </w:r>
      <w:r>
        <w:rPr>
          <w:rFonts w:hint="eastAsia" w:ascii="宋体" w:hAnsi="宋体" w:eastAsia="宋体"/>
          <w:snapToGrid w:val="0"/>
          <w:color w:val="auto"/>
          <w:sz w:val="21"/>
          <w:szCs w:val="21"/>
          <w:u w:val="single"/>
          <w:lang w:val="en-US" w:eastAsia="zh-CN"/>
        </w:rPr>
        <w:t>03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22</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w:t>
      </w:r>
      <w:r>
        <w:rPr>
          <w:rFonts w:ascii="宋体" w:hAnsi="宋体" w:eastAsia="宋体"/>
          <w:snapToGrid w:val="0"/>
          <w:color w:val="auto"/>
          <w:sz w:val="21"/>
          <w:szCs w:val="21"/>
        </w:rPr>
        <w:t xml:space="preserve"> </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3、方式：现场获取或线上获取</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（1）现场获取：投标人按以上时间和地点现场报名和获取招标文件，逾期不予受理。</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 xml:space="preserve">（2）线上获取：投标人通过邮件报名及获取招标文件，报名时间以我司邮箱收件时间为准（我司邮箱：qtszzzzb@163.com），逾期不予受理。需提供以下资料: </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加盖公章的《购买标书登记表》（下载地址：www.szzzt.com 首页“下载中心”）；</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03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26</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10</w:t>
      </w:r>
      <w:r>
        <w:rPr>
          <w:rFonts w:hint="eastAsia" w:ascii="宋体" w:hAnsi="宋体" w:eastAsia="宋体"/>
          <w:snapToGrid w:val="0"/>
          <w:color w:val="auto"/>
          <w:sz w:val="21"/>
          <w:szCs w:val="21"/>
          <w:u w:val="single"/>
        </w:rPr>
        <w:t>点</w:t>
      </w:r>
      <w:r>
        <w:rPr>
          <w:rFonts w:hint="eastAsia" w:ascii="宋体" w:hAnsi="宋体" w:eastAsia="宋体"/>
          <w:snapToGrid w:val="0"/>
          <w:color w:val="auto"/>
          <w:sz w:val="21"/>
          <w:szCs w:val="21"/>
          <w:u w:val="single"/>
          <w:lang w:val="en-US" w:eastAsia="zh-CN"/>
        </w:rPr>
        <w:t>0</w:t>
      </w:r>
      <w:r>
        <w:rPr>
          <w:rFonts w:hint="eastAsia" w:ascii="宋体" w:hAnsi="宋体" w:eastAsia="宋体"/>
          <w:snapToGrid w:val="0"/>
          <w:color w:val="auto"/>
          <w:sz w:val="21"/>
          <w:szCs w:val="21"/>
          <w:u w:val="single"/>
        </w:rPr>
        <w:t>0分（北京时间）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snapToGrid w:val="0"/>
          <w:color w:val="auto"/>
          <w:sz w:val="21"/>
          <w:szCs w:val="21"/>
          <w:lang w:eastAsia="zh-CN"/>
        </w:rPr>
      </w:pPr>
      <w:r>
        <w:rPr>
          <w:rFonts w:hint="eastAsia" w:ascii="宋体" w:hAnsi="宋体" w:eastAsia="宋体"/>
          <w:snapToGrid w:val="0"/>
          <w:color w:val="auto"/>
          <w:sz w:val="21"/>
          <w:szCs w:val="21"/>
        </w:rPr>
        <w:t>名称：</w:t>
      </w:r>
      <w:r>
        <w:rPr>
          <w:rFonts w:hint="eastAsia" w:ascii="宋体" w:hAnsi="宋体" w:eastAsia="宋体"/>
          <w:snapToGrid w:val="0"/>
          <w:color w:val="auto"/>
          <w:sz w:val="21"/>
          <w:szCs w:val="21"/>
          <w:lang w:eastAsia="zh-CN"/>
        </w:rPr>
        <w:t>深圳市农业科技促进中心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w:t>
      </w:r>
      <w:r>
        <w:rPr>
          <w:rFonts w:hint="eastAsia" w:ascii="宋体" w:hAnsi="宋体" w:eastAsia="宋体"/>
          <w:snapToGrid w:val="0"/>
          <w:color w:val="auto"/>
          <w:sz w:val="21"/>
          <w:szCs w:val="21"/>
          <w:lang w:val="en-US" w:eastAsia="zh-CN"/>
        </w:rPr>
        <w:t>深圳市南山区西丽街道沙河西路3157号南山智谷产业园E栋16-18层</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val="en-US" w:eastAsia="zh-CN"/>
        </w:rPr>
        <w:t>李</w:t>
      </w:r>
      <w:r>
        <w:rPr>
          <w:rFonts w:hint="eastAsia" w:ascii="宋体" w:hAnsi="宋体" w:eastAsia="宋体"/>
          <w:snapToGrid w:val="0"/>
          <w:color w:val="auto"/>
          <w:sz w:val="21"/>
          <w:szCs w:val="21"/>
        </w:rPr>
        <w:t>先生，0755-83026699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w:t>
      </w:r>
      <w:r>
        <w:rPr>
          <w:rFonts w:hint="eastAsia" w:ascii="宋体" w:hAnsi="宋体" w:eastAsia="宋体"/>
          <w:snapToGrid w:val="0"/>
          <w:color w:val="auto"/>
          <w:sz w:val="21"/>
          <w:szCs w:val="21"/>
          <w:lang w:val="en-US" w:eastAsia="zh-CN"/>
        </w:rPr>
        <w:t>李</w:t>
      </w:r>
      <w:r>
        <w:rPr>
          <w:rFonts w:hint="eastAsia" w:ascii="宋体" w:hAnsi="宋体" w:eastAsia="宋体"/>
          <w:snapToGrid w:val="0"/>
          <w:color w:val="auto"/>
          <w:sz w:val="21"/>
          <w:szCs w:val="21"/>
        </w:rPr>
        <w:t>先生</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2024年</w:t>
      </w:r>
      <w:r>
        <w:rPr>
          <w:rFonts w:hint="eastAsia" w:ascii="宋体" w:hAnsi="宋体"/>
          <w:snapToGrid w:val="0"/>
          <w:kern w:val="0"/>
          <w:sz w:val="24"/>
          <w:lang w:val="en-US" w:eastAsia="zh-CN"/>
        </w:rPr>
        <w:t>03</w:t>
      </w:r>
      <w:r>
        <w:rPr>
          <w:rFonts w:ascii="宋体" w:hAnsi="宋体"/>
          <w:snapToGrid w:val="0"/>
          <w:kern w:val="0"/>
          <w:sz w:val="24"/>
        </w:rPr>
        <w:t>月</w:t>
      </w:r>
      <w:r>
        <w:rPr>
          <w:rFonts w:hint="eastAsia" w:ascii="宋体" w:hAnsi="宋体"/>
          <w:snapToGrid w:val="0"/>
          <w:kern w:val="0"/>
          <w:sz w:val="24"/>
          <w:lang w:val="en-US" w:eastAsia="zh-CN"/>
        </w:rPr>
        <w:t>15</w:t>
      </w:r>
      <w:r>
        <w:rPr>
          <w:rFonts w:hint="eastAsia" w:ascii="宋体" w:hAnsi="宋体"/>
          <w:snapToGrid w:val="0"/>
          <w:kern w:val="0"/>
          <w:sz w:val="24"/>
        </w:rPr>
        <w:t>日</w:t>
      </w:r>
    </w:p>
    <w:p/>
    <w:p/>
    <w:p>
      <w:pPr>
        <w:pStyle w:val="3"/>
      </w:pPr>
      <w:bookmarkStart w:id="1" w:name="_Toc135293160"/>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5、加注★的条款为不可负偏离条款，任一项未响应或不满足要求的，将导致投标无效。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color w:val="FF0000"/>
                <w:szCs w:val="21"/>
              </w:rPr>
            </w:pPr>
            <w:r>
              <w:rPr>
                <w:rFonts w:hint="eastAsia" w:ascii="宋体" w:hAnsi="宋体" w:cs="宋体"/>
                <w:b/>
                <w:color w:val="FF0000"/>
                <w:szCs w:val="21"/>
              </w:rPr>
              <w:t>标的名称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lang w:eastAsia="zh-CN"/>
              </w:rPr>
            </w:pPr>
            <w:r>
              <w:rPr>
                <w:rFonts w:hint="eastAsia" w:ascii="宋体" w:hAnsi="宋体"/>
                <w:snapToGrid w:val="0"/>
                <w:szCs w:val="21"/>
                <w:lang w:eastAsia="zh-CN"/>
              </w:rPr>
              <w:t>2024年宝安区、龙华区、光明区农地薇甘菊疫情防控服务项目</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default" w:ascii="宋体" w:hAnsi="宋体" w:eastAsia="宋体" w:cs="宋体"/>
                <w:szCs w:val="21"/>
                <w:lang w:val="en-US" w:eastAsia="zh-CN"/>
              </w:rPr>
            </w:pPr>
            <w:r>
              <w:rPr>
                <w:rFonts w:hint="eastAsia" w:ascii="宋体" w:hAnsi="宋体" w:cs="宋体"/>
                <w:szCs w:val="21"/>
                <w:lang w:val="en-US" w:eastAsia="zh-CN"/>
              </w:rPr>
              <w:t>675,000.00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（二）项目基本情况</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薇甘菊（Mikania micrantha Kunth）为菊科（Asteraceae）假泽兰属（Mikania）多年生草本植物，被世界自然保护联盟（IUCN）列为全球最有害的100种外来入侵物种之一，也被列入2023年1月1日正式生效的《重点管理外来入侵物种名录》之中，是我国重点管理的重大农林入侵物种。根据深圳市生态文明建设考核领导小组办公室《关于印发&lt;深圳市2023年度生态文明建设考核实施方案&gt;的通知》（深生考[2023]1号）和《市绿化委员会 市林业局关于下达2023年度薇甘菊防治任务的通知》（深绿[2023]3号）精神，为建立薇甘菊长效的防治机制，需开展宝安区、龙华区和光明区农业用地的薇甘菊防控工作。</w:t>
      </w:r>
    </w:p>
    <w:p>
      <w:pPr>
        <w:pStyle w:val="506"/>
        <w:wordWrap/>
        <w:spacing w:afterLines="0" w:line="360" w:lineRule="auto"/>
        <w:ind w:firstLine="420"/>
        <w:rPr>
          <w:rFonts w:cs="Times New Roman"/>
          <w:snapToGrid/>
          <w:spacing w:val="0"/>
          <w:sz w:val="21"/>
          <w:szCs w:val="21"/>
        </w:rPr>
      </w:pPr>
    </w:p>
    <w:p>
      <w:pPr>
        <w:pStyle w:val="321"/>
        <w:ind w:firstLine="0" w:firstLineChars="0"/>
        <w:rPr>
          <w:b/>
        </w:rPr>
      </w:pPr>
      <w:r>
        <w:rPr>
          <w:rFonts w:hint="eastAsia"/>
          <w:b/>
        </w:rPr>
        <w:t>二、项目服务要求</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b/>
          <w:bCs/>
          <w:snapToGrid/>
          <w:spacing w:val="0"/>
          <w:sz w:val="21"/>
          <w:szCs w:val="21"/>
          <w:lang w:val="en-US" w:eastAsia="zh-CN"/>
        </w:rPr>
        <w:t>1.项目内容：</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对宝安区、龙华区、光明区农业用地上发生的薇甘菊进行综合防控，防治总面积不少于1500亩。</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b/>
          <w:bCs/>
          <w:snapToGrid/>
          <w:spacing w:val="0"/>
          <w:sz w:val="21"/>
          <w:szCs w:val="21"/>
          <w:lang w:val="en-US" w:eastAsia="zh-CN"/>
        </w:rPr>
        <w:t>2.项目目标：</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人工防治：防治区的薇甘菊残存率≤1%，攀树率为零。</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化学防治：防治区的薇甘菊残存率≤1%，攀树率为零。</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b/>
          <w:bCs/>
          <w:snapToGrid/>
          <w:spacing w:val="0"/>
          <w:sz w:val="21"/>
          <w:szCs w:val="21"/>
          <w:lang w:val="en-US" w:eastAsia="zh-CN"/>
        </w:rPr>
        <w:t>3.项目技术措施：</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化学防治：使用紫薇清等化学药剂防控薇甘菊，对范围内薇甘菊进行喷药防治。对薇甘菊茎和叶面喷施，以茎或叶片上药液欲滴为标准。对薇甘菊攀上高大乔木或灌木的树冠层，可在地面寻找薇甘菊的地面茎和根，对其根和地面老茎进行喷药，以茎上有药液欲滴为止，也可对其根部的土壤喷药，直到土壤表面湿润为止。</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人工防治：通过锄、拉、拔、砍等方式清理地上部分薇甘菊；对树上的薇甘菊，应用长柄刀砍断其基部，让其在树上自然干枯。地面、树上薇甘菊清理出来后，集中处理。对散生或零星发生的，以及不适宜使用药剂防治的苗圃地、敏感植株旁等，采取人工铲除根、茎的方法进行方式。防治时，人工铲除的高度以距地面20cm以下为宜，最好拨出根。薇甘菊铲除后不可散置地面，要集中堆放和销毁，防治复发、传播。人工铲除的蔓藤可留在树上，任其干枯，也可将切下的蔓茎先集中堆放，待晒干后销毁。</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做好防治区域防治前、中、后期影视对比和档案存档。</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b/>
          <w:bCs/>
          <w:snapToGrid/>
          <w:spacing w:val="0"/>
          <w:sz w:val="21"/>
          <w:szCs w:val="21"/>
          <w:lang w:val="en-US" w:eastAsia="zh-CN"/>
        </w:rPr>
        <w:t>4.防治要求：</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化学防治：根据薇甘菊的生长特性，6-11月为最佳施药期。大面积化学防除薇甘菊，应喷药三次。第一次普遍喷药，20天后补施，补喷90天后对重新复生的区域进行第三次施药。施药后，应对施药区域薇甘菊防治效果进行调查，防治效果不合格的，应进行补防，直至合格。</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人工防治：在薇甘菊开花前施工。第一次在5-6月，第二字在8-9月，第三次在10月。具体施工时间以作业设计为基础，并根据薇甘菊生长特点、气候变化等进行相应调整。</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勘察及防治范围：</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（1）宝安区、龙华区和光明区基本农田地块：</w:t>
      </w:r>
    </w:p>
    <w:p>
      <w:pPr>
        <w:pStyle w:val="506"/>
        <w:keepNext w:val="0"/>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cs="Times New Roman"/>
          <w:snapToGrid/>
          <w:spacing w:val="0"/>
          <w:sz w:val="21"/>
          <w:szCs w:val="21"/>
          <w:lang w:val="en-US" w:eastAsia="zh-CN"/>
        </w:rPr>
      </w:pPr>
      <w:r>
        <w:rPr>
          <w:rFonts w:hint="eastAsia" w:cs="Times New Roman"/>
          <w:snapToGrid/>
          <w:spacing w:val="0"/>
          <w:sz w:val="21"/>
          <w:szCs w:val="21"/>
          <w:lang w:val="en-US" w:eastAsia="zh-CN"/>
        </w:rPr>
        <w:t>宝安区基本农田地块01-1，2，4，5、02-1，2，3、06-3，5，6，7，10、07-1，2，3，4，5、08-1，2，3，4，5、09-1，2，3，4、10-1，2；</w:t>
      </w:r>
    </w:p>
    <w:p>
      <w:pPr>
        <w:pStyle w:val="506"/>
        <w:keepNext w:val="0"/>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cs="Times New Roman"/>
          <w:snapToGrid/>
          <w:spacing w:val="0"/>
          <w:sz w:val="21"/>
          <w:szCs w:val="21"/>
          <w:lang w:val="en-US" w:eastAsia="zh-CN"/>
        </w:rPr>
      </w:pPr>
      <w:r>
        <w:rPr>
          <w:rFonts w:hint="eastAsia" w:cs="Times New Roman"/>
          <w:snapToGrid/>
          <w:spacing w:val="0"/>
          <w:sz w:val="21"/>
          <w:szCs w:val="21"/>
          <w:lang w:val="en-US" w:eastAsia="zh-CN"/>
        </w:rPr>
        <w:t>龙华区基本农田地块13-1，2，3，4，5、14-1、15-2、16-1，2；</w:t>
      </w:r>
    </w:p>
    <w:p>
      <w:pPr>
        <w:pStyle w:val="506"/>
        <w:keepNext w:val="0"/>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cs="Times New Roman"/>
          <w:snapToGrid/>
          <w:spacing w:val="0"/>
          <w:sz w:val="21"/>
          <w:szCs w:val="21"/>
          <w:lang w:val="en-US" w:eastAsia="zh-CN"/>
        </w:rPr>
      </w:pPr>
      <w:r>
        <w:rPr>
          <w:rFonts w:hint="eastAsia" w:cs="Times New Roman"/>
          <w:snapToGrid/>
          <w:spacing w:val="0"/>
          <w:sz w:val="21"/>
          <w:szCs w:val="21"/>
          <w:lang w:val="en-US" w:eastAsia="zh-CN"/>
        </w:rPr>
        <w:t>光明区基本农田地块03-1，2，3，4，5，6，8，9，10，11，12、04-1，2，7，8，9，10，13，14、05-1，2，4，5，6，7，8，9，10，11，12，13，14，15，16，17、06-1，2，4a，4b，4c，8，11，15、12-1，2，5，6，7，8，9；</w:t>
      </w:r>
    </w:p>
    <w:p>
      <w:pPr>
        <w:pStyle w:val="506"/>
        <w:keepNext w:val="0"/>
        <w:keepLines w:val="0"/>
        <w:pageBreakBefore w:val="0"/>
        <w:widowControl w:val="0"/>
        <w:kinsoku/>
        <w:wordWrap/>
        <w:overflowPunct/>
        <w:topLinePunct w:val="0"/>
        <w:autoSpaceDE/>
        <w:autoSpaceDN/>
        <w:bidi w:val="0"/>
        <w:adjustRightInd/>
        <w:snapToGrid/>
        <w:spacing w:afterLines="0" w:line="360" w:lineRule="auto"/>
        <w:ind w:firstLine="420"/>
        <w:textAlignment w:val="auto"/>
        <w:rPr>
          <w:rFonts w:hint="eastAsia" w:cs="Times New Roman"/>
          <w:snapToGrid/>
          <w:spacing w:val="0"/>
          <w:sz w:val="21"/>
          <w:szCs w:val="21"/>
          <w:lang w:val="en-US" w:eastAsia="zh-CN"/>
        </w:rPr>
      </w:pPr>
      <w:r>
        <w:rPr>
          <w:rFonts w:hint="eastAsia" w:cs="Times New Roman"/>
          <w:snapToGrid/>
          <w:spacing w:val="0"/>
          <w:sz w:val="21"/>
          <w:szCs w:val="21"/>
          <w:lang w:val="en-US" w:eastAsia="zh-CN"/>
        </w:rPr>
        <w:t>（2）市绿化委员会、市林业局下达的2024年度薇甘菊防治任务；</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（3）采购人要求开展防控的其它地块。</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（4）项目防治总面积不少于1500亩，以实际薇甘菊覆盖面积为准。</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b/>
          <w:bCs/>
          <w:snapToGrid/>
          <w:spacing w:val="0"/>
          <w:sz w:val="21"/>
          <w:szCs w:val="21"/>
          <w:lang w:val="en-US" w:eastAsia="zh-CN"/>
        </w:rPr>
        <w:t>5.项目进度安排：</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1）中标单位在合同签订后10个工作日之内制订本项目工作实施方案，实施方案需包含宝安区、龙华区和光明区薇甘菊发生现状图（需标识薇甘菊发生区域和发生面积），实施方案需报采购人审定，中标方按审核后的实施方案、采购需求和合同要求开展防治工作。</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（2）在薇甘菊开花前施工。第一次在5-6月，第二次在8-9月，第三次在10月。具体施工时间以作业设计为基础，并根据薇甘菊生长特点、气候变化等进行相应调整。</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（3）于2024年11月10日前完成所有地块的薇甘菊防控任务，在2024年度深圳市薇甘菊防治考核工作结束后验收。</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b/>
          <w:bCs/>
          <w:snapToGrid/>
          <w:spacing w:val="0"/>
          <w:sz w:val="21"/>
          <w:szCs w:val="21"/>
          <w:lang w:val="en-US" w:eastAsia="zh-CN"/>
        </w:rPr>
        <w:t>6.项目服务要求：</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（1）中标人应按合同要求按时、保质、保量推进项目工作。</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（2）中标人项目负责人应按采购人的要求参加本项目审查和讨论的全部工作会议，并负责汇报和答疑相关工作。</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（3）中标人应接受采购人对项目内容、项目完成质量、完成进度等方面的监督和管理。</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（4）施工时须及时填写《深圳市属农地薇甘菊疫情现场监测记录表》、《深圳市市属农地薇甘菊疫情现场防治记录表》，且表格数据真实、齐全。</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（5）在规定的阶段时间内完成薇甘菊防治工作。</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（6）在农地薇甘菊疫情防治前，有主动向农地管理单位及负责人告知情况，需农地管理单位及负责人签名确认。</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 xml:space="preserve">（7）项目开展需符合相关法律法规和《薇甘菊防控技术规范》（SZDB/Z191-2016)的规定，如项目地块内因防控出现生态安全和药害事故，中标人需承担一切责任。 </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（8）设备要求：防控车辆4台及以上，带航拍功能的无人机1台及以上，施药喷雾器6个及以上，专用GPS仪3台及以上。</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（9）人员要求：</w:t>
      </w:r>
    </w:p>
    <w:p>
      <w:pPr>
        <w:pStyle w:val="506"/>
        <w:wordWrap/>
        <w:spacing w:afterLines="0" w:line="360" w:lineRule="auto"/>
        <w:ind w:firstLine="420"/>
        <w:rPr>
          <w:rFonts w:hint="eastAsia" w:cs="Times New Roman"/>
          <w:snapToGrid/>
          <w:spacing w:val="0"/>
          <w:sz w:val="21"/>
          <w:szCs w:val="21"/>
          <w:lang w:val="en-US" w:eastAsia="zh-CN"/>
        </w:rPr>
      </w:pPr>
      <w:r>
        <w:rPr>
          <w:rFonts w:hint="default" w:cs="Times New Roman"/>
          <w:snapToGrid/>
          <w:spacing w:val="0"/>
          <w:sz w:val="21"/>
          <w:szCs w:val="21"/>
          <w:lang w:val="en-US" w:eastAsia="zh-CN"/>
        </w:rPr>
        <w:t>①</w:t>
      </w:r>
      <w:r>
        <w:rPr>
          <w:rFonts w:hint="eastAsia" w:cs="Times New Roman"/>
          <w:snapToGrid/>
          <w:spacing w:val="0"/>
          <w:sz w:val="21"/>
          <w:szCs w:val="21"/>
          <w:lang w:val="en-US" w:eastAsia="zh-CN"/>
        </w:rPr>
        <w:t>本项目配备项目负责人1名，项目团队基本成员（不含项目负责人）8名，项目团队基本成员变动率不得高于30%，变动人员须按原人员岗位要求学历、职称和技能条件匹配。</w:t>
      </w:r>
    </w:p>
    <w:p>
      <w:pPr>
        <w:pStyle w:val="506"/>
        <w:wordWrap/>
        <w:spacing w:afterLines="0" w:line="360" w:lineRule="auto"/>
        <w:ind w:firstLine="420"/>
        <w:rPr>
          <w:rFonts w:hint="eastAsia" w:cs="Times New Roman"/>
          <w:snapToGrid/>
          <w:spacing w:val="0"/>
          <w:sz w:val="21"/>
          <w:szCs w:val="21"/>
          <w:lang w:val="en-US" w:eastAsia="zh-CN"/>
        </w:rPr>
      </w:pPr>
      <w:r>
        <w:rPr>
          <w:rFonts w:hint="default" w:cs="Times New Roman"/>
          <w:snapToGrid/>
          <w:spacing w:val="0"/>
          <w:sz w:val="21"/>
          <w:szCs w:val="21"/>
          <w:lang w:val="en-US" w:eastAsia="zh-CN"/>
        </w:rPr>
        <w:t>②</w:t>
      </w:r>
      <w:r>
        <w:rPr>
          <w:rFonts w:hint="eastAsia" w:cs="Times New Roman"/>
          <w:snapToGrid/>
          <w:spacing w:val="0"/>
          <w:sz w:val="21"/>
          <w:szCs w:val="21"/>
          <w:lang w:val="en-US" w:eastAsia="zh-CN"/>
        </w:rPr>
        <w:t>项目团队成员必须经专业培训才能上岗，人员需与投标文件中的人员相一致，如有变动，需报采购人备案。</w:t>
      </w:r>
    </w:p>
    <w:p>
      <w:pPr>
        <w:pStyle w:val="506"/>
        <w:wordWrap/>
        <w:spacing w:afterLines="0" w:line="360" w:lineRule="auto"/>
        <w:ind w:firstLine="420"/>
        <w:rPr>
          <w:rFonts w:hint="eastAsia" w:cs="Times New Roman"/>
          <w:snapToGrid/>
          <w:spacing w:val="0"/>
          <w:sz w:val="21"/>
          <w:szCs w:val="21"/>
          <w:lang w:val="en-US" w:eastAsia="zh-CN"/>
        </w:rPr>
      </w:pPr>
      <w:r>
        <w:rPr>
          <w:rFonts w:hint="default" w:cs="Times New Roman"/>
          <w:snapToGrid/>
          <w:spacing w:val="0"/>
          <w:sz w:val="21"/>
          <w:szCs w:val="21"/>
          <w:lang w:val="en-US" w:eastAsia="zh-CN"/>
        </w:rPr>
        <w:t>③</w:t>
      </w:r>
      <w:r>
        <w:rPr>
          <w:rFonts w:hint="eastAsia" w:cs="Times New Roman"/>
          <w:snapToGrid/>
          <w:spacing w:val="0"/>
          <w:sz w:val="21"/>
          <w:szCs w:val="21"/>
          <w:lang w:val="en-US" w:eastAsia="zh-CN"/>
        </w:rPr>
        <w:t>中标人无法保质保量完成作业任务时，应根据采购人要求无条件的增加作业人员配置；</w:t>
      </w:r>
    </w:p>
    <w:p>
      <w:pPr>
        <w:pStyle w:val="506"/>
        <w:wordWrap/>
        <w:spacing w:afterLines="0" w:line="360" w:lineRule="auto"/>
        <w:ind w:firstLine="420"/>
        <w:rPr>
          <w:rFonts w:hint="eastAsia" w:cs="Times New Roman"/>
          <w:snapToGrid/>
          <w:spacing w:val="0"/>
          <w:sz w:val="21"/>
          <w:szCs w:val="21"/>
          <w:lang w:val="en-US" w:eastAsia="zh-CN"/>
        </w:rPr>
      </w:pPr>
      <w:r>
        <w:rPr>
          <w:rFonts w:hint="default" w:cs="Times New Roman"/>
          <w:snapToGrid/>
          <w:spacing w:val="0"/>
          <w:sz w:val="21"/>
          <w:szCs w:val="21"/>
          <w:lang w:val="en-US" w:eastAsia="zh-CN"/>
        </w:rPr>
        <w:t>④</w:t>
      </w:r>
      <w:r>
        <w:rPr>
          <w:rFonts w:hint="eastAsia" w:cs="Times New Roman"/>
          <w:snapToGrid/>
          <w:spacing w:val="0"/>
          <w:sz w:val="21"/>
          <w:szCs w:val="21"/>
          <w:lang w:val="en-US" w:eastAsia="zh-CN"/>
        </w:rPr>
        <w:t>员工劳动保障：</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1）中标人必须与员工签订书面劳动合同；</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2）中标人必须按规定比例为员工购买社会劳动保险以及必要的商业意外保险；</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3）中标人必须执行《劳动法》和《劳动合同法》等相关法规规定；</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4）中标人员工与中标单位产生的劳务纠纷，均由中标人负责，与采购人无关。</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b/>
          <w:bCs/>
          <w:snapToGrid/>
          <w:spacing w:val="0"/>
          <w:sz w:val="21"/>
          <w:szCs w:val="21"/>
          <w:lang w:val="en-US" w:eastAsia="zh-CN"/>
        </w:rPr>
        <w:t>7.其它：</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（1）项目施工期间，按采购人要求及时提交工作周报、月报等工作阶段性总结报告。</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（2）每次人工防治和化学防治完毕后提交5个样点的施工前、施工中、施工后对比影视档案资料1套、A4规格纸质打印2套。所有防治服务完成后提交书面防治报告2份，内容应包含防治服务开展的具体情况。</w:t>
      </w:r>
    </w:p>
    <w:p>
      <w:pPr>
        <w:pStyle w:val="506"/>
        <w:wordWrap/>
        <w:spacing w:afterLines="0" w:line="360" w:lineRule="auto"/>
        <w:ind w:firstLine="420"/>
        <w:rPr>
          <w:rFonts w:hint="eastAsia" w:cs="Times New Roman"/>
          <w:snapToGrid/>
          <w:spacing w:val="0"/>
          <w:sz w:val="21"/>
          <w:szCs w:val="21"/>
          <w:lang w:val="en-US" w:eastAsia="zh-CN"/>
        </w:rPr>
      </w:pPr>
      <w:r>
        <w:rPr>
          <w:rFonts w:hint="eastAsia" w:cs="Times New Roman"/>
          <w:snapToGrid/>
          <w:spacing w:val="0"/>
          <w:sz w:val="21"/>
          <w:szCs w:val="21"/>
          <w:lang w:val="en-US" w:eastAsia="zh-CN"/>
        </w:rPr>
        <w:t>（3）配合采购人做好该项目的监督检查，中标人配合采购人做好（每年不少于12次）现场核查，中标人提供车辆保障。</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lang w:val="en-US" w:eastAsia="zh-CN"/>
        </w:rPr>
        <w:t>（4）配合采购人做好项目选址、项目成果整理及发表工作。</w:t>
      </w:r>
    </w:p>
    <w:p>
      <w:pPr>
        <w:pStyle w:val="321"/>
        <w:ind w:firstLine="0" w:firstLineChars="0"/>
        <w:rPr>
          <w:b/>
        </w:rPr>
      </w:pPr>
    </w:p>
    <w:p>
      <w:pPr>
        <w:pStyle w:val="321"/>
        <w:ind w:firstLine="0" w:firstLineChars="0"/>
        <w:rPr>
          <w:b/>
        </w:rPr>
      </w:pPr>
      <w:r>
        <w:rPr>
          <w:rFonts w:hint="eastAsia"/>
          <w:b/>
        </w:rPr>
        <w:t>三、项目商务要求</w:t>
      </w:r>
    </w:p>
    <w:p>
      <w:pPr>
        <w:pStyle w:val="255"/>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（一）服务期限：</w:t>
      </w:r>
    </w:p>
    <w:p>
      <w:pPr>
        <w:pStyle w:val="255"/>
        <w:spacing w:beforeLines="0" w:line="360" w:lineRule="auto"/>
        <w:ind w:firstLine="424" w:firstLineChars="201"/>
        <w:rPr>
          <w:rFonts w:asciiTheme="minorEastAsia" w:hAnsiTheme="minorEastAsia" w:eastAsiaTheme="minorEastAsia"/>
          <w:b/>
        </w:rPr>
      </w:pPr>
      <w:r>
        <w:rPr>
          <w:rFonts w:hint="eastAsia" w:asciiTheme="minorEastAsia" w:hAnsiTheme="minorEastAsia" w:eastAsiaTheme="minorEastAsia"/>
          <w:b/>
          <w:highlight w:val="yellow"/>
          <w:lang w:eastAsia="zh-CN"/>
        </w:rPr>
        <w:t>合同签订之日起</w:t>
      </w:r>
      <w:r>
        <w:rPr>
          <w:rFonts w:hint="eastAsia" w:asciiTheme="minorEastAsia" w:hAnsiTheme="minorEastAsia" w:eastAsiaTheme="minorEastAsia"/>
          <w:b/>
          <w:highlight w:val="yellow"/>
          <w:lang w:val="en-US" w:eastAsia="zh-CN"/>
        </w:rPr>
        <w:t>至2024年12月31日前完成</w:t>
      </w:r>
      <w:r>
        <w:rPr>
          <w:rFonts w:hint="eastAsia" w:asciiTheme="minorEastAsia" w:hAnsiTheme="minorEastAsia" w:eastAsiaTheme="minorEastAsia"/>
          <w:b/>
          <w:highlight w:val="yellow"/>
          <w:lang w:eastAsia="zh-CN"/>
        </w:rPr>
        <w:t>。</w:t>
      </w:r>
      <w:r>
        <w:rPr>
          <w:rFonts w:hint="eastAsia" w:asciiTheme="minorEastAsia" w:hAnsiTheme="minorEastAsia" w:eastAsiaTheme="minorEastAsia"/>
          <w:b/>
          <w:highlight w:val="yellow"/>
          <w:lang w:val="en-US" w:eastAsia="zh-CN"/>
        </w:rPr>
        <w:t>本项目属于长期服务项目。合同履行期限最长不得超过三十六个月，采购人可视中标供应商履约服务情况，决定是否续签</w:t>
      </w:r>
      <w:r>
        <w:rPr>
          <w:rFonts w:hint="eastAsia" w:asciiTheme="minorEastAsia" w:hAnsiTheme="minorEastAsia" w:eastAsiaTheme="minorEastAsia"/>
          <w:b/>
          <w:highlight w:val="yellow"/>
          <w:lang w:eastAsia="zh-CN"/>
        </w:rPr>
        <w:t>。</w:t>
      </w:r>
      <w:r>
        <w:rPr>
          <w:rFonts w:hint="eastAsia" w:asciiTheme="minorEastAsia" w:hAnsiTheme="minorEastAsia" w:eastAsiaTheme="minorEastAsia"/>
          <w:b/>
          <w:highlight w:val="yellow"/>
          <w:lang w:val="en-US" w:eastAsia="zh-CN"/>
        </w:rPr>
        <w:t>合同一年一签，最多续签两次。</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（二）付款方式：</w:t>
      </w:r>
    </w:p>
    <w:p>
      <w:pPr>
        <w:pStyle w:val="255"/>
        <w:spacing w:beforeLines="0" w:line="360" w:lineRule="auto"/>
        <w:ind w:firstLine="424" w:firstLineChars="202"/>
        <w:rPr>
          <w:rFonts w:asciiTheme="minorEastAsia" w:hAnsiTheme="minorEastAsia" w:eastAsiaTheme="minorEastAsia"/>
          <w:b/>
        </w:rPr>
      </w:pPr>
      <w:r>
        <w:rPr>
          <w:rFonts w:hint="eastAsia" w:asciiTheme="minorEastAsia" w:hAnsiTheme="minorEastAsia" w:eastAsiaTheme="minorEastAsia"/>
          <w:b w:val="0"/>
          <w:bCs/>
          <w:lang w:val="en-US" w:eastAsia="zh-CN"/>
        </w:rPr>
        <w:t>采购人在</w:t>
      </w:r>
      <w:r>
        <w:rPr>
          <w:rFonts w:hint="eastAsia" w:asciiTheme="minorEastAsia" w:hAnsiTheme="minorEastAsia" w:eastAsiaTheme="minorEastAsia"/>
          <w:b w:val="0"/>
          <w:bCs/>
          <w:lang w:eastAsia="zh-CN"/>
        </w:rPr>
        <w:t>合同签订后，且收到中标</w:t>
      </w:r>
      <w:r>
        <w:rPr>
          <w:rFonts w:hint="eastAsia" w:asciiTheme="minorEastAsia" w:hAnsiTheme="minorEastAsia" w:eastAsiaTheme="minorEastAsia"/>
          <w:b w:val="0"/>
          <w:bCs/>
          <w:lang w:val="en-US" w:eastAsia="zh-CN"/>
        </w:rPr>
        <w:t>人</w:t>
      </w:r>
      <w:r>
        <w:rPr>
          <w:rFonts w:hint="eastAsia" w:asciiTheme="minorEastAsia" w:hAnsiTheme="minorEastAsia" w:eastAsiaTheme="minorEastAsia"/>
          <w:b w:val="0"/>
          <w:bCs/>
          <w:lang w:eastAsia="zh-CN"/>
        </w:rPr>
        <w:t>提供符合规定发票后</w:t>
      </w:r>
      <w:r>
        <w:rPr>
          <w:rFonts w:hint="eastAsia" w:asciiTheme="minorEastAsia" w:hAnsiTheme="minorEastAsia" w:eastAsiaTheme="minorEastAsia"/>
          <w:b w:val="0"/>
          <w:bCs/>
          <w:lang w:val="en-US" w:eastAsia="zh-CN"/>
        </w:rPr>
        <w:t>15日内支付合同总额的50%作为首期款，余款按进度验收通过后予以支付。</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（三）</w:t>
      </w:r>
      <w:r>
        <w:rPr>
          <w:rFonts w:hint="eastAsia" w:asciiTheme="minorEastAsia" w:hAnsiTheme="minorEastAsia" w:eastAsiaTheme="minorEastAsia"/>
          <w:b/>
          <w:lang w:val="en-US" w:eastAsia="zh-CN"/>
        </w:rPr>
        <w:t>知识产权</w:t>
      </w:r>
      <w:r>
        <w:rPr>
          <w:rFonts w:hint="eastAsia" w:asciiTheme="minorEastAsia" w:hAnsiTheme="minorEastAsia" w:eastAsiaTheme="minorEastAsia"/>
          <w:b/>
        </w:rPr>
        <w:t>：</w:t>
      </w:r>
    </w:p>
    <w:p>
      <w:pPr>
        <w:spacing w:line="360" w:lineRule="auto"/>
        <w:ind w:firstLine="420" w:firstLineChars="200"/>
        <w:jc w:val="left"/>
        <w:rPr>
          <w:rFonts w:hint="eastAsia" w:ascii="宋体" w:hAnsi="宋体"/>
          <w:szCs w:val="21"/>
        </w:rPr>
      </w:pPr>
      <w:r>
        <w:rPr>
          <w:rFonts w:hint="eastAsia" w:ascii="宋体" w:hAnsi="宋体"/>
          <w:szCs w:val="21"/>
          <w:lang w:val="en-US" w:eastAsia="zh-CN"/>
        </w:rPr>
        <w:t>（1）中标人</w:t>
      </w:r>
      <w:r>
        <w:rPr>
          <w:rFonts w:hint="eastAsia" w:ascii="宋体" w:hAnsi="宋体"/>
          <w:szCs w:val="21"/>
        </w:rPr>
        <w:t>在项目实施过程中不得侵犯第三人知识产权以及其他权益。需要使用第三人知识产权的，</w:t>
      </w:r>
      <w:r>
        <w:rPr>
          <w:rFonts w:hint="eastAsia" w:ascii="宋体" w:hAnsi="宋体"/>
          <w:szCs w:val="21"/>
          <w:lang w:val="en-US" w:eastAsia="zh-CN"/>
        </w:rPr>
        <w:t>中标人</w:t>
      </w:r>
      <w:r>
        <w:rPr>
          <w:rFonts w:hint="eastAsia" w:ascii="宋体" w:hAnsi="宋体"/>
          <w:szCs w:val="21"/>
        </w:rPr>
        <w:t>应取得权利人许可或者授权并由</w:t>
      </w:r>
      <w:r>
        <w:rPr>
          <w:rFonts w:hint="eastAsia" w:ascii="宋体" w:hAnsi="宋体"/>
          <w:szCs w:val="21"/>
          <w:lang w:val="en-US" w:eastAsia="zh-CN"/>
        </w:rPr>
        <w:t>中标人</w:t>
      </w:r>
      <w:r>
        <w:rPr>
          <w:rFonts w:hint="eastAsia" w:ascii="宋体" w:hAnsi="宋体"/>
          <w:szCs w:val="21"/>
        </w:rPr>
        <w:t>承担费用。</w:t>
      </w:r>
    </w:p>
    <w:p>
      <w:pPr>
        <w:spacing w:line="360" w:lineRule="auto"/>
        <w:ind w:firstLine="420" w:firstLineChars="200"/>
        <w:jc w:val="left"/>
        <w:rPr>
          <w:rFonts w:ascii="宋体" w:hAnsi="宋体"/>
          <w:szCs w:val="21"/>
        </w:rPr>
      </w:pP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除第三人依法享有知识产权的除外，</w:t>
      </w:r>
      <w:r>
        <w:rPr>
          <w:rFonts w:hint="eastAsia" w:ascii="宋体" w:hAnsi="宋体"/>
          <w:szCs w:val="21"/>
          <w:lang w:val="en-US" w:eastAsia="zh-CN"/>
        </w:rPr>
        <w:t>中标人</w:t>
      </w:r>
      <w:r>
        <w:rPr>
          <w:rFonts w:hint="eastAsia" w:ascii="宋体" w:hAnsi="宋体"/>
          <w:szCs w:val="21"/>
        </w:rPr>
        <w:t>实施本项目所形成成果的知识产权归</w:t>
      </w:r>
      <w:r>
        <w:rPr>
          <w:rFonts w:hint="eastAsia" w:ascii="宋体" w:hAnsi="宋体"/>
          <w:szCs w:val="21"/>
          <w:lang w:eastAsia="zh-CN"/>
        </w:rPr>
        <w:t>采购人</w:t>
      </w:r>
      <w:r>
        <w:rPr>
          <w:rFonts w:hint="eastAsia" w:ascii="宋体" w:hAnsi="宋体"/>
          <w:szCs w:val="21"/>
        </w:rPr>
        <w:t>所有，未经</w:t>
      </w:r>
      <w:r>
        <w:rPr>
          <w:rFonts w:hint="eastAsia" w:ascii="宋体" w:hAnsi="宋体"/>
          <w:szCs w:val="21"/>
          <w:lang w:eastAsia="zh-CN"/>
        </w:rPr>
        <w:t>采购人</w:t>
      </w:r>
      <w:r>
        <w:rPr>
          <w:rFonts w:hint="eastAsia" w:ascii="宋体" w:hAnsi="宋体"/>
          <w:szCs w:val="21"/>
        </w:rPr>
        <w:t>许可，</w:t>
      </w:r>
      <w:r>
        <w:rPr>
          <w:rFonts w:hint="eastAsia" w:ascii="宋体" w:hAnsi="宋体"/>
          <w:szCs w:val="21"/>
          <w:lang w:val="en-US" w:eastAsia="zh-CN"/>
        </w:rPr>
        <w:t>中标人</w:t>
      </w:r>
      <w:r>
        <w:rPr>
          <w:rFonts w:hint="eastAsia" w:ascii="宋体" w:hAnsi="宋体"/>
          <w:szCs w:val="21"/>
        </w:rPr>
        <w:t>不得随意使用。</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（四）报价要求：</w:t>
      </w:r>
    </w:p>
    <w:p>
      <w:pPr>
        <w:spacing w:line="360" w:lineRule="auto"/>
        <w:ind w:firstLine="420" w:firstLineChars="200"/>
        <w:jc w:val="left"/>
        <w:rPr>
          <w:rFonts w:hint="eastAsia" w:ascii="宋体" w:hAnsi="宋体"/>
          <w:szCs w:val="21"/>
          <w:lang w:val="en-US" w:eastAsia="zh-CN"/>
        </w:rPr>
      </w:pPr>
      <w:r>
        <w:rPr>
          <w:rFonts w:hint="eastAsia" w:ascii="宋体" w:hAnsi="宋体"/>
          <w:szCs w:val="21"/>
          <w:lang w:val="en-US" w:eastAsia="zh-CN"/>
        </w:rPr>
        <w:t>（1）报价形式：</w:t>
      </w:r>
    </w:p>
    <w:p>
      <w:pPr>
        <w:spacing w:line="360" w:lineRule="auto"/>
        <w:ind w:firstLine="420" w:firstLineChars="200"/>
        <w:jc w:val="left"/>
        <w:rPr>
          <w:rFonts w:hint="eastAsia" w:ascii="宋体" w:hAnsi="宋体"/>
          <w:szCs w:val="21"/>
          <w:lang w:val="en-US" w:eastAsia="zh-CN"/>
        </w:rPr>
      </w:pPr>
      <w:r>
        <w:rPr>
          <w:rFonts w:hint="eastAsia" w:ascii="宋体" w:hAnsi="宋体"/>
          <w:szCs w:val="21"/>
          <w:lang w:val="en-US" w:eastAsia="zh-CN"/>
        </w:rPr>
        <w:t>①本项目服务费采用包干制，应包括服务成本、法定税费和利润。由投标人根据采购文件所提供的资料自行测算投标报价；一经中标，报价总价作为中标人与采购人签定的合同金额，合同期限内不做调整。</w:t>
      </w:r>
    </w:p>
    <w:p>
      <w:pPr>
        <w:spacing w:line="360" w:lineRule="auto"/>
        <w:ind w:firstLine="420" w:firstLineChars="200"/>
        <w:jc w:val="left"/>
        <w:rPr>
          <w:rFonts w:hint="eastAsia" w:ascii="宋体" w:hAnsi="宋体"/>
          <w:szCs w:val="21"/>
          <w:lang w:val="en-US" w:eastAsia="zh-CN"/>
        </w:rPr>
      </w:pPr>
      <w:r>
        <w:rPr>
          <w:rFonts w:hint="eastAsia" w:ascii="宋体" w:hAnsi="宋体"/>
          <w:szCs w:val="21"/>
          <w:lang w:val="en-US" w:eastAsia="zh-CN"/>
        </w:rPr>
        <w:t>②投标人应当根据本单位的成本、利润、税费等情况自行决定报价。</w:t>
      </w:r>
    </w:p>
    <w:p>
      <w:pPr>
        <w:spacing w:line="360" w:lineRule="auto"/>
        <w:ind w:firstLine="420" w:firstLineChars="200"/>
        <w:jc w:val="left"/>
        <w:rPr>
          <w:rFonts w:hint="eastAsia" w:ascii="宋体" w:hAnsi="宋体"/>
          <w:szCs w:val="21"/>
          <w:lang w:val="en-US" w:eastAsia="zh-CN"/>
        </w:rPr>
      </w:pPr>
      <w:r>
        <w:rPr>
          <w:rFonts w:hint="eastAsia" w:ascii="宋体" w:hAnsi="宋体"/>
          <w:szCs w:val="21"/>
          <w:lang w:val="en-US" w:eastAsia="zh-CN"/>
        </w:rPr>
        <w:t>③投标人的报价不得超过项目预算金额，否则作投标无效处理。</w:t>
      </w:r>
    </w:p>
    <w:p>
      <w:pPr>
        <w:spacing w:line="360" w:lineRule="auto"/>
        <w:ind w:firstLine="420" w:firstLineChars="200"/>
        <w:jc w:val="left"/>
        <w:rPr>
          <w:rFonts w:hint="eastAsia" w:ascii="宋体" w:hAnsi="宋体"/>
          <w:szCs w:val="21"/>
          <w:lang w:val="en-US" w:eastAsia="zh-CN"/>
        </w:rPr>
      </w:pPr>
      <w:r>
        <w:rPr>
          <w:rFonts w:hint="eastAsia" w:ascii="宋体" w:hAnsi="宋体"/>
          <w:szCs w:val="21"/>
          <w:lang w:val="en-US" w:eastAsia="zh-CN"/>
        </w:rPr>
        <w:t>④投标人的报价，应当是本项目采购范围和采购文件及合同条款上所列的各项内容中所述的全部，不得以任何理由予以重复。</w:t>
      </w:r>
    </w:p>
    <w:p>
      <w:pPr>
        <w:spacing w:line="360" w:lineRule="auto"/>
        <w:ind w:firstLine="420" w:firstLineChars="200"/>
        <w:jc w:val="left"/>
        <w:rPr>
          <w:rFonts w:hint="eastAsia" w:ascii="宋体" w:hAnsi="宋体"/>
          <w:szCs w:val="21"/>
          <w:lang w:val="en-US" w:eastAsia="zh-CN"/>
        </w:rPr>
      </w:pPr>
      <w:r>
        <w:rPr>
          <w:rFonts w:hint="eastAsia" w:ascii="宋体" w:hAnsi="宋体"/>
          <w:szCs w:val="21"/>
          <w:lang w:val="en-US" w:eastAsia="zh-CN"/>
        </w:rPr>
        <w:t>（2）除非采购人通过修改采购文件予以更正，否则，投标人应毫无例外地按响应文件所列的清单中项目和数量填报综合单价或合价。投标人未填综合单价或合价的项目，在实施后，将不获得支付，并视作该项费用已包括在其它有价款的综合单价或合价内。</w:t>
      </w:r>
    </w:p>
    <w:p>
      <w:pPr>
        <w:spacing w:line="360" w:lineRule="auto"/>
        <w:ind w:firstLine="420" w:firstLineChars="200"/>
        <w:jc w:val="left"/>
        <w:rPr>
          <w:rFonts w:hint="eastAsia" w:ascii="宋体" w:hAnsi="宋体"/>
          <w:szCs w:val="21"/>
          <w:lang w:val="en-US" w:eastAsia="zh-CN"/>
        </w:rPr>
      </w:pPr>
      <w:r>
        <w:rPr>
          <w:rFonts w:hint="eastAsia" w:ascii="宋体" w:hAnsi="宋体"/>
          <w:szCs w:val="21"/>
          <w:lang w:val="en-US" w:eastAsia="zh-CN"/>
        </w:rPr>
        <w:t>（3）投标人不得期望通过索赔等方式获取补偿，否则，除可能遭到拒绝外，还可能将被作为不良行为记录在案，并可能影响其以后参加政府采购的项目投标。各投标人在报价时，应充分考虑报价的风险。</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0" w:firstLineChars="0"/>
        <w:textAlignment w:val="auto"/>
        <w:rPr>
          <w:rFonts w:hint="eastAsia" w:ascii="宋体" w:hAnsi="宋体"/>
          <w:szCs w:val="21"/>
          <w:lang w:val="en-US" w:eastAsia="zh-CN"/>
        </w:rPr>
      </w:pPr>
      <w:r>
        <w:rPr>
          <w:rFonts w:hint="eastAsia" w:ascii="宋体" w:hAnsi="宋体"/>
          <w:b/>
          <w:bCs/>
          <w:szCs w:val="21"/>
          <w:lang w:val="en-US" w:eastAsia="zh-CN"/>
        </w:rPr>
        <w:t>（五）验收内容及标准：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Cs w:val="21"/>
          <w:lang w:val="en-US" w:eastAsia="zh-CN"/>
        </w:rPr>
      </w:pPr>
      <w:r>
        <w:rPr>
          <w:rFonts w:hint="eastAsia" w:ascii="宋体" w:hAnsi="宋体"/>
          <w:szCs w:val="21"/>
          <w:lang w:val="en-US" w:eastAsia="zh-CN"/>
        </w:rPr>
        <w:t>（1）采购人以采购项目的招标文件、投标文件、采购合同作为验收依据，按照采购合同的约定逐项核对技术、服务、安全标准的履约情况并确认；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Cs w:val="21"/>
          <w:lang w:val="en-US" w:eastAsia="zh-CN"/>
        </w:rPr>
      </w:pPr>
      <w:r>
        <w:rPr>
          <w:rFonts w:hint="eastAsia" w:ascii="宋体" w:hAnsi="宋体"/>
          <w:szCs w:val="21"/>
          <w:lang w:val="en-US" w:eastAsia="zh-CN"/>
        </w:rPr>
        <w:t>（2）本项目具体验收内容及标准：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Cs w:val="21"/>
          <w:lang w:val="en-US" w:eastAsia="zh-CN"/>
        </w:rPr>
      </w:pPr>
      <w:r>
        <w:rPr>
          <w:rFonts w:hint="eastAsia" w:ascii="宋体" w:hAnsi="宋体"/>
          <w:szCs w:val="21"/>
          <w:lang w:val="en-US" w:eastAsia="zh-CN"/>
        </w:rPr>
        <w:t>1）项目结束前15个工作日内向采购人申请项目验收。项目验收达到合格标准才视为通过验收并将所有项目区疫情防治档案移交给采购人，项目验收合格标准为：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Cs w:val="21"/>
          <w:lang w:val="en-US" w:eastAsia="zh-CN"/>
        </w:rPr>
      </w:pPr>
      <w:r>
        <w:rPr>
          <w:rFonts w:hint="eastAsia" w:ascii="宋体" w:hAnsi="宋体"/>
          <w:szCs w:val="21"/>
          <w:lang w:val="en-US" w:eastAsia="zh-CN"/>
        </w:rPr>
        <w:t>①防治效果指标：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Cs w:val="21"/>
          <w:lang w:val="en-US" w:eastAsia="zh-CN"/>
        </w:rPr>
      </w:pPr>
      <w:r>
        <w:rPr>
          <w:rFonts w:hint="eastAsia" w:ascii="宋体" w:hAnsi="宋体"/>
          <w:szCs w:val="21"/>
          <w:lang w:val="en-US" w:eastAsia="zh-CN"/>
        </w:rPr>
        <w:t>人工防除：防治区的薇甘菊残存率≤1%，攀树率为零；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Cs w:val="21"/>
          <w:lang w:val="en-US" w:eastAsia="zh-CN"/>
        </w:rPr>
      </w:pPr>
      <w:r>
        <w:rPr>
          <w:rFonts w:hint="eastAsia" w:ascii="宋体" w:hAnsi="宋体"/>
          <w:szCs w:val="21"/>
          <w:lang w:val="en-US" w:eastAsia="zh-CN"/>
        </w:rPr>
        <w:t>化学防治：防治区的薇甘菊残存率≤1%，攀树率为零；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Cs w:val="21"/>
          <w:lang w:val="en-US" w:eastAsia="zh-CN"/>
        </w:rPr>
      </w:pPr>
      <w:r>
        <w:rPr>
          <w:rFonts w:hint="eastAsia" w:ascii="宋体" w:hAnsi="宋体"/>
          <w:szCs w:val="21"/>
          <w:lang w:val="en-US" w:eastAsia="zh-CN"/>
        </w:rPr>
        <w:t>②防治过程中未出现除草剂污染农作物及药害事故。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Cs w:val="21"/>
          <w:lang w:val="en-US" w:eastAsia="zh-CN"/>
        </w:rPr>
      </w:pPr>
      <w:r>
        <w:rPr>
          <w:rFonts w:hint="eastAsia" w:ascii="宋体" w:hAnsi="宋体"/>
          <w:szCs w:val="21"/>
          <w:lang w:val="en-US" w:eastAsia="zh-CN"/>
        </w:rPr>
        <w:t>③项目区疫情情况没有泄密。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Cs w:val="21"/>
          <w:lang w:val="en-US" w:eastAsia="zh-CN"/>
        </w:rPr>
      </w:pPr>
      <w:r>
        <w:rPr>
          <w:rFonts w:hint="eastAsia" w:ascii="宋体" w:hAnsi="宋体"/>
          <w:szCs w:val="21"/>
          <w:lang w:val="en-US" w:eastAsia="zh-CN"/>
        </w:rPr>
        <w:t>2）验收时需提交工作总结报告、防控、监测工作现场签证表及工作影视资料等项目佐证材料，移交所有项目开展的原始资料。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Cs w:val="21"/>
          <w:lang w:val="en-US" w:eastAsia="zh-CN"/>
        </w:rPr>
      </w:pPr>
      <w:r>
        <w:rPr>
          <w:rFonts w:hint="eastAsia" w:ascii="宋体" w:hAnsi="宋体"/>
          <w:szCs w:val="21"/>
          <w:lang w:val="en-US" w:eastAsia="zh-CN"/>
        </w:rPr>
        <w:t>3）本项目调查数据及成果归采购单位所有，未经授权或同意，中标人不得以任何形式公开（发表）。</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0" w:firstLineChars="0"/>
        <w:jc w:val="left"/>
        <w:textAlignment w:val="auto"/>
        <w:rPr>
          <w:rFonts w:hint="eastAsia" w:ascii="宋体" w:hAnsi="宋体" w:eastAsia="宋体" w:cs="宋体"/>
          <w:lang w:val="en-US" w:eastAsia="zh-CN"/>
        </w:rPr>
      </w:pPr>
      <w:r>
        <w:rPr>
          <w:rFonts w:hint="eastAsia" w:ascii="宋体" w:hAnsi="宋体" w:cs="宋体"/>
          <w:b/>
          <w:bCs/>
          <w:lang w:eastAsia="zh-CN"/>
        </w:rPr>
        <w:t>（</w:t>
      </w:r>
      <w:r>
        <w:rPr>
          <w:rFonts w:hint="eastAsia" w:ascii="宋体" w:hAnsi="宋体" w:cs="宋体"/>
          <w:b/>
          <w:bCs/>
          <w:lang w:val="en-US" w:eastAsia="zh-CN"/>
        </w:rPr>
        <w:t>六</w:t>
      </w:r>
      <w:r>
        <w:rPr>
          <w:rFonts w:hint="eastAsia" w:ascii="宋体" w:hAnsi="宋体" w:cs="宋体"/>
          <w:b/>
          <w:bCs/>
          <w:lang w:eastAsia="zh-CN"/>
        </w:rPr>
        <w:t>）</w:t>
      </w:r>
      <w:r>
        <w:rPr>
          <w:rFonts w:hint="eastAsia" w:ascii="宋体" w:hAnsi="宋体" w:eastAsia="宋体" w:cs="宋体"/>
          <w:b/>
          <w:bCs/>
        </w:rPr>
        <w:t>违约责任</w:t>
      </w:r>
      <w:r>
        <w:rPr>
          <w:rFonts w:hint="eastAsia" w:ascii="宋体" w:hAnsi="宋体" w:cs="宋体"/>
          <w:b/>
          <w:bCs/>
          <w:lang w:val="en-US" w:eastAsia="zh-CN"/>
        </w:rPr>
        <w:t>：</w:t>
      </w:r>
      <w:r>
        <w:rPr>
          <w:rFonts w:hint="eastAsia" w:ascii="宋体" w:hAnsi="宋体" w:eastAsia="宋体" w:cs="宋体"/>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中标供应商未在约定期限内完成项目内容并提交成果的，每延迟一日按照合同总金额千分之一的标准向甲方支付违约金。延迟超过十日的，采购人有权解除合同并要求中标供应商返还已经支付的款项，未支付的不再支付。</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中标供应商交付的成果验收不合格的，经采购人要求整改再次验收仍不合格的或中标供应商提交的成果存在虚假、违法违规、重大错误的，采购人有权立即解除合同、要求中标供应商返还已经支付的款项并支付合同总额20%的违约金。</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（3）因中标供应商实施本项目过程中侵犯第三人合法权益或者违约导致采购人承担赔偿责任的，采购人有权向中标供应商追偿并有权解除合同、要求中标供应商返还已经支付的款项并支付合同总额20%的违约金。</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（4）中标供应商签订合同后，实际配备的工作人员与投标文件的承诺不一致的，或实施本项目时已不符合招标文件要求的，采购人有权解除合同，并要求中标供应商返向采购人支付合同总额10%的违约金。</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（5）中标供应商无正当理由解除合同的，应向采购人支付合同总额20%的违约金。</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lang w:val="en" w:eastAsia="zh-CN"/>
        </w:rPr>
      </w:pPr>
      <w:r>
        <w:rPr>
          <w:rFonts w:hint="eastAsia" w:ascii="宋体" w:hAnsi="宋体" w:eastAsia="宋体" w:cs="宋体"/>
          <w:lang w:val="en-US" w:eastAsia="zh-CN"/>
        </w:rPr>
        <w:t>（6）中标供应商违反本需求知识产权相关内容的，应向采购人支付合同总额10%的违约金。</w:t>
      </w:r>
      <w:r>
        <w:rPr>
          <w:rFonts w:hint="eastAsia" w:ascii="宋体" w:hAnsi="宋体" w:eastAsia="宋体" w:cs="宋体"/>
          <w:lang w:val="en-US" w:eastAsia="zh-CN"/>
        </w:rPr>
        <w:br w:type="textWrapping"/>
      </w:r>
      <w:r>
        <w:rPr>
          <w:rFonts w:hint="eastAsia" w:ascii="宋体" w:hAnsi="宋体" w:eastAsia="宋体" w:cs="宋体"/>
          <w:lang w:val="en" w:eastAsia="zh-CN"/>
        </w:rPr>
        <w:t xml:space="preserve">    （7）</w:t>
      </w:r>
      <w:r>
        <w:rPr>
          <w:rFonts w:hint="eastAsia" w:ascii="宋体" w:hAnsi="宋体" w:eastAsia="宋体" w:cs="宋体"/>
          <w:lang w:val="en-US" w:eastAsia="zh-CN"/>
        </w:rPr>
        <w:t>未经</w:t>
      </w:r>
      <w:r>
        <w:rPr>
          <w:rFonts w:hint="eastAsia" w:ascii="宋体" w:hAnsi="宋体" w:eastAsia="宋体" w:cs="宋体"/>
          <w:lang w:val="en" w:eastAsia="zh-CN"/>
        </w:rPr>
        <w:t>采购人</w:t>
      </w:r>
      <w:r>
        <w:rPr>
          <w:rFonts w:hint="eastAsia" w:ascii="宋体" w:hAnsi="宋体" w:eastAsia="宋体" w:cs="宋体"/>
          <w:lang w:val="en-US" w:eastAsia="zh-CN"/>
        </w:rPr>
        <w:t>同意，</w:t>
      </w:r>
      <w:r>
        <w:rPr>
          <w:rFonts w:hint="eastAsia" w:ascii="宋体" w:hAnsi="宋体" w:eastAsia="宋体" w:cs="宋体"/>
          <w:lang w:val="en" w:eastAsia="zh-CN"/>
        </w:rPr>
        <w:t>中标供应商</w:t>
      </w:r>
      <w:r>
        <w:rPr>
          <w:rFonts w:hint="eastAsia" w:ascii="宋体" w:hAnsi="宋体" w:eastAsia="宋体" w:cs="宋体"/>
          <w:lang w:val="en-US" w:eastAsia="zh-CN"/>
        </w:rPr>
        <w:t>将本合同项目的任务全部或者一部分转委托给第三人</w:t>
      </w:r>
      <w:r>
        <w:rPr>
          <w:rFonts w:hint="eastAsia" w:ascii="宋体" w:hAnsi="宋体" w:eastAsia="宋体" w:cs="宋体"/>
          <w:lang w:val="en" w:eastAsia="zh-CN"/>
        </w:rPr>
        <w:t>，采购人</w:t>
      </w:r>
      <w:r>
        <w:rPr>
          <w:rFonts w:hint="eastAsia" w:ascii="宋体" w:hAnsi="宋体" w:eastAsia="宋体" w:cs="宋体"/>
          <w:lang w:val="en-US" w:eastAsia="zh-CN"/>
        </w:rPr>
        <w:t>有权解除合同、要求</w:t>
      </w:r>
      <w:r>
        <w:rPr>
          <w:rFonts w:hint="eastAsia" w:ascii="宋体" w:hAnsi="宋体" w:eastAsia="宋体" w:cs="宋体"/>
          <w:lang w:val="en" w:eastAsia="zh-CN"/>
        </w:rPr>
        <w:t>中标供应商</w:t>
      </w:r>
      <w:r>
        <w:rPr>
          <w:rFonts w:hint="eastAsia" w:ascii="宋体" w:hAnsi="宋体" w:eastAsia="宋体" w:cs="宋体"/>
          <w:lang w:val="en-US" w:eastAsia="zh-CN"/>
        </w:rPr>
        <w:t>返还已经支付的款项并支付合同总额10%的违约金。</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pPr>
      <w:r>
        <w:rPr>
          <w:rFonts w:hint="eastAsia" w:ascii="宋体" w:hAnsi="宋体" w:eastAsia="宋体" w:cs="宋体"/>
          <w:lang w:val="en-US" w:eastAsia="zh-CN"/>
        </w:rPr>
        <w:t>（</w:t>
      </w:r>
      <w:r>
        <w:rPr>
          <w:rFonts w:hint="eastAsia" w:ascii="宋体" w:hAnsi="宋体" w:eastAsia="宋体" w:cs="宋体"/>
          <w:lang w:val="en" w:eastAsia="zh-CN"/>
        </w:rPr>
        <w:t>8</w:t>
      </w:r>
      <w:r>
        <w:rPr>
          <w:rFonts w:hint="eastAsia" w:ascii="宋体" w:hAnsi="宋体" w:eastAsia="宋体" w:cs="宋体"/>
          <w:lang w:val="en-US" w:eastAsia="zh-CN"/>
        </w:rPr>
        <w:t>）采购人违约的，应按照民法典有关规定承担违约责任。</w:t>
      </w:r>
      <w:r>
        <w:rPr>
          <w:rFonts w:hint="eastAsia" w:ascii="宋体" w:hAnsi="宋体" w:eastAsia="宋体" w:cs="宋体"/>
        </w:rPr>
        <w:br w:type="textWrapping"/>
      </w:r>
      <w:r>
        <w:rPr>
          <w:rFonts w:hint="eastAsia" w:ascii="宋体" w:hAnsi="宋体" w:cs="宋体"/>
          <w:b/>
          <w:bCs/>
          <w:lang w:val="en-US" w:eastAsia="zh-CN"/>
        </w:rPr>
        <w:t>（七）</w:t>
      </w:r>
      <w:r>
        <w:rPr>
          <w:rFonts w:hint="eastAsia" w:ascii="宋体" w:hAnsi="宋体" w:eastAsia="宋体" w:cs="宋体"/>
          <w:b/>
          <w:bCs/>
        </w:rPr>
        <w:t>解决</w:t>
      </w:r>
      <w:r>
        <w:rPr>
          <w:rFonts w:hint="eastAsia" w:ascii="宋体" w:hAnsi="宋体" w:eastAsia="宋体" w:cs="宋体"/>
          <w:b/>
          <w:bCs/>
          <w:lang w:val="en-US" w:eastAsia="zh-CN"/>
        </w:rPr>
        <w:t>争议</w:t>
      </w:r>
      <w:r>
        <w:rPr>
          <w:rFonts w:hint="eastAsia" w:ascii="宋体" w:hAnsi="宋体" w:eastAsia="宋体" w:cs="宋体"/>
          <w:b/>
          <w:bCs/>
        </w:rPr>
        <w:t>的方法：</w:t>
      </w:r>
      <w:r>
        <w:rPr>
          <w:rFonts w:hint="eastAsia" w:ascii="宋体" w:hAnsi="宋体" w:eastAsia="宋体" w:cs="宋体"/>
        </w:rPr>
        <w:br w:type="textWrapping"/>
      </w:r>
      <w:r>
        <w:rPr>
          <w:rFonts w:hint="eastAsia" w:ascii="宋体" w:hAnsi="宋体" w:eastAsia="宋体" w:cs="宋体"/>
          <w:lang w:val="en-US" w:eastAsia="zh-CN"/>
        </w:rPr>
        <w:t xml:space="preserve">    （1）双方因履行本项目发生争议的，可协商解决，无法协商解决的应向采购人住所地有管辖权的人民法院提起诉讼。</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    （2）诉讼进行过程中，双方将继续履行本项目未涉诉讼的其它部分。</w:t>
      </w:r>
    </w:p>
    <w:p>
      <w:pPr>
        <w:pStyle w:val="45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sz w:val="21"/>
          <w:szCs w:val="21"/>
        </w:rPr>
      </w:pPr>
    </w:p>
    <w:p>
      <w:pPr>
        <w:pStyle w:val="45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rPr>
          <w:sz w:val="21"/>
          <w:szCs w:val="21"/>
        </w:rPr>
      </w:pPr>
      <w:r>
        <w:rPr>
          <w:sz w:val="21"/>
          <w:szCs w:val="21"/>
        </w:rPr>
        <w:br w:type="page"/>
      </w:r>
    </w:p>
    <w:p>
      <w:pPr>
        <w:pStyle w:val="456"/>
        <w:spacing w:before="0" w:beforeAutospacing="0" w:after="0" w:afterAutospacing="0" w:line="360" w:lineRule="auto"/>
        <w:rPr>
          <w:sz w:val="21"/>
          <w:szCs w:val="21"/>
        </w:rPr>
      </w:pPr>
    </w:p>
    <w:p>
      <w:pPr>
        <w:pStyle w:val="3"/>
      </w:pPr>
      <w:bookmarkStart w:id="2" w:name="_Toc135293161"/>
      <w:r>
        <w:rPr>
          <w:rFonts w:hint="eastAsia"/>
        </w:rPr>
        <w:t>第三章  投标文件初审</w:t>
      </w:r>
      <w:bookmarkEnd w:id="2"/>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请评委重点审查供应商是否存在《深圳经济特区政府采购条例实施细则》第七十五条规定的串通投标情形：</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（一）投标供应商之间相互约定给予未中标的供应商利益补偿；</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（三）不同投标供应商的投标文件由同一单位或者同一人编制，或者由同一人分阶段参与编制的；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（四）不同投标供应商的投标文件或部分投标文件相互混装；</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（五）不同投标供应商的投标文件内容存在非正常一致；</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（六）由同一单位工作人员为两家以上（含两家）供应商进行同一项投标活动的；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（七）主管部门依照法律、法规认定的其他情形。</w:t>
      </w:r>
    </w:p>
    <w:p>
      <w:pPr>
        <w:adjustRightInd w:val="0"/>
        <w:spacing w:line="360" w:lineRule="auto"/>
        <w:rPr>
          <w:snapToGrid w:val="0"/>
          <w:kern w:val="0"/>
        </w:rPr>
      </w:pPr>
    </w:p>
    <w:p>
      <w:pPr>
        <w:adjustRightInd w:val="0"/>
        <w:spacing w:line="360" w:lineRule="auto"/>
        <w:ind w:firstLine="422" w:firstLineChars="201"/>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二、符合性审查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6、投标报价有严重缺漏项的。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9、将一个项目包拆分投标，同时提供两套或以上的投标方案</w:t>
      </w:r>
      <w:r>
        <w:rPr>
          <w:szCs w:val="21"/>
        </w:rPr>
        <w:t>（招标文件另有规定的除外）</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13、法律法规规定的其它情形。</w:t>
      </w:r>
    </w:p>
    <w:p/>
    <w:p/>
    <w:p/>
    <w:p/>
    <w:p/>
    <w:p/>
    <w:p/>
    <w:p/>
    <w:p/>
    <w:p/>
    <w:p/>
    <w:p/>
    <w:p/>
    <w:p/>
    <w:p/>
    <w:p/>
    <w:p/>
    <w:p/>
    <w:p/>
    <w:p/>
    <w:p/>
    <w:p/>
    <w:p/>
    <w:p/>
    <w:p/>
    <w:p/>
    <w:p/>
    <w:p/>
    <w:p/>
    <w:p/>
    <w:p/>
    <w:p/>
    <w:p/>
    <w:p/>
    <w:p/>
    <w:p/>
    <w:p/>
    <w:p/>
    <w:p/>
    <w:p/>
    <w:p/>
    <w:p>
      <w:pPr>
        <w:pStyle w:val="3"/>
        <w:spacing w:after="0"/>
      </w:pPr>
      <w:bookmarkStart w:id="3" w:name="_Toc135293162"/>
      <w:r>
        <w:rPr>
          <w:rFonts w:hint="eastAsia"/>
        </w:rPr>
        <w:t>第四章  评标方法和标准</w:t>
      </w:r>
      <w:bookmarkEnd w:id="3"/>
    </w:p>
    <w:p/>
    <w:p>
      <w:pPr>
        <w:pStyle w:val="5"/>
        <w:spacing w:before="0" w:after="0"/>
      </w:pPr>
      <w:bookmarkStart w:id="4" w:name="_Toc44690702"/>
      <w:bookmarkStart w:id="5" w:name="_Toc44691161"/>
      <w:bookmarkStart w:id="6" w:name="_Toc44690429"/>
      <w:bookmarkStart w:id="7" w:name="_Toc44691393"/>
      <w:bookmarkStart w:id="8" w:name="_Toc135293163"/>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综合评分法，是指在最大限度地满足招标文件实质性要求的前提下，按照招标文件中规定的各项因素进行综合评审，评标总得分排名前列的投标人，作为推荐的候选中标供应商。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3、中标供应商及候选中标供应商数量：</w:t>
      </w:r>
      <w:r>
        <w:rPr>
          <w:rFonts w:hint="eastAsia" w:cs="仿宋" w:asciiTheme="minorEastAsia" w:hAnsiTheme="minorEastAsia" w:eastAsiaTheme="minorEastAsia"/>
          <w:kern w:val="2"/>
          <w:sz w:val="21"/>
          <w:szCs w:val="21"/>
        </w:rPr>
        <w:t>中标供应商数量：1名，候选中标供应商数量：1名。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5、推荐候选中标供应商：</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作为候选中标供应商。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6、确定中标供应商：</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非评定分离项目：采购人在评标报告确定的候选中标供应商名单中按顺序确定1名中标供应商。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5"/>
        <w:spacing w:before="0" w:after="0"/>
      </w:pPr>
      <w:bookmarkStart w:id="9" w:name="_Toc135293164"/>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评标委员会按照以下量化的评审因素，对各投标文件进行综合评审：</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widowControl/>
              <w:spacing w:line="360" w:lineRule="exact"/>
              <w:jc w:val="left"/>
              <w:rPr>
                <w:rFonts w:ascii="宋体" w:hAnsi="宋体" w:cs="仿宋"/>
                <w:szCs w:val="21"/>
              </w:rPr>
            </w:pPr>
            <w:r>
              <w:rPr>
                <w:rFonts w:hint="eastAsia" w:ascii="宋体" w:hAnsi="宋体" w:cs="仿宋"/>
                <w:szCs w:val="21"/>
              </w:rPr>
              <w:t>价格分采用低价优先法计算，即满足招标文件要求且投标价格最低的投标报价为评标基准价，其价格分为满分。其他投标人的价格分统一按照下列公式计算：</w:t>
            </w:r>
          </w:p>
          <w:p>
            <w:pPr>
              <w:widowControl/>
              <w:spacing w:line="360" w:lineRule="exact"/>
              <w:jc w:val="left"/>
              <w:rPr>
                <w:rFonts w:ascii="宋体" w:hAnsi="宋体" w:cs="仿宋"/>
                <w:szCs w:val="21"/>
              </w:rPr>
            </w:pPr>
            <w:r>
              <w:rPr>
                <w:rFonts w:hint="eastAsia" w:ascii="宋体" w:hAnsi="宋体" w:cs="仿宋"/>
                <w:szCs w:val="21"/>
              </w:rPr>
              <w:t>投标报价得分=(评标基准价／投标报价)×权重</w:t>
            </w:r>
          </w:p>
          <w:p>
            <w:pPr>
              <w:adjustRightInd w:val="0"/>
              <w:snapToGrid w:val="0"/>
              <w:spacing w:line="360" w:lineRule="exact"/>
              <w:rPr>
                <w:rFonts w:ascii="宋体" w:hAnsi="宋体"/>
                <w:snapToGrid w:val="0"/>
                <w:kern w:val="0"/>
                <w:szCs w:val="21"/>
              </w:rPr>
            </w:pPr>
            <w:r>
              <w:rPr>
                <w:rFonts w:hint="eastAsia" w:ascii="宋体" w:hAnsi="宋体"/>
                <w:snapToGrid w:val="0"/>
                <w:kern w:val="0"/>
                <w:szCs w:val="21"/>
              </w:rPr>
              <w:t>备注：</w:t>
            </w:r>
          </w:p>
          <w:p>
            <w:pPr>
              <w:adjustRightInd w:val="0"/>
              <w:snapToGrid w:val="0"/>
              <w:spacing w:line="360" w:lineRule="exact"/>
              <w:rPr>
                <w:rFonts w:ascii="宋体" w:hAnsi="宋体"/>
                <w:bCs/>
                <w:snapToGrid w:val="0"/>
                <w:kern w:val="0"/>
              </w:rPr>
            </w:pPr>
            <w:r>
              <w:rPr>
                <w:rFonts w:hint="eastAsia" w:ascii="宋体" w:hAnsi="宋体"/>
                <w:snapToGrid w:val="0"/>
                <w:kern w:val="0"/>
                <w:szCs w:val="21"/>
              </w:rPr>
              <w:t>1、因落实政府采购政策进行价格调整的，以调整后的价格计算评标基准价和投标报价</w:t>
            </w:r>
            <w:r>
              <w:rPr>
                <w:rFonts w:hint="eastAsia" w:ascii="宋体" w:hAnsi="宋体"/>
                <w:bCs/>
                <w:snapToGrid w:val="0"/>
                <w:kern w:val="0"/>
              </w:rPr>
              <w:t>；</w:t>
            </w:r>
          </w:p>
          <w:p>
            <w:pPr>
              <w:autoSpaceDE w:val="0"/>
              <w:autoSpaceDN w:val="0"/>
              <w:adjustRightInd w:val="0"/>
              <w:spacing w:line="360" w:lineRule="exact"/>
              <w:jc w:val="left"/>
              <w:rPr>
                <w:rFonts w:cs="仿宋" w:asciiTheme="minorEastAsia" w:hAnsiTheme="minorEastAsia" w:eastAsiaTheme="minorEastAsia"/>
                <w:szCs w:val="21"/>
              </w:rPr>
            </w:pPr>
            <w:r>
              <w:rPr>
                <w:rFonts w:hint="eastAsia" w:ascii="宋体" w:hAnsi="宋体"/>
                <w:snapToGrid w:val="0"/>
                <w:kern w:val="0"/>
                <w:szCs w:val="21"/>
              </w:rPr>
              <w:t>2、投标报价得分四舍五入后，小数点后保留两位有效数</w:t>
            </w:r>
            <w:r>
              <w:rPr>
                <w:rFonts w:hint="eastAsia" w:cs="仿宋" w:asciiTheme="minorEastAsia" w:hAnsiTheme="minorEastAsia" w:eastAsiaTheme="minorEastAsia"/>
                <w:szCs w:val="21"/>
              </w:rPr>
              <w:t>。</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highlight w:val="none"/>
                <w:lang w:val="en-US" w:eastAsia="zh-CN"/>
              </w:rPr>
              <w:t>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47"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kern w:val="0"/>
                <w:szCs w:val="21"/>
              </w:rPr>
            </w:pPr>
            <w:r>
              <w:rPr>
                <w:rFonts w:hint="eastAsia" w:ascii="宋体" w:hAnsi="宋体"/>
                <w:kern w:val="0"/>
                <w:szCs w:val="21"/>
              </w:rPr>
              <w:t>实施方案</w:t>
            </w:r>
          </w:p>
        </w:tc>
        <w:tc>
          <w:tcPr>
            <w:tcW w:w="709" w:type="dxa"/>
            <w:vAlign w:val="center"/>
          </w:tcPr>
          <w:p>
            <w:pPr>
              <w:widowControl/>
              <w:spacing w:line="360" w:lineRule="exact"/>
              <w:jc w:val="center"/>
              <w:rPr>
                <w:rFonts w:ascii="宋体" w:hAnsi="宋体"/>
                <w:kern w:val="0"/>
                <w:szCs w:val="21"/>
              </w:rPr>
            </w:pPr>
            <w:r>
              <w:rPr>
                <w:rFonts w:hint="eastAsia" w:ascii="宋体" w:hAnsi="宋体" w:cs="宋体"/>
                <w:kern w:val="0"/>
                <w:szCs w:val="21"/>
              </w:rPr>
              <w:t>10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hint="eastAsia" w:asciiTheme="minorEastAsia" w:hAnsiTheme="minorEastAsia" w:eastAsiaTheme="minorEastAsia"/>
                <w:kern w:val="0"/>
                <w:szCs w:val="21"/>
              </w:rPr>
            </w:pPr>
            <w:r>
              <w:rPr>
                <w:rFonts w:hint="eastAsia" w:asciiTheme="minorEastAsia" w:hAnsiTheme="minorEastAsia" w:eastAsiaTheme="minorEastAsia"/>
                <w:kern w:val="0"/>
                <w:szCs w:val="21"/>
              </w:rPr>
              <w:t>投标人应结合</w:t>
            </w:r>
            <w:r>
              <w:rPr>
                <w:rFonts w:hint="eastAsia" w:asciiTheme="minorEastAsia" w:hAnsiTheme="minorEastAsia" w:eastAsiaTheme="minorEastAsia"/>
                <w:kern w:val="0"/>
                <w:szCs w:val="21"/>
                <w:lang w:val="en-US" w:eastAsia="zh-CN"/>
              </w:rPr>
              <w:t>项目区内薇甘菊发生情况</w:t>
            </w:r>
            <w:r>
              <w:rPr>
                <w:rFonts w:hint="eastAsia" w:asciiTheme="minorEastAsia" w:hAnsiTheme="minorEastAsia" w:eastAsiaTheme="minorEastAsia"/>
                <w:kern w:val="0"/>
                <w:szCs w:val="21"/>
              </w:rPr>
              <w:t>及项目需求制定实施方案，具体内容包括但不限于：</w:t>
            </w:r>
          </w:p>
          <w:p>
            <w:pPr>
              <w:autoSpaceDE w:val="0"/>
              <w:autoSpaceDN w:val="0"/>
              <w:adjustRightInd w:val="0"/>
              <w:spacing w:line="360" w:lineRule="exact"/>
              <w:rPr>
                <w:rFonts w:hint="eastAsia" w:asciiTheme="minorEastAsia" w:hAnsiTheme="minorEastAsia" w:eastAsiaTheme="minorEastAsia"/>
                <w:kern w:val="0"/>
                <w:szCs w:val="21"/>
              </w:rPr>
            </w:pPr>
            <w:r>
              <w:rPr>
                <w:rFonts w:hint="eastAsia" w:asciiTheme="minorEastAsia" w:hAnsiTheme="minorEastAsia" w:eastAsiaTheme="minorEastAsia"/>
                <w:kern w:val="0"/>
                <w:szCs w:val="21"/>
              </w:rPr>
              <w:t>1.实施总体思路；</w:t>
            </w:r>
          </w:p>
          <w:p>
            <w:pPr>
              <w:autoSpaceDE w:val="0"/>
              <w:autoSpaceDN w:val="0"/>
              <w:adjustRightInd w:val="0"/>
              <w:spacing w:line="360" w:lineRule="exact"/>
              <w:rPr>
                <w:rFonts w:hint="eastAsia" w:asciiTheme="minorEastAsia" w:hAnsiTheme="minorEastAsia" w:eastAsiaTheme="minorEastAsia"/>
                <w:kern w:val="0"/>
                <w:szCs w:val="21"/>
              </w:rPr>
            </w:pPr>
            <w:r>
              <w:rPr>
                <w:rFonts w:hint="eastAsia" w:asciiTheme="minorEastAsia" w:hAnsiTheme="minorEastAsia" w:eastAsiaTheme="minorEastAsia"/>
                <w:kern w:val="0"/>
                <w:szCs w:val="21"/>
              </w:rPr>
              <w:t>2.实施流程；</w:t>
            </w:r>
          </w:p>
          <w:p>
            <w:pPr>
              <w:autoSpaceDE w:val="0"/>
              <w:autoSpaceDN w:val="0"/>
              <w:adjustRightInd w:val="0"/>
              <w:spacing w:line="360" w:lineRule="exact"/>
              <w:rPr>
                <w:rFonts w:hint="eastAsia" w:asciiTheme="minorEastAsia" w:hAnsiTheme="minorEastAsia" w:eastAsiaTheme="minorEastAsia"/>
                <w:kern w:val="0"/>
                <w:szCs w:val="21"/>
              </w:rPr>
            </w:pPr>
            <w:r>
              <w:rPr>
                <w:rFonts w:hint="eastAsia" w:asciiTheme="minorEastAsia" w:hAnsiTheme="minorEastAsia" w:eastAsiaTheme="minorEastAsia"/>
                <w:kern w:val="0"/>
                <w:szCs w:val="21"/>
              </w:rPr>
              <w:t>3.实施方法及内容；</w:t>
            </w:r>
          </w:p>
          <w:p>
            <w:pPr>
              <w:autoSpaceDE w:val="0"/>
              <w:autoSpaceDN w:val="0"/>
              <w:adjustRightInd w:val="0"/>
              <w:spacing w:line="360" w:lineRule="exact"/>
              <w:rPr>
                <w:rFonts w:hint="eastAsia" w:asciiTheme="minorEastAsia" w:hAnsiTheme="minorEastAsia" w:eastAsiaTheme="minorEastAsia"/>
                <w:kern w:val="0"/>
                <w:szCs w:val="21"/>
              </w:rPr>
            </w:pPr>
            <w:r>
              <w:rPr>
                <w:rFonts w:hint="eastAsia" w:asciiTheme="minorEastAsia" w:hAnsiTheme="minorEastAsia" w:eastAsiaTheme="minorEastAsia"/>
                <w:kern w:val="0"/>
                <w:szCs w:val="21"/>
              </w:rPr>
              <w:t>4.工作进度安排；</w:t>
            </w:r>
          </w:p>
          <w:p>
            <w:pPr>
              <w:autoSpaceDE w:val="0"/>
              <w:autoSpaceDN w:val="0"/>
              <w:adjustRightInd w:val="0"/>
              <w:spacing w:line="36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5.项目成果交付。</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pStyle w:val="94"/>
              <w:spacing w:line="360" w:lineRule="exact"/>
              <w:ind w:firstLine="0" w:firstLineChars="0"/>
              <w:rPr>
                <w:rFonts w:hint="eastAsia" w:ascii="宋体" w:hAnsi="宋体"/>
                <w:kern w:val="0"/>
                <w:szCs w:val="21"/>
                <w:lang w:val="en-US" w:eastAsia="zh-CN"/>
              </w:rPr>
            </w:pPr>
            <w:r>
              <w:rPr>
                <w:rFonts w:hint="eastAsia" w:ascii="宋体" w:hAnsi="宋体"/>
                <w:kern w:val="0"/>
                <w:szCs w:val="21"/>
              </w:rPr>
              <w:t>满足以上五项要求得</w:t>
            </w:r>
            <w:r>
              <w:rPr>
                <w:rFonts w:hint="eastAsia" w:ascii="宋体" w:hAnsi="宋体"/>
                <w:kern w:val="0"/>
                <w:szCs w:val="21"/>
                <w:lang w:val="en-US" w:eastAsia="zh-CN"/>
              </w:rPr>
              <w:t>6</w:t>
            </w:r>
            <w:r>
              <w:rPr>
                <w:rFonts w:hint="eastAsia" w:ascii="宋体" w:hAnsi="宋体"/>
                <w:kern w:val="0"/>
                <w:szCs w:val="21"/>
              </w:rPr>
              <w:t>分，满足以上任意四项要求得</w:t>
            </w:r>
            <w:r>
              <w:rPr>
                <w:rFonts w:hint="eastAsia" w:ascii="宋体" w:hAnsi="宋体"/>
                <w:kern w:val="0"/>
                <w:szCs w:val="21"/>
                <w:lang w:val="en-US" w:eastAsia="zh-CN"/>
              </w:rPr>
              <w:t>5</w:t>
            </w:r>
            <w:r>
              <w:rPr>
                <w:rFonts w:hint="eastAsia" w:ascii="宋体" w:hAnsi="宋体"/>
                <w:kern w:val="0"/>
                <w:szCs w:val="21"/>
              </w:rPr>
              <w:t>分，满足以上任意三项要求得</w:t>
            </w:r>
            <w:r>
              <w:rPr>
                <w:rFonts w:hint="eastAsia" w:ascii="宋体" w:hAnsi="宋体"/>
                <w:kern w:val="0"/>
                <w:szCs w:val="21"/>
                <w:lang w:val="en-US" w:eastAsia="zh-CN"/>
              </w:rPr>
              <w:t>4</w:t>
            </w:r>
            <w:r>
              <w:rPr>
                <w:rFonts w:hint="eastAsia" w:ascii="宋体" w:hAnsi="宋体"/>
                <w:kern w:val="0"/>
                <w:szCs w:val="21"/>
              </w:rPr>
              <w:t>分，满足以上任意两项要求得</w:t>
            </w:r>
            <w:r>
              <w:rPr>
                <w:rFonts w:hint="eastAsia" w:ascii="宋体" w:hAnsi="宋体"/>
                <w:kern w:val="0"/>
                <w:szCs w:val="21"/>
                <w:lang w:val="en-US" w:eastAsia="zh-CN"/>
              </w:rPr>
              <w:t>3</w:t>
            </w:r>
            <w:r>
              <w:rPr>
                <w:rFonts w:hint="eastAsia" w:ascii="宋体" w:hAnsi="宋体"/>
                <w:kern w:val="0"/>
                <w:szCs w:val="21"/>
              </w:rPr>
              <w:t>分，其他情况不得分。</w:t>
            </w:r>
            <w:r>
              <w:rPr>
                <w:rFonts w:hint="eastAsia" w:ascii="宋体" w:hAnsi="宋体"/>
                <w:kern w:val="0"/>
                <w:szCs w:val="21"/>
                <w:lang w:val="en" w:eastAsia="zh-CN"/>
              </w:rPr>
              <w:t>在此基础上，评审委员会根据各投标供应商的具体响应内容进一步评审：</w:t>
            </w:r>
            <w:r>
              <w:rPr>
                <w:rFonts w:hint="eastAsia" w:ascii="宋体" w:hAnsi="宋体"/>
                <w:kern w:val="0"/>
                <w:szCs w:val="21"/>
                <w:lang w:val="en" w:eastAsia="zh-CN"/>
              </w:rPr>
              <w:br w:type="textWrapping"/>
            </w:r>
            <w:r>
              <w:rPr>
                <w:rFonts w:hint="eastAsia" w:ascii="宋体" w:hAnsi="宋体"/>
                <w:kern w:val="0"/>
                <w:szCs w:val="21"/>
                <w:lang w:val="en-US" w:eastAsia="zh-CN"/>
              </w:rPr>
              <w:t>1.</w:t>
            </w:r>
            <w:r>
              <w:rPr>
                <w:rFonts w:hint="eastAsia" w:ascii="宋体" w:hAnsi="宋体"/>
                <w:kern w:val="0"/>
                <w:szCs w:val="21"/>
                <w:lang w:val="en" w:eastAsia="zh-CN"/>
              </w:rPr>
              <w:t>实施方案内容具体、针对性强、科学合理、可操作性强的加</w:t>
            </w:r>
            <w:r>
              <w:rPr>
                <w:rFonts w:hint="eastAsia" w:ascii="宋体" w:hAnsi="宋体"/>
                <w:kern w:val="0"/>
                <w:szCs w:val="21"/>
                <w:lang w:val="en-US" w:eastAsia="zh-CN"/>
              </w:rPr>
              <w:t>4</w:t>
            </w:r>
            <w:r>
              <w:rPr>
                <w:rFonts w:hint="eastAsia" w:ascii="宋体" w:hAnsi="宋体"/>
                <w:kern w:val="0"/>
                <w:szCs w:val="21"/>
                <w:lang w:val="en" w:eastAsia="zh-CN"/>
              </w:rPr>
              <w:t>分；</w:t>
            </w:r>
            <w:r>
              <w:rPr>
                <w:rFonts w:hint="eastAsia" w:ascii="宋体" w:hAnsi="宋体"/>
                <w:kern w:val="0"/>
                <w:szCs w:val="21"/>
                <w:lang w:val="en-US" w:eastAsia="zh-CN"/>
              </w:rPr>
              <w:t xml:space="preserve">   </w:t>
            </w:r>
          </w:p>
          <w:p>
            <w:pPr>
              <w:pStyle w:val="94"/>
              <w:spacing w:line="360" w:lineRule="exact"/>
              <w:ind w:firstLine="0" w:firstLineChars="0"/>
              <w:rPr>
                <w:rFonts w:hint="eastAsia" w:ascii="宋体" w:hAnsi="宋体"/>
                <w:kern w:val="0"/>
                <w:szCs w:val="21"/>
                <w:lang w:val="en" w:eastAsia="zh-CN"/>
              </w:rPr>
            </w:pPr>
            <w:r>
              <w:rPr>
                <w:rFonts w:hint="eastAsia" w:ascii="宋体" w:hAnsi="宋体"/>
                <w:kern w:val="0"/>
                <w:szCs w:val="21"/>
                <w:lang w:val="en-US" w:eastAsia="zh-CN"/>
              </w:rPr>
              <w:t>2.</w:t>
            </w:r>
            <w:r>
              <w:rPr>
                <w:rFonts w:hint="eastAsia" w:ascii="宋体" w:hAnsi="宋体"/>
                <w:kern w:val="0"/>
                <w:szCs w:val="21"/>
                <w:lang w:val="en" w:eastAsia="zh-CN"/>
              </w:rPr>
              <w:t>实施方案内容较具体、针对性较强、较科学合理、可操作性较强加</w:t>
            </w:r>
            <w:r>
              <w:rPr>
                <w:rFonts w:hint="eastAsia" w:ascii="宋体" w:hAnsi="宋体"/>
                <w:kern w:val="0"/>
                <w:szCs w:val="21"/>
                <w:lang w:val="en-US" w:eastAsia="zh-CN"/>
              </w:rPr>
              <w:t>3</w:t>
            </w:r>
            <w:r>
              <w:rPr>
                <w:rFonts w:hint="eastAsia" w:ascii="宋体" w:hAnsi="宋体"/>
                <w:kern w:val="0"/>
                <w:szCs w:val="21"/>
                <w:lang w:val="en" w:eastAsia="zh-CN"/>
              </w:rPr>
              <w:t>分；</w:t>
            </w:r>
          </w:p>
          <w:p>
            <w:pPr>
              <w:pStyle w:val="94"/>
              <w:spacing w:line="360" w:lineRule="exact"/>
              <w:ind w:firstLine="0" w:firstLineChars="0"/>
              <w:rPr>
                <w:rFonts w:hint="eastAsia" w:ascii="宋体" w:hAnsi="宋体"/>
                <w:kern w:val="0"/>
                <w:szCs w:val="21"/>
                <w:lang w:val="en" w:eastAsia="zh-CN"/>
              </w:rPr>
            </w:pPr>
            <w:r>
              <w:rPr>
                <w:rFonts w:hint="eastAsia" w:ascii="宋体" w:hAnsi="宋体"/>
                <w:kern w:val="0"/>
                <w:szCs w:val="21"/>
                <w:lang w:val="en-US" w:eastAsia="zh-CN"/>
              </w:rPr>
              <w:t>3.</w:t>
            </w:r>
            <w:r>
              <w:rPr>
                <w:rFonts w:hint="eastAsia" w:ascii="宋体" w:hAnsi="宋体"/>
                <w:kern w:val="0"/>
                <w:szCs w:val="21"/>
                <w:lang w:val="en" w:eastAsia="zh-CN"/>
              </w:rPr>
              <w:t>实施方案内容具体性一般、针对性一般、科学合理性一般、可操作性一般的加</w:t>
            </w:r>
            <w:r>
              <w:rPr>
                <w:rFonts w:hint="eastAsia" w:ascii="宋体" w:hAnsi="宋体"/>
                <w:kern w:val="0"/>
                <w:szCs w:val="21"/>
                <w:lang w:val="en-US" w:eastAsia="zh-CN"/>
              </w:rPr>
              <w:t>2</w:t>
            </w:r>
            <w:r>
              <w:rPr>
                <w:rFonts w:hint="eastAsia" w:ascii="宋体" w:hAnsi="宋体"/>
                <w:kern w:val="0"/>
                <w:szCs w:val="21"/>
                <w:lang w:val="en" w:eastAsia="zh-CN"/>
              </w:rPr>
              <w:t>分；</w:t>
            </w:r>
          </w:p>
          <w:p>
            <w:pPr>
              <w:pStyle w:val="94"/>
              <w:spacing w:line="360" w:lineRule="exact"/>
              <w:ind w:firstLine="0" w:firstLineChars="0"/>
              <w:rPr>
                <w:rFonts w:ascii="宋体" w:hAnsi="宋体"/>
                <w:kern w:val="0"/>
                <w:szCs w:val="21"/>
              </w:rPr>
            </w:pPr>
            <w:r>
              <w:rPr>
                <w:rFonts w:hint="eastAsia" w:ascii="宋体" w:hAnsi="宋体"/>
                <w:kern w:val="0"/>
                <w:szCs w:val="21"/>
                <w:lang w:val="en-US" w:eastAsia="zh-CN"/>
              </w:rPr>
              <w:t>4.</w:t>
            </w:r>
            <w:r>
              <w:rPr>
                <w:rFonts w:hint="eastAsia" w:ascii="宋体" w:hAnsi="宋体"/>
                <w:kern w:val="0"/>
                <w:szCs w:val="21"/>
                <w:lang w:val="en" w:eastAsia="zh-CN"/>
              </w:rPr>
              <w:t>其他情况不得分。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widowControl/>
              <w:spacing w:line="360" w:lineRule="exact"/>
              <w:jc w:val="center"/>
              <w:rPr>
                <w:rFonts w:ascii="宋体" w:hAnsi="宋体"/>
                <w:kern w:val="0"/>
                <w:szCs w:val="21"/>
              </w:rPr>
            </w:pPr>
            <w:r>
              <w:rPr>
                <w:rFonts w:hint="eastAsia" w:ascii="宋体" w:hAnsi="宋体"/>
                <w:kern w:val="0"/>
                <w:szCs w:val="21"/>
              </w:rPr>
              <w:t>项目重点难点分析、应对措施及相关的合理化建议</w:t>
            </w:r>
          </w:p>
        </w:tc>
        <w:tc>
          <w:tcPr>
            <w:tcW w:w="709" w:type="dxa"/>
            <w:vAlign w:val="center"/>
          </w:tcPr>
          <w:p>
            <w:pPr>
              <w:widowControl/>
              <w:spacing w:line="360" w:lineRule="exact"/>
              <w:jc w:val="center"/>
              <w:rPr>
                <w:rFonts w:hint="eastAsia" w:ascii="宋体" w:hAnsi="宋体" w:eastAsia="宋体"/>
                <w:kern w:val="0"/>
                <w:szCs w:val="21"/>
                <w:lang w:eastAsia="zh-CN"/>
              </w:rPr>
            </w:pPr>
            <w:r>
              <w:rPr>
                <w:rFonts w:hint="eastAsia" w:ascii="宋体" w:hAnsi="宋体"/>
                <w:szCs w:val="21"/>
                <w:lang w:val="en-US" w:eastAsia="zh-CN"/>
              </w:rPr>
              <w:t>8</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eastAsia="zh-CN"/>
              </w:rPr>
              <w:t>投标人应结合</w:t>
            </w:r>
            <w:r>
              <w:rPr>
                <w:rFonts w:hint="eastAsia" w:asciiTheme="minorEastAsia" w:hAnsiTheme="minorEastAsia" w:eastAsiaTheme="minorEastAsia"/>
                <w:kern w:val="0"/>
                <w:szCs w:val="21"/>
                <w:lang w:val="en-US" w:eastAsia="zh-CN"/>
              </w:rPr>
              <w:t>项目区内薇甘菊发生情况</w:t>
            </w:r>
            <w:r>
              <w:rPr>
                <w:rFonts w:hint="eastAsia" w:asciiTheme="minorEastAsia" w:hAnsiTheme="minorEastAsia" w:eastAsiaTheme="minorEastAsia"/>
                <w:kern w:val="0"/>
                <w:szCs w:val="21"/>
                <w:lang w:eastAsia="zh-CN"/>
              </w:rPr>
              <w:t>及项目需求进行重点难点分析并提出合理化建议，内容包括但不限于</w:t>
            </w:r>
            <w:r>
              <w:rPr>
                <w:rFonts w:hint="eastAsia" w:asciiTheme="minorEastAsia" w:hAnsiTheme="minorEastAsia" w:eastAsiaTheme="minorEastAsia"/>
                <w:kern w:val="0"/>
                <w:szCs w:val="21"/>
                <w:lang w:val="en-US" w:eastAsia="zh-CN"/>
              </w:rPr>
              <w:t>:</w:t>
            </w:r>
            <w:r>
              <w:rPr>
                <w:rFonts w:hint="eastAsia" w:asciiTheme="minorEastAsia" w:hAnsiTheme="minorEastAsia" w:eastAsiaTheme="minorEastAsia"/>
                <w:kern w:val="0"/>
                <w:szCs w:val="21"/>
                <w:lang w:val="en-US" w:eastAsia="zh-CN"/>
              </w:rPr>
              <w:br w:type="textWrapping"/>
            </w:r>
            <w:r>
              <w:rPr>
                <w:rFonts w:hint="eastAsia" w:asciiTheme="minorEastAsia" w:hAnsiTheme="minorEastAsia" w:eastAsiaTheme="minorEastAsia"/>
                <w:kern w:val="0"/>
                <w:szCs w:val="21"/>
              </w:rPr>
              <w:t>1.项目重点难点分析；</w:t>
            </w:r>
          </w:p>
          <w:p>
            <w:pPr>
              <w:autoSpaceDE w:val="0"/>
              <w:autoSpaceDN w:val="0"/>
              <w:adjustRightInd w:val="0"/>
              <w:spacing w:line="360" w:lineRule="exact"/>
              <w:rPr>
                <w:rFonts w:hint="eastAsia" w:asciiTheme="minorEastAsia" w:hAnsiTheme="minorEastAsia" w:eastAsiaTheme="minorEastAsia"/>
                <w:kern w:val="0"/>
                <w:szCs w:val="21"/>
              </w:rPr>
            </w:pPr>
            <w:r>
              <w:rPr>
                <w:rFonts w:hint="eastAsia" w:asciiTheme="minorEastAsia" w:hAnsiTheme="minorEastAsia" w:eastAsiaTheme="minorEastAsia"/>
                <w:kern w:val="0"/>
                <w:szCs w:val="21"/>
              </w:rPr>
              <w:t>2.项目重点难点应对措施；</w:t>
            </w:r>
          </w:p>
          <w:p>
            <w:pPr>
              <w:autoSpaceDE w:val="0"/>
              <w:autoSpaceDN w:val="0"/>
              <w:adjustRightInd w:val="0"/>
              <w:spacing w:line="36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3.项目重点难点相关合理化建议。</w:t>
            </w:r>
          </w:p>
          <w:p>
            <w:pPr>
              <w:widowControl/>
              <w:snapToGrid w:val="0"/>
              <w:spacing w:line="360" w:lineRule="exact"/>
              <w:jc w:val="left"/>
              <w:rPr>
                <w:rFonts w:hint="eastAsia" w:ascii="宋体" w:hAnsi="宋体"/>
                <w:kern w:val="0"/>
                <w:szCs w:val="21"/>
              </w:rPr>
            </w:pPr>
          </w:p>
          <w:p>
            <w:pPr>
              <w:widowControl/>
              <w:snapToGrid w:val="0"/>
              <w:spacing w:line="360" w:lineRule="exact"/>
              <w:jc w:val="left"/>
              <w:rPr>
                <w:rFonts w:ascii="宋体" w:hAnsi="宋体"/>
                <w:kern w:val="0"/>
                <w:szCs w:val="21"/>
              </w:rPr>
            </w:pPr>
            <w:r>
              <w:rPr>
                <w:rFonts w:hint="eastAsia" w:ascii="宋体" w:hAnsi="宋体"/>
                <w:kern w:val="0"/>
                <w:szCs w:val="21"/>
              </w:rPr>
              <w:t>（二）评分标准：</w:t>
            </w:r>
          </w:p>
          <w:p>
            <w:pPr>
              <w:autoSpaceDE w:val="0"/>
              <w:autoSpaceDN w:val="0"/>
              <w:adjustRightInd w:val="0"/>
              <w:spacing w:line="360" w:lineRule="exact"/>
              <w:rPr>
                <w:rFonts w:hint="eastAsia" w:ascii="宋体" w:hAnsi="宋体" w:cs="宋体"/>
                <w:szCs w:val="21"/>
                <w:lang w:val="en" w:eastAsia="zh-CN"/>
              </w:rPr>
            </w:pPr>
            <w:r>
              <w:rPr>
                <w:rFonts w:hint="eastAsia" w:ascii="宋体" w:hAnsi="宋体" w:cs="宋体"/>
                <w:szCs w:val="21"/>
              </w:rPr>
              <w:t>满足以上</w:t>
            </w:r>
            <w:r>
              <w:rPr>
                <w:rFonts w:hint="eastAsia" w:ascii="宋体" w:hAnsi="宋体" w:cs="宋体"/>
                <w:szCs w:val="21"/>
                <w:lang w:eastAsia="zh-CN"/>
              </w:rPr>
              <w:t>三</w:t>
            </w:r>
            <w:r>
              <w:rPr>
                <w:rFonts w:hint="eastAsia" w:ascii="宋体" w:hAnsi="宋体" w:cs="宋体"/>
                <w:szCs w:val="21"/>
              </w:rPr>
              <w:t>项要求得</w:t>
            </w:r>
            <w:r>
              <w:rPr>
                <w:rFonts w:hint="eastAsia" w:ascii="宋体" w:hAnsi="宋体" w:cs="宋体"/>
                <w:szCs w:val="21"/>
                <w:lang w:val="en-US" w:eastAsia="zh-CN"/>
              </w:rPr>
              <w:t>6</w:t>
            </w:r>
            <w:r>
              <w:rPr>
                <w:rFonts w:hint="eastAsia" w:ascii="宋体" w:hAnsi="宋体" w:cs="宋体"/>
                <w:szCs w:val="21"/>
              </w:rPr>
              <w:t>分，满足以上任意</w:t>
            </w:r>
            <w:r>
              <w:rPr>
                <w:rFonts w:hint="eastAsia" w:ascii="宋体" w:hAnsi="宋体" w:cs="宋体"/>
                <w:szCs w:val="21"/>
                <w:lang w:eastAsia="zh-CN"/>
              </w:rPr>
              <w:t>二</w:t>
            </w:r>
            <w:r>
              <w:rPr>
                <w:rFonts w:hint="eastAsia" w:ascii="宋体" w:hAnsi="宋体" w:cs="宋体"/>
                <w:szCs w:val="21"/>
              </w:rPr>
              <w:t>项要求得</w:t>
            </w:r>
            <w:r>
              <w:rPr>
                <w:rFonts w:hint="eastAsia" w:ascii="宋体" w:hAnsi="宋体" w:cs="宋体"/>
                <w:szCs w:val="21"/>
                <w:lang w:val="en-US" w:eastAsia="zh-CN"/>
              </w:rPr>
              <w:t>4</w:t>
            </w:r>
            <w:r>
              <w:rPr>
                <w:rFonts w:hint="eastAsia" w:ascii="宋体" w:hAnsi="宋体" w:cs="宋体"/>
                <w:szCs w:val="21"/>
              </w:rPr>
              <w:t>分，满足以上任意</w:t>
            </w:r>
            <w:r>
              <w:rPr>
                <w:rFonts w:hint="eastAsia" w:ascii="宋体" w:hAnsi="宋体" w:cs="宋体"/>
                <w:szCs w:val="21"/>
                <w:lang w:eastAsia="zh-CN"/>
              </w:rPr>
              <w:t>一</w:t>
            </w:r>
            <w:r>
              <w:rPr>
                <w:rFonts w:hint="eastAsia" w:ascii="宋体" w:hAnsi="宋体" w:cs="宋体"/>
                <w:szCs w:val="21"/>
              </w:rPr>
              <w:t>项要求得</w:t>
            </w:r>
            <w:r>
              <w:rPr>
                <w:rFonts w:hint="eastAsia" w:ascii="宋体" w:hAnsi="宋体" w:cs="宋体"/>
                <w:szCs w:val="21"/>
                <w:lang w:val="en-US" w:eastAsia="zh-CN"/>
              </w:rPr>
              <w:t>2</w:t>
            </w:r>
            <w:r>
              <w:rPr>
                <w:rFonts w:hint="eastAsia" w:ascii="宋体" w:hAnsi="宋体" w:cs="宋体"/>
                <w:szCs w:val="21"/>
              </w:rPr>
              <w:t>分，其他情况不得分。在此基础上，根据</w:t>
            </w:r>
            <w:r>
              <w:rPr>
                <w:rFonts w:hint="eastAsia" w:ascii="宋体" w:hAnsi="宋体" w:cs="宋体"/>
                <w:szCs w:val="21"/>
                <w:lang w:eastAsia="zh-CN"/>
              </w:rPr>
              <w:t>重难点分析</w:t>
            </w:r>
            <w:r>
              <w:rPr>
                <w:rFonts w:hint="eastAsia" w:ascii="宋体" w:hAnsi="宋体" w:cs="宋体"/>
                <w:szCs w:val="21"/>
              </w:rPr>
              <w:t>实际内容进一步评审：</w:t>
            </w:r>
            <w:r>
              <w:rPr>
                <w:rFonts w:hint="eastAsia" w:ascii="宋体" w:hAnsi="宋体" w:cs="宋体"/>
                <w:szCs w:val="21"/>
              </w:rPr>
              <w:br w:type="textWrapping"/>
            </w:r>
            <w:r>
              <w:rPr>
                <w:rFonts w:hint="eastAsia" w:ascii="宋体" w:hAnsi="宋体" w:cs="宋体"/>
                <w:szCs w:val="21"/>
                <w:lang w:val="en-US" w:eastAsia="zh-CN"/>
              </w:rPr>
              <w:t>1.</w:t>
            </w:r>
            <w:r>
              <w:rPr>
                <w:rFonts w:hint="eastAsia" w:ascii="宋体" w:hAnsi="宋体" w:cs="宋体"/>
                <w:szCs w:val="21"/>
                <w:lang w:val="en" w:eastAsia="zh-CN"/>
              </w:rPr>
              <w:t>项目重难点分析内容具体、针对性强、科学合理、可操作性强的加</w:t>
            </w:r>
            <w:r>
              <w:rPr>
                <w:rFonts w:hint="eastAsia" w:ascii="宋体" w:hAnsi="宋体" w:cs="宋体"/>
                <w:szCs w:val="21"/>
                <w:lang w:val="en-US" w:eastAsia="zh-CN"/>
              </w:rPr>
              <w:t>2</w:t>
            </w:r>
            <w:r>
              <w:rPr>
                <w:rFonts w:hint="eastAsia" w:ascii="宋体" w:hAnsi="宋体" w:cs="宋体"/>
                <w:szCs w:val="21"/>
                <w:lang w:val="en" w:eastAsia="zh-CN"/>
              </w:rPr>
              <w:t>分；</w:t>
            </w:r>
            <w:r>
              <w:rPr>
                <w:rFonts w:hint="eastAsia" w:ascii="宋体" w:hAnsi="宋体" w:cs="宋体"/>
                <w:szCs w:val="21"/>
                <w:lang w:val="en" w:eastAsia="zh-CN"/>
              </w:rPr>
              <w:br w:type="textWrapping"/>
            </w:r>
            <w:r>
              <w:rPr>
                <w:rFonts w:hint="eastAsia" w:ascii="宋体" w:hAnsi="宋体" w:cs="宋体"/>
                <w:szCs w:val="21"/>
                <w:lang w:val="en-US" w:eastAsia="zh-CN"/>
              </w:rPr>
              <w:t>2.</w:t>
            </w:r>
            <w:r>
              <w:rPr>
                <w:rFonts w:hint="eastAsia" w:ascii="宋体" w:hAnsi="宋体" w:cs="宋体"/>
                <w:szCs w:val="21"/>
                <w:lang w:val="en" w:eastAsia="zh-CN"/>
              </w:rPr>
              <w:t>项目重难点分析内容较具体、针对性较强、较科学合理、可操作性较强加</w:t>
            </w:r>
            <w:r>
              <w:rPr>
                <w:rFonts w:hint="eastAsia" w:ascii="宋体" w:hAnsi="宋体" w:cs="宋体"/>
                <w:szCs w:val="21"/>
                <w:lang w:val="en-US" w:eastAsia="zh-CN"/>
              </w:rPr>
              <w:t>1.5</w:t>
            </w:r>
            <w:r>
              <w:rPr>
                <w:rFonts w:hint="eastAsia" w:ascii="宋体" w:hAnsi="宋体" w:cs="宋体"/>
                <w:szCs w:val="21"/>
                <w:lang w:val="en" w:eastAsia="zh-CN"/>
              </w:rPr>
              <w:t>分；</w:t>
            </w:r>
            <w:r>
              <w:rPr>
                <w:rFonts w:hint="eastAsia" w:ascii="宋体" w:hAnsi="宋体" w:cs="宋体"/>
                <w:szCs w:val="21"/>
                <w:lang w:val="en" w:eastAsia="zh-CN"/>
              </w:rPr>
              <w:br w:type="textWrapping"/>
            </w:r>
            <w:r>
              <w:rPr>
                <w:rFonts w:hint="eastAsia" w:ascii="宋体" w:hAnsi="宋体" w:cs="宋体"/>
                <w:szCs w:val="21"/>
                <w:lang w:val="en-US" w:eastAsia="zh-CN"/>
              </w:rPr>
              <w:t>3.</w:t>
            </w:r>
            <w:r>
              <w:rPr>
                <w:rFonts w:hint="eastAsia" w:ascii="宋体" w:hAnsi="宋体" w:cs="宋体"/>
                <w:szCs w:val="21"/>
                <w:lang w:val="en" w:eastAsia="zh-CN"/>
              </w:rPr>
              <w:t>项目重难点分析内容具体性一般、针对性一般、科学合理性一般、可操作性一般的加</w:t>
            </w:r>
            <w:r>
              <w:rPr>
                <w:rFonts w:hint="eastAsia" w:ascii="宋体" w:hAnsi="宋体" w:cs="宋体"/>
                <w:szCs w:val="21"/>
                <w:lang w:val="en-US" w:eastAsia="zh-CN"/>
              </w:rPr>
              <w:t>1</w:t>
            </w:r>
            <w:r>
              <w:rPr>
                <w:rFonts w:hint="eastAsia" w:ascii="宋体" w:hAnsi="宋体" w:cs="宋体"/>
                <w:szCs w:val="21"/>
                <w:lang w:val="en" w:eastAsia="zh-CN"/>
              </w:rPr>
              <w:t>分；</w:t>
            </w:r>
          </w:p>
          <w:p>
            <w:pPr>
              <w:autoSpaceDE w:val="0"/>
              <w:autoSpaceDN w:val="0"/>
              <w:adjustRightInd w:val="0"/>
              <w:spacing w:line="360" w:lineRule="exact"/>
              <w:rPr>
                <w:rFonts w:ascii="宋体" w:hAnsi="宋体" w:cs="宋体"/>
                <w:szCs w:val="21"/>
              </w:rPr>
            </w:pPr>
            <w:r>
              <w:rPr>
                <w:rFonts w:hint="eastAsia" w:ascii="宋体" w:hAnsi="宋体" w:cs="宋体"/>
                <w:szCs w:val="21"/>
                <w:lang w:val="en-US" w:eastAsia="zh-CN"/>
              </w:rPr>
              <w:t>4.</w:t>
            </w:r>
            <w:r>
              <w:rPr>
                <w:rFonts w:hint="eastAsia" w:ascii="宋体" w:hAnsi="宋体" w:cs="宋体"/>
                <w:szCs w:val="21"/>
                <w:lang w:val="en" w:eastAsia="zh-CN"/>
              </w:rPr>
              <w:t>其他情况不得分。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64"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widowControl/>
              <w:spacing w:line="360" w:lineRule="exact"/>
              <w:jc w:val="center"/>
              <w:rPr>
                <w:rFonts w:ascii="宋体" w:hAnsi="宋体"/>
                <w:kern w:val="0"/>
                <w:szCs w:val="21"/>
              </w:rPr>
            </w:pPr>
            <w:r>
              <w:rPr>
                <w:rFonts w:hint="eastAsia" w:ascii="宋体" w:hAnsi="宋体"/>
                <w:kern w:val="0"/>
                <w:szCs w:val="21"/>
              </w:rPr>
              <w:t>质量（完成时间、安全、环保）保障措施及方案</w:t>
            </w:r>
          </w:p>
        </w:tc>
        <w:tc>
          <w:tcPr>
            <w:tcW w:w="709" w:type="dxa"/>
            <w:vAlign w:val="center"/>
          </w:tcPr>
          <w:p>
            <w:pPr>
              <w:widowControl/>
              <w:spacing w:line="360" w:lineRule="exact"/>
              <w:jc w:val="center"/>
              <w:rPr>
                <w:rFonts w:hint="eastAsia" w:ascii="宋体" w:hAnsi="宋体" w:eastAsia="宋体"/>
                <w:kern w:val="0"/>
                <w:szCs w:val="21"/>
                <w:lang w:eastAsia="zh-CN"/>
              </w:rPr>
            </w:pPr>
            <w:r>
              <w:rPr>
                <w:rFonts w:hint="eastAsia" w:ascii="宋体" w:hAnsi="宋体"/>
                <w:kern w:val="0"/>
                <w:szCs w:val="21"/>
                <w:lang w:val="en-US" w:eastAsia="zh-CN"/>
              </w:rPr>
              <w:t>6</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hint="eastAsia" w:asciiTheme="minorEastAsia" w:hAnsiTheme="minorEastAsia" w:eastAsiaTheme="minorEastAsia"/>
                <w:kern w:val="0"/>
                <w:szCs w:val="21"/>
              </w:rPr>
            </w:pPr>
            <w:r>
              <w:rPr>
                <w:rFonts w:hint="eastAsia" w:asciiTheme="minorEastAsia" w:hAnsiTheme="minorEastAsia" w:eastAsiaTheme="minorEastAsia"/>
                <w:kern w:val="0"/>
                <w:szCs w:val="21"/>
                <w:lang w:eastAsia="zh-CN"/>
              </w:rPr>
              <w:t>投标人应结合</w:t>
            </w:r>
            <w:r>
              <w:rPr>
                <w:rFonts w:hint="eastAsia" w:asciiTheme="minorEastAsia" w:hAnsiTheme="minorEastAsia" w:eastAsiaTheme="minorEastAsia"/>
                <w:kern w:val="0"/>
                <w:szCs w:val="21"/>
                <w:lang w:val="en-US" w:eastAsia="zh-CN"/>
              </w:rPr>
              <w:t>项目区内薇甘菊发生情况</w:t>
            </w:r>
            <w:r>
              <w:rPr>
                <w:rFonts w:hint="eastAsia" w:asciiTheme="minorEastAsia" w:hAnsiTheme="minorEastAsia" w:eastAsiaTheme="minorEastAsia"/>
                <w:kern w:val="0"/>
                <w:szCs w:val="21"/>
                <w:lang w:eastAsia="zh-CN"/>
              </w:rPr>
              <w:t>及项目需求进行质量保障措施及方案，内容包括但不限于：</w:t>
            </w:r>
            <w:r>
              <w:rPr>
                <w:rFonts w:hint="eastAsia" w:asciiTheme="minorEastAsia" w:hAnsiTheme="minorEastAsia" w:eastAsiaTheme="minorEastAsia"/>
                <w:kern w:val="0"/>
                <w:szCs w:val="21"/>
                <w:lang w:eastAsia="zh-CN"/>
              </w:rPr>
              <w:br w:type="textWrapping"/>
            </w:r>
            <w:r>
              <w:rPr>
                <w:rFonts w:hint="eastAsia" w:asciiTheme="minorEastAsia" w:hAnsiTheme="minorEastAsia" w:eastAsiaTheme="minorEastAsia"/>
                <w:kern w:val="0"/>
                <w:szCs w:val="21"/>
              </w:rPr>
              <w:t>1.项目完成时间保障措施；</w:t>
            </w:r>
          </w:p>
          <w:p>
            <w:pPr>
              <w:autoSpaceDE w:val="0"/>
              <w:autoSpaceDN w:val="0"/>
              <w:adjustRightInd w:val="0"/>
              <w:spacing w:line="360" w:lineRule="exact"/>
              <w:rPr>
                <w:rFonts w:hint="eastAsia" w:asciiTheme="minorEastAsia" w:hAnsiTheme="minorEastAsia" w:eastAsiaTheme="minorEastAsia"/>
                <w:kern w:val="0"/>
                <w:szCs w:val="21"/>
              </w:rPr>
            </w:pPr>
            <w:r>
              <w:rPr>
                <w:rFonts w:hint="eastAsia" w:asciiTheme="minorEastAsia" w:hAnsiTheme="minorEastAsia" w:eastAsiaTheme="minorEastAsia"/>
                <w:kern w:val="0"/>
                <w:szCs w:val="21"/>
              </w:rPr>
              <w:t>2.项目实施安全保障措施；</w:t>
            </w:r>
          </w:p>
          <w:p>
            <w:pPr>
              <w:autoSpaceDE w:val="0"/>
              <w:autoSpaceDN w:val="0"/>
              <w:adjustRightInd w:val="0"/>
              <w:spacing w:line="36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3.项目完成质量保障措施。</w:t>
            </w:r>
          </w:p>
          <w:p>
            <w:pPr>
              <w:widowControl/>
              <w:snapToGrid w:val="0"/>
              <w:spacing w:line="360" w:lineRule="exact"/>
              <w:jc w:val="left"/>
              <w:rPr>
                <w:rFonts w:hint="eastAsia" w:ascii="宋体" w:hAnsi="宋体"/>
                <w:kern w:val="0"/>
                <w:szCs w:val="21"/>
              </w:rPr>
            </w:pPr>
          </w:p>
          <w:p>
            <w:pPr>
              <w:widowControl/>
              <w:snapToGrid w:val="0"/>
              <w:spacing w:line="360" w:lineRule="exact"/>
              <w:jc w:val="left"/>
              <w:rPr>
                <w:rFonts w:ascii="宋体" w:hAnsi="宋体"/>
                <w:kern w:val="0"/>
                <w:szCs w:val="21"/>
              </w:rPr>
            </w:pPr>
            <w:r>
              <w:rPr>
                <w:rFonts w:hint="eastAsia" w:ascii="宋体" w:hAnsi="宋体"/>
                <w:kern w:val="0"/>
                <w:szCs w:val="21"/>
              </w:rPr>
              <w:t>（二）评分标准：</w:t>
            </w:r>
          </w:p>
          <w:p>
            <w:pPr>
              <w:widowControl/>
              <w:snapToGrid w:val="0"/>
              <w:spacing w:line="360" w:lineRule="exact"/>
              <w:jc w:val="left"/>
              <w:rPr>
                <w:rFonts w:hint="eastAsia" w:ascii="宋体" w:hAnsi="宋体"/>
                <w:kern w:val="0"/>
                <w:szCs w:val="21"/>
                <w:lang w:val="en" w:eastAsia="zh-CN"/>
              </w:rPr>
            </w:pPr>
            <w:r>
              <w:rPr>
                <w:rFonts w:hint="eastAsia" w:ascii="宋体" w:hAnsi="宋体"/>
                <w:kern w:val="0"/>
                <w:szCs w:val="21"/>
              </w:rPr>
              <w:t>满足以上</w:t>
            </w:r>
            <w:r>
              <w:rPr>
                <w:rFonts w:hint="eastAsia" w:ascii="宋体" w:hAnsi="宋体"/>
                <w:kern w:val="0"/>
                <w:szCs w:val="21"/>
                <w:lang w:eastAsia="zh-CN"/>
              </w:rPr>
              <w:t>三</w:t>
            </w:r>
            <w:r>
              <w:rPr>
                <w:rFonts w:hint="eastAsia" w:ascii="宋体" w:hAnsi="宋体"/>
                <w:kern w:val="0"/>
                <w:szCs w:val="21"/>
              </w:rPr>
              <w:t>项要求得</w:t>
            </w:r>
            <w:r>
              <w:rPr>
                <w:rFonts w:hint="eastAsia" w:ascii="宋体" w:hAnsi="宋体"/>
                <w:kern w:val="0"/>
                <w:szCs w:val="21"/>
                <w:lang w:val="en-US" w:eastAsia="zh-CN"/>
              </w:rPr>
              <w:t>4</w:t>
            </w:r>
            <w:r>
              <w:rPr>
                <w:rFonts w:hint="eastAsia" w:ascii="宋体" w:hAnsi="宋体"/>
                <w:kern w:val="0"/>
                <w:szCs w:val="21"/>
              </w:rPr>
              <w:t>分，满足以上任意</w:t>
            </w:r>
            <w:r>
              <w:rPr>
                <w:rFonts w:hint="eastAsia" w:ascii="宋体" w:hAnsi="宋体"/>
                <w:kern w:val="0"/>
                <w:szCs w:val="21"/>
                <w:lang w:eastAsia="zh-CN"/>
              </w:rPr>
              <w:t>二</w:t>
            </w:r>
            <w:r>
              <w:rPr>
                <w:rFonts w:hint="eastAsia" w:ascii="宋体" w:hAnsi="宋体"/>
                <w:kern w:val="0"/>
                <w:szCs w:val="21"/>
              </w:rPr>
              <w:t>项要求得</w:t>
            </w:r>
            <w:r>
              <w:rPr>
                <w:rFonts w:hint="eastAsia" w:ascii="宋体" w:hAnsi="宋体"/>
                <w:kern w:val="0"/>
                <w:szCs w:val="21"/>
                <w:lang w:val="en-US" w:eastAsia="zh-CN"/>
              </w:rPr>
              <w:t>2.5</w:t>
            </w:r>
            <w:r>
              <w:rPr>
                <w:rFonts w:hint="eastAsia" w:ascii="宋体" w:hAnsi="宋体"/>
                <w:kern w:val="0"/>
                <w:szCs w:val="21"/>
              </w:rPr>
              <w:t>分，满足以上任意</w:t>
            </w:r>
            <w:r>
              <w:rPr>
                <w:rFonts w:hint="eastAsia" w:ascii="宋体" w:hAnsi="宋体"/>
                <w:kern w:val="0"/>
                <w:szCs w:val="21"/>
                <w:lang w:eastAsia="zh-CN"/>
              </w:rPr>
              <w:t>一</w:t>
            </w:r>
            <w:r>
              <w:rPr>
                <w:rFonts w:hint="eastAsia" w:ascii="宋体" w:hAnsi="宋体"/>
                <w:kern w:val="0"/>
                <w:szCs w:val="21"/>
              </w:rPr>
              <w:t>项要求得</w:t>
            </w:r>
            <w:r>
              <w:rPr>
                <w:rFonts w:hint="eastAsia" w:ascii="宋体" w:hAnsi="宋体"/>
                <w:kern w:val="0"/>
                <w:szCs w:val="21"/>
                <w:lang w:val="en-US" w:eastAsia="zh-CN"/>
              </w:rPr>
              <w:t>1</w:t>
            </w:r>
            <w:r>
              <w:rPr>
                <w:rFonts w:hint="eastAsia" w:ascii="宋体" w:hAnsi="宋体"/>
                <w:kern w:val="0"/>
                <w:szCs w:val="21"/>
              </w:rPr>
              <w:t>分，其他情况不得分。在此基础上，根据</w:t>
            </w:r>
            <w:r>
              <w:rPr>
                <w:rFonts w:hint="eastAsia" w:ascii="宋体" w:hAnsi="宋体"/>
                <w:kern w:val="0"/>
                <w:szCs w:val="21"/>
                <w:lang w:eastAsia="zh-CN"/>
              </w:rPr>
              <w:t>保障措施及方案</w:t>
            </w:r>
            <w:r>
              <w:rPr>
                <w:rFonts w:hint="eastAsia" w:ascii="宋体" w:hAnsi="宋体"/>
                <w:kern w:val="0"/>
                <w:szCs w:val="21"/>
              </w:rPr>
              <w:t>实际内容进一步评审</w:t>
            </w:r>
            <w:r>
              <w:rPr>
                <w:rFonts w:hint="eastAsia" w:ascii="宋体" w:hAnsi="宋体"/>
                <w:kern w:val="0"/>
                <w:szCs w:val="21"/>
                <w:lang w:eastAsia="zh-CN"/>
              </w:rPr>
              <w:t>：</w:t>
            </w:r>
            <w:r>
              <w:rPr>
                <w:rFonts w:hint="eastAsia" w:ascii="宋体" w:hAnsi="宋体"/>
                <w:kern w:val="0"/>
                <w:szCs w:val="21"/>
                <w:lang w:eastAsia="zh-CN"/>
              </w:rPr>
              <w:br w:type="textWrapping"/>
            </w:r>
            <w:r>
              <w:rPr>
                <w:rFonts w:hint="eastAsia" w:ascii="宋体" w:hAnsi="宋体"/>
                <w:kern w:val="0"/>
                <w:szCs w:val="21"/>
                <w:lang w:val="en-US" w:eastAsia="zh-CN"/>
              </w:rPr>
              <w:t>1.</w:t>
            </w:r>
            <w:r>
              <w:rPr>
                <w:rFonts w:hint="eastAsia" w:ascii="宋体" w:hAnsi="宋体"/>
                <w:kern w:val="0"/>
                <w:szCs w:val="21"/>
                <w:lang w:val="en" w:eastAsia="zh-CN"/>
              </w:rPr>
              <w:t>质量保障措施内容具体、针对性强、科学合理、可操作性强的加</w:t>
            </w:r>
            <w:r>
              <w:rPr>
                <w:rFonts w:hint="eastAsia" w:ascii="宋体" w:hAnsi="宋体"/>
                <w:kern w:val="0"/>
                <w:szCs w:val="21"/>
                <w:lang w:val="en-US" w:eastAsia="zh-CN"/>
              </w:rPr>
              <w:t>2</w:t>
            </w:r>
            <w:r>
              <w:rPr>
                <w:rFonts w:hint="eastAsia" w:ascii="宋体" w:hAnsi="宋体"/>
                <w:kern w:val="0"/>
                <w:szCs w:val="21"/>
                <w:lang w:val="en" w:eastAsia="zh-CN"/>
              </w:rPr>
              <w:t>分；</w:t>
            </w:r>
            <w:r>
              <w:rPr>
                <w:rFonts w:hint="eastAsia" w:ascii="宋体" w:hAnsi="宋体"/>
                <w:kern w:val="0"/>
                <w:szCs w:val="21"/>
                <w:lang w:val="en" w:eastAsia="zh-CN"/>
              </w:rPr>
              <w:br w:type="textWrapping"/>
            </w:r>
            <w:r>
              <w:rPr>
                <w:rFonts w:hint="eastAsia" w:ascii="宋体" w:hAnsi="宋体"/>
                <w:kern w:val="0"/>
                <w:szCs w:val="21"/>
                <w:lang w:val="en-US" w:eastAsia="zh-CN"/>
              </w:rPr>
              <w:t>2.</w:t>
            </w:r>
            <w:r>
              <w:rPr>
                <w:rFonts w:hint="eastAsia" w:ascii="宋体" w:hAnsi="宋体"/>
                <w:kern w:val="0"/>
                <w:szCs w:val="21"/>
                <w:lang w:val="en" w:eastAsia="zh-CN"/>
              </w:rPr>
              <w:t>质量保障措施内容较具体、针对性较强、较科学合理、可操作性较强加</w:t>
            </w:r>
            <w:r>
              <w:rPr>
                <w:rFonts w:hint="eastAsia" w:ascii="宋体" w:hAnsi="宋体"/>
                <w:kern w:val="0"/>
                <w:szCs w:val="21"/>
                <w:lang w:val="en-US" w:eastAsia="zh-CN"/>
              </w:rPr>
              <w:t>1.5</w:t>
            </w:r>
            <w:r>
              <w:rPr>
                <w:rFonts w:hint="eastAsia" w:ascii="宋体" w:hAnsi="宋体"/>
                <w:kern w:val="0"/>
                <w:szCs w:val="21"/>
                <w:lang w:val="en" w:eastAsia="zh-CN"/>
              </w:rPr>
              <w:t>分；</w:t>
            </w:r>
            <w:r>
              <w:rPr>
                <w:rFonts w:hint="eastAsia" w:ascii="宋体" w:hAnsi="宋体"/>
                <w:kern w:val="0"/>
                <w:szCs w:val="21"/>
                <w:lang w:val="en" w:eastAsia="zh-CN"/>
              </w:rPr>
              <w:br w:type="textWrapping"/>
            </w:r>
            <w:r>
              <w:rPr>
                <w:rFonts w:hint="eastAsia" w:ascii="宋体" w:hAnsi="宋体"/>
                <w:kern w:val="0"/>
                <w:szCs w:val="21"/>
                <w:lang w:val="en-US" w:eastAsia="zh-CN"/>
              </w:rPr>
              <w:t>3.</w:t>
            </w:r>
            <w:r>
              <w:rPr>
                <w:rFonts w:hint="eastAsia" w:ascii="宋体" w:hAnsi="宋体"/>
                <w:kern w:val="0"/>
                <w:szCs w:val="21"/>
                <w:lang w:val="en" w:eastAsia="zh-CN"/>
              </w:rPr>
              <w:t>质量保障措施内容具体性一般、针对性一般、科学合理性一般、可操作性一般的加</w:t>
            </w:r>
            <w:r>
              <w:rPr>
                <w:rFonts w:hint="eastAsia" w:ascii="宋体" w:hAnsi="宋体"/>
                <w:kern w:val="0"/>
                <w:szCs w:val="21"/>
                <w:lang w:val="en-US" w:eastAsia="zh-CN"/>
              </w:rPr>
              <w:t>1</w:t>
            </w:r>
            <w:r>
              <w:rPr>
                <w:rFonts w:hint="eastAsia" w:ascii="宋体" w:hAnsi="宋体"/>
                <w:kern w:val="0"/>
                <w:szCs w:val="21"/>
                <w:lang w:val="en" w:eastAsia="zh-CN"/>
              </w:rPr>
              <w:t>分；</w:t>
            </w:r>
          </w:p>
          <w:p>
            <w:pPr>
              <w:widowControl/>
              <w:snapToGrid w:val="0"/>
              <w:spacing w:line="360" w:lineRule="exact"/>
              <w:jc w:val="left"/>
              <w:rPr>
                <w:rFonts w:ascii="宋体" w:hAnsi="宋体"/>
                <w:kern w:val="0"/>
                <w:szCs w:val="21"/>
              </w:rPr>
            </w:pPr>
            <w:r>
              <w:rPr>
                <w:rFonts w:hint="eastAsia" w:ascii="宋体" w:hAnsi="宋体"/>
                <w:kern w:val="0"/>
                <w:szCs w:val="21"/>
                <w:lang w:val="en-US" w:eastAsia="zh-CN"/>
              </w:rPr>
              <w:t>4.</w:t>
            </w:r>
            <w:r>
              <w:rPr>
                <w:rFonts w:hint="eastAsia" w:ascii="宋体" w:hAnsi="宋体"/>
                <w:kern w:val="0"/>
                <w:szCs w:val="21"/>
                <w:lang w:val="en" w:eastAsia="zh-CN"/>
              </w:rPr>
              <w:t>其他情况不得分。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3"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ascii="宋体" w:hAnsi="宋体"/>
                <w:kern w:val="0"/>
                <w:szCs w:val="21"/>
              </w:rPr>
              <w:t>4</w:t>
            </w:r>
          </w:p>
        </w:tc>
        <w:tc>
          <w:tcPr>
            <w:tcW w:w="1143" w:type="dxa"/>
            <w:vAlign w:val="center"/>
          </w:tcPr>
          <w:p>
            <w:pPr>
              <w:widowControl/>
              <w:spacing w:line="360" w:lineRule="exact"/>
              <w:jc w:val="center"/>
              <w:rPr>
                <w:rFonts w:ascii="宋体" w:hAnsi="宋体" w:cs="宋体"/>
                <w:szCs w:val="21"/>
              </w:rPr>
            </w:pPr>
            <w:r>
              <w:rPr>
                <w:rFonts w:hint="eastAsia" w:ascii="宋体" w:hAnsi="宋体" w:cs="宋体"/>
                <w:szCs w:val="21"/>
              </w:rPr>
              <w:t>拟安排的项目负责人情况（仅限一人）</w:t>
            </w:r>
          </w:p>
        </w:tc>
        <w:tc>
          <w:tcPr>
            <w:tcW w:w="709" w:type="dxa"/>
            <w:vAlign w:val="center"/>
          </w:tcPr>
          <w:p>
            <w:pPr>
              <w:widowControl/>
              <w:spacing w:line="36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pStyle w:val="94"/>
              <w:spacing w:line="360" w:lineRule="exact"/>
              <w:ind w:firstLine="0" w:firstLineChars="0"/>
              <w:rPr>
                <w:rFonts w:ascii="宋体" w:hAnsi="宋体"/>
                <w:szCs w:val="21"/>
              </w:rPr>
            </w:pPr>
            <w:r>
              <w:rPr>
                <w:rFonts w:hint="eastAsia" w:ascii="宋体" w:hAnsi="宋体"/>
                <w:szCs w:val="21"/>
              </w:rPr>
              <w:t>拟安排的项目负责人</w:t>
            </w:r>
            <w:r>
              <w:rPr>
                <w:rFonts w:hint="eastAsia" w:ascii="宋体" w:hAnsi="宋体" w:cs="宋体"/>
                <w:color w:val="000000"/>
                <w:kern w:val="0"/>
                <w:szCs w:val="21"/>
              </w:rPr>
              <w:t>(仅限1人）</w:t>
            </w:r>
            <w:r>
              <w:rPr>
                <w:rFonts w:hint="eastAsia" w:ascii="宋体" w:hAnsi="宋体"/>
                <w:szCs w:val="21"/>
              </w:rPr>
              <w:t>需为投标人</w:t>
            </w:r>
            <w:r>
              <w:rPr>
                <w:rFonts w:hint="eastAsia" w:ascii="宋体" w:hAnsi="宋体"/>
                <w:color w:val="000000" w:themeColor="text1"/>
                <w:szCs w:val="21"/>
              </w:rPr>
              <w:t>正式聘任</w:t>
            </w:r>
            <w:r>
              <w:rPr>
                <w:rFonts w:hint="eastAsia" w:ascii="宋体" w:hAnsi="宋体"/>
                <w:szCs w:val="21"/>
              </w:rPr>
              <w:t>员工，否则本项不得分。在此基础上，按以下标准评分：</w:t>
            </w:r>
          </w:p>
          <w:p>
            <w:pPr>
              <w:autoSpaceDE w:val="0"/>
              <w:autoSpaceDN w:val="0"/>
              <w:adjustRightInd w:val="0"/>
              <w:spacing w:line="360" w:lineRule="exact"/>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lang w:eastAsia="zh-CN"/>
              </w:rPr>
              <w:t>）</w:t>
            </w:r>
            <w:r>
              <w:rPr>
                <w:rFonts w:hint="eastAsia" w:ascii="宋体" w:hAnsi="宋体" w:cs="宋体"/>
                <w:szCs w:val="21"/>
              </w:rPr>
              <w:t>项目负责人专业水平情况</w:t>
            </w:r>
            <w:r>
              <w:rPr>
                <w:rFonts w:hint="eastAsia" w:ascii="宋体" w:hAnsi="宋体" w:cs="宋体"/>
                <w:szCs w:val="21"/>
                <w:lang w:eastAsia="zh-CN"/>
              </w:rPr>
              <w:t>（</w:t>
            </w:r>
            <w:r>
              <w:rPr>
                <w:rFonts w:hint="eastAsia" w:ascii="宋体" w:hAnsi="宋体" w:cs="宋体"/>
                <w:szCs w:val="21"/>
                <w:lang w:val="en-US" w:eastAsia="zh-CN"/>
              </w:rPr>
              <w:t>3分</w:t>
            </w:r>
            <w:r>
              <w:rPr>
                <w:rFonts w:hint="eastAsia" w:ascii="宋体" w:hAnsi="宋体" w:cs="宋体"/>
                <w:szCs w:val="21"/>
                <w:lang w:eastAsia="zh-CN"/>
              </w:rPr>
              <w:t>）</w:t>
            </w:r>
            <w:r>
              <w:rPr>
                <w:rFonts w:hint="eastAsia" w:ascii="宋体" w:hAnsi="宋体" w:cs="宋体"/>
                <w:szCs w:val="21"/>
              </w:rPr>
              <w:t>：</w:t>
            </w:r>
          </w:p>
          <w:p>
            <w:pPr>
              <w:autoSpaceDE w:val="0"/>
              <w:autoSpaceDN w:val="0"/>
              <w:adjustRightInd w:val="0"/>
              <w:spacing w:line="360" w:lineRule="exact"/>
              <w:rPr>
                <w:rFonts w:hint="eastAsia" w:ascii="宋体" w:hAnsi="宋体" w:cs="宋体"/>
                <w:szCs w:val="21"/>
              </w:rPr>
            </w:pPr>
            <w:r>
              <w:rPr>
                <w:rFonts w:hint="eastAsia" w:ascii="宋体" w:hAnsi="宋体" w:cs="宋体"/>
                <w:szCs w:val="21"/>
                <w:lang w:val="en-US" w:eastAsia="zh-CN"/>
              </w:rPr>
              <w:t>1.具有</w:t>
            </w:r>
            <w:r>
              <w:rPr>
                <w:rFonts w:hint="eastAsia" w:ascii="宋体" w:hAnsi="宋体" w:cs="宋体"/>
                <w:szCs w:val="21"/>
              </w:rPr>
              <w:t>农林相关系列的高级职称或农林相关专业博士学</w:t>
            </w:r>
            <w:r>
              <w:rPr>
                <w:rFonts w:hint="eastAsia" w:ascii="宋体" w:hAnsi="宋体" w:cs="宋体"/>
                <w:szCs w:val="21"/>
                <w:lang w:val="en-US" w:eastAsia="zh-CN"/>
              </w:rPr>
              <w:t>位得3</w:t>
            </w:r>
            <w:r>
              <w:rPr>
                <w:rFonts w:hint="eastAsia" w:ascii="宋体" w:hAnsi="宋体" w:cs="宋体"/>
                <w:szCs w:val="21"/>
              </w:rPr>
              <w:t>分；</w:t>
            </w:r>
          </w:p>
          <w:p>
            <w:pPr>
              <w:autoSpaceDE w:val="0"/>
              <w:autoSpaceDN w:val="0"/>
              <w:adjustRightInd w:val="0"/>
              <w:spacing w:line="360" w:lineRule="exact"/>
              <w:rPr>
                <w:rFonts w:hint="eastAsia" w:ascii="宋体" w:hAnsi="宋体" w:cs="宋体"/>
                <w:szCs w:val="21"/>
              </w:rPr>
            </w:pPr>
            <w:r>
              <w:rPr>
                <w:rFonts w:hint="eastAsia" w:ascii="宋体" w:hAnsi="宋体" w:cs="宋体"/>
                <w:szCs w:val="21"/>
                <w:lang w:val="en-US" w:eastAsia="zh-CN"/>
              </w:rPr>
              <w:t>2.具有</w:t>
            </w:r>
            <w:r>
              <w:rPr>
                <w:rFonts w:hint="eastAsia" w:ascii="宋体" w:hAnsi="宋体" w:cs="宋体"/>
                <w:szCs w:val="21"/>
              </w:rPr>
              <w:t>农林相关系列的中级职称或农林相关专业硕士学</w:t>
            </w:r>
            <w:r>
              <w:rPr>
                <w:rFonts w:hint="eastAsia" w:ascii="宋体" w:hAnsi="宋体" w:cs="宋体"/>
                <w:szCs w:val="21"/>
                <w:lang w:val="en-US" w:eastAsia="zh-CN"/>
              </w:rPr>
              <w:t>位得2</w:t>
            </w:r>
            <w:r>
              <w:rPr>
                <w:rFonts w:hint="eastAsia" w:ascii="宋体" w:hAnsi="宋体" w:cs="宋体"/>
                <w:szCs w:val="21"/>
              </w:rPr>
              <w:t>分；</w:t>
            </w:r>
          </w:p>
          <w:p>
            <w:pPr>
              <w:autoSpaceDE w:val="0"/>
              <w:autoSpaceDN w:val="0"/>
              <w:adjustRightInd w:val="0"/>
              <w:spacing w:line="360" w:lineRule="exact"/>
              <w:rPr>
                <w:rFonts w:hint="eastAsia" w:ascii="宋体" w:hAnsi="宋体" w:cs="宋体"/>
                <w:szCs w:val="21"/>
              </w:rPr>
            </w:pPr>
            <w:r>
              <w:rPr>
                <w:rFonts w:hint="eastAsia" w:ascii="宋体" w:hAnsi="宋体" w:cs="宋体"/>
                <w:szCs w:val="21"/>
                <w:lang w:val="en-US" w:eastAsia="zh-CN"/>
              </w:rPr>
              <w:t>3.具有</w:t>
            </w:r>
            <w:r>
              <w:rPr>
                <w:rFonts w:hint="eastAsia" w:ascii="宋体" w:hAnsi="宋体" w:cs="宋体"/>
                <w:szCs w:val="21"/>
              </w:rPr>
              <w:t>农林相关系列的初级职称或农林相关专业本科学历得1分。</w:t>
            </w:r>
          </w:p>
          <w:p>
            <w:pPr>
              <w:autoSpaceDE w:val="0"/>
              <w:autoSpaceDN w:val="0"/>
              <w:adjustRightInd w:val="0"/>
              <w:spacing w:line="360" w:lineRule="exact"/>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cs="宋体"/>
                <w:szCs w:val="21"/>
              </w:rPr>
              <w:t>项目负责人技能情况</w:t>
            </w:r>
            <w:r>
              <w:rPr>
                <w:rFonts w:hint="eastAsia" w:ascii="宋体" w:hAnsi="宋体" w:cs="宋体"/>
                <w:szCs w:val="21"/>
                <w:lang w:eastAsia="zh-CN"/>
              </w:rPr>
              <w:t>（</w:t>
            </w:r>
            <w:r>
              <w:rPr>
                <w:rFonts w:hint="eastAsia" w:ascii="宋体" w:hAnsi="宋体" w:cs="宋体"/>
                <w:szCs w:val="21"/>
                <w:lang w:val="en-US" w:eastAsia="zh-CN"/>
              </w:rPr>
              <w:t>2分</w:t>
            </w:r>
            <w:r>
              <w:rPr>
                <w:rFonts w:hint="eastAsia" w:ascii="宋体" w:hAnsi="宋体" w:cs="宋体"/>
                <w:szCs w:val="21"/>
                <w:lang w:eastAsia="zh-CN"/>
              </w:rPr>
              <w:t>）</w:t>
            </w:r>
            <w:r>
              <w:rPr>
                <w:rFonts w:hint="eastAsia" w:ascii="宋体" w:hAnsi="宋体" w:cs="宋体"/>
                <w:szCs w:val="21"/>
              </w:rPr>
              <w:t>：</w:t>
            </w:r>
          </w:p>
          <w:p>
            <w:pPr>
              <w:autoSpaceDE w:val="0"/>
              <w:autoSpaceDN w:val="0"/>
              <w:adjustRightInd w:val="0"/>
              <w:spacing w:line="360" w:lineRule="exact"/>
              <w:rPr>
                <w:rFonts w:ascii="宋体" w:hAnsi="宋体" w:cs="宋体"/>
                <w:szCs w:val="21"/>
              </w:rPr>
            </w:pPr>
            <w:r>
              <w:rPr>
                <w:rFonts w:hint="eastAsia" w:ascii="宋体" w:hAnsi="宋体" w:cs="宋体"/>
                <w:szCs w:val="21"/>
                <w:lang w:val="en-US" w:eastAsia="zh-CN"/>
              </w:rPr>
              <w:t>具有</w:t>
            </w:r>
            <w:r>
              <w:rPr>
                <w:rFonts w:hint="eastAsia" w:ascii="宋体" w:hAnsi="宋体" w:cs="宋体"/>
                <w:szCs w:val="21"/>
              </w:rPr>
              <w:t>市级及以上</w:t>
            </w:r>
            <w:r>
              <w:rPr>
                <w:rFonts w:hint="eastAsia" w:ascii="宋体" w:hAnsi="宋体" w:cs="宋体"/>
                <w:szCs w:val="21"/>
                <w:lang w:val="en-US" w:eastAsia="zh-CN"/>
              </w:rPr>
              <w:t>政府部门</w:t>
            </w:r>
            <w:r>
              <w:rPr>
                <w:rFonts w:hint="eastAsia" w:ascii="宋体" w:hAnsi="宋体" w:cs="宋体"/>
                <w:szCs w:val="21"/>
              </w:rPr>
              <w:t>（或</w:t>
            </w:r>
            <w:r>
              <w:rPr>
                <w:rFonts w:hint="eastAsia" w:ascii="宋体" w:hAnsi="宋体" w:cs="宋体"/>
                <w:szCs w:val="21"/>
                <w:lang w:val="en-US" w:eastAsia="zh-CN"/>
              </w:rPr>
              <w:t>事业单位</w:t>
            </w:r>
            <w:r>
              <w:rPr>
                <w:rFonts w:hint="eastAsia" w:ascii="宋体" w:hAnsi="宋体" w:cs="宋体"/>
                <w:szCs w:val="21"/>
              </w:rPr>
              <w:t>）</w:t>
            </w:r>
            <w:r>
              <w:rPr>
                <w:rFonts w:hint="eastAsia" w:ascii="宋体" w:hAnsi="宋体" w:cs="宋体"/>
                <w:szCs w:val="21"/>
                <w:lang w:val="en-US" w:eastAsia="zh-CN"/>
              </w:rPr>
              <w:t>颁发的</w:t>
            </w:r>
            <w:r>
              <w:rPr>
                <w:rFonts w:hint="eastAsia" w:ascii="宋体" w:hAnsi="宋体" w:cs="宋体"/>
                <w:szCs w:val="21"/>
              </w:rPr>
              <w:t>植保植检类</w:t>
            </w:r>
            <w:r>
              <w:rPr>
                <w:rFonts w:hint="eastAsia" w:ascii="宋体" w:hAnsi="宋体" w:cs="宋体"/>
                <w:szCs w:val="21"/>
                <w:lang w:val="en-US" w:eastAsia="zh-CN"/>
              </w:rPr>
              <w:t>相关</w:t>
            </w:r>
            <w:r>
              <w:rPr>
                <w:rFonts w:hint="eastAsia" w:ascii="宋体" w:hAnsi="宋体" w:cs="宋体"/>
                <w:szCs w:val="21"/>
              </w:rPr>
              <w:t>奖项得2分。</w:t>
            </w:r>
          </w:p>
          <w:p>
            <w:pPr>
              <w:autoSpaceDE w:val="0"/>
              <w:autoSpaceDN w:val="0"/>
              <w:adjustRightInd w:val="0"/>
              <w:spacing w:line="360" w:lineRule="exact"/>
              <w:jc w:val="left"/>
              <w:rPr>
                <w:rFonts w:hint="default" w:ascii="宋体" w:hAnsi="宋体" w:eastAsia="宋体"/>
                <w:kern w:val="0"/>
                <w:szCs w:val="21"/>
                <w:lang w:val="en-US" w:eastAsia="zh-CN"/>
              </w:rPr>
            </w:pPr>
            <w:r>
              <w:rPr>
                <w:rFonts w:hint="eastAsia" w:ascii="宋体" w:hAnsi="宋体"/>
                <w:kern w:val="0"/>
                <w:szCs w:val="21"/>
                <w:lang w:val="en-US" w:eastAsia="zh-CN"/>
              </w:rPr>
              <w:t>注：以上累计最高得5分。</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rPr>
                <w:rFonts w:ascii="宋体" w:hAnsi="宋体" w:cs="宋体"/>
                <w:szCs w:val="21"/>
              </w:rPr>
            </w:pPr>
            <w:r>
              <w:rPr>
                <w:rFonts w:hint="eastAsia" w:ascii="宋体" w:hAnsi="宋体" w:cs="宋体"/>
                <w:szCs w:val="21"/>
              </w:rPr>
              <w:t>1.提供项目负责人通过投标单位缴纳的载有社保部门或税务部门公章的近三个月内任意一个月的个人社保证明；如供应商为新成立单位且成立时间不足一个月的，可提供加盖公章的情况说明或者证明材料，无需提供相关人员社保，亦可得分；如为退休返聘人员则提供劳动合同或返聘协议，无需提供相关人员社保，亦可得分；</w:t>
            </w:r>
          </w:p>
          <w:p>
            <w:pPr>
              <w:autoSpaceDE w:val="0"/>
              <w:autoSpaceDN w:val="0"/>
              <w:adjustRightInd w:val="0"/>
              <w:spacing w:line="360" w:lineRule="exact"/>
              <w:rPr>
                <w:rFonts w:ascii="宋体" w:hAnsi="宋体" w:cs="宋体"/>
                <w:szCs w:val="21"/>
              </w:rPr>
            </w:pPr>
            <w:r>
              <w:rPr>
                <w:rFonts w:hint="eastAsia" w:ascii="宋体" w:hAnsi="宋体" w:cs="宋体"/>
                <w:szCs w:val="21"/>
              </w:rPr>
              <w:t>2.提供上述</w:t>
            </w:r>
            <w:r>
              <w:rPr>
                <w:rFonts w:hint="eastAsia" w:ascii="宋体" w:hAnsi="宋体" w:cs="宋体"/>
                <w:szCs w:val="21"/>
                <w:lang w:val="en-US" w:eastAsia="zh-CN"/>
              </w:rPr>
              <w:t>获奖证书、</w:t>
            </w:r>
            <w:r>
              <w:rPr>
                <w:rFonts w:hint="eastAsia" w:ascii="宋体" w:hAnsi="宋体" w:cs="宋体"/>
                <w:szCs w:val="21"/>
              </w:rPr>
              <w:t>职称证书，毕业证书（或学位证书）以及学信网查询记录，对于学信网无法查询的，还需提供毕业院校或人社部门或教育部门等颁发机构或监管机构出具的证明，否则无效；</w:t>
            </w:r>
          </w:p>
          <w:p>
            <w:pPr>
              <w:autoSpaceDE w:val="0"/>
              <w:autoSpaceDN w:val="0"/>
              <w:adjustRightInd w:val="0"/>
              <w:spacing w:line="360" w:lineRule="exact"/>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85"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5</w:t>
            </w:r>
          </w:p>
        </w:tc>
        <w:tc>
          <w:tcPr>
            <w:tcW w:w="1143" w:type="dxa"/>
            <w:vAlign w:val="center"/>
          </w:tcPr>
          <w:p>
            <w:pPr>
              <w:widowControl/>
              <w:spacing w:line="360" w:lineRule="exact"/>
              <w:jc w:val="center"/>
              <w:rPr>
                <w:rFonts w:ascii="宋体" w:hAnsi="宋体" w:cs="宋体"/>
                <w:szCs w:val="21"/>
              </w:rPr>
            </w:pPr>
            <w:r>
              <w:rPr>
                <w:rFonts w:hint="eastAsia" w:ascii="宋体" w:hAnsi="宋体" w:cs="宋体"/>
                <w:szCs w:val="21"/>
              </w:rPr>
              <w:t>拟安排的项目主要团队成员（主要技术人员）情况（项目负责人除外）</w:t>
            </w:r>
          </w:p>
        </w:tc>
        <w:tc>
          <w:tcPr>
            <w:tcW w:w="709" w:type="dxa"/>
            <w:vAlign w:val="center"/>
          </w:tcPr>
          <w:p>
            <w:pPr>
              <w:widowControl/>
              <w:spacing w:line="36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pStyle w:val="94"/>
              <w:spacing w:line="360" w:lineRule="exact"/>
              <w:ind w:firstLine="0" w:firstLineChars="0"/>
              <w:rPr>
                <w:rFonts w:ascii="宋体" w:hAnsi="宋体"/>
                <w:szCs w:val="21"/>
              </w:rPr>
            </w:pPr>
            <w:r>
              <w:rPr>
                <w:rFonts w:hint="eastAsia" w:ascii="宋体" w:hAnsi="宋体" w:cs="宋体"/>
                <w:szCs w:val="21"/>
              </w:rPr>
              <w:t>拟安排的项目团队成员（项目负责人除外）</w:t>
            </w:r>
            <w:r>
              <w:rPr>
                <w:rFonts w:hint="eastAsia" w:ascii="宋体" w:hAnsi="宋体"/>
                <w:szCs w:val="21"/>
              </w:rPr>
              <w:t>需为投标人</w:t>
            </w:r>
            <w:r>
              <w:rPr>
                <w:rFonts w:hint="eastAsia" w:ascii="宋体" w:hAnsi="宋体"/>
                <w:color w:val="000000" w:themeColor="text1"/>
                <w:szCs w:val="21"/>
              </w:rPr>
              <w:t>正式聘任</w:t>
            </w:r>
            <w:r>
              <w:rPr>
                <w:rFonts w:hint="eastAsia" w:ascii="宋体" w:hAnsi="宋体"/>
                <w:szCs w:val="21"/>
              </w:rPr>
              <w:t>员工</w:t>
            </w:r>
            <w:r>
              <w:rPr>
                <w:rFonts w:hint="eastAsia" w:ascii="宋体" w:hAnsi="宋体"/>
                <w:szCs w:val="21"/>
                <w:lang w:val="en-US" w:eastAsia="zh-CN"/>
              </w:rPr>
              <w:t>且不少于8人</w:t>
            </w:r>
            <w:r>
              <w:rPr>
                <w:rFonts w:hint="eastAsia" w:ascii="宋体" w:hAnsi="宋体"/>
                <w:szCs w:val="21"/>
              </w:rPr>
              <w:t>，否则本项不得分。在此基础上，按以下标准评分：</w:t>
            </w:r>
          </w:p>
          <w:p>
            <w:pPr>
              <w:pStyle w:val="94"/>
              <w:spacing w:line="360" w:lineRule="exact"/>
              <w:ind w:firstLine="0" w:firstLineChars="0"/>
              <w:rPr>
                <w:rFonts w:ascii="宋体" w:hAnsi="宋体"/>
                <w:szCs w:val="21"/>
              </w:rPr>
            </w:pPr>
            <w:r>
              <w:rPr>
                <w:rFonts w:hint="eastAsia" w:ascii="宋体" w:hAnsi="宋体"/>
                <w:szCs w:val="21"/>
              </w:rPr>
              <w:t>（1）项目团队成员具有农林相关系列中级及以上职称或农林相关专业硕士及以上学</w:t>
            </w:r>
            <w:r>
              <w:rPr>
                <w:rFonts w:hint="eastAsia" w:ascii="宋体" w:hAnsi="宋体"/>
                <w:szCs w:val="21"/>
                <w:lang w:val="en-US" w:eastAsia="zh-CN"/>
              </w:rPr>
              <w:t>位的，每提供</w:t>
            </w:r>
            <w:r>
              <w:rPr>
                <w:rFonts w:hint="eastAsia" w:ascii="宋体" w:hAnsi="宋体"/>
                <w:szCs w:val="21"/>
              </w:rPr>
              <w:t>1人得2.5分；项目团队成员具有农林相关系列初级职称或农林相关专业本科学历的</w:t>
            </w:r>
            <w:r>
              <w:rPr>
                <w:rFonts w:hint="eastAsia" w:ascii="宋体" w:hAnsi="宋体"/>
                <w:szCs w:val="21"/>
                <w:lang w:eastAsia="zh-CN"/>
              </w:rPr>
              <w:t>，</w:t>
            </w:r>
            <w:r>
              <w:rPr>
                <w:rFonts w:hint="eastAsia" w:ascii="宋体" w:hAnsi="宋体"/>
                <w:szCs w:val="21"/>
              </w:rPr>
              <w:t>每</w:t>
            </w:r>
            <w:r>
              <w:rPr>
                <w:rFonts w:hint="eastAsia" w:ascii="宋体" w:hAnsi="宋体"/>
                <w:szCs w:val="21"/>
                <w:lang w:val="en-US" w:eastAsia="zh-CN"/>
              </w:rPr>
              <w:t>提供</w:t>
            </w:r>
            <w:r>
              <w:rPr>
                <w:rFonts w:hint="eastAsia" w:ascii="宋体" w:hAnsi="宋体"/>
                <w:szCs w:val="21"/>
              </w:rPr>
              <w:t>1人得1分，此项</w:t>
            </w:r>
            <w:r>
              <w:rPr>
                <w:rFonts w:hint="eastAsia" w:ascii="宋体" w:hAnsi="宋体"/>
                <w:szCs w:val="21"/>
                <w:lang w:val="en-US" w:eastAsia="zh-CN"/>
              </w:rPr>
              <w:t>最高得</w:t>
            </w:r>
            <w:r>
              <w:rPr>
                <w:rFonts w:hint="eastAsia" w:ascii="宋体" w:hAnsi="宋体"/>
                <w:szCs w:val="21"/>
              </w:rPr>
              <w:t>5分。</w:t>
            </w:r>
          </w:p>
          <w:p>
            <w:pPr>
              <w:pStyle w:val="94"/>
              <w:spacing w:line="360" w:lineRule="exact"/>
              <w:ind w:firstLine="0" w:firstLineChars="0"/>
              <w:rPr>
                <w:rFonts w:ascii="宋体" w:hAnsi="宋体"/>
                <w:szCs w:val="21"/>
              </w:rPr>
            </w:pPr>
            <w:r>
              <w:rPr>
                <w:rFonts w:hint="eastAsia" w:ascii="宋体" w:hAnsi="宋体"/>
                <w:szCs w:val="21"/>
              </w:rPr>
              <w:t>（2）项目团队</w:t>
            </w:r>
            <w:r>
              <w:rPr>
                <w:rFonts w:hint="eastAsia" w:ascii="宋体" w:hAnsi="宋体"/>
                <w:szCs w:val="21"/>
                <w:lang w:val="en-US" w:eastAsia="zh-CN"/>
              </w:rPr>
              <w:t>成员具有</w:t>
            </w:r>
            <w:r>
              <w:rPr>
                <w:rFonts w:hint="eastAsia" w:ascii="宋体" w:hAnsi="宋体"/>
                <w:szCs w:val="21"/>
              </w:rPr>
              <w:t>初级及以上植保、农林病虫</w:t>
            </w:r>
            <w:r>
              <w:rPr>
                <w:rFonts w:hint="eastAsia" w:ascii="宋体" w:hAnsi="宋体"/>
                <w:szCs w:val="21"/>
                <w:lang w:val="en-US" w:eastAsia="zh-CN"/>
              </w:rPr>
              <w:t>或</w:t>
            </w:r>
            <w:r>
              <w:rPr>
                <w:rFonts w:hint="eastAsia" w:ascii="宋体" w:hAnsi="宋体"/>
                <w:szCs w:val="21"/>
              </w:rPr>
              <w:t>有害生物相关</w:t>
            </w:r>
            <w:r>
              <w:rPr>
                <w:rFonts w:hint="eastAsia" w:ascii="宋体" w:hAnsi="宋体"/>
                <w:szCs w:val="21"/>
                <w:lang w:val="en-US" w:eastAsia="zh-CN"/>
              </w:rPr>
              <w:t>职称</w:t>
            </w:r>
            <w:r>
              <w:rPr>
                <w:rFonts w:hint="eastAsia" w:ascii="宋体" w:hAnsi="宋体"/>
                <w:szCs w:val="21"/>
              </w:rPr>
              <w:t>资格证书或获得相关行业协会或行业主管部门举办的有害生物防控或监测技术培训班且取得培训合格证明的，</w:t>
            </w:r>
            <w:r>
              <w:rPr>
                <w:rFonts w:hint="eastAsia" w:ascii="宋体" w:hAnsi="宋体"/>
                <w:szCs w:val="21"/>
                <w:lang w:val="en-US" w:eastAsia="zh-CN"/>
              </w:rPr>
              <w:t>每提供一人得</w:t>
            </w:r>
            <w:r>
              <w:rPr>
                <w:rFonts w:hint="eastAsia" w:ascii="宋体" w:hAnsi="宋体"/>
                <w:szCs w:val="21"/>
              </w:rPr>
              <w:t>0.65分，</w:t>
            </w:r>
            <w:r>
              <w:rPr>
                <w:rFonts w:hint="eastAsia" w:ascii="宋体" w:hAnsi="宋体"/>
                <w:szCs w:val="21"/>
                <w:lang w:val="en-US" w:eastAsia="zh-CN"/>
              </w:rPr>
              <w:t>最高得5分。</w:t>
            </w:r>
          </w:p>
          <w:p>
            <w:pPr>
              <w:autoSpaceDE w:val="0"/>
              <w:autoSpaceDN w:val="0"/>
              <w:adjustRightInd w:val="0"/>
              <w:spacing w:line="360" w:lineRule="exact"/>
              <w:rPr>
                <w:rFonts w:ascii="宋体" w:hAnsi="宋体"/>
                <w:szCs w:val="21"/>
              </w:rPr>
            </w:pPr>
            <w:r>
              <w:rPr>
                <w:rFonts w:asciiTheme="minorEastAsia" w:hAnsiTheme="minorEastAsia" w:eastAsiaTheme="minorEastAsia"/>
                <w:szCs w:val="21"/>
              </w:rPr>
              <w:t>注：</w:t>
            </w:r>
            <w:r>
              <w:rPr>
                <w:rFonts w:hint="eastAsia" w:asciiTheme="minorEastAsia" w:hAnsiTheme="minorEastAsia" w:eastAsiaTheme="minorEastAsia"/>
                <w:szCs w:val="21"/>
                <w:lang w:val="en-US" w:eastAsia="zh-CN"/>
              </w:rPr>
              <w:t>以上累计最高得10分</w:t>
            </w:r>
            <w:r>
              <w:rPr>
                <w:rFonts w:asciiTheme="minorEastAsia" w:hAnsiTheme="minorEastAsia" w:eastAsiaTheme="minorEastAsia"/>
                <w:szCs w:val="21"/>
              </w:rPr>
              <w:t>。</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pStyle w:val="94"/>
              <w:spacing w:line="360" w:lineRule="exact"/>
              <w:ind w:firstLine="0" w:firstLineChars="0"/>
              <w:rPr>
                <w:rFonts w:ascii="宋体" w:hAnsi="宋体"/>
                <w:szCs w:val="21"/>
              </w:rPr>
            </w:pPr>
            <w:r>
              <w:rPr>
                <w:rFonts w:hint="eastAsia" w:ascii="宋体" w:hAnsi="宋体"/>
                <w:szCs w:val="21"/>
              </w:rPr>
              <w:t>1.提供项目团队成员通过投标单位缴纳的载有</w:t>
            </w:r>
            <w:r>
              <w:rPr>
                <w:rFonts w:hint="eastAsia" w:cs="宋体" w:asciiTheme="minorEastAsia" w:hAnsiTheme="minorEastAsia" w:eastAsiaTheme="minorEastAsia"/>
                <w:szCs w:val="21"/>
              </w:rPr>
              <w:t>社保部门或税务部门</w:t>
            </w:r>
            <w:r>
              <w:rPr>
                <w:rFonts w:hint="eastAsia" w:ascii="宋体" w:hAnsi="宋体"/>
                <w:szCs w:val="21"/>
              </w:rPr>
              <w:t>公章的近三个月内任意一个月的个人社保证明；如供应商为新成立单位且成立时间不足一个月的，</w:t>
            </w:r>
            <w:r>
              <w:rPr>
                <w:rFonts w:hint="eastAsia" w:ascii="宋体" w:hAnsi="宋体" w:cs="宋体"/>
                <w:szCs w:val="21"/>
              </w:rPr>
              <w:t>可提供加盖公章的情况说明或者证明材料，</w:t>
            </w:r>
            <w:r>
              <w:rPr>
                <w:rFonts w:hint="eastAsia" w:ascii="宋体" w:hAnsi="宋体" w:cs="宋体"/>
              </w:rPr>
              <w:t>无需提供相关人员社保，亦可得分；</w:t>
            </w:r>
            <w:r>
              <w:rPr>
                <w:rFonts w:hint="eastAsia" w:ascii="宋体" w:hAnsi="宋体"/>
                <w:szCs w:val="21"/>
              </w:rPr>
              <w:t>如为退休返聘人员则提供劳动合同或返聘协议，</w:t>
            </w:r>
            <w:r>
              <w:rPr>
                <w:rFonts w:hint="eastAsia" w:ascii="宋体" w:hAnsi="宋体" w:cs="宋体"/>
              </w:rPr>
              <w:t>无需提供相关人员社保，亦可得分</w:t>
            </w:r>
            <w:r>
              <w:rPr>
                <w:rFonts w:hint="eastAsia" w:ascii="宋体" w:hAnsi="宋体"/>
                <w:szCs w:val="21"/>
              </w:rPr>
              <w:t>；</w:t>
            </w:r>
          </w:p>
          <w:p>
            <w:pPr>
              <w:pStyle w:val="94"/>
              <w:spacing w:line="360" w:lineRule="exact"/>
              <w:ind w:firstLine="0" w:firstLineChars="0"/>
              <w:rPr>
                <w:rFonts w:ascii="宋体" w:hAnsi="宋体"/>
                <w:szCs w:val="21"/>
              </w:rPr>
            </w:pPr>
            <w:r>
              <w:rPr>
                <w:rFonts w:hint="eastAsia" w:ascii="宋体" w:hAnsi="宋体"/>
                <w:szCs w:val="21"/>
              </w:rPr>
              <w:t>2.提供上述</w:t>
            </w:r>
            <w:r>
              <w:rPr>
                <w:rFonts w:hint="eastAsia" w:ascii="宋体" w:hAnsi="宋体" w:eastAsia="宋体" w:cs="宋体"/>
                <w:sz w:val="21"/>
                <w:szCs w:val="21"/>
              </w:rPr>
              <w:t>培训合格证明</w:t>
            </w:r>
            <w:r>
              <w:rPr>
                <w:rFonts w:hint="eastAsia" w:ascii="宋体" w:hAnsi="宋体" w:cs="宋体"/>
                <w:sz w:val="21"/>
                <w:szCs w:val="21"/>
                <w:lang w:eastAsia="zh-CN"/>
              </w:rPr>
              <w:t>、</w:t>
            </w:r>
            <w:r>
              <w:rPr>
                <w:rFonts w:hint="eastAsia" w:ascii="宋体" w:hAnsi="宋体"/>
                <w:szCs w:val="21"/>
              </w:rPr>
              <w:t>职称证书，毕业证书（或学位证书）以及学信网查询记录，对于学信网无法查询的，还需提供毕业院校或人社部门或教育部门等颁发机构或监管机构出具的证明，否则无效；</w:t>
            </w:r>
          </w:p>
          <w:p>
            <w:pPr>
              <w:autoSpaceDE w:val="0"/>
              <w:autoSpaceDN w:val="0"/>
              <w:adjustRightInd w:val="0"/>
              <w:spacing w:line="360" w:lineRule="exact"/>
              <w:rPr>
                <w:rFonts w:ascii="宋体" w:hAnsi="宋体" w:cs="宋体"/>
                <w:szCs w:val="21"/>
              </w:rPr>
            </w:pPr>
            <w:r>
              <w:rPr>
                <w:rFonts w:hint="eastAsia" w:ascii="宋体" w:hAnsi="宋体"/>
                <w:szCs w:val="21"/>
                <w:lang w:val="en-US" w:eastAsia="zh-CN"/>
              </w:rPr>
              <w:t>3</w:t>
            </w:r>
            <w:r>
              <w:rPr>
                <w:rFonts w:hint="eastAsia" w:ascii="宋体" w:hAnsi="宋体"/>
                <w:szCs w:val="21"/>
              </w:rPr>
              <w:t>.提供以上证明文件复印件或扫描件，如涉及网站截图或照片等证明材料，需提供清晰图片，均要求加盖投标人公章，原件备查。未按要求提供有效证明材料或提供不清晰导致评委无法识别的不计得分。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21"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6</w:t>
            </w:r>
          </w:p>
        </w:tc>
        <w:tc>
          <w:tcPr>
            <w:tcW w:w="1143" w:type="dxa"/>
            <w:vAlign w:val="center"/>
          </w:tcPr>
          <w:p>
            <w:pPr>
              <w:widowControl/>
              <w:spacing w:line="360" w:lineRule="exact"/>
              <w:jc w:val="center"/>
              <w:rPr>
                <w:rFonts w:ascii="宋体" w:hAnsi="宋体" w:cs="宋体"/>
                <w:szCs w:val="21"/>
              </w:rPr>
            </w:pPr>
            <w:r>
              <w:rPr>
                <w:rFonts w:hint="eastAsia" w:ascii="宋体" w:hAnsi="宋体" w:cs="宋体"/>
                <w:szCs w:val="21"/>
              </w:rPr>
              <w:t>拟投入的服务资源（车辆、场地、工具、机器等）情况</w:t>
            </w:r>
          </w:p>
        </w:tc>
        <w:tc>
          <w:tcPr>
            <w:tcW w:w="709" w:type="dxa"/>
            <w:vAlign w:val="center"/>
          </w:tcPr>
          <w:p>
            <w:pPr>
              <w:widowControl/>
              <w:spacing w:line="360" w:lineRule="exact"/>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4</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rPr>
                <w:rFonts w:hint="eastAsia" w:asciiTheme="minorEastAsia" w:hAnsiTheme="minorEastAsia" w:eastAsiaTheme="minorEastAsia"/>
                <w:szCs w:val="21"/>
              </w:rPr>
            </w:pPr>
            <w:r>
              <w:rPr>
                <w:rFonts w:hint="eastAsia" w:asciiTheme="minorEastAsia" w:hAnsiTheme="minorEastAsia" w:eastAsiaTheme="minorEastAsia"/>
                <w:szCs w:val="21"/>
              </w:rPr>
              <w:t>1.投标人</w:t>
            </w:r>
            <w:r>
              <w:rPr>
                <w:rFonts w:hint="eastAsia" w:asciiTheme="minorEastAsia" w:hAnsiTheme="minorEastAsia" w:eastAsiaTheme="minorEastAsia"/>
                <w:szCs w:val="21"/>
                <w:lang w:val="en-US" w:eastAsia="zh-CN"/>
              </w:rPr>
              <w:t>具有</w:t>
            </w:r>
            <w:r>
              <w:rPr>
                <w:rFonts w:hint="eastAsia" w:asciiTheme="minorEastAsia" w:hAnsiTheme="minorEastAsia" w:eastAsiaTheme="minorEastAsia"/>
                <w:szCs w:val="21"/>
              </w:rPr>
              <w:t>防控用车（自有或租赁）4辆及以上得1.5分；</w:t>
            </w:r>
          </w:p>
          <w:p>
            <w:pPr>
              <w:spacing w:line="360" w:lineRule="exact"/>
              <w:rPr>
                <w:rFonts w:hint="eastAsia" w:asciiTheme="minorEastAsia" w:hAnsiTheme="minorEastAsia" w:eastAsiaTheme="minorEastAsia"/>
                <w:szCs w:val="21"/>
              </w:rPr>
            </w:pPr>
            <w:r>
              <w:rPr>
                <w:rFonts w:hint="eastAsia" w:asciiTheme="minorEastAsia" w:hAnsiTheme="minorEastAsia" w:eastAsiaTheme="minorEastAsia"/>
                <w:szCs w:val="21"/>
              </w:rPr>
              <w:t>2.投标人</w:t>
            </w:r>
            <w:r>
              <w:rPr>
                <w:rFonts w:hint="eastAsia" w:asciiTheme="minorEastAsia" w:hAnsiTheme="minorEastAsia" w:eastAsiaTheme="minorEastAsia"/>
                <w:szCs w:val="21"/>
                <w:lang w:val="en-US" w:eastAsia="zh-CN"/>
              </w:rPr>
              <w:t>具有</w:t>
            </w:r>
            <w:r>
              <w:rPr>
                <w:rFonts w:hint="eastAsia" w:asciiTheme="minorEastAsia" w:hAnsiTheme="minorEastAsia" w:eastAsiaTheme="minorEastAsia"/>
                <w:szCs w:val="21"/>
              </w:rPr>
              <w:t>带航拍功能的无人机（自有或租赁）1台及以上得1.5分；</w:t>
            </w:r>
          </w:p>
          <w:p>
            <w:pPr>
              <w:spacing w:line="360" w:lineRule="exact"/>
              <w:rPr>
                <w:rFonts w:hint="eastAsia" w:asciiTheme="minorEastAsia" w:hAnsiTheme="minorEastAsia" w:eastAsiaTheme="minorEastAsia"/>
                <w:szCs w:val="21"/>
                <w:lang w:eastAsia="zh-CN"/>
              </w:rPr>
            </w:pPr>
            <w:r>
              <w:rPr>
                <w:rFonts w:hint="eastAsia" w:asciiTheme="minorEastAsia" w:hAnsiTheme="minorEastAsia" w:eastAsiaTheme="minorEastAsia"/>
                <w:szCs w:val="21"/>
              </w:rPr>
              <w:t>3</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投标人</w:t>
            </w:r>
            <w:r>
              <w:rPr>
                <w:rFonts w:hint="eastAsia" w:asciiTheme="minorEastAsia" w:hAnsiTheme="minorEastAsia" w:eastAsiaTheme="minorEastAsia"/>
                <w:szCs w:val="21"/>
                <w:lang w:val="en-US" w:eastAsia="zh-CN"/>
              </w:rPr>
              <w:t>具有</w:t>
            </w:r>
            <w:r>
              <w:rPr>
                <w:rFonts w:hint="eastAsia" w:asciiTheme="minorEastAsia" w:hAnsiTheme="minorEastAsia" w:eastAsiaTheme="minorEastAsia"/>
                <w:szCs w:val="21"/>
              </w:rPr>
              <w:t>专用GPS仪（自有或租赁）3台及以上得1分</w:t>
            </w:r>
            <w:r>
              <w:rPr>
                <w:rFonts w:hint="eastAsia" w:asciiTheme="minorEastAsia" w:hAnsiTheme="minorEastAsia" w:eastAsiaTheme="minorEastAsia"/>
                <w:szCs w:val="21"/>
                <w:lang w:eastAsia="zh-CN"/>
              </w:rPr>
              <w:t>。</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lang w:val="en-US" w:eastAsia="zh-CN"/>
              </w:rPr>
              <w:t>注：</w:t>
            </w:r>
            <w:r>
              <w:rPr>
                <w:rFonts w:hint="eastAsia" w:asciiTheme="minorEastAsia" w:hAnsiTheme="minorEastAsia" w:eastAsiaTheme="minorEastAsia"/>
                <w:szCs w:val="21"/>
              </w:rPr>
              <w:t>以上</w:t>
            </w:r>
            <w:r>
              <w:rPr>
                <w:rFonts w:hint="eastAsia" w:asciiTheme="minorEastAsia" w:hAnsiTheme="minorEastAsia" w:eastAsiaTheme="minorEastAsia"/>
                <w:szCs w:val="21"/>
                <w:lang w:val="en-US" w:eastAsia="zh-CN"/>
              </w:rPr>
              <w:t>累计最高得4分</w:t>
            </w:r>
            <w:r>
              <w:rPr>
                <w:rFonts w:hint="eastAsia" w:asciiTheme="minorEastAsia" w:hAnsiTheme="minorEastAsia" w:eastAsiaTheme="minorEastAsia"/>
                <w:szCs w:val="21"/>
              </w:rPr>
              <w:t>。</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pStyle w:val="94"/>
              <w:spacing w:line="360" w:lineRule="exact"/>
              <w:ind w:firstLine="0" w:firstLineChars="0"/>
              <w:rPr>
                <w:rFonts w:hint="default" w:ascii="宋体" w:hAnsi="宋体" w:eastAsia="新宋体"/>
                <w:szCs w:val="21"/>
                <w:lang w:val="en-US" w:eastAsia="zh-CN"/>
              </w:rPr>
            </w:pPr>
            <w:r>
              <w:rPr>
                <w:rFonts w:hint="eastAsia" w:ascii="宋体" w:hAnsi="宋体"/>
                <w:szCs w:val="21"/>
                <w:lang w:val="en-US" w:eastAsia="zh-CN"/>
              </w:rPr>
              <w:t>1.</w:t>
            </w:r>
            <w:r>
              <w:rPr>
                <w:rFonts w:hint="eastAsia" w:ascii="新宋体" w:hAnsi="新宋体" w:eastAsia="新宋体" w:cs="新宋体"/>
                <w:sz w:val="21"/>
                <w:szCs w:val="21"/>
              </w:rPr>
              <w:t>车辆提供有效车辆行驶证和购买发票（或租赁合同）</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航拍无人机和GPS提供照片（标明设备存放地址）</w:t>
            </w:r>
            <w:r>
              <w:rPr>
                <w:rFonts w:hint="eastAsia" w:ascii="新宋体" w:hAnsi="新宋体" w:eastAsia="新宋体" w:cs="新宋体"/>
                <w:sz w:val="21"/>
                <w:szCs w:val="21"/>
                <w:lang w:val="en-US" w:eastAsia="zh-CN"/>
              </w:rPr>
              <w:t>及</w:t>
            </w:r>
            <w:r>
              <w:rPr>
                <w:rFonts w:hint="eastAsia" w:ascii="新宋体" w:hAnsi="新宋体" w:eastAsia="新宋体" w:cs="新宋体"/>
                <w:sz w:val="21"/>
                <w:szCs w:val="21"/>
              </w:rPr>
              <w:t>购买发票（或租赁合同）</w:t>
            </w:r>
            <w:r>
              <w:rPr>
                <w:rFonts w:hint="eastAsia" w:ascii="新宋体" w:hAnsi="新宋体" w:eastAsia="新宋体" w:cs="新宋体"/>
                <w:sz w:val="21"/>
                <w:szCs w:val="21"/>
                <w:lang w:val="en-US" w:eastAsia="zh-CN"/>
              </w:rPr>
              <w:t>作为评分依据；</w:t>
            </w:r>
          </w:p>
          <w:p>
            <w:pPr>
              <w:pStyle w:val="94"/>
              <w:spacing w:line="360" w:lineRule="exact"/>
              <w:ind w:firstLine="0" w:firstLineChars="0"/>
              <w:rPr>
                <w:rFonts w:hint="default" w:ascii="宋体" w:hAnsi="宋体"/>
                <w:szCs w:val="21"/>
                <w:lang w:val="en-US" w:eastAsia="zh-CN"/>
              </w:rPr>
            </w:pPr>
            <w:r>
              <w:rPr>
                <w:rFonts w:hint="eastAsia" w:ascii="宋体" w:hAnsi="宋体"/>
                <w:szCs w:val="21"/>
                <w:lang w:val="en-US" w:eastAsia="zh-CN"/>
              </w:rPr>
              <w:t>2.</w:t>
            </w:r>
            <w:r>
              <w:rPr>
                <w:rFonts w:hint="eastAsia" w:ascii="宋体" w:hAnsi="宋体"/>
                <w:szCs w:val="21"/>
              </w:rPr>
              <w:t>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754" w:type="dxa"/>
            <w:vAlign w:val="center"/>
          </w:tcPr>
          <w:p>
            <w:pPr>
              <w:widowControl/>
              <w:snapToGrid w:val="0"/>
              <w:spacing w:line="360" w:lineRule="exact"/>
              <w:jc w:val="center"/>
              <w:rPr>
                <w:rFonts w:hint="eastAsia" w:ascii="宋体" w:hAnsi="宋体" w:eastAsia="宋体"/>
                <w:kern w:val="0"/>
                <w:szCs w:val="21"/>
                <w:lang w:val="en-US" w:eastAsia="zh-CN"/>
              </w:rPr>
            </w:pPr>
            <w:r>
              <w:rPr>
                <w:rFonts w:hint="eastAsia" w:ascii="宋体" w:hAnsi="宋体"/>
                <w:kern w:val="0"/>
                <w:szCs w:val="21"/>
                <w:lang w:val="en-US" w:eastAsia="zh-CN"/>
              </w:rPr>
              <w:t>7</w:t>
            </w:r>
          </w:p>
        </w:tc>
        <w:tc>
          <w:tcPr>
            <w:tcW w:w="1143" w:type="dxa"/>
            <w:vAlign w:val="center"/>
          </w:tcPr>
          <w:p>
            <w:pPr>
              <w:widowControl/>
              <w:spacing w:line="360" w:lineRule="exact"/>
              <w:jc w:val="center"/>
              <w:rPr>
                <w:rFonts w:hint="eastAsia" w:ascii="宋体" w:hAnsi="宋体" w:cs="宋体"/>
                <w:szCs w:val="21"/>
              </w:rPr>
            </w:pPr>
            <w:r>
              <w:rPr>
                <w:rFonts w:hint="eastAsia" w:ascii="宋体" w:hAnsi="宋体" w:eastAsia="宋体" w:cs="宋体"/>
                <w:sz w:val="21"/>
                <w:szCs w:val="21"/>
              </w:rPr>
              <w:t>项目现场勘查报告</w:t>
            </w:r>
          </w:p>
        </w:tc>
        <w:tc>
          <w:tcPr>
            <w:tcW w:w="709"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pStyle w:val="94"/>
              <w:spacing w:line="360" w:lineRule="exact"/>
              <w:ind w:firstLine="0" w:firstLineChars="0"/>
              <w:rPr>
                <w:rFonts w:hint="eastAsia" w:ascii="宋体" w:hAnsi="宋体"/>
                <w:szCs w:val="21"/>
              </w:rPr>
            </w:pPr>
            <w:r>
              <w:rPr>
                <w:rFonts w:hint="eastAsia" w:ascii="宋体" w:hAnsi="宋体"/>
                <w:szCs w:val="21"/>
              </w:rPr>
              <w:t>本项目需</w:t>
            </w:r>
            <w:r>
              <w:rPr>
                <w:rFonts w:hint="eastAsia" w:ascii="宋体" w:hAnsi="宋体"/>
                <w:szCs w:val="21"/>
                <w:lang w:val="en-US" w:eastAsia="zh-CN"/>
              </w:rPr>
              <w:t>投标人</w:t>
            </w:r>
            <w:r>
              <w:rPr>
                <w:rFonts w:hint="eastAsia" w:ascii="宋体" w:hAnsi="宋体"/>
                <w:szCs w:val="21"/>
              </w:rPr>
              <w:t>现场踏勘，并提供相关文字材料、GPS信息照片和现场勘察佐证材料，资料包括但不限于:</w:t>
            </w:r>
          </w:p>
          <w:p>
            <w:pPr>
              <w:pStyle w:val="94"/>
              <w:spacing w:line="360" w:lineRule="exact"/>
              <w:ind w:firstLine="0" w:firstLineChars="0"/>
              <w:rPr>
                <w:rFonts w:hint="eastAsia" w:ascii="宋体" w:hAnsi="宋体"/>
                <w:szCs w:val="21"/>
              </w:rPr>
            </w:pPr>
            <w:r>
              <w:rPr>
                <w:rFonts w:hint="eastAsia" w:ascii="宋体" w:hAnsi="宋体"/>
                <w:szCs w:val="21"/>
              </w:rPr>
              <w:t>1.薇甘菊发生</w:t>
            </w:r>
            <w:r>
              <w:rPr>
                <w:rFonts w:hint="eastAsia" w:ascii="宋体" w:hAnsi="宋体"/>
                <w:szCs w:val="21"/>
                <w:lang w:val="en-US" w:eastAsia="zh-CN"/>
              </w:rPr>
              <w:t>具体</w:t>
            </w:r>
            <w:r>
              <w:rPr>
                <w:rFonts w:hint="eastAsia" w:ascii="宋体" w:hAnsi="宋体"/>
                <w:szCs w:val="21"/>
              </w:rPr>
              <w:t>地块</w:t>
            </w:r>
            <w:r>
              <w:rPr>
                <w:rFonts w:hint="eastAsia" w:ascii="宋体" w:hAnsi="宋体"/>
                <w:szCs w:val="21"/>
                <w:lang w:val="en-US" w:eastAsia="zh-CN"/>
              </w:rPr>
              <w:t>定位及发生面积</w:t>
            </w:r>
            <w:r>
              <w:rPr>
                <w:rFonts w:hint="eastAsia" w:ascii="宋体" w:hAnsi="宋体"/>
                <w:szCs w:val="21"/>
              </w:rPr>
              <w:t>；</w:t>
            </w:r>
          </w:p>
          <w:p>
            <w:pPr>
              <w:pStyle w:val="94"/>
              <w:spacing w:line="360" w:lineRule="exact"/>
              <w:ind w:firstLine="0" w:firstLineChars="0"/>
              <w:rPr>
                <w:rFonts w:ascii="宋体" w:hAnsi="宋体"/>
                <w:szCs w:val="21"/>
              </w:rPr>
            </w:pPr>
            <w:r>
              <w:rPr>
                <w:rFonts w:hint="eastAsia" w:ascii="宋体" w:hAnsi="宋体"/>
                <w:szCs w:val="21"/>
              </w:rPr>
              <w:t>2.</w:t>
            </w:r>
            <w:r>
              <w:rPr>
                <w:rFonts w:hint="eastAsia" w:ascii="宋体" w:hAnsi="宋体"/>
                <w:szCs w:val="21"/>
                <w:lang w:val="en-US" w:eastAsia="zh-CN"/>
              </w:rPr>
              <w:t>薇甘菊发生的生境类型及危害程度</w:t>
            </w:r>
            <w:r>
              <w:rPr>
                <w:rFonts w:hint="eastAsia" w:ascii="宋体" w:hAnsi="宋体"/>
                <w:szCs w:val="21"/>
              </w:rPr>
              <w:t>。</w:t>
            </w:r>
          </w:p>
          <w:p>
            <w:pPr>
              <w:autoSpaceDE w:val="0"/>
              <w:autoSpaceDN w:val="0"/>
              <w:adjustRightInd w:val="0"/>
              <w:spacing w:line="360" w:lineRule="exact"/>
              <w:rPr>
                <w:rFonts w:hint="eastAsia" w:ascii="宋体" w:hAnsi="宋体"/>
                <w:kern w:val="0"/>
                <w:szCs w:val="21"/>
              </w:rPr>
            </w:pPr>
          </w:p>
          <w:p>
            <w:pPr>
              <w:autoSpaceDE w:val="0"/>
              <w:autoSpaceDN w:val="0"/>
              <w:adjustRightInd w:val="0"/>
              <w:spacing w:line="360" w:lineRule="exact"/>
              <w:rPr>
                <w:rFonts w:ascii="宋体" w:hAnsi="宋体"/>
                <w:kern w:val="0"/>
                <w:szCs w:val="21"/>
              </w:rPr>
            </w:pPr>
            <w:r>
              <w:rPr>
                <w:rFonts w:hint="eastAsia" w:ascii="宋体" w:hAnsi="宋体"/>
                <w:kern w:val="0"/>
                <w:szCs w:val="21"/>
              </w:rPr>
              <w:t>（二）评分</w:t>
            </w:r>
            <w:r>
              <w:rPr>
                <w:rFonts w:hint="eastAsia" w:ascii="宋体" w:hAnsi="宋体"/>
                <w:kern w:val="0"/>
                <w:szCs w:val="21"/>
                <w:lang w:val="en-US" w:eastAsia="zh-CN"/>
              </w:rPr>
              <w:t>标准</w:t>
            </w:r>
            <w:r>
              <w:rPr>
                <w:rFonts w:hint="eastAsia" w:ascii="宋体" w:hAnsi="宋体"/>
                <w:kern w:val="0"/>
                <w:szCs w:val="21"/>
              </w:rPr>
              <w:t>：</w:t>
            </w:r>
          </w:p>
          <w:p>
            <w:pPr>
              <w:pStyle w:val="94"/>
              <w:spacing w:line="360" w:lineRule="exact"/>
              <w:ind w:firstLine="0" w:firstLineChars="0"/>
              <w:rPr>
                <w:rFonts w:hint="eastAsia" w:ascii="宋体" w:hAnsi="宋体"/>
                <w:szCs w:val="21"/>
              </w:rPr>
            </w:pPr>
            <w:r>
              <w:rPr>
                <w:rFonts w:hint="eastAsia" w:ascii="宋体" w:hAnsi="宋体"/>
                <w:szCs w:val="21"/>
              </w:rPr>
              <w:t>满足以上</w:t>
            </w:r>
            <w:r>
              <w:rPr>
                <w:rFonts w:hint="eastAsia" w:ascii="宋体" w:hAnsi="宋体"/>
                <w:szCs w:val="21"/>
                <w:lang w:val="en-US" w:eastAsia="zh-CN"/>
              </w:rPr>
              <w:t>二</w:t>
            </w:r>
            <w:r>
              <w:rPr>
                <w:rFonts w:hint="eastAsia" w:ascii="宋体" w:hAnsi="宋体"/>
                <w:szCs w:val="21"/>
              </w:rPr>
              <w:t>项要求得</w:t>
            </w:r>
            <w:r>
              <w:rPr>
                <w:rFonts w:hint="eastAsia" w:ascii="宋体" w:hAnsi="宋体"/>
                <w:szCs w:val="21"/>
                <w:lang w:val="en-US" w:eastAsia="zh-CN"/>
              </w:rPr>
              <w:t>2</w:t>
            </w:r>
            <w:r>
              <w:rPr>
                <w:rFonts w:hint="eastAsia" w:ascii="宋体" w:hAnsi="宋体"/>
                <w:szCs w:val="21"/>
              </w:rPr>
              <w:t>分，满足以上任意</w:t>
            </w:r>
            <w:r>
              <w:rPr>
                <w:rFonts w:hint="eastAsia" w:ascii="宋体" w:hAnsi="宋体"/>
                <w:szCs w:val="21"/>
                <w:lang w:val="en-US" w:eastAsia="zh-CN"/>
              </w:rPr>
              <w:t>一</w:t>
            </w:r>
            <w:r>
              <w:rPr>
                <w:rFonts w:hint="eastAsia" w:ascii="宋体" w:hAnsi="宋体"/>
                <w:szCs w:val="21"/>
              </w:rPr>
              <w:t>项要求得</w:t>
            </w:r>
            <w:r>
              <w:rPr>
                <w:rFonts w:hint="eastAsia" w:ascii="宋体" w:hAnsi="宋体"/>
                <w:szCs w:val="21"/>
                <w:lang w:val="en-US" w:eastAsia="zh-CN"/>
              </w:rPr>
              <w:t>1</w:t>
            </w:r>
            <w:r>
              <w:rPr>
                <w:rFonts w:hint="eastAsia" w:ascii="宋体" w:hAnsi="宋体"/>
                <w:szCs w:val="21"/>
              </w:rPr>
              <w:t>分，其他情况不得分。在此基础上，专家根据各供应商的具体响应内容按照量化的评审因素指标进一步评审：</w:t>
            </w:r>
          </w:p>
          <w:p>
            <w:pPr>
              <w:pStyle w:val="94"/>
              <w:spacing w:line="360" w:lineRule="exact"/>
              <w:ind w:firstLine="0" w:firstLineChars="0"/>
              <w:rPr>
                <w:rFonts w:hint="eastAsia" w:ascii="宋体" w:hAnsi="宋体"/>
                <w:szCs w:val="21"/>
              </w:rPr>
            </w:pPr>
            <w:r>
              <w:rPr>
                <w:rFonts w:hint="eastAsia" w:ascii="宋体" w:hAnsi="宋体"/>
                <w:szCs w:val="21"/>
                <w:lang w:val="en-US" w:eastAsia="zh-CN"/>
              </w:rPr>
              <w:t>1.</w:t>
            </w:r>
            <w:r>
              <w:rPr>
                <w:rFonts w:hint="eastAsia" w:ascii="宋体" w:hAnsi="宋体"/>
                <w:szCs w:val="21"/>
              </w:rPr>
              <w:t>现场勘查报告全面具体、科学合理</w:t>
            </w:r>
            <w:r>
              <w:rPr>
                <w:rFonts w:hint="eastAsia" w:ascii="宋体" w:hAnsi="宋体"/>
                <w:szCs w:val="21"/>
                <w:lang w:eastAsia="zh-CN"/>
              </w:rPr>
              <w:t>的</w:t>
            </w:r>
            <w:r>
              <w:rPr>
                <w:rFonts w:hint="eastAsia" w:ascii="宋体" w:hAnsi="宋体"/>
                <w:szCs w:val="21"/>
              </w:rPr>
              <w:t>，加</w:t>
            </w:r>
            <w:r>
              <w:rPr>
                <w:rFonts w:hint="eastAsia" w:ascii="宋体" w:hAnsi="宋体"/>
                <w:szCs w:val="21"/>
                <w:lang w:val="en-US" w:eastAsia="zh-CN"/>
              </w:rPr>
              <w:t>3</w:t>
            </w:r>
            <w:r>
              <w:rPr>
                <w:rFonts w:hint="eastAsia" w:ascii="宋体" w:hAnsi="宋体"/>
                <w:szCs w:val="21"/>
              </w:rPr>
              <w:t>分；</w:t>
            </w:r>
          </w:p>
          <w:p>
            <w:pPr>
              <w:pStyle w:val="94"/>
              <w:spacing w:line="360" w:lineRule="exact"/>
              <w:ind w:firstLine="0" w:firstLineChars="0"/>
              <w:rPr>
                <w:rFonts w:ascii="宋体" w:hAnsi="宋体"/>
                <w:szCs w:val="21"/>
                <w:lang w:val="en-US" w:eastAsia="zh-CN"/>
              </w:rPr>
            </w:pPr>
            <w:r>
              <w:rPr>
                <w:rFonts w:hint="eastAsia" w:ascii="宋体" w:hAnsi="宋体"/>
                <w:szCs w:val="21"/>
                <w:lang w:val="en-US" w:eastAsia="zh-CN"/>
              </w:rPr>
              <w:t>2.</w:t>
            </w:r>
            <w:r>
              <w:rPr>
                <w:rFonts w:hint="eastAsia" w:ascii="宋体" w:hAnsi="宋体"/>
                <w:szCs w:val="21"/>
              </w:rPr>
              <w:t>现场勘查报告</w:t>
            </w:r>
            <w:r>
              <w:rPr>
                <w:rFonts w:hint="eastAsia" w:ascii="宋体" w:hAnsi="宋体"/>
                <w:szCs w:val="21"/>
                <w:lang w:val="en-US" w:eastAsia="zh-CN"/>
              </w:rPr>
              <w:t>内容</w:t>
            </w:r>
            <w:r>
              <w:rPr>
                <w:rFonts w:hint="eastAsia" w:ascii="宋体" w:hAnsi="宋体"/>
                <w:szCs w:val="21"/>
              </w:rPr>
              <w:t>较全面</w:t>
            </w:r>
            <w:r>
              <w:rPr>
                <w:rFonts w:hint="eastAsia" w:ascii="宋体" w:hAnsi="宋体"/>
                <w:szCs w:val="21"/>
                <w:lang w:val="en-US" w:eastAsia="zh-CN"/>
              </w:rPr>
              <w:t>，</w:t>
            </w:r>
            <w:r>
              <w:rPr>
                <w:rFonts w:hint="eastAsia" w:ascii="宋体" w:hAnsi="宋体"/>
                <w:szCs w:val="21"/>
              </w:rPr>
              <w:t>且</w:t>
            </w:r>
            <w:r>
              <w:rPr>
                <w:rFonts w:hint="eastAsia" w:ascii="宋体" w:hAnsi="宋体"/>
                <w:szCs w:val="21"/>
                <w:lang w:val="en-US" w:eastAsia="zh-CN"/>
              </w:rPr>
              <w:t>内容</w:t>
            </w:r>
            <w:r>
              <w:rPr>
                <w:rFonts w:hint="eastAsia" w:ascii="宋体" w:hAnsi="宋体"/>
                <w:szCs w:val="21"/>
              </w:rPr>
              <w:t>基本合理</w:t>
            </w:r>
            <w:r>
              <w:rPr>
                <w:rFonts w:hint="eastAsia" w:ascii="宋体" w:hAnsi="宋体"/>
                <w:szCs w:val="21"/>
                <w:lang w:eastAsia="zh-CN"/>
              </w:rPr>
              <w:t>的</w:t>
            </w:r>
            <w:r>
              <w:rPr>
                <w:rFonts w:hint="eastAsia" w:ascii="宋体" w:hAnsi="宋体"/>
                <w:szCs w:val="21"/>
                <w:lang w:val="en-US" w:eastAsia="zh-CN"/>
              </w:rPr>
              <w:t>，</w:t>
            </w:r>
            <w:r>
              <w:rPr>
                <w:rFonts w:hint="eastAsia" w:ascii="宋体" w:hAnsi="宋体"/>
                <w:szCs w:val="21"/>
              </w:rPr>
              <w:t>加</w:t>
            </w:r>
            <w:r>
              <w:rPr>
                <w:rFonts w:hint="eastAsia" w:ascii="宋体" w:hAnsi="宋体"/>
                <w:szCs w:val="21"/>
                <w:lang w:val="en-US" w:eastAsia="zh-CN"/>
              </w:rPr>
              <w:t>2</w:t>
            </w:r>
            <w:r>
              <w:rPr>
                <w:rFonts w:ascii="宋体" w:hAnsi="宋体"/>
                <w:szCs w:val="21"/>
                <w:lang w:val="en-US" w:eastAsia="zh-CN"/>
              </w:rPr>
              <w:t>分</w:t>
            </w:r>
            <w:r>
              <w:rPr>
                <w:rFonts w:hint="eastAsia" w:ascii="宋体" w:hAnsi="宋体"/>
                <w:szCs w:val="21"/>
                <w:lang w:eastAsia="zh-CN"/>
              </w:rPr>
              <w:t>；</w:t>
            </w:r>
          </w:p>
          <w:p>
            <w:pPr>
              <w:pStyle w:val="94"/>
              <w:spacing w:line="360" w:lineRule="exact"/>
              <w:ind w:firstLine="0" w:firstLineChars="0"/>
              <w:rPr>
                <w:rFonts w:hint="eastAsia" w:ascii="宋体" w:hAnsi="宋体"/>
                <w:szCs w:val="21"/>
              </w:rPr>
            </w:pPr>
            <w:r>
              <w:rPr>
                <w:rFonts w:hint="eastAsia" w:ascii="宋体" w:hAnsi="宋体"/>
                <w:szCs w:val="21"/>
              </w:rPr>
              <w:t>3.现场勘查报告有具体内容，且科学合理一般</w:t>
            </w:r>
            <w:r>
              <w:rPr>
                <w:rFonts w:hint="eastAsia" w:ascii="宋体" w:hAnsi="宋体"/>
                <w:szCs w:val="21"/>
                <w:lang w:eastAsia="zh-CN"/>
              </w:rPr>
              <w:t>的</w:t>
            </w:r>
            <w:r>
              <w:rPr>
                <w:rFonts w:hint="eastAsia" w:ascii="宋体" w:hAnsi="宋体"/>
                <w:szCs w:val="21"/>
              </w:rPr>
              <w:t>，加1分；</w:t>
            </w:r>
          </w:p>
          <w:p>
            <w:pPr>
              <w:pStyle w:val="94"/>
              <w:spacing w:line="360" w:lineRule="exact"/>
              <w:ind w:firstLine="0" w:firstLineChars="0"/>
              <w:rPr>
                <w:rFonts w:hint="eastAsia" w:ascii="宋体" w:hAnsi="宋体"/>
                <w:szCs w:val="21"/>
              </w:rPr>
            </w:pPr>
            <w:r>
              <w:rPr>
                <w:rFonts w:hint="eastAsia" w:ascii="宋体" w:hAnsi="宋体"/>
                <w:szCs w:val="21"/>
              </w:rPr>
              <w:t>4.现场勘查报告不够全面、不科学</w:t>
            </w:r>
            <w:r>
              <w:rPr>
                <w:rFonts w:hint="eastAsia" w:ascii="宋体" w:hAnsi="宋体"/>
                <w:szCs w:val="21"/>
                <w:lang w:eastAsia="zh-CN"/>
              </w:rPr>
              <w:t>的</w:t>
            </w:r>
            <w:r>
              <w:rPr>
                <w:rFonts w:hint="eastAsia" w:ascii="宋体" w:hAnsi="宋体"/>
                <w:szCs w:val="21"/>
              </w:rPr>
              <w:t>，不加分。</w:t>
            </w:r>
          </w:p>
          <w:p>
            <w:pPr>
              <w:pStyle w:val="94"/>
              <w:spacing w:line="360" w:lineRule="exact"/>
              <w:ind w:firstLine="0" w:firstLineChars="0"/>
              <w:rPr>
                <w:rFonts w:hint="eastAsia" w:ascii="宋体" w:hAnsi="宋体"/>
                <w:szCs w:val="21"/>
              </w:rPr>
            </w:pPr>
            <w:r>
              <w:rPr>
                <w:rFonts w:hint="eastAsia" w:ascii="宋体" w:hAnsi="宋体"/>
                <w:szCs w:val="21"/>
              </w:rPr>
              <w:t>投标人须提供经踏勘联系人签字确认或采购人加盖公章的勘查报告、GPS信息照片和现场勘察佐证材料。未提供证明文件、证明文件不符合要求或证明文件不清晰导致评标委员会无法评判的不得分。</w:t>
            </w:r>
          </w:p>
          <w:p>
            <w:pPr>
              <w:pStyle w:val="94"/>
              <w:spacing w:line="360" w:lineRule="exact"/>
              <w:ind w:firstLine="0" w:firstLineChars="0"/>
              <w:rPr>
                <w:rFonts w:hint="eastAsia" w:ascii="宋体" w:hAnsi="宋体"/>
                <w:b/>
                <w:bCs/>
                <w:szCs w:val="21"/>
                <w:lang w:val="en-US" w:eastAsia="zh-CN"/>
              </w:rPr>
            </w:pPr>
            <w:r>
              <w:rPr>
                <w:rFonts w:hint="eastAsia" w:ascii="宋体" w:hAnsi="宋体"/>
                <w:b/>
                <w:bCs/>
                <w:szCs w:val="21"/>
                <w:lang w:val="en-US" w:eastAsia="zh-CN"/>
              </w:rPr>
              <w:t>踏勘要求：</w:t>
            </w:r>
          </w:p>
          <w:p>
            <w:pPr>
              <w:pStyle w:val="94"/>
              <w:spacing w:line="360" w:lineRule="exact"/>
              <w:ind w:firstLine="0" w:firstLineChars="0"/>
              <w:rPr>
                <w:rFonts w:hint="default" w:ascii="宋体" w:hAnsi="宋体"/>
                <w:szCs w:val="21"/>
                <w:lang w:val="en-US" w:eastAsia="zh-CN"/>
              </w:rPr>
            </w:pPr>
            <w:r>
              <w:rPr>
                <w:rFonts w:hint="eastAsia" w:ascii="宋体" w:hAnsi="宋体"/>
                <w:szCs w:val="21"/>
                <w:lang w:val="en-US" w:eastAsia="zh-CN"/>
              </w:rPr>
              <w:t>踏勘截止时间：2024年03月25日下午17点00分</w:t>
            </w:r>
          </w:p>
          <w:p>
            <w:pPr>
              <w:pStyle w:val="94"/>
              <w:spacing w:line="360" w:lineRule="exact"/>
              <w:ind w:firstLine="0" w:firstLineChars="0"/>
              <w:rPr>
                <w:rFonts w:hint="eastAsia" w:ascii="宋体" w:hAnsi="宋体"/>
                <w:szCs w:val="21"/>
                <w:lang w:val="en-US" w:eastAsia="zh-CN"/>
              </w:rPr>
            </w:pPr>
            <w:r>
              <w:rPr>
                <w:rFonts w:hint="eastAsia" w:ascii="宋体" w:hAnsi="宋体"/>
                <w:szCs w:val="21"/>
                <w:lang w:val="en-US" w:eastAsia="zh-CN"/>
              </w:rPr>
              <w:t>踏勘地点：</w:t>
            </w:r>
          </w:p>
          <w:p>
            <w:pPr>
              <w:pStyle w:val="94"/>
              <w:spacing w:line="360" w:lineRule="exact"/>
              <w:ind w:firstLine="0" w:firstLineChars="0"/>
              <w:rPr>
                <w:rFonts w:hint="eastAsia" w:ascii="宋体" w:hAnsi="宋体"/>
                <w:szCs w:val="21"/>
                <w:lang w:val="en-US" w:eastAsia="zh-CN"/>
              </w:rPr>
            </w:pPr>
            <w:r>
              <w:rPr>
                <w:rFonts w:hint="eastAsia" w:ascii="宋体" w:hAnsi="宋体"/>
                <w:szCs w:val="21"/>
                <w:lang w:val="en-US" w:eastAsia="zh-CN"/>
              </w:rPr>
              <w:t>宝安区基本农田地块：01-1，2，4，5、02-1，2，3、06-3，5，6，7，10、07-1，2，3，4，5、08-1，2，3，4，5、09-1，2，3，4、10-1，2。</w:t>
            </w:r>
          </w:p>
          <w:p>
            <w:pPr>
              <w:pStyle w:val="94"/>
              <w:spacing w:line="360" w:lineRule="exact"/>
              <w:ind w:firstLine="0" w:firstLineChars="0"/>
              <w:rPr>
                <w:rFonts w:hint="eastAsia" w:ascii="宋体" w:hAnsi="宋体"/>
                <w:szCs w:val="21"/>
                <w:lang w:val="en-US" w:eastAsia="zh-CN"/>
              </w:rPr>
            </w:pPr>
            <w:r>
              <w:rPr>
                <w:rFonts w:hint="eastAsia" w:ascii="宋体" w:hAnsi="宋体"/>
                <w:szCs w:val="21"/>
                <w:lang w:val="en-US" w:eastAsia="zh-CN"/>
              </w:rPr>
              <w:t>龙华区基本农田地块：13-1，2，3，4，5、14-1、15-2、16-1，2。</w:t>
            </w:r>
          </w:p>
          <w:p>
            <w:pPr>
              <w:pStyle w:val="94"/>
              <w:spacing w:line="360" w:lineRule="exact"/>
              <w:ind w:firstLine="0" w:firstLineChars="0"/>
              <w:rPr>
                <w:rFonts w:hint="default" w:ascii="宋体" w:hAnsi="宋体"/>
                <w:szCs w:val="21"/>
                <w:lang w:val="en-US" w:eastAsia="zh-CN"/>
              </w:rPr>
            </w:pPr>
            <w:r>
              <w:rPr>
                <w:rFonts w:hint="eastAsia" w:ascii="宋体" w:hAnsi="宋体"/>
                <w:szCs w:val="21"/>
                <w:lang w:val="en-US" w:eastAsia="zh-CN"/>
              </w:rPr>
              <w:t>光明区基本农田地块：03-1，2，3，4，5，6，8，9，10，11，12、04-1，2，7，8，9，10，13，14、05-1，2，4，5，6，7，8，9，10，11，12，13，14，15，16，17、06-1，2，4a，4b，4c，8，11，15、12-1，2，5，6，7，8，9。</w:t>
            </w:r>
          </w:p>
          <w:p>
            <w:pPr>
              <w:pStyle w:val="94"/>
              <w:spacing w:line="360" w:lineRule="exact"/>
              <w:ind w:firstLine="0" w:firstLineChars="0"/>
              <w:rPr>
                <w:rFonts w:hint="eastAsia" w:ascii="宋体" w:hAnsi="宋体"/>
                <w:szCs w:val="21"/>
                <w:lang w:val="en-US" w:eastAsia="zh-CN"/>
              </w:rPr>
            </w:pPr>
            <w:r>
              <w:rPr>
                <w:rFonts w:hint="eastAsia" w:ascii="宋体" w:hAnsi="宋体"/>
                <w:szCs w:val="21"/>
                <w:lang w:val="en-US" w:eastAsia="zh-CN"/>
              </w:rPr>
              <w:t>踏勘联系人及联系方式：彭工，0755-23000536。</w:t>
            </w:r>
          </w:p>
          <w:p>
            <w:pPr>
              <w:pStyle w:val="94"/>
              <w:spacing w:line="360" w:lineRule="exact"/>
              <w:ind w:firstLine="0" w:firstLineChars="0"/>
              <w:rPr>
                <w:rFonts w:hint="eastAsia" w:ascii="宋体" w:hAnsi="宋体"/>
                <w:szCs w:val="21"/>
                <w:lang w:val="en-US" w:eastAsia="zh-CN"/>
              </w:rPr>
            </w:pPr>
            <w:r>
              <w:rPr>
                <w:rFonts w:hint="eastAsia" w:ascii="宋体" w:hAnsi="宋体"/>
                <w:szCs w:val="21"/>
                <w:lang w:val="en-US" w:eastAsia="zh-CN"/>
              </w:rPr>
              <w:t>踏勘注意事项：报名成功的投标人需在踏勘截止时间前前往踏勘地点自行进行踏勘，且踏勘结束后需联系踏勘联系人签字或加盖采购人公章确认踏勘情况。</w:t>
            </w:r>
          </w:p>
        </w:tc>
        <w:tc>
          <w:tcPr>
            <w:tcW w:w="1187" w:type="dxa"/>
            <w:vAlign w:val="center"/>
          </w:tcPr>
          <w:p>
            <w:pPr>
              <w:spacing w:line="360" w:lineRule="exact"/>
              <w:jc w:val="center"/>
              <w:rPr>
                <w:rFonts w:hint="eastAsia" w:ascii="宋体" w:hAnsi="宋体" w:cs="仿宋"/>
                <w:szCs w:val="21"/>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50" w:hRule="atLeast"/>
          <w:jc w:val="center"/>
        </w:trPr>
        <w:tc>
          <w:tcPr>
            <w:tcW w:w="754" w:type="dxa"/>
            <w:vAlign w:val="center"/>
          </w:tcPr>
          <w:p>
            <w:pPr>
              <w:widowControl/>
              <w:snapToGrid w:val="0"/>
              <w:spacing w:line="360" w:lineRule="exact"/>
              <w:jc w:val="center"/>
              <w:rPr>
                <w:rFonts w:hint="eastAsia" w:ascii="宋体" w:hAnsi="宋体" w:eastAsia="宋体"/>
                <w:kern w:val="0"/>
                <w:szCs w:val="21"/>
                <w:lang w:eastAsia="zh-CN"/>
              </w:rPr>
            </w:pPr>
            <w:r>
              <w:rPr>
                <w:rFonts w:hint="eastAsia" w:ascii="宋体" w:hAnsi="宋体"/>
                <w:kern w:val="0"/>
                <w:szCs w:val="21"/>
                <w:lang w:val="en-US" w:eastAsia="zh-CN"/>
              </w:rPr>
              <w:t>8</w:t>
            </w:r>
          </w:p>
        </w:tc>
        <w:tc>
          <w:tcPr>
            <w:tcW w:w="1143" w:type="dxa"/>
            <w:vAlign w:val="center"/>
          </w:tcPr>
          <w:p>
            <w:pPr>
              <w:widowControl/>
              <w:spacing w:line="360" w:lineRule="exact"/>
              <w:jc w:val="center"/>
              <w:rPr>
                <w:rFonts w:ascii="宋体" w:hAnsi="宋体" w:cs="宋体"/>
                <w:szCs w:val="21"/>
              </w:rPr>
            </w:pPr>
            <w:r>
              <w:rPr>
                <w:rFonts w:hint="eastAsia" w:ascii="宋体" w:hAnsi="宋体" w:cs="宋体"/>
                <w:szCs w:val="21"/>
              </w:rPr>
              <w:t>项目的服务承诺</w:t>
            </w:r>
          </w:p>
        </w:tc>
        <w:tc>
          <w:tcPr>
            <w:tcW w:w="709" w:type="dxa"/>
            <w:vAlign w:val="center"/>
          </w:tcPr>
          <w:p>
            <w:pPr>
              <w:widowControl/>
              <w:spacing w:line="36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hint="eastAsia" w:ascii="宋体" w:hAnsi="宋体" w:eastAsia="宋体"/>
                <w:szCs w:val="21"/>
                <w:lang w:eastAsia="zh-CN"/>
              </w:rPr>
            </w:pPr>
            <w:r>
              <w:rPr>
                <w:rFonts w:hint="eastAsia" w:ascii="宋体" w:hAnsi="宋体" w:cs="宋体"/>
                <w:szCs w:val="21"/>
              </w:rPr>
              <w:t>投标人提供项目的服务承诺，</w:t>
            </w:r>
            <w:r>
              <w:rPr>
                <w:rFonts w:hint="eastAsia" w:ascii="宋体" w:hAnsi="宋体" w:cs="宋体"/>
                <w:szCs w:val="21"/>
                <w:lang w:val="en-US" w:eastAsia="zh-CN"/>
              </w:rPr>
              <w:t>每承诺以下1项内容得1.5分，最高得5分。</w:t>
            </w:r>
          </w:p>
          <w:p>
            <w:pPr>
              <w:spacing w:line="360" w:lineRule="exact"/>
              <w:rPr>
                <w:rFonts w:hint="eastAsia" w:asciiTheme="minorEastAsia" w:hAnsiTheme="minorEastAsia" w:eastAsiaTheme="minorEastAsia"/>
                <w:szCs w:val="21"/>
              </w:rPr>
            </w:pPr>
            <w:r>
              <w:rPr>
                <w:rFonts w:hint="eastAsia" w:asciiTheme="minorEastAsia" w:hAnsiTheme="minorEastAsia" w:eastAsiaTheme="minorEastAsia"/>
                <w:szCs w:val="21"/>
              </w:rPr>
              <w:t>1.项目应急响应承诺：在项目实施期间及项目完成后至下一个服务期前应配合采购方的防控工作，应安排专人与采购方联系，并提供手机、微信、QQ、邮箱等联系方式，必要时应在0.5小时内及时响应采购人需求。</w:t>
            </w:r>
          </w:p>
          <w:p>
            <w:pPr>
              <w:spacing w:line="360" w:lineRule="exact"/>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.项目人员保障承诺：根据防控任务时按采购方要求可适当增加防控人员，保质保量按时完成任务。</w:t>
            </w:r>
          </w:p>
          <w:p>
            <w:pPr>
              <w:spacing w:line="360" w:lineRule="exact"/>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.防治面积承诺：可接受超出合同面积部分的薇甘菊防治任务。</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.固定场所承诺：承诺中标后项目区域内自有或租赁一处办公场所、仓储及项目人员住所。</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pStyle w:val="94"/>
              <w:spacing w:line="360" w:lineRule="exact"/>
              <w:ind w:firstLine="0" w:firstLineChars="0"/>
              <w:rPr>
                <w:rFonts w:ascii="宋体" w:hAnsi="宋体"/>
                <w:szCs w:val="21"/>
              </w:rPr>
            </w:pPr>
            <w:r>
              <w:rPr>
                <w:rFonts w:hint="eastAsia" w:ascii="宋体" w:hAnsi="宋体"/>
                <w:szCs w:val="21"/>
              </w:rPr>
              <w:t>提供《</w:t>
            </w:r>
            <w:r>
              <w:rPr>
                <w:rFonts w:hint="eastAsia" w:ascii="宋体" w:hAnsi="宋体" w:cs="宋体"/>
                <w:szCs w:val="21"/>
              </w:rPr>
              <w:t>项目的服务承诺</w:t>
            </w:r>
            <w:r>
              <w:rPr>
                <w:rFonts w:hint="eastAsia" w:ascii="宋体" w:hAnsi="宋体"/>
                <w:szCs w:val="21"/>
              </w:rPr>
              <w:t>函》（格式自定）作为得分依据，未提供承诺或承诺内容不满足要求不得分。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widowControl/>
              <w:snapToGrid w:val="0"/>
              <w:spacing w:line="360" w:lineRule="exact"/>
              <w:jc w:val="center"/>
              <w:rPr>
                <w:rFonts w:hint="eastAsia" w:ascii="宋体" w:hAnsi="宋体" w:eastAsia="宋体"/>
                <w:kern w:val="0"/>
                <w:szCs w:val="21"/>
                <w:lang w:eastAsia="zh-CN"/>
              </w:rPr>
            </w:pPr>
            <w:r>
              <w:rPr>
                <w:rFonts w:hint="eastAsia" w:ascii="宋体" w:hAnsi="宋体"/>
                <w:kern w:val="0"/>
                <w:szCs w:val="21"/>
                <w:lang w:val="en-US" w:eastAsia="zh-CN"/>
              </w:rPr>
              <w:t>9</w:t>
            </w:r>
          </w:p>
        </w:tc>
        <w:tc>
          <w:tcPr>
            <w:tcW w:w="1143" w:type="dxa"/>
            <w:vAlign w:val="center"/>
          </w:tcPr>
          <w:p>
            <w:pPr>
              <w:widowControl/>
              <w:spacing w:line="360" w:lineRule="exact"/>
              <w:jc w:val="center"/>
              <w:rPr>
                <w:rFonts w:ascii="宋体" w:hAnsi="宋体" w:cs="宋体"/>
                <w:szCs w:val="21"/>
              </w:rPr>
            </w:pPr>
            <w:r>
              <w:rPr>
                <w:rFonts w:hint="eastAsia" w:ascii="宋体" w:hAnsi="宋体" w:cs="宋体"/>
                <w:szCs w:val="21"/>
              </w:rPr>
              <w:t>违约承诺</w:t>
            </w:r>
          </w:p>
        </w:tc>
        <w:tc>
          <w:tcPr>
            <w:tcW w:w="709" w:type="dxa"/>
            <w:vAlign w:val="center"/>
          </w:tcPr>
          <w:p>
            <w:pPr>
              <w:widowControl/>
              <w:spacing w:line="36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hint="default" w:ascii="宋体" w:hAnsi="宋体" w:eastAsia="宋体"/>
                <w:szCs w:val="21"/>
                <w:lang w:val="en-US" w:eastAsia="zh-CN"/>
              </w:rPr>
            </w:pPr>
            <w:r>
              <w:rPr>
                <w:rFonts w:hint="eastAsia" w:ascii="宋体" w:hAnsi="宋体" w:cs="宋体"/>
                <w:szCs w:val="21"/>
              </w:rPr>
              <w:t>投标人提供违约承诺，承诺满足</w:t>
            </w:r>
            <w:r>
              <w:rPr>
                <w:rFonts w:hint="eastAsia" w:ascii="宋体" w:hAnsi="宋体" w:cs="宋体"/>
                <w:szCs w:val="21"/>
                <w:lang w:val="en-US" w:eastAsia="zh-CN"/>
              </w:rPr>
              <w:t>以下</w:t>
            </w:r>
            <w:r>
              <w:rPr>
                <w:rFonts w:hint="eastAsia" w:ascii="宋体" w:hAnsi="宋体" w:cs="宋体"/>
                <w:szCs w:val="21"/>
              </w:rPr>
              <w:t>三项</w:t>
            </w:r>
            <w:r>
              <w:rPr>
                <w:rFonts w:hint="eastAsia" w:ascii="宋体" w:hAnsi="宋体" w:cs="宋体"/>
                <w:szCs w:val="21"/>
                <w:lang w:val="en-US" w:eastAsia="zh-CN"/>
              </w:rPr>
              <w:t>内容</w:t>
            </w:r>
            <w:r>
              <w:rPr>
                <w:rFonts w:hint="eastAsia" w:ascii="宋体" w:hAnsi="宋体" w:cs="宋体"/>
                <w:szCs w:val="21"/>
              </w:rPr>
              <w:t>得5分</w:t>
            </w:r>
            <w:r>
              <w:rPr>
                <w:rFonts w:hint="eastAsia" w:ascii="宋体" w:hAnsi="宋体" w:cs="宋体"/>
                <w:szCs w:val="21"/>
                <w:lang w:eastAsia="zh-CN"/>
              </w:rPr>
              <w:t>，</w:t>
            </w:r>
            <w:r>
              <w:rPr>
                <w:rFonts w:hint="eastAsia" w:ascii="宋体" w:hAnsi="宋体" w:cs="宋体"/>
                <w:szCs w:val="21"/>
              </w:rPr>
              <w:t>承诺满足</w:t>
            </w:r>
            <w:r>
              <w:rPr>
                <w:rFonts w:hint="eastAsia" w:ascii="宋体" w:hAnsi="宋体" w:cs="宋体"/>
                <w:szCs w:val="21"/>
                <w:lang w:val="en-US" w:eastAsia="zh-CN"/>
              </w:rPr>
              <w:t>以下</w:t>
            </w:r>
            <w:r>
              <w:rPr>
                <w:rFonts w:hint="eastAsia" w:ascii="宋体" w:hAnsi="宋体" w:cs="宋体"/>
                <w:szCs w:val="21"/>
              </w:rPr>
              <w:t>两项</w:t>
            </w:r>
            <w:r>
              <w:rPr>
                <w:rFonts w:hint="eastAsia" w:ascii="宋体" w:hAnsi="宋体" w:cs="宋体"/>
                <w:szCs w:val="21"/>
                <w:lang w:val="en-US" w:eastAsia="zh-CN"/>
              </w:rPr>
              <w:t>内容</w:t>
            </w:r>
            <w:r>
              <w:rPr>
                <w:rFonts w:hint="eastAsia" w:ascii="宋体" w:hAnsi="宋体" w:cs="宋体"/>
                <w:szCs w:val="21"/>
              </w:rPr>
              <w:t>得3分</w:t>
            </w:r>
            <w:r>
              <w:rPr>
                <w:rFonts w:hint="eastAsia" w:ascii="宋体" w:hAnsi="宋体" w:cs="宋体"/>
                <w:szCs w:val="21"/>
                <w:lang w:eastAsia="zh-CN"/>
              </w:rPr>
              <w:t>，</w:t>
            </w:r>
            <w:r>
              <w:rPr>
                <w:rFonts w:hint="eastAsia" w:ascii="宋体" w:hAnsi="宋体" w:cs="宋体"/>
                <w:szCs w:val="21"/>
              </w:rPr>
              <w:t>承诺满足</w:t>
            </w:r>
            <w:r>
              <w:rPr>
                <w:rFonts w:hint="eastAsia" w:ascii="宋体" w:hAnsi="宋体" w:cs="宋体"/>
                <w:szCs w:val="21"/>
                <w:lang w:val="en-US" w:eastAsia="zh-CN"/>
              </w:rPr>
              <w:t>以下</w:t>
            </w:r>
            <w:r>
              <w:rPr>
                <w:rFonts w:hint="eastAsia" w:ascii="宋体" w:hAnsi="宋体" w:cs="宋体"/>
                <w:szCs w:val="21"/>
              </w:rPr>
              <w:t>一项</w:t>
            </w:r>
            <w:r>
              <w:rPr>
                <w:rFonts w:hint="eastAsia" w:ascii="宋体" w:hAnsi="宋体" w:cs="宋体"/>
                <w:szCs w:val="21"/>
                <w:lang w:val="en-US" w:eastAsia="zh-CN"/>
              </w:rPr>
              <w:t>内容</w:t>
            </w:r>
            <w:r>
              <w:rPr>
                <w:rFonts w:hint="eastAsia" w:ascii="宋体" w:hAnsi="宋体" w:cs="宋体"/>
                <w:szCs w:val="21"/>
              </w:rPr>
              <w:t>得1分</w:t>
            </w:r>
            <w:r>
              <w:rPr>
                <w:rFonts w:hint="eastAsia" w:ascii="宋体" w:hAnsi="宋体" w:cs="宋体"/>
                <w:szCs w:val="21"/>
                <w:lang w:eastAsia="zh-CN"/>
              </w:rPr>
              <w:t>，</w:t>
            </w:r>
            <w:r>
              <w:rPr>
                <w:rFonts w:hint="eastAsia" w:ascii="宋体" w:hAnsi="宋体" w:cs="宋体"/>
                <w:szCs w:val="21"/>
                <w:lang w:val="en-US" w:eastAsia="zh-CN"/>
              </w:rPr>
              <w:t>本项目最高得5分。</w:t>
            </w:r>
          </w:p>
          <w:p>
            <w:pPr>
              <w:spacing w:line="360" w:lineRule="exact"/>
              <w:rPr>
                <w:rFonts w:hint="eastAsia" w:asciiTheme="minorEastAsia" w:hAnsiTheme="minorEastAsia" w:eastAsiaTheme="minorEastAsia"/>
                <w:szCs w:val="21"/>
              </w:rPr>
            </w:pPr>
            <w:r>
              <w:rPr>
                <w:rFonts w:hint="eastAsia" w:asciiTheme="minorEastAsia" w:hAnsiTheme="minorEastAsia" w:eastAsiaTheme="minorEastAsia"/>
                <w:szCs w:val="21"/>
              </w:rPr>
              <w:t>1.人员严格按照招标文件及投标承诺配置；</w:t>
            </w:r>
          </w:p>
          <w:p>
            <w:pPr>
              <w:spacing w:line="360" w:lineRule="exact"/>
              <w:rPr>
                <w:rFonts w:hint="eastAsia" w:asciiTheme="minorEastAsia" w:hAnsiTheme="minorEastAsia" w:eastAsiaTheme="minorEastAsia"/>
                <w:szCs w:val="21"/>
              </w:rPr>
            </w:pPr>
            <w:r>
              <w:rPr>
                <w:rFonts w:hint="eastAsia" w:asciiTheme="minorEastAsia" w:hAnsiTheme="minorEastAsia" w:eastAsiaTheme="minorEastAsia"/>
                <w:szCs w:val="21"/>
              </w:rPr>
              <w:t>2.服务质量达到招标文件要求；</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3.对未能达到的管理要求承担管理责任。</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pStyle w:val="94"/>
              <w:spacing w:line="360" w:lineRule="exact"/>
              <w:ind w:firstLine="0" w:firstLineChars="0"/>
              <w:rPr>
                <w:rFonts w:ascii="宋体" w:hAnsi="宋体"/>
                <w:szCs w:val="21"/>
              </w:rPr>
            </w:pPr>
            <w:r>
              <w:rPr>
                <w:rFonts w:hint="eastAsia" w:ascii="宋体" w:hAnsi="宋体"/>
                <w:szCs w:val="21"/>
              </w:rPr>
              <w:t>提供《违约承诺函》（格式自定）作为得分依据，未提供承诺或承诺内容不满足要求不得分。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highlight w:val="none"/>
                <w:lang w:val="en-US" w:eastAsia="zh-CN"/>
              </w:rPr>
              <w:t>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spacing w:line="360" w:lineRule="exact"/>
              <w:jc w:val="center"/>
              <w:rPr>
                <w:rFonts w:ascii="宋体" w:hAnsi="宋体"/>
                <w:kern w:val="0"/>
                <w:szCs w:val="21"/>
              </w:rPr>
            </w:pPr>
            <w:r>
              <w:rPr>
                <w:rFonts w:hint="eastAsia" w:ascii="宋体" w:hAnsi="宋体"/>
                <w:kern w:val="0"/>
                <w:szCs w:val="21"/>
              </w:rPr>
              <w:t>供应商认证情况</w:t>
            </w:r>
          </w:p>
        </w:tc>
        <w:tc>
          <w:tcPr>
            <w:tcW w:w="709" w:type="dxa"/>
            <w:vAlign w:val="center"/>
          </w:tcPr>
          <w:p>
            <w:pPr>
              <w:spacing w:line="360" w:lineRule="exact"/>
              <w:jc w:val="center"/>
              <w:rPr>
                <w:rFonts w:hint="eastAsia" w:ascii="宋体" w:hAnsi="宋体" w:eastAsia="宋体"/>
                <w:kern w:val="0"/>
                <w:szCs w:val="21"/>
                <w:lang w:eastAsia="zh-CN"/>
              </w:rPr>
            </w:pPr>
            <w:r>
              <w:rPr>
                <w:rFonts w:hint="eastAsia" w:ascii="宋体" w:hAnsi="宋体" w:cs="宋体"/>
                <w:szCs w:val="21"/>
                <w:lang w:val="en-US" w:eastAsia="zh-CN"/>
              </w:rPr>
              <w:t>6</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jc w:val="left"/>
              <w:rPr>
                <w:rFonts w:hint="eastAsia" w:ascii="宋体" w:hAnsi="宋体"/>
                <w:kern w:val="0"/>
                <w:szCs w:val="21"/>
              </w:rPr>
            </w:pPr>
            <w:r>
              <w:rPr>
                <w:rFonts w:hint="eastAsia" w:ascii="宋体" w:hAnsi="宋体"/>
                <w:kern w:val="0"/>
                <w:szCs w:val="21"/>
              </w:rPr>
              <w:t>1</w:t>
            </w:r>
            <w:r>
              <w:rPr>
                <w:rFonts w:hint="eastAsia" w:ascii="宋体" w:hAnsi="宋体"/>
                <w:kern w:val="0"/>
                <w:szCs w:val="21"/>
                <w:lang w:val="en-US" w:eastAsia="zh-CN"/>
              </w:rPr>
              <w:t>.投标人</w:t>
            </w:r>
            <w:r>
              <w:rPr>
                <w:rFonts w:hint="eastAsia" w:ascii="宋体" w:hAnsi="宋体"/>
                <w:kern w:val="0"/>
                <w:szCs w:val="21"/>
              </w:rPr>
              <w:t>获得市级及以上</w:t>
            </w:r>
            <w:r>
              <w:rPr>
                <w:rFonts w:hint="eastAsia" w:ascii="宋体" w:hAnsi="宋体"/>
                <w:kern w:val="0"/>
                <w:szCs w:val="21"/>
                <w:lang w:val="en-US" w:eastAsia="zh-CN"/>
              </w:rPr>
              <w:t>相关行业协会颁发的植保专业化服务或病媒生物防治服务或有害生物防制服务</w:t>
            </w:r>
            <w:r>
              <w:rPr>
                <w:rFonts w:hint="eastAsia" w:ascii="宋体" w:hAnsi="宋体"/>
                <w:kern w:val="0"/>
                <w:szCs w:val="21"/>
              </w:rPr>
              <w:t>甲级（A级或同等级别）得</w:t>
            </w:r>
            <w:r>
              <w:rPr>
                <w:rFonts w:hint="eastAsia" w:ascii="宋体" w:hAnsi="宋体"/>
                <w:kern w:val="0"/>
                <w:szCs w:val="21"/>
                <w:lang w:val="en-US" w:eastAsia="zh-CN"/>
              </w:rPr>
              <w:t>1.5</w:t>
            </w:r>
            <w:r>
              <w:rPr>
                <w:rFonts w:hint="eastAsia" w:ascii="宋体" w:hAnsi="宋体"/>
                <w:kern w:val="0"/>
                <w:szCs w:val="21"/>
              </w:rPr>
              <w:t>分；获得市级及以上</w:t>
            </w:r>
            <w:r>
              <w:rPr>
                <w:rFonts w:hint="eastAsia" w:ascii="宋体" w:hAnsi="宋体"/>
                <w:kern w:val="0"/>
                <w:szCs w:val="21"/>
                <w:lang w:val="en-US" w:eastAsia="zh-CN"/>
              </w:rPr>
              <w:t>相关行业协会颁发的植保专业化服务或病媒生物防治服务或有害生物防制服务</w:t>
            </w:r>
            <w:r>
              <w:rPr>
                <w:rFonts w:hint="eastAsia" w:ascii="宋体" w:hAnsi="宋体"/>
                <w:kern w:val="0"/>
                <w:szCs w:val="21"/>
              </w:rPr>
              <w:t>乙级（B级或同等级别）得</w:t>
            </w:r>
            <w:r>
              <w:rPr>
                <w:rFonts w:hint="eastAsia" w:ascii="宋体" w:hAnsi="宋体"/>
                <w:kern w:val="0"/>
                <w:szCs w:val="21"/>
                <w:lang w:val="en-US" w:eastAsia="zh-CN"/>
              </w:rPr>
              <w:t>1</w:t>
            </w:r>
            <w:r>
              <w:rPr>
                <w:rFonts w:hint="eastAsia" w:ascii="宋体" w:hAnsi="宋体"/>
                <w:kern w:val="0"/>
                <w:szCs w:val="21"/>
              </w:rPr>
              <w:t>分；获得市级及以上</w:t>
            </w:r>
            <w:r>
              <w:rPr>
                <w:rFonts w:hint="eastAsia" w:ascii="宋体" w:hAnsi="宋体"/>
                <w:kern w:val="0"/>
                <w:szCs w:val="21"/>
                <w:lang w:val="en-US" w:eastAsia="zh-CN"/>
              </w:rPr>
              <w:t>相关行业协会颁发的植保专业化服务或病媒生物防治服务或有害生物防制服务</w:t>
            </w:r>
            <w:r>
              <w:rPr>
                <w:rFonts w:hint="eastAsia" w:ascii="宋体" w:hAnsi="宋体"/>
                <w:kern w:val="0"/>
                <w:szCs w:val="21"/>
              </w:rPr>
              <w:t>丙级（C级或同等级别）得</w:t>
            </w:r>
            <w:r>
              <w:rPr>
                <w:rFonts w:hint="eastAsia" w:ascii="宋体" w:hAnsi="宋体"/>
                <w:kern w:val="0"/>
                <w:szCs w:val="21"/>
                <w:lang w:val="en-US" w:eastAsia="zh-CN"/>
              </w:rPr>
              <w:t>0.5</w:t>
            </w:r>
            <w:r>
              <w:rPr>
                <w:rFonts w:hint="eastAsia" w:ascii="宋体" w:hAnsi="宋体"/>
                <w:kern w:val="0"/>
                <w:szCs w:val="21"/>
              </w:rPr>
              <w:t>分，此项</w:t>
            </w:r>
            <w:r>
              <w:rPr>
                <w:rFonts w:hint="eastAsia" w:ascii="宋体" w:hAnsi="宋体"/>
                <w:kern w:val="0"/>
                <w:szCs w:val="21"/>
                <w:lang w:val="en-US" w:eastAsia="zh-CN"/>
              </w:rPr>
              <w:t>最高得1.5</w:t>
            </w:r>
            <w:r>
              <w:rPr>
                <w:rFonts w:hint="eastAsia" w:ascii="宋体" w:hAnsi="宋体"/>
                <w:kern w:val="0"/>
                <w:szCs w:val="21"/>
              </w:rPr>
              <w:t>分；</w:t>
            </w:r>
          </w:p>
          <w:p>
            <w:pPr>
              <w:autoSpaceDE w:val="0"/>
              <w:autoSpaceDN w:val="0"/>
              <w:adjustRightInd w:val="0"/>
              <w:spacing w:line="360" w:lineRule="exact"/>
              <w:jc w:val="left"/>
              <w:rPr>
                <w:rFonts w:hint="eastAsia" w:ascii="宋体" w:hAnsi="宋体"/>
                <w:kern w:val="0"/>
                <w:szCs w:val="21"/>
              </w:rPr>
            </w:pPr>
            <w:r>
              <w:rPr>
                <w:rFonts w:hint="eastAsia" w:ascii="宋体" w:hAnsi="宋体"/>
                <w:kern w:val="0"/>
                <w:szCs w:val="21"/>
              </w:rPr>
              <w:t>2</w:t>
            </w:r>
            <w:r>
              <w:rPr>
                <w:rFonts w:hint="eastAsia" w:ascii="宋体" w:hAnsi="宋体"/>
                <w:kern w:val="0"/>
                <w:szCs w:val="21"/>
                <w:lang w:val="en-US" w:eastAsia="zh-CN"/>
              </w:rPr>
              <w:t>.投标人</w:t>
            </w:r>
            <w:r>
              <w:rPr>
                <w:rFonts w:hint="eastAsia" w:ascii="宋体" w:hAnsi="宋体"/>
                <w:kern w:val="0"/>
                <w:szCs w:val="21"/>
              </w:rPr>
              <w:t>获得“全国统防统治星级服务组织”得</w:t>
            </w:r>
            <w:r>
              <w:rPr>
                <w:rFonts w:hint="eastAsia" w:ascii="宋体" w:hAnsi="宋体"/>
                <w:kern w:val="0"/>
                <w:szCs w:val="21"/>
                <w:lang w:val="en-US" w:eastAsia="zh-CN"/>
              </w:rPr>
              <w:t>1.5</w:t>
            </w:r>
            <w:r>
              <w:rPr>
                <w:rFonts w:hint="eastAsia" w:ascii="宋体" w:hAnsi="宋体"/>
                <w:kern w:val="0"/>
                <w:szCs w:val="21"/>
              </w:rPr>
              <w:t>分；获得省级或市级“统防统治星级服务组织”得</w:t>
            </w:r>
            <w:r>
              <w:rPr>
                <w:rFonts w:hint="eastAsia" w:ascii="宋体" w:hAnsi="宋体"/>
                <w:kern w:val="0"/>
                <w:szCs w:val="21"/>
                <w:lang w:val="en-US" w:eastAsia="zh-CN"/>
              </w:rPr>
              <w:t>1</w:t>
            </w:r>
            <w:r>
              <w:rPr>
                <w:rFonts w:hint="eastAsia" w:ascii="宋体" w:hAnsi="宋体"/>
                <w:kern w:val="0"/>
                <w:szCs w:val="21"/>
              </w:rPr>
              <w:t>分；此项</w:t>
            </w:r>
            <w:r>
              <w:rPr>
                <w:rFonts w:hint="eastAsia" w:ascii="宋体" w:hAnsi="宋体"/>
                <w:kern w:val="0"/>
                <w:szCs w:val="21"/>
                <w:lang w:val="en-US" w:eastAsia="zh-CN"/>
              </w:rPr>
              <w:t>最高得1.5</w:t>
            </w:r>
            <w:r>
              <w:rPr>
                <w:rFonts w:hint="eastAsia" w:ascii="宋体" w:hAnsi="宋体"/>
                <w:kern w:val="0"/>
                <w:szCs w:val="21"/>
              </w:rPr>
              <w:t>分；</w:t>
            </w:r>
          </w:p>
          <w:p>
            <w:pPr>
              <w:autoSpaceDE w:val="0"/>
              <w:autoSpaceDN w:val="0"/>
              <w:adjustRightInd w:val="0"/>
              <w:spacing w:line="360" w:lineRule="exact"/>
              <w:jc w:val="left"/>
              <w:rPr>
                <w:rFonts w:hint="eastAsia" w:ascii="宋体" w:hAnsi="宋体" w:eastAsia="宋体"/>
                <w:kern w:val="0"/>
                <w:szCs w:val="21"/>
                <w:lang w:eastAsia="zh-CN"/>
              </w:rPr>
            </w:pPr>
            <w:r>
              <w:rPr>
                <w:rFonts w:hint="eastAsia" w:ascii="宋体" w:hAnsi="宋体"/>
                <w:kern w:val="0"/>
                <w:szCs w:val="21"/>
              </w:rPr>
              <w:t>3</w:t>
            </w:r>
            <w:r>
              <w:rPr>
                <w:rFonts w:hint="eastAsia" w:ascii="宋体" w:hAnsi="宋体"/>
                <w:kern w:val="0"/>
                <w:szCs w:val="21"/>
                <w:lang w:val="en-US" w:eastAsia="zh-CN"/>
              </w:rPr>
              <w:t>.</w:t>
            </w:r>
            <w:r>
              <w:rPr>
                <w:rFonts w:hint="eastAsia" w:ascii="宋体" w:hAnsi="宋体"/>
                <w:kern w:val="0"/>
                <w:szCs w:val="21"/>
              </w:rPr>
              <w:t>投标人</w:t>
            </w:r>
            <w:r>
              <w:rPr>
                <w:rFonts w:hint="eastAsia" w:ascii="宋体" w:hAnsi="宋体"/>
                <w:kern w:val="0"/>
                <w:szCs w:val="21"/>
                <w:lang w:val="en-US" w:eastAsia="zh-CN"/>
              </w:rPr>
              <w:t>具有</w:t>
            </w:r>
            <w:r>
              <w:rPr>
                <w:rFonts w:hint="eastAsia" w:ascii="宋体" w:hAnsi="宋体"/>
                <w:kern w:val="0"/>
                <w:szCs w:val="21"/>
              </w:rPr>
              <w:t>质量管理体系认证、环境管理体系认证和职业健康安全管理体系认证</w:t>
            </w:r>
            <w:r>
              <w:rPr>
                <w:rFonts w:hint="eastAsia" w:ascii="宋体" w:hAnsi="宋体"/>
                <w:kern w:val="0"/>
                <w:szCs w:val="21"/>
                <w:lang w:val="en-US" w:eastAsia="zh-CN"/>
              </w:rPr>
              <w:t>证书，且证书认证</w:t>
            </w:r>
            <w:r>
              <w:rPr>
                <w:rFonts w:hint="eastAsia" w:ascii="宋体" w:hAnsi="宋体"/>
                <w:kern w:val="0"/>
                <w:szCs w:val="21"/>
              </w:rPr>
              <w:t>范围包含植保植检或农林病虫或有害生物防治等相关内容</w:t>
            </w:r>
            <w:r>
              <w:rPr>
                <w:rFonts w:hint="eastAsia" w:ascii="宋体" w:hAnsi="宋体"/>
                <w:kern w:val="0"/>
                <w:szCs w:val="21"/>
                <w:lang w:eastAsia="zh-CN"/>
              </w:rPr>
              <w:t>的，</w:t>
            </w:r>
            <w:r>
              <w:rPr>
                <w:rFonts w:hint="eastAsia" w:ascii="宋体" w:hAnsi="宋体"/>
                <w:kern w:val="0"/>
                <w:szCs w:val="21"/>
              </w:rPr>
              <w:t>得</w:t>
            </w:r>
            <w:r>
              <w:rPr>
                <w:rFonts w:hint="eastAsia" w:ascii="宋体" w:hAnsi="宋体"/>
                <w:kern w:val="0"/>
                <w:szCs w:val="21"/>
                <w:lang w:val="en-US" w:eastAsia="zh-CN"/>
              </w:rPr>
              <w:t>1.5</w:t>
            </w:r>
            <w:r>
              <w:rPr>
                <w:rFonts w:hint="eastAsia" w:ascii="宋体" w:hAnsi="宋体"/>
                <w:kern w:val="0"/>
                <w:szCs w:val="21"/>
              </w:rPr>
              <w:t>分</w:t>
            </w:r>
            <w:r>
              <w:rPr>
                <w:rFonts w:hint="eastAsia" w:ascii="宋体" w:hAnsi="宋体"/>
                <w:kern w:val="0"/>
                <w:szCs w:val="21"/>
                <w:lang w:eastAsia="zh-CN"/>
              </w:rPr>
              <w:t>，</w:t>
            </w:r>
            <w:r>
              <w:rPr>
                <w:rFonts w:hint="eastAsia" w:ascii="宋体" w:hAnsi="宋体"/>
                <w:kern w:val="0"/>
                <w:szCs w:val="21"/>
              </w:rPr>
              <w:t>此项</w:t>
            </w:r>
            <w:r>
              <w:rPr>
                <w:rFonts w:hint="eastAsia" w:ascii="宋体" w:hAnsi="宋体"/>
                <w:kern w:val="0"/>
                <w:szCs w:val="21"/>
                <w:lang w:val="en-US" w:eastAsia="zh-CN"/>
              </w:rPr>
              <w:t>最高得1.5</w:t>
            </w:r>
            <w:r>
              <w:rPr>
                <w:rFonts w:hint="eastAsia" w:ascii="宋体" w:hAnsi="宋体"/>
                <w:kern w:val="0"/>
                <w:szCs w:val="21"/>
              </w:rPr>
              <w:t>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4</w:t>
            </w:r>
            <w:r>
              <w:rPr>
                <w:rFonts w:hint="eastAsia" w:ascii="宋体" w:hAnsi="宋体"/>
                <w:kern w:val="0"/>
                <w:szCs w:val="21"/>
                <w:lang w:val="en-US" w:eastAsia="zh-CN"/>
              </w:rPr>
              <w:t>.</w:t>
            </w:r>
            <w:r>
              <w:rPr>
                <w:rFonts w:hint="eastAsia" w:ascii="宋体" w:hAnsi="宋体"/>
                <w:kern w:val="0"/>
                <w:szCs w:val="21"/>
              </w:rPr>
              <w:t>投标人为全国农作物病虫害专业化统防统治组织的</w:t>
            </w:r>
            <w:r>
              <w:rPr>
                <w:rFonts w:hint="eastAsia" w:ascii="宋体" w:hAnsi="宋体"/>
                <w:kern w:val="0"/>
                <w:szCs w:val="21"/>
                <w:lang w:eastAsia="zh-CN"/>
              </w:rPr>
              <w:t>，</w:t>
            </w:r>
            <w:r>
              <w:rPr>
                <w:rFonts w:hint="eastAsia" w:ascii="宋体" w:hAnsi="宋体"/>
                <w:kern w:val="0"/>
                <w:szCs w:val="21"/>
                <w:lang w:val="en-US" w:eastAsia="zh-CN"/>
              </w:rPr>
              <w:t>得1.5</w:t>
            </w:r>
            <w:r>
              <w:rPr>
                <w:rFonts w:hint="eastAsia" w:ascii="宋体" w:hAnsi="宋体"/>
                <w:kern w:val="0"/>
                <w:szCs w:val="21"/>
              </w:rPr>
              <w:t>分，此项</w:t>
            </w:r>
            <w:r>
              <w:rPr>
                <w:rFonts w:hint="eastAsia" w:ascii="宋体" w:hAnsi="宋体"/>
                <w:kern w:val="0"/>
                <w:szCs w:val="21"/>
                <w:lang w:val="en-US" w:eastAsia="zh-CN"/>
              </w:rPr>
              <w:t>最高得1.5</w:t>
            </w:r>
            <w:r>
              <w:rPr>
                <w:rFonts w:hint="eastAsia" w:ascii="宋体" w:hAnsi="宋体"/>
                <w:kern w:val="0"/>
                <w:szCs w:val="21"/>
              </w:rPr>
              <w:t>分。</w:t>
            </w:r>
          </w:p>
          <w:p>
            <w:pPr>
              <w:autoSpaceDE w:val="0"/>
              <w:autoSpaceDN w:val="0"/>
              <w:adjustRightInd w:val="0"/>
              <w:spacing w:line="360" w:lineRule="exact"/>
              <w:jc w:val="left"/>
              <w:rPr>
                <w:rFonts w:hint="default" w:ascii="宋体" w:hAnsi="宋体" w:eastAsia="宋体"/>
                <w:kern w:val="0"/>
                <w:szCs w:val="21"/>
                <w:lang w:val="en-US" w:eastAsia="zh-CN"/>
              </w:rPr>
            </w:pPr>
            <w:r>
              <w:rPr>
                <w:rFonts w:hint="eastAsia" w:ascii="宋体" w:hAnsi="宋体"/>
                <w:kern w:val="0"/>
                <w:szCs w:val="21"/>
                <w:lang w:val="en-US" w:eastAsia="zh-CN"/>
              </w:rPr>
              <w:t>注：以上累计最高得6分。</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1.提供</w:t>
            </w:r>
            <w:r>
              <w:rPr>
                <w:rFonts w:hint="eastAsia" w:ascii="宋体" w:hAnsi="宋体"/>
                <w:kern w:val="0"/>
                <w:szCs w:val="21"/>
                <w:lang w:val="en-US" w:eastAsia="zh-CN"/>
              </w:rPr>
              <w:t>上述</w:t>
            </w:r>
            <w:r>
              <w:rPr>
                <w:rFonts w:hint="eastAsia" w:ascii="宋体" w:hAnsi="宋体"/>
                <w:kern w:val="0"/>
                <w:szCs w:val="21"/>
              </w:rPr>
              <w:t>有效（认证）证书</w:t>
            </w:r>
            <w:r>
              <w:rPr>
                <w:rFonts w:hint="eastAsia" w:ascii="宋体" w:hAnsi="宋体"/>
                <w:kern w:val="0"/>
                <w:szCs w:val="21"/>
                <w:lang w:eastAsia="zh-CN"/>
              </w:rPr>
              <w:t>，</w:t>
            </w:r>
            <w:r>
              <w:rPr>
                <w:rFonts w:hint="eastAsia" w:ascii="宋体" w:hAnsi="宋体"/>
                <w:kern w:val="0"/>
                <w:szCs w:val="21"/>
                <w:lang w:val="en-US" w:eastAsia="zh-CN"/>
              </w:rPr>
              <w:t>等级证书须提供批准文件，体系认证证书还须同时提供官网查询截图</w:t>
            </w:r>
            <w:r>
              <w:rPr>
                <w:rFonts w:hint="eastAsia" w:ascii="宋体" w:hAnsi="宋体"/>
                <w:kern w:val="0"/>
                <w:szCs w:val="21"/>
              </w:rPr>
              <w:t>（截图需显示证书状态为有效）</w:t>
            </w:r>
            <w:r>
              <w:rPr>
                <w:rFonts w:hint="eastAsia" w:ascii="宋体" w:hAnsi="宋体"/>
                <w:kern w:val="0"/>
                <w:szCs w:val="21"/>
                <w:lang w:val="en-US" w:eastAsia="zh-CN"/>
              </w:rPr>
              <w:t>，</w:t>
            </w:r>
            <w:r>
              <w:rPr>
                <w:rFonts w:hint="eastAsia" w:ascii="宋体" w:hAnsi="宋体"/>
                <w:kern w:val="0"/>
                <w:szCs w:val="21"/>
              </w:rPr>
              <w:t>全国农作物病虫害专业化统防统治组织</w:t>
            </w:r>
            <w:r>
              <w:rPr>
                <w:rFonts w:hint="eastAsia" w:ascii="宋体" w:hAnsi="宋体"/>
                <w:kern w:val="0"/>
                <w:szCs w:val="21"/>
                <w:lang w:val="en-US" w:eastAsia="zh-CN"/>
              </w:rPr>
              <w:t>须提供</w:t>
            </w:r>
            <w:r>
              <w:rPr>
                <w:rFonts w:hint="eastAsia" w:ascii="宋体" w:hAnsi="宋体"/>
                <w:kern w:val="0"/>
                <w:szCs w:val="21"/>
              </w:rPr>
              <w:t>备案信息；</w:t>
            </w:r>
          </w:p>
          <w:p>
            <w:pPr>
              <w:autoSpaceDE w:val="0"/>
              <w:autoSpaceDN w:val="0"/>
              <w:adjustRightInd w:val="0"/>
              <w:spacing w:line="360" w:lineRule="exact"/>
              <w:jc w:val="left"/>
              <w:rPr>
                <w:rFonts w:ascii="宋体" w:hAnsi="宋体"/>
                <w:kern w:val="0"/>
                <w:szCs w:val="21"/>
              </w:rPr>
            </w:pPr>
            <w:r>
              <w:rPr>
                <w:rFonts w:hint="eastAsia" w:ascii="宋体" w:hAnsi="宋体"/>
                <w:kern w:val="0"/>
                <w:szCs w:val="21"/>
                <w:lang w:val="en-US" w:eastAsia="zh-CN"/>
              </w:rPr>
              <w:t>2.</w:t>
            </w:r>
            <w:r>
              <w:rPr>
                <w:rFonts w:hint="eastAsia" w:ascii="宋体" w:hAnsi="宋体"/>
                <w:szCs w:val="21"/>
              </w:rPr>
              <w:t>提供以上证明文件复印件或扫描件，如涉及网站截图或照片等证明材料,需提供清晰图片,均要求加盖投标人公章,原件备查。未按要求提供有效证明材料或提供不清晰导致评委无法识别的不计得分</w:t>
            </w:r>
            <w:r>
              <w:rPr>
                <w:rFonts w:hint="eastAsia" w:ascii="宋体" w:hAnsi="宋体" w:cs="仿宋"/>
                <w:szCs w:val="21"/>
                <w:lang w:val="zh-CN"/>
              </w:rPr>
              <w:t>。</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snapToGrid w:val="0"/>
                <w:kern w:val="0"/>
                <w:szCs w:val="21"/>
              </w:rPr>
              <w:t>供应商同类项目业绩情况</w:t>
            </w:r>
          </w:p>
        </w:tc>
        <w:tc>
          <w:tcPr>
            <w:tcW w:w="709" w:type="dxa"/>
            <w:vAlign w:val="center"/>
          </w:tcPr>
          <w:p>
            <w:pPr>
              <w:adjustRightInd w:val="0"/>
              <w:snapToGrid w:val="0"/>
              <w:spacing w:line="360" w:lineRule="exact"/>
              <w:jc w:val="center"/>
              <w:rPr>
                <w:rFonts w:hint="eastAsia" w:ascii="宋体" w:hAnsi="宋体" w:eastAsia="宋体"/>
                <w:snapToGrid w:val="0"/>
                <w:kern w:val="0"/>
                <w:szCs w:val="21"/>
                <w:lang w:eastAsia="zh-CN"/>
              </w:rPr>
            </w:pPr>
            <w:r>
              <w:rPr>
                <w:rFonts w:hint="eastAsia" w:ascii="宋体" w:hAnsi="宋体"/>
                <w:snapToGrid w:val="0"/>
                <w:kern w:val="0"/>
                <w:szCs w:val="21"/>
                <w:lang w:val="en-US" w:eastAsia="zh-CN"/>
              </w:rPr>
              <w:t>8</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eastAsia="宋体" w:cs="宋体"/>
                <w:sz w:val="21"/>
                <w:szCs w:val="21"/>
              </w:rPr>
              <w:t>2021年1月1日至本项目</w:t>
            </w:r>
            <w:r>
              <w:rPr>
                <w:rFonts w:hint="eastAsia" w:ascii="宋体" w:hAnsi="宋体" w:cs="宋体"/>
                <w:kern w:val="0"/>
                <w:sz w:val="21"/>
                <w:szCs w:val="21"/>
                <w:lang w:val="en-US" w:eastAsia="zh-CN" w:bidi="ar"/>
              </w:rPr>
              <w:t>投标截止日</w:t>
            </w:r>
            <w:r>
              <w:rPr>
                <w:rFonts w:hint="eastAsia" w:ascii="宋体" w:hAnsi="宋体" w:cs="宋体"/>
                <w:szCs w:val="21"/>
              </w:rPr>
              <w:t>（以合同签订日期为准），投标人具有</w:t>
            </w:r>
            <w:r>
              <w:rPr>
                <w:rFonts w:hint="eastAsia" w:ascii="宋体" w:hAnsi="宋体" w:cs="宋体"/>
                <w:bCs/>
                <w:szCs w:val="21"/>
                <w:lang w:val="en-US" w:eastAsia="zh-CN"/>
              </w:rPr>
              <w:t>服务内容包含</w:t>
            </w:r>
            <w:r>
              <w:rPr>
                <w:rFonts w:hint="eastAsia" w:ascii="宋体" w:hAnsi="宋体" w:eastAsia="宋体" w:cs="宋体"/>
                <w:sz w:val="21"/>
                <w:szCs w:val="21"/>
              </w:rPr>
              <w:t>薇甘菊防控或</w:t>
            </w:r>
            <w:r>
              <w:rPr>
                <w:rFonts w:hint="eastAsia" w:ascii="宋体" w:hAnsi="宋体" w:eastAsia="宋体" w:cs="宋体"/>
                <w:sz w:val="21"/>
                <w:szCs w:val="21"/>
                <w:lang w:val="en-US" w:eastAsia="zh-CN"/>
              </w:rPr>
              <w:t>薇甘菊</w:t>
            </w:r>
            <w:r>
              <w:rPr>
                <w:rFonts w:hint="eastAsia" w:ascii="宋体" w:hAnsi="宋体" w:eastAsia="宋体" w:cs="宋体"/>
                <w:sz w:val="21"/>
                <w:szCs w:val="21"/>
              </w:rPr>
              <w:t>监测</w:t>
            </w:r>
            <w:r>
              <w:rPr>
                <w:rFonts w:hint="eastAsia" w:ascii="宋体" w:hAnsi="宋体" w:cs="宋体"/>
                <w:sz w:val="21"/>
                <w:szCs w:val="21"/>
                <w:lang w:val="en-US" w:eastAsia="zh-CN"/>
              </w:rPr>
              <w:t>相关</w:t>
            </w:r>
            <w:r>
              <w:rPr>
                <w:rFonts w:hint="eastAsia" w:ascii="宋体" w:hAnsi="宋体" w:cs="宋体"/>
                <w:sz w:val="21"/>
                <w:szCs w:val="21"/>
                <w:lang w:eastAsia="zh-CN"/>
              </w:rPr>
              <w:t>的</w:t>
            </w:r>
            <w:r>
              <w:rPr>
                <w:rFonts w:hint="eastAsia" w:ascii="宋体" w:hAnsi="宋体" w:cs="宋体"/>
                <w:sz w:val="21"/>
                <w:szCs w:val="21"/>
                <w:lang w:val="en-US" w:eastAsia="zh-CN"/>
              </w:rPr>
              <w:t>项目业绩的</w:t>
            </w:r>
            <w:r>
              <w:rPr>
                <w:rFonts w:hint="eastAsia" w:ascii="宋体" w:hAnsi="宋体" w:cs="宋体"/>
                <w:szCs w:val="21"/>
              </w:rPr>
              <w:t>，每提供1个项目得2分,最高得</w:t>
            </w:r>
            <w:r>
              <w:rPr>
                <w:rFonts w:hint="eastAsia" w:ascii="宋体" w:hAnsi="宋体" w:cs="宋体"/>
                <w:szCs w:val="21"/>
                <w:lang w:val="en-US" w:eastAsia="zh-CN"/>
              </w:rPr>
              <w:t>8</w:t>
            </w:r>
            <w:r>
              <w:rPr>
                <w:rFonts w:hint="eastAsia" w:ascii="宋体" w:hAnsi="宋体" w:cs="宋体"/>
                <w:szCs w:val="21"/>
              </w:rPr>
              <w:t>分。同一项目续签合同的不可重复得分。</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w:t>
            </w:r>
            <w:r>
              <w:rPr>
                <w:rFonts w:hint="eastAsia" w:ascii="宋体" w:hAnsi="宋体" w:cs="仿宋"/>
                <w:szCs w:val="21"/>
                <w:lang w:val="en-US" w:eastAsia="zh-CN"/>
              </w:rPr>
              <w:t>同时</w:t>
            </w:r>
            <w:r>
              <w:rPr>
                <w:rFonts w:hint="eastAsia" w:ascii="宋体" w:hAnsi="宋体" w:cs="仿宋"/>
                <w:szCs w:val="21"/>
              </w:rPr>
              <w:t>提供合</w:t>
            </w:r>
            <w:r>
              <w:rPr>
                <w:rFonts w:hint="eastAsia" w:ascii="宋体" w:hAnsi="宋体" w:eastAsia="宋体" w:cs="宋体"/>
                <w:sz w:val="21"/>
                <w:szCs w:val="21"/>
              </w:rPr>
              <w:t>中标通知书</w:t>
            </w:r>
            <w:r>
              <w:rPr>
                <w:rFonts w:hint="eastAsia" w:ascii="宋体" w:hAnsi="宋体" w:cs="宋体"/>
                <w:sz w:val="21"/>
                <w:szCs w:val="21"/>
                <w:lang w:eastAsia="zh-CN"/>
              </w:rPr>
              <w:t>、</w:t>
            </w:r>
            <w:r>
              <w:rPr>
                <w:rFonts w:hint="eastAsia" w:ascii="宋体" w:hAnsi="宋体" w:cs="宋体"/>
                <w:sz w:val="21"/>
                <w:szCs w:val="21"/>
                <w:lang w:val="en-US" w:eastAsia="zh-CN"/>
              </w:rPr>
              <w:t>合</w:t>
            </w:r>
            <w:bookmarkStart w:id="110" w:name="_GoBack"/>
            <w:bookmarkEnd w:id="110"/>
            <w:r>
              <w:rPr>
                <w:rFonts w:hint="eastAsia" w:ascii="宋体" w:hAnsi="宋体" w:cs="仿宋"/>
                <w:szCs w:val="21"/>
              </w:rPr>
              <w:t>同关键页</w:t>
            </w:r>
            <w:r>
              <w:rPr>
                <w:rFonts w:cs="宋体" w:asciiTheme="minorEastAsia" w:hAnsiTheme="minorEastAsia" w:eastAsiaTheme="minorEastAsia"/>
                <w:szCs w:val="21"/>
              </w:rPr>
              <w:t>（关键信息包括但不仅限于合同的项目名称、服务内容、合同服务期限、甲乙双方签字盖章页</w:t>
            </w:r>
            <w:r>
              <w:rPr>
                <w:rFonts w:hint="eastAsia" w:cs="宋体" w:asciiTheme="minorEastAsia" w:hAnsiTheme="minorEastAsia" w:eastAsiaTheme="minorEastAsia"/>
                <w:szCs w:val="21"/>
                <w:lang w:eastAsia="zh-CN"/>
              </w:rPr>
              <w:t>，</w:t>
            </w:r>
            <w:r>
              <w:rPr>
                <w:rFonts w:hint="eastAsia" w:asciiTheme="minorEastAsia" w:hAnsiTheme="minorEastAsia" w:eastAsiaTheme="minorEastAsia"/>
                <w:bCs/>
                <w:szCs w:val="21"/>
              </w:rPr>
              <w:t>且提供的材料各项信息不得有任何遮挡</w:t>
            </w:r>
            <w:r>
              <w:rPr>
                <w:rFonts w:hint="eastAsia" w:asciiTheme="minorEastAsia" w:hAnsiTheme="minorEastAsia" w:eastAsiaTheme="minorEastAsia"/>
                <w:bCs/>
                <w:szCs w:val="21"/>
                <w:lang w:eastAsia="zh-CN"/>
              </w:rPr>
              <w:t>）</w:t>
            </w:r>
            <w:r>
              <w:rPr>
                <w:rFonts w:hint="eastAsia" w:asciiTheme="minorEastAsia" w:hAnsiTheme="minorEastAsia" w:eastAsiaTheme="minorEastAsia"/>
                <w:bCs/>
                <w:szCs w:val="21"/>
                <w:lang w:val="en-US" w:eastAsia="zh-CN"/>
              </w:rPr>
              <w:t>以及项目</w:t>
            </w:r>
            <w:r>
              <w:rPr>
                <w:rFonts w:hint="eastAsia" w:ascii="宋体" w:hAnsi="宋体" w:eastAsia="宋体" w:cs="宋体"/>
                <w:sz w:val="21"/>
                <w:szCs w:val="21"/>
              </w:rPr>
              <w:t>验收</w:t>
            </w:r>
            <w:r>
              <w:rPr>
                <w:rFonts w:hint="eastAsia" w:ascii="宋体" w:hAnsi="宋体" w:cs="宋体"/>
                <w:sz w:val="21"/>
                <w:szCs w:val="21"/>
                <w:lang w:val="en-US" w:eastAsia="zh-CN"/>
              </w:rPr>
              <w:t>合格</w:t>
            </w:r>
            <w:r>
              <w:rPr>
                <w:rFonts w:hint="eastAsia" w:ascii="宋体" w:hAnsi="宋体" w:eastAsia="宋体" w:cs="宋体"/>
                <w:sz w:val="21"/>
                <w:szCs w:val="21"/>
              </w:rPr>
              <w:t>报告</w:t>
            </w:r>
            <w:r>
              <w:rPr>
                <w:rFonts w:hint="eastAsia" w:ascii="宋体" w:hAnsi="宋体" w:cs="宋体"/>
                <w:sz w:val="21"/>
                <w:szCs w:val="21"/>
                <w:lang w:val="en-US" w:eastAsia="zh-CN"/>
              </w:rPr>
              <w:t>作为评分依据</w:t>
            </w:r>
            <w:r>
              <w:rPr>
                <w:rFonts w:hint="eastAsia" w:ascii="宋体" w:hAnsi="宋体"/>
                <w:szCs w:val="21"/>
              </w:rPr>
              <w:t>；</w:t>
            </w:r>
          </w:p>
          <w:p>
            <w:pPr>
              <w:adjustRightInd w:val="0"/>
              <w:snapToGrid w:val="0"/>
              <w:spacing w:line="360" w:lineRule="exact"/>
              <w:rPr>
                <w:rFonts w:ascii="宋体" w:hAnsi="宋体"/>
                <w:szCs w:val="21"/>
              </w:rPr>
            </w:pPr>
            <w:r>
              <w:rPr>
                <w:rFonts w:hint="eastAsia" w:ascii="宋体" w:hAnsi="宋体"/>
                <w:szCs w:val="21"/>
              </w:rPr>
              <w:t>2.通过合同关键信息无法判断是否得分的，还需提供能证明得分的其它证明资料，如项目报告或合同甲方出具的证明文件；</w:t>
            </w:r>
          </w:p>
          <w:p>
            <w:pPr>
              <w:adjustRightInd w:val="0"/>
              <w:snapToGrid w:val="0"/>
              <w:spacing w:line="360" w:lineRule="exact"/>
              <w:rPr>
                <w:rFonts w:ascii="宋体" w:hAnsi="宋体"/>
                <w:b/>
                <w:bCs/>
                <w:kern w:val="0"/>
                <w:szCs w:val="21"/>
              </w:rPr>
            </w:pPr>
            <w:r>
              <w:rPr>
                <w:rFonts w:hint="eastAsia" w:ascii="宋体" w:hAnsi="宋体"/>
                <w:szCs w:val="21"/>
                <w:lang w:val="en-US" w:eastAsia="zh-CN"/>
              </w:rPr>
              <w:t>3.</w:t>
            </w:r>
            <w:r>
              <w:rPr>
                <w:rFonts w:hint="eastAsia" w:ascii="宋体" w:hAnsi="宋体"/>
                <w:szCs w:val="21"/>
              </w:rPr>
              <w:t>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3</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履约评价情况</w:t>
            </w:r>
          </w:p>
        </w:tc>
        <w:tc>
          <w:tcPr>
            <w:tcW w:w="709" w:type="dxa"/>
            <w:vAlign w:val="center"/>
          </w:tcPr>
          <w:p>
            <w:pPr>
              <w:spacing w:line="360" w:lineRule="exact"/>
              <w:jc w:val="center"/>
              <w:rPr>
                <w:rFonts w:hint="default" w:ascii="宋体" w:hAnsi="宋体" w:eastAsia="宋体" w:cs="仿宋"/>
                <w:szCs w:val="21"/>
                <w:lang w:val="en-US" w:eastAsia="zh-CN"/>
              </w:rPr>
            </w:pPr>
            <w:r>
              <w:rPr>
                <w:rFonts w:hint="eastAsia" w:ascii="宋体" w:hAnsi="宋体" w:cs="仿宋"/>
                <w:szCs w:val="21"/>
                <w:lang w:val="en-US" w:eastAsia="zh-CN"/>
              </w:rPr>
              <w:t>2</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jc w:val="left"/>
              <w:rPr>
                <w:rFonts w:ascii="宋体" w:hAnsi="宋体" w:cs="宋体"/>
                <w:bCs/>
                <w:kern w:val="0"/>
                <w:szCs w:val="21"/>
              </w:rPr>
            </w:pPr>
            <w:r>
              <w:rPr>
                <w:rFonts w:hint="eastAsia" w:ascii="宋体" w:hAnsi="宋体" w:cs="宋体"/>
                <w:bCs/>
                <w:kern w:val="0"/>
                <w:szCs w:val="21"/>
              </w:rPr>
              <w:t>在上述“供应商同类项目业绩情况”评分项得分的项目业绩中，每提供一份</w:t>
            </w:r>
            <w:r>
              <w:rPr>
                <w:rFonts w:hint="eastAsia" w:ascii="宋体" w:hAnsi="宋体" w:cs="宋体"/>
                <w:bCs/>
                <w:kern w:val="0"/>
                <w:szCs w:val="21"/>
                <w:lang w:val="en-US" w:eastAsia="zh-CN"/>
              </w:rPr>
              <w:t>项目业绩获得</w:t>
            </w:r>
            <w:r>
              <w:rPr>
                <w:rFonts w:hint="eastAsia" w:ascii="宋体" w:hAnsi="宋体" w:cs="宋体"/>
                <w:bCs/>
                <w:kern w:val="0"/>
                <w:szCs w:val="21"/>
              </w:rPr>
              <w:t>甲方出具的评价为优秀或满意的履约评价得1分，最高得2分。同一采购人提供的不同项目的履约评价不重复计分。</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新宋体" w:hAnsi="新宋体" w:eastAsia="新宋体" w:cs="新宋体"/>
                <w:sz w:val="21"/>
                <w:szCs w:val="21"/>
              </w:rPr>
              <w:t>提供加盖合同甲方公章或甲方业务章的履约情况评价证明文件</w:t>
            </w:r>
            <w:r>
              <w:rPr>
                <w:rFonts w:hint="eastAsia" w:ascii="新宋体" w:hAnsi="新宋体" w:eastAsia="新宋体" w:cs="新宋体"/>
                <w:sz w:val="21"/>
                <w:szCs w:val="21"/>
                <w:lang w:val="en-US" w:eastAsia="zh-CN"/>
              </w:rPr>
              <w:t>作为评分依据</w:t>
            </w:r>
            <w:r>
              <w:rPr>
                <w:rFonts w:hint="eastAsia" w:asciiTheme="minorEastAsia" w:hAnsiTheme="minorEastAsia" w:eastAsiaTheme="minorEastAsia"/>
                <w:szCs w:val="21"/>
              </w:rPr>
              <w:t>；</w:t>
            </w:r>
          </w:p>
          <w:p>
            <w:pPr>
              <w:tabs>
                <w:tab w:val="left" w:pos="175"/>
              </w:tabs>
              <w:spacing w:line="360" w:lineRule="exact"/>
              <w:ind w:left="33"/>
              <w:jc w:val="left"/>
              <w:rPr>
                <w:rFonts w:ascii="宋体" w:hAnsi="宋体"/>
                <w:szCs w:val="21"/>
              </w:rPr>
            </w:pPr>
            <w:r>
              <w:rPr>
                <w:rFonts w:hint="eastAsia" w:asciiTheme="minorEastAsia" w:hAnsiTheme="minorEastAsia" w:eastAsiaTheme="minorEastAsia"/>
                <w:szCs w:val="21"/>
              </w:rPr>
              <w:t>2.</w:t>
            </w:r>
            <w:r>
              <w:rPr>
                <w:rFonts w:hint="eastAsia" w:ascii="宋体" w:hAnsi="宋体"/>
                <w:szCs w:val="21"/>
              </w:rPr>
              <w:t>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98"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4</w:t>
            </w:r>
          </w:p>
        </w:tc>
        <w:tc>
          <w:tcPr>
            <w:tcW w:w="1143" w:type="dxa"/>
            <w:vAlign w:val="center"/>
          </w:tcPr>
          <w:p>
            <w:pPr>
              <w:spacing w:line="360" w:lineRule="exact"/>
              <w:jc w:val="center"/>
              <w:rPr>
                <w:rFonts w:ascii="宋体" w:hAnsi="宋体" w:cs="仿宋"/>
                <w:szCs w:val="21"/>
              </w:rPr>
            </w:pPr>
            <w:r>
              <w:rPr>
                <w:rFonts w:hint="eastAsia" w:ascii="宋体" w:hAnsi="宋体" w:eastAsia="宋体" w:cs="宋体"/>
                <w:szCs w:val="21"/>
              </w:rPr>
              <w:t>供应商获奖情况</w:t>
            </w:r>
          </w:p>
        </w:tc>
        <w:tc>
          <w:tcPr>
            <w:tcW w:w="709" w:type="dxa"/>
            <w:vAlign w:val="center"/>
          </w:tcPr>
          <w:p>
            <w:pPr>
              <w:spacing w:line="360" w:lineRule="exact"/>
              <w:jc w:val="center"/>
              <w:rPr>
                <w:rFonts w:hint="eastAsia" w:ascii="宋体" w:hAnsi="宋体" w:eastAsia="宋体" w:cs="仿宋"/>
                <w:szCs w:val="21"/>
                <w:lang w:eastAsia="zh-CN"/>
              </w:rPr>
            </w:pPr>
            <w:r>
              <w:rPr>
                <w:rFonts w:hint="eastAsia" w:ascii="宋体" w:hAnsi="宋体" w:cs="仿宋"/>
                <w:szCs w:val="21"/>
                <w:lang w:val="en-US" w:eastAsia="zh-CN"/>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pStyle w:val="94"/>
              <w:spacing w:line="360" w:lineRule="exact"/>
              <w:ind w:firstLine="0" w:firstLineChars="0"/>
              <w:rPr>
                <w:rFonts w:hint="eastAsia" w:ascii="宋体" w:hAnsi="宋体"/>
                <w:szCs w:val="21"/>
              </w:rPr>
            </w:pPr>
            <w:r>
              <w:rPr>
                <w:rFonts w:hint="eastAsia" w:ascii="宋体" w:hAnsi="宋体" w:cs="宋体"/>
                <w:b w:val="0"/>
                <w:bCs w:val="0"/>
                <w:kern w:val="0"/>
                <w:sz w:val="21"/>
                <w:szCs w:val="21"/>
                <w:lang w:val="en-US" w:eastAsia="zh-CN" w:bidi="ar"/>
              </w:rPr>
              <w:t>2</w:t>
            </w:r>
            <w:r>
              <w:rPr>
                <w:rFonts w:hint="eastAsia" w:ascii="宋体" w:hAnsi="宋体" w:eastAsia="宋体" w:cs="宋体"/>
                <w:b w:val="0"/>
                <w:bCs w:val="0"/>
                <w:sz w:val="21"/>
                <w:szCs w:val="21"/>
              </w:rPr>
              <w:t>0</w:t>
            </w:r>
            <w:r>
              <w:rPr>
                <w:rFonts w:hint="eastAsia" w:ascii="宋体" w:hAnsi="宋体" w:eastAsia="宋体" w:cs="宋体"/>
                <w:sz w:val="21"/>
                <w:szCs w:val="21"/>
              </w:rPr>
              <w:t>21年1月1日至本项目投标截止日</w:t>
            </w:r>
            <w:r>
              <w:rPr>
                <w:rFonts w:hint="eastAsia" w:ascii="宋体" w:hAnsi="宋体" w:cs="宋体"/>
                <w:bCs/>
                <w:kern w:val="0"/>
                <w:szCs w:val="21"/>
              </w:rPr>
              <w:t>（以证书颁发日期为准）</w:t>
            </w:r>
            <w:r>
              <w:rPr>
                <w:rFonts w:hint="eastAsia" w:ascii="宋体" w:hAnsi="宋体" w:cs="宋体"/>
                <w:bCs/>
                <w:kern w:val="0"/>
                <w:szCs w:val="21"/>
                <w:lang w:eastAsia="zh-CN"/>
              </w:rPr>
              <w:t>，</w:t>
            </w:r>
            <w:r>
              <w:rPr>
                <w:rFonts w:hint="eastAsia" w:ascii="宋体" w:hAnsi="宋体" w:eastAsia="宋体" w:cs="宋体"/>
                <w:sz w:val="21"/>
                <w:szCs w:val="21"/>
              </w:rPr>
              <w:t>投标人获得市级或以上政府部门</w:t>
            </w:r>
            <w:r>
              <w:rPr>
                <w:rFonts w:hint="eastAsia" w:ascii="宋体" w:hAnsi="宋体" w:cs="宋体"/>
                <w:sz w:val="21"/>
                <w:szCs w:val="21"/>
                <w:lang w:eastAsia="zh-CN"/>
              </w:rPr>
              <w:t>（</w:t>
            </w:r>
            <w:r>
              <w:rPr>
                <w:rFonts w:hint="eastAsia" w:ascii="宋体" w:hAnsi="宋体" w:cs="宋体"/>
                <w:sz w:val="21"/>
                <w:szCs w:val="21"/>
                <w:lang w:val="en-US" w:eastAsia="zh-CN"/>
              </w:rPr>
              <w:t>或事业单位</w:t>
            </w:r>
            <w:r>
              <w:rPr>
                <w:rFonts w:hint="eastAsia" w:ascii="宋体" w:hAnsi="宋体" w:cs="宋体"/>
                <w:sz w:val="21"/>
                <w:szCs w:val="21"/>
                <w:lang w:eastAsia="zh-CN"/>
              </w:rPr>
              <w:t>）</w:t>
            </w:r>
            <w:r>
              <w:rPr>
                <w:rFonts w:hint="eastAsia" w:ascii="宋体" w:hAnsi="宋体" w:eastAsia="宋体" w:cs="宋体"/>
                <w:sz w:val="21"/>
                <w:szCs w:val="21"/>
              </w:rPr>
              <w:t>颁发的农作物病虫害监测或防控相关的科技进步奖或农技推广奖或植保植检类相关职业技能</w:t>
            </w:r>
            <w:r>
              <w:rPr>
                <w:rFonts w:hint="eastAsia" w:ascii="宋体" w:hAnsi="宋体" w:cs="宋体"/>
                <w:sz w:val="21"/>
                <w:szCs w:val="21"/>
                <w:lang w:val="en-US" w:eastAsia="zh-CN"/>
              </w:rPr>
              <w:t>竞</w:t>
            </w:r>
            <w:r>
              <w:rPr>
                <w:rFonts w:hint="eastAsia" w:ascii="宋体" w:hAnsi="宋体" w:eastAsia="宋体" w:cs="宋体"/>
                <w:sz w:val="21"/>
                <w:szCs w:val="21"/>
              </w:rPr>
              <w:t>赛奖项相关奖项的</w:t>
            </w:r>
            <w:r>
              <w:rPr>
                <w:rFonts w:hint="eastAsia" w:ascii="宋体" w:hAnsi="宋体" w:cs="宋体"/>
                <w:sz w:val="21"/>
                <w:szCs w:val="21"/>
                <w:lang w:eastAsia="zh-CN"/>
              </w:rPr>
              <w:t>，</w:t>
            </w:r>
            <w:r>
              <w:rPr>
                <w:rFonts w:hint="eastAsia" w:ascii="宋体" w:hAnsi="宋体" w:cs="宋体"/>
                <w:sz w:val="21"/>
                <w:szCs w:val="21"/>
                <w:lang w:val="en-US" w:eastAsia="zh-CN"/>
              </w:rPr>
              <w:t>每提供</w:t>
            </w:r>
            <w:r>
              <w:rPr>
                <w:rFonts w:hint="eastAsia" w:ascii="宋体" w:hAnsi="宋体" w:eastAsia="宋体" w:cs="宋体"/>
                <w:sz w:val="21"/>
                <w:szCs w:val="21"/>
              </w:rPr>
              <w:t>1个得2.5分</w:t>
            </w:r>
            <w:r>
              <w:rPr>
                <w:rFonts w:hint="eastAsia" w:ascii="宋体" w:hAnsi="宋体" w:cs="宋体"/>
                <w:sz w:val="21"/>
                <w:szCs w:val="21"/>
                <w:lang w:eastAsia="zh-CN"/>
              </w:rPr>
              <w:t>，</w:t>
            </w:r>
            <w:r>
              <w:rPr>
                <w:rFonts w:hint="eastAsia" w:ascii="宋体" w:hAnsi="宋体" w:cs="宋体"/>
                <w:sz w:val="21"/>
                <w:szCs w:val="21"/>
                <w:lang w:val="en-US" w:eastAsia="zh-CN"/>
              </w:rPr>
              <w:t>最高得</w:t>
            </w:r>
            <w:r>
              <w:rPr>
                <w:rFonts w:hint="eastAsia" w:ascii="宋体" w:hAnsi="宋体" w:eastAsia="宋体" w:cs="宋体"/>
                <w:sz w:val="21"/>
                <w:szCs w:val="21"/>
              </w:rPr>
              <w:t>5分。</w:t>
            </w:r>
          </w:p>
          <w:p>
            <w:pPr>
              <w:pStyle w:val="94"/>
              <w:spacing w:line="360" w:lineRule="exact"/>
              <w:ind w:firstLine="0" w:firstLineChars="0"/>
              <w:rPr>
                <w:rFonts w:hint="eastAsia" w:ascii="宋体" w:hAnsi="宋体"/>
                <w:szCs w:val="21"/>
              </w:rPr>
            </w:pPr>
          </w:p>
          <w:p>
            <w:pPr>
              <w:pStyle w:val="94"/>
              <w:spacing w:line="360" w:lineRule="exact"/>
              <w:ind w:firstLine="0" w:firstLineChars="0"/>
              <w:rPr>
                <w:rFonts w:ascii="宋体" w:hAnsi="宋体"/>
                <w:szCs w:val="21"/>
              </w:rPr>
            </w:pPr>
            <w:r>
              <w:rPr>
                <w:rFonts w:hint="eastAsia" w:ascii="宋体" w:hAnsi="宋体"/>
                <w:szCs w:val="21"/>
              </w:rPr>
              <w:t>（二）评分依据：</w:t>
            </w:r>
          </w:p>
          <w:p>
            <w:pPr>
              <w:tabs>
                <w:tab w:val="left" w:pos="175"/>
              </w:tabs>
              <w:spacing w:line="360" w:lineRule="exact"/>
              <w:ind w:left="33"/>
              <w:jc w:val="left"/>
              <w:rPr>
                <w:rFonts w:hint="default" w:ascii="宋体" w:hAnsi="宋体" w:eastAsia="宋体"/>
                <w:szCs w:val="21"/>
                <w:lang w:val="en-US" w:eastAsia="zh-CN"/>
              </w:rPr>
            </w:pPr>
            <w:r>
              <w:rPr>
                <w:rFonts w:hint="eastAsia" w:ascii="宋体" w:hAnsi="宋体"/>
                <w:szCs w:val="21"/>
                <w:lang w:val="en-US" w:eastAsia="zh-CN"/>
              </w:rPr>
              <w:t>1.</w:t>
            </w:r>
            <w:r>
              <w:rPr>
                <w:rFonts w:hint="eastAsia" w:ascii="宋体" w:hAnsi="宋体" w:eastAsia="宋体" w:cs="宋体"/>
                <w:sz w:val="21"/>
                <w:szCs w:val="21"/>
              </w:rPr>
              <w:t>提供奖项（荣誉、表彰）文件、证书或奖牌</w:t>
            </w:r>
            <w:r>
              <w:rPr>
                <w:rFonts w:hint="eastAsia" w:ascii="宋体" w:hAnsi="宋体" w:cs="宋体"/>
                <w:sz w:val="21"/>
                <w:szCs w:val="21"/>
                <w:lang w:val="en-US" w:eastAsia="zh-CN"/>
              </w:rPr>
              <w:t>作为评分依据；</w:t>
            </w:r>
          </w:p>
          <w:p>
            <w:pPr>
              <w:tabs>
                <w:tab w:val="left" w:pos="175"/>
              </w:tabs>
              <w:spacing w:line="360" w:lineRule="exact"/>
              <w:ind w:left="33"/>
              <w:jc w:val="left"/>
              <w:rPr>
                <w:rFonts w:ascii="宋体" w:hAnsi="宋体"/>
                <w:szCs w:val="21"/>
              </w:rPr>
            </w:pPr>
            <w:r>
              <w:rPr>
                <w:rFonts w:hint="eastAsia" w:asciiTheme="minorEastAsia" w:hAnsiTheme="minorEastAsia" w:eastAsiaTheme="minorEastAsia"/>
                <w:szCs w:val="21"/>
              </w:rPr>
              <w:t>2.</w:t>
            </w:r>
            <w:r>
              <w:rPr>
                <w:rFonts w:hint="eastAsia" w:ascii="宋体" w:hAnsi="宋体"/>
                <w:szCs w:val="21"/>
              </w:rPr>
              <w:t>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28" w:hRule="atLeast"/>
          <w:jc w:val="center"/>
        </w:trPr>
        <w:tc>
          <w:tcPr>
            <w:tcW w:w="754" w:type="dxa"/>
            <w:vAlign w:val="center"/>
          </w:tcPr>
          <w:p>
            <w:pPr>
              <w:widowControl/>
              <w:snapToGrid w:val="0"/>
              <w:spacing w:line="360" w:lineRule="exact"/>
              <w:jc w:val="center"/>
              <w:rPr>
                <w:rFonts w:hint="eastAsia" w:ascii="宋体" w:hAnsi="宋体" w:eastAsia="宋体"/>
                <w:kern w:val="0"/>
                <w:szCs w:val="21"/>
                <w:lang w:val="en-US" w:eastAsia="zh-CN"/>
              </w:rPr>
            </w:pPr>
            <w:r>
              <w:rPr>
                <w:rFonts w:hint="eastAsia" w:ascii="宋体" w:hAnsi="宋体"/>
                <w:kern w:val="0"/>
                <w:szCs w:val="21"/>
                <w:lang w:val="en-US" w:eastAsia="zh-CN"/>
              </w:rPr>
              <w:t>5</w:t>
            </w:r>
          </w:p>
        </w:tc>
        <w:tc>
          <w:tcPr>
            <w:tcW w:w="1143" w:type="dxa"/>
            <w:vAlign w:val="center"/>
          </w:tcPr>
          <w:p>
            <w:pPr>
              <w:spacing w:line="360" w:lineRule="exact"/>
              <w:jc w:val="center"/>
              <w:rPr>
                <w:rFonts w:hint="eastAsia" w:ascii="宋体" w:hAnsi="宋体" w:cs="仿宋"/>
                <w:szCs w:val="21"/>
              </w:rPr>
            </w:pPr>
            <w:r>
              <w:rPr>
                <w:rFonts w:hint="eastAsia" w:ascii="宋体" w:hAnsi="宋体" w:cs="仿宋"/>
                <w:szCs w:val="21"/>
              </w:rPr>
              <w:t>供应商自主知识产权产品（创新、设计）情况</w:t>
            </w:r>
          </w:p>
        </w:tc>
        <w:tc>
          <w:tcPr>
            <w:tcW w:w="709" w:type="dxa"/>
            <w:vAlign w:val="center"/>
          </w:tcPr>
          <w:p>
            <w:pPr>
              <w:spacing w:line="360" w:lineRule="exact"/>
              <w:jc w:val="center"/>
              <w:rPr>
                <w:rFonts w:hint="eastAsia" w:ascii="宋体" w:hAnsi="宋体" w:eastAsia="宋体" w:cs="仿宋"/>
                <w:szCs w:val="21"/>
                <w:lang w:val="en-US" w:eastAsia="zh-CN"/>
              </w:rPr>
            </w:pPr>
            <w:r>
              <w:rPr>
                <w:rFonts w:hint="eastAsia" w:ascii="宋体" w:hAnsi="宋体" w:cs="仿宋"/>
                <w:szCs w:val="21"/>
                <w:lang w:val="en-US" w:eastAsia="zh-CN"/>
              </w:rPr>
              <w:t>6</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pStyle w:val="94"/>
              <w:spacing w:line="360" w:lineRule="exact"/>
              <w:ind w:firstLine="0" w:firstLineChars="0"/>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w:t>
            </w:r>
            <w:r>
              <w:rPr>
                <w:rFonts w:hint="eastAsia" w:ascii="宋体" w:hAnsi="宋体"/>
                <w:szCs w:val="21"/>
              </w:rPr>
              <w:t>投标人</w:t>
            </w:r>
            <w:r>
              <w:rPr>
                <w:rFonts w:hint="eastAsia" w:ascii="宋体" w:hAnsi="宋体"/>
                <w:szCs w:val="21"/>
                <w:lang w:val="en-US" w:eastAsia="zh-CN"/>
              </w:rPr>
              <w:t>每</w:t>
            </w:r>
            <w:r>
              <w:rPr>
                <w:rFonts w:hint="eastAsia" w:ascii="宋体" w:hAnsi="宋体"/>
                <w:szCs w:val="21"/>
              </w:rPr>
              <w:t>提供一项与植物疫情或薇甘菊相关的自主知识产权产品或专利</w:t>
            </w:r>
            <w:r>
              <w:rPr>
                <w:rFonts w:hint="eastAsia" w:ascii="宋体" w:hAnsi="宋体"/>
                <w:szCs w:val="21"/>
                <w:lang w:eastAsia="zh-CN"/>
              </w:rPr>
              <w:t>的，</w:t>
            </w:r>
            <w:r>
              <w:rPr>
                <w:rFonts w:hint="eastAsia" w:ascii="宋体" w:hAnsi="宋体"/>
                <w:szCs w:val="21"/>
              </w:rPr>
              <w:t>得3分</w:t>
            </w:r>
            <w:r>
              <w:rPr>
                <w:rFonts w:hint="eastAsia" w:ascii="宋体" w:hAnsi="宋体"/>
                <w:szCs w:val="21"/>
                <w:lang w:eastAsia="zh-CN"/>
              </w:rPr>
              <w:t>，</w:t>
            </w:r>
            <w:r>
              <w:rPr>
                <w:rFonts w:hint="eastAsia" w:ascii="宋体" w:hAnsi="宋体"/>
                <w:szCs w:val="21"/>
              </w:rPr>
              <w:t>此项</w:t>
            </w:r>
            <w:r>
              <w:rPr>
                <w:rFonts w:hint="eastAsia" w:ascii="宋体" w:hAnsi="宋体"/>
                <w:szCs w:val="21"/>
                <w:lang w:val="en-US" w:eastAsia="zh-CN"/>
              </w:rPr>
              <w:t>最高得</w:t>
            </w:r>
            <w:r>
              <w:rPr>
                <w:rFonts w:hint="eastAsia" w:ascii="宋体" w:hAnsi="宋体"/>
                <w:szCs w:val="21"/>
              </w:rPr>
              <w:t>3分</w:t>
            </w:r>
            <w:r>
              <w:rPr>
                <w:rFonts w:hint="eastAsia" w:ascii="宋体" w:hAnsi="宋体"/>
                <w:szCs w:val="21"/>
                <w:lang w:eastAsia="zh-CN"/>
              </w:rPr>
              <w:t>；</w:t>
            </w:r>
          </w:p>
          <w:p>
            <w:pPr>
              <w:pStyle w:val="94"/>
              <w:spacing w:line="360" w:lineRule="exact"/>
              <w:ind w:firstLine="0" w:firstLineChars="0"/>
              <w:rPr>
                <w:rFonts w:hint="eastAsia" w:ascii="宋体" w:hAnsi="宋体"/>
                <w:szCs w:val="21"/>
              </w:rPr>
            </w:pPr>
            <w:r>
              <w:rPr>
                <w:rFonts w:hint="eastAsia" w:ascii="宋体" w:hAnsi="宋体"/>
                <w:szCs w:val="21"/>
              </w:rPr>
              <w:t>2</w:t>
            </w:r>
            <w:r>
              <w:rPr>
                <w:rFonts w:hint="eastAsia" w:ascii="宋体" w:hAnsi="宋体"/>
                <w:szCs w:val="21"/>
                <w:lang w:val="en-US" w:eastAsia="zh-CN"/>
              </w:rPr>
              <w:t>.</w:t>
            </w:r>
            <w:r>
              <w:rPr>
                <w:rFonts w:hint="eastAsia" w:ascii="宋体" w:hAnsi="宋体"/>
                <w:szCs w:val="21"/>
              </w:rPr>
              <w:t>投标人参与制定一项国家、省、市薇甘菊行业（或地方）标准或制定与薇甘菊控相关的企业标准</w:t>
            </w:r>
            <w:r>
              <w:rPr>
                <w:rFonts w:hint="eastAsia" w:ascii="宋体" w:hAnsi="宋体"/>
                <w:szCs w:val="21"/>
                <w:lang w:eastAsia="zh-CN"/>
              </w:rPr>
              <w:t>，</w:t>
            </w:r>
            <w:r>
              <w:rPr>
                <w:rFonts w:hint="eastAsia" w:ascii="宋体" w:hAnsi="宋体"/>
                <w:szCs w:val="21"/>
              </w:rPr>
              <w:t>并备案（发布）在“企业标准信息公共服务平台”发布</w:t>
            </w:r>
            <w:r>
              <w:rPr>
                <w:rFonts w:hint="eastAsia" w:ascii="宋体" w:hAnsi="宋体"/>
                <w:szCs w:val="21"/>
                <w:lang w:eastAsia="zh-CN"/>
              </w:rPr>
              <w:t>的，</w:t>
            </w:r>
            <w:r>
              <w:rPr>
                <w:rFonts w:hint="eastAsia" w:ascii="宋体" w:hAnsi="宋体"/>
                <w:szCs w:val="21"/>
              </w:rPr>
              <w:t>得3分</w:t>
            </w:r>
            <w:r>
              <w:rPr>
                <w:rFonts w:hint="eastAsia" w:ascii="宋体" w:hAnsi="宋体"/>
                <w:szCs w:val="21"/>
                <w:lang w:eastAsia="zh-CN"/>
              </w:rPr>
              <w:t>，</w:t>
            </w:r>
            <w:r>
              <w:rPr>
                <w:rFonts w:hint="eastAsia" w:ascii="宋体" w:hAnsi="宋体"/>
                <w:szCs w:val="21"/>
              </w:rPr>
              <w:t>此项</w:t>
            </w:r>
            <w:r>
              <w:rPr>
                <w:rFonts w:hint="eastAsia" w:ascii="宋体" w:hAnsi="宋体"/>
                <w:szCs w:val="21"/>
                <w:lang w:val="en-US" w:eastAsia="zh-CN"/>
              </w:rPr>
              <w:t>最高得</w:t>
            </w:r>
            <w:r>
              <w:rPr>
                <w:rFonts w:hint="eastAsia" w:ascii="宋体" w:hAnsi="宋体"/>
                <w:szCs w:val="21"/>
              </w:rPr>
              <w:t>3分。</w:t>
            </w:r>
          </w:p>
          <w:p>
            <w:pPr>
              <w:pStyle w:val="94"/>
              <w:spacing w:line="360" w:lineRule="exact"/>
              <w:ind w:firstLine="0" w:firstLineChars="0"/>
              <w:rPr>
                <w:rFonts w:hint="default" w:ascii="宋体" w:hAnsi="宋体" w:eastAsia="宋体"/>
                <w:szCs w:val="21"/>
                <w:lang w:val="en-US" w:eastAsia="zh-CN"/>
              </w:rPr>
            </w:pPr>
            <w:r>
              <w:rPr>
                <w:rFonts w:hint="eastAsia" w:ascii="宋体" w:hAnsi="宋体"/>
                <w:szCs w:val="21"/>
                <w:lang w:val="en-US" w:eastAsia="zh-CN"/>
              </w:rPr>
              <w:t>注：以上累计最高得6分。</w:t>
            </w:r>
          </w:p>
          <w:p>
            <w:pPr>
              <w:pStyle w:val="94"/>
              <w:spacing w:line="360" w:lineRule="exact"/>
              <w:ind w:firstLine="0" w:firstLineChars="0"/>
              <w:rPr>
                <w:rFonts w:hint="eastAsia" w:ascii="宋体" w:hAnsi="宋体"/>
                <w:szCs w:val="21"/>
              </w:rPr>
            </w:pPr>
          </w:p>
          <w:p>
            <w:pPr>
              <w:pStyle w:val="94"/>
              <w:spacing w:line="360" w:lineRule="exact"/>
              <w:ind w:firstLine="0" w:firstLineChars="0"/>
              <w:rPr>
                <w:rFonts w:ascii="宋体" w:hAnsi="宋体"/>
                <w:szCs w:val="21"/>
              </w:rPr>
            </w:pPr>
            <w:r>
              <w:rPr>
                <w:rFonts w:hint="eastAsia" w:ascii="宋体" w:hAnsi="宋体"/>
                <w:szCs w:val="21"/>
              </w:rPr>
              <w:t>（二）评分依据：</w:t>
            </w:r>
          </w:p>
          <w:p>
            <w:pPr>
              <w:tabs>
                <w:tab w:val="left" w:pos="175"/>
              </w:tabs>
              <w:spacing w:line="360" w:lineRule="exact"/>
              <w:ind w:left="33"/>
              <w:jc w:val="left"/>
              <w:rPr>
                <w:rFonts w:hint="default" w:ascii="宋体" w:hAnsi="宋体" w:eastAsia="宋体"/>
                <w:szCs w:val="21"/>
                <w:lang w:val="en-US" w:eastAsia="zh-CN"/>
              </w:rPr>
            </w:pPr>
            <w:r>
              <w:rPr>
                <w:rFonts w:hint="eastAsia" w:ascii="宋体" w:hAnsi="宋体"/>
                <w:szCs w:val="21"/>
                <w:lang w:val="en-US" w:eastAsia="zh-CN"/>
              </w:rPr>
              <w:t>1.按上述要求提供有效的知识产权（专利）证书和标准证明材料及网上截图作为评分依据</w:t>
            </w:r>
            <w:r>
              <w:rPr>
                <w:rFonts w:hint="eastAsia" w:ascii="宋体" w:hAnsi="宋体" w:cs="宋体"/>
                <w:sz w:val="21"/>
                <w:szCs w:val="21"/>
                <w:lang w:val="en-US" w:eastAsia="zh-CN"/>
              </w:rPr>
              <w:t>；</w:t>
            </w:r>
          </w:p>
          <w:p>
            <w:pPr>
              <w:tabs>
                <w:tab w:val="left" w:pos="175"/>
              </w:tabs>
              <w:spacing w:line="360" w:lineRule="exact"/>
              <w:ind w:left="33"/>
              <w:jc w:val="left"/>
              <w:rPr>
                <w:rFonts w:hint="eastAsia" w:ascii="宋体" w:hAnsi="宋体"/>
                <w:szCs w:val="21"/>
              </w:rPr>
            </w:pPr>
            <w:r>
              <w:rPr>
                <w:rFonts w:hint="eastAsia" w:asciiTheme="minorEastAsia" w:hAnsiTheme="minorEastAsia" w:eastAsiaTheme="minorEastAsia"/>
                <w:szCs w:val="21"/>
              </w:rPr>
              <w:t>2.</w:t>
            </w:r>
            <w:r>
              <w:rPr>
                <w:rFonts w:hint="eastAsia" w:ascii="宋体" w:hAnsi="宋体"/>
                <w:szCs w:val="21"/>
              </w:rPr>
              <w:t>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spacing w:line="360" w:lineRule="exact"/>
              <w:jc w:val="center"/>
              <w:rPr>
                <w:rFonts w:hint="eastAsia" w:ascii="宋体" w:hAnsi="宋体" w:cs="仿宋"/>
                <w:szCs w:val="21"/>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88"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zh-CN" w:eastAsia="zh-CN"/>
              </w:rPr>
            </w:pPr>
            <w:r>
              <w:rPr>
                <w:rFonts w:hint="eastAsia" w:ascii="宋体" w:hAnsi="宋体" w:cs="仿宋"/>
                <w:szCs w:val="21"/>
                <w:lang w:val="en-US" w:eastAsia="zh-CN"/>
              </w:rPr>
              <w:t>6</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left="34" w:leftChars="16" w:firstLine="0" w:firstLineChars="0"/>
              <w:rPr>
                <w:rFonts w:asciiTheme="minorEastAsia" w:hAnsiTheme="minorEastAsia" w:eastAsiaTheme="minorEastAsia"/>
                <w:szCs w:val="21"/>
              </w:rPr>
            </w:pPr>
            <w:r>
              <w:rPr>
                <w:rFonts w:hint="eastAsia" w:asciiTheme="minorEastAsia" w:hAnsiTheme="minorEastAsia" w:eastAsiaTheme="minorEastAsia"/>
                <w:szCs w:val="21"/>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否则得5分。</w:t>
            </w:r>
          </w:p>
          <w:p>
            <w:pPr>
              <w:tabs>
                <w:tab w:val="left" w:pos="175"/>
              </w:tabs>
              <w:spacing w:line="360" w:lineRule="exact"/>
              <w:ind w:left="33"/>
              <w:jc w:val="left"/>
              <w:rPr>
                <w:rFonts w:ascii="宋体" w:hAnsi="宋体" w:cs="仿宋"/>
                <w:szCs w:val="21"/>
              </w:rPr>
            </w:pPr>
            <w:r>
              <w:rPr>
                <w:rFonts w:hint="eastAsia" w:asciiTheme="minorEastAsia" w:hAnsiTheme="minorEastAsia" w:eastAsiaTheme="minorEastAsia"/>
                <w:szCs w:val="21"/>
              </w:rPr>
              <w:t>（采购代理机构通过“信用中国”、“中国政府采购网”、“深圳市政府采购监管网”以及市、区财政部门认定的其他渠道查询供应商信用信息，投标人无需提供证明材料。）</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bl>
    <w:p>
      <w:pPr>
        <w:pStyle w:val="5"/>
        <w:spacing w:before="0" w:after="0"/>
        <w:jc w:val="left"/>
        <w:rPr>
          <w:rFonts w:asciiTheme="minorEastAsia" w:hAnsiTheme="minorEastAsia"/>
          <w:bCs w:val="0"/>
          <w:sz w:val="21"/>
          <w:szCs w:val="21"/>
        </w:rPr>
      </w:pPr>
      <w:bookmarkStart w:id="10" w:name="_Toc135293165"/>
      <w:bookmarkStart w:id="11" w:name="_Toc44690430"/>
      <w:bookmarkStart w:id="12" w:name="_Toc44691162"/>
      <w:bookmarkStart w:id="13" w:name="_Toc44691394"/>
      <w:bookmarkStart w:id="14" w:name="_Toc44690703"/>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135293166"/>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135293167"/>
      <w:r>
        <w:rPr>
          <w:rFonts w:hint="eastAsia" w:asciiTheme="minorEastAsia" w:hAnsiTheme="minorEastAsia" w:eastAsiaTheme="minorEastAsia"/>
        </w:rPr>
        <w:t>2、政府采购扶持政策</w:t>
      </w:r>
      <w:bookmarkEnd w:id="16"/>
    </w:p>
    <w:p>
      <w:pPr>
        <w:spacing w:after="60" w:line="360" w:lineRule="auto"/>
        <w:ind w:firstLine="426" w:firstLineChars="202"/>
        <w:rPr>
          <w:rFonts w:ascii="宋体" w:hAnsi="宋体"/>
          <w:b/>
          <w:snapToGrid w:val="0"/>
          <w:szCs w:val="21"/>
        </w:rPr>
      </w:pPr>
      <w:r>
        <w:rPr>
          <w:rFonts w:hint="eastAsia" w:ascii="宋体" w:hAnsi="宋体"/>
          <w:b/>
          <w:snapToGrid w:val="0"/>
          <w:szCs w:val="21"/>
          <w:highlight w:val="yellow"/>
        </w:rPr>
        <w:t>（一）本项目所属行业为</w:t>
      </w:r>
      <w:r>
        <w:rPr>
          <w:rFonts w:hint="eastAsia" w:ascii="宋体" w:hAnsi="宋体"/>
          <w:b/>
          <w:snapToGrid w:val="0"/>
          <w:szCs w:val="21"/>
          <w:highlight w:val="yellow"/>
          <w:u w:val="single"/>
        </w:rPr>
        <w:t xml:space="preserve"> 其他未列明行业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（二）价格评审优惠</w:t>
      </w:r>
    </w:p>
    <w:p>
      <w:pPr>
        <w:spacing w:line="360" w:lineRule="auto"/>
        <w:ind w:firstLine="371" w:firstLineChars="177"/>
        <w:rPr>
          <w:rFonts w:cs="仿宋" w:asciiTheme="minorEastAsia" w:hAnsiTheme="minorEastAsia" w:eastAsiaTheme="minorEastAsia"/>
          <w:szCs w:val="21"/>
        </w:rPr>
      </w:pPr>
      <w:r>
        <w:rPr>
          <w:rFonts w:hint="eastAsia" w:asciiTheme="minorEastAsia" w:hAnsiTheme="minorEastAsia" w:eastAsiaTheme="minorEastAsia"/>
          <w:szCs w:val="21"/>
        </w:rPr>
        <w:t>□</w:t>
      </w:r>
      <w:r>
        <w:rPr>
          <w:rFonts w:hint="eastAsia" w:ascii="Calibri" w:hAnsi="宋体"/>
        </w:rPr>
        <w:t>预留份额专门面向中小企业采购的采购项目或采购包</w:t>
      </w:r>
      <w:r>
        <w:rPr>
          <w:rFonts w:hint="eastAsia" w:cs="仿宋" w:asciiTheme="minorEastAsia" w:hAnsiTheme="minorEastAsia" w:eastAsiaTheme="minorEastAsia"/>
          <w:szCs w:val="21"/>
        </w:rPr>
        <w:t>：不执行价格评审优惠的扶持政策。</w:t>
      </w:r>
    </w:p>
    <w:p>
      <w:pPr>
        <w:widowControl/>
        <w:spacing w:line="360" w:lineRule="auto"/>
        <w:ind w:firstLine="371" w:firstLineChars="177"/>
        <w:jc w:val="left"/>
        <w:rPr>
          <w:rFonts w:cs="仿宋" w:asciiTheme="minorEastAsia" w:hAnsiTheme="minorEastAsia" w:eastAsiaTheme="minorEastAsia"/>
          <w:szCs w:val="21"/>
        </w:rPr>
      </w:pPr>
      <w:r>
        <w:rPr>
          <w:rFonts w:hint="eastAsia" w:ascii="宋体" w:eastAsia="MS Mincho" w:cs="MS Mincho" w:hAnsiTheme="minorEastAsia"/>
          <w:kern w:val="0"/>
          <w:szCs w:val="21"/>
        </w:rPr>
        <w:t>☑</w:t>
      </w:r>
      <w:r>
        <w:rPr>
          <w:rFonts w:hint="eastAsia" w:ascii="Segoe UI Symbol" w:hAnsi="Segoe UI Symbol"/>
        </w:rPr>
        <w:t>未</w:t>
      </w:r>
      <w:r>
        <w:rPr>
          <w:rFonts w:hint="eastAsia" w:ascii="Calibri" w:hAnsi="宋体"/>
        </w:rPr>
        <w:t>预留份额专门面向中小企业采购的采购项目或采购包</w:t>
      </w:r>
      <w:r>
        <w:rPr>
          <w:rFonts w:hint="eastAsia" w:asciiTheme="minorEastAsia" w:hAnsiTheme="minorEastAsia" w:eastAsiaTheme="minorEastAsia"/>
          <w:szCs w:val="21"/>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szCs w:val="22"/>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szCs w:val="22"/>
        </w:rPr>
        <w:t>其投标报价扣除</w:t>
      </w:r>
      <w:r>
        <w:rPr>
          <w:rFonts w:hint="eastAsia" w:asciiTheme="minorEastAsia" w:hAnsiTheme="minorEastAsia" w:eastAsiaTheme="minorEastAsia"/>
          <w:b/>
          <w:szCs w:val="22"/>
          <w:u w:val="single"/>
        </w:rPr>
        <w:t xml:space="preserve"> 10 </w:t>
      </w:r>
      <w:r>
        <w:rPr>
          <w:rFonts w:hint="eastAsia" w:asciiTheme="minorEastAsia" w:hAnsiTheme="minorEastAsia" w:eastAsiaTheme="minorEastAsia"/>
          <w:b/>
          <w:szCs w:val="22"/>
        </w:rPr>
        <w:t>%（请在10%-20%范围内选择）后参与评审</w:t>
      </w:r>
      <w:r>
        <w:rPr>
          <w:rFonts w:hint="eastAsia" w:asciiTheme="minorEastAsia" w:hAnsiTheme="minorEastAsia" w:eastAsiaTheme="minorEastAsia"/>
          <w:szCs w:val="22"/>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（2）联合协议中约定，小型、微型企业的协议合同金额占到联合体协议合同总金额30%以上的，可给予</w:t>
      </w:r>
      <w:r>
        <w:rPr>
          <w:rFonts w:hint="eastAsia" w:asciiTheme="minorEastAsia" w:hAnsiTheme="minorEastAsia" w:eastAsiaTheme="minorEastAsia"/>
          <w:b/>
          <w:szCs w:val="22"/>
        </w:rPr>
        <w:t>联合体</w:t>
      </w:r>
      <w:r>
        <w:rPr>
          <w:rFonts w:hint="eastAsia" w:asciiTheme="minorEastAsia" w:hAnsiTheme="minorEastAsia" w:eastAsiaTheme="minorEastAsia"/>
          <w:b/>
          <w:szCs w:val="22"/>
          <w:u w:val="single"/>
        </w:rPr>
        <w:t xml:space="preserve"> /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r>
        <w:rPr>
          <w:rFonts w:hint="eastAsia" w:asciiTheme="minorEastAsia" w:hAnsiTheme="minorEastAsia" w:eastAsiaTheme="minorEastAsia"/>
          <w:szCs w:val="22"/>
        </w:rPr>
        <w:t>。如联合体各方均为小型、微型企业，联合体视同为小型、微型企业，享受</w:t>
      </w:r>
      <w:r>
        <w:rPr>
          <w:rFonts w:hint="eastAsia" w:asciiTheme="minorEastAsia" w:hAnsiTheme="minorEastAsia" w:eastAsiaTheme="minorEastAsia"/>
          <w:b/>
          <w:szCs w:val="22"/>
        </w:rPr>
        <w:t>第（1）项</w:t>
      </w:r>
      <w:r>
        <w:rPr>
          <w:rFonts w:hint="eastAsia" w:asciiTheme="minorEastAsia" w:hAnsiTheme="minorEastAsia" w:eastAsiaTheme="minorEastAsia"/>
          <w:szCs w:val="22"/>
        </w:rPr>
        <w:t>的评审优惠。</w:t>
      </w:r>
    </w:p>
    <w:p>
      <w:pPr>
        <w:spacing w:after="60" w:line="360" w:lineRule="auto"/>
        <w:ind w:firstLine="424" w:firstLineChars="202"/>
        <w:rPr>
          <w:rFonts w:ascii="宋体" w:hAnsi="宋体"/>
          <w:szCs w:val="22"/>
        </w:rPr>
      </w:pPr>
      <w:r>
        <w:rPr>
          <w:rFonts w:hint="eastAsia" w:ascii="宋体" w:hAnsi="宋体"/>
          <w:szCs w:val="22"/>
        </w:rPr>
        <w:t>（3）分包意向协议约定，小型、微型企业的协议合同金额占到合同总金额30%以上的，可给予投标人</w:t>
      </w:r>
      <w:r>
        <w:rPr>
          <w:rFonts w:hint="eastAsia" w:ascii="宋体" w:hAnsi="宋体"/>
          <w:b/>
          <w:szCs w:val="22"/>
          <w:u w:val="single"/>
        </w:rPr>
        <w:t xml:space="preserve">  </w:t>
      </w:r>
      <w:r>
        <w:rPr>
          <w:rFonts w:hint="eastAsia" w:asciiTheme="minorEastAsia" w:hAnsiTheme="minorEastAsia" w:eastAsiaTheme="minorEastAsia"/>
          <w:b/>
          <w:szCs w:val="22"/>
          <w:u w:val="single"/>
        </w:rPr>
        <w:t xml:space="preserve">/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p>
    <w:p>
      <w:pPr>
        <w:spacing w:after="60" w:line="360" w:lineRule="auto"/>
        <w:ind w:firstLine="424" w:firstLineChars="202"/>
        <w:rPr>
          <w:rFonts w:ascii="宋体" w:hAnsi="宋体"/>
          <w:szCs w:val="22"/>
        </w:rPr>
      </w:pPr>
      <w:r>
        <w:rPr>
          <w:rFonts w:hint="eastAsia" w:ascii="宋体" w:hAnsi="宋体"/>
          <w:szCs w:val="22"/>
        </w:rPr>
        <w:t>（4）</w:t>
      </w:r>
      <w:r>
        <w:rPr>
          <w:rFonts w:hint="eastAsia" w:asciiTheme="minorEastAsia" w:hAnsiTheme="minorEastAsia" w:eastAsiaTheme="minorEastAsia"/>
          <w:szCs w:val="22"/>
        </w:rPr>
        <w:t>如供应商为</w:t>
      </w:r>
      <w:r>
        <w:rPr>
          <w:rFonts w:hint="eastAsia" w:ascii="Calibri" w:hAnsi="宋体"/>
          <w:szCs w:val="22"/>
        </w:rPr>
        <w:t>监狱企业</w:t>
      </w:r>
      <w:r>
        <w:rPr>
          <w:rFonts w:hint="eastAsia" w:ascii="Calibri" w:hAnsi="宋体"/>
          <w:szCs w:val="21"/>
        </w:rPr>
        <w:t>或残疾人福利性单位，</w:t>
      </w:r>
      <w:r>
        <w:rPr>
          <w:rFonts w:hint="eastAsia" w:ascii="Calibri" w:hAnsi="宋体"/>
          <w:szCs w:val="22"/>
        </w:rPr>
        <w:t>视同</w:t>
      </w:r>
      <w:r>
        <w:rPr>
          <w:rFonts w:hint="eastAsia" w:asciiTheme="minorEastAsia" w:hAnsiTheme="minorEastAsia" w:eastAsiaTheme="minorEastAsia"/>
          <w:szCs w:val="22"/>
        </w:rPr>
        <w:t>小型、微型企业，</w:t>
      </w:r>
      <w:r>
        <w:rPr>
          <w:rFonts w:hint="eastAsia" w:ascii="Calibri" w:hAnsi="宋体"/>
          <w:szCs w:val="22"/>
        </w:rPr>
        <w:t>享受以上预留份额、评审中价格扣除等政府采购促进中小企业发展的政府采购政策；</w:t>
      </w:r>
      <w:r>
        <w:rPr>
          <w:rFonts w:hint="eastAsia" w:asciiTheme="minorEastAsia" w:hAnsiTheme="minorEastAsia" w:eastAsiaTheme="minorEastAsia"/>
          <w:szCs w:val="22"/>
        </w:rPr>
        <w:t>对于同时属于小型、微型企业、监狱企业或残疾人福利性单位的供应商，不重复享受政策。</w:t>
      </w:r>
    </w:p>
    <w:p>
      <w:pPr>
        <w:spacing w:after="60" w:line="360" w:lineRule="auto"/>
        <w:ind w:firstLine="424" w:firstLineChars="202"/>
        <w:rPr>
          <w:rFonts w:ascii="宋体" w:hAnsi="宋体"/>
          <w:szCs w:val="22"/>
        </w:rPr>
      </w:pPr>
      <w:r>
        <w:rPr>
          <w:rFonts w:hint="eastAsia" w:ascii="宋体" w:hAnsi="宋体"/>
          <w:szCs w:val="22"/>
        </w:rPr>
        <w:t>（5）优惠主体资格的认定资料为《中小企业声明函》、《残疾人福利性单位声明函》以及《监狱企业声明函》等承诺性质的资料；监狱企业或者代理提供监狱企业货物的供应商如需享受优惠政策，除上述资料外，还须提供省级以上监狱管理局、戒毒管理局出具的监狱企业证明文件。</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（三）绿色采购</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（1）投标产品属于《关于调整优化节能产品环境标志产品政府采购执行机制的通知》（财库〔2019〕9号）、《关于印发环境标志产品政府采购品目清单的通知》（财库〔2019〕18号）和《关于印发节能产品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autoSpaceDE w:val="0"/>
        <w:autoSpaceDN w:val="0"/>
        <w:adjustRightInd w:val="0"/>
        <w:spacing w:line="360" w:lineRule="auto"/>
        <w:ind w:firstLine="369" w:firstLineChars="176"/>
        <w:jc w:val="left"/>
        <w:rPr>
          <w:rFonts w:ascii="宋体" w:hAnsi="宋体" w:eastAsia="黑体"/>
          <w:b/>
          <w:bCs/>
          <w:kern w:val="44"/>
          <w:sz w:val="28"/>
          <w:szCs w:val="44"/>
        </w:rPr>
      </w:pPr>
      <w:r>
        <w:rPr>
          <w:rFonts w:hint="eastAsia" w:asciiTheme="minorEastAsia" w:hAnsiTheme="minorEastAsia" w:eastAsiaTheme="minorEastAsia"/>
          <w:szCs w:val="21"/>
        </w:rPr>
        <w:t>（2）按照《深圳市财政局关于大力推广政府绿色采购有关事项的通知（深财购〔2023〕49号）》相关要求，严格执行绿色采购需求标准。采购单位严格执行《商品包装政府采购需求标准（试行）》、《快递包装政府采购需求标准（试行）》（财办库〔2020〕123号）、《绿色建筑和绿色建材政府采购需求标准》（财办库〔2022〕35号）、《绿色数据中心政府采购需求标准（试行）》（财办库〔2023〕7号）等需求标准，依据相关需求标准确定采购需求，在采购文件和采购合同中载明具体需求、履约验收条款和违约责任，促进绿色包装、绿色运输、绿色建筑、绿色建材和绿色数据中心在政府采购领域的应用。加大新能源汽车采购力度。积极推广合同能源管理。鼓励公共机构推广应用合同能源管理，借助市场化手段，通过实施应用节能新技术、新产品，不断提高能源利用效率，为公共机构节能减排提供有力支持和保障。</w:t>
      </w:r>
    </w:p>
    <w:p>
      <w:pPr>
        <w:spacing w:line="360" w:lineRule="auto"/>
        <w:ind w:firstLine="422" w:firstLineChars="200"/>
        <w:rPr>
          <w:rFonts w:ascii="宋体" w:hAnsi="宋体"/>
          <w:b/>
          <w:szCs w:val="21"/>
        </w:rPr>
      </w:pPr>
      <w:r>
        <w:rPr>
          <w:rFonts w:hint="eastAsia" w:asciiTheme="minorEastAsia" w:hAnsiTheme="minorEastAsia" w:eastAsiaTheme="minorEastAsia"/>
          <w:b/>
          <w:szCs w:val="21"/>
        </w:rPr>
        <w:t>（四）</w:t>
      </w:r>
      <w:r>
        <w:rPr>
          <w:rFonts w:hint="eastAsia"/>
          <w:b/>
        </w:rPr>
        <w:t>其他说明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pPr>
        <w:spacing w:line="360" w:lineRule="auto"/>
        <w:ind w:firstLine="424" w:firstLineChars="202"/>
      </w:pPr>
    </w:p>
    <w:p>
      <w:pPr>
        <w:spacing w:line="360" w:lineRule="auto"/>
        <w:ind w:firstLine="424" w:firstLineChars="202"/>
      </w:pPr>
    </w:p>
    <w:p>
      <w:pPr>
        <w:widowControl/>
        <w:jc w:val="left"/>
      </w:pPr>
      <w:r>
        <w:br w:type="page"/>
      </w:r>
    </w:p>
    <w:p>
      <w:pPr>
        <w:widowControl/>
        <w:jc w:val="left"/>
      </w:pPr>
    </w:p>
    <w:p>
      <w:pPr>
        <w:pStyle w:val="3"/>
      </w:pPr>
      <w:bookmarkStart w:id="17" w:name="_Toc135293168"/>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rPr>
                <w:rFonts w:hint="eastAsia" w:eastAsia="宋体"/>
                <w:lang w:eastAsia="zh-CN"/>
              </w:rPr>
            </w:pPr>
            <w:r>
              <w:rPr>
                <w:rFonts w:hint="eastAsia"/>
                <w:lang w:eastAsia="zh-CN"/>
              </w:rPr>
              <w:t>2024年宝安区、龙华区、光明区农地薇甘菊疫情防控服务项目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int="eastAsia" w:hAnsi="宋体" w:eastAsia="宋体"/>
                <w:szCs w:val="24"/>
                <w:lang w:eastAsia="zh-CN"/>
              </w:rPr>
            </w:pPr>
            <w:r>
              <w:rPr>
                <w:rFonts w:hint="eastAsia" w:hAnsi="宋体"/>
                <w:snapToGrid w:val="0"/>
                <w:szCs w:val="21"/>
                <w:lang w:eastAsia="zh-CN"/>
              </w:rPr>
              <w:t>深圳市农业科技促进中心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r>
              <w:rPr>
                <w:rFonts w:hint="eastAsia"/>
                <w:snapToGrid w:val="0"/>
              </w:rPr>
              <w:t>，由各投标人自行查看现场。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投标文件必须标注页码并装订成册</w:t>
            </w:r>
            <w:r>
              <w:rPr>
                <w:rFonts w:hint="eastAsia" w:asciiTheme="minorEastAsia" w:hAnsiTheme="minorEastAsia" w:eastAsiaTheme="minor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asciiTheme="minorEastAsia" w:hAnsiTheme="minorEastAsia" w:eastAsiaTheme="minorEastAsia"/>
                <w:szCs w:val="21"/>
              </w:rPr>
            </w:pPr>
            <w:r>
              <w:rPr>
                <w:rFonts w:hint="eastAsia" w:asciiTheme="minorEastAsia" w:hAnsiTheme="minorEastAsia" w:eastAsiaTheme="minorEastAsia"/>
                <w:szCs w:val="21"/>
              </w:rPr>
              <w:t>按深财购[2018]27号文件规定的代理费用参考标准，向中标供应商收取中标服务费，具体如下：</w:t>
            </w:r>
          </w:p>
          <w:p>
            <w:pPr>
              <w:pStyle w:val="26"/>
              <w:spacing w:line="360" w:lineRule="auto"/>
              <w:rPr>
                <w:rFonts w:asciiTheme="minorEastAsia" w:hAnsiTheme="minorEastAsia" w:eastAsiaTheme="minorEastAsia"/>
              </w:rPr>
            </w:pPr>
            <w:r>
              <w:rPr>
                <w:rFonts w:hint="eastAsia" w:hAnsi="宋体" w:eastAsia="MS Mincho" w:cs="MS Mincho"/>
                <w:sz w:val="24"/>
                <w:szCs w:val="24"/>
              </w:rPr>
              <w:t>☑</w:t>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%，最低收取人民币7000元。</w:t>
            </w:r>
          </w:p>
          <w:p>
            <w:pPr>
              <w:pStyle w:val="26"/>
              <w:spacing w:line="360" w:lineRule="auto"/>
              <w:rPr>
                <w:rFonts w:hAnsi="宋体"/>
              </w:rPr>
            </w:pPr>
            <w:r>
              <w:rPr>
                <w:rFonts w:hint="eastAsia" w:hAnsi="宋体"/>
              </w:rPr>
              <w:t>□</w:t>
            </w:r>
            <w:r>
              <w:rPr>
                <w:rFonts w:hint="eastAsia" w:asciiTheme="minorEastAsia" w:hAnsiTheme="minorEastAsia" w:eastAsiaTheme="minorEastAsia"/>
                <w:szCs w:val="21"/>
              </w:rPr>
              <w:t>以预算金额（支付上限）作为计算依据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%，收取中标服务费：人民币</w:t>
            </w:r>
            <w:r>
              <w:rPr>
                <w:rFonts w:hint="eastAsia" w:asciiTheme="minorEastAsia" w:hAnsiTheme="minorEastAsia" w:eastAsiaTheme="minorEastAsia"/>
                <w:u w:val="single"/>
              </w:rPr>
              <w:t xml:space="preserve">        </w:t>
            </w:r>
            <w:r>
              <w:rPr>
                <w:rFonts w:hint="eastAsia" w:asciiTheme="minorEastAsia" w:hAnsiTheme="minorEastAsia" w:eastAsiaTheme="minorEastAsia"/>
              </w:rPr>
              <w:t>元。</w:t>
            </w:r>
          </w:p>
        </w:tc>
      </w:tr>
    </w:tbl>
    <w:p>
      <w:pPr>
        <w:rPr>
          <w:szCs w:val="21"/>
        </w:rPr>
      </w:pPr>
    </w:p>
    <w:p/>
    <w:p/>
    <w:p/>
    <w:p/>
    <w:p/>
    <w:p/>
    <w:p/>
    <w:p/>
    <w:p/>
    <w:p/>
    <w:p/>
    <w:p/>
    <w:p/>
    <w:p/>
    <w:p/>
    <w:p/>
    <w:p/>
    <w:p/>
    <w:p/>
    <w:p/>
    <w:p/>
    <w:p/>
    <w:p/>
    <w:p/>
    <w:p/>
    <w:p/>
    <w:p/>
    <w:p/>
    <w:p/>
    <w:p/>
    <w:p/>
    <w:p/>
    <w:p/>
    <w:p/>
    <w:p/>
    <w:p/>
    <w:p/>
    <w:p/>
    <w:p/>
    <w:p/>
    <w:p/>
    <w:p>
      <w:pPr>
        <w:pStyle w:val="3"/>
      </w:pPr>
      <w:bookmarkStart w:id="18" w:name="_Toc135293169"/>
      <w:r>
        <w:rPr>
          <w:rFonts w:hint="eastAsia"/>
        </w:rPr>
        <w:t>第六章  投标人须知</w:t>
      </w:r>
      <w:bookmarkEnd w:id="18"/>
    </w:p>
    <w:p>
      <w:pPr>
        <w:pStyle w:val="5"/>
        <w:spacing w:before="0" w:after="0"/>
      </w:pPr>
      <w:bookmarkStart w:id="19" w:name="_Toc135293170"/>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本项目按前附表第7项的规定安排现场踏勘，以便投标人获取须自己负责的有关编制投标文件和签署合同所需的所有资料。踏勘现场所发生的费用由投标人自己承担。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5"/>
        <w:spacing w:before="0" w:after="0"/>
      </w:pPr>
      <w:bookmarkStart w:id="21" w:name="_Toc135293171"/>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22" w:name="q6"/>
      <w:bookmarkEnd w:id="22"/>
      <w:bookmarkStart w:id="23" w:name="_Toc135293172"/>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为了便于投标文件保存，需提交一份投标文件备份光盘（或U盘，内容为投标文件正本盖章扫描件）。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17.6  投标文件必须标注页码并装订成册。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17.7  投标文件不符合上述规定的，为无效投标。</w:t>
      </w:r>
    </w:p>
    <w:p>
      <w:pPr>
        <w:adjustRightInd w:val="0"/>
        <w:spacing w:line="360" w:lineRule="auto"/>
        <w:rPr>
          <w:rFonts w:asciiTheme="minorEastAsia" w:hAnsiTheme="minorEastAsia" w:eastAsiaTheme="minorEastAsia"/>
          <w:snapToGrid w:val="0"/>
          <w:kern w:val="0"/>
        </w:rPr>
      </w:pPr>
    </w:p>
    <w:p>
      <w:pPr>
        <w:pStyle w:val="5"/>
        <w:spacing w:before="0" w:after="0"/>
      </w:pPr>
      <w:bookmarkStart w:id="24" w:name="q7"/>
      <w:bookmarkEnd w:id="24"/>
      <w:bookmarkStart w:id="25" w:name="_Toc135293173"/>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w:t>
      </w:r>
      <w:r>
        <w:rPr>
          <w:rFonts w:hint="eastAsia" w:asciiTheme="minorEastAsia" w:hAnsiTheme="minorEastAsia" w:eastAsiaTheme="minorEastAsia"/>
          <w:snapToGrid w:val="0"/>
          <w:kern w:val="0"/>
        </w:rPr>
        <w:t>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27" w:name="q8"/>
      <w:bookmarkEnd w:id="27"/>
      <w:bookmarkStart w:id="28" w:name="_Toc135293174"/>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22.2.3  投标人未参加开标的，视同认可开标结果。投标人不足3家的，不得开标。</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招标机构就投标文件中的资格证明等内容对投标供应商进行资格性审查，审查不合格的，认定其投标无效。合格投标人不足3家的，不得评标。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zCs w:val="21"/>
        </w:rPr>
        <w:t>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24.8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snapToGrid w:val="0"/>
          <w:kern w:val="0"/>
        </w:rPr>
      </w:pPr>
      <w:r>
        <w:rPr>
          <w:rFonts w:hint="eastAsia" w:asciiTheme="minorEastAsia" w:hAnsiTheme="minorEastAsia" w:eastAsiaTheme="minorEastAsia"/>
          <w:snapToGrid w:val="0"/>
          <w:kern w:val="0"/>
        </w:rPr>
        <w:t xml:space="preserve">24.9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24.10 经</w:t>
      </w:r>
      <w:r>
        <w:rPr>
          <w:rFonts w:hint="eastAsia"/>
          <w:snapToGrid w:val="0"/>
          <w:kern w:val="0"/>
        </w:rPr>
        <w:t>评标委员会审查，</w:t>
      </w:r>
      <w:r>
        <w:rPr>
          <w:rFonts w:hint="eastAsia" w:ascii="宋体" w:hAnsi="宋体" w:cs="仿宋_GB2312"/>
          <w:kern w:val="0"/>
          <w:szCs w:val="21"/>
        </w:rPr>
        <w:t>有效投标的供应商不足三家的，按公开招标失败处理。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评标方法和标准”所述进行详细评审，并推荐候选中标供应商。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5"/>
        <w:spacing w:before="0" w:after="0"/>
      </w:pPr>
      <w:bookmarkStart w:id="30" w:name="_Toc135293175"/>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w:pict>
                <v:line id="直线 6" o:spid="_x0000_s3099" o:spt="20" style="position:absolute;left:0pt;flip:x y;margin-left:48.8pt;margin-top:0.9pt;height:57.65pt;width:114.3pt;z-index:251665408;mso-width-relative:page;mso-height-relative:page;" coordsize="21600,21600" o:allowincell="f" o:gfxdata="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o4KQdAAAAAIAQAADwAAAAAAAAABACAA&#10;AAAiAAAAZHJzL2Rvd25yZXYueG1sUEsBAhQAFAAAAAgAh07iQCuupHzcAQAApgMAAA4AAAAAAAAA&#10;AQAgAAAAHwEAAGRycy9lMm9Eb2MueG1sUEsFBgAAAAAGAAYAWQEAAG0FAAAAAA==&#10;">
                  <v:path arrowok="t"/>
                  <v:fill focussize="0,0"/>
                  <v:stroke/>
                  <v:imagedata o:title=""/>
                  <o:lock v:ext="edit"/>
                </v:line>
              </w:pict>
            </w:r>
            <w:r>
              <w:rPr>
                <w:rFonts w:ascii="宋体" w:hAnsi="宋体"/>
                <w:b/>
                <w:szCs w:val="21"/>
              </w:rPr>
              <w:pict>
                <v:line id="直线 7" o:spid="_x0000_s3100" o:spt="20" style="position:absolute;left:0pt;flip:x y;margin-left:7.1pt;margin-top:25.35pt;height:33.2pt;width:156pt;z-index:251666432;mso-width-relative:page;mso-height-relative:page;" coordsize="21600,21600" o:allowincell="f" o:gfxdata="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gVUKbUAAAACgEAAA8AAAAAAAAA&#10;AQAgAAAAIgAAAGRycy9kb3ducmV2LnhtbFBLAQIUABQAAAAIAIdO4kClKU/S3AEAAKYDAAAOAAAA&#10;AAAAAAEAIAAAACMBAABkcnMvZTJvRG9jLnhtbFBLBQYAAAAABgAGAFkBAABxBQAAAAA=&#10;">
                  <v:path arrowok="t"/>
                  <v:fill focussize="0,0"/>
                  <v:stroke/>
                  <v:imagedata o:title=""/>
                  <o:lock v:ext="edit"/>
                </v:line>
              </w:pict>
            </w:r>
            <w:r>
              <w:rPr>
                <w:rFonts w:ascii="宋体" w:hAnsi="宋体"/>
                <w:b/>
                <w:szCs w:val="21"/>
              </w:rPr>
              <w:pict>
                <v:line id="直线 5" o:spid="_x0000_s3098" o:spt="20" style="position:absolute;left:0pt;margin-left:-9pt;margin-top:-0.5pt;height:0pt;width:0.05pt;z-index:251664384;mso-width-relative:page;mso-height-relative:page;" coordsize="21600,21600" o:allowincell="f" o:gfxdata="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0d729IAAAAJAQAADwAAAAAAAAABACAAAAAiAAAAZHJzL2Rvd25yZXYueG1s&#10;UEsBAhQAFAAAAAgAh07iQPoFRwzFAQAAhwMAAA4AAAAAAAAAAQAgAAAAIQEAAGRycy9lMm9Eb2Mu&#10;eG1sUEsFBgAAAAAGAAYAWQEAAFgFAAAAAA==&#10;">
                  <v:path arrowok="t"/>
                  <v:fill focussize="0,0"/>
                  <v:stroke/>
                  <v:imagedata o:title=""/>
                  <o:lock v:ext="edit"/>
                </v:line>
              </w:pic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5"/>
        <w:spacing w:before="0" w:after="0"/>
      </w:pPr>
      <w:bookmarkStart w:id="31" w:name="_Toc135293176"/>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
    <w:p/>
    <w:p/>
    <w:p/>
    <w:p/>
    <w:p/>
    <w:p/>
    <w:p/>
    <w:p/>
    <w:p>
      <w:pPr>
        <w:pStyle w:val="3"/>
      </w:pPr>
      <w:bookmarkStart w:id="34" w:name="_Toc135293177"/>
      <w:r>
        <w:rPr>
          <w:rFonts w:hint="eastAsia"/>
        </w:rPr>
        <w:t>第七章  投标文件格式</w:t>
      </w:r>
      <w:bookmarkEnd w:id="34"/>
    </w:p>
    <w:p>
      <w:pPr>
        <w:jc w:val="center"/>
        <w:rPr>
          <w:b/>
          <w:sz w:val="52"/>
          <w:szCs w:val="52"/>
        </w:rPr>
      </w:pPr>
    </w:p>
    <w:p>
      <w:pPr>
        <w:pStyle w:val="5"/>
        <w:spacing w:line="400" w:lineRule="exact"/>
        <w:rPr>
          <w:rFonts w:ascii="仿宋" w:hAnsi="仿宋" w:eastAsia="仿宋"/>
        </w:rPr>
      </w:pPr>
      <w:bookmarkStart w:id="35" w:name="_Toc44690431"/>
      <w:bookmarkStart w:id="36" w:name="_Toc44690704"/>
      <w:bookmarkStart w:id="37" w:name="_Toc44691163"/>
      <w:bookmarkStart w:id="38" w:name="_Toc44691395"/>
      <w:bookmarkStart w:id="39" w:name="_Toc11772"/>
      <w:bookmarkStart w:id="40" w:name="_Toc25194"/>
      <w:bookmarkStart w:id="41" w:name="_Toc31468"/>
      <w:bookmarkStart w:id="42" w:name="_Toc135293178"/>
      <w:bookmarkStart w:id="43" w:name="_Toc14934"/>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详见第六章“投标人须知”第17-18条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注：</w:t>
            </w:r>
            <w:r>
              <w:rPr>
                <w:rFonts w:hint="eastAsia" w:asciiTheme="minorEastAsia" w:hAnsiTheme="minorEastAsia" w:eastAsiaTheme="minorEastAsia"/>
                <w:snapToGrid w:val="0"/>
                <w:kern w:val="0"/>
              </w:rPr>
              <w:t>投标文件必须标注页码并装订成册。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spacing w:line="400" w:lineRule="exact"/>
        <w:rPr>
          <w:rFonts w:ascii="仿宋" w:hAnsi="仿宋" w:eastAsia="仿宋"/>
        </w:rPr>
      </w:pPr>
      <w:bookmarkStart w:id="44" w:name="_投标文件格式（第一册）"/>
      <w:bookmarkEnd w:id="44"/>
      <w:bookmarkStart w:id="45" w:name="q0"/>
    </w:p>
    <w:p>
      <w:pPr>
        <w:spacing w:line="400" w:lineRule="exact"/>
        <w:rPr>
          <w:rFonts w:ascii="仿宋" w:hAnsi="仿宋" w:eastAsia="仿宋"/>
        </w:rPr>
      </w:pPr>
    </w:p>
    <w:p>
      <w:pPr>
        <w:spacing w:line="400" w:lineRule="exact"/>
        <w:rPr>
          <w:rFonts w:ascii="仿宋" w:hAnsi="仿宋" w:eastAsia="仿宋"/>
        </w:rPr>
      </w:pPr>
    </w:p>
    <w:p>
      <w:pPr>
        <w:pStyle w:val="5"/>
        <w:spacing w:line="400" w:lineRule="exact"/>
        <w:rPr>
          <w:rFonts w:ascii="仿宋" w:hAnsi="仿宋" w:eastAsia="仿宋"/>
        </w:rPr>
      </w:pPr>
      <w:bookmarkStart w:id="46" w:name="_Toc135293179"/>
      <w:r>
        <w:rPr>
          <w:rFonts w:hint="eastAsia" w:ascii="仿宋" w:hAnsi="仿宋" w:eastAsia="仿宋"/>
        </w:rPr>
        <w:t>投标文件格式</w:t>
      </w:r>
      <w:bookmarkEnd w:id="46"/>
    </w:p>
    <w:bookmarkEnd w:id="45"/>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注：此表应与“法定代表人（负责人）证明书、法定代表人（负责人）授权委托书”一起密封于一信封，在递交投标文件时单独交予</w:t>
      </w:r>
      <w:r>
        <w:rPr>
          <w:rFonts w:hint="eastAsia" w:asciiTheme="minorEastAsia" w:hAnsiTheme="minorEastAsia" w:eastAsiaTheme="minorEastAsia"/>
          <w:b/>
          <w:bCs/>
          <w:snapToGrid w:val="0"/>
          <w:kern w:val="0"/>
          <w:szCs w:val="21"/>
        </w:rPr>
        <w:t>采购代理机构。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pStyle w:val="5"/>
        <w:spacing w:line="400" w:lineRule="exact"/>
        <w:rPr>
          <w:rFonts w:ascii="仿宋" w:hAnsi="仿宋" w:eastAsia="仿宋"/>
        </w:rPr>
      </w:pPr>
      <w:bookmarkStart w:id="48" w:name="_Toc135293180"/>
      <w:bookmarkStart w:id="49" w:name="_Toc73613640"/>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szCs w:val="21"/>
        </w:rPr>
      </w:pPr>
    </w:p>
    <w:p/>
    <w:p/>
    <w:p/>
    <w:p/>
    <w:p/>
    <w:p/>
    <w:p/>
    <w:p/>
    <w:p/>
    <w:p/>
    <w:p/>
    <w:p/>
    <w:p>
      <w:pPr>
        <w:pStyle w:val="5"/>
        <w:spacing w:line="400" w:lineRule="exact"/>
        <w:rPr>
          <w:rFonts w:ascii="仿宋" w:hAnsi="仿宋" w:eastAsia="仿宋"/>
        </w:rPr>
      </w:pPr>
      <w:bookmarkStart w:id="50" w:name="_Toc135293181"/>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其他资料</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spacing w:line="360" w:lineRule="exact"/>
        <w:rPr>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jc w:val="center"/>
      </w:pPr>
    </w:p>
    <w:p/>
    <w:p/>
    <w:p/>
    <w:p/>
    <w:p/>
    <w:p/>
    <w:p/>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51" w:name="_Toc44691164"/>
      <w:bookmarkStart w:id="52" w:name="_Toc44691396"/>
      <w:bookmarkStart w:id="53" w:name="_Toc44690432"/>
      <w:bookmarkStart w:id="54" w:name="_Toc135293182"/>
      <w:bookmarkStart w:id="55" w:name="_Toc44690705"/>
      <w:r>
        <w:rPr>
          <w:rFonts w:hint="eastAsia" w:asciiTheme="minorEastAsia" w:hAnsiTheme="minorEastAsia" w:eastAsiaTheme="minorEastAsia"/>
        </w:rPr>
        <w:t>格式1  投标人资格证明文件</w:t>
      </w:r>
      <w:bookmarkEnd w:id="51"/>
      <w:bookmarkEnd w:id="52"/>
      <w:bookmarkEnd w:id="53"/>
      <w:bookmarkEnd w:id="54"/>
      <w:bookmarkEnd w:id="55"/>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1.我单位满足《中华人民共和国政府采购法》第二十二条规定的下列条件：</w:t>
      </w:r>
    </w:p>
    <w:p>
      <w:pPr>
        <w:spacing w:line="400" w:lineRule="exact"/>
        <w:ind w:firstLine="420" w:firstLineChars="200"/>
        <w:rPr>
          <w:rFonts w:ascii="宋体" w:hAnsi="宋体"/>
          <w:szCs w:val="21"/>
        </w:rPr>
      </w:pPr>
      <w:r>
        <w:rPr>
          <w:rFonts w:hint="eastAsia" w:ascii="宋体" w:hAnsi="宋体"/>
          <w:szCs w:val="21"/>
        </w:rPr>
        <w:t>（一）具有独立承担民事责任的能力；</w:t>
      </w:r>
    </w:p>
    <w:p>
      <w:pPr>
        <w:spacing w:line="400" w:lineRule="exact"/>
        <w:ind w:firstLine="420" w:firstLineChars="200"/>
        <w:rPr>
          <w:rFonts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（六）法律、行政法规规定的其他条件。</w:t>
      </w:r>
    </w:p>
    <w:p>
      <w:pPr>
        <w:spacing w:line="400" w:lineRule="exact"/>
        <w:ind w:firstLine="420" w:firstLineChars="200"/>
        <w:rPr>
          <w:rFonts w:ascii="宋体" w:hAnsi="宋体"/>
          <w:szCs w:val="21"/>
        </w:rPr>
      </w:pPr>
      <w:r>
        <w:rPr>
          <w:rFonts w:hint="eastAsia" w:ascii="宋体" w:hAnsi="宋体"/>
          <w:szCs w:val="21"/>
        </w:rPr>
        <w:t>2.我单位参与本项目采购活动前三年内，在经营活动中没有重大违法记录，包括</w:t>
      </w:r>
      <w:r>
        <w:rPr>
          <w:szCs w:val="21"/>
        </w:rPr>
        <w:t>因违法经营受到刑事处罚或者责令停产停业、吊销许可证或者执照、较大数额罚款等行政处罚</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联合体投标，</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 我单位参与该项目投标，严格遵循公平竞争的原则，不妨碍其他投标人的竞争行为，不损害采购人或者其他投标人的合法权益，与其他采购参加人不存在下列串通投标情形：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56" w:name="_Toc135293183"/>
      <w:r>
        <w:rPr>
          <w:rFonts w:hint="eastAsia" w:asciiTheme="minorEastAsia" w:hAnsiTheme="minorEastAsia" w:eastAsiaTheme="minorEastAsia"/>
        </w:rPr>
        <w:t>格式2  法定代表人（负责人）证明书及授权委托书</w:t>
      </w:r>
      <w:bookmarkEnd w:id="56"/>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63360;mso-width-relative:page;mso-height-relative:page;" coordsize="21600,21600">
            <v:path/>
            <v:fill focussize="0,0"/>
            <v:stroke/>
            <v:imagedata o:title=""/>
            <o:lock v:ext="edit"/>
            <v:textbo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62336;mso-width-relative:page;mso-height-relative:page;" coordsize="21600,21600">
            <v:path/>
            <v:fill focussize="0,0"/>
            <v:stroke/>
            <v:imagedata o:title=""/>
            <o:lock v:ext="edit"/>
            <v:textbo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2249" w:firstLineChars="800"/>
        <w:rPr>
          <w:b/>
          <w:bCs/>
          <w:sz w:val="28"/>
        </w:rPr>
      </w:pPr>
    </w:p>
    <w:p>
      <w:pPr>
        <w:ind w:firstLine="2249" w:firstLineChars="800"/>
        <w:rPr>
          <w:b/>
          <w:bCs/>
          <w:sz w:val="28"/>
        </w:rPr>
      </w:pPr>
    </w:p>
    <w:p>
      <w:pPr>
        <w:ind w:firstLine="2249" w:firstLineChars="800"/>
        <w:rPr>
          <w:b/>
          <w:bCs/>
          <w:sz w:val="28"/>
        </w:rPr>
      </w:pP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7" w:name="_Toc226217114"/>
      <w:r>
        <w:rPr>
          <w:rFonts w:ascii="宋体"/>
        </w:rPr>
        <w:pict>
          <v:rect id="Rectangle 2" o:spid="_x0000_s3093" o:spt="1" style="position:absolute;left:0pt;margin-left:-10.35pt;margin-top:5.6pt;height:156pt;width:243pt;z-index:25166028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6131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7"/>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
      <w:pPr>
        <w:tabs>
          <w:tab w:val="left" w:pos="720"/>
        </w:tabs>
        <w:adjustRightInd w:val="0"/>
        <w:snapToGrid w:val="0"/>
        <w:spacing w:line="300" w:lineRule="auto"/>
      </w:pPr>
    </w:p>
    <w:p>
      <w:pPr>
        <w:tabs>
          <w:tab w:val="left" w:pos="720"/>
        </w:tabs>
        <w:adjustRightInd w:val="0"/>
        <w:snapToGrid w:val="0"/>
        <w:spacing w:line="300" w:lineRule="auto"/>
        <w:rPr>
          <w:b/>
          <w:snapToGrid w:val="0"/>
          <w:kern w:val="0"/>
          <w:sz w:val="28"/>
        </w:rPr>
      </w:pPr>
    </w:p>
    <w:p>
      <w:pPr>
        <w:pStyle w:val="4"/>
        <w:tabs>
          <w:tab w:val="left" w:pos="371"/>
        </w:tabs>
        <w:spacing w:before="120" w:after="120"/>
        <w:ind w:left="-1" w:leftChars="-1" w:hanging="1"/>
        <w:jc w:val="center"/>
        <w:rPr>
          <w:rFonts w:asciiTheme="minorEastAsia" w:hAnsiTheme="minorEastAsia" w:eastAsiaTheme="minorEastAsia"/>
        </w:rPr>
      </w:pPr>
      <w:bookmarkStart w:id="58" w:name="_Toc135293184"/>
      <w:r>
        <w:rPr>
          <w:rFonts w:hint="eastAsia" w:asciiTheme="minorEastAsia" w:hAnsiTheme="minorEastAsia" w:eastAsiaTheme="minorEastAsia"/>
        </w:rPr>
        <w:t>格式3  投</w:t>
      </w:r>
      <w:r>
        <w:rPr>
          <w:rFonts w:asciiTheme="minorEastAsia" w:hAnsiTheme="minorEastAsia" w:eastAsiaTheme="minorEastAsia"/>
        </w:rPr>
        <w:t xml:space="preserve"> </w:t>
      </w:r>
      <w:r>
        <w:rPr>
          <w:rFonts w:hint="eastAsia" w:asciiTheme="minorEastAsia" w:hAnsiTheme="minorEastAsia" w:eastAsiaTheme="minorEastAsia"/>
        </w:rPr>
        <w:t>标</w:t>
      </w:r>
      <w:r>
        <w:rPr>
          <w:rFonts w:asciiTheme="minorEastAsia" w:hAnsiTheme="minorEastAsia" w:eastAsiaTheme="minorEastAsia"/>
        </w:rPr>
        <w:t xml:space="preserve"> </w:t>
      </w:r>
      <w:r>
        <w:rPr>
          <w:rFonts w:hint="eastAsia" w:asciiTheme="minorEastAsia" w:hAnsiTheme="minorEastAsia" w:eastAsiaTheme="minorEastAsia"/>
        </w:rPr>
        <w:t>函</w:t>
      </w:r>
      <w:bookmarkEnd w:id="58"/>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p>
    <w:p>
      <w:pPr>
        <w:tabs>
          <w:tab w:val="left" w:pos="371"/>
        </w:tabs>
        <w:spacing w:before="120" w:after="120"/>
        <w:ind w:left="-1" w:leftChars="-1" w:hanging="1"/>
        <w:jc w:val="center"/>
        <w:rPr>
          <w:rFonts w:asciiTheme="minorEastAsia" w:hAnsiTheme="minorEastAsia" w:eastAsiaTheme="minorEastAsia"/>
          <w:sz w:val="24"/>
        </w:rPr>
      </w:pPr>
    </w:p>
    <w:p>
      <w:pPr>
        <w:pStyle w:val="4"/>
        <w:tabs>
          <w:tab w:val="left" w:pos="371"/>
        </w:tabs>
        <w:spacing w:before="120" w:after="120"/>
        <w:ind w:left="-1" w:leftChars="-1" w:hanging="1"/>
        <w:jc w:val="center"/>
        <w:rPr>
          <w:rFonts w:asciiTheme="minorEastAsia" w:hAnsiTheme="minorEastAsia" w:eastAsiaTheme="minorEastAsia"/>
        </w:rPr>
      </w:pPr>
      <w:bookmarkStart w:id="59" w:name="_Toc135293185"/>
      <w:r>
        <w:rPr>
          <w:rFonts w:hint="eastAsia" w:asciiTheme="minorEastAsia" w:hAnsiTheme="minorEastAsia" w:eastAsiaTheme="minorEastAsia"/>
        </w:rPr>
        <w:t>格式4  评分中涉及的承诺及声明函</w:t>
      </w:r>
      <w:bookmarkEnd w:id="59"/>
    </w:p>
    <w:p>
      <w:pPr>
        <w:widowControl/>
        <w:snapToGrid w:val="0"/>
        <w:spacing w:line="360" w:lineRule="auto"/>
        <w:jc w:val="left"/>
        <w:rPr>
          <w:rFonts w:ascii="仿宋" w:hAnsi="仿宋" w:eastAsia="仿宋"/>
          <w:b/>
          <w:bCs/>
          <w:color w:val="FF0000"/>
          <w:kern w:val="0"/>
          <w:sz w:val="25"/>
          <w:szCs w:val="25"/>
        </w:rPr>
      </w:pPr>
    </w:p>
    <w:p>
      <w:pPr>
        <w:widowControl/>
        <w:snapToGrid w:val="0"/>
        <w:spacing w:line="360" w:lineRule="auto"/>
        <w:jc w:val="left"/>
        <w:outlineLvl w:val="3"/>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jc w:val="left"/>
        <w:rPr>
          <w:rFonts w:asciiTheme="minorEastAsia" w:hAnsiTheme="minorEastAsia" w:eastAsiaTheme="minorEastAsia"/>
          <w:kern w:val="0"/>
          <w:szCs w:val="21"/>
        </w:rPr>
      </w:pPr>
      <w:r>
        <w:rPr>
          <w:rFonts w:hint="eastAsia" w:ascii="仿宋" w:hAnsi="仿宋" w:eastAsia="仿宋"/>
          <w:kern w:val="0"/>
          <w:sz w:val="25"/>
          <w:szCs w:val="25"/>
        </w:rPr>
        <w:t xml:space="preserve">  </w:t>
      </w:r>
      <w:r>
        <w:rPr>
          <w:rFonts w:hint="eastAsia" w:asciiTheme="minorEastAsia" w:hAnsiTheme="minorEastAsia" w:eastAsiaTheme="minorEastAsia"/>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60" w:name="_Hlk71925120"/>
      <w:r>
        <w:rPr>
          <w:rFonts w:hint="eastAsia" w:asciiTheme="minorEastAsia" w:hAnsiTheme="minorEastAsia" w:eastAsiaTheme="minorEastAsia"/>
          <w:kern w:val="0"/>
          <w:szCs w:val="21"/>
        </w:rPr>
        <w:t>《关于印发中小企业划型标准规定的通知》（工信部联企业〔2011〕300 号</w:t>
      </w:r>
      <w:bookmarkEnd w:id="60"/>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宋体" w:hAnsi="宋体" w:eastAsiaTheme="minorEastAsia" w:cstheme="minorBidi"/>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r>
        <w:rPr>
          <w:rFonts w:hint="eastAsia" w:ascii="宋体" w:hAnsi="宋体" w:eastAsiaTheme="minorEastAsia" w:cstheme="minorBidi"/>
          <w:kern w:val="0"/>
          <w:szCs w:val="21"/>
        </w:rPr>
        <w:t>；</w:t>
      </w:r>
    </w:p>
    <w:p>
      <w:pPr>
        <w:widowControl/>
        <w:snapToGrid w:val="0"/>
        <w:spacing w:line="360" w:lineRule="auto"/>
        <w:ind w:firstLine="426" w:firstLineChars="202"/>
        <w:jc w:val="left"/>
        <w:rPr>
          <w:b/>
          <w:bCs/>
          <w:color w:val="FF0000"/>
        </w:rPr>
      </w:pPr>
      <w:r>
        <w:rPr>
          <w:rFonts w:hint="eastAsia" w:asciiTheme="minorEastAsia" w:hAnsiTheme="minorEastAsia" w:eastAsiaTheme="minorEastAsia"/>
          <w:b/>
          <w:color w:val="FF0000"/>
          <w:kern w:val="0"/>
          <w:szCs w:val="21"/>
        </w:rPr>
        <w:t>（7）如为联合体投标或以分包形式投标的，需分别填写每家中小企业的企业名称、从业人员、营业收入、资产总额、企业类别（中型企业、小型企业、微型企业）等信息。</w:t>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pStyle w:val="6"/>
        <w:tabs>
          <w:tab w:val="left" w:pos="0"/>
        </w:tabs>
        <w:jc w:val="center"/>
        <w:rPr>
          <w:rFonts w:ascii="宋体" w:hAnsi="宋体" w:eastAsia="宋体"/>
        </w:rPr>
      </w:pPr>
      <w:r>
        <w:rPr>
          <w:rFonts w:hint="eastAsia" w:ascii="宋体" w:hAnsi="宋体" w:eastAsia="宋体"/>
        </w:rPr>
        <w:t>中小企业声明函</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bookmarkStart w:id="61" w:name="_Toc135293186"/>
      <w:bookmarkStart w:id="62" w:name="_Toc44691165"/>
      <w:bookmarkStart w:id="63" w:name="_Toc44690433"/>
      <w:bookmarkStart w:id="64" w:name="_Toc44691397"/>
      <w:bookmarkStart w:id="65" w:name="_Toc44690706"/>
    </w:p>
    <w:p/>
    <w:p>
      <w:pPr>
        <w:keepNext/>
        <w:keepLines/>
        <w:tabs>
          <w:tab w:val="left" w:pos="0"/>
        </w:tabs>
        <w:spacing w:before="280" w:after="290" w:line="376" w:lineRule="auto"/>
        <w:jc w:val="center"/>
        <w:outlineLvl w:val="3"/>
        <w:rPr>
          <w:rFonts w:ascii="宋体" w:hAnsi="宋体"/>
          <w:b/>
          <w:bCs/>
          <w:sz w:val="28"/>
          <w:szCs w:val="28"/>
        </w:rPr>
      </w:pPr>
      <w:r>
        <w:rPr>
          <w:rFonts w:hint="eastAsia" w:ascii="宋体" w:hAnsi="宋体"/>
          <w:b/>
          <w:bCs/>
          <w:sz w:val="28"/>
          <w:szCs w:val="28"/>
        </w:rPr>
        <w:t>列入政府优先采购清单的投标产品一览表</w:t>
      </w:r>
    </w:p>
    <w:tbl>
      <w:tblPr>
        <w:tblStyle w:val="50"/>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1241"/>
        <w:gridCol w:w="2292"/>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40" w:type="dxa"/>
            <w:vMerge w:val="restart"/>
            <w:vAlign w:val="center"/>
          </w:tcPr>
          <w:p>
            <w:pPr>
              <w:jc w:val="cente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3"/>
            <w:vAlign w:val="center"/>
          </w:tcPr>
          <w:p>
            <w:pPr>
              <w:jc w:val="center"/>
              <w:rPr>
                <w:b/>
                <w:szCs w:val="21"/>
              </w:rPr>
            </w:pPr>
            <w:r>
              <w:rPr>
                <w:rFonts w:hint="eastAsia"/>
                <w:b/>
                <w:szCs w:val="21"/>
              </w:rPr>
              <w:t>投标产品报价</w:t>
            </w:r>
          </w:p>
        </w:tc>
        <w:tc>
          <w:tcPr>
            <w:tcW w:w="1503" w:type="dxa"/>
            <w:vMerge w:val="restart"/>
            <w:vAlign w:val="center"/>
          </w:tcPr>
          <w:p>
            <w:pPr>
              <w:jc w:val="center"/>
              <w:rPr>
                <w:b/>
                <w:szCs w:val="21"/>
              </w:rPr>
            </w:pPr>
            <w:r>
              <w:rPr>
                <w:rFonts w:hint="eastAsia"/>
                <w:b/>
                <w:szCs w:val="21"/>
              </w:rPr>
              <w:t>属于优先采购清单的类别</w:t>
            </w:r>
          </w:p>
        </w:tc>
        <w:tc>
          <w:tcPr>
            <w:tcW w:w="720" w:type="dxa"/>
            <w:vMerge w:val="restart"/>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1241" w:type="dxa"/>
            <w:vAlign w:val="center"/>
          </w:tcPr>
          <w:p>
            <w:pPr>
              <w:jc w:val="center"/>
              <w:rPr>
                <w:szCs w:val="21"/>
              </w:rPr>
            </w:pPr>
            <w:r>
              <w:rPr>
                <w:rFonts w:hint="eastAsia"/>
                <w:szCs w:val="21"/>
              </w:rPr>
              <w:t>投标单价（元）</w:t>
            </w:r>
          </w:p>
        </w:tc>
        <w:tc>
          <w:tcPr>
            <w:tcW w:w="2292" w:type="dxa"/>
            <w:vAlign w:val="center"/>
          </w:tcPr>
          <w:p>
            <w:pPr>
              <w:jc w:val="center"/>
              <w:rPr>
                <w:szCs w:val="21"/>
              </w:rPr>
            </w:pPr>
            <w:r>
              <w:rPr>
                <w:rFonts w:hint="eastAsia"/>
                <w:szCs w:val="21"/>
              </w:rPr>
              <w:t>投标</w:t>
            </w:r>
            <w:r>
              <w:rPr>
                <w:rFonts w:hint="eastAsia" w:ascii="宋体" w:hAnsi="宋体"/>
                <w:szCs w:val="21"/>
              </w:rPr>
              <w:t>合计</w:t>
            </w:r>
            <w:r>
              <w:rPr>
                <w:rFonts w:hint="eastAsia"/>
                <w:szCs w:val="21"/>
              </w:rPr>
              <w:t>报价（元）</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1</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2</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ascii="宋体" w:hAnsi="宋体"/>
          <w:b/>
          <w:szCs w:val="21"/>
        </w:rPr>
        <w:t>对</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投标产品，投标人须提供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以及相应的节能或环境标志产品政府采购品目清单，并显著标识投标产品所处位置。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rPr>
          <w:rFonts w:hint="eastAsia"/>
          <w:szCs w:val="21"/>
        </w:rPr>
        <w:t>投标产品若不属于上述清单或目录范围内，则无需填写该表。</w:t>
      </w:r>
    </w:p>
    <w:p>
      <w:pPr>
        <w:spacing w:line="360" w:lineRule="auto"/>
        <w:rPr>
          <w:rFonts w:ascii="宋体" w:hAnsi="宋体"/>
          <w:szCs w:val="21"/>
        </w:rPr>
      </w:pPr>
      <w:r>
        <w:rPr>
          <w:rFonts w:hint="eastAsia" w:ascii="宋体" w:hAnsi="宋体"/>
          <w:szCs w:val="21"/>
        </w:rPr>
        <w:t>2. “投标产品报价”栏中须准确填报该投标产品的投标单价、数量及投标合计报价；投标产品名称、规格型号、价格应与“分项报价表”一致，如不一致，以“分项报价表”为准。</w:t>
      </w:r>
    </w:p>
    <w:p>
      <w:pPr>
        <w:spacing w:line="360" w:lineRule="auto"/>
        <w:rPr>
          <w:rFonts w:ascii="宋体" w:hAnsi="宋体"/>
          <w:szCs w:val="21"/>
        </w:rPr>
      </w:pPr>
      <w:r>
        <w:rPr>
          <w:rFonts w:hint="eastAsia" w:ascii="宋体" w:hAnsi="宋体"/>
          <w:szCs w:val="21"/>
        </w:rPr>
        <w:t>3. “属于优先采购清单的类别”栏中填写“节能产品政府采购品目清单”或“环境标志产品政府采购品目清单”。</w:t>
      </w:r>
    </w:p>
    <w:p>
      <w:pPr>
        <w:widowControl/>
        <w:jc w:val="left"/>
      </w:pPr>
      <w:r>
        <w:br w:type="page"/>
      </w:r>
    </w:p>
    <w:p/>
    <w:p>
      <w:pPr>
        <w:pStyle w:val="4"/>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格式5  开标一览表</w:t>
      </w:r>
      <w:bookmarkEnd w:id="61"/>
      <w:bookmarkEnd w:id="62"/>
      <w:bookmarkEnd w:id="63"/>
      <w:bookmarkEnd w:id="64"/>
      <w:bookmarkEnd w:id="6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1"/>
        <w:gridCol w:w="4034"/>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61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034"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611" w:type="dxa"/>
            <w:tcBorders>
              <w:top w:val="single" w:color="auto" w:sz="4" w:space="0"/>
            </w:tcBorders>
            <w:vAlign w:val="center"/>
          </w:tcPr>
          <w:p>
            <w:pPr>
              <w:adjustRightInd w:val="0"/>
              <w:snapToGrid w:val="0"/>
              <w:spacing w:line="360" w:lineRule="auto"/>
              <w:jc w:val="center"/>
              <w:rPr>
                <w:rFonts w:hint="eastAsia" w:eastAsia="宋体"/>
                <w:lang w:eastAsia="zh-CN"/>
              </w:rPr>
            </w:pPr>
            <w:r>
              <w:rPr>
                <w:rFonts w:hint="eastAsia" w:asciiTheme="minorEastAsia" w:hAnsiTheme="minorEastAsia" w:eastAsiaTheme="minorEastAsia"/>
                <w:lang w:eastAsia="zh-CN"/>
              </w:rPr>
              <w:t>2024年宝安区、龙华区、光明区农地薇甘菊疫情防控服务项目</w:t>
            </w:r>
          </w:p>
        </w:tc>
        <w:tc>
          <w:tcPr>
            <w:tcW w:w="4034" w:type="dxa"/>
            <w:tcBorders>
              <w:top w:val="single" w:color="auto" w:sz="4" w:space="0"/>
            </w:tcBorders>
            <w:vAlign w:val="center"/>
          </w:tcPr>
          <w:p>
            <w:pPr>
              <w:adjustRightInd w:val="0"/>
              <w:snapToGrid w:val="0"/>
              <w:spacing w:line="360" w:lineRule="auto"/>
              <w:jc w:val="center"/>
              <w:rPr>
                <w:snapToGrid w:val="0"/>
                <w:kern w:val="0"/>
                <w:u w:val="single"/>
              </w:rPr>
            </w:pP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法定代表人或其授权代表：（签字）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r>
        <w:rPr>
          <w:rFonts w:hint="eastAsia" w:ascii="宋体" w:hAnsi="宋体"/>
          <w:bCs/>
        </w:rPr>
        <w:t>，允许仅填报小写金额</w:t>
      </w:r>
      <w:r>
        <w:rPr>
          <w:rFonts w:ascii="宋体" w:hAnsi="宋体"/>
          <w:bCs/>
        </w:rPr>
        <w:t>。</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rPr>
          <w:b/>
          <w:sz w:val="28"/>
        </w:rPr>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
    <w:p/>
    <w:p/>
    <w:p/>
    <w:p/>
    <w:p/>
    <w:p/>
    <w:p/>
    <w:p>
      <w:r>
        <w:br w:type="page"/>
      </w:r>
    </w:p>
    <w:p/>
    <w:p>
      <w:pPr>
        <w:pStyle w:val="4"/>
        <w:tabs>
          <w:tab w:val="left" w:pos="371"/>
        </w:tabs>
        <w:spacing w:before="120" w:after="120"/>
        <w:ind w:left="-1" w:leftChars="-1" w:hanging="1"/>
        <w:jc w:val="center"/>
        <w:rPr>
          <w:rFonts w:asciiTheme="minorEastAsia" w:hAnsiTheme="minorEastAsia" w:eastAsiaTheme="minorEastAsia"/>
        </w:rPr>
      </w:pPr>
      <w:bookmarkStart w:id="66" w:name="_Toc44690434"/>
      <w:bookmarkStart w:id="67" w:name="_Toc135293187"/>
      <w:bookmarkStart w:id="68" w:name="_Toc44691398"/>
      <w:bookmarkStart w:id="69" w:name="_Toc44691166"/>
      <w:bookmarkStart w:id="70" w:name="_Toc44690707"/>
      <w:r>
        <w:rPr>
          <w:rFonts w:hint="eastAsia" w:asciiTheme="minorEastAsia" w:hAnsiTheme="minorEastAsia" w:eastAsiaTheme="minorEastAsia"/>
        </w:rPr>
        <w:t>格式6  报价表</w:t>
      </w:r>
      <w:bookmarkEnd w:id="66"/>
      <w:bookmarkEnd w:id="67"/>
      <w:bookmarkEnd w:id="68"/>
      <w:bookmarkEnd w:id="69"/>
      <w:bookmarkEnd w:id="70"/>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Pr>
        <w:pStyle w:val="28"/>
        <w:adjustRightInd w:val="0"/>
        <w:snapToGrid w:val="0"/>
        <w:spacing w:line="312" w:lineRule="auto"/>
        <w:jc w:val="center"/>
        <w:rPr>
          <w:rFonts w:ascii="Times New Roman" w:hAnsi="Times New Roman"/>
          <w:b/>
          <w:sz w:val="28"/>
        </w:rPr>
      </w:pPr>
    </w:p>
    <w:p/>
    <w:p/>
    <w:p/>
    <w:p/>
    <w:p/>
    <w:p/>
    <w:p/>
    <w:p/>
    <w:p/>
    <w:p/>
    <w:p/>
    <w:p>
      <w:pPr>
        <w:pStyle w:val="4"/>
        <w:tabs>
          <w:tab w:val="left" w:pos="371"/>
        </w:tabs>
        <w:spacing w:before="120" w:after="120"/>
        <w:ind w:left="-1" w:leftChars="-1" w:hanging="1"/>
        <w:jc w:val="center"/>
        <w:rPr>
          <w:rFonts w:asciiTheme="minorEastAsia" w:hAnsiTheme="minorEastAsia" w:eastAsiaTheme="minorEastAsia"/>
        </w:rPr>
      </w:pPr>
      <w:bookmarkStart w:id="71" w:name="_Toc135293188"/>
      <w:bookmarkStart w:id="72" w:name="_Toc44690708"/>
      <w:bookmarkStart w:id="73" w:name="_Toc44691399"/>
      <w:bookmarkStart w:id="74" w:name="_Toc44690435"/>
      <w:bookmarkStart w:id="75" w:name="_Toc44691167"/>
      <w:r>
        <w:rPr>
          <w:rFonts w:hint="eastAsia" w:asciiTheme="minorEastAsia" w:hAnsiTheme="minorEastAsia" w:eastAsiaTheme="minorEastAsia"/>
        </w:rPr>
        <w:t>格式7  服务方案</w:t>
      </w:r>
      <w:bookmarkEnd w:id="71"/>
      <w:bookmarkEnd w:id="72"/>
      <w:bookmarkEnd w:id="73"/>
      <w:bookmarkEnd w:id="74"/>
      <w:bookmarkEnd w:id="75"/>
    </w:p>
    <w:p>
      <w:pPr>
        <w:pStyle w:val="8"/>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hint="eastAsia" w:ascii="宋体" w:hAnsi="宋体" w:cs="宋体"/>
          <w:szCs w:val="21"/>
        </w:rPr>
      </w:pPr>
      <w:r>
        <w:rPr>
          <w:rFonts w:hint="eastAsia" w:ascii="宋体" w:hAnsi="宋体"/>
          <w:szCs w:val="21"/>
        </w:rPr>
        <w:t>1、</w:t>
      </w:r>
      <w:r>
        <w:rPr>
          <w:rFonts w:hint="eastAsia" w:ascii="宋体" w:hAnsi="宋体" w:cs="宋体"/>
          <w:szCs w:val="21"/>
        </w:rPr>
        <w:t>实施方案</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项目重点难点分析、应对措施及相关的合理化建议</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质量（完成时间、安全、环保）保障措施及方案</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rPr>
        <w:t>拟安排的项目负责人情况（仅限一人）</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拟安排的项目主要团队成员（主要技术人员）情况（项目负责人除外）</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拟投入的服务资源（车辆、场地、工具、机器等）情况</w:t>
      </w:r>
    </w:p>
    <w:p>
      <w:pPr>
        <w:spacing w:line="360" w:lineRule="auto"/>
        <w:ind w:firstLine="420" w:firstLineChars="200"/>
        <w:rPr>
          <w:rFonts w:hint="eastAsia" w:ascii="宋体" w:hAnsi="宋体" w:cs="宋体"/>
          <w:szCs w:val="21"/>
          <w:lang w:val="en-US" w:eastAsia="zh-CN"/>
        </w:rPr>
      </w:pPr>
      <w:r>
        <w:rPr>
          <w:rFonts w:hint="eastAsia" w:ascii="宋体" w:hAnsi="宋体" w:cs="宋体"/>
          <w:sz w:val="21"/>
          <w:szCs w:val="21"/>
          <w:lang w:val="en-US" w:eastAsia="zh-CN"/>
        </w:rPr>
        <w:t>7、</w:t>
      </w:r>
      <w:r>
        <w:rPr>
          <w:rFonts w:hint="eastAsia" w:ascii="宋体" w:hAnsi="宋体" w:eastAsia="宋体" w:cs="宋体"/>
          <w:sz w:val="21"/>
          <w:szCs w:val="21"/>
        </w:rPr>
        <w:t>项目现场勘查报告</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8、</w:t>
      </w:r>
      <w:r>
        <w:rPr>
          <w:rFonts w:hint="eastAsia" w:ascii="宋体" w:hAnsi="宋体" w:cs="宋体"/>
          <w:szCs w:val="21"/>
        </w:rPr>
        <w:t>项目的服务承诺</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违约承诺</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10、</w:t>
      </w:r>
      <w:r>
        <w:rPr>
          <w:rFonts w:hint="eastAsia" w:ascii="宋体" w:hAnsi="宋体" w:cs="宋体"/>
          <w:szCs w:val="21"/>
        </w:rPr>
        <w:t>供应商认证情况</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11、</w:t>
      </w:r>
      <w:r>
        <w:rPr>
          <w:rFonts w:hint="eastAsia" w:ascii="宋体" w:hAnsi="宋体" w:cs="宋体"/>
          <w:szCs w:val="21"/>
        </w:rPr>
        <w:t>供应商同类项目业绩情况</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12、</w:t>
      </w:r>
      <w:r>
        <w:rPr>
          <w:rFonts w:hint="eastAsia" w:ascii="宋体" w:hAnsi="宋体" w:cs="宋体"/>
          <w:szCs w:val="21"/>
        </w:rPr>
        <w:t>履约评价情况</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13、</w:t>
      </w:r>
      <w:r>
        <w:rPr>
          <w:rFonts w:hint="eastAsia" w:ascii="宋体" w:hAnsi="宋体" w:cs="宋体"/>
          <w:szCs w:val="21"/>
        </w:rPr>
        <w:t>供应商获奖情况</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14、</w:t>
      </w:r>
      <w:r>
        <w:rPr>
          <w:rFonts w:hint="eastAsia" w:ascii="宋体" w:hAnsi="宋体" w:cs="宋体"/>
          <w:szCs w:val="21"/>
        </w:rPr>
        <w:t>供应商自主知识产权产品（创新、设计）情况</w:t>
      </w:r>
    </w:p>
    <w:p>
      <w:pPr>
        <w:spacing w:line="360" w:lineRule="auto"/>
        <w:ind w:firstLine="420" w:firstLineChars="200"/>
        <w:rPr>
          <w:rFonts w:ascii="宋体" w:hAnsi="宋体"/>
          <w:szCs w:val="21"/>
        </w:rPr>
      </w:pPr>
      <w:r>
        <w:rPr>
          <w:rFonts w:hint="eastAsia" w:ascii="宋体" w:hAnsi="宋体" w:cs="宋体"/>
          <w:szCs w:val="21"/>
          <w:lang w:val="en-US" w:eastAsia="zh-CN"/>
        </w:rPr>
        <w:t>15、</w:t>
      </w:r>
      <w:r>
        <w:rPr>
          <w:rFonts w:hint="eastAsia" w:ascii="宋体" w:hAnsi="宋体" w:cs="宋体"/>
          <w:szCs w:val="21"/>
        </w:rPr>
        <w:t>诚信评审</w:t>
      </w:r>
    </w:p>
    <w:p>
      <w:pPr>
        <w:spacing w:line="360" w:lineRule="auto"/>
        <w:ind w:left="420"/>
        <w:rPr>
          <w:rFonts w:ascii="宋体" w:hAnsi="宋体"/>
          <w:bCs/>
        </w:rPr>
      </w:pPr>
      <w:r>
        <w:rPr>
          <w:rFonts w:hint="eastAsia" w:ascii="宋体" w:hAnsi="宋体"/>
          <w:bCs/>
          <w:lang w:val="en-US" w:eastAsia="zh-CN"/>
        </w:rPr>
        <w:t>16</w:t>
      </w:r>
      <w:r>
        <w:rPr>
          <w:rFonts w:hint="eastAsia" w:ascii="宋体" w:hAnsi="宋体"/>
          <w:bCs/>
        </w:rPr>
        <w:t>、投标人认为必要的其他方案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
    <w:p/>
    <w:p>
      <w:pPr>
        <w:pStyle w:val="4"/>
        <w:tabs>
          <w:tab w:val="left" w:pos="371"/>
        </w:tabs>
        <w:spacing w:before="120" w:after="120"/>
        <w:ind w:left="-1" w:leftChars="-1" w:hanging="1"/>
        <w:jc w:val="center"/>
        <w:rPr>
          <w:rFonts w:asciiTheme="minorEastAsia" w:hAnsiTheme="minorEastAsia" w:eastAsiaTheme="minorEastAsia"/>
        </w:rPr>
      </w:pPr>
      <w:bookmarkStart w:id="76" w:name="_Toc135293189"/>
      <w:r>
        <w:rPr>
          <w:rFonts w:asciiTheme="minorEastAsia" w:hAnsiTheme="minorEastAsia" w:eastAsiaTheme="minorEastAsia"/>
        </w:rPr>
        <w:t>格式</w:t>
      </w:r>
      <w:r>
        <w:rPr>
          <w:rFonts w:hint="eastAsia" w:asciiTheme="minorEastAsia" w:hAnsiTheme="minorEastAsia" w:eastAsiaTheme="minorEastAsia"/>
        </w:rPr>
        <w:t>8</w:t>
      </w:r>
      <w:r>
        <w:rPr>
          <w:rFonts w:asciiTheme="minorEastAsia" w:hAnsiTheme="minorEastAsia" w:eastAsiaTheme="minorEastAsia"/>
        </w:rPr>
        <w:t xml:space="preserve">  </w:t>
      </w:r>
      <w:r>
        <w:rPr>
          <w:rFonts w:hint="eastAsia" w:asciiTheme="minorEastAsia" w:hAnsiTheme="minorEastAsia" w:eastAsiaTheme="minorEastAsia"/>
        </w:rPr>
        <w:t>投标人情况介绍</w:t>
      </w:r>
      <w:bookmarkEnd w:id="76"/>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rPr>
          <w:rFonts w:ascii="宋体" w:hAnsi="宋体"/>
          <w:sz w:val="28"/>
        </w:rPr>
      </w:pPr>
    </w:p>
    <w:p/>
    <w:p/>
    <w:p/>
    <w:p/>
    <w:p/>
    <w:p/>
    <w:p/>
    <w:p/>
    <w:p/>
    <w:p/>
    <w:p/>
    <w:p/>
    <w:p/>
    <w:p/>
    <w:p/>
    <w:p/>
    <w:p/>
    <w:p/>
    <w:p/>
    <w:p/>
    <w:p/>
    <w:p/>
    <w:p/>
    <w:p/>
    <w:p/>
    <w:p/>
    <w:p/>
    <w:p/>
    <w:p/>
    <w:p/>
    <w:p/>
    <w:p/>
    <w:p/>
    <w:p/>
    <w:p>
      <w:pPr>
        <w:pStyle w:val="4"/>
        <w:tabs>
          <w:tab w:val="left" w:pos="371"/>
        </w:tabs>
        <w:spacing w:before="120" w:after="120"/>
        <w:ind w:left="-1" w:leftChars="-1" w:hanging="1"/>
        <w:jc w:val="center"/>
        <w:rPr>
          <w:rFonts w:asciiTheme="minorEastAsia" w:hAnsiTheme="minorEastAsia" w:eastAsiaTheme="minorEastAsia"/>
        </w:rPr>
      </w:pPr>
      <w:bookmarkStart w:id="77" w:name="_Toc44690436"/>
      <w:bookmarkStart w:id="78" w:name="_Toc135293190"/>
      <w:bookmarkStart w:id="79" w:name="_Toc44690709"/>
      <w:bookmarkStart w:id="80" w:name="_Toc44691168"/>
      <w:bookmarkStart w:id="81" w:name="_Toc44691400"/>
      <w:r>
        <w:rPr>
          <w:rFonts w:hint="eastAsia" w:asciiTheme="minorEastAsia" w:hAnsiTheme="minorEastAsia" w:eastAsiaTheme="minorEastAsia"/>
        </w:rPr>
        <w:t>格式9  偏离表</w:t>
      </w:r>
      <w:bookmarkEnd w:id="77"/>
      <w:bookmarkEnd w:id="78"/>
      <w:bookmarkEnd w:id="79"/>
      <w:bookmarkEnd w:id="80"/>
      <w:bookmarkEnd w:id="81"/>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4"/>
        <w:tabs>
          <w:tab w:val="left" w:pos="371"/>
        </w:tabs>
        <w:spacing w:before="120" w:after="120"/>
        <w:ind w:left="-1" w:leftChars="-1" w:hanging="1"/>
        <w:jc w:val="center"/>
        <w:rPr>
          <w:rFonts w:asciiTheme="minorEastAsia" w:hAnsiTheme="minorEastAsia" w:eastAsiaTheme="minorEastAsia"/>
        </w:rPr>
      </w:pPr>
      <w:bookmarkStart w:id="82" w:name="_格式4__"/>
      <w:bookmarkEnd w:id="82"/>
      <w:bookmarkStart w:id="83" w:name="q15"/>
      <w:bookmarkEnd w:id="83"/>
      <w:bookmarkStart w:id="84" w:name="_格式2__投标保证金凭证"/>
      <w:bookmarkEnd w:id="84"/>
      <w:bookmarkStart w:id="85" w:name="_格式3__"/>
      <w:bookmarkEnd w:id="85"/>
      <w:bookmarkStart w:id="86" w:name="q16"/>
      <w:bookmarkEnd w:id="86"/>
      <w:bookmarkStart w:id="87" w:name="_格式5__"/>
      <w:bookmarkEnd w:id="87"/>
      <w:bookmarkStart w:id="88" w:name="q17"/>
      <w:bookmarkEnd w:id="88"/>
      <w:r>
        <w:rPr>
          <w:rFonts w:asciiTheme="minorEastAsia" w:hAnsiTheme="minorEastAsia" w:eastAsiaTheme="minorEastAsia"/>
        </w:rPr>
        <w:tab/>
      </w:r>
      <w:bookmarkStart w:id="89" w:name="_Toc44691169"/>
      <w:bookmarkStart w:id="90" w:name="_Toc44690710"/>
      <w:bookmarkStart w:id="91" w:name="_Toc44691401"/>
      <w:bookmarkStart w:id="92" w:name="_Toc44690437"/>
      <w:bookmarkStart w:id="93" w:name="_Toc135293191"/>
      <w:r>
        <w:rPr>
          <w:rFonts w:hint="eastAsia" w:asciiTheme="minorEastAsia" w:hAnsiTheme="minorEastAsia" w:eastAsiaTheme="minorEastAsia"/>
        </w:rPr>
        <w:t xml:space="preserve">格式10  </w:t>
      </w:r>
      <w:bookmarkEnd w:id="89"/>
      <w:bookmarkEnd w:id="90"/>
      <w:bookmarkEnd w:id="91"/>
      <w:bookmarkEnd w:id="92"/>
      <w:r>
        <w:rPr>
          <w:rFonts w:hint="eastAsia" w:asciiTheme="minorEastAsia" w:hAnsiTheme="minorEastAsia" w:eastAsiaTheme="minorEastAsia"/>
        </w:rPr>
        <w:t>招标文件要求的其他资料或投标人认为需要补充的资料</w:t>
      </w:r>
      <w:bookmarkEnd w:id="93"/>
    </w:p>
    <w:p>
      <w:pPr>
        <w:spacing w:line="360" w:lineRule="auto"/>
        <w:jc w:val="center"/>
      </w:pPr>
    </w:p>
    <w:p>
      <w:pPr>
        <w:widowControl/>
        <w:snapToGrid w:val="0"/>
        <w:spacing w:line="360" w:lineRule="auto"/>
        <w:jc w:val="left"/>
        <w:outlineLvl w:val="3"/>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第七十五条规定：供应商有下列情形的，属于采购条例所称的串通投标行为。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或税务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jc w:val="left"/>
        <w:rPr>
          <w:snapToGrid w:val="0"/>
          <w:kern w:val="0"/>
          <w:sz w:val="52"/>
          <w:szCs w:val="52"/>
        </w:rPr>
      </w:pPr>
    </w:p>
    <w:p/>
    <w:p/>
    <w:p/>
    <w:p/>
    <w:p/>
    <w:p/>
    <w:p/>
    <w:p/>
    <w:p/>
    <w:p/>
    <w:p/>
    <w:p/>
    <w:p/>
    <w:p>
      <w:pPr>
        <w:tabs>
          <w:tab w:val="left" w:pos="1875"/>
        </w:tabs>
      </w:pPr>
    </w:p>
    <w:p>
      <w:pPr>
        <w:widowControl/>
        <w:jc w:val="left"/>
        <w:rPr>
          <w:rFonts w:eastAsiaTheme="minorEastAsia"/>
          <w:b/>
          <w:kern w:val="44"/>
          <w:sz w:val="44"/>
          <w:szCs w:val="28"/>
        </w:rPr>
      </w:pPr>
    </w:p>
    <w:p/>
    <w:p>
      <w:pPr>
        <w:pStyle w:val="3"/>
      </w:pPr>
      <w:bookmarkStart w:id="94" w:name="_Toc135293192"/>
      <w:r>
        <w:rPr>
          <w:rFonts w:hint="eastAsia"/>
        </w:rPr>
        <w:t>第八章  合同条款</w:t>
      </w:r>
      <w:bookmarkEnd w:id="94"/>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6"/>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6"/>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6"/>
        <w:snapToGrid w:val="0"/>
        <w:spacing w:line="360" w:lineRule="auto"/>
        <w:ind w:firstLine="422" w:firstLineChars="200"/>
        <w:rPr>
          <w:rFonts w:hAnsi="宋体"/>
          <w:b/>
          <w:szCs w:val="21"/>
        </w:rPr>
      </w:pPr>
      <w:r>
        <w:rPr>
          <w:rFonts w:hint="eastAsia" w:hAnsi="宋体"/>
          <w:b/>
          <w:szCs w:val="21"/>
        </w:rPr>
        <w:t>二、合同金额</w:t>
      </w:r>
    </w:p>
    <w:p>
      <w:pPr>
        <w:pStyle w:val="26"/>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6"/>
        <w:snapToGrid w:val="0"/>
        <w:spacing w:line="360" w:lineRule="auto"/>
        <w:ind w:firstLine="422" w:firstLineChars="200"/>
        <w:rPr>
          <w:rFonts w:hAnsi="宋体"/>
          <w:b/>
          <w:szCs w:val="21"/>
        </w:rPr>
      </w:pPr>
      <w:r>
        <w:rPr>
          <w:rFonts w:hint="eastAsia" w:hAnsi="宋体"/>
          <w:b/>
          <w:szCs w:val="21"/>
        </w:rPr>
        <w:t>三、技术资料</w:t>
      </w:r>
    </w:p>
    <w:p>
      <w:pPr>
        <w:pStyle w:val="26"/>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6"/>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6"/>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6"/>
        <w:snapToGrid w:val="0"/>
        <w:spacing w:line="360" w:lineRule="auto"/>
        <w:ind w:firstLine="422" w:firstLineChars="200"/>
        <w:rPr>
          <w:rFonts w:hAnsi="宋体"/>
          <w:b/>
          <w:szCs w:val="21"/>
        </w:rPr>
      </w:pPr>
      <w:r>
        <w:rPr>
          <w:rFonts w:hint="eastAsia" w:hAnsi="宋体"/>
          <w:b/>
          <w:szCs w:val="21"/>
        </w:rPr>
        <w:t>四、知识产权</w:t>
      </w:r>
    </w:p>
    <w:p>
      <w:pPr>
        <w:pStyle w:val="26"/>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6"/>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6"/>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6"/>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6"/>
        <w:snapToGrid w:val="0"/>
        <w:spacing w:line="360" w:lineRule="auto"/>
        <w:ind w:firstLine="422" w:firstLineChars="200"/>
        <w:rPr>
          <w:rFonts w:hAnsi="宋体"/>
          <w:b/>
          <w:szCs w:val="21"/>
        </w:rPr>
      </w:pPr>
      <w:r>
        <w:rPr>
          <w:rFonts w:hint="eastAsia" w:hAnsi="宋体"/>
          <w:b/>
          <w:szCs w:val="21"/>
        </w:rPr>
        <w:t>十、付款方式和税费</w:t>
      </w:r>
    </w:p>
    <w:p>
      <w:pPr>
        <w:pStyle w:val="26"/>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6"/>
        <w:snapToGrid w:val="0"/>
        <w:spacing w:line="360" w:lineRule="auto"/>
        <w:ind w:firstLine="422" w:firstLineChars="200"/>
        <w:rPr>
          <w:rFonts w:hAnsi="宋体"/>
          <w:b/>
          <w:szCs w:val="21"/>
        </w:rPr>
      </w:pPr>
      <w:r>
        <w:rPr>
          <w:rFonts w:hint="eastAsia" w:hAnsi="宋体"/>
          <w:b/>
          <w:szCs w:val="21"/>
        </w:rPr>
        <w:t>十二、违约责任</w:t>
      </w:r>
    </w:p>
    <w:p>
      <w:pPr>
        <w:pStyle w:val="26"/>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spacing w:line="360" w:lineRule="auto"/>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95" w:name="_Toc73610161"/>
      <w:bookmarkStart w:id="96" w:name="_Toc135293193"/>
      <w:r>
        <w:rPr>
          <w:rFonts w:hint="eastAsia"/>
        </w:rPr>
        <w:t>第九章  附件</w:t>
      </w:r>
      <w:bookmarkEnd w:id="95"/>
      <w:bookmarkEnd w:id="96"/>
    </w:p>
    <w:p>
      <w:pPr>
        <w:pStyle w:val="5"/>
        <w:spacing w:before="0" w:after="0"/>
      </w:pPr>
      <w:bookmarkStart w:id="97" w:name="_Toc73613644"/>
      <w:bookmarkStart w:id="98" w:name="_Toc73610162"/>
      <w:bookmarkStart w:id="99" w:name="_Toc135293194"/>
      <w:r>
        <w:rPr>
          <w:rFonts w:hint="eastAsia"/>
        </w:rPr>
        <w:t>一、财政部 工业和信息化部关于印发《政府采购促进中小企业发展管理办法》的通知</w:t>
      </w:r>
      <w:bookmarkEnd w:id="97"/>
      <w:bookmarkEnd w:id="98"/>
      <w:bookmarkEnd w:id="99"/>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pStyle w:val="5"/>
        <w:spacing w:before="0" w:after="0"/>
      </w:pPr>
      <w:bookmarkStart w:id="100" w:name="_Toc73613645"/>
      <w:bookmarkStart w:id="101" w:name="_Toc135293195"/>
      <w:bookmarkStart w:id="102" w:name="_Toc73610163"/>
      <w:r>
        <w:rPr>
          <w:rFonts w:hint="eastAsia"/>
        </w:rPr>
        <w:t>二、关于印发中小企业划型标准规定的通知</w:t>
      </w:r>
      <w:bookmarkEnd w:id="100"/>
      <w:bookmarkEnd w:id="101"/>
      <w:bookmarkEnd w:id="102"/>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pStyle w:val="5"/>
        <w:spacing w:before="0" w:after="0"/>
      </w:pPr>
      <w:bookmarkStart w:id="103" w:name="_Toc73610164"/>
      <w:bookmarkStart w:id="104" w:name="_Toc135293196"/>
      <w:bookmarkStart w:id="105" w:name="_Toc73613646"/>
      <w:r>
        <w:rPr>
          <w:rFonts w:hint="eastAsia"/>
        </w:rPr>
        <w:t>三、</w:t>
      </w:r>
      <w:r>
        <w:t>国家统计局关于印发《统计上大中小微型企业划分办法 （2017）》的通知</w:t>
      </w:r>
      <w:bookmarkEnd w:id="103"/>
      <w:bookmarkEnd w:id="104"/>
      <w:bookmarkEnd w:id="105"/>
      <w: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5"/>
        <w:spacing w:before="0" w:after="0"/>
      </w:pPr>
      <w:bookmarkStart w:id="106" w:name="_Toc73610165"/>
      <w:bookmarkStart w:id="107" w:name="_Toc73613647"/>
      <w:bookmarkStart w:id="108" w:name="_Toc135293197"/>
      <w:r>
        <w:rPr>
          <w:rFonts w:hint="eastAsia"/>
        </w:rPr>
        <w:t>四、</w:t>
      </w:r>
      <w:r>
        <w:t>财政部 民政部 中国残疾人联合会关于促进残疾人就业 政府采购政策的通知</w:t>
      </w:r>
      <w:bookmarkEnd w:id="106"/>
      <w:bookmarkEnd w:id="107"/>
      <w:bookmarkEnd w:id="108"/>
      <w: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pStyle w:val="5"/>
        <w:spacing w:before="0" w:after="0"/>
      </w:pPr>
      <w:bookmarkStart w:id="109" w:name="_Toc135293198"/>
      <w:r>
        <w:rPr>
          <w:rFonts w:hint="eastAsia"/>
        </w:rPr>
        <w:t>五、财政部 司法部关于政府采购支持监狱企业发展有关问题的通知</w:t>
      </w:r>
      <w:bookmarkEnd w:id="109"/>
      <w: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Segoe UI Symbol">
    <w:panose1 w:val="020B0502040204020203"/>
    <w:charset w:val="00"/>
    <w:family w:val="swiss"/>
    <w:pitch w:val="default"/>
    <w:sig w:usb0="800001E3" w:usb1="1200FFEF" w:usb2="00040000" w:usb3="04000000" w:csb0="00000001" w:csb1="4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9</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pPr>
    <w:r>
      <w:rPr>
        <w:rFonts w:hint="eastAsia"/>
      </w:rPr>
      <w:t>项目名称：</w:t>
    </w:r>
    <w:r>
      <w:rPr>
        <w:rFonts w:hint="eastAsia" w:asciiTheme="minorEastAsia" w:hAnsiTheme="minorEastAsia" w:eastAsiaTheme="minorEastAsia"/>
        <w:lang w:eastAsia="zh-CN"/>
      </w:rPr>
      <w:t>2024年宝安区、龙华区、光明区农地薇甘菊疫情防控服务项目</w:t>
    </w:r>
    <w:r>
      <w:rPr>
        <w:rFonts w:hint="eastAsia" w:asciiTheme="minorEastAsia" w:hAnsiTheme="minorEastAsia" w:eastAsiaTheme="minorEastAsia"/>
      </w:rPr>
      <w:t xml:space="preserve">     </w:t>
    </w:r>
    <w:r>
      <w:rPr>
        <w:rFonts w:hint="eastAsia"/>
      </w:rPr>
      <w:t xml:space="preserve">           </w:t>
    </w:r>
    <w:r>
      <w:rPr>
        <w:rFonts w:hint="eastAsia"/>
        <w:lang w:val="en-US" w:eastAsia="zh-CN"/>
      </w:rPr>
      <w:t xml:space="preserve"> </w:t>
    </w:r>
    <w:r>
      <w:rPr>
        <w:rFonts w:hint="eastAsia"/>
      </w:rPr>
      <w:t>项目编号：</w:t>
    </w:r>
    <w:r>
      <w:rPr>
        <w:rFonts w:hint="eastAsia" w:asciiTheme="minorEastAsia" w:hAnsiTheme="minorEastAsia" w:eastAsiaTheme="minorEastAsia"/>
        <w:lang w:eastAsia="zh-CN"/>
      </w:rPr>
      <w:t>SZZZ2024-QC0111</w:t>
    </w:r>
    <w:r>
      <w:tab/>
    </w:r>
  </w:p>
  <w:p>
    <w:pPr>
      <w:pStyle w:val="32"/>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7"/>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9"/>
      <w:lvlText w:val="%6."/>
      <w:lvlJc w:val="right"/>
      <w:pPr>
        <w:tabs>
          <w:tab w:val="left" w:pos="2531"/>
        </w:tabs>
        <w:ind w:left="2531" w:hanging="420"/>
      </w:pPr>
    </w:lvl>
    <w:lvl w:ilvl="6" w:tentative="0">
      <w:start w:val="1"/>
      <w:numFmt w:val="decimal"/>
      <w:pStyle w:val="10"/>
      <w:lvlText w:val="%7."/>
      <w:lvlJc w:val="left"/>
      <w:pPr>
        <w:tabs>
          <w:tab w:val="left" w:pos="2951"/>
        </w:tabs>
        <w:ind w:left="2951" w:hanging="420"/>
      </w:pPr>
    </w:lvl>
    <w:lvl w:ilvl="7" w:tentative="0">
      <w:start w:val="1"/>
      <w:numFmt w:val="lowerLetter"/>
      <w:pStyle w:val="11"/>
      <w:lvlText w:val="%8)"/>
      <w:lvlJc w:val="left"/>
      <w:pPr>
        <w:tabs>
          <w:tab w:val="left" w:pos="3371"/>
        </w:tabs>
        <w:ind w:left="3371" w:hanging="420"/>
      </w:pPr>
    </w:lvl>
    <w:lvl w:ilvl="8" w:tentative="0">
      <w:start w:val="1"/>
      <w:numFmt w:val="lowerRoman"/>
      <w:pStyle w:val="12"/>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iN2JjZGQwODQzNTVmMDg4ZGNmNzRhYmJlZDY2YTUifQ=="/>
    <w:docVar w:name="KSO_WPS_MARK_KEY" w:val="79bf3387-fe5b-4970-822c-50cd05f3103b"/>
  </w:docVars>
  <w:rsids>
    <w:rsidRoot w:val="00172A27"/>
    <w:rsid w:val="0000134D"/>
    <w:rsid w:val="00001626"/>
    <w:rsid w:val="00001F1C"/>
    <w:rsid w:val="000036D6"/>
    <w:rsid w:val="00003A46"/>
    <w:rsid w:val="00003BA8"/>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9C6"/>
    <w:rsid w:val="00014DBB"/>
    <w:rsid w:val="00015940"/>
    <w:rsid w:val="00015AF5"/>
    <w:rsid w:val="00016458"/>
    <w:rsid w:val="000165EF"/>
    <w:rsid w:val="00016FC3"/>
    <w:rsid w:val="0001728F"/>
    <w:rsid w:val="00017340"/>
    <w:rsid w:val="000208F8"/>
    <w:rsid w:val="00021304"/>
    <w:rsid w:val="0002197F"/>
    <w:rsid w:val="00022C27"/>
    <w:rsid w:val="00022F4F"/>
    <w:rsid w:val="00022FA9"/>
    <w:rsid w:val="000237EE"/>
    <w:rsid w:val="00023830"/>
    <w:rsid w:val="000243D2"/>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40"/>
    <w:rsid w:val="000356F7"/>
    <w:rsid w:val="00035FE0"/>
    <w:rsid w:val="000367ED"/>
    <w:rsid w:val="0003688B"/>
    <w:rsid w:val="000372E9"/>
    <w:rsid w:val="00037359"/>
    <w:rsid w:val="0003762A"/>
    <w:rsid w:val="0003795A"/>
    <w:rsid w:val="00040DA4"/>
    <w:rsid w:val="00042758"/>
    <w:rsid w:val="00043D2B"/>
    <w:rsid w:val="000440D8"/>
    <w:rsid w:val="000442CB"/>
    <w:rsid w:val="000447F6"/>
    <w:rsid w:val="000456B0"/>
    <w:rsid w:val="00045923"/>
    <w:rsid w:val="00045EB5"/>
    <w:rsid w:val="00046595"/>
    <w:rsid w:val="00046998"/>
    <w:rsid w:val="0004741F"/>
    <w:rsid w:val="00047612"/>
    <w:rsid w:val="00047852"/>
    <w:rsid w:val="00050F73"/>
    <w:rsid w:val="00051378"/>
    <w:rsid w:val="0005271F"/>
    <w:rsid w:val="000529DE"/>
    <w:rsid w:val="00053074"/>
    <w:rsid w:val="00053F8F"/>
    <w:rsid w:val="0005402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3DDC"/>
    <w:rsid w:val="00064787"/>
    <w:rsid w:val="00064A61"/>
    <w:rsid w:val="00064FA4"/>
    <w:rsid w:val="00065240"/>
    <w:rsid w:val="00065967"/>
    <w:rsid w:val="00066813"/>
    <w:rsid w:val="000668F4"/>
    <w:rsid w:val="0006745C"/>
    <w:rsid w:val="00067A89"/>
    <w:rsid w:val="00067D3F"/>
    <w:rsid w:val="00067DC4"/>
    <w:rsid w:val="000700C5"/>
    <w:rsid w:val="00070384"/>
    <w:rsid w:val="00071507"/>
    <w:rsid w:val="0007211D"/>
    <w:rsid w:val="00072BD7"/>
    <w:rsid w:val="000730F3"/>
    <w:rsid w:val="00073786"/>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8FB"/>
    <w:rsid w:val="00083D3F"/>
    <w:rsid w:val="00083E84"/>
    <w:rsid w:val="00084A1B"/>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6F0"/>
    <w:rsid w:val="000A584E"/>
    <w:rsid w:val="000A58B9"/>
    <w:rsid w:val="000A5A8E"/>
    <w:rsid w:val="000A5CD4"/>
    <w:rsid w:val="000A6263"/>
    <w:rsid w:val="000A6F16"/>
    <w:rsid w:val="000A7A6C"/>
    <w:rsid w:val="000A7C5A"/>
    <w:rsid w:val="000B0205"/>
    <w:rsid w:val="000B0214"/>
    <w:rsid w:val="000B0817"/>
    <w:rsid w:val="000B0910"/>
    <w:rsid w:val="000B0BAC"/>
    <w:rsid w:val="000B10D9"/>
    <w:rsid w:val="000B1ED2"/>
    <w:rsid w:val="000B20FC"/>
    <w:rsid w:val="000B22EA"/>
    <w:rsid w:val="000B3202"/>
    <w:rsid w:val="000B493E"/>
    <w:rsid w:val="000B4F60"/>
    <w:rsid w:val="000B5B6D"/>
    <w:rsid w:val="000B5CC8"/>
    <w:rsid w:val="000B5DFC"/>
    <w:rsid w:val="000B5E52"/>
    <w:rsid w:val="000B61BF"/>
    <w:rsid w:val="000B620E"/>
    <w:rsid w:val="000B67E1"/>
    <w:rsid w:val="000B6925"/>
    <w:rsid w:val="000C0E15"/>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09C"/>
    <w:rsid w:val="000D48D5"/>
    <w:rsid w:val="000D4AF6"/>
    <w:rsid w:val="000D6088"/>
    <w:rsid w:val="000D6977"/>
    <w:rsid w:val="000D6CFF"/>
    <w:rsid w:val="000D6D74"/>
    <w:rsid w:val="000D6F21"/>
    <w:rsid w:val="000D75EC"/>
    <w:rsid w:val="000D7803"/>
    <w:rsid w:val="000D7D8E"/>
    <w:rsid w:val="000D7DC6"/>
    <w:rsid w:val="000E024C"/>
    <w:rsid w:val="000E08FB"/>
    <w:rsid w:val="000E18B0"/>
    <w:rsid w:val="000E1BD5"/>
    <w:rsid w:val="000E214A"/>
    <w:rsid w:val="000E21D9"/>
    <w:rsid w:val="000E2823"/>
    <w:rsid w:val="000E2BF0"/>
    <w:rsid w:val="000E3219"/>
    <w:rsid w:val="000E321B"/>
    <w:rsid w:val="000E3D76"/>
    <w:rsid w:val="000E4186"/>
    <w:rsid w:val="000E52FA"/>
    <w:rsid w:val="000E6437"/>
    <w:rsid w:val="000E64F6"/>
    <w:rsid w:val="000E6981"/>
    <w:rsid w:val="000E6C3B"/>
    <w:rsid w:val="000F06E7"/>
    <w:rsid w:val="000F0B03"/>
    <w:rsid w:val="000F0BDA"/>
    <w:rsid w:val="000F0D6F"/>
    <w:rsid w:val="000F150F"/>
    <w:rsid w:val="000F1E27"/>
    <w:rsid w:val="000F1EDD"/>
    <w:rsid w:val="000F243B"/>
    <w:rsid w:val="000F2773"/>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A82"/>
    <w:rsid w:val="00114ECC"/>
    <w:rsid w:val="001151A9"/>
    <w:rsid w:val="00115834"/>
    <w:rsid w:val="00115CCC"/>
    <w:rsid w:val="00115E6A"/>
    <w:rsid w:val="0012030F"/>
    <w:rsid w:val="00120AB4"/>
    <w:rsid w:val="00120BE1"/>
    <w:rsid w:val="0012174B"/>
    <w:rsid w:val="00121A55"/>
    <w:rsid w:val="00121B3C"/>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3ECB"/>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510"/>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49C"/>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3F8"/>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6F7"/>
    <w:rsid w:val="00167789"/>
    <w:rsid w:val="00167927"/>
    <w:rsid w:val="0017073E"/>
    <w:rsid w:val="00170C17"/>
    <w:rsid w:val="0017173E"/>
    <w:rsid w:val="00171CA3"/>
    <w:rsid w:val="00171E66"/>
    <w:rsid w:val="001722D8"/>
    <w:rsid w:val="00172A27"/>
    <w:rsid w:val="00172AE3"/>
    <w:rsid w:val="00172C34"/>
    <w:rsid w:val="00173149"/>
    <w:rsid w:val="001733BF"/>
    <w:rsid w:val="00173759"/>
    <w:rsid w:val="001739A3"/>
    <w:rsid w:val="00173D26"/>
    <w:rsid w:val="00174B1E"/>
    <w:rsid w:val="001755B2"/>
    <w:rsid w:val="001755E9"/>
    <w:rsid w:val="00175A5E"/>
    <w:rsid w:val="00176553"/>
    <w:rsid w:val="00177212"/>
    <w:rsid w:val="001774D4"/>
    <w:rsid w:val="00177549"/>
    <w:rsid w:val="00177744"/>
    <w:rsid w:val="001778BE"/>
    <w:rsid w:val="00177F89"/>
    <w:rsid w:val="00180B0D"/>
    <w:rsid w:val="00181ADD"/>
    <w:rsid w:val="00181FEA"/>
    <w:rsid w:val="00181FFD"/>
    <w:rsid w:val="00182706"/>
    <w:rsid w:val="0018284B"/>
    <w:rsid w:val="001828B0"/>
    <w:rsid w:val="00183836"/>
    <w:rsid w:val="001845E9"/>
    <w:rsid w:val="00184630"/>
    <w:rsid w:val="001846D7"/>
    <w:rsid w:val="00184815"/>
    <w:rsid w:val="001848F5"/>
    <w:rsid w:val="001850A4"/>
    <w:rsid w:val="001864FF"/>
    <w:rsid w:val="001874BC"/>
    <w:rsid w:val="00187B3E"/>
    <w:rsid w:val="001913BE"/>
    <w:rsid w:val="0019153B"/>
    <w:rsid w:val="001915A3"/>
    <w:rsid w:val="001919EB"/>
    <w:rsid w:val="00191B94"/>
    <w:rsid w:val="00191D89"/>
    <w:rsid w:val="0019227B"/>
    <w:rsid w:val="00192D08"/>
    <w:rsid w:val="0019368B"/>
    <w:rsid w:val="001938D2"/>
    <w:rsid w:val="00193917"/>
    <w:rsid w:val="001941C8"/>
    <w:rsid w:val="00194D59"/>
    <w:rsid w:val="00195B8B"/>
    <w:rsid w:val="00195DCB"/>
    <w:rsid w:val="00195F14"/>
    <w:rsid w:val="001961A2"/>
    <w:rsid w:val="00196787"/>
    <w:rsid w:val="00196B4C"/>
    <w:rsid w:val="001970AD"/>
    <w:rsid w:val="00197204"/>
    <w:rsid w:val="001A173C"/>
    <w:rsid w:val="001A1844"/>
    <w:rsid w:val="001A1998"/>
    <w:rsid w:val="001A1BE9"/>
    <w:rsid w:val="001A20CA"/>
    <w:rsid w:val="001A290D"/>
    <w:rsid w:val="001A2B9F"/>
    <w:rsid w:val="001A3B13"/>
    <w:rsid w:val="001A3CF6"/>
    <w:rsid w:val="001A3EE7"/>
    <w:rsid w:val="001A4360"/>
    <w:rsid w:val="001A4420"/>
    <w:rsid w:val="001A46B5"/>
    <w:rsid w:val="001A46F2"/>
    <w:rsid w:val="001A68EC"/>
    <w:rsid w:val="001A6C49"/>
    <w:rsid w:val="001A7AB7"/>
    <w:rsid w:val="001A7C91"/>
    <w:rsid w:val="001B0220"/>
    <w:rsid w:val="001B0850"/>
    <w:rsid w:val="001B1281"/>
    <w:rsid w:val="001B1D39"/>
    <w:rsid w:val="001B2126"/>
    <w:rsid w:val="001B2329"/>
    <w:rsid w:val="001B23F5"/>
    <w:rsid w:val="001B24E4"/>
    <w:rsid w:val="001B2666"/>
    <w:rsid w:val="001B2909"/>
    <w:rsid w:val="001B2A31"/>
    <w:rsid w:val="001B2D49"/>
    <w:rsid w:val="001B2E91"/>
    <w:rsid w:val="001B5780"/>
    <w:rsid w:val="001B5B42"/>
    <w:rsid w:val="001B606A"/>
    <w:rsid w:val="001B6DDB"/>
    <w:rsid w:val="001B7078"/>
    <w:rsid w:val="001B7491"/>
    <w:rsid w:val="001B75CF"/>
    <w:rsid w:val="001B7A8D"/>
    <w:rsid w:val="001B7EBE"/>
    <w:rsid w:val="001C06C0"/>
    <w:rsid w:val="001C0AC9"/>
    <w:rsid w:val="001C0D5A"/>
    <w:rsid w:val="001C10E5"/>
    <w:rsid w:val="001C1A12"/>
    <w:rsid w:val="001C1D46"/>
    <w:rsid w:val="001C1F6C"/>
    <w:rsid w:val="001C21BB"/>
    <w:rsid w:val="001C3000"/>
    <w:rsid w:val="001C30D1"/>
    <w:rsid w:val="001C33D6"/>
    <w:rsid w:val="001C35B7"/>
    <w:rsid w:val="001C36F7"/>
    <w:rsid w:val="001C3AE0"/>
    <w:rsid w:val="001C3BAD"/>
    <w:rsid w:val="001C5F9A"/>
    <w:rsid w:val="001C6ECF"/>
    <w:rsid w:val="001C7E49"/>
    <w:rsid w:val="001D012D"/>
    <w:rsid w:val="001D0702"/>
    <w:rsid w:val="001D0A25"/>
    <w:rsid w:val="001D1078"/>
    <w:rsid w:val="001D1659"/>
    <w:rsid w:val="001D296C"/>
    <w:rsid w:val="001D2E3E"/>
    <w:rsid w:val="001D2E8A"/>
    <w:rsid w:val="001D2F3D"/>
    <w:rsid w:val="001D33C3"/>
    <w:rsid w:val="001D3DED"/>
    <w:rsid w:val="001D3DF8"/>
    <w:rsid w:val="001D3F8A"/>
    <w:rsid w:val="001D4E6F"/>
    <w:rsid w:val="001D5573"/>
    <w:rsid w:val="001D56C8"/>
    <w:rsid w:val="001D5E80"/>
    <w:rsid w:val="001D6356"/>
    <w:rsid w:val="001D6806"/>
    <w:rsid w:val="001D6EC3"/>
    <w:rsid w:val="001D710C"/>
    <w:rsid w:val="001E0886"/>
    <w:rsid w:val="001E11B1"/>
    <w:rsid w:val="001E1B1E"/>
    <w:rsid w:val="001E1C18"/>
    <w:rsid w:val="001E208F"/>
    <w:rsid w:val="001E233C"/>
    <w:rsid w:val="001E4950"/>
    <w:rsid w:val="001E5014"/>
    <w:rsid w:val="001E630A"/>
    <w:rsid w:val="001E6C11"/>
    <w:rsid w:val="001E7838"/>
    <w:rsid w:val="001E7A22"/>
    <w:rsid w:val="001E7D19"/>
    <w:rsid w:val="001F0C50"/>
    <w:rsid w:val="001F0CFA"/>
    <w:rsid w:val="001F0ECC"/>
    <w:rsid w:val="001F1464"/>
    <w:rsid w:val="001F1897"/>
    <w:rsid w:val="001F1905"/>
    <w:rsid w:val="001F1EAE"/>
    <w:rsid w:val="001F1F7F"/>
    <w:rsid w:val="001F26A0"/>
    <w:rsid w:val="001F2C63"/>
    <w:rsid w:val="001F2E14"/>
    <w:rsid w:val="001F37E0"/>
    <w:rsid w:val="001F3A0C"/>
    <w:rsid w:val="001F3E7F"/>
    <w:rsid w:val="001F401A"/>
    <w:rsid w:val="001F4A76"/>
    <w:rsid w:val="001F4F4A"/>
    <w:rsid w:val="001F534F"/>
    <w:rsid w:val="001F543D"/>
    <w:rsid w:val="001F56BD"/>
    <w:rsid w:val="001F5813"/>
    <w:rsid w:val="001F5989"/>
    <w:rsid w:val="001F64C1"/>
    <w:rsid w:val="001F6CB0"/>
    <w:rsid w:val="002001F1"/>
    <w:rsid w:val="00201348"/>
    <w:rsid w:val="00201A4E"/>
    <w:rsid w:val="00201B37"/>
    <w:rsid w:val="00201C8A"/>
    <w:rsid w:val="00202525"/>
    <w:rsid w:val="00202B43"/>
    <w:rsid w:val="002035A2"/>
    <w:rsid w:val="00203787"/>
    <w:rsid w:val="00203887"/>
    <w:rsid w:val="002046D6"/>
    <w:rsid w:val="00204D09"/>
    <w:rsid w:val="00204F5C"/>
    <w:rsid w:val="00205C71"/>
    <w:rsid w:val="00206815"/>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AED"/>
    <w:rsid w:val="00223BB4"/>
    <w:rsid w:val="00223DBF"/>
    <w:rsid w:val="00223FB6"/>
    <w:rsid w:val="0022435D"/>
    <w:rsid w:val="0022442C"/>
    <w:rsid w:val="002245B1"/>
    <w:rsid w:val="00224A1D"/>
    <w:rsid w:val="00224BA5"/>
    <w:rsid w:val="00225340"/>
    <w:rsid w:val="002259D7"/>
    <w:rsid w:val="00225E69"/>
    <w:rsid w:val="002269FF"/>
    <w:rsid w:val="002274F2"/>
    <w:rsid w:val="00227BE4"/>
    <w:rsid w:val="002303B3"/>
    <w:rsid w:val="00230D0C"/>
    <w:rsid w:val="00230EA4"/>
    <w:rsid w:val="0023207C"/>
    <w:rsid w:val="0023316C"/>
    <w:rsid w:val="00233EA8"/>
    <w:rsid w:val="00233EE9"/>
    <w:rsid w:val="002344D9"/>
    <w:rsid w:val="00235237"/>
    <w:rsid w:val="002356F7"/>
    <w:rsid w:val="0023573C"/>
    <w:rsid w:val="00235CCD"/>
    <w:rsid w:val="0023602F"/>
    <w:rsid w:val="00236048"/>
    <w:rsid w:val="002362ED"/>
    <w:rsid w:val="00237036"/>
    <w:rsid w:val="002372AC"/>
    <w:rsid w:val="00237588"/>
    <w:rsid w:val="002375DA"/>
    <w:rsid w:val="00237A33"/>
    <w:rsid w:val="00237F7F"/>
    <w:rsid w:val="002402E8"/>
    <w:rsid w:val="002405DB"/>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4757C"/>
    <w:rsid w:val="002506EE"/>
    <w:rsid w:val="00250E42"/>
    <w:rsid w:val="00250E89"/>
    <w:rsid w:val="0025197E"/>
    <w:rsid w:val="00252912"/>
    <w:rsid w:val="00252D49"/>
    <w:rsid w:val="00253956"/>
    <w:rsid w:val="00253C51"/>
    <w:rsid w:val="002548D3"/>
    <w:rsid w:val="00254E85"/>
    <w:rsid w:val="0025568B"/>
    <w:rsid w:val="00255E94"/>
    <w:rsid w:val="002561B7"/>
    <w:rsid w:val="002562F6"/>
    <w:rsid w:val="00256EDB"/>
    <w:rsid w:val="00256FEA"/>
    <w:rsid w:val="00257131"/>
    <w:rsid w:val="00257314"/>
    <w:rsid w:val="0025733E"/>
    <w:rsid w:val="00257590"/>
    <w:rsid w:val="00257882"/>
    <w:rsid w:val="00257F6B"/>
    <w:rsid w:val="00260C4E"/>
    <w:rsid w:val="0026110D"/>
    <w:rsid w:val="00261B4C"/>
    <w:rsid w:val="00261C50"/>
    <w:rsid w:val="00261C71"/>
    <w:rsid w:val="00261E06"/>
    <w:rsid w:val="0026249A"/>
    <w:rsid w:val="002625B4"/>
    <w:rsid w:val="00263090"/>
    <w:rsid w:val="00263146"/>
    <w:rsid w:val="002648F5"/>
    <w:rsid w:val="00264D98"/>
    <w:rsid w:val="00265054"/>
    <w:rsid w:val="0026523F"/>
    <w:rsid w:val="002657D5"/>
    <w:rsid w:val="00265EBC"/>
    <w:rsid w:val="0026696D"/>
    <w:rsid w:val="00266BE6"/>
    <w:rsid w:val="00266EC1"/>
    <w:rsid w:val="00267127"/>
    <w:rsid w:val="00267325"/>
    <w:rsid w:val="002674F1"/>
    <w:rsid w:val="00267935"/>
    <w:rsid w:val="00270B8F"/>
    <w:rsid w:val="00271B39"/>
    <w:rsid w:val="00271C92"/>
    <w:rsid w:val="0027280E"/>
    <w:rsid w:val="0027293A"/>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9C0"/>
    <w:rsid w:val="00282D45"/>
    <w:rsid w:val="00283253"/>
    <w:rsid w:val="0028362C"/>
    <w:rsid w:val="002836C6"/>
    <w:rsid w:val="00284442"/>
    <w:rsid w:val="0028615B"/>
    <w:rsid w:val="00286DFC"/>
    <w:rsid w:val="00287102"/>
    <w:rsid w:val="00290002"/>
    <w:rsid w:val="0029069C"/>
    <w:rsid w:val="00291560"/>
    <w:rsid w:val="00291AF5"/>
    <w:rsid w:val="0029244F"/>
    <w:rsid w:val="00293B82"/>
    <w:rsid w:val="00293DA4"/>
    <w:rsid w:val="002965D8"/>
    <w:rsid w:val="0029715E"/>
    <w:rsid w:val="002A00F2"/>
    <w:rsid w:val="002A0381"/>
    <w:rsid w:val="002A0425"/>
    <w:rsid w:val="002A0651"/>
    <w:rsid w:val="002A06BD"/>
    <w:rsid w:val="002A0F79"/>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2D8"/>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411"/>
    <w:rsid w:val="002C55AB"/>
    <w:rsid w:val="002C588A"/>
    <w:rsid w:val="002C5EEF"/>
    <w:rsid w:val="002C6527"/>
    <w:rsid w:val="002C7D71"/>
    <w:rsid w:val="002D0724"/>
    <w:rsid w:val="002D13DF"/>
    <w:rsid w:val="002D2936"/>
    <w:rsid w:val="002D3B6B"/>
    <w:rsid w:val="002D41A4"/>
    <w:rsid w:val="002D603D"/>
    <w:rsid w:val="002D62E1"/>
    <w:rsid w:val="002E00AD"/>
    <w:rsid w:val="002E032F"/>
    <w:rsid w:val="002E075F"/>
    <w:rsid w:val="002E08C1"/>
    <w:rsid w:val="002E0B56"/>
    <w:rsid w:val="002E0B5D"/>
    <w:rsid w:val="002E1192"/>
    <w:rsid w:val="002E1650"/>
    <w:rsid w:val="002E1ABF"/>
    <w:rsid w:val="002E1DA6"/>
    <w:rsid w:val="002E1FD4"/>
    <w:rsid w:val="002E2087"/>
    <w:rsid w:val="002E214F"/>
    <w:rsid w:val="002E24BD"/>
    <w:rsid w:val="002E3C98"/>
    <w:rsid w:val="002E4485"/>
    <w:rsid w:val="002E4681"/>
    <w:rsid w:val="002E4D51"/>
    <w:rsid w:val="002E5619"/>
    <w:rsid w:val="002E57C9"/>
    <w:rsid w:val="002E6136"/>
    <w:rsid w:val="002E6371"/>
    <w:rsid w:val="002E6A58"/>
    <w:rsid w:val="002E6D98"/>
    <w:rsid w:val="002E7881"/>
    <w:rsid w:val="002E7975"/>
    <w:rsid w:val="002E7A31"/>
    <w:rsid w:val="002F01F2"/>
    <w:rsid w:val="002F068A"/>
    <w:rsid w:val="002F11D5"/>
    <w:rsid w:val="002F1A62"/>
    <w:rsid w:val="002F21EF"/>
    <w:rsid w:val="002F2741"/>
    <w:rsid w:val="002F2B63"/>
    <w:rsid w:val="002F3765"/>
    <w:rsid w:val="002F3F28"/>
    <w:rsid w:val="002F44A0"/>
    <w:rsid w:val="002F471C"/>
    <w:rsid w:val="002F496A"/>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BF3"/>
    <w:rsid w:val="00321CC1"/>
    <w:rsid w:val="0032244E"/>
    <w:rsid w:val="00323373"/>
    <w:rsid w:val="003242E5"/>
    <w:rsid w:val="00324DD8"/>
    <w:rsid w:val="00324EC6"/>
    <w:rsid w:val="003256E0"/>
    <w:rsid w:val="00325E6C"/>
    <w:rsid w:val="003261AE"/>
    <w:rsid w:val="00326A13"/>
    <w:rsid w:val="00327114"/>
    <w:rsid w:val="00327B3E"/>
    <w:rsid w:val="00327EA3"/>
    <w:rsid w:val="00332227"/>
    <w:rsid w:val="00332486"/>
    <w:rsid w:val="00333097"/>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6ACB"/>
    <w:rsid w:val="003370F4"/>
    <w:rsid w:val="003374CB"/>
    <w:rsid w:val="00337D7C"/>
    <w:rsid w:val="00340445"/>
    <w:rsid w:val="003425A6"/>
    <w:rsid w:val="00342A4E"/>
    <w:rsid w:val="00342BAE"/>
    <w:rsid w:val="003431F0"/>
    <w:rsid w:val="00343ACE"/>
    <w:rsid w:val="00344388"/>
    <w:rsid w:val="0034484F"/>
    <w:rsid w:val="00345AD6"/>
    <w:rsid w:val="00345E2A"/>
    <w:rsid w:val="00345F25"/>
    <w:rsid w:val="00346772"/>
    <w:rsid w:val="00346E05"/>
    <w:rsid w:val="00347EED"/>
    <w:rsid w:val="003514C0"/>
    <w:rsid w:val="00351F42"/>
    <w:rsid w:val="00352BC1"/>
    <w:rsid w:val="00352F19"/>
    <w:rsid w:val="003536EE"/>
    <w:rsid w:val="00353939"/>
    <w:rsid w:val="00354FA4"/>
    <w:rsid w:val="00355855"/>
    <w:rsid w:val="0035600D"/>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9D1"/>
    <w:rsid w:val="00366FA8"/>
    <w:rsid w:val="003675A2"/>
    <w:rsid w:val="0036774E"/>
    <w:rsid w:val="0037017C"/>
    <w:rsid w:val="003703D0"/>
    <w:rsid w:val="003706B3"/>
    <w:rsid w:val="003709F9"/>
    <w:rsid w:val="00372447"/>
    <w:rsid w:val="00372522"/>
    <w:rsid w:val="003728C9"/>
    <w:rsid w:val="00373353"/>
    <w:rsid w:val="00373923"/>
    <w:rsid w:val="003744B5"/>
    <w:rsid w:val="003745F2"/>
    <w:rsid w:val="00374BA5"/>
    <w:rsid w:val="00374BB4"/>
    <w:rsid w:val="003756AA"/>
    <w:rsid w:val="00376309"/>
    <w:rsid w:val="00376E0D"/>
    <w:rsid w:val="003773D2"/>
    <w:rsid w:val="00377B2A"/>
    <w:rsid w:val="00377D0B"/>
    <w:rsid w:val="003805AC"/>
    <w:rsid w:val="0038079C"/>
    <w:rsid w:val="00380AE6"/>
    <w:rsid w:val="00381308"/>
    <w:rsid w:val="00381408"/>
    <w:rsid w:val="003814E4"/>
    <w:rsid w:val="00381578"/>
    <w:rsid w:val="003824ED"/>
    <w:rsid w:val="0038250A"/>
    <w:rsid w:val="00382561"/>
    <w:rsid w:val="00382B9E"/>
    <w:rsid w:val="00382C17"/>
    <w:rsid w:val="0038312C"/>
    <w:rsid w:val="0038318E"/>
    <w:rsid w:val="0038436C"/>
    <w:rsid w:val="003843EC"/>
    <w:rsid w:val="003847A5"/>
    <w:rsid w:val="00385229"/>
    <w:rsid w:val="003853E7"/>
    <w:rsid w:val="00385433"/>
    <w:rsid w:val="00387884"/>
    <w:rsid w:val="00387F66"/>
    <w:rsid w:val="0039022F"/>
    <w:rsid w:val="0039048F"/>
    <w:rsid w:val="003909DB"/>
    <w:rsid w:val="00390AD5"/>
    <w:rsid w:val="00391069"/>
    <w:rsid w:val="00391591"/>
    <w:rsid w:val="003919DA"/>
    <w:rsid w:val="00391BFD"/>
    <w:rsid w:val="003922FE"/>
    <w:rsid w:val="00392999"/>
    <w:rsid w:val="00392B88"/>
    <w:rsid w:val="00392CF1"/>
    <w:rsid w:val="00393028"/>
    <w:rsid w:val="0039313E"/>
    <w:rsid w:val="003934F9"/>
    <w:rsid w:val="00393AB1"/>
    <w:rsid w:val="00394848"/>
    <w:rsid w:val="00394A73"/>
    <w:rsid w:val="00394CBF"/>
    <w:rsid w:val="00394D1B"/>
    <w:rsid w:val="00394EA1"/>
    <w:rsid w:val="00395AE1"/>
    <w:rsid w:val="00395F33"/>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1BFF"/>
    <w:rsid w:val="003B20E9"/>
    <w:rsid w:val="003B2926"/>
    <w:rsid w:val="003B3713"/>
    <w:rsid w:val="003B3AA5"/>
    <w:rsid w:val="003B445F"/>
    <w:rsid w:val="003B4982"/>
    <w:rsid w:val="003B4B46"/>
    <w:rsid w:val="003B4DF0"/>
    <w:rsid w:val="003B5725"/>
    <w:rsid w:val="003B5C4E"/>
    <w:rsid w:val="003B65AB"/>
    <w:rsid w:val="003B6CFD"/>
    <w:rsid w:val="003B7115"/>
    <w:rsid w:val="003B7B4E"/>
    <w:rsid w:val="003B7D23"/>
    <w:rsid w:val="003C0C16"/>
    <w:rsid w:val="003C121F"/>
    <w:rsid w:val="003C1C09"/>
    <w:rsid w:val="003C1F0B"/>
    <w:rsid w:val="003C2E11"/>
    <w:rsid w:val="003C3323"/>
    <w:rsid w:val="003C3359"/>
    <w:rsid w:val="003C3B63"/>
    <w:rsid w:val="003C3E94"/>
    <w:rsid w:val="003C44A5"/>
    <w:rsid w:val="003C4544"/>
    <w:rsid w:val="003C488F"/>
    <w:rsid w:val="003C4DA4"/>
    <w:rsid w:val="003C4E2E"/>
    <w:rsid w:val="003C5286"/>
    <w:rsid w:val="003C542A"/>
    <w:rsid w:val="003C57AA"/>
    <w:rsid w:val="003C5B59"/>
    <w:rsid w:val="003C63D8"/>
    <w:rsid w:val="003D06D4"/>
    <w:rsid w:val="003D1034"/>
    <w:rsid w:val="003D16D0"/>
    <w:rsid w:val="003D27FB"/>
    <w:rsid w:val="003D3FDB"/>
    <w:rsid w:val="003D482D"/>
    <w:rsid w:val="003D53DC"/>
    <w:rsid w:val="003D54FA"/>
    <w:rsid w:val="003D589A"/>
    <w:rsid w:val="003D5A2F"/>
    <w:rsid w:val="003D6826"/>
    <w:rsid w:val="003D6E2F"/>
    <w:rsid w:val="003D7964"/>
    <w:rsid w:val="003D7BA8"/>
    <w:rsid w:val="003D7E59"/>
    <w:rsid w:val="003E09B3"/>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0A8"/>
    <w:rsid w:val="003F2D6E"/>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840"/>
    <w:rsid w:val="00402AB6"/>
    <w:rsid w:val="00402FEE"/>
    <w:rsid w:val="004030E9"/>
    <w:rsid w:val="004035B9"/>
    <w:rsid w:val="00403BC3"/>
    <w:rsid w:val="00403DA9"/>
    <w:rsid w:val="004041EF"/>
    <w:rsid w:val="00404F25"/>
    <w:rsid w:val="00405A2A"/>
    <w:rsid w:val="00405AF2"/>
    <w:rsid w:val="00405C91"/>
    <w:rsid w:val="00405E73"/>
    <w:rsid w:val="00405FD0"/>
    <w:rsid w:val="004061A4"/>
    <w:rsid w:val="004061E0"/>
    <w:rsid w:val="0040632D"/>
    <w:rsid w:val="00406AED"/>
    <w:rsid w:val="00407B04"/>
    <w:rsid w:val="00407BC7"/>
    <w:rsid w:val="004101C5"/>
    <w:rsid w:val="004103C4"/>
    <w:rsid w:val="00410BE7"/>
    <w:rsid w:val="00410D26"/>
    <w:rsid w:val="0041105B"/>
    <w:rsid w:val="004110C4"/>
    <w:rsid w:val="004124E8"/>
    <w:rsid w:val="00412773"/>
    <w:rsid w:val="0041311B"/>
    <w:rsid w:val="00413625"/>
    <w:rsid w:val="00413998"/>
    <w:rsid w:val="00413BFD"/>
    <w:rsid w:val="00413DFF"/>
    <w:rsid w:val="00414A4F"/>
    <w:rsid w:val="00415756"/>
    <w:rsid w:val="00415B9C"/>
    <w:rsid w:val="004166CA"/>
    <w:rsid w:val="0041688D"/>
    <w:rsid w:val="004168DB"/>
    <w:rsid w:val="00416970"/>
    <w:rsid w:val="00416A9F"/>
    <w:rsid w:val="004170BB"/>
    <w:rsid w:val="00417D63"/>
    <w:rsid w:val="004201B7"/>
    <w:rsid w:val="00421FC0"/>
    <w:rsid w:val="00422A18"/>
    <w:rsid w:val="00422B01"/>
    <w:rsid w:val="00423668"/>
    <w:rsid w:val="00423C36"/>
    <w:rsid w:val="004242E7"/>
    <w:rsid w:val="00424451"/>
    <w:rsid w:val="00424697"/>
    <w:rsid w:val="00424B8A"/>
    <w:rsid w:val="004257A4"/>
    <w:rsid w:val="00425A62"/>
    <w:rsid w:val="00425BEB"/>
    <w:rsid w:val="00425DDC"/>
    <w:rsid w:val="00426433"/>
    <w:rsid w:val="00426BE7"/>
    <w:rsid w:val="0042701A"/>
    <w:rsid w:val="00427369"/>
    <w:rsid w:val="00427383"/>
    <w:rsid w:val="00427BF1"/>
    <w:rsid w:val="004304D3"/>
    <w:rsid w:val="00430640"/>
    <w:rsid w:val="00430E30"/>
    <w:rsid w:val="00431315"/>
    <w:rsid w:val="00431CAB"/>
    <w:rsid w:val="00432122"/>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C8A"/>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5E39"/>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67D61"/>
    <w:rsid w:val="00470261"/>
    <w:rsid w:val="00470367"/>
    <w:rsid w:val="004705C5"/>
    <w:rsid w:val="0047062C"/>
    <w:rsid w:val="00470934"/>
    <w:rsid w:val="00470AE5"/>
    <w:rsid w:val="0047124D"/>
    <w:rsid w:val="00471CC8"/>
    <w:rsid w:val="00471EE7"/>
    <w:rsid w:val="0047226D"/>
    <w:rsid w:val="0047365F"/>
    <w:rsid w:val="00474CD6"/>
    <w:rsid w:val="00474D62"/>
    <w:rsid w:val="004751E7"/>
    <w:rsid w:val="0047557C"/>
    <w:rsid w:val="0047562B"/>
    <w:rsid w:val="004758F9"/>
    <w:rsid w:val="00475D1D"/>
    <w:rsid w:val="004770BE"/>
    <w:rsid w:val="00477276"/>
    <w:rsid w:val="004776B9"/>
    <w:rsid w:val="00477C17"/>
    <w:rsid w:val="00480837"/>
    <w:rsid w:val="004813C6"/>
    <w:rsid w:val="00481B7C"/>
    <w:rsid w:val="00482480"/>
    <w:rsid w:val="00482C64"/>
    <w:rsid w:val="00482DF6"/>
    <w:rsid w:val="00485168"/>
    <w:rsid w:val="004855EC"/>
    <w:rsid w:val="0048578C"/>
    <w:rsid w:val="00485872"/>
    <w:rsid w:val="00485915"/>
    <w:rsid w:val="00485EA4"/>
    <w:rsid w:val="0048669A"/>
    <w:rsid w:val="00486C08"/>
    <w:rsid w:val="0048757E"/>
    <w:rsid w:val="00487C54"/>
    <w:rsid w:val="00487F2E"/>
    <w:rsid w:val="00490561"/>
    <w:rsid w:val="0049059F"/>
    <w:rsid w:val="00490F6B"/>
    <w:rsid w:val="00492CA8"/>
    <w:rsid w:val="004932D3"/>
    <w:rsid w:val="0049351A"/>
    <w:rsid w:val="0049364A"/>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0FE6"/>
    <w:rsid w:val="004C1447"/>
    <w:rsid w:val="004C15CD"/>
    <w:rsid w:val="004C166F"/>
    <w:rsid w:val="004C262D"/>
    <w:rsid w:val="004C2758"/>
    <w:rsid w:val="004C3BDB"/>
    <w:rsid w:val="004C3CB6"/>
    <w:rsid w:val="004C4B56"/>
    <w:rsid w:val="004C57D7"/>
    <w:rsid w:val="004C586A"/>
    <w:rsid w:val="004C6802"/>
    <w:rsid w:val="004C6CB0"/>
    <w:rsid w:val="004C6DD3"/>
    <w:rsid w:val="004C6F5B"/>
    <w:rsid w:val="004C7132"/>
    <w:rsid w:val="004C725E"/>
    <w:rsid w:val="004C7285"/>
    <w:rsid w:val="004C73AB"/>
    <w:rsid w:val="004C77BC"/>
    <w:rsid w:val="004D032D"/>
    <w:rsid w:val="004D03B3"/>
    <w:rsid w:val="004D05E3"/>
    <w:rsid w:val="004D0729"/>
    <w:rsid w:val="004D10AE"/>
    <w:rsid w:val="004D13DA"/>
    <w:rsid w:val="004D176E"/>
    <w:rsid w:val="004D241E"/>
    <w:rsid w:val="004D2FB2"/>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3EB"/>
    <w:rsid w:val="004E345A"/>
    <w:rsid w:val="004E3F06"/>
    <w:rsid w:val="004E433E"/>
    <w:rsid w:val="004E4394"/>
    <w:rsid w:val="004E44AF"/>
    <w:rsid w:val="004E5120"/>
    <w:rsid w:val="004E52D5"/>
    <w:rsid w:val="004E59C7"/>
    <w:rsid w:val="004E67BD"/>
    <w:rsid w:val="004E67CC"/>
    <w:rsid w:val="004E6BED"/>
    <w:rsid w:val="004E7CFB"/>
    <w:rsid w:val="004F0094"/>
    <w:rsid w:val="004F091C"/>
    <w:rsid w:val="004F1279"/>
    <w:rsid w:val="004F1517"/>
    <w:rsid w:val="004F18C4"/>
    <w:rsid w:val="004F18C6"/>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09E8"/>
    <w:rsid w:val="005011A8"/>
    <w:rsid w:val="0050193A"/>
    <w:rsid w:val="00501E03"/>
    <w:rsid w:val="00501E5A"/>
    <w:rsid w:val="00501EB7"/>
    <w:rsid w:val="00502668"/>
    <w:rsid w:val="0050276C"/>
    <w:rsid w:val="005027F7"/>
    <w:rsid w:val="0050367F"/>
    <w:rsid w:val="00503D09"/>
    <w:rsid w:val="00503FE5"/>
    <w:rsid w:val="00504068"/>
    <w:rsid w:val="00504889"/>
    <w:rsid w:val="00504F17"/>
    <w:rsid w:val="00505297"/>
    <w:rsid w:val="0050563F"/>
    <w:rsid w:val="0050650A"/>
    <w:rsid w:val="00507045"/>
    <w:rsid w:val="00507372"/>
    <w:rsid w:val="00507643"/>
    <w:rsid w:val="00507ABD"/>
    <w:rsid w:val="00507FA4"/>
    <w:rsid w:val="005100BF"/>
    <w:rsid w:val="00510424"/>
    <w:rsid w:val="00510505"/>
    <w:rsid w:val="00510D49"/>
    <w:rsid w:val="0051105A"/>
    <w:rsid w:val="00511CAA"/>
    <w:rsid w:val="00511D21"/>
    <w:rsid w:val="00512690"/>
    <w:rsid w:val="00512B7A"/>
    <w:rsid w:val="00512CCA"/>
    <w:rsid w:val="00512EFD"/>
    <w:rsid w:val="00513220"/>
    <w:rsid w:val="005134DC"/>
    <w:rsid w:val="0051352C"/>
    <w:rsid w:val="00513896"/>
    <w:rsid w:val="00513998"/>
    <w:rsid w:val="00514214"/>
    <w:rsid w:val="0051453F"/>
    <w:rsid w:val="005146B7"/>
    <w:rsid w:val="00514823"/>
    <w:rsid w:val="00514C0A"/>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8E4"/>
    <w:rsid w:val="00527307"/>
    <w:rsid w:val="00527637"/>
    <w:rsid w:val="00527E4A"/>
    <w:rsid w:val="00530122"/>
    <w:rsid w:val="00530202"/>
    <w:rsid w:val="00530617"/>
    <w:rsid w:val="00530B1B"/>
    <w:rsid w:val="00531C5E"/>
    <w:rsid w:val="0053266F"/>
    <w:rsid w:val="00532A52"/>
    <w:rsid w:val="00532FBE"/>
    <w:rsid w:val="00533D1D"/>
    <w:rsid w:val="00535772"/>
    <w:rsid w:val="005357E8"/>
    <w:rsid w:val="005360B6"/>
    <w:rsid w:val="0053616B"/>
    <w:rsid w:val="00536AB7"/>
    <w:rsid w:val="00540796"/>
    <w:rsid w:val="005408EA"/>
    <w:rsid w:val="00540B90"/>
    <w:rsid w:val="00540C01"/>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4D52"/>
    <w:rsid w:val="005459D3"/>
    <w:rsid w:val="00545B7C"/>
    <w:rsid w:val="00545D4C"/>
    <w:rsid w:val="00545FC1"/>
    <w:rsid w:val="00546C0C"/>
    <w:rsid w:val="00547260"/>
    <w:rsid w:val="00547A02"/>
    <w:rsid w:val="00547A8E"/>
    <w:rsid w:val="00547E1E"/>
    <w:rsid w:val="00550163"/>
    <w:rsid w:val="00550BD7"/>
    <w:rsid w:val="00550FF4"/>
    <w:rsid w:val="00551A35"/>
    <w:rsid w:val="005520D7"/>
    <w:rsid w:val="005521BC"/>
    <w:rsid w:val="005531EF"/>
    <w:rsid w:val="00553C8A"/>
    <w:rsid w:val="00553F48"/>
    <w:rsid w:val="0055408C"/>
    <w:rsid w:val="00555289"/>
    <w:rsid w:val="00557BE8"/>
    <w:rsid w:val="00560452"/>
    <w:rsid w:val="0056097F"/>
    <w:rsid w:val="00560E39"/>
    <w:rsid w:val="00560F12"/>
    <w:rsid w:val="00562076"/>
    <w:rsid w:val="005622D6"/>
    <w:rsid w:val="00562AD4"/>
    <w:rsid w:val="00563583"/>
    <w:rsid w:val="005635DB"/>
    <w:rsid w:val="00563722"/>
    <w:rsid w:val="005644D2"/>
    <w:rsid w:val="00564915"/>
    <w:rsid w:val="00565126"/>
    <w:rsid w:val="0056605B"/>
    <w:rsid w:val="005664D0"/>
    <w:rsid w:val="00566509"/>
    <w:rsid w:val="00566610"/>
    <w:rsid w:val="00566C96"/>
    <w:rsid w:val="0056736F"/>
    <w:rsid w:val="00567D1B"/>
    <w:rsid w:val="005705DB"/>
    <w:rsid w:val="005709EF"/>
    <w:rsid w:val="0057109F"/>
    <w:rsid w:val="00571971"/>
    <w:rsid w:val="005721D9"/>
    <w:rsid w:val="00572770"/>
    <w:rsid w:val="005727ED"/>
    <w:rsid w:val="0057299C"/>
    <w:rsid w:val="00572A16"/>
    <w:rsid w:val="00572D02"/>
    <w:rsid w:val="00572E68"/>
    <w:rsid w:val="00572F10"/>
    <w:rsid w:val="005731E7"/>
    <w:rsid w:val="00573836"/>
    <w:rsid w:val="00573C96"/>
    <w:rsid w:val="00574200"/>
    <w:rsid w:val="00574776"/>
    <w:rsid w:val="005747E8"/>
    <w:rsid w:val="00574ADD"/>
    <w:rsid w:val="00574BF4"/>
    <w:rsid w:val="00575FD0"/>
    <w:rsid w:val="00576547"/>
    <w:rsid w:val="005766D7"/>
    <w:rsid w:val="00576B8F"/>
    <w:rsid w:val="00576ED0"/>
    <w:rsid w:val="00576F87"/>
    <w:rsid w:val="00577B69"/>
    <w:rsid w:val="005800A3"/>
    <w:rsid w:val="00580FED"/>
    <w:rsid w:val="00581587"/>
    <w:rsid w:val="00581F5A"/>
    <w:rsid w:val="00582B82"/>
    <w:rsid w:val="00582EF6"/>
    <w:rsid w:val="00583464"/>
    <w:rsid w:val="00583A9B"/>
    <w:rsid w:val="00584A54"/>
    <w:rsid w:val="00584E20"/>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3F48"/>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6E78"/>
    <w:rsid w:val="005C7036"/>
    <w:rsid w:val="005C7053"/>
    <w:rsid w:val="005D0181"/>
    <w:rsid w:val="005D1B22"/>
    <w:rsid w:val="005D1F87"/>
    <w:rsid w:val="005D247E"/>
    <w:rsid w:val="005D2797"/>
    <w:rsid w:val="005D2821"/>
    <w:rsid w:val="005D29AB"/>
    <w:rsid w:val="005D2AD9"/>
    <w:rsid w:val="005D487B"/>
    <w:rsid w:val="005D569E"/>
    <w:rsid w:val="005D6275"/>
    <w:rsid w:val="005D6A20"/>
    <w:rsid w:val="005D6BC4"/>
    <w:rsid w:val="005D75A8"/>
    <w:rsid w:val="005D7CA0"/>
    <w:rsid w:val="005D7F63"/>
    <w:rsid w:val="005D7FD7"/>
    <w:rsid w:val="005E01D6"/>
    <w:rsid w:val="005E058B"/>
    <w:rsid w:val="005E05EA"/>
    <w:rsid w:val="005E0D2C"/>
    <w:rsid w:val="005E0FBF"/>
    <w:rsid w:val="005E1A94"/>
    <w:rsid w:val="005E1E5E"/>
    <w:rsid w:val="005E1EC8"/>
    <w:rsid w:val="005E1F76"/>
    <w:rsid w:val="005E2578"/>
    <w:rsid w:val="005E285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94"/>
    <w:rsid w:val="005E78D5"/>
    <w:rsid w:val="005F048A"/>
    <w:rsid w:val="005F0A5C"/>
    <w:rsid w:val="005F0DF2"/>
    <w:rsid w:val="005F1192"/>
    <w:rsid w:val="005F1223"/>
    <w:rsid w:val="005F1569"/>
    <w:rsid w:val="005F1684"/>
    <w:rsid w:val="005F186F"/>
    <w:rsid w:val="005F2A09"/>
    <w:rsid w:val="005F30AF"/>
    <w:rsid w:val="005F3287"/>
    <w:rsid w:val="005F354D"/>
    <w:rsid w:val="005F36B8"/>
    <w:rsid w:val="005F41E6"/>
    <w:rsid w:val="005F4F63"/>
    <w:rsid w:val="005F50F8"/>
    <w:rsid w:val="005F57CD"/>
    <w:rsid w:val="005F5C60"/>
    <w:rsid w:val="005F65D7"/>
    <w:rsid w:val="005F7277"/>
    <w:rsid w:val="005F7432"/>
    <w:rsid w:val="0060015E"/>
    <w:rsid w:val="00600FF2"/>
    <w:rsid w:val="0060107B"/>
    <w:rsid w:val="00601744"/>
    <w:rsid w:val="00601EEB"/>
    <w:rsid w:val="0060324A"/>
    <w:rsid w:val="0060397E"/>
    <w:rsid w:val="00603B00"/>
    <w:rsid w:val="00603DF2"/>
    <w:rsid w:val="00604586"/>
    <w:rsid w:val="00604A3E"/>
    <w:rsid w:val="00604E98"/>
    <w:rsid w:val="006052EB"/>
    <w:rsid w:val="00605593"/>
    <w:rsid w:val="00607A47"/>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17CB1"/>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14C"/>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C99"/>
    <w:rsid w:val="00646FF5"/>
    <w:rsid w:val="00647366"/>
    <w:rsid w:val="00647CD3"/>
    <w:rsid w:val="0065022E"/>
    <w:rsid w:val="00650398"/>
    <w:rsid w:val="0065047A"/>
    <w:rsid w:val="006510E7"/>
    <w:rsid w:val="006514DB"/>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3E9E"/>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44C6"/>
    <w:rsid w:val="0068574F"/>
    <w:rsid w:val="00686222"/>
    <w:rsid w:val="00686C68"/>
    <w:rsid w:val="00686D9B"/>
    <w:rsid w:val="00686F04"/>
    <w:rsid w:val="00686F62"/>
    <w:rsid w:val="00687043"/>
    <w:rsid w:val="006872FC"/>
    <w:rsid w:val="00690B64"/>
    <w:rsid w:val="00691F51"/>
    <w:rsid w:val="00692328"/>
    <w:rsid w:val="0069241A"/>
    <w:rsid w:val="00693207"/>
    <w:rsid w:val="006935B9"/>
    <w:rsid w:val="00694848"/>
    <w:rsid w:val="00694C3D"/>
    <w:rsid w:val="00695224"/>
    <w:rsid w:val="00695584"/>
    <w:rsid w:val="00695AF5"/>
    <w:rsid w:val="00696667"/>
    <w:rsid w:val="00696EA4"/>
    <w:rsid w:val="00697A24"/>
    <w:rsid w:val="00697C1D"/>
    <w:rsid w:val="006A0902"/>
    <w:rsid w:val="006A0BAC"/>
    <w:rsid w:val="006A0DC0"/>
    <w:rsid w:val="006A1022"/>
    <w:rsid w:val="006A104A"/>
    <w:rsid w:val="006A158C"/>
    <w:rsid w:val="006A189A"/>
    <w:rsid w:val="006A1938"/>
    <w:rsid w:val="006A1BD9"/>
    <w:rsid w:val="006A1CEB"/>
    <w:rsid w:val="006A1D13"/>
    <w:rsid w:val="006A20E5"/>
    <w:rsid w:val="006A231D"/>
    <w:rsid w:val="006A256B"/>
    <w:rsid w:val="006A28D6"/>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7AC"/>
    <w:rsid w:val="006B09B1"/>
    <w:rsid w:val="006B1298"/>
    <w:rsid w:val="006B1923"/>
    <w:rsid w:val="006B1CFA"/>
    <w:rsid w:val="006B260C"/>
    <w:rsid w:val="006B2E18"/>
    <w:rsid w:val="006B30BA"/>
    <w:rsid w:val="006B38D4"/>
    <w:rsid w:val="006B3D4C"/>
    <w:rsid w:val="006B445B"/>
    <w:rsid w:val="006B541F"/>
    <w:rsid w:val="006B5DC9"/>
    <w:rsid w:val="006B65F2"/>
    <w:rsid w:val="006B66F8"/>
    <w:rsid w:val="006B6C8C"/>
    <w:rsid w:val="006B6CDF"/>
    <w:rsid w:val="006B7604"/>
    <w:rsid w:val="006B77FE"/>
    <w:rsid w:val="006B7869"/>
    <w:rsid w:val="006B7A32"/>
    <w:rsid w:val="006C0088"/>
    <w:rsid w:val="006C0CC8"/>
    <w:rsid w:val="006C19AD"/>
    <w:rsid w:val="006C1D0E"/>
    <w:rsid w:val="006C1FFC"/>
    <w:rsid w:val="006C2192"/>
    <w:rsid w:val="006C2227"/>
    <w:rsid w:val="006C2237"/>
    <w:rsid w:val="006C2A33"/>
    <w:rsid w:val="006C3391"/>
    <w:rsid w:val="006C3957"/>
    <w:rsid w:val="006C3C53"/>
    <w:rsid w:val="006C3CBA"/>
    <w:rsid w:val="006C3E30"/>
    <w:rsid w:val="006C3E96"/>
    <w:rsid w:val="006C4923"/>
    <w:rsid w:val="006C4AC7"/>
    <w:rsid w:val="006C511D"/>
    <w:rsid w:val="006C5F50"/>
    <w:rsid w:val="006D0435"/>
    <w:rsid w:val="006D05EF"/>
    <w:rsid w:val="006D0878"/>
    <w:rsid w:val="006D0BDD"/>
    <w:rsid w:val="006D0BE5"/>
    <w:rsid w:val="006D0CB8"/>
    <w:rsid w:val="006D0CDA"/>
    <w:rsid w:val="006D150F"/>
    <w:rsid w:val="006D231F"/>
    <w:rsid w:val="006D23E7"/>
    <w:rsid w:val="006D2762"/>
    <w:rsid w:val="006D2A1D"/>
    <w:rsid w:val="006D32D2"/>
    <w:rsid w:val="006D3E7B"/>
    <w:rsid w:val="006D41C9"/>
    <w:rsid w:val="006D48F6"/>
    <w:rsid w:val="006D5920"/>
    <w:rsid w:val="006D59CA"/>
    <w:rsid w:val="006D6A01"/>
    <w:rsid w:val="006D7DAF"/>
    <w:rsid w:val="006E0126"/>
    <w:rsid w:val="006E0848"/>
    <w:rsid w:val="006E0FCC"/>
    <w:rsid w:val="006E1450"/>
    <w:rsid w:val="006E28B4"/>
    <w:rsid w:val="006E3494"/>
    <w:rsid w:val="006E42A9"/>
    <w:rsid w:val="006E4C76"/>
    <w:rsid w:val="006E556E"/>
    <w:rsid w:val="006E5C0D"/>
    <w:rsid w:val="006E67A9"/>
    <w:rsid w:val="006E6FF8"/>
    <w:rsid w:val="006E7584"/>
    <w:rsid w:val="006F0B48"/>
    <w:rsid w:val="006F0C51"/>
    <w:rsid w:val="006F1710"/>
    <w:rsid w:val="006F1D0E"/>
    <w:rsid w:val="006F1F52"/>
    <w:rsid w:val="006F2368"/>
    <w:rsid w:val="006F2601"/>
    <w:rsid w:val="006F2B93"/>
    <w:rsid w:val="006F2C93"/>
    <w:rsid w:val="006F4258"/>
    <w:rsid w:val="006F45A3"/>
    <w:rsid w:val="006F4A3B"/>
    <w:rsid w:val="006F4DE0"/>
    <w:rsid w:val="006F525D"/>
    <w:rsid w:val="006F6278"/>
    <w:rsid w:val="006F7BB8"/>
    <w:rsid w:val="006F7F58"/>
    <w:rsid w:val="00700FC6"/>
    <w:rsid w:val="00701022"/>
    <w:rsid w:val="00701092"/>
    <w:rsid w:val="007016CB"/>
    <w:rsid w:val="0070184D"/>
    <w:rsid w:val="00701876"/>
    <w:rsid w:val="00701DDF"/>
    <w:rsid w:val="00702247"/>
    <w:rsid w:val="007033F1"/>
    <w:rsid w:val="00704AA2"/>
    <w:rsid w:val="00704B50"/>
    <w:rsid w:val="00704CBD"/>
    <w:rsid w:val="0070597A"/>
    <w:rsid w:val="007059E9"/>
    <w:rsid w:val="00705DC2"/>
    <w:rsid w:val="0070655B"/>
    <w:rsid w:val="007070B4"/>
    <w:rsid w:val="00707536"/>
    <w:rsid w:val="00707856"/>
    <w:rsid w:val="00707DE3"/>
    <w:rsid w:val="00710292"/>
    <w:rsid w:val="00713474"/>
    <w:rsid w:val="00713861"/>
    <w:rsid w:val="00714054"/>
    <w:rsid w:val="00714083"/>
    <w:rsid w:val="00714146"/>
    <w:rsid w:val="00716559"/>
    <w:rsid w:val="00716C9E"/>
    <w:rsid w:val="00717E16"/>
    <w:rsid w:val="007205F0"/>
    <w:rsid w:val="0072127E"/>
    <w:rsid w:val="007215B3"/>
    <w:rsid w:val="00721E68"/>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2C34"/>
    <w:rsid w:val="007330F1"/>
    <w:rsid w:val="00733153"/>
    <w:rsid w:val="007338D1"/>
    <w:rsid w:val="00733B22"/>
    <w:rsid w:val="007347A2"/>
    <w:rsid w:val="00734D7F"/>
    <w:rsid w:val="00734F3D"/>
    <w:rsid w:val="007356DE"/>
    <w:rsid w:val="007356EE"/>
    <w:rsid w:val="00735C72"/>
    <w:rsid w:val="007362C7"/>
    <w:rsid w:val="00736789"/>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C60"/>
    <w:rsid w:val="00746F94"/>
    <w:rsid w:val="00746FB8"/>
    <w:rsid w:val="00746FC8"/>
    <w:rsid w:val="00747235"/>
    <w:rsid w:val="00747C97"/>
    <w:rsid w:val="00747CEF"/>
    <w:rsid w:val="0075028B"/>
    <w:rsid w:val="00750D85"/>
    <w:rsid w:val="00750D90"/>
    <w:rsid w:val="00751041"/>
    <w:rsid w:val="00751196"/>
    <w:rsid w:val="00752B74"/>
    <w:rsid w:val="00752DC9"/>
    <w:rsid w:val="00752E07"/>
    <w:rsid w:val="00752FEA"/>
    <w:rsid w:val="00753B52"/>
    <w:rsid w:val="00753BD5"/>
    <w:rsid w:val="007540D2"/>
    <w:rsid w:val="0075457C"/>
    <w:rsid w:val="00755213"/>
    <w:rsid w:val="0075523F"/>
    <w:rsid w:val="00755E79"/>
    <w:rsid w:val="00756916"/>
    <w:rsid w:val="00756A61"/>
    <w:rsid w:val="00756F86"/>
    <w:rsid w:val="0075735D"/>
    <w:rsid w:val="0075777A"/>
    <w:rsid w:val="0076013E"/>
    <w:rsid w:val="00760921"/>
    <w:rsid w:val="0076128E"/>
    <w:rsid w:val="00761A68"/>
    <w:rsid w:val="0076266C"/>
    <w:rsid w:val="0076334C"/>
    <w:rsid w:val="007645ED"/>
    <w:rsid w:val="00765002"/>
    <w:rsid w:val="007675F7"/>
    <w:rsid w:val="0077091F"/>
    <w:rsid w:val="00771266"/>
    <w:rsid w:val="00771B21"/>
    <w:rsid w:val="00772036"/>
    <w:rsid w:val="0077203D"/>
    <w:rsid w:val="00772114"/>
    <w:rsid w:val="00772150"/>
    <w:rsid w:val="007721E3"/>
    <w:rsid w:val="00772B31"/>
    <w:rsid w:val="00773546"/>
    <w:rsid w:val="00773B71"/>
    <w:rsid w:val="00774BE0"/>
    <w:rsid w:val="00775496"/>
    <w:rsid w:val="00775850"/>
    <w:rsid w:val="00775910"/>
    <w:rsid w:val="0077637F"/>
    <w:rsid w:val="00776534"/>
    <w:rsid w:val="007768AE"/>
    <w:rsid w:val="00776F7B"/>
    <w:rsid w:val="00777322"/>
    <w:rsid w:val="00777C1D"/>
    <w:rsid w:val="00777C6B"/>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28C"/>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1B4E"/>
    <w:rsid w:val="0079289A"/>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2B5B"/>
    <w:rsid w:val="007A3506"/>
    <w:rsid w:val="007A372A"/>
    <w:rsid w:val="007A3BD1"/>
    <w:rsid w:val="007A4153"/>
    <w:rsid w:val="007A46C9"/>
    <w:rsid w:val="007A51CA"/>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BF1"/>
    <w:rsid w:val="007D0D57"/>
    <w:rsid w:val="007D1936"/>
    <w:rsid w:val="007D1D33"/>
    <w:rsid w:val="007D2640"/>
    <w:rsid w:val="007D2656"/>
    <w:rsid w:val="007D27C9"/>
    <w:rsid w:val="007D2D2D"/>
    <w:rsid w:val="007D2FDA"/>
    <w:rsid w:val="007D3048"/>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4E5"/>
    <w:rsid w:val="00802C82"/>
    <w:rsid w:val="008033B8"/>
    <w:rsid w:val="008033C1"/>
    <w:rsid w:val="00803689"/>
    <w:rsid w:val="00803D71"/>
    <w:rsid w:val="00803DDC"/>
    <w:rsid w:val="00803EBA"/>
    <w:rsid w:val="0080498C"/>
    <w:rsid w:val="008049DB"/>
    <w:rsid w:val="008054B4"/>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062"/>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4A7C"/>
    <w:rsid w:val="0082530D"/>
    <w:rsid w:val="00825530"/>
    <w:rsid w:val="00827280"/>
    <w:rsid w:val="008275A6"/>
    <w:rsid w:val="00827773"/>
    <w:rsid w:val="00827B06"/>
    <w:rsid w:val="00827E2A"/>
    <w:rsid w:val="00830148"/>
    <w:rsid w:val="00830A50"/>
    <w:rsid w:val="00830AF2"/>
    <w:rsid w:val="00830BFC"/>
    <w:rsid w:val="00830D20"/>
    <w:rsid w:val="00830EAB"/>
    <w:rsid w:val="008310D2"/>
    <w:rsid w:val="00831F24"/>
    <w:rsid w:val="00832458"/>
    <w:rsid w:val="00832573"/>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419"/>
    <w:rsid w:val="00856618"/>
    <w:rsid w:val="008566CA"/>
    <w:rsid w:val="0085682D"/>
    <w:rsid w:val="008568C5"/>
    <w:rsid w:val="00856B2E"/>
    <w:rsid w:val="008576E8"/>
    <w:rsid w:val="008610C6"/>
    <w:rsid w:val="00861804"/>
    <w:rsid w:val="00862584"/>
    <w:rsid w:val="00862D18"/>
    <w:rsid w:val="0086305F"/>
    <w:rsid w:val="008632E4"/>
    <w:rsid w:val="008637BB"/>
    <w:rsid w:val="008638FB"/>
    <w:rsid w:val="008641A3"/>
    <w:rsid w:val="00864BA7"/>
    <w:rsid w:val="00864FA0"/>
    <w:rsid w:val="00864FD5"/>
    <w:rsid w:val="008650CB"/>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4C88"/>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7DB"/>
    <w:rsid w:val="00887AA2"/>
    <w:rsid w:val="008900AB"/>
    <w:rsid w:val="0089018B"/>
    <w:rsid w:val="00890AC9"/>
    <w:rsid w:val="008916E6"/>
    <w:rsid w:val="00891B0F"/>
    <w:rsid w:val="00892147"/>
    <w:rsid w:val="0089263D"/>
    <w:rsid w:val="008926B9"/>
    <w:rsid w:val="00892B86"/>
    <w:rsid w:val="00892BD6"/>
    <w:rsid w:val="008935B1"/>
    <w:rsid w:val="00893F4C"/>
    <w:rsid w:val="008940AA"/>
    <w:rsid w:val="00894579"/>
    <w:rsid w:val="00894649"/>
    <w:rsid w:val="00895364"/>
    <w:rsid w:val="008959FD"/>
    <w:rsid w:val="00895C6B"/>
    <w:rsid w:val="00895F61"/>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A7F"/>
    <w:rsid w:val="008B6DA0"/>
    <w:rsid w:val="008B6E0E"/>
    <w:rsid w:val="008B6E62"/>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94E"/>
    <w:rsid w:val="008C7B9B"/>
    <w:rsid w:val="008C7FF7"/>
    <w:rsid w:val="008D07A1"/>
    <w:rsid w:val="008D0D6B"/>
    <w:rsid w:val="008D0E73"/>
    <w:rsid w:val="008D14B9"/>
    <w:rsid w:val="008D1648"/>
    <w:rsid w:val="008D16DD"/>
    <w:rsid w:val="008D2745"/>
    <w:rsid w:val="008D2A84"/>
    <w:rsid w:val="008D3C40"/>
    <w:rsid w:val="008D4D1D"/>
    <w:rsid w:val="008D50BF"/>
    <w:rsid w:val="008D5D67"/>
    <w:rsid w:val="008D5F2F"/>
    <w:rsid w:val="008D6448"/>
    <w:rsid w:val="008D66D8"/>
    <w:rsid w:val="008D682A"/>
    <w:rsid w:val="008D751E"/>
    <w:rsid w:val="008D7E7E"/>
    <w:rsid w:val="008E02A6"/>
    <w:rsid w:val="008E02FA"/>
    <w:rsid w:val="008E1751"/>
    <w:rsid w:val="008E1873"/>
    <w:rsid w:val="008E1922"/>
    <w:rsid w:val="008E1CD3"/>
    <w:rsid w:val="008E1F25"/>
    <w:rsid w:val="008E27CB"/>
    <w:rsid w:val="008E2AE3"/>
    <w:rsid w:val="008E449D"/>
    <w:rsid w:val="008E4F42"/>
    <w:rsid w:val="008E5072"/>
    <w:rsid w:val="008E57B4"/>
    <w:rsid w:val="008E58A8"/>
    <w:rsid w:val="008E6374"/>
    <w:rsid w:val="008E6791"/>
    <w:rsid w:val="008E72A7"/>
    <w:rsid w:val="008E7C43"/>
    <w:rsid w:val="008F0232"/>
    <w:rsid w:val="008F04AE"/>
    <w:rsid w:val="008F0682"/>
    <w:rsid w:val="008F06E3"/>
    <w:rsid w:val="008F1581"/>
    <w:rsid w:val="008F23FE"/>
    <w:rsid w:val="008F279E"/>
    <w:rsid w:val="008F2820"/>
    <w:rsid w:val="008F2C96"/>
    <w:rsid w:val="008F3767"/>
    <w:rsid w:val="008F3AB4"/>
    <w:rsid w:val="008F432B"/>
    <w:rsid w:val="008F43F9"/>
    <w:rsid w:val="008F4452"/>
    <w:rsid w:val="008F4F69"/>
    <w:rsid w:val="008F4FFD"/>
    <w:rsid w:val="008F53DF"/>
    <w:rsid w:val="008F54DD"/>
    <w:rsid w:val="008F6E39"/>
    <w:rsid w:val="008F72A3"/>
    <w:rsid w:val="00900473"/>
    <w:rsid w:val="009007BB"/>
    <w:rsid w:val="00900ED9"/>
    <w:rsid w:val="009013F6"/>
    <w:rsid w:val="00901880"/>
    <w:rsid w:val="009018CE"/>
    <w:rsid w:val="00901D16"/>
    <w:rsid w:val="00901EB2"/>
    <w:rsid w:val="00902AA5"/>
    <w:rsid w:val="00904000"/>
    <w:rsid w:val="00904F14"/>
    <w:rsid w:val="0090562E"/>
    <w:rsid w:val="00905A66"/>
    <w:rsid w:val="00905DB4"/>
    <w:rsid w:val="00905F41"/>
    <w:rsid w:val="00906446"/>
    <w:rsid w:val="00906459"/>
    <w:rsid w:val="009068B9"/>
    <w:rsid w:val="00906C94"/>
    <w:rsid w:val="009071BB"/>
    <w:rsid w:val="00910402"/>
    <w:rsid w:val="00911100"/>
    <w:rsid w:val="00911F3B"/>
    <w:rsid w:val="009130F8"/>
    <w:rsid w:val="00913249"/>
    <w:rsid w:val="00913494"/>
    <w:rsid w:val="00913699"/>
    <w:rsid w:val="00913C46"/>
    <w:rsid w:val="00913E4F"/>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436"/>
    <w:rsid w:val="00924A9F"/>
    <w:rsid w:val="00925042"/>
    <w:rsid w:val="009251E0"/>
    <w:rsid w:val="009257E0"/>
    <w:rsid w:val="009269BD"/>
    <w:rsid w:val="00926AA3"/>
    <w:rsid w:val="00926E00"/>
    <w:rsid w:val="00926E34"/>
    <w:rsid w:val="0093031B"/>
    <w:rsid w:val="00930B44"/>
    <w:rsid w:val="00931225"/>
    <w:rsid w:val="0093126B"/>
    <w:rsid w:val="0093128F"/>
    <w:rsid w:val="00931D72"/>
    <w:rsid w:val="00932256"/>
    <w:rsid w:val="00932288"/>
    <w:rsid w:val="00932774"/>
    <w:rsid w:val="00932A7C"/>
    <w:rsid w:val="0093324D"/>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E19"/>
    <w:rsid w:val="00944F50"/>
    <w:rsid w:val="00945199"/>
    <w:rsid w:val="009457AA"/>
    <w:rsid w:val="00945A29"/>
    <w:rsid w:val="009463D5"/>
    <w:rsid w:val="00946797"/>
    <w:rsid w:val="00946800"/>
    <w:rsid w:val="00946822"/>
    <w:rsid w:val="0094706D"/>
    <w:rsid w:val="0094795A"/>
    <w:rsid w:val="00947C03"/>
    <w:rsid w:val="009511EB"/>
    <w:rsid w:val="00951870"/>
    <w:rsid w:val="00951EE6"/>
    <w:rsid w:val="00952051"/>
    <w:rsid w:val="00953ABF"/>
    <w:rsid w:val="00953D69"/>
    <w:rsid w:val="00954226"/>
    <w:rsid w:val="00954658"/>
    <w:rsid w:val="00954D8E"/>
    <w:rsid w:val="00956153"/>
    <w:rsid w:val="009561B4"/>
    <w:rsid w:val="009565AE"/>
    <w:rsid w:val="00956AA3"/>
    <w:rsid w:val="009574B7"/>
    <w:rsid w:val="009605F6"/>
    <w:rsid w:val="00960662"/>
    <w:rsid w:val="00960BD9"/>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219F"/>
    <w:rsid w:val="00973366"/>
    <w:rsid w:val="00973DF4"/>
    <w:rsid w:val="00974624"/>
    <w:rsid w:val="00975087"/>
    <w:rsid w:val="00975C59"/>
    <w:rsid w:val="009760F9"/>
    <w:rsid w:val="00976215"/>
    <w:rsid w:val="00976309"/>
    <w:rsid w:val="009773D6"/>
    <w:rsid w:val="00977491"/>
    <w:rsid w:val="00977C0C"/>
    <w:rsid w:val="00980588"/>
    <w:rsid w:val="00980C2C"/>
    <w:rsid w:val="00982626"/>
    <w:rsid w:val="00982A19"/>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CC7"/>
    <w:rsid w:val="00991D80"/>
    <w:rsid w:val="00991EA5"/>
    <w:rsid w:val="009920AC"/>
    <w:rsid w:val="009923F6"/>
    <w:rsid w:val="00992863"/>
    <w:rsid w:val="00992AD4"/>
    <w:rsid w:val="00992B33"/>
    <w:rsid w:val="00992B8E"/>
    <w:rsid w:val="009945E8"/>
    <w:rsid w:val="00994FC7"/>
    <w:rsid w:val="009959BD"/>
    <w:rsid w:val="00996363"/>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882"/>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1C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B70E8"/>
    <w:rsid w:val="009C0631"/>
    <w:rsid w:val="009C0C86"/>
    <w:rsid w:val="009C1008"/>
    <w:rsid w:val="009C1809"/>
    <w:rsid w:val="009C1AFF"/>
    <w:rsid w:val="009C206C"/>
    <w:rsid w:val="009C218C"/>
    <w:rsid w:val="009C21E3"/>
    <w:rsid w:val="009C222F"/>
    <w:rsid w:val="009C25F1"/>
    <w:rsid w:val="009C2C60"/>
    <w:rsid w:val="009C372E"/>
    <w:rsid w:val="009C3B12"/>
    <w:rsid w:val="009C3DBD"/>
    <w:rsid w:val="009C3EC8"/>
    <w:rsid w:val="009C4186"/>
    <w:rsid w:val="009C47F5"/>
    <w:rsid w:val="009C4C4F"/>
    <w:rsid w:val="009C53AE"/>
    <w:rsid w:val="009C59C1"/>
    <w:rsid w:val="009C5AD0"/>
    <w:rsid w:val="009C6134"/>
    <w:rsid w:val="009C6703"/>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372"/>
    <w:rsid w:val="009E1E04"/>
    <w:rsid w:val="009E1FF9"/>
    <w:rsid w:val="009E31F4"/>
    <w:rsid w:val="009E38CE"/>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CDD"/>
    <w:rsid w:val="009F1D5A"/>
    <w:rsid w:val="009F1DEF"/>
    <w:rsid w:val="009F2418"/>
    <w:rsid w:val="009F2588"/>
    <w:rsid w:val="009F36C5"/>
    <w:rsid w:val="009F3CE4"/>
    <w:rsid w:val="009F3D5F"/>
    <w:rsid w:val="009F51A2"/>
    <w:rsid w:val="009F5F4C"/>
    <w:rsid w:val="009F6D94"/>
    <w:rsid w:val="009F7480"/>
    <w:rsid w:val="009F7689"/>
    <w:rsid w:val="009F7EC1"/>
    <w:rsid w:val="00A00170"/>
    <w:rsid w:val="00A00BB2"/>
    <w:rsid w:val="00A013B0"/>
    <w:rsid w:val="00A01E51"/>
    <w:rsid w:val="00A03C6A"/>
    <w:rsid w:val="00A04285"/>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51"/>
    <w:rsid w:val="00A13A89"/>
    <w:rsid w:val="00A13AA8"/>
    <w:rsid w:val="00A13FE3"/>
    <w:rsid w:val="00A14158"/>
    <w:rsid w:val="00A14256"/>
    <w:rsid w:val="00A146AA"/>
    <w:rsid w:val="00A14BAC"/>
    <w:rsid w:val="00A14D5C"/>
    <w:rsid w:val="00A153D0"/>
    <w:rsid w:val="00A154F9"/>
    <w:rsid w:val="00A158CC"/>
    <w:rsid w:val="00A15D6B"/>
    <w:rsid w:val="00A16271"/>
    <w:rsid w:val="00A1666B"/>
    <w:rsid w:val="00A16954"/>
    <w:rsid w:val="00A17BA4"/>
    <w:rsid w:val="00A207DC"/>
    <w:rsid w:val="00A20CEB"/>
    <w:rsid w:val="00A21118"/>
    <w:rsid w:val="00A219FC"/>
    <w:rsid w:val="00A21F8C"/>
    <w:rsid w:val="00A22284"/>
    <w:rsid w:val="00A22977"/>
    <w:rsid w:val="00A23A82"/>
    <w:rsid w:val="00A23B89"/>
    <w:rsid w:val="00A241F9"/>
    <w:rsid w:val="00A24437"/>
    <w:rsid w:val="00A24862"/>
    <w:rsid w:val="00A252B6"/>
    <w:rsid w:val="00A2544C"/>
    <w:rsid w:val="00A25767"/>
    <w:rsid w:val="00A25FFF"/>
    <w:rsid w:val="00A2607B"/>
    <w:rsid w:val="00A26CCB"/>
    <w:rsid w:val="00A27980"/>
    <w:rsid w:val="00A27A38"/>
    <w:rsid w:val="00A27B3B"/>
    <w:rsid w:val="00A27C3C"/>
    <w:rsid w:val="00A27D03"/>
    <w:rsid w:val="00A27DB4"/>
    <w:rsid w:val="00A30E89"/>
    <w:rsid w:val="00A314A0"/>
    <w:rsid w:val="00A31598"/>
    <w:rsid w:val="00A319C1"/>
    <w:rsid w:val="00A31ADE"/>
    <w:rsid w:val="00A31C7D"/>
    <w:rsid w:val="00A320DB"/>
    <w:rsid w:val="00A3249C"/>
    <w:rsid w:val="00A32A75"/>
    <w:rsid w:val="00A33C93"/>
    <w:rsid w:val="00A3410E"/>
    <w:rsid w:val="00A35ACD"/>
    <w:rsid w:val="00A35AFF"/>
    <w:rsid w:val="00A36A84"/>
    <w:rsid w:val="00A370B4"/>
    <w:rsid w:val="00A37836"/>
    <w:rsid w:val="00A37C79"/>
    <w:rsid w:val="00A40288"/>
    <w:rsid w:val="00A406E6"/>
    <w:rsid w:val="00A409A3"/>
    <w:rsid w:val="00A41771"/>
    <w:rsid w:val="00A41B17"/>
    <w:rsid w:val="00A421B2"/>
    <w:rsid w:val="00A42796"/>
    <w:rsid w:val="00A4292D"/>
    <w:rsid w:val="00A42E17"/>
    <w:rsid w:val="00A4329A"/>
    <w:rsid w:val="00A4334A"/>
    <w:rsid w:val="00A43DB0"/>
    <w:rsid w:val="00A43F59"/>
    <w:rsid w:val="00A443E2"/>
    <w:rsid w:val="00A44D4F"/>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190"/>
    <w:rsid w:val="00A56340"/>
    <w:rsid w:val="00A57A69"/>
    <w:rsid w:val="00A57C92"/>
    <w:rsid w:val="00A57F82"/>
    <w:rsid w:val="00A608B7"/>
    <w:rsid w:val="00A60FE1"/>
    <w:rsid w:val="00A6122A"/>
    <w:rsid w:val="00A61836"/>
    <w:rsid w:val="00A61853"/>
    <w:rsid w:val="00A618C6"/>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6EE2"/>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DFD"/>
    <w:rsid w:val="00A95EE0"/>
    <w:rsid w:val="00A96EF6"/>
    <w:rsid w:val="00AA0925"/>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3D0"/>
    <w:rsid w:val="00AA75CE"/>
    <w:rsid w:val="00AB023A"/>
    <w:rsid w:val="00AB0C43"/>
    <w:rsid w:val="00AB1082"/>
    <w:rsid w:val="00AB1098"/>
    <w:rsid w:val="00AB1102"/>
    <w:rsid w:val="00AB173C"/>
    <w:rsid w:val="00AB1B38"/>
    <w:rsid w:val="00AB1E82"/>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030"/>
    <w:rsid w:val="00AC1A14"/>
    <w:rsid w:val="00AC2121"/>
    <w:rsid w:val="00AC2A94"/>
    <w:rsid w:val="00AC322C"/>
    <w:rsid w:val="00AC33E2"/>
    <w:rsid w:val="00AC3674"/>
    <w:rsid w:val="00AC3F97"/>
    <w:rsid w:val="00AC4466"/>
    <w:rsid w:val="00AC4A20"/>
    <w:rsid w:val="00AC4FEA"/>
    <w:rsid w:val="00AC5213"/>
    <w:rsid w:val="00AC53F3"/>
    <w:rsid w:val="00AC584E"/>
    <w:rsid w:val="00AC5B6E"/>
    <w:rsid w:val="00AC5E1A"/>
    <w:rsid w:val="00AC70F7"/>
    <w:rsid w:val="00AC7B80"/>
    <w:rsid w:val="00AC7D80"/>
    <w:rsid w:val="00AD073E"/>
    <w:rsid w:val="00AD0A32"/>
    <w:rsid w:val="00AD1442"/>
    <w:rsid w:val="00AD14AB"/>
    <w:rsid w:val="00AD1B73"/>
    <w:rsid w:val="00AD20ED"/>
    <w:rsid w:val="00AD20FA"/>
    <w:rsid w:val="00AD26B9"/>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CD"/>
    <w:rsid w:val="00AE43F4"/>
    <w:rsid w:val="00AE5099"/>
    <w:rsid w:val="00AE50D3"/>
    <w:rsid w:val="00AE606A"/>
    <w:rsid w:val="00AE6F21"/>
    <w:rsid w:val="00AF013B"/>
    <w:rsid w:val="00AF0A66"/>
    <w:rsid w:val="00AF0CF8"/>
    <w:rsid w:val="00AF1658"/>
    <w:rsid w:val="00AF262C"/>
    <w:rsid w:val="00AF2A5A"/>
    <w:rsid w:val="00AF4049"/>
    <w:rsid w:val="00AF415A"/>
    <w:rsid w:val="00AF44F2"/>
    <w:rsid w:val="00AF4950"/>
    <w:rsid w:val="00AF53AB"/>
    <w:rsid w:val="00AF53BA"/>
    <w:rsid w:val="00AF64D9"/>
    <w:rsid w:val="00AF69B4"/>
    <w:rsid w:val="00AF717B"/>
    <w:rsid w:val="00B00A2E"/>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2191"/>
    <w:rsid w:val="00B12F04"/>
    <w:rsid w:val="00B13082"/>
    <w:rsid w:val="00B134E7"/>
    <w:rsid w:val="00B13A79"/>
    <w:rsid w:val="00B14075"/>
    <w:rsid w:val="00B14FC0"/>
    <w:rsid w:val="00B159F7"/>
    <w:rsid w:val="00B16524"/>
    <w:rsid w:val="00B165E7"/>
    <w:rsid w:val="00B16E86"/>
    <w:rsid w:val="00B170A8"/>
    <w:rsid w:val="00B17C0B"/>
    <w:rsid w:val="00B20364"/>
    <w:rsid w:val="00B20E6F"/>
    <w:rsid w:val="00B211F2"/>
    <w:rsid w:val="00B2130C"/>
    <w:rsid w:val="00B215D0"/>
    <w:rsid w:val="00B21EDE"/>
    <w:rsid w:val="00B222B9"/>
    <w:rsid w:val="00B2244B"/>
    <w:rsid w:val="00B226A9"/>
    <w:rsid w:val="00B2300D"/>
    <w:rsid w:val="00B2303C"/>
    <w:rsid w:val="00B230F6"/>
    <w:rsid w:val="00B23139"/>
    <w:rsid w:val="00B232D6"/>
    <w:rsid w:val="00B23307"/>
    <w:rsid w:val="00B23539"/>
    <w:rsid w:val="00B23551"/>
    <w:rsid w:val="00B24DC8"/>
    <w:rsid w:val="00B25335"/>
    <w:rsid w:val="00B25CBD"/>
    <w:rsid w:val="00B26391"/>
    <w:rsid w:val="00B26A06"/>
    <w:rsid w:val="00B27AD5"/>
    <w:rsid w:val="00B27F3D"/>
    <w:rsid w:val="00B30A36"/>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48A"/>
    <w:rsid w:val="00B46554"/>
    <w:rsid w:val="00B466F0"/>
    <w:rsid w:val="00B467BB"/>
    <w:rsid w:val="00B46AD1"/>
    <w:rsid w:val="00B47E3B"/>
    <w:rsid w:val="00B503B4"/>
    <w:rsid w:val="00B50892"/>
    <w:rsid w:val="00B50D91"/>
    <w:rsid w:val="00B50EE3"/>
    <w:rsid w:val="00B51057"/>
    <w:rsid w:val="00B511ED"/>
    <w:rsid w:val="00B51602"/>
    <w:rsid w:val="00B51F21"/>
    <w:rsid w:val="00B52273"/>
    <w:rsid w:val="00B52540"/>
    <w:rsid w:val="00B5371B"/>
    <w:rsid w:val="00B5399D"/>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2E27"/>
    <w:rsid w:val="00B64774"/>
    <w:rsid w:val="00B64E06"/>
    <w:rsid w:val="00B65A6A"/>
    <w:rsid w:val="00B65CB5"/>
    <w:rsid w:val="00B65D4A"/>
    <w:rsid w:val="00B65E12"/>
    <w:rsid w:val="00B668FC"/>
    <w:rsid w:val="00B66B65"/>
    <w:rsid w:val="00B66BB3"/>
    <w:rsid w:val="00B67E57"/>
    <w:rsid w:val="00B67EC2"/>
    <w:rsid w:val="00B7024C"/>
    <w:rsid w:val="00B70EBF"/>
    <w:rsid w:val="00B70EF2"/>
    <w:rsid w:val="00B70F06"/>
    <w:rsid w:val="00B7145B"/>
    <w:rsid w:val="00B71881"/>
    <w:rsid w:val="00B72FA4"/>
    <w:rsid w:val="00B7347B"/>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58A"/>
    <w:rsid w:val="00B81607"/>
    <w:rsid w:val="00B81787"/>
    <w:rsid w:val="00B81E23"/>
    <w:rsid w:val="00B8280A"/>
    <w:rsid w:val="00B83280"/>
    <w:rsid w:val="00B83638"/>
    <w:rsid w:val="00B838AA"/>
    <w:rsid w:val="00B83907"/>
    <w:rsid w:val="00B839BC"/>
    <w:rsid w:val="00B84400"/>
    <w:rsid w:val="00B84738"/>
    <w:rsid w:val="00B84B83"/>
    <w:rsid w:val="00B85057"/>
    <w:rsid w:val="00B85087"/>
    <w:rsid w:val="00B853F9"/>
    <w:rsid w:val="00B860D7"/>
    <w:rsid w:val="00B868DC"/>
    <w:rsid w:val="00B86FAD"/>
    <w:rsid w:val="00B87B8A"/>
    <w:rsid w:val="00B9190B"/>
    <w:rsid w:val="00B922DC"/>
    <w:rsid w:val="00B92342"/>
    <w:rsid w:val="00B92412"/>
    <w:rsid w:val="00B92971"/>
    <w:rsid w:val="00B92D1A"/>
    <w:rsid w:val="00B93445"/>
    <w:rsid w:val="00B939A1"/>
    <w:rsid w:val="00B93B87"/>
    <w:rsid w:val="00B9431E"/>
    <w:rsid w:val="00B9465D"/>
    <w:rsid w:val="00B9473D"/>
    <w:rsid w:val="00B94881"/>
    <w:rsid w:val="00B94C4F"/>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842"/>
    <w:rsid w:val="00BA4D41"/>
    <w:rsid w:val="00BA58AF"/>
    <w:rsid w:val="00BA58BB"/>
    <w:rsid w:val="00BA67FC"/>
    <w:rsid w:val="00BA6B8E"/>
    <w:rsid w:val="00BA7285"/>
    <w:rsid w:val="00BA7BE8"/>
    <w:rsid w:val="00BB01AF"/>
    <w:rsid w:val="00BB08F7"/>
    <w:rsid w:val="00BB0BA7"/>
    <w:rsid w:val="00BB0CA1"/>
    <w:rsid w:val="00BB133D"/>
    <w:rsid w:val="00BB1924"/>
    <w:rsid w:val="00BB26EB"/>
    <w:rsid w:val="00BB2C15"/>
    <w:rsid w:val="00BB3C8A"/>
    <w:rsid w:val="00BB4049"/>
    <w:rsid w:val="00BB5E0A"/>
    <w:rsid w:val="00BB6EA6"/>
    <w:rsid w:val="00BB7AF7"/>
    <w:rsid w:val="00BC00C1"/>
    <w:rsid w:val="00BC0230"/>
    <w:rsid w:val="00BC02CD"/>
    <w:rsid w:val="00BC0688"/>
    <w:rsid w:val="00BC1478"/>
    <w:rsid w:val="00BC1BFE"/>
    <w:rsid w:val="00BC2264"/>
    <w:rsid w:val="00BC2C3A"/>
    <w:rsid w:val="00BC3CE2"/>
    <w:rsid w:val="00BC3E3B"/>
    <w:rsid w:val="00BC450A"/>
    <w:rsid w:val="00BC52DE"/>
    <w:rsid w:val="00BC5902"/>
    <w:rsid w:val="00BC66E0"/>
    <w:rsid w:val="00BC69C6"/>
    <w:rsid w:val="00BC7775"/>
    <w:rsid w:val="00BC7956"/>
    <w:rsid w:val="00BD02E6"/>
    <w:rsid w:val="00BD065D"/>
    <w:rsid w:val="00BD0CF8"/>
    <w:rsid w:val="00BD0DDA"/>
    <w:rsid w:val="00BD1252"/>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3D6"/>
    <w:rsid w:val="00BD6C08"/>
    <w:rsid w:val="00BD7247"/>
    <w:rsid w:val="00BD72A6"/>
    <w:rsid w:val="00BD762F"/>
    <w:rsid w:val="00BD7D70"/>
    <w:rsid w:val="00BE087F"/>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2673"/>
    <w:rsid w:val="00BF324E"/>
    <w:rsid w:val="00BF329F"/>
    <w:rsid w:val="00BF3693"/>
    <w:rsid w:val="00BF45A7"/>
    <w:rsid w:val="00BF4674"/>
    <w:rsid w:val="00BF47B7"/>
    <w:rsid w:val="00BF5020"/>
    <w:rsid w:val="00BF55BA"/>
    <w:rsid w:val="00BF58F2"/>
    <w:rsid w:val="00BF590D"/>
    <w:rsid w:val="00BF5981"/>
    <w:rsid w:val="00BF5F58"/>
    <w:rsid w:val="00BF6637"/>
    <w:rsid w:val="00BF756C"/>
    <w:rsid w:val="00C024DF"/>
    <w:rsid w:val="00C028F9"/>
    <w:rsid w:val="00C0308D"/>
    <w:rsid w:val="00C035A7"/>
    <w:rsid w:val="00C0387C"/>
    <w:rsid w:val="00C03D79"/>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5A9"/>
    <w:rsid w:val="00C077A9"/>
    <w:rsid w:val="00C10C63"/>
    <w:rsid w:val="00C10D34"/>
    <w:rsid w:val="00C10DB6"/>
    <w:rsid w:val="00C11612"/>
    <w:rsid w:val="00C11B8C"/>
    <w:rsid w:val="00C12101"/>
    <w:rsid w:val="00C1230F"/>
    <w:rsid w:val="00C12EC3"/>
    <w:rsid w:val="00C134DF"/>
    <w:rsid w:val="00C137E0"/>
    <w:rsid w:val="00C13810"/>
    <w:rsid w:val="00C13934"/>
    <w:rsid w:val="00C13B21"/>
    <w:rsid w:val="00C13BCE"/>
    <w:rsid w:val="00C14234"/>
    <w:rsid w:val="00C14C9F"/>
    <w:rsid w:val="00C155CC"/>
    <w:rsid w:val="00C15941"/>
    <w:rsid w:val="00C15ABB"/>
    <w:rsid w:val="00C160D1"/>
    <w:rsid w:val="00C168BD"/>
    <w:rsid w:val="00C16B20"/>
    <w:rsid w:val="00C16E20"/>
    <w:rsid w:val="00C170CD"/>
    <w:rsid w:val="00C175D6"/>
    <w:rsid w:val="00C17EE4"/>
    <w:rsid w:val="00C2047B"/>
    <w:rsid w:val="00C20A4F"/>
    <w:rsid w:val="00C212A5"/>
    <w:rsid w:val="00C21801"/>
    <w:rsid w:val="00C21EE3"/>
    <w:rsid w:val="00C22FF7"/>
    <w:rsid w:val="00C2304D"/>
    <w:rsid w:val="00C236EB"/>
    <w:rsid w:val="00C23BE9"/>
    <w:rsid w:val="00C24016"/>
    <w:rsid w:val="00C24904"/>
    <w:rsid w:val="00C24933"/>
    <w:rsid w:val="00C2541E"/>
    <w:rsid w:val="00C25F86"/>
    <w:rsid w:val="00C2649C"/>
    <w:rsid w:val="00C26623"/>
    <w:rsid w:val="00C26685"/>
    <w:rsid w:val="00C26D74"/>
    <w:rsid w:val="00C30824"/>
    <w:rsid w:val="00C30F87"/>
    <w:rsid w:val="00C31595"/>
    <w:rsid w:val="00C31BD5"/>
    <w:rsid w:val="00C31BF8"/>
    <w:rsid w:val="00C3273C"/>
    <w:rsid w:val="00C32EC2"/>
    <w:rsid w:val="00C3307F"/>
    <w:rsid w:val="00C3319F"/>
    <w:rsid w:val="00C33D18"/>
    <w:rsid w:val="00C33F77"/>
    <w:rsid w:val="00C348FF"/>
    <w:rsid w:val="00C34CC3"/>
    <w:rsid w:val="00C34F30"/>
    <w:rsid w:val="00C363E7"/>
    <w:rsid w:val="00C3640A"/>
    <w:rsid w:val="00C36F96"/>
    <w:rsid w:val="00C3796D"/>
    <w:rsid w:val="00C4006C"/>
    <w:rsid w:val="00C4057F"/>
    <w:rsid w:val="00C405F4"/>
    <w:rsid w:val="00C40753"/>
    <w:rsid w:val="00C40815"/>
    <w:rsid w:val="00C40B89"/>
    <w:rsid w:val="00C40B90"/>
    <w:rsid w:val="00C41BEB"/>
    <w:rsid w:val="00C427A2"/>
    <w:rsid w:val="00C42E64"/>
    <w:rsid w:val="00C42FF6"/>
    <w:rsid w:val="00C43C61"/>
    <w:rsid w:val="00C43F21"/>
    <w:rsid w:val="00C441C2"/>
    <w:rsid w:val="00C4421D"/>
    <w:rsid w:val="00C46397"/>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978"/>
    <w:rsid w:val="00C56A7A"/>
    <w:rsid w:val="00C56BC5"/>
    <w:rsid w:val="00C56DB7"/>
    <w:rsid w:val="00C572FF"/>
    <w:rsid w:val="00C57991"/>
    <w:rsid w:val="00C60B64"/>
    <w:rsid w:val="00C60D23"/>
    <w:rsid w:val="00C6101E"/>
    <w:rsid w:val="00C613E0"/>
    <w:rsid w:val="00C615B8"/>
    <w:rsid w:val="00C61AFD"/>
    <w:rsid w:val="00C62D67"/>
    <w:rsid w:val="00C6356B"/>
    <w:rsid w:val="00C64963"/>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B05"/>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CA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5C3B"/>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A6776"/>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211"/>
    <w:rsid w:val="00CB570A"/>
    <w:rsid w:val="00CB679C"/>
    <w:rsid w:val="00CB6A84"/>
    <w:rsid w:val="00CB6A85"/>
    <w:rsid w:val="00CB7121"/>
    <w:rsid w:val="00CB7364"/>
    <w:rsid w:val="00CB7C4A"/>
    <w:rsid w:val="00CB7DD9"/>
    <w:rsid w:val="00CB7ECC"/>
    <w:rsid w:val="00CC00DA"/>
    <w:rsid w:val="00CC0B1E"/>
    <w:rsid w:val="00CC0C76"/>
    <w:rsid w:val="00CC1475"/>
    <w:rsid w:val="00CC1632"/>
    <w:rsid w:val="00CC1DED"/>
    <w:rsid w:val="00CC319E"/>
    <w:rsid w:val="00CC336D"/>
    <w:rsid w:val="00CC340A"/>
    <w:rsid w:val="00CC36E9"/>
    <w:rsid w:val="00CC5AA0"/>
    <w:rsid w:val="00CC669A"/>
    <w:rsid w:val="00CC69B1"/>
    <w:rsid w:val="00CC75B6"/>
    <w:rsid w:val="00CC779B"/>
    <w:rsid w:val="00CD2730"/>
    <w:rsid w:val="00CD28B2"/>
    <w:rsid w:val="00CD2DD0"/>
    <w:rsid w:val="00CD2E3B"/>
    <w:rsid w:val="00CD33EE"/>
    <w:rsid w:val="00CD3776"/>
    <w:rsid w:val="00CD4D65"/>
    <w:rsid w:val="00CD4ED7"/>
    <w:rsid w:val="00CD55B1"/>
    <w:rsid w:val="00CD5680"/>
    <w:rsid w:val="00CD57E1"/>
    <w:rsid w:val="00CD59A3"/>
    <w:rsid w:val="00CD648D"/>
    <w:rsid w:val="00CD6B80"/>
    <w:rsid w:val="00CD7616"/>
    <w:rsid w:val="00CD775A"/>
    <w:rsid w:val="00CE01B5"/>
    <w:rsid w:val="00CE021F"/>
    <w:rsid w:val="00CE0B98"/>
    <w:rsid w:val="00CE1CD1"/>
    <w:rsid w:val="00CE2312"/>
    <w:rsid w:val="00CE2620"/>
    <w:rsid w:val="00CE336E"/>
    <w:rsid w:val="00CE374F"/>
    <w:rsid w:val="00CE384F"/>
    <w:rsid w:val="00CE3CDF"/>
    <w:rsid w:val="00CE3D08"/>
    <w:rsid w:val="00CE3E07"/>
    <w:rsid w:val="00CE3FEE"/>
    <w:rsid w:val="00CE455E"/>
    <w:rsid w:val="00CE47B3"/>
    <w:rsid w:val="00CE4F0D"/>
    <w:rsid w:val="00CE6640"/>
    <w:rsid w:val="00CE6768"/>
    <w:rsid w:val="00CE68A3"/>
    <w:rsid w:val="00CE7175"/>
    <w:rsid w:val="00CE79A8"/>
    <w:rsid w:val="00CE7E34"/>
    <w:rsid w:val="00CF0639"/>
    <w:rsid w:val="00CF0AE5"/>
    <w:rsid w:val="00CF14A0"/>
    <w:rsid w:val="00CF1737"/>
    <w:rsid w:val="00CF19DF"/>
    <w:rsid w:val="00CF1F8D"/>
    <w:rsid w:val="00CF2172"/>
    <w:rsid w:val="00CF25F6"/>
    <w:rsid w:val="00CF2BBB"/>
    <w:rsid w:val="00CF366B"/>
    <w:rsid w:val="00CF3B6C"/>
    <w:rsid w:val="00CF4074"/>
    <w:rsid w:val="00CF4810"/>
    <w:rsid w:val="00CF4D38"/>
    <w:rsid w:val="00CF4F1F"/>
    <w:rsid w:val="00CF4F47"/>
    <w:rsid w:val="00CF5030"/>
    <w:rsid w:val="00CF6A40"/>
    <w:rsid w:val="00CF6E9D"/>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517"/>
    <w:rsid w:val="00D109FA"/>
    <w:rsid w:val="00D11712"/>
    <w:rsid w:val="00D11EC0"/>
    <w:rsid w:val="00D120D2"/>
    <w:rsid w:val="00D1301C"/>
    <w:rsid w:val="00D131D1"/>
    <w:rsid w:val="00D13294"/>
    <w:rsid w:val="00D13666"/>
    <w:rsid w:val="00D13CB3"/>
    <w:rsid w:val="00D14D12"/>
    <w:rsid w:val="00D14EF2"/>
    <w:rsid w:val="00D15411"/>
    <w:rsid w:val="00D16B43"/>
    <w:rsid w:val="00D171C8"/>
    <w:rsid w:val="00D17C55"/>
    <w:rsid w:val="00D20137"/>
    <w:rsid w:val="00D208E6"/>
    <w:rsid w:val="00D20B09"/>
    <w:rsid w:val="00D21A55"/>
    <w:rsid w:val="00D223FB"/>
    <w:rsid w:val="00D224AD"/>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B22"/>
    <w:rsid w:val="00D3511A"/>
    <w:rsid w:val="00D35F28"/>
    <w:rsid w:val="00D3672A"/>
    <w:rsid w:val="00D368A2"/>
    <w:rsid w:val="00D368FF"/>
    <w:rsid w:val="00D36D8E"/>
    <w:rsid w:val="00D37142"/>
    <w:rsid w:val="00D372A0"/>
    <w:rsid w:val="00D374D1"/>
    <w:rsid w:val="00D37596"/>
    <w:rsid w:val="00D37899"/>
    <w:rsid w:val="00D37FCE"/>
    <w:rsid w:val="00D40238"/>
    <w:rsid w:val="00D40D79"/>
    <w:rsid w:val="00D4117C"/>
    <w:rsid w:val="00D41258"/>
    <w:rsid w:val="00D432D3"/>
    <w:rsid w:val="00D43430"/>
    <w:rsid w:val="00D43441"/>
    <w:rsid w:val="00D439C3"/>
    <w:rsid w:val="00D43F3D"/>
    <w:rsid w:val="00D449C6"/>
    <w:rsid w:val="00D44A3B"/>
    <w:rsid w:val="00D451A0"/>
    <w:rsid w:val="00D451C2"/>
    <w:rsid w:val="00D45385"/>
    <w:rsid w:val="00D45546"/>
    <w:rsid w:val="00D45C34"/>
    <w:rsid w:val="00D4777F"/>
    <w:rsid w:val="00D478D3"/>
    <w:rsid w:val="00D5062B"/>
    <w:rsid w:val="00D50975"/>
    <w:rsid w:val="00D50B46"/>
    <w:rsid w:val="00D50B72"/>
    <w:rsid w:val="00D51867"/>
    <w:rsid w:val="00D51AC9"/>
    <w:rsid w:val="00D51AD4"/>
    <w:rsid w:val="00D52DBB"/>
    <w:rsid w:val="00D531B6"/>
    <w:rsid w:val="00D53530"/>
    <w:rsid w:val="00D5418D"/>
    <w:rsid w:val="00D541EF"/>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C1D"/>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3D6"/>
    <w:rsid w:val="00D857FE"/>
    <w:rsid w:val="00D859D8"/>
    <w:rsid w:val="00D8686B"/>
    <w:rsid w:val="00D86F69"/>
    <w:rsid w:val="00D86F82"/>
    <w:rsid w:val="00D87458"/>
    <w:rsid w:val="00D87A74"/>
    <w:rsid w:val="00D901F7"/>
    <w:rsid w:val="00D90311"/>
    <w:rsid w:val="00D907F2"/>
    <w:rsid w:val="00D910E2"/>
    <w:rsid w:val="00D913F3"/>
    <w:rsid w:val="00D915FF"/>
    <w:rsid w:val="00D91CC6"/>
    <w:rsid w:val="00D92BBF"/>
    <w:rsid w:val="00D933F6"/>
    <w:rsid w:val="00D9398B"/>
    <w:rsid w:val="00D93F68"/>
    <w:rsid w:val="00D94010"/>
    <w:rsid w:val="00D948C4"/>
    <w:rsid w:val="00D94A97"/>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1672"/>
    <w:rsid w:val="00DB2AEF"/>
    <w:rsid w:val="00DB2B51"/>
    <w:rsid w:val="00DB341C"/>
    <w:rsid w:val="00DB382B"/>
    <w:rsid w:val="00DB40CF"/>
    <w:rsid w:val="00DB4525"/>
    <w:rsid w:val="00DB47A5"/>
    <w:rsid w:val="00DB4BD3"/>
    <w:rsid w:val="00DB4D17"/>
    <w:rsid w:val="00DB5175"/>
    <w:rsid w:val="00DB614A"/>
    <w:rsid w:val="00DB6DD3"/>
    <w:rsid w:val="00DB7408"/>
    <w:rsid w:val="00DB79CB"/>
    <w:rsid w:val="00DB7CED"/>
    <w:rsid w:val="00DC09FC"/>
    <w:rsid w:val="00DC102C"/>
    <w:rsid w:val="00DC1E1B"/>
    <w:rsid w:val="00DC1EC8"/>
    <w:rsid w:val="00DC23B2"/>
    <w:rsid w:val="00DC2E18"/>
    <w:rsid w:val="00DC30FE"/>
    <w:rsid w:val="00DC3512"/>
    <w:rsid w:val="00DC385E"/>
    <w:rsid w:val="00DC3EC8"/>
    <w:rsid w:val="00DC4068"/>
    <w:rsid w:val="00DC4145"/>
    <w:rsid w:val="00DC493B"/>
    <w:rsid w:val="00DC6E62"/>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81E"/>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44E2"/>
    <w:rsid w:val="00DF465A"/>
    <w:rsid w:val="00DF58E5"/>
    <w:rsid w:val="00DF5BC6"/>
    <w:rsid w:val="00DF6527"/>
    <w:rsid w:val="00DF79E1"/>
    <w:rsid w:val="00DF7E57"/>
    <w:rsid w:val="00E000D0"/>
    <w:rsid w:val="00E00F2E"/>
    <w:rsid w:val="00E01525"/>
    <w:rsid w:val="00E0160E"/>
    <w:rsid w:val="00E0186E"/>
    <w:rsid w:val="00E01FE1"/>
    <w:rsid w:val="00E024B2"/>
    <w:rsid w:val="00E025CC"/>
    <w:rsid w:val="00E02F55"/>
    <w:rsid w:val="00E02FCC"/>
    <w:rsid w:val="00E03063"/>
    <w:rsid w:val="00E036B3"/>
    <w:rsid w:val="00E044C5"/>
    <w:rsid w:val="00E051B1"/>
    <w:rsid w:val="00E057EA"/>
    <w:rsid w:val="00E05E00"/>
    <w:rsid w:val="00E06357"/>
    <w:rsid w:val="00E0667E"/>
    <w:rsid w:val="00E06F09"/>
    <w:rsid w:val="00E06FAA"/>
    <w:rsid w:val="00E073FE"/>
    <w:rsid w:val="00E078A6"/>
    <w:rsid w:val="00E07916"/>
    <w:rsid w:val="00E07AA2"/>
    <w:rsid w:val="00E1015B"/>
    <w:rsid w:val="00E106AE"/>
    <w:rsid w:val="00E10723"/>
    <w:rsid w:val="00E11236"/>
    <w:rsid w:val="00E1164D"/>
    <w:rsid w:val="00E11A5C"/>
    <w:rsid w:val="00E11CCB"/>
    <w:rsid w:val="00E1223A"/>
    <w:rsid w:val="00E122A9"/>
    <w:rsid w:val="00E12447"/>
    <w:rsid w:val="00E12ABE"/>
    <w:rsid w:val="00E12E0E"/>
    <w:rsid w:val="00E12FC7"/>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DA4"/>
    <w:rsid w:val="00E23FAE"/>
    <w:rsid w:val="00E248F0"/>
    <w:rsid w:val="00E254BE"/>
    <w:rsid w:val="00E25A83"/>
    <w:rsid w:val="00E2796A"/>
    <w:rsid w:val="00E30003"/>
    <w:rsid w:val="00E313CE"/>
    <w:rsid w:val="00E31F09"/>
    <w:rsid w:val="00E320DB"/>
    <w:rsid w:val="00E32340"/>
    <w:rsid w:val="00E32733"/>
    <w:rsid w:val="00E331D5"/>
    <w:rsid w:val="00E33AB2"/>
    <w:rsid w:val="00E33B65"/>
    <w:rsid w:val="00E33E69"/>
    <w:rsid w:val="00E3497F"/>
    <w:rsid w:val="00E34E6A"/>
    <w:rsid w:val="00E34F1E"/>
    <w:rsid w:val="00E35359"/>
    <w:rsid w:val="00E35931"/>
    <w:rsid w:val="00E35D96"/>
    <w:rsid w:val="00E35F0A"/>
    <w:rsid w:val="00E363CF"/>
    <w:rsid w:val="00E36C49"/>
    <w:rsid w:val="00E36D49"/>
    <w:rsid w:val="00E36E14"/>
    <w:rsid w:val="00E374A1"/>
    <w:rsid w:val="00E37673"/>
    <w:rsid w:val="00E408E9"/>
    <w:rsid w:val="00E413F2"/>
    <w:rsid w:val="00E418F1"/>
    <w:rsid w:val="00E419DB"/>
    <w:rsid w:val="00E41C29"/>
    <w:rsid w:val="00E41D45"/>
    <w:rsid w:val="00E4238A"/>
    <w:rsid w:val="00E4324D"/>
    <w:rsid w:val="00E433F1"/>
    <w:rsid w:val="00E4443F"/>
    <w:rsid w:val="00E44935"/>
    <w:rsid w:val="00E4496D"/>
    <w:rsid w:val="00E4579A"/>
    <w:rsid w:val="00E46771"/>
    <w:rsid w:val="00E46958"/>
    <w:rsid w:val="00E46C4C"/>
    <w:rsid w:val="00E46E0B"/>
    <w:rsid w:val="00E471ED"/>
    <w:rsid w:val="00E478DA"/>
    <w:rsid w:val="00E479FF"/>
    <w:rsid w:val="00E47A53"/>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6596"/>
    <w:rsid w:val="00E77E32"/>
    <w:rsid w:val="00E809C8"/>
    <w:rsid w:val="00E810FF"/>
    <w:rsid w:val="00E81376"/>
    <w:rsid w:val="00E8173D"/>
    <w:rsid w:val="00E81A7E"/>
    <w:rsid w:val="00E81B11"/>
    <w:rsid w:val="00E82FC8"/>
    <w:rsid w:val="00E83069"/>
    <w:rsid w:val="00E834BF"/>
    <w:rsid w:val="00E83987"/>
    <w:rsid w:val="00E84CC4"/>
    <w:rsid w:val="00E855B1"/>
    <w:rsid w:val="00E85E67"/>
    <w:rsid w:val="00E86621"/>
    <w:rsid w:val="00E86A0D"/>
    <w:rsid w:val="00E87BD5"/>
    <w:rsid w:val="00E87C5D"/>
    <w:rsid w:val="00E87C9B"/>
    <w:rsid w:val="00E90B12"/>
    <w:rsid w:val="00E90D43"/>
    <w:rsid w:val="00E912B1"/>
    <w:rsid w:val="00E921EF"/>
    <w:rsid w:val="00E927FD"/>
    <w:rsid w:val="00E92BF5"/>
    <w:rsid w:val="00E94E0B"/>
    <w:rsid w:val="00E94FD2"/>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4929"/>
    <w:rsid w:val="00EA4D9C"/>
    <w:rsid w:val="00EA5A78"/>
    <w:rsid w:val="00EA5DE5"/>
    <w:rsid w:val="00EA71D3"/>
    <w:rsid w:val="00EA781C"/>
    <w:rsid w:val="00EB051D"/>
    <w:rsid w:val="00EB1072"/>
    <w:rsid w:val="00EB1A14"/>
    <w:rsid w:val="00EB1ED2"/>
    <w:rsid w:val="00EB2610"/>
    <w:rsid w:val="00EB2D92"/>
    <w:rsid w:val="00EB3229"/>
    <w:rsid w:val="00EB341F"/>
    <w:rsid w:val="00EB36B5"/>
    <w:rsid w:val="00EB43C4"/>
    <w:rsid w:val="00EB5C2A"/>
    <w:rsid w:val="00EB686E"/>
    <w:rsid w:val="00EB6974"/>
    <w:rsid w:val="00EB6D6E"/>
    <w:rsid w:val="00EB7570"/>
    <w:rsid w:val="00EB7649"/>
    <w:rsid w:val="00EB76BD"/>
    <w:rsid w:val="00EC05A9"/>
    <w:rsid w:val="00EC07C5"/>
    <w:rsid w:val="00EC12D9"/>
    <w:rsid w:val="00EC2103"/>
    <w:rsid w:val="00EC27C8"/>
    <w:rsid w:val="00EC284D"/>
    <w:rsid w:val="00EC2BE5"/>
    <w:rsid w:val="00EC2CCA"/>
    <w:rsid w:val="00EC2E57"/>
    <w:rsid w:val="00EC2E71"/>
    <w:rsid w:val="00EC3A46"/>
    <w:rsid w:val="00EC3AA0"/>
    <w:rsid w:val="00EC4158"/>
    <w:rsid w:val="00EC4D53"/>
    <w:rsid w:val="00EC5347"/>
    <w:rsid w:val="00EC54E1"/>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5E22"/>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E7616"/>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4D8A"/>
    <w:rsid w:val="00EF50AF"/>
    <w:rsid w:val="00EF5363"/>
    <w:rsid w:val="00EF59B1"/>
    <w:rsid w:val="00EF59F2"/>
    <w:rsid w:val="00EF6153"/>
    <w:rsid w:val="00EF6176"/>
    <w:rsid w:val="00EF6E4E"/>
    <w:rsid w:val="00EF713B"/>
    <w:rsid w:val="00EF71AB"/>
    <w:rsid w:val="00EF74E7"/>
    <w:rsid w:val="00EF780A"/>
    <w:rsid w:val="00EF7B3E"/>
    <w:rsid w:val="00F0069B"/>
    <w:rsid w:val="00F01C37"/>
    <w:rsid w:val="00F01D44"/>
    <w:rsid w:val="00F01F24"/>
    <w:rsid w:val="00F020FB"/>
    <w:rsid w:val="00F02BF0"/>
    <w:rsid w:val="00F03C49"/>
    <w:rsid w:val="00F03F33"/>
    <w:rsid w:val="00F0432C"/>
    <w:rsid w:val="00F04516"/>
    <w:rsid w:val="00F06034"/>
    <w:rsid w:val="00F0780D"/>
    <w:rsid w:val="00F07A6D"/>
    <w:rsid w:val="00F100D2"/>
    <w:rsid w:val="00F1097C"/>
    <w:rsid w:val="00F121F0"/>
    <w:rsid w:val="00F123F4"/>
    <w:rsid w:val="00F12DCF"/>
    <w:rsid w:val="00F12DE2"/>
    <w:rsid w:val="00F12F63"/>
    <w:rsid w:val="00F1310D"/>
    <w:rsid w:val="00F133D6"/>
    <w:rsid w:val="00F13971"/>
    <w:rsid w:val="00F13C27"/>
    <w:rsid w:val="00F14133"/>
    <w:rsid w:val="00F144D6"/>
    <w:rsid w:val="00F14C5F"/>
    <w:rsid w:val="00F14FC4"/>
    <w:rsid w:val="00F1511E"/>
    <w:rsid w:val="00F15860"/>
    <w:rsid w:val="00F15A42"/>
    <w:rsid w:val="00F15DA5"/>
    <w:rsid w:val="00F16108"/>
    <w:rsid w:val="00F16136"/>
    <w:rsid w:val="00F16526"/>
    <w:rsid w:val="00F16D91"/>
    <w:rsid w:val="00F1705F"/>
    <w:rsid w:val="00F1732C"/>
    <w:rsid w:val="00F1756F"/>
    <w:rsid w:val="00F201FD"/>
    <w:rsid w:val="00F204E4"/>
    <w:rsid w:val="00F2085A"/>
    <w:rsid w:val="00F20E9D"/>
    <w:rsid w:val="00F214B1"/>
    <w:rsid w:val="00F21C7B"/>
    <w:rsid w:val="00F2227C"/>
    <w:rsid w:val="00F23548"/>
    <w:rsid w:val="00F2359A"/>
    <w:rsid w:val="00F2404C"/>
    <w:rsid w:val="00F2429E"/>
    <w:rsid w:val="00F24782"/>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63EA"/>
    <w:rsid w:val="00F37037"/>
    <w:rsid w:val="00F3771F"/>
    <w:rsid w:val="00F37869"/>
    <w:rsid w:val="00F37A08"/>
    <w:rsid w:val="00F37BB9"/>
    <w:rsid w:val="00F40B80"/>
    <w:rsid w:val="00F41721"/>
    <w:rsid w:val="00F41B43"/>
    <w:rsid w:val="00F41B49"/>
    <w:rsid w:val="00F423F0"/>
    <w:rsid w:val="00F42726"/>
    <w:rsid w:val="00F42C78"/>
    <w:rsid w:val="00F43C32"/>
    <w:rsid w:val="00F44601"/>
    <w:rsid w:val="00F453B6"/>
    <w:rsid w:val="00F45496"/>
    <w:rsid w:val="00F45854"/>
    <w:rsid w:val="00F45D0C"/>
    <w:rsid w:val="00F460F1"/>
    <w:rsid w:val="00F464B2"/>
    <w:rsid w:val="00F468F2"/>
    <w:rsid w:val="00F4697F"/>
    <w:rsid w:val="00F46B56"/>
    <w:rsid w:val="00F46C8A"/>
    <w:rsid w:val="00F46D54"/>
    <w:rsid w:val="00F46DBE"/>
    <w:rsid w:val="00F50DC4"/>
    <w:rsid w:val="00F524C0"/>
    <w:rsid w:val="00F52A72"/>
    <w:rsid w:val="00F53483"/>
    <w:rsid w:val="00F53548"/>
    <w:rsid w:val="00F540CB"/>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029"/>
    <w:rsid w:val="00F6340C"/>
    <w:rsid w:val="00F6362F"/>
    <w:rsid w:val="00F6381A"/>
    <w:rsid w:val="00F64095"/>
    <w:rsid w:val="00F645A3"/>
    <w:rsid w:val="00F6497A"/>
    <w:rsid w:val="00F65403"/>
    <w:rsid w:val="00F658BB"/>
    <w:rsid w:val="00F6598F"/>
    <w:rsid w:val="00F65E41"/>
    <w:rsid w:val="00F65FF3"/>
    <w:rsid w:val="00F66292"/>
    <w:rsid w:val="00F6694F"/>
    <w:rsid w:val="00F67026"/>
    <w:rsid w:val="00F67D15"/>
    <w:rsid w:val="00F70012"/>
    <w:rsid w:val="00F702ED"/>
    <w:rsid w:val="00F7048F"/>
    <w:rsid w:val="00F70A5D"/>
    <w:rsid w:val="00F70D04"/>
    <w:rsid w:val="00F71756"/>
    <w:rsid w:val="00F717ED"/>
    <w:rsid w:val="00F71F64"/>
    <w:rsid w:val="00F722AD"/>
    <w:rsid w:val="00F72370"/>
    <w:rsid w:val="00F724A0"/>
    <w:rsid w:val="00F72ED6"/>
    <w:rsid w:val="00F72EDE"/>
    <w:rsid w:val="00F7426C"/>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0E2"/>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7BB"/>
    <w:rsid w:val="00F96E84"/>
    <w:rsid w:val="00F97914"/>
    <w:rsid w:val="00F97E2D"/>
    <w:rsid w:val="00FA01D4"/>
    <w:rsid w:val="00FA2A41"/>
    <w:rsid w:val="00FA2BD7"/>
    <w:rsid w:val="00FA3BAD"/>
    <w:rsid w:val="00FA3F06"/>
    <w:rsid w:val="00FA4744"/>
    <w:rsid w:val="00FA53DE"/>
    <w:rsid w:val="00FA6DE6"/>
    <w:rsid w:val="00FA6F37"/>
    <w:rsid w:val="00FA6FA7"/>
    <w:rsid w:val="00FA77CA"/>
    <w:rsid w:val="00FB0862"/>
    <w:rsid w:val="00FB0D8A"/>
    <w:rsid w:val="00FB119A"/>
    <w:rsid w:val="00FB141F"/>
    <w:rsid w:val="00FB1431"/>
    <w:rsid w:val="00FB162D"/>
    <w:rsid w:val="00FB181F"/>
    <w:rsid w:val="00FB1918"/>
    <w:rsid w:val="00FB1AE8"/>
    <w:rsid w:val="00FB1D7A"/>
    <w:rsid w:val="00FB24C0"/>
    <w:rsid w:val="00FB2671"/>
    <w:rsid w:val="00FB286E"/>
    <w:rsid w:val="00FB29B4"/>
    <w:rsid w:val="00FB2A18"/>
    <w:rsid w:val="00FB3D9E"/>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1F81"/>
    <w:rsid w:val="00FC201C"/>
    <w:rsid w:val="00FC2F98"/>
    <w:rsid w:val="00FC314B"/>
    <w:rsid w:val="00FC345D"/>
    <w:rsid w:val="00FC39CA"/>
    <w:rsid w:val="00FC3AE8"/>
    <w:rsid w:val="00FC4A41"/>
    <w:rsid w:val="00FC5608"/>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1BF"/>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E7EA0"/>
    <w:rsid w:val="00FF07DB"/>
    <w:rsid w:val="00FF39B5"/>
    <w:rsid w:val="00FF3DBD"/>
    <w:rsid w:val="00FF4204"/>
    <w:rsid w:val="00FF4314"/>
    <w:rsid w:val="00FF456E"/>
    <w:rsid w:val="00FF4A19"/>
    <w:rsid w:val="00FF4CE2"/>
    <w:rsid w:val="00FF5D14"/>
    <w:rsid w:val="00FF69A3"/>
    <w:rsid w:val="00FF7533"/>
    <w:rsid w:val="01F0299B"/>
    <w:rsid w:val="026E4F91"/>
    <w:rsid w:val="041D095D"/>
    <w:rsid w:val="05C87DB9"/>
    <w:rsid w:val="0961739E"/>
    <w:rsid w:val="098E6083"/>
    <w:rsid w:val="0B205B2B"/>
    <w:rsid w:val="0B782559"/>
    <w:rsid w:val="0D566BC9"/>
    <w:rsid w:val="0E180322"/>
    <w:rsid w:val="0E8C4995"/>
    <w:rsid w:val="0EF27BFB"/>
    <w:rsid w:val="0FA60771"/>
    <w:rsid w:val="0FBC50EF"/>
    <w:rsid w:val="115F3FD7"/>
    <w:rsid w:val="11A259DD"/>
    <w:rsid w:val="11F9269A"/>
    <w:rsid w:val="120474A0"/>
    <w:rsid w:val="13102ABE"/>
    <w:rsid w:val="167D280D"/>
    <w:rsid w:val="17047766"/>
    <w:rsid w:val="17935895"/>
    <w:rsid w:val="17F52C18"/>
    <w:rsid w:val="184530EF"/>
    <w:rsid w:val="19227A4B"/>
    <w:rsid w:val="1A4E7B88"/>
    <w:rsid w:val="1B3E182A"/>
    <w:rsid w:val="1B4B5195"/>
    <w:rsid w:val="1C174C6F"/>
    <w:rsid w:val="1C4701E9"/>
    <w:rsid w:val="1C7C020D"/>
    <w:rsid w:val="1C8F78BA"/>
    <w:rsid w:val="1C9B0D84"/>
    <w:rsid w:val="1CDD3F3B"/>
    <w:rsid w:val="1D4D6869"/>
    <w:rsid w:val="1F7C289F"/>
    <w:rsid w:val="20707345"/>
    <w:rsid w:val="21760101"/>
    <w:rsid w:val="22B25284"/>
    <w:rsid w:val="22C07D9F"/>
    <w:rsid w:val="23056CBA"/>
    <w:rsid w:val="234C1E42"/>
    <w:rsid w:val="23C6059E"/>
    <w:rsid w:val="23C95079"/>
    <w:rsid w:val="24031A53"/>
    <w:rsid w:val="24307C26"/>
    <w:rsid w:val="248E5D4C"/>
    <w:rsid w:val="24C47897"/>
    <w:rsid w:val="24E337F8"/>
    <w:rsid w:val="25423C43"/>
    <w:rsid w:val="258D3B57"/>
    <w:rsid w:val="25D20ECA"/>
    <w:rsid w:val="262336EE"/>
    <w:rsid w:val="269E4C0C"/>
    <w:rsid w:val="27024D1A"/>
    <w:rsid w:val="2AD85037"/>
    <w:rsid w:val="2BD0253B"/>
    <w:rsid w:val="2C444480"/>
    <w:rsid w:val="2C564DC3"/>
    <w:rsid w:val="2D6C141D"/>
    <w:rsid w:val="2E980D64"/>
    <w:rsid w:val="2EB64B4B"/>
    <w:rsid w:val="2EDB590A"/>
    <w:rsid w:val="2F0A29E3"/>
    <w:rsid w:val="2FC16F49"/>
    <w:rsid w:val="30817D6A"/>
    <w:rsid w:val="3157114E"/>
    <w:rsid w:val="31F2037F"/>
    <w:rsid w:val="329B11F6"/>
    <w:rsid w:val="336E087E"/>
    <w:rsid w:val="33A85DA6"/>
    <w:rsid w:val="33C3087D"/>
    <w:rsid w:val="35961B12"/>
    <w:rsid w:val="364523AD"/>
    <w:rsid w:val="36700D38"/>
    <w:rsid w:val="36C4673D"/>
    <w:rsid w:val="37B10B63"/>
    <w:rsid w:val="37D17C49"/>
    <w:rsid w:val="38950836"/>
    <w:rsid w:val="390721D7"/>
    <w:rsid w:val="393B510C"/>
    <w:rsid w:val="393F4767"/>
    <w:rsid w:val="39A97E97"/>
    <w:rsid w:val="3A260C29"/>
    <w:rsid w:val="3B57268D"/>
    <w:rsid w:val="3B6176CE"/>
    <w:rsid w:val="3B7010B2"/>
    <w:rsid w:val="3BF9504C"/>
    <w:rsid w:val="3CF11603"/>
    <w:rsid w:val="3D7507FB"/>
    <w:rsid w:val="3EB5127A"/>
    <w:rsid w:val="3F503E5E"/>
    <w:rsid w:val="3FC16214"/>
    <w:rsid w:val="405C091B"/>
    <w:rsid w:val="41576FF8"/>
    <w:rsid w:val="41D9164E"/>
    <w:rsid w:val="41DD521D"/>
    <w:rsid w:val="423B7022"/>
    <w:rsid w:val="427D7667"/>
    <w:rsid w:val="42A87124"/>
    <w:rsid w:val="4389060E"/>
    <w:rsid w:val="43C8028A"/>
    <w:rsid w:val="43C94652"/>
    <w:rsid w:val="43D51667"/>
    <w:rsid w:val="443B2C25"/>
    <w:rsid w:val="448421F1"/>
    <w:rsid w:val="45D37D9B"/>
    <w:rsid w:val="48194FD5"/>
    <w:rsid w:val="484514CB"/>
    <w:rsid w:val="48C86EE1"/>
    <w:rsid w:val="49FA6EF8"/>
    <w:rsid w:val="4A784961"/>
    <w:rsid w:val="4ACF3A3C"/>
    <w:rsid w:val="4B1700DF"/>
    <w:rsid w:val="4E70140F"/>
    <w:rsid w:val="4F0F6A19"/>
    <w:rsid w:val="51D10A66"/>
    <w:rsid w:val="528A390F"/>
    <w:rsid w:val="528C6991"/>
    <w:rsid w:val="52C3297B"/>
    <w:rsid w:val="54054633"/>
    <w:rsid w:val="540605E4"/>
    <w:rsid w:val="547F0032"/>
    <w:rsid w:val="54A02A20"/>
    <w:rsid w:val="55C87B3E"/>
    <w:rsid w:val="58D67D8C"/>
    <w:rsid w:val="58E10577"/>
    <w:rsid w:val="59165EF7"/>
    <w:rsid w:val="59702A12"/>
    <w:rsid w:val="5AED2A9C"/>
    <w:rsid w:val="5BC746C9"/>
    <w:rsid w:val="5CC61F72"/>
    <w:rsid w:val="5CF206F7"/>
    <w:rsid w:val="5D3D742F"/>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8EC626C"/>
    <w:rsid w:val="6BCD1DE6"/>
    <w:rsid w:val="6C505023"/>
    <w:rsid w:val="6D14299F"/>
    <w:rsid w:val="6D672A1E"/>
    <w:rsid w:val="6DC237D1"/>
    <w:rsid w:val="6F40725E"/>
    <w:rsid w:val="6F4C2770"/>
    <w:rsid w:val="6F745D74"/>
    <w:rsid w:val="711172CF"/>
    <w:rsid w:val="71FD54DD"/>
    <w:rsid w:val="739A7F5B"/>
    <w:rsid w:val="7410294D"/>
    <w:rsid w:val="76D71644"/>
    <w:rsid w:val="776C2FB6"/>
    <w:rsid w:val="79982284"/>
    <w:rsid w:val="7998662D"/>
    <w:rsid w:val="7A8C5878"/>
    <w:rsid w:val="7B471854"/>
    <w:rsid w:val="7C552333"/>
    <w:rsid w:val="7CA86C55"/>
    <w:rsid w:val="7CF019C1"/>
    <w:rsid w:val="7D461CAD"/>
    <w:rsid w:val="7E28286A"/>
    <w:rsid w:val="7E4515FE"/>
    <w:rsid w:val="7EAD59B2"/>
    <w:rsid w:val="7F2005B6"/>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autoRedefine/>
    <w:qFormat/>
    <w:uiPriority w:val="0"/>
    <w:pPr>
      <w:spacing w:before="340" w:after="330" w:line="360" w:lineRule="auto"/>
      <w:jc w:val="center"/>
      <w:outlineLvl w:val="0"/>
    </w:pPr>
    <w:rPr>
      <w:rFonts w:eastAsiaTheme="minorEastAsia"/>
      <w:bCs w:val="0"/>
      <w:kern w:val="44"/>
      <w:sz w:val="44"/>
      <w:szCs w:val="28"/>
    </w:rPr>
  </w:style>
  <w:style w:type="paragraph" w:styleId="5">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4"/>
    <w:autoRedefine/>
    <w:qFormat/>
    <w:uiPriority w:val="0"/>
    <w:pPr>
      <w:keepNext/>
      <w:keepLines/>
      <w:numPr>
        <w:ilvl w:val="4"/>
        <w:numId w:val="1"/>
      </w:numPr>
      <w:tabs>
        <w:tab w:val="left" w:pos="371"/>
      </w:tabs>
      <w:spacing w:before="280" w:after="290" w:line="374" w:lineRule="auto"/>
      <w:outlineLvl w:val="4"/>
    </w:pPr>
    <w:rPr>
      <w:b/>
      <w:sz w:val="28"/>
    </w:rPr>
  </w:style>
  <w:style w:type="paragraph" w:styleId="9">
    <w:name w:val="heading 6"/>
    <w:basedOn w:val="1"/>
    <w:next w:val="8"/>
    <w:link w:val="65"/>
    <w:autoRedefine/>
    <w:qFormat/>
    <w:uiPriority w:val="9"/>
    <w:pPr>
      <w:keepNext/>
      <w:keepLines/>
      <w:numPr>
        <w:ilvl w:val="5"/>
        <w:numId w:val="1"/>
      </w:numPr>
      <w:spacing w:before="240" w:after="64" w:line="319" w:lineRule="auto"/>
      <w:outlineLvl w:val="5"/>
    </w:pPr>
    <w:rPr>
      <w:rFonts w:ascii="Arial" w:hAnsi="Arial" w:eastAsia="黑体"/>
      <w:b/>
      <w:sz w:val="24"/>
    </w:rPr>
  </w:style>
  <w:style w:type="paragraph" w:styleId="10">
    <w:name w:val="heading 7"/>
    <w:basedOn w:val="1"/>
    <w:next w:val="8"/>
    <w:link w:val="66"/>
    <w:autoRedefine/>
    <w:qFormat/>
    <w:uiPriority w:val="9"/>
    <w:pPr>
      <w:keepNext/>
      <w:keepLines/>
      <w:numPr>
        <w:ilvl w:val="6"/>
        <w:numId w:val="1"/>
      </w:numPr>
      <w:spacing w:before="240" w:after="64" w:line="319" w:lineRule="auto"/>
      <w:outlineLvl w:val="6"/>
    </w:pPr>
    <w:rPr>
      <w:b/>
      <w:sz w:val="24"/>
    </w:rPr>
  </w:style>
  <w:style w:type="paragraph" w:styleId="11">
    <w:name w:val="heading 8"/>
    <w:basedOn w:val="1"/>
    <w:next w:val="8"/>
    <w:link w:val="67"/>
    <w:autoRedefine/>
    <w:qFormat/>
    <w:uiPriority w:val="9"/>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8"/>
    <w:link w:val="68"/>
    <w:autoRedefine/>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autoRedefine/>
    <w:semiHidden/>
    <w:unhideWhenUsed/>
    <w:qFormat/>
    <w:uiPriority w:val="1"/>
  </w:style>
  <w:style w:type="table" w:default="1" w:styleId="5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71"/>
    <w:autoRedefine/>
    <w:qFormat/>
    <w:uiPriority w:val="0"/>
    <w:pPr>
      <w:spacing w:after="120"/>
    </w:pPr>
  </w:style>
  <w:style w:type="paragraph" w:styleId="8">
    <w:name w:val="Normal Indent"/>
    <w:basedOn w:val="1"/>
    <w:link w:val="63"/>
    <w:autoRedefine/>
    <w:qFormat/>
    <w:uiPriority w:val="0"/>
    <w:pPr>
      <w:ind w:firstLine="420" w:firstLineChars="200"/>
    </w:pPr>
  </w:style>
  <w:style w:type="paragraph" w:styleId="13">
    <w:name w:val="toc 7"/>
    <w:basedOn w:val="1"/>
    <w:next w:val="1"/>
    <w:autoRedefine/>
    <w:qFormat/>
    <w:uiPriority w:val="0"/>
    <w:pPr>
      <w:ind w:left="1260"/>
      <w:jc w:val="left"/>
    </w:pPr>
    <w:rPr>
      <w:szCs w:val="21"/>
    </w:rPr>
  </w:style>
  <w:style w:type="paragraph" w:styleId="14">
    <w:name w:val="List Number 2"/>
    <w:basedOn w:val="1"/>
    <w:autoRedefine/>
    <w:qFormat/>
    <w:uiPriority w:val="0"/>
    <w:pPr>
      <w:tabs>
        <w:tab w:val="left" w:pos="780"/>
      </w:tabs>
      <w:ind w:left="780" w:hanging="360"/>
    </w:pPr>
    <w:rPr>
      <w:szCs w:val="20"/>
    </w:rPr>
  </w:style>
  <w:style w:type="paragraph" w:styleId="15">
    <w:name w:val="List Bullet 4"/>
    <w:basedOn w:val="1"/>
    <w:autoRedefine/>
    <w:qFormat/>
    <w:uiPriority w:val="0"/>
    <w:pPr>
      <w:tabs>
        <w:tab w:val="left" w:pos="425"/>
        <w:tab w:val="left" w:pos="1620"/>
      </w:tabs>
      <w:ind w:left="425" w:hanging="425"/>
    </w:pPr>
    <w:rPr>
      <w:szCs w:val="20"/>
    </w:rPr>
  </w:style>
  <w:style w:type="paragraph" w:styleId="16">
    <w:name w:val="caption"/>
    <w:basedOn w:val="1"/>
    <w:next w:val="1"/>
    <w:link w:val="297"/>
    <w:autoRedefine/>
    <w:qFormat/>
    <w:uiPriority w:val="0"/>
    <w:rPr>
      <w:rFonts w:ascii="Cambria" w:hAnsi="Cambria" w:eastAsia="黑体"/>
    </w:rPr>
  </w:style>
  <w:style w:type="paragraph" w:styleId="17">
    <w:name w:val="List Bullet"/>
    <w:basedOn w:val="1"/>
    <w:autoRedefine/>
    <w:qFormat/>
    <w:uiPriority w:val="0"/>
    <w:pPr>
      <w:numPr>
        <w:ilvl w:val="0"/>
        <w:numId w:val="1"/>
      </w:numPr>
      <w:tabs>
        <w:tab w:val="left" w:pos="360"/>
        <w:tab w:val="clear" w:pos="371"/>
      </w:tabs>
    </w:pPr>
    <w:rPr>
      <w:szCs w:val="20"/>
    </w:rPr>
  </w:style>
  <w:style w:type="paragraph" w:styleId="18">
    <w:name w:val="Document Map"/>
    <w:basedOn w:val="1"/>
    <w:link w:val="73"/>
    <w:autoRedefine/>
    <w:qFormat/>
    <w:uiPriority w:val="0"/>
    <w:pPr>
      <w:shd w:val="clear" w:color="auto" w:fill="000080"/>
    </w:pPr>
  </w:style>
  <w:style w:type="paragraph" w:styleId="19">
    <w:name w:val="annotation text"/>
    <w:basedOn w:val="1"/>
    <w:link w:val="69"/>
    <w:autoRedefine/>
    <w:qFormat/>
    <w:uiPriority w:val="99"/>
    <w:pPr>
      <w:jc w:val="left"/>
    </w:pPr>
  </w:style>
  <w:style w:type="paragraph" w:styleId="20">
    <w:name w:val="Body Text 3"/>
    <w:basedOn w:val="1"/>
    <w:link w:val="458"/>
    <w:autoRedefine/>
    <w:unhideWhenUsed/>
    <w:qFormat/>
    <w:uiPriority w:val="0"/>
    <w:pPr>
      <w:spacing w:after="120"/>
    </w:pPr>
    <w:rPr>
      <w:sz w:val="16"/>
      <w:szCs w:val="16"/>
    </w:rPr>
  </w:style>
  <w:style w:type="paragraph" w:styleId="21">
    <w:name w:val="Body Text Indent"/>
    <w:basedOn w:val="1"/>
    <w:link w:val="74"/>
    <w:autoRedefine/>
    <w:qFormat/>
    <w:uiPriority w:val="0"/>
    <w:pPr>
      <w:spacing w:after="120"/>
      <w:ind w:left="420" w:leftChars="200"/>
    </w:pPr>
  </w:style>
  <w:style w:type="paragraph" w:styleId="22">
    <w:name w:val="Block Text"/>
    <w:basedOn w:val="1"/>
    <w:autoRedefine/>
    <w:qFormat/>
    <w:uiPriority w:val="0"/>
    <w:pPr>
      <w:spacing w:after="120"/>
      <w:ind w:left="1440" w:leftChars="700" w:right="1440" w:rightChars="700"/>
    </w:pPr>
  </w:style>
  <w:style w:type="paragraph" w:styleId="23">
    <w:name w:val="List Bullet 2"/>
    <w:basedOn w:val="1"/>
    <w:autoRedefine/>
    <w:qFormat/>
    <w:uiPriority w:val="0"/>
    <w:pPr>
      <w:numPr>
        <w:ilvl w:val="0"/>
        <w:numId w:val="2"/>
      </w:numPr>
      <w:tabs>
        <w:tab w:val="left" w:pos="780"/>
      </w:tabs>
    </w:pPr>
    <w:rPr>
      <w:szCs w:val="20"/>
    </w:rPr>
  </w:style>
  <w:style w:type="paragraph" w:styleId="24">
    <w:name w:val="toc 5"/>
    <w:basedOn w:val="1"/>
    <w:next w:val="1"/>
    <w:autoRedefine/>
    <w:qFormat/>
    <w:uiPriority w:val="0"/>
    <w:pPr>
      <w:ind w:left="840"/>
      <w:jc w:val="left"/>
    </w:pPr>
    <w:rPr>
      <w:szCs w:val="21"/>
    </w:rPr>
  </w:style>
  <w:style w:type="paragraph" w:styleId="25">
    <w:name w:val="toc 3"/>
    <w:basedOn w:val="1"/>
    <w:next w:val="1"/>
    <w:autoRedefine/>
    <w:qFormat/>
    <w:uiPriority w:val="39"/>
    <w:pPr>
      <w:ind w:left="420"/>
      <w:jc w:val="left"/>
    </w:pPr>
    <w:rPr>
      <w:iCs/>
    </w:rPr>
  </w:style>
  <w:style w:type="paragraph" w:styleId="26">
    <w:name w:val="Plain Text"/>
    <w:basedOn w:val="1"/>
    <w:link w:val="75"/>
    <w:autoRedefine/>
    <w:qFormat/>
    <w:uiPriority w:val="0"/>
    <w:rPr>
      <w:rFonts w:ascii="宋体" w:hAnsi="Courier New"/>
      <w:szCs w:val="20"/>
    </w:rPr>
  </w:style>
  <w:style w:type="paragraph" w:styleId="27">
    <w:name w:val="toc 8"/>
    <w:basedOn w:val="1"/>
    <w:next w:val="1"/>
    <w:autoRedefine/>
    <w:qFormat/>
    <w:uiPriority w:val="0"/>
    <w:pPr>
      <w:ind w:left="1470"/>
      <w:jc w:val="left"/>
    </w:pPr>
    <w:rPr>
      <w:szCs w:val="21"/>
    </w:rPr>
  </w:style>
  <w:style w:type="paragraph" w:styleId="28">
    <w:name w:val="Date"/>
    <w:basedOn w:val="1"/>
    <w:next w:val="1"/>
    <w:link w:val="316"/>
    <w:autoRedefine/>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autoRedefine/>
    <w:qFormat/>
    <w:uiPriority w:val="0"/>
    <w:pPr>
      <w:spacing w:after="120" w:line="480" w:lineRule="auto"/>
      <w:ind w:left="420" w:leftChars="200"/>
    </w:pPr>
  </w:style>
  <w:style w:type="paragraph" w:styleId="30">
    <w:name w:val="Balloon Text"/>
    <w:basedOn w:val="1"/>
    <w:link w:val="77"/>
    <w:autoRedefine/>
    <w:qFormat/>
    <w:uiPriority w:val="0"/>
    <w:rPr>
      <w:sz w:val="18"/>
      <w:szCs w:val="18"/>
    </w:rPr>
  </w:style>
  <w:style w:type="paragraph" w:styleId="31">
    <w:name w:val="footer"/>
    <w:basedOn w:val="1"/>
    <w:link w:val="78"/>
    <w:autoRedefine/>
    <w:qFormat/>
    <w:uiPriority w:val="99"/>
    <w:pPr>
      <w:tabs>
        <w:tab w:val="center" w:pos="4153"/>
        <w:tab w:val="right" w:pos="8306"/>
      </w:tabs>
      <w:snapToGrid w:val="0"/>
      <w:jc w:val="left"/>
    </w:pPr>
    <w:rPr>
      <w:sz w:val="18"/>
      <w:szCs w:val="18"/>
    </w:rPr>
  </w:style>
  <w:style w:type="paragraph" w:styleId="32">
    <w:name w:val="header"/>
    <w:basedOn w:val="1"/>
    <w:link w:val="79"/>
    <w:autoRedefine/>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autoRedefine/>
    <w:qFormat/>
    <w:uiPriority w:val="0"/>
    <w:pPr>
      <w:ind w:left="4320"/>
    </w:pPr>
    <w:rPr>
      <w:rFonts w:eastAsia="楷体_GB2312"/>
      <w:szCs w:val="20"/>
    </w:rPr>
  </w:style>
  <w:style w:type="paragraph" w:styleId="34">
    <w:name w:val="toc 1"/>
    <w:basedOn w:val="1"/>
    <w:next w:val="1"/>
    <w:autoRedefine/>
    <w:qFormat/>
    <w:uiPriority w:val="39"/>
    <w:pPr>
      <w:spacing w:before="120" w:after="120"/>
      <w:jc w:val="left"/>
    </w:pPr>
    <w:rPr>
      <w:b/>
      <w:bCs/>
      <w:caps/>
    </w:rPr>
  </w:style>
  <w:style w:type="paragraph" w:styleId="35">
    <w:name w:val="toc 4"/>
    <w:basedOn w:val="1"/>
    <w:next w:val="1"/>
    <w:autoRedefine/>
    <w:qFormat/>
    <w:uiPriority w:val="0"/>
    <w:pPr>
      <w:ind w:left="630"/>
      <w:jc w:val="left"/>
    </w:pPr>
    <w:rPr>
      <w:szCs w:val="21"/>
    </w:rPr>
  </w:style>
  <w:style w:type="paragraph" w:styleId="36">
    <w:name w:val="index heading"/>
    <w:basedOn w:val="1"/>
    <w:next w:val="37"/>
    <w:autoRedefine/>
    <w:qFormat/>
    <w:uiPriority w:val="0"/>
    <w:rPr>
      <w:szCs w:val="20"/>
    </w:rPr>
  </w:style>
  <w:style w:type="paragraph" w:styleId="37">
    <w:name w:val="index 1"/>
    <w:basedOn w:val="1"/>
    <w:next w:val="1"/>
    <w:autoRedefine/>
    <w:qFormat/>
    <w:uiPriority w:val="0"/>
  </w:style>
  <w:style w:type="paragraph" w:styleId="38">
    <w:name w:val="footnote text"/>
    <w:basedOn w:val="1"/>
    <w:link w:val="481"/>
    <w:autoRedefine/>
    <w:qFormat/>
    <w:uiPriority w:val="0"/>
    <w:pPr>
      <w:snapToGrid w:val="0"/>
      <w:jc w:val="left"/>
    </w:pPr>
    <w:rPr>
      <w:sz w:val="18"/>
      <w:szCs w:val="18"/>
    </w:rPr>
  </w:style>
  <w:style w:type="paragraph" w:styleId="39">
    <w:name w:val="toc 6"/>
    <w:basedOn w:val="1"/>
    <w:next w:val="1"/>
    <w:autoRedefine/>
    <w:qFormat/>
    <w:uiPriority w:val="0"/>
    <w:pPr>
      <w:ind w:left="1050"/>
      <w:jc w:val="left"/>
    </w:pPr>
    <w:rPr>
      <w:szCs w:val="21"/>
    </w:rPr>
  </w:style>
  <w:style w:type="paragraph" w:styleId="40">
    <w:name w:val="Body Text Indent 3"/>
    <w:basedOn w:val="1"/>
    <w:link w:val="313"/>
    <w:autoRedefine/>
    <w:qFormat/>
    <w:uiPriority w:val="0"/>
    <w:pPr>
      <w:ind w:firstLine="426"/>
    </w:pPr>
    <w:rPr>
      <w:szCs w:val="20"/>
    </w:rPr>
  </w:style>
  <w:style w:type="paragraph" w:styleId="41">
    <w:name w:val="toc 2"/>
    <w:basedOn w:val="1"/>
    <w:next w:val="1"/>
    <w:autoRedefine/>
    <w:qFormat/>
    <w:uiPriority w:val="39"/>
    <w:pPr>
      <w:ind w:left="210"/>
      <w:jc w:val="left"/>
    </w:pPr>
    <w:rPr>
      <w:smallCaps/>
    </w:rPr>
  </w:style>
  <w:style w:type="paragraph" w:styleId="42">
    <w:name w:val="toc 9"/>
    <w:basedOn w:val="1"/>
    <w:next w:val="1"/>
    <w:autoRedefine/>
    <w:qFormat/>
    <w:uiPriority w:val="0"/>
    <w:pPr>
      <w:ind w:left="1680"/>
      <w:jc w:val="left"/>
    </w:pPr>
    <w:rPr>
      <w:szCs w:val="21"/>
    </w:rPr>
  </w:style>
  <w:style w:type="paragraph" w:styleId="43">
    <w:name w:val="Body Text 2"/>
    <w:basedOn w:val="1"/>
    <w:link w:val="306"/>
    <w:autoRedefine/>
    <w:qFormat/>
    <w:uiPriority w:val="0"/>
    <w:rPr>
      <w:sz w:val="28"/>
      <w:szCs w:val="20"/>
    </w:rPr>
  </w:style>
  <w:style w:type="paragraph" w:styleId="44">
    <w:name w:val="HTML Preformatted"/>
    <w:basedOn w:val="1"/>
    <w:link w:val="8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autoRedefine/>
    <w:qFormat/>
    <w:uiPriority w:val="99"/>
    <w:pPr>
      <w:widowControl/>
      <w:spacing w:before="100" w:beforeAutospacing="1" w:after="100" w:afterAutospacing="1"/>
      <w:jc w:val="left"/>
    </w:pPr>
    <w:rPr>
      <w:kern w:val="0"/>
      <w:sz w:val="24"/>
    </w:rPr>
  </w:style>
  <w:style w:type="paragraph" w:styleId="46">
    <w:name w:val="Title"/>
    <w:basedOn w:val="1"/>
    <w:link w:val="81"/>
    <w:autoRedefine/>
    <w:qFormat/>
    <w:uiPriority w:val="0"/>
    <w:pPr>
      <w:spacing w:before="240" w:after="60"/>
      <w:jc w:val="center"/>
      <w:outlineLvl w:val="0"/>
    </w:pPr>
    <w:rPr>
      <w:rFonts w:ascii="Arial" w:hAnsi="Arial" w:eastAsia="隶书"/>
      <w:b/>
      <w:bCs/>
      <w:sz w:val="32"/>
      <w:szCs w:val="32"/>
    </w:rPr>
  </w:style>
  <w:style w:type="paragraph" w:styleId="47">
    <w:name w:val="annotation subject"/>
    <w:basedOn w:val="19"/>
    <w:next w:val="19"/>
    <w:link w:val="70"/>
    <w:autoRedefine/>
    <w:qFormat/>
    <w:uiPriority w:val="0"/>
    <w:rPr>
      <w:b/>
      <w:bCs/>
    </w:rPr>
  </w:style>
  <w:style w:type="paragraph" w:styleId="48">
    <w:name w:val="Body Text First Indent"/>
    <w:basedOn w:val="2"/>
    <w:link w:val="72"/>
    <w:autoRedefine/>
    <w:qFormat/>
    <w:uiPriority w:val="0"/>
    <w:pPr>
      <w:ind w:firstLine="420" w:firstLineChars="100"/>
    </w:pPr>
  </w:style>
  <w:style w:type="paragraph" w:styleId="49">
    <w:name w:val="Body Text First Indent 2"/>
    <w:basedOn w:val="21"/>
    <w:link w:val="292"/>
    <w:autoRedefine/>
    <w:qFormat/>
    <w:uiPriority w:val="0"/>
    <w:pPr>
      <w:spacing w:after="160" w:line="360" w:lineRule="auto"/>
      <w:ind w:firstLine="480" w:firstLineChars="200"/>
    </w:pPr>
    <w:rPr>
      <w:kern w:val="0"/>
      <w:sz w:val="24"/>
    </w:rPr>
  </w:style>
  <w:style w:type="table" w:styleId="51">
    <w:name w:val="Table Grid"/>
    <w:basedOn w:val="5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autoRedefine/>
    <w:qFormat/>
    <w:uiPriority w:val="22"/>
    <w:rPr>
      <w:b/>
      <w:bCs/>
    </w:rPr>
  </w:style>
  <w:style w:type="character" w:styleId="54">
    <w:name w:val="page number"/>
    <w:basedOn w:val="52"/>
    <w:autoRedefine/>
    <w:qFormat/>
    <w:uiPriority w:val="0"/>
  </w:style>
  <w:style w:type="character" w:styleId="55">
    <w:name w:val="FollowedHyperlink"/>
    <w:basedOn w:val="52"/>
    <w:autoRedefine/>
    <w:unhideWhenUsed/>
    <w:qFormat/>
    <w:uiPriority w:val="0"/>
    <w:rPr>
      <w:color w:val="800080"/>
      <w:u w:val="single"/>
    </w:rPr>
  </w:style>
  <w:style w:type="character" w:styleId="56">
    <w:name w:val="Emphasis"/>
    <w:autoRedefine/>
    <w:qFormat/>
    <w:uiPriority w:val="20"/>
    <w:rPr>
      <w:i/>
      <w:iCs/>
    </w:rPr>
  </w:style>
  <w:style w:type="character" w:styleId="57">
    <w:name w:val="Hyperlink"/>
    <w:autoRedefine/>
    <w:qFormat/>
    <w:uiPriority w:val="99"/>
    <w:rPr>
      <w:color w:val="0000FF"/>
      <w:u w:val="single"/>
    </w:rPr>
  </w:style>
  <w:style w:type="character" w:styleId="58">
    <w:name w:val="annotation reference"/>
    <w:autoRedefine/>
    <w:qFormat/>
    <w:uiPriority w:val="99"/>
    <w:rPr>
      <w:sz w:val="21"/>
      <w:szCs w:val="21"/>
    </w:rPr>
  </w:style>
  <w:style w:type="character" w:customStyle="1" w:styleId="59">
    <w:name w:val="标题 3 Char"/>
    <w:basedOn w:val="52"/>
    <w:link w:val="4"/>
    <w:autoRedefine/>
    <w:qFormat/>
    <w:uiPriority w:val="0"/>
    <w:rPr>
      <w:b/>
      <w:bCs/>
      <w:kern w:val="2"/>
      <w:sz w:val="24"/>
      <w:szCs w:val="32"/>
    </w:rPr>
  </w:style>
  <w:style w:type="character" w:customStyle="1" w:styleId="60">
    <w:name w:val="标题 1 Char"/>
    <w:basedOn w:val="52"/>
    <w:link w:val="3"/>
    <w:autoRedefine/>
    <w:qFormat/>
    <w:uiPriority w:val="0"/>
    <w:rPr>
      <w:rFonts w:eastAsiaTheme="minorEastAsia"/>
      <w:b/>
      <w:kern w:val="44"/>
      <w:sz w:val="44"/>
      <w:szCs w:val="28"/>
    </w:rPr>
  </w:style>
  <w:style w:type="character" w:customStyle="1" w:styleId="61">
    <w:name w:val="标题 2 Char"/>
    <w:basedOn w:val="52"/>
    <w:link w:val="5"/>
    <w:autoRedefine/>
    <w:qFormat/>
    <w:uiPriority w:val="0"/>
    <w:rPr>
      <w:rFonts w:ascii="Arial" w:hAnsi="Arial" w:eastAsiaTheme="minorEastAsia"/>
      <w:b/>
      <w:bCs/>
      <w:kern w:val="2"/>
      <w:sz w:val="28"/>
      <w:szCs w:val="32"/>
    </w:rPr>
  </w:style>
  <w:style w:type="character" w:customStyle="1" w:styleId="62">
    <w:name w:val="标题 4 Char1"/>
    <w:basedOn w:val="52"/>
    <w:link w:val="6"/>
    <w:autoRedefine/>
    <w:qFormat/>
    <w:uiPriority w:val="99"/>
    <w:rPr>
      <w:rFonts w:ascii="Arial" w:hAnsi="Arial" w:eastAsia="黑体"/>
      <w:b/>
      <w:bCs/>
      <w:kern w:val="2"/>
      <w:sz w:val="28"/>
      <w:szCs w:val="28"/>
    </w:rPr>
  </w:style>
  <w:style w:type="character" w:customStyle="1" w:styleId="63">
    <w:name w:val="正文缩进 Char"/>
    <w:link w:val="8"/>
    <w:autoRedefine/>
    <w:qFormat/>
    <w:uiPriority w:val="0"/>
    <w:rPr>
      <w:rFonts w:eastAsia="宋体"/>
      <w:kern w:val="2"/>
      <w:sz w:val="21"/>
      <w:szCs w:val="24"/>
      <w:lang w:val="en-US" w:eastAsia="zh-CN" w:bidi="ar-SA"/>
    </w:rPr>
  </w:style>
  <w:style w:type="character" w:customStyle="1" w:styleId="64">
    <w:name w:val="标题 5 Char1"/>
    <w:basedOn w:val="52"/>
    <w:link w:val="7"/>
    <w:autoRedefine/>
    <w:qFormat/>
    <w:uiPriority w:val="0"/>
    <w:rPr>
      <w:b/>
      <w:kern w:val="2"/>
      <w:sz w:val="28"/>
      <w:szCs w:val="24"/>
    </w:rPr>
  </w:style>
  <w:style w:type="character" w:customStyle="1" w:styleId="65">
    <w:name w:val="标题 6 Char1"/>
    <w:basedOn w:val="52"/>
    <w:link w:val="9"/>
    <w:autoRedefine/>
    <w:qFormat/>
    <w:uiPriority w:val="9"/>
    <w:rPr>
      <w:rFonts w:ascii="Arial" w:hAnsi="Arial" w:eastAsia="黑体"/>
      <w:b/>
      <w:kern w:val="2"/>
      <w:sz w:val="24"/>
      <w:szCs w:val="24"/>
    </w:rPr>
  </w:style>
  <w:style w:type="character" w:customStyle="1" w:styleId="66">
    <w:name w:val="标题 7 Char1"/>
    <w:basedOn w:val="52"/>
    <w:link w:val="10"/>
    <w:autoRedefine/>
    <w:qFormat/>
    <w:uiPriority w:val="9"/>
    <w:rPr>
      <w:b/>
      <w:kern w:val="2"/>
      <w:sz w:val="24"/>
      <w:szCs w:val="24"/>
    </w:rPr>
  </w:style>
  <w:style w:type="character" w:customStyle="1" w:styleId="67">
    <w:name w:val="标题 8 Char1"/>
    <w:basedOn w:val="52"/>
    <w:link w:val="11"/>
    <w:autoRedefine/>
    <w:qFormat/>
    <w:uiPriority w:val="9"/>
    <w:rPr>
      <w:rFonts w:ascii="Arial" w:hAnsi="Arial" w:eastAsia="黑体"/>
      <w:kern w:val="2"/>
      <w:sz w:val="24"/>
      <w:szCs w:val="24"/>
    </w:rPr>
  </w:style>
  <w:style w:type="character" w:customStyle="1" w:styleId="68">
    <w:name w:val="标题 9 Char1"/>
    <w:basedOn w:val="52"/>
    <w:link w:val="12"/>
    <w:autoRedefine/>
    <w:qFormat/>
    <w:uiPriority w:val="0"/>
    <w:rPr>
      <w:rFonts w:ascii="Arial" w:hAnsi="Arial" w:eastAsia="黑体"/>
      <w:kern w:val="2"/>
      <w:sz w:val="21"/>
      <w:szCs w:val="24"/>
    </w:rPr>
  </w:style>
  <w:style w:type="character" w:customStyle="1" w:styleId="69">
    <w:name w:val="批注文字 Char"/>
    <w:link w:val="19"/>
    <w:autoRedefine/>
    <w:qFormat/>
    <w:uiPriority w:val="99"/>
    <w:rPr>
      <w:kern w:val="2"/>
      <w:sz w:val="21"/>
      <w:szCs w:val="24"/>
    </w:rPr>
  </w:style>
  <w:style w:type="character" w:customStyle="1" w:styleId="70">
    <w:name w:val="批注主题 Char"/>
    <w:basedOn w:val="69"/>
    <w:link w:val="47"/>
    <w:autoRedefine/>
    <w:qFormat/>
    <w:uiPriority w:val="0"/>
    <w:rPr>
      <w:b/>
      <w:bCs/>
      <w:kern w:val="2"/>
      <w:sz w:val="21"/>
      <w:szCs w:val="24"/>
    </w:rPr>
  </w:style>
  <w:style w:type="character" w:customStyle="1" w:styleId="71">
    <w:name w:val="正文文本 Char"/>
    <w:basedOn w:val="52"/>
    <w:link w:val="2"/>
    <w:autoRedefine/>
    <w:qFormat/>
    <w:uiPriority w:val="0"/>
    <w:rPr>
      <w:kern w:val="2"/>
      <w:sz w:val="21"/>
      <w:szCs w:val="24"/>
    </w:rPr>
  </w:style>
  <w:style w:type="character" w:customStyle="1" w:styleId="72">
    <w:name w:val="正文首行缩进 Char"/>
    <w:link w:val="48"/>
    <w:autoRedefine/>
    <w:qFormat/>
    <w:uiPriority w:val="0"/>
    <w:rPr>
      <w:rFonts w:eastAsia="宋体"/>
      <w:kern w:val="2"/>
      <w:sz w:val="21"/>
      <w:szCs w:val="24"/>
      <w:lang w:val="en-US" w:eastAsia="zh-CN" w:bidi="ar-SA"/>
    </w:rPr>
  </w:style>
  <w:style w:type="character" w:customStyle="1" w:styleId="73">
    <w:name w:val="文档结构图 Char"/>
    <w:basedOn w:val="52"/>
    <w:link w:val="18"/>
    <w:autoRedefine/>
    <w:qFormat/>
    <w:uiPriority w:val="0"/>
    <w:rPr>
      <w:kern w:val="2"/>
      <w:sz w:val="21"/>
      <w:szCs w:val="24"/>
      <w:shd w:val="clear" w:color="auto" w:fill="000080"/>
    </w:rPr>
  </w:style>
  <w:style w:type="character" w:customStyle="1" w:styleId="74">
    <w:name w:val="正文文本缩进 Char1"/>
    <w:basedOn w:val="52"/>
    <w:link w:val="21"/>
    <w:autoRedefine/>
    <w:qFormat/>
    <w:uiPriority w:val="0"/>
    <w:rPr>
      <w:kern w:val="2"/>
      <w:sz w:val="21"/>
      <w:szCs w:val="24"/>
    </w:rPr>
  </w:style>
  <w:style w:type="character" w:customStyle="1" w:styleId="75">
    <w:name w:val="纯文本 Char"/>
    <w:link w:val="26"/>
    <w:autoRedefine/>
    <w:qFormat/>
    <w:uiPriority w:val="0"/>
    <w:rPr>
      <w:rFonts w:ascii="宋体" w:hAnsi="Courier New" w:eastAsia="宋体"/>
      <w:kern w:val="2"/>
      <w:sz w:val="21"/>
      <w:lang w:val="en-US" w:eastAsia="zh-CN" w:bidi="ar-SA"/>
    </w:rPr>
  </w:style>
  <w:style w:type="character" w:customStyle="1" w:styleId="76">
    <w:name w:val="正文文本缩进 2 Char1"/>
    <w:link w:val="29"/>
    <w:autoRedefine/>
    <w:qFormat/>
    <w:uiPriority w:val="0"/>
    <w:rPr>
      <w:kern w:val="2"/>
      <w:sz w:val="21"/>
      <w:szCs w:val="24"/>
    </w:rPr>
  </w:style>
  <w:style w:type="character" w:customStyle="1" w:styleId="77">
    <w:name w:val="批注框文本 Char"/>
    <w:basedOn w:val="52"/>
    <w:link w:val="30"/>
    <w:autoRedefine/>
    <w:qFormat/>
    <w:uiPriority w:val="99"/>
    <w:rPr>
      <w:kern w:val="2"/>
      <w:sz w:val="18"/>
      <w:szCs w:val="18"/>
    </w:rPr>
  </w:style>
  <w:style w:type="character" w:customStyle="1" w:styleId="78">
    <w:name w:val="页脚 Char"/>
    <w:basedOn w:val="52"/>
    <w:link w:val="31"/>
    <w:autoRedefine/>
    <w:qFormat/>
    <w:uiPriority w:val="99"/>
    <w:rPr>
      <w:kern w:val="2"/>
      <w:sz w:val="18"/>
      <w:szCs w:val="18"/>
    </w:rPr>
  </w:style>
  <w:style w:type="character" w:customStyle="1" w:styleId="79">
    <w:name w:val="页眉 Char"/>
    <w:link w:val="32"/>
    <w:autoRedefine/>
    <w:qFormat/>
    <w:uiPriority w:val="99"/>
    <w:rPr>
      <w:kern w:val="2"/>
      <w:sz w:val="18"/>
      <w:szCs w:val="18"/>
    </w:rPr>
  </w:style>
  <w:style w:type="character" w:customStyle="1" w:styleId="80">
    <w:name w:val="HTML 预设格式 Char1"/>
    <w:link w:val="44"/>
    <w:autoRedefine/>
    <w:qFormat/>
    <w:uiPriority w:val="0"/>
    <w:rPr>
      <w:rFonts w:ascii="宋体" w:hAnsi="宋体" w:cs="宋体"/>
      <w:sz w:val="24"/>
      <w:szCs w:val="24"/>
    </w:rPr>
  </w:style>
  <w:style w:type="character" w:customStyle="1" w:styleId="81">
    <w:name w:val="标题 Char"/>
    <w:link w:val="46"/>
    <w:autoRedefine/>
    <w:qFormat/>
    <w:uiPriority w:val="0"/>
    <w:rPr>
      <w:rFonts w:ascii="Arial" w:hAnsi="Arial" w:eastAsia="隶书" w:cs="Arial"/>
      <w:b/>
      <w:bCs/>
      <w:kern w:val="2"/>
      <w:sz w:val="32"/>
      <w:szCs w:val="32"/>
    </w:rPr>
  </w:style>
  <w:style w:type="paragraph" w:customStyle="1" w:styleId="82">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autoRedefine/>
    <w:qFormat/>
    <w:uiPriority w:val="0"/>
    <w:pPr>
      <w:spacing w:line="360" w:lineRule="auto"/>
      <w:ind w:firstLine="516" w:firstLineChars="215"/>
    </w:pPr>
    <w:rPr>
      <w:sz w:val="24"/>
      <w:szCs w:val="20"/>
    </w:rPr>
  </w:style>
  <w:style w:type="character" w:customStyle="1" w:styleId="84">
    <w:name w:val="样式1 Char Char Char"/>
    <w:link w:val="83"/>
    <w:autoRedefine/>
    <w:qFormat/>
    <w:uiPriority w:val="0"/>
    <w:rPr>
      <w:rFonts w:eastAsia="宋体"/>
      <w:kern w:val="2"/>
      <w:sz w:val="24"/>
      <w:lang w:val="en-US" w:eastAsia="zh-CN" w:bidi="ar-SA"/>
    </w:rPr>
  </w:style>
  <w:style w:type="paragraph" w:customStyle="1" w:styleId="85">
    <w:name w:val="样式1"/>
    <w:basedOn w:val="46"/>
    <w:link w:val="86"/>
    <w:autoRedefine/>
    <w:qFormat/>
    <w:uiPriority w:val="0"/>
    <w:pPr>
      <w:spacing w:before="120" w:after="120"/>
    </w:pPr>
    <w:rPr>
      <w:rFonts w:eastAsia="黑体" w:cs="Arial"/>
      <w:b w:val="0"/>
      <w:sz w:val="30"/>
      <w:szCs w:val="21"/>
    </w:rPr>
  </w:style>
  <w:style w:type="character" w:customStyle="1" w:styleId="86">
    <w:name w:val="样式1 Char"/>
    <w:link w:val="85"/>
    <w:autoRedefine/>
    <w:qFormat/>
    <w:uiPriority w:val="0"/>
    <w:rPr>
      <w:rFonts w:ascii="Arial" w:hAnsi="Arial" w:eastAsia="黑体" w:cs="Arial"/>
      <w:bCs/>
      <w:kern w:val="2"/>
      <w:sz w:val="30"/>
      <w:szCs w:val="21"/>
      <w:lang w:val="en-US" w:eastAsia="zh-CN" w:bidi="ar-SA"/>
    </w:rPr>
  </w:style>
  <w:style w:type="paragraph" w:customStyle="1" w:styleId="87">
    <w:name w:val="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autoRedefine/>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autoRedefine/>
    <w:qFormat/>
    <w:uiPriority w:val="0"/>
    <w:rPr>
      <w:rFonts w:ascii="仿宋_GB2312" w:eastAsia="仿宋_GB2312"/>
      <w:b/>
      <w:sz w:val="32"/>
      <w:szCs w:val="32"/>
    </w:rPr>
  </w:style>
  <w:style w:type="character" w:customStyle="1" w:styleId="91">
    <w:name w:val="tpc_title1"/>
    <w:autoRedefine/>
    <w:qFormat/>
    <w:uiPriority w:val="0"/>
    <w:rPr>
      <w:b/>
      <w:bCs/>
      <w:sz w:val="18"/>
      <w:szCs w:val="18"/>
    </w:rPr>
  </w:style>
  <w:style w:type="character" w:customStyle="1" w:styleId="92">
    <w:name w:val="tpc_content1"/>
    <w:autoRedefine/>
    <w:qFormat/>
    <w:uiPriority w:val="0"/>
    <w:rPr>
      <w:sz w:val="20"/>
      <w:szCs w:val="20"/>
    </w:rPr>
  </w:style>
  <w:style w:type="paragraph" w:customStyle="1" w:styleId="93">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autoRedefine/>
    <w:qFormat/>
    <w:uiPriority w:val="0"/>
    <w:pPr>
      <w:ind w:firstLine="420" w:firstLineChars="200"/>
    </w:pPr>
  </w:style>
  <w:style w:type="character" w:customStyle="1" w:styleId="95">
    <w:name w:val="列表段落 字符"/>
    <w:link w:val="94"/>
    <w:autoRedefine/>
    <w:qFormat/>
    <w:uiPriority w:val="34"/>
    <w:rPr>
      <w:kern w:val="2"/>
      <w:sz w:val="21"/>
      <w:szCs w:val="24"/>
    </w:rPr>
  </w:style>
  <w:style w:type="paragraph" w:customStyle="1" w:styleId="96">
    <w:name w:val="正文1"/>
    <w:basedOn w:val="1"/>
    <w:autoRedefine/>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autoRedefine/>
    <w:qFormat/>
    <w:uiPriority w:val="0"/>
    <w:pPr>
      <w:spacing w:line="360" w:lineRule="auto"/>
      <w:ind w:firstLine="200" w:firstLineChars="200"/>
    </w:pPr>
    <w:rPr>
      <w:rFonts w:ascii="Tahoma" w:hAnsi="Tahoma"/>
      <w:sz w:val="24"/>
    </w:rPr>
  </w:style>
  <w:style w:type="paragraph" w:customStyle="1" w:styleId="98">
    <w:name w:val="缩进正文"/>
    <w:basedOn w:val="1"/>
    <w:link w:val="99"/>
    <w:autoRedefine/>
    <w:qFormat/>
    <w:uiPriority w:val="0"/>
    <w:pPr>
      <w:ind w:firstLine="560" w:firstLineChars="200"/>
    </w:pPr>
    <w:rPr>
      <w:rFonts w:eastAsia="仿宋_GB2312" w:cs="宋体"/>
      <w:sz w:val="28"/>
      <w:szCs w:val="20"/>
    </w:rPr>
  </w:style>
  <w:style w:type="character" w:customStyle="1" w:styleId="99">
    <w:name w:val="缩进正文 Char"/>
    <w:link w:val="98"/>
    <w:autoRedefine/>
    <w:qFormat/>
    <w:uiPriority w:val="0"/>
    <w:rPr>
      <w:rFonts w:eastAsia="仿宋_GB2312" w:cs="宋体"/>
      <w:kern w:val="2"/>
      <w:sz w:val="28"/>
      <w:lang w:val="en-US" w:eastAsia="zh-CN" w:bidi="ar-SA"/>
    </w:rPr>
  </w:style>
  <w:style w:type="character" w:customStyle="1" w:styleId="100">
    <w:name w:val="访问过的超链接1"/>
    <w:autoRedefine/>
    <w:qFormat/>
    <w:uiPriority w:val="0"/>
    <w:rPr>
      <w:color w:val="800080"/>
      <w:u w:val="single"/>
    </w:rPr>
  </w:style>
  <w:style w:type="paragraph" w:customStyle="1" w:styleId="101">
    <w:name w:val="Char Char Char Char Char Char Char"/>
    <w:basedOn w:val="1"/>
    <w:autoRedefine/>
    <w:qFormat/>
    <w:uiPriority w:val="0"/>
    <w:pPr>
      <w:widowControl/>
      <w:adjustRightInd w:val="0"/>
      <w:spacing w:after="160" w:line="240" w:lineRule="exact"/>
      <w:jc w:val="left"/>
      <w:textAlignment w:val="baseline"/>
    </w:pPr>
  </w:style>
  <w:style w:type="character" w:customStyle="1" w:styleId="102">
    <w:name w:val="正文缩进 Char1"/>
    <w:autoRedefine/>
    <w:qFormat/>
    <w:uiPriority w:val="0"/>
    <w:rPr>
      <w:rFonts w:eastAsia="宋体"/>
      <w:kern w:val="2"/>
      <w:sz w:val="21"/>
      <w:lang w:val="en-US" w:eastAsia="zh-CN" w:bidi="ar-SA"/>
    </w:rPr>
  </w:style>
  <w:style w:type="paragraph" w:customStyle="1" w:styleId="103">
    <w:name w:val="Default"/>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autoRedefine/>
    <w:unhideWhenUsed/>
    <w:qFormat/>
    <w:uiPriority w:val="34"/>
    <w:pPr>
      <w:ind w:firstLine="420" w:firstLineChars="200"/>
    </w:pPr>
  </w:style>
  <w:style w:type="paragraph" w:customStyle="1" w:styleId="105">
    <w:name w:val="Table Paragraph"/>
    <w:basedOn w:val="1"/>
    <w:autoRedefine/>
    <w:qFormat/>
    <w:uiPriority w:val="0"/>
    <w:pPr>
      <w:autoSpaceDE w:val="0"/>
      <w:autoSpaceDN w:val="0"/>
      <w:adjustRightInd w:val="0"/>
      <w:jc w:val="left"/>
    </w:pPr>
    <w:rPr>
      <w:rFonts w:ascii="宋体" w:hAnsi="宋体" w:cs="宋体"/>
      <w:kern w:val="0"/>
      <w:sz w:val="24"/>
    </w:rPr>
  </w:style>
  <w:style w:type="character" w:customStyle="1" w:styleId="106">
    <w:name w:val="font11"/>
    <w:basedOn w:val="52"/>
    <w:autoRedefine/>
    <w:qFormat/>
    <w:uiPriority w:val="0"/>
    <w:rPr>
      <w:rFonts w:hint="eastAsia" w:ascii="宋体" w:hAnsi="宋体" w:eastAsia="宋体" w:cs="宋体"/>
      <w:b/>
      <w:color w:val="000000"/>
      <w:sz w:val="21"/>
      <w:szCs w:val="21"/>
      <w:u w:val="none"/>
    </w:rPr>
  </w:style>
  <w:style w:type="character" w:customStyle="1" w:styleId="107">
    <w:name w:val="批注文字 Char1"/>
    <w:autoRedefine/>
    <w:qFormat/>
    <w:locked/>
    <w:uiPriority w:val="0"/>
    <w:rPr>
      <w:rFonts w:ascii="Calibri" w:hAnsi="Calibri" w:eastAsia="宋体" w:cs="Calibri"/>
      <w:szCs w:val="21"/>
    </w:rPr>
  </w:style>
  <w:style w:type="character" w:customStyle="1" w:styleId="108">
    <w:name w:val="title1"/>
    <w:autoRedefine/>
    <w:qFormat/>
    <w:uiPriority w:val="0"/>
    <w:rPr>
      <w:rFonts w:hint="eastAsia" w:ascii="微软雅黑" w:hAnsi="微软雅黑" w:eastAsia="微软雅黑"/>
      <w:sz w:val="21"/>
      <w:szCs w:val="21"/>
    </w:rPr>
  </w:style>
  <w:style w:type="character" w:customStyle="1" w:styleId="109">
    <w:name w:val="sect2title1"/>
    <w:autoRedefine/>
    <w:qFormat/>
    <w:uiPriority w:val="0"/>
    <w:rPr>
      <w:rFonts w:hint="eastAsia" w:ascii="微软雅黑" w:hAnsi="微软雅黑" w:eastAsia="微软雅黑"/>
      <w:b/>
      <w:bCs/>
      <w:sz w:val="21"/>
      <w:szCs w:val="21"/>
    </w:rPr>
  </w:style>
  <w:style w:type="paragraph" w:customStyle="1" w:styleId="110">
    <w:name w:val="标题1"/>
    <w:basedOn w:val="1"/>
    <w:autoRedefine/>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autoRedefine/>
    <w:qFormat/>
    <w:uiPriority w:val="0"/>
    <w:rPr>
      <w:rFonts w:ascii="Tahoma" w:hAnsi="Tahoma" w:eastAsia="Tahoma" w:cs="Tahoma"/>
      <w:color w:val="000000"/>
      <w:sz w:val="20"/>
      <w:szCs w:val="20"/>
      <w:u w:val="none"/>
    </w:rPr>
  </w:style>
  <w:style w:type="paragraph" w:customStyle="1" w:styleId="112">
    <w:name w:val="font5"/>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autoRedefine/>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autoRedefine/>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autoRedefine/>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autoRedefine/>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autoRedefine/>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autoRedefine/>
    <w:qFormat/>
    <w:uiPriority w:val="0"/>
    <w:rPr>
      <w:rFonts w:hint="eastAsia" w:ascii="仿宋_GB2312" w:eastAsia="仿宋_GB2312" w:cs="仿宋_GB2312"/>
      <w:color w:val="000000"/>
      <w:sz w:val="20"/>
      <w:szCs w:val="20"/>
      <w:u w:val="none"/>
    </w:rPr>
  </w:style>
  <w:style w:type="character" w:customStyle="1" w:styleId="167">
    <w:name w:val="font31"/>
    <w:basedOn w:val="52"/>
    <w:autoRedefine/>
    <w:qFormat/>
    <w:uiPriority w:val="0"/>
    <w:rPr>
      <w:rFonts w:hint="default" w:ascii="Symbol" w:hAnsi="Symbol" w:cs="Symbol"/>
      <w:color w:val="000000"/>
      <w:sz w:val="20"/>
      <w:szCs w:val="20"/>
      <w:u w:val="none"/>
    </w:rPr>
  </w:style>
  <w:style w:type="character" w:customStyle="1" w:styleId="168">
    <w:name w:val="font71"/>
    <w:basedOn w:val="52"/>
    <w:autoRedefine/>
    <w:qFormat/>
    <w:uiPriority w:val="0"/>
    <w:rPr>
      <w:rFonts w:ascii="Arial" w:hAnsi="Arial" w:cs="Arial"/>
      <w:color w:val="000000"/>
      <w:sz w:val="20"/>
      <w:szCs w:val="20"/>
      <w:u w:val="none"/>
    </w:rPr>
  </w:style>
  <w:style w:type="character" w:customStyle="1" w:styleId="169">
    <w:name w:val="font21"/>
    <w:basedOn w:val="52"/>
    <w:autoRedefine/>
    <w:qFormat/>
    <w:uiPriority w:val="0"/>
    <w:rPr>
      <w:rFonts w:hint="default" w:ascii="Symbol" w:hAnsi="Symbol" w:cs="Symbol"/>
      <w:color w:val="000000"/>
      <w:sz w:val="20"/>
      <w:szCs w:val="20"/>
      <w:u w:val="none"/>
    </w:rPr>
  </w:style>
  <w:style w:type="character" w:customStyle="1" w:styleId="170">
    <w:name w:val="font91"/>
    <w:basedOn w:val="52"/>
    <w:autoRedefine/>
    <w:qFormat/>
    <w:uiPriority w:val="0"/>
    <w:rPr>
      <w:rFonts w:ascii="Arial" w:hAnsi="Arial" w:cs="Arial"/>
      <w:color w:val="000000"/>
      <w:sz w:val="20"/>
      <w:szCs w:val="20"/>
      <w:u w:val="none"/>
    </w:rPr>
  </w:style>
  <w:style w:type="character" w:customStyle="1" w:styleId="171">
    <w:name w:val="font51"/>
    <w:basedOn w:val="52"/>
    <w:autoRedefine/>
    <w:qFormat/>
    <w:uiPriority w:val="0"/>
    <w:rPr>
      <w:rFonts w:ascii="仿宋" w:hAnsi="仿宋" w:eastAsia="仿宋" w:cs="仿宋"/>
      <w:color w:val="000000"/>
      <w:sz w:val="21"/>
      <w:szCs w:val="21"/>
      <w:u w:val="none"/>
    </w:rPr>
  </w:style>
  <w:style w:type="character" w:customStyle="1" w:styleId="172">
    <w:name w:val="font101"/>
    <w:basedOn w:val="52"/>
    <w:autoRedefine/>
    <w:qFormat/>
    <w:uiPriority w:val="0"/>
    <w:rPr>
      <w:rFonts w:hint="eastAsia" w:ascii="仿宋_GB2312" w:eastAsia="仿宋_GB2312" w:cs="仿宋_GB2312"/>
      <w:color w:val="000000"/>
      <w:sz w:val="20"/>
      <w:szCs w:val="20"/>
      <w:u w:val="none"/>
    </w:rPr>
  </w:style>
  <w:style w:type="character" w:customStyle="1" w:styleId="173">
    <w:name w:val="font61"/>
    <w:basedOn w:val="52"/>
    <w:autoRedefine/>
    <w:qFormat/>
    <w:uiPriority w:val="0"/>
    <w:rPr>
      <w:rFonts w:hint="eastAsia" w:ascii="宋体" w:hAnsi="宋体" w:eastAsia="宋体" w:cs="宋体"/>
      <w:color w:val="000000"/>
      <w:sz w:val="20"/>
      <w:szCs w:val="20"/>
      <w:u w:val="none"/>
    </w:rPr>
  </w:style>
  <w:style w:type="character" w:customStyle="1" w:styleId="174">
    <w:name w:val="font81"/>
    <w:basedOn w:val="52"/>
    <w:autoRedefine/>
    <w:qFormat/>
    <w:uiPriority w:val="0"/>
    <w:rPr>
      <w:rFonts w:hint="eastAsia" w:ascii="仿宋" w:hAnsi="仿宋" w:eastAsia="仿宋" w:cs="仿宋"/>
      <w:color w:val="000000"/>
      <w:sz w:val="21"/>
      <w:szCs w:val="21"/>
      <w:u w:val="none"/>
    </w:rPr>
  </w:style>
  <w:style w:type="character" w:customStyle="1" w:styleId="175">
    <w:name w:val="font111"/>
    <w:basedOn w:val="52"/>
    <w:autoRedefine/>
    <w:qFormat/>
    <w:uiPriority w:val="0"/>
    <w:rPr>
      <w:rFonts w:hint="eastAsia" w:ascii="仿宋_GB2312" w:eastAsia="仿宋_GB2312" w:cs="仿宋_GB2312"/>
      <w:color w:val="000000"/>
      <w:sz w:val="21"/>
      <w:szCs w:val="21"/>
      <w:u w:val="none"/>
    </w:rPr>
  </w:style>
  <w:style w:type="character" w:customStyle="1" w:styleId="176">
    <w:name w:val="font121"/>
    <w:basedOn w:val="52"/>
    <w:autoRedefine/>
    <w:qFormat/>
    <w:uiPriority w:val="0"/>
    <w:rPr>
      <w:rFonts w:ascii="Arial" w:hAnsi="Arial" w:cs="Arial"/>
      <w:color w:val="000000"/>
      <w:sz w:val="20"/>
      <w:szCs w:val="20"/>
      <w:u w:val="none"/>
    </w:rPr>
  </w:style>
  <w:style w:type="character" w:customStyle="1" w:styleId="177">
    <w:name w:val="font112"/>
    <w:basedOn w:val="52"/>
    <w:autoRedefine/>
    <w:qFormat/>
    <w:uiPriority w:val="0"/>
    <w:rPr>
      <w:rFonts w:hint="eastAsia" w:ascii="仿宋_GB2312" w:eastAsia="仿宋_GB2312" w:cs="仿宋_GB2312"/>
      <w:color w:val="000000"/>
      <w:sz w:val="21"/>
      <w:szCs w:val="21"/>
      <w:u w:val="none"/>
    </w:rPr>
  </w:style>
  <w:style w:type="paragraph" w:customStyle="1" w:styleId="178">
    <w:name w:val="xl29164"/>
    <w:basedOn w:val="1"/>
    <w:autoRedefine/>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autoRedefine/>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autoRedefine/>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autoRedefine/>
    <w:qFormat/>
    <w:uiPriority w:val="0"/>
    <w:pPr>
      <w:spacing w:beforeLines="50"/>
      <w:ind w:firstLine="200" w:firstLineChars="200"/>
    </w:pPr>
    <w:rPr>
      <w:rFonts w:ascii="Calibri" w:hAnsi="Calibri" w:eastAsia="华文仿宋"/>
      <w:szCs w:val="22"/>
    </w:rPr>
  </w:style>
  <w:style w:type="paragraph" w:customStyle="1" w:styleId="256">
    <w:name w:val="正文A缩进"/>
    <w:basedOn w:val="1"/>
    <w:autoRedefine/>
    <w:qFormat/>
    <w:uiPriority w:val="0"/>
    <w:pPr>
      <w:spacing w:line="360" w:lineRule="auto"/>
      <w:ind w:firstLine="200" w:firstLineChars="200"/>
    </w:pPr>
    <w:rPr>
      <w:kern w:val="0"/>
      <w:sz w:val="28"/>
      <w:szCs w:val="20"/>
    </w:rPr>
  </w:style>
  <w:style w:type="paragraph" w:customStyle="1" w:styleId="257">
    <w:name w:val="_Style 1"/>
    <w:autoRedefine/>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autoRedefine/>
    <w:qFormat/>
    <w:uiPriority w:val="0"/>
    <w:rPr>
      <w:b/>
      <w:bCs/>
      <w:kern w:val="2"/>
      <w:sz w:val="28"/>
      <w:szCs w:val="28"/>
    </w:rPr>
  </w:style>
  <w:style w:type="character" w:customStyle="1" w:styleId="259">
    <w:name w:val="标题 6 Char"/>
    <w:basedOn w:val="52"/>
    <w:autoRedefine/>
    <w:qFormat/>
    <w:uiPriority w:val="9"/>
    <w:rPr>
      <w:rFonts w:asciiTheme="majorHAnsi" w:hAnsiTheme="majorHAnsi" w:eastAsiaTheme="majorEastAsia" w:cstheme="majorBidi"/>
      <w:b/>
      <w:bCs/>
      <w:kern w:val="2"/>
      <w:sz w:val="24"/>
      <w:szCs w:val="24"/>
    </w:rPr>
  </w:style>
  <w:style w:type="character" w:customStyle="1" w:styleId="260">
    <w:name w:val="标题 7 Char"/>
    <w:basedOn w:val="52"/>
    <w:autoRedefine/>
    <w:qFormat/>
    <w:uiPriority w:val="9"/>
    <w:rPr>
      <w:b/>
      <w:bCs/>
      <w:kern w:val="2"/>
      <w:sz w:val="24"/>
      <w:szCs w:val="24"/>
    </w:rPr>
  </w:style>
  <w:style w:type="character" w:customStyle="1" w:styleId="261">
    <w:name w:val="标题 8 Char"/>
    <w:basedOn w:val="52"/>
    <w:autoRedefine/>
    <w:qFormat/>
    <w:uiPriority w:val="9"/>
    <w:rPr>
      <w:rFonts w:asciiTheme="majorHAnsi" w:hAnsiTheme="majorHAnsi" w:eastAsiaTheme="majorEastAsia" w:cstheme="majorBidi"/>
      <w:kern w:val="2"/>
      <w:sz w:val="24"/>
      <w:szCs w:val="24"/>
    </w:rPr>
  </w:style>
  <w:style w:type="character" w:customStyle="1" w:styleId="262">
    <w:name w:val="标题 9 Char"/>
    <w:basedOn w:val="52"/>
    <w:autoRedefine/>
    <w:qFormat/>
    <w:uiPriority w:val="0"/>
    <w:rPr>
      <w:rFonts w:asciiTheme="majorHAnsi" w:hAnsiTheme="majorHAnsi" w:eastAsiaTheme="majorEastAsia" w:cstheme="majorBidi"/>
      <w:kern w:val="2"/>
      <w:sz w:val="21"/>
      <w:szCs w:val="21"/>
    </w:rPr>
  </w:style>
  <w:style w:type="paragraph" w:customStyle="1" w:styleId="263">
    <w:name w:val="！表格内容"/>
    <w:basedOn w:val="1"/>
    <w:autoRedefine/>
    <w:qFormat/>
    <w:uiPriority w:val="0"/>
    <w:pPr>
      <w:spacing w:line="320" w:lineRule="atLeast"/>
    </w:pPr>
  </w:style>
  <w:style w:type="character" w:customStyle="1" w:styleId="264">
    <w:name w:val="页眉 Char2"/>
    <w:basedOn w:val="52"/>
    <w:autoRedefine/>
    <w:qFormat/>
    <w:uiPriority w:val="99"/>
    <w:rPr>
      <w:rFonts w:ascii="Times New Roman" w:hAnsi="Times New Roman" w:eastAsia="宋体" w:cs="Times New Roman"/>
      <w:sz w:val="18"/>
      <w:szCs w:val="18"/>
    </w:rPr>
  </w:style>
  <w:style w:type="character" w:customStyle="1" w:styleId="265">
    <w:name w:val="页脚 Char1"/>
    <w:basedOn w:val="52"/>
    <w:autoRedefine/>
    <w:qFormat/>
    <w:uiPriority w:val="99"/>
    <w:rPr>
      <w:rFonts w:ascii="Times New Roman" w:hAnsi="Times New Roman" w:eastAsia="宋体" w:cs="Times New Roman"/>
      <w:sz w:val="18"/>
      <w:szCs w:val="18"/>
    </w:rPr>
  </w:style>
  <w:style w:type="paragraph" w:customStyle="1" w:styleId="266">
    <w:name w:val="Ｒ03－xoL"/>
    <w:next w:val="1"/>
    <w:autoRedefine/>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autoRedefine/>
    <w:qFormat/>
    <w:uiPriority w:val="99"/>
    <w:rPr>
      <w:rFonts w:ascii="Times New Roman" w:hAnsi="Times New Roman" w:eastAsia="宋体" w:cs="Times New Roman"/>
      <w:szCs w:val="24"/>
    </w:rPr>
  </w:style>
  <w:style w:type="character" w:customStyle="1" w:styleId="268">
    <w:name w:val="文档结构图 Char1"/>
    <w:basedOn w:val="52"/>
    <w:autoRedefine/>
    <w:qFormat/>
    <w:uiPriority w:val="0"/>
    <w:rPr>
      <w:rFonts w:ascii="宋体" w:hAnsi="Times New Roman" w:eastAsia="宋体" w:cs="Times New Roman"/>
      <w:sz w:val="18"/>
      <w:szCs w:val="18"/>
    </w:rPr>
  </w:style>
  <w:style w:type="character" w:customStyle="1" w:styleId="269">
    <w:name w:val="批注主题 Char1"/>
    <w:basedOn w:val="107"/>
    <w:autoRedefine/>
    <w:qFormat/>
    <w:uiPriority w:val="0"/>
    <w:rPr>
      <w:rFonts w:ascii="Times New Roman" w:hAnsi="Times New Roman" w:eastAsia="宋体" w:cs="Times New Roman"/>
      <w:b/>
      <w:bCs/>
      <w:szCs w:val="24"/>
    </w:rPr>
  </w:style>
  <w:style w:type="character" w:customStyle="1" w:styleId="270">
    <w:name w:val="批注框文本 Char1"/>
    <w:basedOn w:val="52"/>
    <w:autoRedefine/>
    <w:qFormat/>
    <w:uiPriority w:val="0"/>
    <w:rPr>
      <w:rFonts w:ascii="Times New Roman" w:hAnsi="Times New Roman" w:eastAsia="宋体" w:cs="Times New Roman"/>
      <w:sz w:val="18"/>
      <w:szCs w:val="18"/>
    </w:rPr>
  </w:style>
  <w:style w:type="character" w:customStyle="1" w:styleId="271">
    <w:name w:val="标题 1 Char1"/>
    <w:basedOn w:val="52"/>
    <w:autoRedefine/>
    <w:qFormat/>
    <w:uiPriority w:val="0"/>
    <w:rPr>
      <w:b/>
      <w:bCs/>
      <w:kern w:val="44"/>
      <w:sz w:val="44"/>
      <w:szCs w:val="44"/>
    </w:rPr>
  </w:style>
  <w:style w:type="character" w:customStyle="1" w:styleId="272">
    <w:name w:val="标题 2 Char1"/>
    <w:basedOn w:val="52"/>
    <w:autoRedefine/>
    <w:qFormat/>
    <w:uiPriority w:val="0"/>
    <w:rPr>
      <w:rFonts w:asciiTheme="majorHAnsi" w:hAnsiTheme="majorHAnsi" w:eastAsiaTheme="majorEastAsia" w:cstheme="majorBidi"/>
      <w:b/>
      <w:bCs/>
      <w:kern w:val="2"/>
      <w:sz w:val="32"/>
      <w:szCs w:val="32"/>
    </w:rPr>
  </w:style>
  <w:style w:type="character" w:customStyle="1" w:styleId="273">
    <w:name w:val="标题 3 Char1"/>
    <w:basedOn w:val="52"/>
    <w:autoRedefine/>
    <w:qFormat/>
    <w:uiPriority w:val="99"/>
    <w:rPr>
      <w:rFonts w:ascii="宋体" w:hAnsi="Arial"/>
      <w:b/>
      <w:kern w:val="2"/>
      <w:sz w:val="28"/>
    </w:rPr>
  </w:style>
  <w:style w:type="character" w:customStyle="1" w:styleId="274">
    <w:name w:val="Char Char3"/>
    <w:autoRedefine/>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autoRedefine/>
    <w:qFormat/>
    <w:uiPriority w:val="0"/>
    <w:rPr>
      <w:rFonts w:eastAsia="Times New Roman"/>
      <w:sz w:val="24"/>
      <w:szCs w:val="24"/>
    </w:rPr>
  </w:style>
  <w:style w:type="paragraph" w:customStyle="1" w:styleId="276">
    <w:name w:val="正文－段落"/>
    <w:link w:val="275"/>
    <w:autoRedefine/>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autoRedefine/>
    <w:qFormat/>
    <w:uiPriority w:val="0"/>
    <w:rPr>
      <w:rFonts w:ascii="宋体" w:hAnsi="Courier New"/>
      <w:spacing w:val="-8"/>
      <w:kern w:val="2"/>
      <w:sz w:val="24"/>
    </w:rPr>
  </w:style>
  <w:style w:type="character" w:customStyle="1" w:styleId="278">
    <w:name w:val="日期 Char"/>
    <w:autoRedefine/>
    <w:qFormat/>
    <w:uiPriority w:val="0"/>
    <w:rPr>
      <w:rFonts w:ascii="宋体" w:hAnsi="宋体"/>
      <w:sz w:val="24"/>
    </w:rPr>
  </w:style>
  <w:style w:type="character" w:customStyle="1" w:styleId="279">
    <w:name w:val="Char Char9"/>
    <w:autoRedefine/>
    <w:qFormat/>
    <w:uiPriority w:val="0"/>
    <w:rPr>
      <w:rFonts w:hint="default" w:ascii="Calibri" w:hAnsi="Calibri" w:eastAsia="宋体"/>
      <w:sz w:val="18"/>
      <w:szCs w:val="18"/>
      <w:lang w:bidi="ar-SA"/>
    </w:rPr>
  </w:style>
  <w:style w:type="character" w:customStyle="1" w:styleId="280">
    <w:name w:val="Char Char17"/>
    <w:autoRedefine/>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autoRedefine/>
    <w:qFormat/>
    <w:uiPriority w:val="0"/>
    <w:rPr>
      <w:rFonts w:ascii="黑体" w:hAnsi="Courier New" w:eastAsia="黑体" w:cs="Courier New"/>
    </w:rPr>
  </w:style>
  <w:style w:type="character" w:customStyle="1" w:styleId="282">
    <w:name w:val="1.5倍行距 Char Char"/>
    <w:link w:val="283"/>
    <w:autoRedefine/>
    <w:qFormat/>
    <w:uiPriority w:val="0"/>
    <w:rPr>
      <w:kern w:val="2"/>
      <w:sz w:val="21"/>
      <w:szCs w:val="24"/>
    </w:rPr>
  </w:style>
  <w:style w:type="paragraph" w:customStyle="1" w:styleId="283">
    <w:name w:val="1.5倍行距"/>
    <w:basedOn w:val="1"/>
    <w:link w:val="282"/>
    <w:autoRedefine/>
    <w:qFormat/>
    <w:uiPriority w:val="0"/>
    <w:pPr>
      <w:spacing w:line="360" w:lineRule="auto"/>
      <w:ind w:firstLine="420"/>
    </w:pPr>
  </w:style>
  <w:style w:type="character" w:customStyle="1" w:styleId="284">
    <w:name w:val="H2 Char1"/>
    <w:autoRedefine/>
    <w:qFormat/>
    <w:uiPriority w:val="0"/>
    <w:rPr>
      <w:rFonts w:ascii="Cambria" w:hAnsi="Cambria"/>
      <w:b/>
      <w:bCs/>
      <w:sz w:val="32"/>
      <w:szCs w:val="32"/>
    </w:rPr>
  </w:style>
  <w:style w:type="character" w:customStyle="1" w:styleId="285">
    <w:name w:val="Char Char4"/>
    <w:autoRedefine/>
    <w:qFormat/>
    <w:uiPriority w:val="0"/>
    <w:rPr>
      <w:rFonts w:hint="default" w:ascii="Calibri" w:hAnsi="Calibri" w:eastAsia="宋体"/>
      <w:kern w:val="2"/>
      <w:sz w:val="21"/>
      <w:szCs w:val="22"/>
      <w:lang w:val="en-US" w:eastAsia="zh-CN" w:bidi="ar-SA"/>
    </w:rPr>
  </w:style>
  <w:style w:type="character" w:customStyle="1" w:styleId="286">
    <w:name w:val="正文文本缩进 2 Char"/>
    <w:autoRedefine/>
    <w:qFormat/>
    <w:uiPriority w:val="0"/>
    <w:rPr>
      <w:kern w:val="2"/>
      <w:sz w:val="21"/>
    </w:rPr>
  </w:style>
  <w:style w:type="character" w:customStyle="1" w:styleId="287">
    <w:name w:val="签名 Char1"/>
    <w:link w:val="33"/>
    <w:autoRedefine/>
    <w:qFormat/>
    <w:uiPriority w:val="0"/>
    <w:rPr>
      <w:rFonts w:eastAsia="楷体_GB2312"/>
      <w:kern w:val="2"/>
      <w:sz w:val="21"/>
    </w:rPr>
  </w:style>
  <w:style w:type="character" w:customStyle="1" w:styleId="288">
    <w:name w:val="标题2 Char"/>
    <w:link w:val="289"/>
    <w:autoRedefine/>
    <w:qFormat/>
    <w:uiPriority w:val="0"/>
    <w:rPr>
      <w:rFonts w:ascii="仿宋" w:hAnsi="仿宋" w:eastAsia="仿宋"/>
      <w:b/>
      <w:bCs/>
      <w:color w:val="000000"/>
      <w:kern w:val="2"/>
      <w:sz w:val="24"/>
      <w:szCs w:val="24"/>
    </w:rPr>
  </w:style>
  <w:style w:type="paragraph" w:customStyle="1" w:styleId="289">
    <w:name w:val="标题2"/>
    <w:basedOn w:val="290"/>
    <w:link w:val="288"/>
    <w:autoRedefine/>
    <w:qFormat/>
    <w:uiPriority w:val="0"/>
    <w:pPr>
      <w:tabs>
        <w:tab w:val="left" w:pos="425"/>
        <w:tab w:val="left" w:pos="709"/>
        <w:tab w:val="left" w:pos="851"/>
        <w:tab w:val="left" w:pos="1419"/>
      </w:tabs>
    </w:pPr>
    <w:rPr>
      <w:szCs w:val="24"/>
    </w:rPr>
  </w:style>
  <w:style w:type="paragraph" w:customStyle="1" w:styleId="290">
    <w:name w:val="三级"/>
    <w:basedOn w:val="4"/>
    <w:link w:val="291"/>
    <w:autoRedefine/>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autoRedefine/>
    <w:qFormat/>
    <w:uiPriority w:val="0"/>
    <w:rPr>
      <w:rFonts w:ascii="仿宋" w:hAnsi="仿宋" w:eastAsia="仿宋"/>
      <w:b/>
      <w:bCs/>
      <w:color w:val="000000"/>
      <w:kern w:val="2"/>
      <w:sz w:val="32"/>
      <w:szCs w:val="32"/>
    </w:rPr>
  </w:style>
  <w:style w:type="character" w:customStyle="1" w:styleId="292">
    <w:name w:val="正文首行缩进 2 Char"/>
    <w:link w:val="49"/>
    <w:autoRedefine/>
    <w:qFormat/>
    <w:uiPriority w:val="0"/>
    <w:rPr>
      <w:sz w:val="24"/>
      <w:szCs w:val="24"/>
    </w:rPr>
  </w:style>
  <w:style w:type="character" w:customStyle="1" w:styleId="293">
    <w:name w:val="正文首行缩进 Char Char Char1"/>
    <w:autoRedefine/>
    <w:qFormat/>
    <w:uiPriority w:val="0"/>
    <w:rPr>
      <w:rFonts w:ascii="Times New Roman" w:hAnsi="Times New Roman"/>
      <w:kern w:val="2"/>
      <w:sz w:val="24"/>
      <w:szCs w:val="24"/>
    </w:rPr>
  </w:style>
  <w:style w:type="character" w:customStyle="1" w:styleId="294">
    <w:name w:val="标题 Char1"/>
    <w:autoRedefine/>
    <w:qFormat/>
    <w:uiPriority w:val="0"/>
    <w:rPr>
      <w:rFonts w:ascii="Arial" w:hAnsi="Arial"/>
      <w:b/>
      <w:kern w:val="2"/>
      <w:sz w:val="36"/>
      <w:szCs w:val="24"/>
    </w:rPr>
  </w:style>
  <w:style w:type="character" w:customStyle="1" w:styleId="295">
    <w:name w:val="正文文本 字符"/>
    <w:autoRedefine/>
    <w:qFormat/>
    <w:uiPriority w:val="0"/>
    <w:rPr>
      <w:rFonts w:eastAsia="宋体"/>
      <w:kern w:val="2"/>
      <w:sz w:val="21"/>
      <w:szCs w:val="24"/>
      <w:lang w:bidi="ar-SA"/>
    </w:rPr>
  </w:style>
  <w:style w:type="character" w:customStyle="1" w:styleId="296">
    <w:name w:val="正文文本缩进 Char"/>
    <w:autoRedefine/>
    <w:qFormat/>
    <w:uiPriority w:val="0"/>
    <w:rPr>
      <w:kern w:val="2"/>
      <w:sz w:val="24"/>
    </w:rPr>
  </w:style>
  <w:style w:type="character" w:customStyle="1" w:styleId="297">
    <w:name w:val="题注 Char1"/>
    <w:link w:val="16"/>
    <w:autoRedefine/>
    <w:qFormat/>
    <w:uiPriority w:val="0"/>
    <w:rPr>
      <w:rFonts w:ascii="Cambria" w:hAnsi="Cambria" w:eastAsia="黑体"/>
      <w:kern w:val="2"/>
      <w:sz w:val="21"/>
      <w:szCs w:val="24"/>
    </w:rPr>
  </w:style>
  <w:style w:type="character" w:customStyle="1" w:styleId="298">
    <w:name w:val="bt Char1"/>
    <w:autoRedefine/>
    <w:qFormat/>
    <w:uiPriority w:val="0"/>
    <w:rPr>
      <w:rFonts w:ascii="Times New Roman" w:hAnsi="Times New Roman"/>
      <w:kern w:val="2"/>
      <w:sz w:val="24"/>
      <w:szCs w:val="24"/>
    </w:rPr>
  </w:style>
  <w:style w:type="character" w:customStyle="1" w:styleId="299">
    <w:name w:val="Char Char18"/>
    <w:autoRedefine/>
    <w:qFormat/>
    <w:uiPriority w:val="0"/>
    <w:rPr>
      <w:rFonts w:hint="default" w:ascii="Cambria" w:hAnsi="Cambria" w:eastAsia="宋体"/>
      <w:b/>
      <w:bCs/>
      <w:sz w:val="32"/>
      <w:szCs w:val="32"/>
      <w:lang w:bidi="ar-SA"/>
    </w:rPr>
  </w:style>
  <w:style w:type="character" w:customStyle="1" w:styleId="300">
    <w:name w:val="四级 Char"/>
    <w:link w:val="301"/>
    <w:autoRedefine/>
    <w:qFormat/>
    <w:uiPriority w:val="0"/>
    <w:rPr>
      <w:rFonts w:ascii="仿宋" w:hAnsi="仿宋" w:eastAsia="仿宋"/>
      <w:bCs/>
      <w:kern w:val="2"/>
      <w:sz w:val="32"/>
      <w:szCs w:val="32"/>
    </w:rPr>
  </w:style>
  <w:style w:type="paragraph" w:customStyle="1" w:styleId="301">
    <w:name w:val="四级"/>
    <w:basedOn w:val="6"/>
    <w:link w:val="300"/>
    <w:autoRedefine/>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autoRedefine/>
    <w:qFormat/>
    <w:uiPriority w:val="0"/>
  </w:style>
  <w:style w:type="character" w:customStyle="1" w:styleId="303">
    <w:name w:val="p141"/>
    <w:autoRedefine/>
    <w:qFormat/>
    <w:uiPriority w:val="0"/>
    <w:rPr>
      <w:sz w:val="21"/>
      <w:szCs w:val="21"/>
    </w:rPr>
  </w:style>
  <w:style w:type="character" w:customStyle="1" w:styleId="304">
    <w:name w:val="正文文本缩进 3 Char"/>
    <w:autoRedefine/>
    <w:qFormat/>
    <w:uiPriority w:val="0"/>
    <w:rPr>
      <w:kern w:val="2"/>
      <w:sz w:val="21"/>
    </w:rPr>
  </w:style>
  <w:style w:type="character" w:customStyle="1" w:styleId="305">
    <w:name w:val="Char Char13"/>
    <w:autoRedefine/>
    <w:qFormat/>
    <w:uiPriority w:val="0"/>
    <w:rPr>
      <w:rFonts w:ascii="Cambria" w:hAnsi="Cambria" w:eastAsia="宋体"/>
      <w:sz w:val="24"/>
      <w:szCs w:val="24"/>
      <w:lang w:bidi="ar-SA"/>
    </w:rPr>
  </w:style>
  <w:style w:type="character" w:customStyle="1" w:styleId="306">
    <w:name w:val="正文文本 2 Char1"/>
    <w:link w:val="43"/>
    <w:autoRedefine/>
    <w:qFormat/>
    <w:uiPriority w:val="0"/>
    <w:rPr>
      <w:kern w:val="2"/>
      <w:sz w:val="28"/>
    </w:rPr>
  </w:style>
  <w:style w:type="character" w:customStyle="1" w:styleId="307">
    <w:name w:val="Char Char5"/>
    <w:autoRedefine/>
    <w:qFormat/>
    <w:uiPriority w:val="0"/>
    <w:rPr>
      <w:rFonts w:ascii="宋体" w:hAnsi="宋体" w:eastAsia="宋体"/>
      <w:b/>
      <w:bCs/>
      <w:szCs w:val="24"/>
      <w:lang w:bidi="ar-SA"/>
    </w:rPr>
  </w:style>
  <w:style w:type="character" w:customStyle="1" w:styleId="308">
    <w:name w:val="正文文本 2 Char"/>
    <w:autoRedefine/>
    <w:qFormat/>
    <w:uiPriority w:val="0"/>
    <w:rPr>
      <w:kern w:val="2"/>
      <w:sz w:val="28"/>
    </w:rPr>
  </w:style>
  <w:style w:type="character" w:customStyle="1" w:styleId="309">
    <w:name w:val="Char Char6"/>
    <w:autoRedefine/>
    <w:qFormat/>
    <w:uiPriority w:val="0"/>
    <w:rPr>
      <w:rFonts w:ascii="宋体" w:hAnsi="宋体" w:eastAsia="宋体"/>
      <w:szCs w:val="24"/>
      <w:lang w:bidi="ar-SA"/>
    </w:rPr>
  </w:style>
  <w:style w:type="character" w:customStyle="1" w:styleId="310">
    <w:name w:val="Char Char15"/>
    <w:autoRedefine/>
    <w:qFormat/>
    <w:uiPriority w:val="0"/>
    <w:rPr>
      <w:rFonts w:hint="default" w:ascii="Cambria" w:hAnsi="Cambria" w:eastAsia="宋体"/>
      <w:b/>
      <w:bCs/>
      <w:sz w:val="24"/>
      <w:szCs w:val="24"/>
      <w:lang w:bidi="ar-SA"/>
    </w:rPr>
  </w:style>
  <w:style w:type="character" w:customStyle="1" w:styleId="311">
    <w:name w:val="H4 Char"/>
    <w:autoRedefine/>
    <w:qFormat/>
    <w:uiPriority w:val="0"/>
    <w:rPr>
      <w:rFonts w:ascii="Cambria" w:hAnsi="Cambria" w:eastAsia="仿宋_GB2312"/>
      <w:b/>
      <w:bCs/>
      <w:sz w:val="32"/>
      <w:szCs w:val="28"/>
    </w:rPr>
  </w:style>
  <w:style w:type="character" w:customStyle="1" w:styleId="312">
    <w:name w:val="Char Char20"/>
    <w:autoRedefine/>
    <w:qFormat/>
    <w:uiPriority w:val="0"/>
    <w:rPr>
      <w:rFonts w:eastAsia="宋体"/>
      <w:b/>
      <w:kern w:val="2"/>
      <w:sz w:val="28"/>
      <w:lang w:bidi="ar-SA"/>
    </w:rPr>
  </w:style>
  <w:style w:type="character" w:customStyle="1" w:styleId="313">
    <w:name w:val="正文文本缩进 3 Char1"/>
    <w:link w:val="40"/>
    <w:autoRedefine/>
    <w:qFormat/>
    <w:uiPriority w:val="0"/>
    <w:rPr>
      <w:kern w:val="2"/>
      <w:sz w:val="21"/>
    </w:rPr>
  </w:style>
  <w:style w:type="character" w:customStyle="1" w:styleId="314">
    <w:name w:val="Char Char16"/>
    <w:autoRedefine/>
    <w:qFormat/>
    <w:uiPriority w:val="0"/>
    <w:rPr>
      <w:rFonts w:hint="eastAsia" w:ascii="仿宋_GB2313" w:hAnsi="仿宋_GB2313" w:eastAsia="仿宋_GB2312"/>
      <w:b/>
      <w:bCs/>
      <w:sz w:val="32"/>
      <w:szCs w:val="28"/>
      <w:lang w:bidi="ar-SA"/>
    </w:rPr>
  </w:style>
  <w:style w:type="character" w:customStyle="1" w:styleId="315">
    <w:name w:val="Char Char7"/>
    <w:autoRedefine/>
    <w:qFormat/>
    <w:uiPriority w:val="0"/>
    <w:rPr>
      <w:rFonts w:ascii="宋体" w:hAnsi="宋体" w:eastAsia="宋体"/>
      <w:sz w:val="24"/>
      <w:szCs w:val="24"/>
      <w:lang w:bidi="ar-SA"/>
    </w:rPr>
  </w:style>
  <w:style w:type="character" w:customStyle="1" w:styleId="316">
    <w:name w:val="日期 Char1"/>
    <w:link w:val="28"/>
    <w:autoRedefine/>
    <w:qFormat/>
    <w:uiPriority w:val="0"/>
    <w:rPr>
      <w:rFonts w:ascii="宋体" w:hAnsi="宋体"/>
      <w:kern w:val="2"/>
      <w:sz w:val="24"/>
      <w:szCs w:val="24"/>
    </w:rPr>
  </w:style>
  <w:style w:type="character" w:customStyle="1" w:styleId="317">
    <w:name w:val="Char Char12"/>
    <w:autoRedefine/>
    <w:qFormat/>
    <w:uiPriority w:val="0"/>
    <w:rPr>
      <w:rFonts w:hint="default" w:ascii="Cambria" w:hAnsi="Cambria" w:eastAsia="宋体"/>
      <w:szCs w:val="21"/>
      <w:lang w:bidi="ar-SA"/>
    </w:rPr>
  </w:style>
  <w:style w:type="character" w:customStyle="1" w:styleId="318">
    <w:name w:val="标题 4 Char"/>
    <w:autoRedefine/>
    <w:qFormat/>
    <w:uiPriority w:val="0"/>
    <w:rPr>
      <w:rFonts w:ascii="Arial" w:hAnsi="Arial" w:eastAsia="黑体"/>
      <w:b/>
      <w:kern w:val="2"/>
      <w:sz w:val="24"/>
    </w:rPr>
  </w:style>
  <w:style w:type="character" w:customStyle="1" w:styleId="319">
    <w:name w:val="Char Char2"/>
    <w:autoRedefine/>
    <w:qFormat/>
    <w:uiPriority w:val="0"/>
    <w:rPr>
      <w:rFonts w:ascii="宋体" w:hAnsi="宋体" w:eastAsia="宋体"/>
      <w:kern w:val="2"/>
      <w:sz w:val="24"/>
      <w:szCs w:val="24"/>
      <w:lang w:val="en-US" w:eastAsia="zh-CN" w:bidi="ar-SA"/>
    </w:rPr>
  </w:style>
  <w:style w:type="character" w:customStyle="1" w:styleId="320">
    <w:name w:val="*正文 Char"/>
    <w:link w:val="321"/>
    <w:autoRedefine/>
    <w:qFormat/>
    <w:uiPriority w:val="0"/>
    <w:rPr>
      <w:rFonts w:ascii="宋体" w:hAnsi="宋体"/>
      <w:sz w:val="24"/>
      <w:szCs w:val="24"/>
    </w:rPr>
  </w:style>
  <w:style w:type="paragraph" w:customStyle="1" w:styleId="321">
    <w:name w:val="*正文"/>
    <w:basedOn w:val="1"/>
    <w:link w:val="320"/>
    <w:autoRedefine/>
    <w:qFormat/>
    <w:uiPriority w:val="0"/>
    <w:pPr>
      <w:spacing w:line="360" w:lineRule="auto"/>
      <w:ind w:firstLine="200" w:firstLineChars="200"/>
    </w:pPr>
    <w:rPr>
      <w:rFonts w:ascii="宋体" w:hAnsi="宋体"/>
      <w:kern w:val="0"/>
      <w:sz w:val="24"/>
    </w:rPr>
  </w:style>
  <w:style w:type="character" w:customStyle="1" w:styleId="322">
    <w:name w:val="页脚 字符1"/>
    <w:autoRedefine/>
    <w:qFormat/>
    <w:uiPriority w:val="0"/>
    <w:rPr>
      <w:rFonts w:eastAsia="宋体"/>
      <w:kern w:val="2"/>
      <w:sz w:val="18"/>
      <w:lang w:bidi="ar-SA"/>
    </w:rPr>
  </w:style>
  <w:style w:type="character" w:customStyle="1" w:styleId="323">
    <w:name w:val="GP正文[858D7CFB-ED40-4347-BF05-701D383B685F]"/>
    <w:link w:val="324"/>
    <w:autoRedefine/>
    <w:qFormat/>
    <w:uiPriority w:val="0"/>
    <w:rPr>
      <w:rFonts w:ascii="宋体" w:hAnsi="宋体"/>
      <w:kern w:val="2"/>
      <w:sz w:val="24"/>
      <w:szCs w:val="24"/>
    </w:rPr>
  </w:style>
  <w:style w:type="paragraph" w:customStyle="1" w:styleId="324">
    <w:name w:val="GP正文"/>
    <w:basedOn w:val="1"/>
    <w:link w:val="323"/>
    <w:autoRedefine/>
    <w:qFormat/>
    <w:uiPriority w:val="0"/>
    <w:pPr>
      <w:spacing w:line="360" w:lineRule="auto"/>
      <w:ind w:firstLine="200" w:firstLineChars="200"/>
      <w:jc w:val="left"/>
    </w:pPr>
    <w:rPr>
      <w:rFonts w:ascii="宋体" w:hAnsi="宋体"/>
      <w:sz w:val="24"/>
    </w:rPr>
  </w:style>
  <w:style w:type="character" w:customStyle="1" w:styleId="325">
    <w:name w:val="Char Char14"/>
    <w:autoRedefine/>
    <w:qFormat/>
    <w:uiPriority w:val="0"/>
    <w:rPr>
      <w:rFonts w:ascii="Calibri" w:hAnsi="Calibri" w:eastAsia="宋体"/>
      <w:b/>
      <w:bCs/>
      <w:sz w:val="24"/>
      <w:szCs w:val="24"/>
      <w:lang w:bidi="ar-SA"/>
    </w:rPr>
  </w:style>
  <w:style w:type="character" w:customStyle="1" w:styleId="326">
    <w:name w:val="Char Char19"/>
    <w:autoRedefine/>
    <w:qFormat/>
    <w:uiPriority w:val="0"/>
    <w:rPr>
      <w:rFonts w:ascii="Arial" w:hAnsi="Arial" w:eastAsia="黑体"/>
      <w:b/>
      <w:kern w:val="2"/>
      <w:sz w:val="24"/>
      <w:lang w:bidi="ar-SA"/>
    </w:rPr>
  </w:style>
  <w:style w:type="character" w:customStyle="1" w:styleId="327">
    <w:name w:val="正文文本 Char1"/>
    <w:autoRedefine/>
    <w:qFormat/>
    <w:uiPriority w:val="0"/>
    <w:rPr>
      <w:kern w:val="2"/>
      <w:sz w:val="21"/>
      <w:szCs w:val="24"/>
    </w:rPr>
  </w:style>
  <w:style w:type="character" w:customStyle="1" w:styleId="328">
    <w:name w:val="二级 Char"/>
    <w:link w:val="329"/>
    <w:autoRedefine/>
    <w:qFormat/>
    <w:uiPriority w:val="0"/>
    <w:rPr>
      <w:rFonts w:ascii="仿宋" w:hAnsi="仿宋" w:eastAsia="仿宋"/>
      <w:b/>
      <w:bCs/>
      <w:spacing w:val="24"/>
      <w:kern w:val="2"/>
      <w:sz w:val="32"/>
      <w:szCs w:val="32"/>
    </w:rPr>
  </w:style>
  <w:style w:type="paragraph" w:customStyle="1" w:styleId="329">
    <w:name w:val="二级"/>
    <w:basedOn w:val="5"/>
    <w:link w:val="328"/>
    <w:autoRedefine/>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autoRedefine/>
    <w:qFormat/>
    <w:uiPriority w:val="0"/>
    <w:rPr>
      <w:rFonts w:eastAsia="楷体_GB2312"/>
      <w:kern w:val="2"/>
      <w:sz w:val="21"/>
    </w:rPr>
  </w:style>
  <w:style w:type="character" w:customStyle="1" w:styleId="331">
    <w:name w:val="Char Char"/>
    <w:autoRedefine/>
    <w:qFormat/>
    <w:uiPriority w:val="0"/>
    <w:rPr>
      <w:rFonts w:hint="eastAsia" w:ascii="宋体" w:hAnsi="Courier New" w:eastAsia="宋体"/>
      <w:spacing w:val="-8"/>
      <w:kern w:val="2"/>
      <w:sz w:val="24"/>
      <w:lang w:val="en-US" w:eastAsia="zh-CN" w:bidi="ar-SA"/>
    </w:rPr>
  </w:style>
  <w:style w:type="character" w:customStyle="1" w:styleId="332">
    <w:name w:val="Char Char11"/>
    <w:autoRedefine/>
    <w:qFormat/>
    <w:uiPriority w:val="0"/>
    <w:rPr>
      <w:rFonts w:hint="default" w:ascii="Calibri" w:hAnsi="Calibri" w:eastAsia="宋体"/>
      <w:sz w:val="18"/>
      <w:szCs w:val="18"/>
      <w:lang w:bidi="ar-SA"/>
    </w:rPr>
  </w:style>
  <w:style w:type="character" w:customStyle="1" w:styleId="333">
    <w:name w:val="页眉 字符1"/>
    <w:autoRedefine/>
    <w:qFormat/>
    <w:uiPriority w:val="0"/>
    <w:rPr>
      <w:rFonts w:eastAsia="宋体"/>
      <w:kern w:val="2"/>
      <w:sz w:val="18"/>
      <w:szCs w:val="18"/>
      <w:lang w:bidi="ar-SA"/>
    </w:rPr>
  </w:style>
  <w:style w:type="character" w:customStyle="1" w:styleId="334">
    <w:name w:val="正文首行缩进 Char1"/>
    <w:autoRedefine/>
    <w:qFormat/>
    <w:uiPriority w:val="0"/>
    <w:rPr>
      <w:kern w:val="2"/>
      <w:sz w:val="21"/>
    </w:rPr>
  </w:style>
  <w:style w:type="character" w:customStyle="1" w:styleId="335">
    <w:name w:val="页眉 Char1"/>
    <w:autoRedefine/>
    <w:qFormat/>
    <w:uiPriority w:val="0"/>
    <w:rPr>
      <w:rFonts w:eastAsia="宋体"/>
      <w:kern w:val="2"/>
      <w:sz w:val="18"/>
      <w:szCs w:val="18"/>
      <w:lang w:val="en-US" w:eastAsia="zh-CN" w:bidi="ar-SA"/>
    </w:rPr>
  </w:style>
  <w:style w:type="character" w:customStyle="1" w:styleId="336">
    <w:name w:val="题注 Char"/>
    <w:autoRedefine/>
    <w:qFormat/>
    <w:uiPriority w:val="0"/>
    <w:rPr>
      <w:rFonts w:ascii="Cambria" w:hAnsi="Cambria" w:eastAsia="黑体"/>
      <w:kern w:val="2"/>
      <w:lang w:bidi="ar-SA"/>
    </w:rPr>
  </w:style>
  <w:style w:type="character" w:customStyle="1" w:styleId="337">
    <w:name w:val="样式 标题 3 + 小四 Char"/>
    <w:autoRedefine/>
    <w:qFormat/>
    <w:uiPriority w:val="0"/>
    <w:rPr>
      <w:rFonts w:ascii="宋体" w:hAnsi="宋体" w:cs="Arial"/>
      <w:b/>
      <w:bCs/>
      <w:smallCaps/>
      <w:sz w:val="24"/>
      <w:lang w:val="en-US" w:eastAsia="zh-CN"/>
    </w:rPr>
  </w:style>
  <w:style w:type="character" w:customStyle="1" w:styleId="338">
    <w:name w:val="unnamed21"/>
    <w:autoRedefine/>
    <w:qFormat/>
    <w:uiPriority w:val="0"/>
    <w:rPr>
      <w:color w:val="CC6633"/>
      <w:u w:val="none"/>
    </w:rPr>
  </w:style>
  <w:style w:type="character" w:customStyle="1" w:styleId="339">
    <w:name w:val="16"/>
    <w:autoRedefine/>
    <w:qFormat/>
    <w:uiPriority w:val="0"/>
    <w:rPr>
      <w:rFonts w:hint="eastAsia" w:ascii="宋体" w:hAnsi="宋体" w:eastAsia="宋体" w:cs="Arial"/>
      <w:b/>
      <w:bCs/>
      <w:smallCaps/>
      <w:kern w:val="2"/>
      <w:sz w:val="24"/>
      <w:szCs w:val="24"/>
    </w:rPr>
  </w:style>
  <w:style w:type="character" w:customStyle="1" w:styleId="340">
    <w:name w:val="正文文本缩进 字符"/>
    <w:autoRedefine/>
    <w:qFormat/>
    <w:uiPriority w:val="0"/>
    <w:rPr>
      <w:rFonts w:eastAsia="宋体"/>
      <w:kern w:val="2"/>
      <w:sz w:val="24"/>
      <w:lang w:bidi="ar-SA"/>
    </w:rPr>
  </w:style>
  <w:style w:type="character" w:customStyle="1" w:styleId="341">
    <w:name w:val="Char Char8"/>
    <w:autoRedefine/>
    <w:qFormat/>
    <w:uiPriority w:val="0"/>
    <w:rPr>
      <w:rFonts w:hint="default" w:ascii="Calibri" w:hAnsi="Calibri" w:eastAsia="宋体"/>
      <w:kern w:val="2"/>
      <w:sz w:val="21"/>
      <w:szCs w:val="22"/>
      <w:lang w:val="en-US" w:eastAsia="zh-CN" w:bidi="ar-SA"/>
    </w:rPr>
  </w:style>
  <w:style w:type="character" w:customStyle="1" w:styleId="342">
    <w:name w:val="H3 Char1"/>
    <w:autoRedefine/>
    <w:qFormat/>
    <w:uiPriority w:val="0"/>
    <w:rPr>
      <w:rFonts w:ascii="仿宋_GB2312" w:eastAsia="仿宋_GB2312"/>
      <w:b/>
      <w:bCs/>
      <w:color w:val="000000"/>
      <w:kern w:val="2"/>
      <w:sz w:val="32"/>
      <w:szCs w:val="32"/>
    </w:rPr>
  </w:style>
  <w:style w:type="character" w:customStyle="1" w:styleId="343">
    <w:name w:val="Char Char1"/>
    <w:autoRedefine/>
    <w:qFormat/>
    <w:uiPriority w:val="0"/>
    <w:rPr>
      <w:rFonts w:hint="eastAsia" w:ascii="宋体" w:hAnsi="宋体" w:eastAsia="宋体"/>
      <w:kern w:val="2"/>
      <w:sz w:val="21"/>
      <w:szCs w:val="24"/>
      <w:lang w:val="en-US" w:eastAsia="zh-CN" w:bidi="ar-SA"/>
    </w:rPr>
  </w:style>
  <w:style w:type="character" w:customStyle="1" w:styleId="344">
    <w:name w:val="Char Char10"/>
    <w:autoRedefine/>
    <w:qFormat/>
    <w:uiPriority w:val="0"/>
    <w:rPr>
      <w:rFonts w:eastAsia="宋体"/>
      <w:kern w:val="2"/>
      <w:sz w:val="18"/>
      <w:szCs w:val="18"/>
      <w:lang w:val="en-US" w:eastAsia="zh-CN" w:bidi="ar-SA"/>
    </w:rPr>
  </w:style>
  <w:style w:type="character" w:customStyle="1" w:styleId="345">
    <w:name w:val="文档正文 Char"/>
    <w:link w:val="346"/>
    <w:autoRedefine/>
    <w:qFormat/>
    <w:uiPriority w:val="0"/>
    <w:rPr>
      <w:rFonts w:ascii="Arial" w:hAnsi="Arial" w:cs="Arial"/>
      <w:bCs/>
      <w:kern w:val="2"/>
      <w:sz w:val="24"/>
      <w:szCs w:val="24"/>
    </w:rPr>
  </w:style>
  <w:style w:type="paragraph" w:customStyle="1" w:styleId="346">
    <w:name w:val="文档正文"/>
    <w:basedOn w:val="1"/>
    <w:link w:val="345"/>
    <w:autoRedefine/>
    <w:qFormat/>
    <w:uiPriority w:val="0"/>
    <w:rPr>
      <w:rFonts w:ascii="Arial" w:hAnsi="Arial" w:cs="Arial"/>
      <w:bCs/>
      <w:sz w:val="24"/>
    </w:rPr>
  </w:style>
  <w:style w:type="character" w:customStyle="1" w:styleId="347">
    <w:name w:val="正文文本 2 Char2"/>
    <w:basedOn w:val="52"/>
    <w:autoRedefine/>
    <w:semiHidden/>
    <w:qFormat/>
    <w:uiPriority w:val="0"/>
    <w:rPr>
      <w:kern w:val="2"/>
      <w:sz w:val="21"/>
      <w:szCs w:val="24"/>
    </w:rPr>
  </w:style>
  <w:style w:type="character" w:customStyle="1" w:styleId="348">
    <w:name w:val="标题 字符1"/>
    <w:basedOn w:val="52"/>
    <w:autoRedefine/>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autoRedefine/>
    <w:qFormat/>
    <w:uiPriority w:val="0"/>
    <w:rPr>
      <w:kern w:val="2"/>
      <w:sz w:val="21"/>
      <w:szCs w:val="24"/>
    </w:rPr>
  </w:style>
  <w:style w:type="character" w:customStyle="1" w:styleId="350">
    <w:name w:val="签名 Char2"/>
    <w:basedOn w:val="52"/>
    <w:autoRedefine/>
    <w:semiHidden/>
    <w:qFormat/>
    <w:uiPriority w:val="0"/>
    <w:rPr>
      <w:kern w:val="2"/>
      <w:sz w:val="21"/>
      <w:szCs w:val="24"/>
    </w:rPr>
  </w:style>
  <w:style w:type="character" w:customStyle="1" w:styleId="351">
    <w:name w:val="正文文本缩进 3 Char2"/>
    <w:basedOn w:val="52"/>
    <w:autoRedefine/>
    <w:semiHidden/>
    <w:qFormat/>
    <w:uiPriority w:val="0"/>
    <w:rPr>
      <w:kern w:val="2"/>
      <w:sz w:val="16"/>
      <w:szCs w:val="16"/>
    </w:rPr>
  </w:style>
  <w:style w:type="character" w:customStyle="1" w:styleId="352">
    <w:name w:val="日期 Char2"/>
    <w:basedOn w:val="52"/>
    <w:autoRedefine/>
    <w:semiHidden/>
    <w:qFormat/>
    <w:uiPriority w:val="0"/>
    <w:rPr>
      <w:kern w:val="2"/>
      <w:sz w:val="21"/>
      <w:szCs w:val="24"/>
    </w:rPr>
  </w:style>
  <w:style w:type="paragraph" w:customStyle="1" w:styleId="353">
    <w:name w:val="Default Paragraph Font Para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autoRedefine/>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autoRedefine/>
    <w:qFormat/>
    <w:uiPriority w:val="0"/>
    <w:pPr>
      <w:widowControl/>
      <w:jc w:val="center"/>
    </w:pPr>
    <w:rPr>
      <w:rFonts w:ascii="Arial" w:hAnsi="Arial"/>
      <w:b/>
      <w:kern w:val="0"/>
      <w:sz w:val="18"/>
      <w:szCs w:val="20"/>
    </w:rPr>
  </w:style>
  <w:style w:type="paragraph" w:customStyle="1" w:styleId="359">
    <w:name w:val="4"/>
    <w:basedOn w:val="1"/>
    <w:next w:val="1"/>
    <w:autoRedefine/>
    <w:qFormat/>
    <w:uiPriority w:val="0"/>
  </w:style>
  <w:style w:type="paragraph" w:customStyle="1" w:styleId="360">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autoRedefine/>
    <w:qFormat/>
    <w:uiPriority w:val="0"/>
    <w:pPr>
      <w:spacing w:line="360" w:lineRule="auto"/>
      <w:ind w:firstLine="200" w:firstLineChars="200"/>
    </w:pPr>
    <w:rPr>
      <w:szCs w:val="20"/>
    </w:rPr>
  </w:style>
  <w:style w:type="paragraph" w:customStyle="1" w:styleId="362">
    <w:name w:val="样式 标题 5H5dashdsddh5PIM 5口一heading 5Titre5Table label...3"/>
    <w:basedOn w:val="7"/>
    <w:autoRedefine/>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autoRedefine/>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autoRedefine/>
    <w:qFormat/>
    <w:uiPriority w:val="0"/>
    <w:pPr>
      <w:tabs>
        <w:tab w:val="right" w:leader="dot" w:pos="9458"/>
      </w:tabs>
    </w:pPr>
    <w:rPr>
      <w:rFonts w:ascii="Arial" w:cs="Arial"/>
      <w:i/>
    </w:rPr>
  </w:style>
  <w:style w:type="paragraph" w:customStyle="1" w:styleId="365">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autoRedefine/>
    <w:qFormat/>
    <w:uiPriority w:val="0"/>
    <w:pPr>
      <w:keepLines/>
      <w:widowControl/>
      <w:spacing w:beforeLines="50" w:afterLines="50" w:line="300" w:lineRule="auto"/>
    </w:pPr>
    <w:rPr>
      <w:rFonts w:ascii="Arial" w:hAnsi="Arial"/>
      <w:bCs/>
    </w:rPr>
  </w:style>
  <w:style w:type="paragraph" w:customStyle="1" w:styleId="367">
    <w:name w:val="样式5"/>
    <w:basedOn w:val="368"/>
    <w:next w:val="368"/>
    <w:autoRedefine/>
    <w:qFormat/>
    <w:uiPriority w:val="0"/>
    <w:pPr>
      <w:tabs>
        <w:tab w:val="right" w:leader="dot" w:pos="9458"/>
      </w:tabs>
    </w:pPr>
  </w:style>
  <w:style w:type="paragraph" w:customStyle="1" w:styleId="368">
    <w:name w:val="样式4"/>
    <w:basedOn w:val="34"/>
    <w:autoRedefine/>
    <w:qFormat/>
    <w:uiPriority w:val="0"/>
    <w:pPr>
      <w:tabs>
        <w:tab w:val="right" w:leader="dot" w:pos="9458"/>
      </w:tabs>
    </w:pPr>
    <w:rPr>
      <w:b w:val="0"/>
    </w:rPr>
  </w:style>
  <w:style w:type="paragraph" w:customStyle="1" w:styleId="369">
    <w:name w:val="TOC 标题1"/>
    <w:basedOn w:val="3"/>
    <w:next w:val="1"/>
    <w:autoRedefine/>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autoRedefine/>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autoRedefine/>
    <w:qFormat/>
    <w:uiPriority w:val="0"/>
    <w:pPr>
      <w:widowControl/>
      <w:jc w:val="center"/>
    </w:pPr>
    <w:rPr>
      <w:rFonts w:ascii="Arial" w:hAnsi="Arial"/>
      <w:snapToGrid w:val="0"/>
      <w:kern w:val="0"/>
      <w:sz w:val="18"/>
      <w:szCs w:val="20"/>
    </w:rPr>
  </w:style>
  <w:style w:type="paragraph" w:customStyle="1" w:styleId="374">
    <w:name w:val="xl4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autoRedefine/>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autoRedefine/>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autoRedefine/>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autoRedefine/>
    <w:qFormat/>
    <w:uiPriority w:val="0"/>
    <w:pPr>
      <w:ind w:firstLine="567"/>
    </w:pPr>
    <w:rPr>
      <w:spacing w:val="20"/>
      <w:sz w:val="24"/>
      <w:szCs w:val="20"/>
    </w:rPr>
  </w:style>
  <w:style w:type="paragraph" w:customStyle="1" w:styleId="385">
    <w:name w:val="_正文"/>
    <w:basedOn w:val="1"/>
    <w:autoRedefine/>
    <w:qFormat/>
    <w:uiPriority w:val="99"/>
    <w:pPr>
      <w:spacing w:line="360" w:lineRule="auto"/>
      <w:ind w:firstLine="200" w:firstLineChars="200"/>
    </w:pPr>
    <w:rPr>
      <w:rFonts w:ascii="宋体" w:hAnsi="宋体"/>
      <w:sz w:val="24"/>
    </w:rPr>
  </w:style>
  <w:style w:type="paragraph" w:customStyle="1" w:styleId="386">
    <w:name w:val="xl46"/>
    <w:basedOn w:val="1"/>
    <w:autoRedefine/>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autoRedefine/>
    <w:qFormat/>
    <w:uiPriority w:val="0"/>
    <w:pPr>
      <w:ind w:firstLine="420" w:firstLineChars="200"/>
    </w:pPr>
    <w:rPr>
      <w:rFonts w:ascii="仿宋_GB2312" w:eastAsia="仿宋_GB2312" w:cs="宋体"/>
      <w:spacing w:val="6"/>
      <w:sz w:val="30"/>
      <w:szCs w:val="30"/>
    </w:rPr>
  </w:style>
  <w:style w:type="paragraph" w:customStyle="1" w:styleId="388">
    <w:name w:val="_Style 15"/>
    <w:basedOn w:val="1"/>
    <w:autoRedefine/>
    <w:qFormat/>
    <w:uiPriority w:val="0"/>
  </w:style>
  <w:style w:type="paragraph" w:customStyle="1" w:styleId="389">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6"/>
    <w:next w:val="1"/>
    <w:autoRedefine/>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autoRedefine/>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autoRedefine/>
    <w:qFormat/>
    <w:uiPriority w:val="0"/>
    <w:pPr>
      <w:ind w:left="572" w:right="32" w:firstLine="478"/>
    </w:pPr>
    <w:rPr>
      <w:szCs w:val="21"/>
    </w:rPr>
  </w:style>
  <w:style w:type="paragraph" w:customStyle="1" w:styleId="397">
    <w:name w:val="Bullet w/Single Space"/>
    <w:basedOn w:val="1"/>
    <w:autoRedefine/>
    <w:qFormat/>
    <w:uiPriority w:val="0"/>
    <w:pPr>
      <w:widowControl/>
      <w:numPr>
        <w:ilvl w:val="0"/>
        <w:numId w:val="3"/>
      </w:numPr>
      <w:ind w:left="720"/>
      <w:jc w:val="left"/>
    </w:pPr>
    <w:rPr>
      <w:kern w:val="0"/>
      <w:sz w:val="24"/>
      <w:szCs w:val="20"/>
      <w:lang w:eastAsia="en-US"/>
    </w:rPr>
  </w:style>
  <w:style w:type="paragraph" w:customStyle="1" w:styleId="398">
    <w:name w:val="正文样式"/>
    <w:basedOn w:val="1"/>
    <w:autoRedefine/>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autoRedefine/>
    <w:qFormat/>
    <w:uiPriority w:val="0"/>
    <w:pPr>
      <w:spacing w:line="360" w:lineRule="auto"/>
      <w:ind w:hanging="420"/>
      <w:jc w:val="center"/>
    </w:pPr>
    <w:rPr>
      <w:sz w:val="24"/>
      <w:szCs w:val="20"/>
    </w:rPr>
  </w:style>
  <w:style w:type="paragraph" w:customStyle="1" w:styleId="400">
    <w:name w:val="font0"/>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autoRedefine/>
    <w:qFormat/>
    <w:uiPriority w:val="0"/>
  </w:style>
  <w:style w:type="paragraph" w:customStyle="1" w:styleId="402">
    <w:name w:val="z1"/>
    <w:basedOn w:val="1"/>
    <w:autoRedefine/>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autoRedefine/>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autoRedefine/>
    <w:qFormat/>
    <w:uiPriority w:val="0"/>
  </w:style>
  <w:style w:type="paragraph" w:customStyle="1" w:styleId="405">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autoRedefine/>
    <w:qFormat/>
    <w:uiPriority w:val="0"/>
    <w:pPr>
      <w:tabs>
        <w:tab w:val="right" w:leader="dot" w:pos="9458"/>
      </w:tabs>
    </w:pPr>
    <w:rPr>
      <w:i/>
    </w:rPr>
  </w:style>
  <w:style w:type="paragraph" w:customStyle="1" w:styleId="407">
    <w:name w:val="msolistparagraph"/>
    <w:basedOn w:val="1"/>
    <w:autoRedefine/>
    <w:qFormat/>
    <w:uiPriority w:val="0"/>
    <w:pPr>
      <w:ind w:firstLine="420" w:firstLineChars="200"/>
    </w:pPr>
    <w:rPr>
      <w:rFonts w:ascii="Calibri" w:hAnsi="Calibri"/>
      <w:szCs w:val="22"/>
    </w:rPr>
  </w:style>
  <w:style w:type="paragraph" w:customStyle="1" w:styleId="408">
    <w:name w:val="Char Char16 Char Char"/>
    <w:basedOn w:val="1"/>
    <w:autoRedefine/>
    <w:qFormat/>
    <w:uiPriority w:val="0"/>
    <w:rPr>
      <w:rFonts w:ascii="Tahoma" w:hAnsi="Tahoma"/>
      <w:sz w:val="24"/>
      <w:szCs w:val="20"/>
    </w:rPr>
  </w:style>
  <w:style w:type="paragraph" w:customStyle="1" w:styleId="409">
    <w:name w:val="正文内容"/>
    <w:basedOn w:val="1"/>
    <w:autoRedefine/>
    <w:qFormat/>
    <w:uiPriority w:val="0"/>
    <w:rPr>
      <w:rFonts w:ascii="Arial" w:hAnsi="Arial"/>
      <w:spacing w:val="-12"/>
      <w:szCs w:val="20"/>
    </w:rPr>
  </w:style>
  <w:style w:type="paragraph" w:customStyle="1" w:styleId="410">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autoRedefine/>
    <w:qFormat/>
    <w:uiPriority w:val="0"/>
    <w:rPr>
      <w:rFonts w:ascii="Times New Roman" w:hAnsi="Times New Roman" w:eastAsia="宋体" w:cs="Times New Roman"/>
      <w:lang w:val="en-US" w:eastAsia="zh-CN" w:bidi="ar-SA"/>
    </w:rPr>
  </w:style>
  <w:style w:type="paragraph" w:customStyle="1" w:styleId="413">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autoRedefine/>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autoRedefine/>
    <w:qFormat/>
    <w:uiPriority w:val="0"/>
  </w:style>
  <w:style w:type="paragraph" w:customStyle="1" w:styleId="419">
    <w:name w:val="xl3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autoRedefine/>
    <w:qFormat/>
    <w:uiPriority w:val="0"/>
    <w:pPr>
      <w:spacing w:before="120" w:after="120"/>
    </w:pPr>
    <w:rPr>
      <w:rFonts w:ascii="宋体"/>
      <w:b/>
      <w:sz w:val="28"/>
    </w:rPr>
  </w:style>
  <w:style w:type="paragraph" w:customStyle="1" w:styleId="422">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autoRedefine/>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autoRedefine/>
    <w:qFormat/>
    <w:uiPriority w:val="0"/>
    <w:pPr>
      <w:ind w:left="980" w:hanging="420"/>
    </w:pPr>
    <w:rPr>
      <w:sz w:val="24"/>
    </w:rPr>
  </w:style>
  <w:style w:type="paragraph" w:customStyle="1" w:styleId="426">
    <w:name w:val="xl47"/>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autoRedefine/>
    <w:qFormat/>
    <w:uiPriority w:val="0"/>
    <w:pPr>
      <w:ind w:firstLine="480" w:firstLineChars="200"/>
    </w:pPr>
    <w:rPr>
      <w:rFonts w:cs="宋体"/>
      <w:szCs w:val="20"/>
    </w:rPr>
  </w:style>
  <w:style w:type="paragraph" w:customStyle="1" w:styleId="429">
    <w:name w:val="xl3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autoRedefine/>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autoRedefine/>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autoRedefine/>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autoRedefine/>
    <w:qFormat/>
    <w:uiPriority w:val="34"/>
    <w:rPr>
      <w:kern w:val="2"/>
      <w:sz w:val="21"/>
      <w:szCs w:val="24"/>
    </w:rPr>
  </w:style>
  <w:style w:type="paragraph" w:styleId="455">
    <w:name w:val="List Paragraph"/>
    <w:basedOn w:val="1"/>
    <w:link w:val="454"/>
    <w:autoRedefine/>
    <w:qFormat/>
    <w:uiPriority w:val="34"/>
    <w:pPr>
      <w:ind w:firstLine="420" w:firstLineChars="200"/>
    </w:pPr>
  </w:style>
  <w:style w:type="paragraph" w:customStyle="1" w:styleId="456">
    <w:name w:val="yiv1649619028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autoRedefine/>
    <w:qFormat/>
    <w:uiPriority w:val="0"/>
    <w:pPr>
      <w:spacing w:afterLines="20"/>
      <w:ind w:firstLine="1446" w:firstLineChars="200"/>
    </w:pPr>
    <w:rPr>
      <w:rFonts w:ascii="Calibri" w:hAnsi="Calibri"/>
      <w:sz w:val="24"/>
    </w:rPr>
  </w:style>
  <w:style w:type="character" w:customStyle="1" w:styleId="458">
    <w:name w:val="正文文本 3 Char"/>
    <w:basedOn w:val="52"/>
    <w:link w:val="20"/>
    <w:autoRedefine/>
    <w:qFormat/>
    <w:uiPriority w:val="0"/>
    <w:rPr>
      <w:kern w:val="2"/>
      <w:sz w:val="16"/>
      <w:szCs w:val="16"/>
    </w:rPr>
  </w:style>
  <w:style w:type="character" w:customStyle="1" w:styleId="459">
    <w:name w:val="content"/>
    <w:basedOn w:val="52"/>
    <w:autoRedefine/>
    <w:qFormat/>
    <w:uiPriority w:val="0"/>
  </w:style>
  <w:style w:type="character" w:customStyle="1" w:styleId="460">
    <w:name w:val="ca-3"/>
    <w:basedOn w:val="52"/>
    <w:autoRedefine/>
    <w:qFormat/>
    <w:uiPriority w:val="0"/>
  </w:style>
  <w:style w:type="character" w:customStyle="1" w:styleId="461">
    <w:name w:val="textcontents1"/>
    <w:autoRedefine/>
    <w:qFormat/>
    <w:uiPriority w:val="0"/>
    <w:rPr>
      <w:rFonts w:hint="default" w:ascii="ˎ̥" w:hAnsi="ˎ̥"/>
      <w:sz w:val="21"/>
      <w:szCs w:val="21"/>
    </w:rPr>
  </w:style>
  <w:style w:type="character" w:customStyle="1" w:styleId="462">
    <w:name w:val="脚注文本 Char1"/>
    <w:autoRedefine/>
    <w:qFormat/>
    <w:uiPriority w:val="0"/>
    <w:rPr>
      <w:kern w:val="2"/>
      <w:sz w:val="18"/>
      <w:szCs w:val="18"/>
    </w:rPr>
  </w:style>
  <w:style w:type="character" w:customStyle="1" w:styleId="463">
    <w:name w:val="脚注文本 Char"/>
    <w:link w:val="38"/>
    <w:autoRedefine/>
    <w:qFormat/>
    <w:uiPriority w:val="0"/>
    <w:rPr>
      <w:kern w:val="2"/>
      <w:sz w:val="18"/>
      <w:szCs w:val="18"/>
    </w:rPr>
  </w:style>
  <w:style w:type="character" w:customStyle="1" w:styleId="464">
    <w:name w:val="正文首行缩进（绿盟科技） Char"/>
    <w:link w:val="465"/>
    <w:autoRedefine/>
    <w:qFormat/>
    <w:uiPriority w:val="0"/>
    <w:rPr>
      <w:rFonts w:ascii="Arial" w:hAnsi="Arial"/>
      <w:szCs w:val="21"/>
    </w:rPr>
  </w:style>
  <w:style w:type="paragraph" w:customStyle="1" w:styleId="465">
    <w:name w:val="正文首行缩进（绿盟科技）"/>
    <w:basedOn w:val="1"/>
    <w:link w:val="464"/>
    <w:autoRedefine/>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autoRedefine/>
    <w:qFormat/>
    <w:uiPriority w:val="0"/>
  </w:style>
  <w:style w:type="character" w:customStyle="1" w:styleId="467">
    <w:name w:val="Char Char21"/>
    <w:autoRedefine/>
    <w:qFormat/>
    <w:uiPriority w:val="0"/>
    <w:rPr>
      <w:b/>
      <w:bCs/>
      <w:kern w:val="2"/>
      <w:sz w:val="32"/>
      <w:szCs w:val="32"/>
    </w:rPr>
  </w:style>
  <w:style w:type="character" w:customStyle="1" w:styleId="468">
    <w:name w:val="content1"/>
    <w:autoRedefine/>
    <w:qFormat/>
    <w:uiPriority w:val="0"/>
    <w:rPr>
      <w:rFonts w:hint="default" w:ascii="??" w:hAnsi="??"/>
      <w:sz w:val="16"/>
      <w:szCs w:val="16"/>
      <w:u w:val="none"/>
    </w:rPr>
  </w:style>
  <w:style w:type="character" w:customStyle="1" w:styleId="469">
    <w:name w:val="text21"/>
    <w:basedOn w:val="52"/>
    <w:autoRedefine/>
    <w:qFormat/>
    <w:uiPriority w:val="0"/>
  </w:style>
  <w:style w:type="character" w:customStyle="1" w:styleId="470">
    <w:name w:val="apple-style-span"/>
    <w:basedOn w:val="52"/>
    <w:autoRedefine/>
    <w:qFormat/>
    <w:uiPriority w:val="0"/>
  </w:style>
  <w:style w:type="paragraph" w:customStyle="1" w:styleId="471">
    <w:name w:val="缺省文本"/>
    <w:basedOn w:val="1"/>
    <w:autoRedefine/>
    <w:qFormat/>
    <w:uiPriority w:val="0"/>
    <w:pPr>
      <w:autoSpaceDE w:val="0"/>
      <w:autoSpaceDN w:val="0"/>
      <w:adjustRightInd w:val="0"/>
      <w:jc w:val="left"/>
    </w:pPr>
    <w:rPr>
      <w:kern w:val="0"/>
      <w:sz w:val="24"/>
    </w:rPr>
  </w:style>
  <w:style w:type="paragraph" w:customStyle="1" w:styleId="472">
    <w:name w:val="xl62"/>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autoRedefine/>
    <w:qFormat/>
    <w:uiPriority w:val="0"/>
    <w:rPr>
      <w:rFonts w:ascii="宋体" w:hAnsi="Courier New"/>
      <w:szCs w:val="20"/>
    </w:rPr>
  </w:style>
  <w:style w:type="paragraph" w:customStyle="1" w:styleId="474">
    <w:name w:val="xl5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autoRedefine/>
    <w:qFormat/>
    <w:uiPriority w:val="0"/>
    <w:pPr>
      <w:widowControl/>
      <w:spacing w:after="160" w:line="240" w:lineRule="exact"/>
      <w:jc w:val="left"/>
    </w:pPr>
  </w:style>
  <w:style w:type="paragraph" w:customStyle="1" w:styleId="476">
    <w:name w:val="USE 1"/>
    <w:basedOn w:val="1"/>
    <w:autoRedefine/>
    <w:qFormat/>
    <w:uiPriority w:val="0"/>
    <w:pPr>
      <w:spacing w:line="200" w:lineRule="atLeast"/>
      <w:jc w:val="left"/>
    </w:pPr>
    <w:rPr>
      <w:rFonts w:ascii="宋体" w:hAnsi="宋体"/>
      <w:b/>
      <w:sz w:val="24"/>
      <w:szCs w:val="28"/>
    </w:rPr>
  </w:style>
  <w:style w:type="paragraph" w:customStyle="1" w:styleId="477">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autoRedefine/>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autoRedefine/>
    <w:qFormat/>
    <w:uiPriority w:val="0"/>
    <w:rPr>
      <w:rFonts w:ascii="宋体" w:hAnsi="Courier New"/>
      <w:szCs w:val="20"/>
    </w:rPr>
  </w:style>
  <w:style w:type="character" w:customStyle="1" w:styleId="481">
    <w:name w:val="脚注文本 Char2"/>
    <w:basedOn w:val="52"/>
    <w:link w:val="38"/>
    <w:autoRedefine/>
    <w:semiHidden/>
    <w:qFormat/>
    <w:uiPriority w:val="0"/>
    <w:rPr>
      <w:kern w:val="2"/>
      <w:sz w:val="18"/>
      <w:szCs w:val="18"/>
    </w:rPr>
  </w:style>
  <w:style w:type="paragraph" w:customStyle="1" w:styleId="482">
    <w:name w:val="_Style 56"/>
    <w:basedOn w:val="1"/>
    <w:next w:val="26"/>
    <w:autoRedefine/>
    <w:qFormat/>
    <w:uiPriority w:val="0"/>
    <w:rPr>
      <w:rFonts w:ascii="宋体" w:hAnsi="Courier New"/>
      <w:szCs w:val="20"/>
    </w:rPr>
  </w:style>
  <w:style w:type="paragraph" w:customStyle="1" w:styleId="483">
    <w:name w:val="Char Char Char Char2"/>
    <w:basedOn w:val="1"/>
    <w:autoRedefine/>
    <w:qFormat/>
    <w:uiPriority w:val="0"/>
    <w:pPr>
      <w:widowControl/>
      <w:spacing w:after="160" w:line="240" w:lineRule="exact"/>
      <w:jc w:val="center"/>
    </w:pPr>
  </w:style>
  <w:style w:type="paragraph" w:customStyle="1" w:styleId="484">
    <w:name w:val="font10"/>
    <w:basedOn w:val="1"/>
    <w:autoRedefine/>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autoRedefine/>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autoRedefine/>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autoRedefine/>
    <w:qFormat/>
    <w:uiPriority w:val="0"/>
    <w:pPr>
      <w:widowControl/>
      <w:spacing w:after="160" w:line="240" w:lineRule="exact"/>
      <w:jc w:val="left"/>
    </w:pPr>
  </w:style>
  <w:style w:type="paragraph" w:customStyle="1" w:styleId="490">
    <w:name w:val="_Style 50"/>
    <w:basedOn w:val="1"/>
    <w:next w:val="29"/>
    <w:autoRedefine/>
    <w:qFormat/>
    <w:uiPriority w:val="0"/>
    <w:pPr>
      <w:adjustRightInd w:val="0"/>
      <w:snapToGrid w:val="0"/>
      <w:spacing w:line="300" w:lineRule="auto"/>
      <w:ind w:firstLine="630" w:firstLineChars="300"/>
    </w:pPr>
    <w:rPr>
      <w:snapToGrid w:val="0"/>
      <w:kern w:val="0"/>
    </w:rPr>
  </w:style>
  <w:style w:type="paragraph" w:customStyle="1" w:styleId="491">
    <w:name w:val="修订2"/>
    <w:autoRedefine/>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autoRedefine/>
    <w:qFormat/>
    <w:uiPriority w:val="0"/>
    <w:rPr>
      <w:rFonts w:ascii="宋体" w:hAnsi="Courier New"/>
      <w:szCs w:val="20"/>
    </w:rPr>
  </w:style>
  <w:style w:type="paragraph" w:customStyle="1" w:styleId="495">
    <w:name w:val="Char Char Char"/>
    <w:basedOn w:val="1"/>
    <w:autoRedefine/>
    <w:qFormat/>
    <w:uiPriority w:val="0"/>
    <w:rPr>
      <w:szCs w:val="20"/>
    </w:rPr>
  </w:style>
  <w:style w:type="paragraph" w:customStyle="1" w:styleId="496">
    <w:name w:val="Char2"/>
    <w:basedOn w:val="1"/>
    <w:autoRedefine/>
    <w:qFormat/>
    <w:uiPriority w:val="0"/>
    <w:rPr>
      <w:rFonts w:ascii="Tahoma" w:hAnsi="Tahoma"/>
      <w:sz w:val="24"/>
      <w:szCs w:val="20"/>
    </w:rPr>
  </w:style>
  <w:style w:type="paragraph" w:customStyle="1" w:styleId="497">
    <w:name w:val="xl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autoRedefine/>
    <w:qFormat/>
    <w:uiPriority w:val="0"/>
    <w:rPr>
      <w:rFonts w:ascii="宋体" w:hAnsi="Courier New"/>
      <w:szCs w:val="20"/>
    </w:rPr>
  </w:style>
  <w:style w:type="paragraph" w:customStyle="1" w:styleId="501">
    <w:name w:val="2"/>
    <w:basedOn w:val="1"/>
    <w:next w:val="45"/>
    <w:autoRedefine/>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autoRedefine/>
    <w:qFormat/>
    <w:uiPriority w:val="0"/>
    <w:pPr>
      <w:adjustRightInd w:val="0"/>
      <w:snapToGrid w:val="0"/>
      <w:spacing w:line="300" w:lineRule="auto"/>
      <w:ind w:firstLine="630" w:firstLineChars="300"/>
    </w:pPr>
    <w:rPr>
      <w:snapToGrid w:val="0"/>
      <w:kern w:val="0"/>
    </w:rPr>
  </w:style>
  <w:style w:type="paragraph" w:customStyle="1" w:styleId="503">
    <w:name w:val="xl5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Ｒ07-正!!文 Char Char"/>
    <w:link w:val="506"/>
    <w:autoRedefine/>
    <w:qFormat/>
    <w:uiPriority w:val="0"/>
    <w:rPr>
      <w:rFonts w:ascii="宋体" w:hAnsi="宋体" w:cs="宋体"/>
      <w:snapToGrid w:val="0"/>
      <w:spacing w:val="4"/>
      <w:kern w:val="2"/>
      <w:sz w:val="24"/>
      <w:szCs w:val="24"/>
    </w:rPr>
  </w:style>
  <w:style w:type="paragraph" w:customStyle="1" w:styleId="506">
    <w:name w:val="Ｒ07-正!!文"/>
    <w:link w:val="505"/>
    <w:autoRedefine/>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autoRedefine/>
    <w:qFormat/>
    <w:uiPriority w:val="0"/>
    <w:rPr>
      <w:rFonts w:ascii="宋体" w:hAnsi="宋体" w:cs="宋体"/>
      <w:snapToGrid w:val="0"/>
      <w:spacing w:val="8"/>
      <w:kern w:val="2"/>
      <w:sz w:val="24"/>
      <w:szCs w:val="24"/>
    </w:rPr>
  </w:style>
  <w:style w:type="paragraph" w:customStyle="1" w:styleId="508">
    <w:name w:val="Ｒ07-!正!"/>
    <w:link w:val="507"/>
    <w:autoRedefine/>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9"/>
    <customShpInfo spid="_x0000_s3100"/>
    <customShpInfo spid="_x0000_s3098"/>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9BCC2-52E6-4BF5-A498-3ABED31EFC5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75</Pages>
  <Words>8203</Words>
  <Characters>46759</Characters>
  <Lines>389</Lines>
  <Paragraphs>109</Paragraphs>
  <TotalTime>1</TotalTime>
  <ScaleCrop>false</ScaleCrop>
  <LinksUpToDate>false</LinksUpToDate>
  <CharactersWithSpaces>54853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中正招标-李工</cp:lastModifiedBy>
  <cp:lastPrinted>2020-05-26T01:03:00Z</cp:lastPrinted>
  <dcterms:modified xsi:type="dcterms:W3CDTF">2024-03-18T08:14:14Z</dcterms:modified>
  <dc:title>招标编号：UHO2010-G0029</dc:title>
  <cp:revision>722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E7EFCA99BA2A42C1A83BB3F37221F387</vt:lpwstr>
  </property>
</Properties>
</file>