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4"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bfM1x1wAAAAgBAAAPAAAAAAAAAAEAIAAA&#10;ACIAAABkcnMvZG93bnJldi54bWxQSwECFAAUAAAACACHTuJACapl8w0CAABGBAAADgAAAAAAAAAB&#10;ACAAAAAmAQAAZHJzL2Uyb0RvYy54bWxQSwUGAAAAAAYABgBZAQAApQU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b/>
          <w:kern w:val="0"/>
          <w:sz w:val="28"/>
          <w:szCs w:val="28"/>
        </w:rPr>
        <w:drawing>
          <wp:inline distT="0" distB="0" distL="0" distR="0">
            <wp:extent cx="552450" cy="476250"/>
            <wp:effectExtent l="57150" t="19050" r="190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pStyle w:val="2"/>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bCs/>
          <w:snapToGrid w:val="0"/>
          <w:kern w:val="0"/>
          <w:sz w:val="70"/>
          <w:szCs w:val="70"/>
        </w:rPr>
      </w:pPr>
      <w:r>
        <w:rPr>
          <w:rFonts w:hint="eastAsia" w:asciiTheme="minorEastAsia" w:hAnsiTheme="minorEastAsia" w:eastAsiaTheme="minorEastAsia"/>
          <w:b/>
          <w:bCs/>
          <w:snapToGrid w:val="0"/>
          <w:kern w:val="0"/>
          <w:sz w:val="70"/>
          <w:szCs w:val="70"/>
        </w:rPr>
        <w:t>60岁以及上人群4价流感疫苗</w:t>
      </w: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Theme="minorEastAsia" w:hAnsiTheme="minorEastAsia" w:eastAsiaTheme="minorEastAsia"/>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项目编号：SZDL2023001249</w:t>
      </w:r>
    </w:p>
    <w:p>
      <w:pPr>
        <w:adjustRightInd w:val="0"/>
        <w:snapToGrid w:val="0"/>
        <w:spacing w:line="300" w:lineRule="auto"/>
        <w:jc w:val="center"/>
        <w:rPr>
          <w:rFonts w:asciiTheme="minorEastAsia" w:hAnsiTheme="minorEastAsia" w:eastAsiaTheme="minorEastAsia"/>
          <w:b/>
          <w:snapToGrid w:val="0"/>
          <w:kern w:val="0"/>
          <w:sz w:val="18"/>
          <w:szCs w:val="18"/>
        </w:rPr>
      </w:pPr>
    </w:p>
    <w:p>
      <w:pPr>
        <w:adjustRightInd w:val="0"/>
        <w:snapToGrid w:val="0"/>
        <w:spacing w:line="300" w:lineRule="auto"/>
        <w:jc w:val="center"/>
        <w:rPr>
          <w:rFonts w:asciiTheme="minorEastAsia" w:hAnsiTheme="minorEastAsia" w:eastAsiaTheme="minorEastAsia"/>
          <w:b/>
          <w:snapToGrid w:val="0"/>
          <w:kern w:val="0"/>
          <w:sz w:val="44"/>
        </w:rPr>
      </w:pPr>
    </w:p>
    <w:p>
      <w:pPr>
        <w:adjustRightInd w:val="0"/>
        <w:snapToGrid w:val="0"/>
        <w:spacing w:line="300" w:lineRule="auto"/>
        <w:jc w:val="center"/>
        <w:rPr>
          <w:rFonts w:asciiTheme="minorEastAsia" w:hAnsiTheme="minorEastAsia" w:eastAsiaTheme="minorEastAsia"/>
          <w:b/>
          <w:snapToGrid w:val="0"/>
          <w:kern w:val="0"/>
          <w:sz w:val="44"/>
        </w:rPr>
      </w:pPr>
      <w:r>
        <w:rPr>
          <w:rFonts w:asciiTheme="minorEastAsia" w:hAnsiTheme="minorEastAsia" w:eastAsiaTheme="minorEastAsia"/>
          <w:b/>
          <w:snapToGrid w:val="0"/>
          <w:kern w:val="0"/>
          <w:sz w:val="44"/>
        </w:rPr>
        <w:t xml:space="preserve"> </w:t>
      </w:r>
    </w:p>
    <w:p>
      <w:pPr>
        <w:pStyle w:val="25"/>
        <w:adjustRightInd w:val="0"/>
        <w:snapToGrid w:val="0"/>
        <w:spacing w:line="300" w:lineRule="auto"/>
        <w:jc w:val="center"/>
        <w:rPr>
          <w:rFonts w:asciiTheme="minorEastAsia" w:hAnsiTheme="minorEastAsia" w:eastAsiaTheme="minorEastAsia"/>
          <w:b/>
          <w:snapToGrid w:val="0"/>
          <w:sz w:val="30"/>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5"/>
        <w:adjustRightInd w:val="0"/>
        <w:snapToGrid w:val="0"/>
        <w:spacing w:line="300" w:lineRule="auto"/>
        <w:jc w:val="center"/>
        <w:rPr>
          <w:sz w:val="40"/>
          <w:szCs w:val="40"/>
        </w:rPr>
      </w:pPr>
      <w:r>
        <w:rPr>
          <w:rFonts w:hint="eastAsia" w:asciiTheme="minorEastAsia" w:hAnsiTheme="minorEastAsia" w:eastAsiaTheme="minorEastAsia"/>
          <w:b/>
          <w:snapToGrid w:val="0"/>
          <w:sz w:val="30"/>
        </w:rPr>
        <w:t>二〇二三年六月</w:t>
      </w:r>
      <w:r>
        <w:rPr>
          <w:sz w:val="40"/>
          <w:szCs w:val="40"/>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仿宋" w:hAnsi="仿宋" w:eastAsia="仿宋"/>
          <w:sz w:val="24"/>
        </w:rPr>
      </w:pP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一、《深圳经济特区政府采购条例》第五十七条</w:t>
      </w:r>
      <w:r>
        <w:rPr>
          <w:rFonts w:asciiTheme="minorEastAsia" w:hAnsiTheme="minorEastAsia" w:eastAsiaTheme="minorEastAsia"/>
          <w:szCs w:val="21"/>
        </w:rPr>
        <w:t xml:space="preserve"> </w:t>
      </w:r>
      <w:r>
        <w:rPr>
          <w:rFonts w:hint="eastAsia" w:asciiTheme="minorEastAsia" w:hAnsiTheme="minorEastAsia" w:eastAsiaTheme="minorEastAsia"/>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（一）在采购活动中应当回避而未回避的；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（二）未按本条例规定签订、履行采购合同，造成严重后果的；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（三）隐瞒真实情况，提供虚假资料的；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（四）以非法手段排斥其他供应商参与竞争的；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（五）与其他采购参加人串通投标的；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（六）恶意投诉的；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（七）向采购项目相关人行贿或者提供其他不当利益的；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（八）阻碍、抗拒主管部门监督检查的；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（九）其他违反本条例规定的行为。</w:t>
      </w:r>
    </w:p>
    <w:p>
      <w:pPr>
        <w:spacing w:line="440" w:lineRule="exact"/>
        <w:ind w:firstLine="420" w:firstLineChars="200"/>
        <w:rPr>
          <w:rFonts w:asciiTheme="minorEastAsia" w:hAnsiTheme="minorEastAsia" w:eastAsiaTheme="minorEastAsia"/>
          <w:szCs w:val="21"/>
        </w:rPr>
      </w:pP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二、《深圳经济特区政府采购条例实施细则》第七十六条 供应商有下列行为之一的，由主管部门记入供应商诚信档案并作出以下处罚：</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第七十九条 供应商有下列情形的，属于采购条例所称的串通投标行为，按照采购条例第五十七条有关规定处理：</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（一）投标供应商之间相互约定给予未中标的供应商利益补偿；</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（三）不同投标供应商的投标文件由同一单位或者同一人编制，或者由同一人分阶段参与编制的；</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（四）不同投标供应商的投标文件或部分投标文件相互混装；</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（五）不同投标供应商的投标文件内容存在非正常一致；</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（六）由同一单位工作人员为两家以上（含两家）供应商进行同一项投标活动的；</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（七）主管部门依照法律、法规认定的其他情形。</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第八十一条 供应商有下列情形之一的，属于隐瞒真实情况，提供虚假资料，按照采购条例第五十七的有关规定处理：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（二）由其他单位或者其他单位负责人在投标供应商编制的投标文件上加盖印章或者签字的；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（四）投标保证金不是从投标供应商基本账户转出的；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440" w:lineRule="exact"/>
        <w:ind w:firstLine="371" w:firstLineChars="177"/>
        <w:rPr>
          <w:rFonts w:asciiTheme="minorEastAsia" w:hAnsiTheme="minorEastAsia" w:eastAsiaTheme="minorEastAsia"/>
          <w:szCs w:val="21"/>
        </w:rPr>
      </w:pPr>
      <w:r>
        <w:rPr>
          <w:rFonts w:hint="eastAsia" w:asciiTheme="minorEastAsia" w:hAnsiTheme="minorEastAsia" w:eastAsiaTheme="minorEastAsia"/>
          <w:szCs w:val="21"/>
        </w:rPr>
        <w:t>投标供应商不能提供项目负责人或者主要技术人员的劳动合同、社会保险等劳动关系证明材料的，视为存在前款第（三）项规定的情形。</w:t>
      </w:r>
    </w:p>
    <w:p>
      <w:pPr>
        <w:spacing w:line="440" w:lineRule="exact"/>
        <w:ind w:firstLine="373" w:firstLineChars="177"/>
        <w:rPr>
          <w:rFonts w:asciiTheme="minorEastAsia" w:hAnsiTheme="minorEastAsia" w:eastAsiaTheme="minorEastAsia"/>
          <w:b/>
          <w:color w:val="FF0000"/>
          <w:szCs w:val="21"/>
        </w:rPr>
      </w:pPr>
    </w:p>
    <w:p>
      <w:pPr>
        <w:spacing w:line="440" w:lineRule="exact"/>
        <w:ind w:firstLine="373" w:firstLineChars="177"/>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373" w:firstLineChars="177"/>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投标供应商涉嫌存在串通投标等违法行为的，将书面报告财政主管部门依法处理。</w:t>
      </w:r>
    </w:p>
    <w:p>
      <w:pPr>
        <w:pStyle w:val="37"/>
        <w:spacing w:after="1134"/>
        <w:jc w:val="center"/>
        <w:outlineLvl w:val="1"/>
        <w:rPr>
          <w:sz w:val="40"/>
          <w:szCs w:val="40"/>
        </w:rPr>
      </w:pPr>
    </w:p>
    <w:p>
      <w:pPr>
        <w:pStyle w:val="37"/>
        <w:widowControl/>
        <w:spacing w:before="454" w:after="454"/>
        <w:ind w:left="629" w:right="454" w:hanging="524"/>
        <w:jc w:val="center"/>
        <w:outlineLvl w:val="0"/>
        <w:rPr>
          <w:sz w:val="40"/>
          <w:szCs w:val="40"/>
        </w:rPr>
      </w:pPr>
      <w:r>
        <w:rPr>
          <w:rFonts w:hint="eastAsia"/>
          <w:sz w:val="40"/>
          <w:szCs w:val="40"/>
        </w:rPr>
        <w:t>60岁以及上人群4价流感疫苗</w:t>
      </w:r>
    </w:p>
    <w:p>
      <w:pPr>
        <w:pStyle w:val="37"/>
        <w:spacing w:after="480"/>
        <w:jc w:val="center"/>
        <w:outlineLvl w:val="1"/>
        <w:rPr>
          <w:rFonts w:ascii="黑体" w:hAnsi="黑体" w:eastAsia="黑体"/>
          <w:sz w:val="40"/>
          <w:szCs w:val="40"/>
        </w:rPr>
      </w:pPr>
      <w:r>
        <w:rPr>
          <w:rFonts w:hint="eastAsia" w:ascii="黑体" w:hAnsi="黑体" w:eastAsia="黑体"/>
          <w:sz w:val="40"/>
          <w:szCs w:val="40"/>
        </w:rPr>
        <w:t>招标文件信息</w:t>
      </w:r>
    </w:p>
    <w:tbl>
      <w:tblPr>
        <w:tblStyle w:val="42"/>
        <w:tblW w:w="7938" w:type="dxa"/>
        <w:jc w:val="center"/>
        <w:tblCellSpacing w:w="0" w:type="dxa"/>
        <w:tblLayout w:type="fixed"/>
        <w:tblCellMar>
          <w:top w:w="45" w:type="dxa"/>
          <w:left w:w="45" w:type="dxa"/>
          <w:bottom w:w="45" w:type="dxa"/>
          <w:right w:w="45" w:type="dxa"/>
        </w:tblCellMar>
      </w:tblPr>
      <w:tblGrid>
        <w:gridCol w:w="2722"/>
        <w:gridCol w:w="5216"/>
      </w:tblGrid>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asciiTheme="minorEastAsia" w:hAnsiTheme="minorEastAsia" w:eastAsiaTheme="minorEastAsia"/>
                <w:sz w:val="30"/>
                <w:szCs w:val="30"/>
              </w:rPr>
            </w:pPr>
            <w:r>
              <w:rPr>
                <w:rFonts w:asciiTheme="minorEastAsia" w:hAnsiTheme="minorEastAsia" w:eastAsiaTheme="minorEastAsia"/>
                <w:sz w:val="30"/>
                <w:szCs w:val="30"/>
              </w:rPr>
              <w:t>项目编号：</w:t>
            </w:r>
          </w:p>
        </w:tc>
        <w:tc>
          <w:tcPr>
            <w:tcW w:w="5216" w:type="dxa"/>
            <w:vAlign w:val="center"/>
          </w:tcPr>
          <w:p>
            <w:pPr>
              <w:jc w:val="left"/>
              <w:rPr>
                <w:rFonts w:asciiTheme="minorEastAsia" w:hAnsiTheme="minorEastAsia" w:eastAsiaTheme="minorEastAsia"/>
                <w:sz w:val="30"/>
                <w:szCs w:val="30"/>
              </w:rPr>
            </w:pPr>
            <w:r>
              <w:rPr>
                <w:rFonts w:asciiTheme="minorEastAsia" w:hAnsiTheme="minorEastAsia" w:eastAsiaTheme="minorEastAsia"/>
                <w:sz w:val="30"/>
                <w:szCs w:val="30"/>
              </w:rPr>
              <w:t>SZDL2023001249</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asciiTheme="minorEastAsia" w:hAnsiTheme="minorEastAsia" w:eastAsiaTheme="minorEastAsia"/>
                <w:sz w:val="30"/>
                <w:szCs w:val="30"/>
              </w:rPr>
            </w:pPr>
            <w:r>
              <w:rPr>
                <w:rFonts w:asciiTheme="minorEastAsia" w:hAnsiTheme="minorEastAsia" w:eastAsiaTheme="minorEastAsia"/>
                <w:sz w:val="30"/>
                <w:szCs w:val="30"/>
              </w:rPr>
              <w:t>项目名称：</w:t>
            </w:r>
          </w:p>
        </w:tc>
        <w:tc>
          <w:tcPr>
            <w:tcW w:w="5216" w:type="dxa"/>
            <w:vAlign w:val="center"/>
          </w:tcPr>
          <w:p>
            <w:pPr>
              <w:jc w:val="left"/>
              <w:rPr>
                <w:rFonts w:asciiTheme="minorEastAsia" w:hAnsiTheme="minorEastAsia" w:eastAsiaTheme="minorEastAsia"/>
                <w:sz w:val="30"/>
                <w:szCs w:val="30"/>
              </w:rPr>
            </w:pPr>
            <w:r>
              <w:rPr>
                <w:rFonts w:hint="eastAsia" w:asciiTheme="minorEastAsia" w:hAnsiTheme="minorEastAsia" w:eastAsiaTheme="minorEastAsia"/>
                <w:sz w:val="30"/>
                <w:szCs w:val="30"/>
              </w:rPr>
              <w:t>60岁以及上人群4价流感疫苗</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asciiTheme="minorEastAsia" w:hAnsiTheme="minorEastAsia" w:eastAsiaTheme="minorEastAsia"/>
                <w:sz w:val="30"/>
                <w:szCs w:val="30"/>
              </w:rPr>
            </w:pPr>
            <w:r>
              <w:rPr>
                <w:rFonts w:asciiTheme="minorEastAsia" w:hAnsiTheme="minorEastAsia" w:eastAsiaTheme="minorEastAsia"/>
                <w:sz w:val="30"/>
                <w:szCs w:val="30"/>
              </w:rPr>
              <w:t>包 号：</w:t>
            </w:r>
          </w:p>
        </w:tc>
        <w:tc>
          <w:tcPr>
            <w:tcW w:w="5216" w:type="dxa"/>
            <w:vAlign w:val="center"/>
          </w:tcPr>
          <w:p>
            <w:pPr>
              <w:jc w:val="left"/>
              <w:rPr>
                <w:rFonts w:asciiTheme="minorEastAsia" w:hAnsiTheme="minorEastAsia" w:eastAsiaTheme="minorEastAsia"/>
                <w:sz w:val="30"/>
                <w:szCs w:val="30"/>
              </w:rPr>
            </w:pPr>
            <w:r>
              <w:rPr>
                <w:rFonts w:asciiTheme="minorEastAsia" w:hAnsiTheme="minorEastAsia" w:eastAsiaTheme="minorEastAsia"/>
                <w:sz w:val="30"/>
                <w:szCs w:val="30"/>
              </w:rPr>
              <w:t>A</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sz w:val="30"/>
                <w:szCs w:val="30"/>
              </w:rPr>
            </w:pPr>
            <w:r>
              <w:rPr>
                <w:sz w:val="30"/>
                <w:szCs w:val="30"/>
              </w:rPr>
              <w:t>项目类型：</w:t>
            </w:r>
          </w:p>
        </w:tc>
        <w:tc>
          <w:tcPr>
            <w:tcW w:w="5216" w:type="dxa"/>
            <w:vAlign w:val="center"/>
          </w:tcPr>
          <w:p>
            <w:pPr>
              <w:jc w:val="left"/>
              <w:rPr>
                <w:sz w:val="30"/>
                <w:szCs w:val="30"/>
              </w:rPr>
            </w:pPr>
            <w:r>
              <w:rPr>
                <w:sz w:val="30"/>
                <w:szCs w:val="30"/>
              </w:rPr>
              <w:t>货物类</w:t>
            </w:r>
          </w:p>
        </w:tc>
      </w:tr>
      <w:tr>
        <w:trPr>
          <w:trHeight w:val="737" w:hRule="atLeast"/>
          <w:tblCellSpacing w:w="0" w:type="dxa"/>
          <w:jc w:val="center"/>
        </w:trPr>
        <w:tc>
          <w:tcPr>
            <w:tcW w:w="2722" w:type="dxa"/>
            <w:vAlign w:val="center"/>
          </w:tcPr>
          <w:p>
            <w:pPr>
              <w:jc w:val="right"/>
              <w:rPr>
                <w:sz w:val="30"/>
                <w:szCs w:val="30"/>
              </w:rPr>
            </w:pPr>
            <w:r>
              <w:rPr>
                <w:sz w:val="30"/>
                <w:szCs w:val="30"/>
              </w:rPr>
              <w:t>采购方式：</w:t>
            </w:r>
          </w:p>
        </w:tc>
        <w:tc>
          <w:tcPr>
            <w:tcW w:w="5216" w:type="dxa"/>
            <w:vAlign w:val="center"/>
          </w:tcPr>
          <w:p>
            <w:pPr>
              <w:jc w:val="left"/>
              <w:rPr>
                <w:sz w:val="30"/>
                <w:szCs w:val="30"/>
              </w:rPr>
            </w:pPr>
            <w:r>
              <w:rPr>
                <w:sz w:val="30"/>
                <w:szCs w:val="30"/>
              </w:rPr>
              <w:t>公开招标</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sz w:val="30"/>
                <w:szCs w:val="30"/>
              </w:rPr>
            </w:pPr>
            <w:r>
              <w:rPr>
                <w:sz w:val="30"/>
                <w:szCs w:val="30"/>
              </w:rPr>
              <w:t>货币类型：</w:t>
            </w:r>
          </w:p>
        </w:tc>
        <w:tc>
          <w:tcPr>
            <w:tcW w:w="5216" w:type="dxa"/>
            <w:vAlign w:val="center"/>
          </w:tcPr>
          <w:p>
            <w:pPr>
              <w:jc w:val="left"/>
              <w:rPr>
                <w:sz w:val="30"/>
                <w:szCs w:val="30"/>
              </w:rPr>
            </w:pPr>
            <w:r>
              <w:rPr>
                <w:sz w:val="30"/>
                <w:szCs w:val="30"/>
              </w:rPr>
              <w:t>人民币</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sz w:val="30"/>
                <w:szCs w:val="30"/>
              </w:rPr>
            </w:pPr>
            <w:r>
              <w:rPr>
                <w:sz w:val="30"/>
                <w:szCs w:val="30"/>
              </w:rPr>
              <w:t>评标方法：</w:t>
            </w:r>
          </w:p>
        </w:tc>
        <w:tc>
          <w:tcPr>
            <w:tcW w:w="5216" w:type="dxa"/>
            <w:vAlign w:val="center"/>
          </w:tcPr>
          <w:p>
            <w:pPr>
              <w:jc w:val="left"/>
              <w:rPr>
                <w:sz w:val="30"/>
                <w:szCs w:val="30"/>
              </w:rPr>
            </w:pPr>
            <w:r>
              <w:rPr>
                <w:sz w:val="30"/>
                <w:szCs w:val="30"/>
              </w:rPr>
              <w:t>综合评分法（新价格分算法）</w:t>
            </w:r>
          </w:p>
        </w:tc>
      </w:tr>
    </w:tbl>
    <w:p>
      <w:pPr>
        <w:pStyle w:val="37"/>
        <w:spacing w:after="156" w:afterLines="50"/>
        <w:jc w:val="center"/>
        <w:outlineLvl w:val="1"/>
        <w:rPr>
          <w:rFonts w:ascii="黑体" w:hAnsi="黑体" w:eastAsia="黑体"/>
          <w:sz w:val="40"/>
          <w:szCs w:val="40"/>
        </w:rPr>
      </w:pPr>
      <w:r>
        <w:rPr>
          <w:rFonts w:hint="eastAsia" w:ascii="黑体" w:hAnsi="黑体" w:eastAsia="黑体"/>
          <w:sz w:val="40"/>
          <w:szCs w:val="40"/>
        </w:rPr>
        <w:t>资格性审查表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13" w:hRule="atLeast"/>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sz w:val="28"/>
                <w:szCs w:val="28"/>
              </w:rPr>
            </w:pPr>
            <w:r>
              <w:rPr>
                <w:sz w:val="28"/>
                <w:szCs w:val="28"/>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szCs w:val="21"/>
              </w:rPr>
            </w:pPr>
            <w:r>
              <w:rPr>
                <w:szCs w:val="21"/>
              </w:rPr>
              <w:t>1</w:t>
            </w:r>
          </w:p>
        </w:tc>
        <w:tc>
          <w:tcPr>
            <w:tcW w:w="8278" w:type="dxa"/>
            <w:tcBorders>
              <w:top w:val="single" w:color="000000" w:sz="8" w:space="0"/>
              <w:left w:val="single" w:color="000000" w:sz="8" w:space="0"/>
              <w:bottom w:val="single" w:color="000000" w:sz="8" w:space="0"/>
              <w:right w:val="single" w:color="000000" w:sz="8" w:space="0"/>
            </w:tcBorders>
          </w:tcPr>
          <w:p>
            <w:pPr>
              <w:jc w:val="left"/>
              <w:rPr>
                <w:szCs w:val="21"/>
              </w:rPr>
            </w:pPr>
            <w:r>
              <w:rPr>
                <w:szCs w:val="21"/>
              </w:rPr>
              <w:t>投标人具备招标文件所列的资格要求，且提交相应的资格证明资料（详见招标公告申请人的资格要求）</w:t>
            </w:r>
          </w:p>
        </w:tc>
      </w:tr>
    </w:tbl>
    <w:p>
      <w:pPr>
        <w:pStyle w:val="37"/>
        <w:spacing w:before="280" w:after="156" w:afterLines="50"/>
        <w:jc w:val="center"/>
        <w:outlineLvl w:val="1"/>
        <w:rPr>
          <w:rFonts w:ascii="黑体" w:hAnsi="黑体" w:eastAsia="黑体"/>
          <w:sz w:val="40"/>
          <w:szCs w:val="40"/>
        </w:rPr>
      </w:pPr>
      <w:r>
        <w:rPr>
          <w:rFonts w:hint="eastAsia" w:ascii="黑体" w:hAnsi="黑体" w:eastAsia="黑体"/>
          <w:sz w:val="40"/>
          <w:szCs w:val="40"/>
        </w:rPr>
        <w:t>符合性审查表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1</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szCs w:val="21"/>
              </w:rPr>
              <w:t>未</w:t>
            </w:r>
            <w:r>
              <w:rPr>
                <w:szCs w:val="21"/>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2</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对同一项目投标时，</w:t>
            </w:r>
            <w:r>
              <w:rPr>
                <w:rFonts w:hint="eastAsia"/>
                <w:szCs w:val="21"/>
              </w:rPr>
              <w:t>未</w:t>
            </w:r>
            <w:r>
              <w:rPr>
                <w:szCs w:val="21"/>
              </w:rPr>
              <w:t>提供两套</w:t>
            </w:r>
            <w:r>
              <w:rPr>
                <w:rFonts w:hint="eastAsia"/>
                <w:szCs w:val="21"/>
              </w:rPr>
              <w:t>及</w:t>
            </w:r>
            <w:r>
              <w:rPr>
                <w:szCs w:val="21"/>
              </w:rPr>
              <w:t>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3</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分项报价或投标总价</w:t>
            </w:r>
            <w:r>
              <w:rPr>
                <w:rFonts w:hint="eastAsia"/>
                <w:szCs w:val="21"/>
              </w:rPr>
              <w:t>未超过</w:t>
            </w:r>
            <w:r>
              <w:rPr>
                <w:szCs w:val="21"/>
              </w:rPr>
              <w:t>预算金额（最高投标限价）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4</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szCs w:val="21"/>
              </w:rPr>
              <w:t>如评标委员会认为投标人的报价明显低于其他通过符合性审查投标人的报价，有可能影响产品质量或者不能诚信履约的，应当要求其在评标现场合理的时间内提供书面说明，必要时提交相关证明材料；投标人应证明其报价合理性（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5</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投标报价</w:t>
            </w:r>
            <w:r>
              <w:rPr>
                <w:rFonts w:hint="eastAsia"/>
                <w:szCs w:val="21"/>
              </w:rPr>
              <w:t>无</w:t>
            </w:r>
            <w:r>
              <w:rPr>
                <w:szCs w:val="21"/>
              </w:rPr>
              <w:t>严重缺漏项目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szCs w:val="21"/>
              </w:rPr>
              <w:t>6</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所投产品、工程、服务在商务、技术等方面实质性满足招标文件要求（是否实质性满足招标文件要求，由评标委员会根据《</w:t>
            </w:r>
            <w:r>
              <w:rPr>
                <w:rFonts w:hint="eastAsia"/>
                <w:szCs w:val="21"/>
              </w:rPr>
              <w:t>实质性条款响应情况表</w:t>
            </w:r>
            <w:r>
              <w:rPr>
                <w:szCs w:val="21"/>
              </w:rPr>
              <w:t>》做出评判）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szCs w:val="21"/>
              </w:rPr>
              <w:t>7</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按招标文件所提供的样式填写《投标函》；按招标文件所提供的《政府采购投标及履约承诺函》进行承诺；</w:t>
            </w:r>
            <w:r>
              <w:rPr>
                <w:rFonts w:hint="eastAsia"/>
                <w:szCs w:val="21"/>
              </w:rPr>
              <w:t>并</w:t>
            </w:r>
            <w:r>
              <w:rPr>
                <w:szCs w:val="21"/>
              </w:rPr>
              <w:t>按招标文件对投标文件组成的要求提供投标文件（投标文件组成完整）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szCs w:val="21"/>
              </w:rPr>
              <w:t>8</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szCs w:val="21"/>
              </w:rPr>
              <w:t>投标文件不存在列放位置错误，导致属于信息公开内容没有被公开的情形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szCs w:val="21"/>
              </w:rPr>
              <w:t>9</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投标文件</w:t>
            </w:r>
            <w:r>
              <w:rPr>
                <w:rFonts w:hint="eastAsia"/>
                <w:szCs w:val="21"/>
              </w:rPr>
              <w:t>不存在</w:t>
            </w:r>
            <w:r>
              <w:rPr>
                <w:szCs w:val="21"/>
              </w:rPr>
              <w:t>电子文档带病毒</w:t>
            </w:r>
            <w:r>
              <w:rPr>
                <w:rFonts w:hint="eastAsia"/>
                <w:szCs w:val="21"/>
              </w:rPr>
              <w:t>或使</w:t>
            </w:r>
            <w:r>
              <w:rPr>
                <w:szCs w:val="21"/>
              </w:rPr>
              <w:t>用</w:t>
            </w:r>
            <w:r>
              <w:rPr>
                <w:rFonts w:hint="eastAsia"/>
                <w:szCs w:val="21"/>
              </w:rPr>
              <w:t>其他投标人</w:t>
            </w:r>
            <w:r>
              <w:rPr>
                <w:szCs w:val="21"/>
              </w:rPr>
              <w:t>的电子密钥进行加密</w:t>
            </w:r>
            <w:r>
              <w:rPr>
                <w:rFonts w:hint="eastAsia"/>
                <w:szCs w:val="21"/>
              </w:rPr>
              <w:t>的情形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1</w:t>
            </w:r>
            <w:r>
              <w:rPr>
                <w:rFonts w:hint="eastAsia"/>
                <w:szCs w:val="21"/>
              </w:rPr>
              <w:t>0</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rPr>
              <w:t>法律、法规、规章、规范性文件规定的其他情形</w:t>
            </w:r>
          </w:p>
        </w:tc>
      </w:tr>
    </w:tbl>
    <w:p>
      <w:pPr>
        <w:spacing w:line="324" w:lineRule="auto"/>
        <w:ind w:firstLine="420"/>
        <w:rPr>
          <w:b/>
          <w:color w:val="FF0000"/>
          <w:szCs w:val="21"/>
        </w:rPr>
      </w:pPr>
      <w:r>
        <w:rPr>
          <w:rFonts w:hint="eastAsia"/>
          <w:b/>
          <w:color w:val="FF0000"/>
          <w:szCs w:val="21"/>
        </w:rPr>
        <w:t>特别说明：</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1、投标人须在开标当日的开标时间至解密截止时间内完成投标文件在线解密，逾期未解密的作无效处理。</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2、投标人不符合《资格性审查表》或《符合性审查表》中任一情形的，初审不通过，投标无效。</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3、评标系统执行标书雷同性分析，包括分析文件制作机器码、文件创建标识码、IP地址是否一致，以及文本内容相似度分析，供评标委员会参考。</w:t>
      </w:r>
    </w:p>
    <w:p>
      <w:pPr>
        <w:pStyle w:val="37"/>
        <w:spacing w:line="324" w:lineRule="auto"/>
        <w:ind w:firstLine="420"/>
        <w:rPr>
          <w:b/>
          <w:sz w:val="21"/>
          <w:szCs w:val="21"/>
        </w:rPr>
      </w:pPr>
    </w:p>
    <w:p>
      <w:pPr>
        <w:pStyle w:val="37"/>
        <w:spacing w:before="156" w:beforeLines="50" w:after="156" w:afterLines="50"/>
        <w:jc w:val="center"/>
        <w:outlineLvl w:val="1"/>
        <w:rPr>
          <w:rFonts w:ascii="黑体" w:hAnsi="黑体" w:eastAsia="黑体"/>
          <w:sz w:val="40"/>
          <w:szCs w:val="40"/>
        </w:rPr>
      </w:pPr>
      <w:r>
        <w:rPr>
          <w:rFonts w:hint="eastAsia" w:ascii="黑体" w:hAnsi="黑体" w:eastAsia="黑体"/>
          <w:sz w:val="40"/>
          <w:szCs w:val="40"/>
        </w:rPr>
        <w:t>评标信息</w:t>
      </w:r>
    </w:p>
    <w:tbl>
      <w:tblPr>
        <w:tblStyle w:val="42"/>
        <w:tblW w:w="9072" w:type="dxa"/>
        <w:jc w:val="center"/>
        <w:tblCellSpacing w:w="0" w:type="dxa"/>
        <w:tblLayout w:type="fixed"/>
        <w:tblCellMar>
          <w:top w:w="45" w:type="dxa"/>
          <w:left w:w="45" w:type="dxa"/>
          <w:bottom w:w="45" w:type="dxa"/>
          <w:right w:w="45" w:type="dxa"/>
        </w:tblCellMar>
      </w:tblPr>
      <w:tblGrid>
        <w:gridCol w:w="8829"/>
        <w:gridCol w:w="243"/>
      </w:tblGrid>
      <w:tr>
        <w:tblPrEx>
          <w:tblCellMar>
            <w:top w:w="45" w:type="dxa"/>
            <w:left w:w="45" w:type="dxa"/>
            <w:bottom w:w="45" w:type="dxa"/>
            <w:right w:w="45" w:type="dxa"/>
          </w:tblCellMar>
        </w:tblPrEx>
        <w:trPr>
          <w:tblCellSpacing w:w="0" w:type="dxa"/>
          <w:jc w:val="center"/>
        </w:trPr>
        <w:tc>
          <w:tcPr>
            <w:tcW w:w="8829" w:type="dxa"/>
            <w:tcBorders>
              <w:top w:val="nil"/>
              <w:left w:val="nil"/>
              <w:bottom w:val="nil"/>
              <w:right w:val="nil"/>
            </w:tcBorders>
            <w:vAlign w:val="center"/>
          </w:tcPr>
          <w:p>
            <w:pPr>
              <w:rPr>
                <w:bCs/>
              </w:rPr>
            </w:pPr>
            <w:r>
              <w:rPr>
                <w:bCs/>
              </w:rPr>
              <w:t>评标方法：综合评分法（</w:t>
            </w:r>
            <w:r>
              <w:rPr>
                <w:rFonts w:hint="eastAsia"/>
                <w:bCs/>
              </w:rPr>
              <w:t>新价格分算法</w:t>
            </w:r>
            <w:r>
              <w:rPr>
                <w:bCs/>
              </w:rPr>
              <w:t>）</w:t>
            </w:r>
          </w:p>
        </w:tc>
        <w:tc>
          <w:tcPr>
            <w:tcW w:w="243" w:type="dxa"/>
            <w:tcBorders>
              <w:top w:val="nil"/>
              <w:left w:val="nil"/>
              <w:bottom w:val="nil"/>
              <w:right w:val="nil"/>
            </w:tcBorders>
            <w:vAlign w:val="center"/>
          </w:tcPr>
          <w:p>
            <w:pPr>
              <w:rPr>
                <w:b/>
                <w:bCs/>
              </w:rPr>
            </w:pPr>
          </w:p>
        </w:tc>
      </w:tr>
      <w:tr>
        <w:tblPrEx>
          <w:tblCellMar>
            <w:top w:w="45" w:type="dxa"/>
            <w:left w:w="45" w:type="dxa"/>
            <w:bottom w:w="45" w:type="dxa"/>
            <w:right w:w="45" w:type="dxa"/>
          </w:tblCellMar>
        </w:tblPrEx>
        <w:trPr>
          <w:tblCellSpacing w:w="0" w:type="dxa"/>
          <w:jc w:val="center"/>
        </w:trPr>
        <w:tc>
          <w:tcPr>
            <w:tcW w:w="9072" w:type="dxa"/>
            <w:gridSpan w:val="2"/>
            <w:tcBorders>
              <w:top w:val="nil"/>
              <w:left w:val="nil"/>
              <w:bottom w:val="nil"/>
              <w:right w:val="nil"/>
            </w:tcBorders>
            <w:vAlign w:val="center"/>
          </w:tcPr>
          <w:p>
            <w:pPr>
              <w:pStyle w:val="37"/>
              <w:spacing w:line="324" w:lineRule="auto"/>
              <w:ind w:firstLine="420"/>
              <w:rPr>
                <w:sz w:val="21"/>
                <w:szCs w:val="21"/>
              </w:rPr>
            </w:pPr>
            <w:r>
              <w:rPr>
                <w:sz w:val="21"/>
                <w:szCs w:val="21"/>
              </w:rPr>
              <w:t xml:space="preserve">综合评分法，是指投标文件满足招标文件全部实质性要求，且按照评审因素的量化指标评审得分最高的投标人为中标候选人的评标方法。 </w:t>
            </w:r>
          </w:p>
          <w:p>
            <w:pPr>
              <w:pStyle w:val="37"/>
              <w:ind w:firstLine="420"/>
              <w:rPr>
                <w:sz w:val="21"/>
                <w:szCs w:val="21"/>
              </w:rPr>
            </w:pPr>
            <w:r>
              <w:rPr>
                <w:sz w:val="21"/>
                <w:szCs w:val="21"/>
              </w:rPr>
              <w:t>价格分计算方法：</w:t>
            </w:r>
          </w:p>
          <w:p>
            <w:pPr>
              <w:pStyle w:val="37"/>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type="textWrapping"/>
            </w:r>
            <w:r>
              <w:rPr>
                <w:sz w:val="21"/>
                <w:szCs w:val="21"/>
              </w:rPr>
              <w:t xml:space="preserve">投标报价得分=(评标基准价／投标报价)×100 </w:t>
            </w:r>
            <w:r>
              <w:rPr>
                <w:sz w:val="21"/>
                <w:szCs w:val="21"/>
              </w:rPr>
              <w:br w:type="textWrapping"/>
            </w:r>
            <w:r>
              <w:rPr>
                <w:sz w:val="21"/>
                <w:szCs w:val="21"/>
              </w:rPr>
              <w:t xml:space="preserve">评标总得分＝F1×A1＋F2×A2＋……＋Fn×An </w:t>
            </w:r>
            <w:r>
              <w:rPr>
                <w:sz w:val="21"/>
                <w:szCs w:val="21"/>
              </w:rPr>
              <w:br w:type="textWrapping"/>
            </w:r>
            <w:r>
              <w:rPr>
                <w:sz w:val="21"/>
                <w:szCs w:val="21"/>
              </w:rPr>
              <w:t xml:space="preserve">F1、F2……Fn分别为各项评审因素的得分； </w:t>
            </w:r>
            <w:r>
              <w:rPr>
                <w:sz w:val="21"/>
                <w:szCs w:val="21"/>
              </w:rPr>
              <w:br w:type="textWrapping"/>
            </w:r>
            <w:r>
              <w:rPr>
                <w:sz w:val="21"/>
                <w:szCs w:val="21"/>
              </w:rPr>
              <w:t xml:space="preserve">A1、A2、……An 分别为各项评审因素所占的权重(A1＋A2＋……＋An＝1)。 </w:t>
            </w:r>
            <w:r>
              <w:rPr>
                <w:sz w:val="21"/>
                <w:szCs w:val="21"/>
              </w:rPr>
              <w:br w:type="textWrapping"/>
            </w:r>
            <w:r>
              <w:rPr>
                <w:sz w:val="21"/>
                <w:szCs w:val="21"/>
              </w:rPr>
              <w:t xml:space="preserve">评标过程中，不得去掉报价中的最高报价和最低报价。 </w:t>
            </w:r>
            <w:r>
              <w:rPr>
                <w:sz w:val="21"/>
                <w:szCs w:val="21"/>
              </w:rPr>
              <w:br w:type="textWrapping"/>
            </w:r>
            <w:r>
              <w:rPr>
                <w:sz w:val="21"/>
                <w:szCs w:val="21"/>
              </w:rPr>
              <w:t xml:space="preserve">此方法适用于货物类、服务类、工程类项目。 </w:t>
            </w:r>
          </w:p>
        </w:tc>
      </w:tr>
    </w:tbl>
    <w:p>
      <w:pPr>
        <w:spacing w:after="1134"/>
        <w:rPr>
          <w:vanish/>
        </w:rPr>
      </w:pPr>
    </w:p>
    <w:tbl>
      <w:tblPr>
        <w:tblStyle w:val="42"/>
        <w:tblW w:w="94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680"/>
        <w:gridCol w:w="2116"/>
        <w:gridCol w:w="637"/>
        <w:gridCol w:w="53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exact"/>
              <w:jc w:val="center"/>
              <w:rPr>
                <w:rFonts w:asciiTheme="minorEastAsia" w:hAnsiTheme="minorEastAsia" w:eastAsiaTheme="minorEastAsia"/>
                <w:b/>
                <w:bCs/>
                <w:sz w:val="24"/>
              </w:rPr>
            </w:pPr>
            <w:r>
              <w:rPr>
                <w:rFonts w:asciiTheme="minorEastAsia" w:hAnsiTheme="minorEastAsia" w:eastAsiaTheme="minorEastAsia"/>
                <w:b/>
                <w:bCs/>
              </w:rPr>
              <w:t>序号</w:t>
            </w:r>
          </w:p>
        </w:tc>
        <w:tc>
          <w:tcPr>
            <w:tcW w:w="3433"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exact"/>
              <w:jc w:val="center"/>
              <w:rPr>
                <w:rFonts w:asciiTheme="minorEastAsia" w:hAnsiTheme="minorEastAsia" w:eastAsiaTheme="minorEastAsia"/>
                <w:b/>
                <w:bCs/>
              </w:rPr>
            </w:pPr>
            <w:r>
              <w:rPr>
                <w:rFonts w:asciiTheme="minorEastAsia" w:hAnsiTheme="minorEastAsia" w:eastAsiaTheme="minorEastAsia"/>
                <w:b/>
                <w:bCs/>
              </w:rPr>
              <w:t>评分项</w:t>
            </w:r>
          </w:p>
        </w:tc>
        <w:tc>
          <w:tcPr>
            <w:tcW w:w="5386"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exact"/>
              <w:jc w:val="center"/>
              <w:rPr>
                <w:rFonts w:asciiTheme="minorEastAsia" w:hAnsiTheme="minorEastAsia" w:eastAsiaTheme="minorEastAsia"/>
                <w:b/>
                <w:bCs/>
              </w:rPr>
            </w:pPr>
            <w:r>
              <w:rPr>
                <w:rFonts w:asciiTheme="minorEastAsia" w:hAnsiTheme="minorEastAsia" w:eastAsiaTheme="minorEastAsia"/>
                <w:b/>
                <w:bCs/>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right w:val="single" w:color="000000" w:sz="8" w:space="0"/>
            </w:tcBorders>
          </w:tcPr>
          <w:p>
            <w:pPr>
              <w:spacing w:line="360" w:lineRule="exact"/>
              <w:jc w:val="center"/>
              <w:rPr>
                <w:rFonts w:cs="宋体" w:asciiTheme="minorEastAsia" w:hAnsiTheme="minorEastAsia" w:eastAsiaTheme="minorEastAsia"/>
                <w:b/>
                <w:bCs/>
                <w:color w:val="0000FF"/>
                <w:sz w:val="24"/>
              </w:rPr>
            </w:pPr>
            <w:r>
              <w:rPr>
                <w:rFonts w:asciiTheme="minorEastAsia" w:hAnsiTheme="minorEastAsia" w:eastAsiaTheme="minorEastAsia"/>
                <w:b/>
                <w:bCs/>
                <w:color w:val="0000FF"/>
              </w:rPr>
              <w:t>1</w:t>
            </w:r>
          </w:p>
        </w:tc>
        <w:tc>
          <w:tcPr>
            <w:tcW w:w="3433"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cs="宋体" w:asciiTheme="minorEastAsia" w:hAnsiTheme="minorEastAsia" w:eastAsiaTheme="minorEastAsia"/>
                <w:b/>
                <w:bCs/>
                <w:color w:val="0000FF"/>
                <w:sz w:val="24"/>
              </w:rPr>
            </w:pPr>
            <w:r>
              <w:rPr>
                <w:rFonts w:asciiTheme="minorEastAsia" w:hAnsiTheme="minorEastAsia" w:eastAsiaTheme="minorEastAsia"/>
                <w:b/>
                <w:bCs/>
                <w:color w:val="0000FF"/>
              </w:rPr>
              <w:t>价格</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cs="宋体" w:asciiTheme="minorEastAsia" w:hAnsiTheme="minorEastAsia" w:eastAsiaTheme="minorEastAsia"/>
                <w:b/>
                <w:bCs/>
                <w:color w:val="0000FF"/>
                <w:sz w:val="24"/>
              </w:rPr>
            </w:pPr>
            <w:r>
              <w:rPr>
                <w:rFonts w:hint="eastAsia" w:asciiTheme="minorEastAsia" w:hAnsiTheme="minorEastAsia" w:eastAsiaTheme="minorEastAsia"/>
                <w:b/>
                <w:bCs/>
                <w:color w:val="0000FF"/>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spacing w:line="360" w:lineRule="exact"/>
              <w:jc w:val="center"/>
              <w:rPr>
                <w:rFonts w:cs="宋体" w:asciiTheme="minorEastAsia" w:hAnsiTheme="minorEastAsia" w:eastAsiaTheme="minorEastAsia"/>
                <w:b/>
                <w:bCs/>
                <w:color w:val="0000FF"/>
                <w:sz w:val="24"/>
              </w:rPr>
            </w:pPr>
            <w:r>
              <w:rPr>
                <w:rFonts w:asciiTheme="minorEastAsia" w:hAnsiTheme="minorEastAsia" w:eastAsiaTheme="minorEastAsia"/>
                <w:b/>
                <w:bCs/>
                <w:color w:val="0000FF"/>
              </w:rPr>
              <w:t>2</w:t>
            </w:r>
          </w:p>
        </w:tc>
        <w:tc>
          <w:tcPr>
            <w:tcW w:w="3433"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b/>
                <w:bCs/>
                <w:color w:val="0000FF"/>
              </w:rPr>
            </w:pPr>
            <w:r>
              <w:rPr>
                <w:rFonts w:asciiTheme="minorEastAsia" w:hAnsiTheme="minorEastAsia" w:eastAsiaTheme="minorEastAsia"/>
                <w:b/>
                <w:bCs/>
                <w:color w:val="0000FF"/>
              </w:rPr>
              <w:t>技术</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b/>
                <w:bCs/>
                <w:color w:val="0000FF"/>
              </w:rPr>
            </w:pPr>
            <w:r>
              <w:rPr>
                <w:rFonts w:hint="eastAsia" w:asciiTheme="minorEastAsia" w:hAnsiTheme="minorEastAsia" w:eastAsiaTheme="minorEastAsia"/>
                <w:b/>
                <w:bCs/>
                <w:color w:val="0000FF"/>
              </w:rPr>
              <w:t>49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jc w:val="center"/>
              <w:rPr>
                <w:rFonts w:cs="宋体" w:asciiTheme="minorEastAsia" w:hAnsiTheme="minorEastAsia" w:eastAsiaTheme="minorEastAsia"/>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cs="宋体" w:asciiTheme="minorEastAsia" w:hAnsiTheme="minorEastAsia" w:eastAsiaTheme="minorEastAsia"/>
                <w:szCs w:val="21"/>
              </w:rPr>
            </w:pPr>
            <w:r>
              <w:rPr>
                <w:rFonts w:asciiTheme="minorEastAsia" w:hAnsiTheme="minorEastAsia" w:eastAsiaTheme="minorEastAsia"/>
                <w:szCs w:val="21"/>
              </w:rPr>
              <w:t>序号</w:t>
            </w:r>
          </w:p>
        </w:tc>
        <w:tc>
          <w:tcPr>
            <w:tcW w:w="211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评分因素</w:t>
            </w:r>
          </w:p>
        </w:tc>
        <w:tc>
          <w:tcPr>
            <w:tcW w:w="6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权重(%)</w:t>
            </w:r>
          </w:p>
        </w:tc>
        <w:tc>
          <w:tcPr>
            <w:tcW w:w="538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1</w:t>
            </w:r>
          </w:p>
        </w:tc>
        <w:tc>
          <w:tcPr>
            <w:tcW w:w="211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asciiTheme="minorEastAsia" w:hAnsiTheme="minorEastAsia" w:eastAsiaTheme="minorEastAsia"/>
                <w:szCs w:val="21"/>
              </w:rPr>
              <w:t>技术</w:t>
            </w:r>
            <w:r>
              <w:rPr>
                <w:rFonts w:hint="eastAsia" w:asciiTheme="minorEastAsia" w:hAnsiTheme="minorEastAsia" w:eastAsiaTheme="minorEastAsia"/>
                <w:szCs w:val="21"/>
              </w:rPr>
              <w:t>规格偏离情况</w:t>
            </w: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46</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asciiTheme="minorEastAsia" w:hAnsiTheme="minorEastAsia" w:eastAsiaTheme="minorEastAsia"/>
                <w:szCs w:val="21"/>
              </w:rPr>
              <w:t>（一）评分内容：</w:t>
            </w:r>
          </w:p>
          <w:p>
            <w:pPr>
              <w:spacing w:line="360" w:lineRule="exact"/>
              <w:jc w:val="left"/>
              <w:rPr>
                <w:rFonts w:asciiTheme="minorEastAsia" w:hAnsiTheme="minorEastAsia" w:eastAsiaTheme="minorEastAsia"/>
                <w:szCs w:val="21"/>
              </w:rPr>
            </w:pPr>
            <w:r>
              <w:rPr>
                <w:rFonts w:asciiTheme="minorEastAsia" w:hAnsiTheme="minorEastAsia" w:eastAsiaTheme="minorEastAsia"/>
                <w:szCs w:val="21"/>
              </w:rPr>
              <w:t>以投标文件《技术规格偏离表》为评审依据，各项技术参数指标及要求全部满足的得100分，每有1项▲参数负偏离的扣</w:t>
            </w:r>
            <w:r>
              <w:rPr>
                <w:rFonts w:hint="eastAsia" w:asciiTheme="minorEastAsia" w:hAnsiTheme="minorEastAsia" w:eastAsiaTheme="minorEastAsia"/>
                <w:szCs w:val="21"/>
              </w:rPr>
              <w:t>20</w:t>
            </w:r>
            <w:r>
              <w:rPr>
                <w:rFonts w:asciiTheme="minorEastAsia" w:hAnsiTheme="minorEastAsia" w:eastAsiaTheme="minorEastAsia"/>
                <w:szCs w:val="21"/>
              </w:rPr>
              <w:t>分，其它参数每负偏离一项扣</w:t>
            </w:r>
            <w:r>
              <w:rPr>
                <w:rFonts w:hint="eastAsia" w:asciiTheme="minorEastAsia" w:hAnsiTheme="minorEastAsia" w:eastAsiaTheme="minorEastAsia"/>
                <w:szCs w:val="21"/>
              </w:rPr>
              <w:t>8</w:t>
            </w:r>
            <w:r>
              <w:rPr>
                <w:rFonts w:asciiTheme="minorEastAsia" w:hAnsiTheme="minorEastAsia" w:eastAsiaTheme="minorEastAsia"/>
                <w:szCs w:val="21"/>
              </w:rPr>
              <w:t xml:space="preserve">分，最低0分。 </w:t>
            </w:r>
          </w:p>
          <w:p>
            <w:pPr>
              <w:spacing w:line="360" w:lineRule="exact"/>
              <w:rPr>
                <w:rFonts w:asciiTheme="minorEastAsia" w:hAnsiTheme="minorEastAsia" w:eastAsiaTheme="minorEastAsia"/>
                <w:szCs w:val="21"/>
              </w:rPr>
            </w:pPr>
          </w:p>
          <w:p>
            <w:pPr>
              <w:spacing w:line="360" w:lineRule="exact"/>
              <w:rPr>
                <w:rFonts w:asciiTheme="minorEastAsia" w:hAnsiTheme="minorEastAsia" w:eastAsiaTheme="minorEastAsia"/>
                <w:szCs w:val="21"/>
              </w:rPr>
            </w:pPr>
            <w:r>
              <w:rPr>
                <w:rFonts w:asciiTheme="minorEastAsia" w:hAnsiTheme="minorEastAsia" w:eastAsiaTheme="minorEastAsia"/>
                <w:szCs w:val="21"/>
              </w:rPr>
              <w:t>（二）评分</w:t>
            </w:r>
            <w:r>
              <w:rPr>
                <w:rFonts w:hint="eastAsia" w:asciiTheme="minorEastAsia" w:hAnsiTheme="minorEastAsia" w:eastAsiaTheme="minorEastAsia"/>
                <w:szCs w:val="21"/>
              </w:rPr>
              <w:t>依据</w:t>
            </w:r>
            <w:r>
              <w:rPr>
                <w:rFonts w:asciiTheme="minorEastAsia" w:hAnsiTheme="minorEastAsia" w:eastAsiaTheme="minorEastAsia"/>
                <w:szCs w:val="21"/>
              </w:rPr>
              <w:t>：</w:t>
            </w:r>
          </w:p>
          <w:p>
            <w:pPr>
              <w:spacing w:line="360" w:lineRule="exact"/>
              <w:rPr>
                <w:rFonts w:asciiTheme="minorEastAsia" w:hAnsiTheme="minorEastAsia" w:eastAsiaTheme="minorEastAsia"/>
                <w:szCs w:val="21"/>
              </w:rPr>
            </w:pPr>
            <w:r>
              <w:rPr>
                <w:rFonts w:asciiTheme="minorEastAsia" w:hAnsiTheme="minorEastAsia" w:eastAsiaTheme="minorEastAsia"/>
                <w:szCs w:val="21"/>
              </w:rPr>
              <w:t>投标人应如实填写《技术规格偏离表》，按招标文件要求提供相应的证明材料扫描件（原件备查），并注明证明材料在投标文件中的具体位置。证明材料与偏离表填写内容不一致，未提供有效证明材料或未注明证明材料在投标文件中的具体位置或提供的证明材料不完整或不清晰的，该项技术指标按负偏离处理。对于不同货物的技术要求中的相同项不满足时按一项不满足进行扣分，不对某一项技术要求重复扣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211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hint="eastAsia" w:ascii="宋体" w:hAnsi="宋体" w:cs="宋体"/>
                <w:kern w:val="0"/>
                <w:szCs w:val="21"/>
              </w:rPr>
              <w:t>技术保障措施</w:t>
            </w: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rPr>
                <w:rFonts w:ascii="宋体" w:hAnsi="宋体"/>
                <w:szCs w:val="21"/>
              </w:rPr>
            </w:pPr>
            <w:r>
              <w:rPr>
                <w:rFonts w:hint="eastAsia" w:ascii="宋体" w:hAnsi="宋体"/>
                <w:szCs w:val="21"/>
              </w:rPr>
              <w:t>（一）评分内容：</w:t>
            </w:r>
          </w:p>
          <w:p>
            <w:pPr>
              <w:spacing w:line="360" w:lineRule="exact"/>
              <w:rPr>
                <w:rFonts w:ascii="宋体" w:hAnsi="宋体" w:cs="仿宋"/>
                <w:szCs w:val="21"/>
              </w:rPr>
            </w:pPr>
            <w:r>
              <w:rPr>
                <w:rFonts w:hint="eastAsia" w:ascii="宋体" w:hAnsi="宋体" w:cs="仿宋"/>
                <w:szCs w:val="21"/>
              </w:rPr>
              <w:t>投标人在投标文件中详细说明保障措施（包括技术团队、技术方案、技术人员、场地、车辆），评审委员会根据响应情况进行评审：</w:t>
            </w:r>
          </w:p>
          <w:p>
            <w:pPr>
              <w:spacing w:line="360" w:lineRule="exact"/>
              <w:rPr>
                <w:rFonts w:ascii="宋体" w:hAnsi="宋体" w:cs="仿宋"/>
                <w:szCs w:val="21"/>
              </w:rPr>
            </w:pPr>
            <w:r>
              <w:rPr>
                <w:rFonts w:hint="eastAsia" w:ascii="宋体" w:hAnsi="宋体" w:cs="仿宋"/>
                <w:szCs w:val="21"/>
              </w:rPr>
              <w:t xml:space="preserve">（1）技术保障措施内容全面； </w:t>
            </w:r>
          </w:p>
          <w:p>
            <w:pPr>
              <w:spacing w:line="360" w:lineRule="exact"/>
              <w:rPr>
                <w:rFonts w:ascii="宋体" w:hAnsi="宋体" w:cs="仿宋"/>
                <w:szCs w:val="21"/>
              </w:rPr>
            </w:pPr>
            <w:r>
              <w:rPr>
                <w:rFonts w:hint="eastAsia" w:ascii="宋体" w:hAnsi="宋体" w:cs="仿宋"/>
                <w:szCs w:val="21"/>
              </w:rPr>
              <w:t xml:space="preserve">（2）技术保障措施内容具体； </w:t>
            </w:r>
          </w:p>
          <w:p>
            <w:pPr>
              <w:spacing w:line="360" w:lineRule="exact"/>
              <w:rPr>
                <w:rFonts w:ascii="宋体" w:hAnsi="宋体" w:cs="仿宋"/>
                <w:szCs w:val="21"/>
              </w:rPr>
            </w:pPr>
            <w:r>
              <w:rPr>
                <w:rFonts w:hint="eastAsia" w:ascii="宋体" w:hAnsi="宋体" w:cs="仿宋"/>
                <w:szCs w:val="21"/>
              </w:rPr>
              <w:t xml:space="preserve">（3）技术保障措施内容针对性强； </w:t>
            </w:r>
          </w:p>
          <w:p>
            <w:pPr>
              <w:spacing w:line="360" w:lineRule="exact"/>
              <w:rPr>
                <w:rFonts w:ascii="宋体" w:hAnsi="宋体" w:cs="仿宋"/>
                <w:szCs w:val="21"/>
              </w:rPr>
            </w:pPr>
            <w:r>
              <w:rPr>
                <w:rFonts w:hint="eastAsia" w:ascii="宋体" w:hAnsi="宋体" w:cs="仿宋"/>
                <w:szCs w:val="21"/>
              </w:rPr>
              <w:t xml:space="preserve">（4）技术保障措施内容科学合理； </w:t>
            </w:r>
          </w:p>
          <w:p>
            <w:pPr>
              <w:spacing w:line="360" w:lineRule="exact"/>
              <w:rPr>
                <w:rFonts w:ascii="宋体" w:hAnsi="宋体" w:cs="仿宋"/>
                <w:szCs w:val="21"/>
              </w:rPr>
            </w:pPr>
            <w:r>
              <w:rPr>
                <w:rFonts w:hint="eastAsia" w:ascii="宋体" w:hAnsi="宋体" w:cs="仿宋"/>
                <w:szCs w:val="21"/>
              </w:rPr>
              <w:t>（5）技术保障措施内容可操作性强。</w:t>
            </w:r>
          </w:p>
          <w:p>
            <w:pPr>
              <w:spacing w:line="360" w:lineRule="exact"/>
              <w:rPr>
                <w:rFonts w:ascii="宋体" w:hAnsi="宋体" w:cs="仿宋"/>
                <w:szCs w:val="21"/>
              </w:rPr>
            </w:pPr>
          </w:p>
          <w:p>
            <w:pPr>
              <w:widowControl/>
              <w:snapToGrid w:val="0"/>
              <w:spacing w:line="360" w:lineRule="exact"/>
              <w:jc w:val="left"/>
              <w:rPr>
                <w:rFonts w:ascii="宋体" w:hAnsi="宋体" w:cs="仿宋"/>
                <w:szCs w:val="21"/>
              </w:rPr>
            </w:pPr>
            <w:r>
              <w:rPr>
                <w:rFonts w:hint="eastAsia" w:ascii="宋体" w:hAnsi="宋体"/>
                <w:kern w:val="0"/>
                <w:szCs w:val="21"/>
              </w:rPr>
              <w:t>（二）评分标准：</w:t>
            </w:r>
          </w:p>
          <w:p>
            <w:pPr>
              <w:spacing w:line="360" w:lineRule="exact"/>
              <w:rPr>
                <w:rFonts w:asciiTheme="minorEastAsia" w:hAnsiTheme="minorEastAsia" w:eastAsiaTheme="minorEastAsia"/>
                <w:szCs w:val="21"/>
              </w:rPr>
            </w:pPr>
            <w:r>
              <w:rPr>
                <w:rFonts w:hint="eastAsia" w:ascii="宋体" w:hAnsi="宋体" w:cs="仿宋"/>
                <w:szCs w:val="21"/>
              </w:rPr>
              <w:t>满足以上五项要求得100分，满足以上四项要求得80分，满足以上三项要求得60分，其它情况不得分。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spacing w:line="360" w:lineRule="exact"/>
              <w:jc w:val="center"/>
              <w:rPr>
                <w:rFonts w:asciiTheme="minorEastAsia" w:hAnsiTheme="minorEastAsia" w:eastAsiaTheme="minorEastAsia"/>
                <w:b/>
                <w:bCs/>
                <w:color w:val="0000FF"/>
                <w:sz w:val="24"/>
              </w:rPr>
            </w:pPr>
            <w:r>
              <w:rPr>
                <w:rFonts w:asciiTheme="minorEastAsia" w:hAnsiTheme="minorEastAsia" w:eastAsiaTheme="minorEastAsia"/>
                <w:b/>
                <w:bCs/>
                <w:color w:val="0000FF"/>
              </w:rPr>
              <w:t>3</w:t>
            </w:r>
          </w:p>
        </w:tc>
        <w:tc>
          <w:tcPr>
            <w:tcW w:w="3433"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b/>
                <w:bCs/>
                <w:color w:val="0000FF"/>
              </w:rPr>
            </w:pPr>
            <w:r>
              <w:rPr>
                <w:rFonts w:asciiTheme="minorEastAsia" w:hAnsiTheme="minorEastAsia" w:eastAsiaTheme="minorEastAsia"/>
                <w:b/>
                <w:bCs/>
                <w:color w:val="0000FF"/>
              </w:rPr>
              <w:t>商务</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b/>
                <w:bCs/>
                <w:color w:val="0000FF"/>
              </w:rPr>
            </w:pPr>
            <w:r>
              <w:rPr>
                <w:rFonts w:hint="eastAsia" w:asciiTheme="minorEastAsia" w:hAnsiTheme="minorEastAsia" w:eastAsiaTheme="minorEastAsia"/>
                <w:b/>
                <w:bCs/>
                <w:color w:val="0000FF"/>
              </w:rPr>
              <w:t>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jc w:val="center"/>
              <w:rPr>
                <w:rFonts w:cs="宋体" w:asciiTheme="minorEastAsia" w:hAnsiTheme="minorEastAsia" w:eastAsiaTheme="minorEastAsia"/>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cs="宋体" w:asciiTheme="minorEastAsia" w:hAnsiTheme="minorEastAsia" w:eastAsiaTheme="minorEastAsia"/>
                <w:szCs w:val="21"/>
              </w:rPr>
            </w:pPr>
            <w:r>
              <w:rPr>
                <w:rFonts w:asciiTheme="minorEastAsia" w:hAnsiTheme="minorEastAsia" w:eastAsiaTheme="minorEastAsia"/>
                <w:szCs w:val="21"/>
              </w:rPr>
              <w:t>序号</w:t>
            </w:r>
          </w:p>
        </w:tc>
        <w:tc>
          <w:tcPr>
            <w:tcW w:w="211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评分因素</w:t>
            </w:r>
          </w:p>
        </w:tc>
        <w:tc>
          <w:tcPr>
            <w:tcW w:w="6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权重(%)</w:t>
            </w:r>
          </w:p>
        </w:tc>
        <w:tc>
          <w:tcPr>
            <w:tcW w:w="538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1</w:t>
            </w:r>
          </w:p>
        </w:tc>
        <w:tc>
          <w:tcPr>
            <w:tcW w:w="211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免费保修期内售后服务条款偏离情况</w:t>
            </w: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asciiTheme="minorEastAsia" w:hAnsiTheme="minorEastAsia" w:eastAsiaTheme="minorEastAsia"/>
                <w:szCs w:val="21"/>
              </w:rPr>
              <w:t>（一）评分内容：</w:t>
            </w:r>
          </w:p>
          <w:p>
            <w:pPr>
              <w:widowControl/>
              <w:spacing w:line="360" w:lineRule="auto"/>
              <w:rPr>
                <w:rFonts w:asciiTheme="minorEastAsia" w:hAnsiTheme="minorEastAsia" w:eastAsiaTheme="minorEastAsia"/>
                <w:szCs w:val="21"/>
              </w:rPr>
            </w:pPr>
            <w:r>
              <w:rPr>
                <w:rFonts w:hint="eastAsia" w:ascii="宋体" w:hAnsi="宋体" w:cs="仿宋"/>
                <w:szCs w:val="21"/>
              </w:rPr>
              <w:t>投标人应如实填写《商务条款偏离表》，评审委员会根据其中免费保修期内售后服务条款响应情况进行评审，</w:t>
            </w:r>
            <w:r>
              <w:rPr>
                <w:rFonts w:hint="eastAsia" w:asciiTheme="minorEastAsia" w:hAnsiTheme="minorEastAsia" w:eastAsiaTheme="minorEastAsia"/>
                <w:szCs w:val="21"/>
              </w:rPr>
              <w:t>全部满足得</w:t>
            </w:r>
            <w:r>
              <w:rPr>
                <w:rFonts w:asciiTheme="minorEastAsia" w:hAnsiTheme="minorEastAsia" w:eastAsiaTheme="minorEastAsia"/>
                <w:szCs w:val="21"/>
              </w:rPr>
              <w:t>100</w:t>
            </w:r>
            <w:r>
              <w:rPr>
                <w:rFonts w:hint="eastAsia" w:asciiTheme="minorEastAsia" w:hAnsiTheme="minorEastAsia" w:eastAsiaTheme="minorEastAsia"/>
                <w:szCs w:val="21"/>
              </w:rPr>
              <w:t>分，每负偏离一项扣25分，</w:t>
            </w:r>
            <w:r>
              <w:rPr>
                <w:rFonts w:hint="eastAsia" w:ascii="宋体" w:hAnsi="宋体" w:cs="仿宋"/>
                <w:szCs w:val="21"/>
              </w:rPr>
              <w:t>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211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其他商务条款偏离情况</w:t>
            </w: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386" w:type="dxa"/>
            <w:tcBorders>
              <w:top w:val="single" w:color="000000" w:sz="8" w:space="0"/>
              <w:left w:val="single" w:color="000000" w:sz="8" w:space="0"/>
              <w:bottom w:val="single" w:color="000000" w:sz="8" w:space="0"/>
              <w:right w:val="single" w:color="000000" w:sz="8" w:space="0"/>
            </w:tcBorders>
          </w:tcPr>
          <w:p>
            <w:pPr>
              <w:adjustRightInd w:val="0"/>
              <w:snapToGrid w:val="0"/>
              <w:spacing w:line="360" w:lineRule="exact"/>
              <w:rPr>
                <w:rFonts w:asciiTheme="minorEastAsia" w:hAnsiTheme="minorEastAsia" w:eastAsiaTheme="minorEastAsia"/>
                <w:szCs w:val="21"/>
              </w:rPr>
            </w:pPr>
            <w:r>
              <w:rPr>
                <w:rFonts w:asciiTheme="minorEastAsia" w:hAnsiTheme="minorEastAsia" w:eastAsiaTheme="minorEastAsia"/>
                <w:szCs w:val="21"/>
              </w:rPr>
              <w:t>（一）评分内容：</w:t>
            </w:r>
          </w:p>
          <w:p>
            <w:pPr>
              <w:spacing w:line="360" w:lineRule="exact"/>
              <w:jc w:val="left"/>
              <w:rPr>
                <w:rFonts w:asciiTheme="minorEastAsia" w:hAnsiTheme="minorEastAsia" w:eastAsiaTheme="minorEastAsia"/>
                <w:szCs w:val="21"/>
              </w:rPr>
            </w:pPr>
            <w:r>
              <w:rPr>
                <w:rFonts w:hint="eastAsia" w:asciiTheme="minorEastAsia" w:hAnsiTheme="minorEastAsia" w:eastAsiaTheme="minorEastAsia"/>
                <w:szCs w:val="21"/>
              </w:rPr>
              <w:t>投标人应如实填写《商务条款偏离表》，评审委员会根据其中其他商务条款响应情况进行评审，全部满足要求得100分，每负偏离一项扣7.2分，</w:t>
            </w:r>
            <w:r>
              <w:rPr>
                <w:rFonts w:hint="eastAsia" w:ascii="宋体" w:hAnsi="宋体" w:cs="仿宋"/>
                <w:szCs w:val="21"/>
              </w:rPr>
              <w:t>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3</w:t>
            </w:r>
          </w:p>
        </w:tc>
        <w:tc>
          <w:tcPr>
            <w:tcW w:w="211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asciiTheme="minorEastAsia" w:hAnsiTheme="minorEastAsia" w:eastAsiaTheme="minorEastAsia"/>
                <w:szCs w:val="21"/>
              </w:rPr>
              <w:t>同类项目业绩情况</w:t>
            </w: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（一）评分内容： </w:t>
            </w:r>
          </w:p>
          <w:p>
            <w:pPr>
              <w:widowControl/>
              <w:wordWrap w:val="0"/>
              <w:jc w:val="left"/>
              <w:textAlignment w:val="top"/>
              <w:rPr>
                <w:rFonts w:ascii="宋体" w:hAnsi="宋体" w:cs="宋体"/>
                <w:kern w:val="0"/>
                <w:szCs w:val="21"/>
                <w:highlight w:val="none"/>
              </w:rPr>
            </w:pPr>
            <w:r>
              <w:rPr>
                <w:rFonts w:hint="eastAsia" w:ascii="宋体" w:hAnsi="宋体" w:cs="宋体"/>
                <w:kern w:val="0"/>
                <w:szCs w:val="21"/>
                <w:highlight w:val="none"/>
              </w:rPr>
              <w:t>2020年</w:t>
            </w:r>
            <w:r>
              <w:rPr>
                <w:rFonts w:asciiTheme="minorEastAsia" w:hAnsiTheme="minorEastAsia" w:eastAsiaTheme="minorEastAsia"/>
                <w:szCs w:val="21"/>
                <w:highlight w:val="none"/>
              </w:rPr>
              <w:t>1月1日至本项目</w:t>
            </w:r>
            <w:r>
              <w:rPr>
                <w:rFonts w:hint="eastAsia" w:asciiTheme="minorEastAsia" w:hAnsiTheme="minorEastAsia" w:eastAsiaTheme="minorEastAsia"/>
                <w:szCs w:val="21"/>
                <w:highlight w:val="none"/>
              </w:rPr>
              <w:t>投标截止日</w:t>
            </w:r>
            <w:r>
              <w:rPr>
                <w:rFonts w:asciiTheme="minorEastAsia" w:hAnsiTheme="minorEastAsia" w:eastAsiaTheme="minorEastAsia"/>
                <w:szCs w:val="21"/>
                <w:highlight w:val="none"/>
              </w:rPr>
              <w:t>（以合同签订日期为准），</w:t>
            </w:r>
            <w:r>
              <w:rPr>
                <w:rFonts w:hint="eastAsia" w:ascii="宋体" w:hAnsi="宋体" w:cs="宋体"/>
                <w:kern w:val="0"/>
                <w:szCs w:val="21"/>
                <w:highlight w:val="none"/>
              </w:rPr>
              <w:t>投标人具有投标产品</w:t>
            </w:r>
            <w:r>
              <w:rPr>
                <w:rFonts w:hint="eastAsia" w:ascii="宋体" w:hAnsi="宋体" w:cs="宋体"/>
                <w:kern w:val="0"/>
                <w:szCs w:val="21"/>
                <w:highlight w:val="none"/>
                <w:lang w:val="en-US" w:eastAsia="zh-CN"/>
              </w:rPr>
              <w:t>4</w:t>
            </w:r>
            <w:r>
              <w:rPr>
                <w:rFonts w:hint="eastAsia" w:ascii="宋体" w:hAnsi="宋体" w:cs="宋体"/>
                <w:kern w:val="0"/>
                <w:szCs w:val="21"/>
                <w:highlight w:val="none"/>
              </w:rPr>
              <w:t>价流感病毒裂解疫苗政府采购项目业绩的经验：</w:t>
            </w:r>
          </w:p>
          <w:p>
            <w:pPr>
              <w:pStyle w:val="79"/>
              <w:widowControl/>
              <w:numPr>
                <w:ilvl w:val="0"/>
                <w:numId w:val="7"/>
              </w:numPr>
              <w:wordWrap w:val="0"/>
              <w:ind w:firstLineChars="0"/>
              <w:jc w:val="left"/>
              <w:textAlignment w:val="top"/>
              <w:rPr>
                <w:rFonts w:ascii="宋体" w:hAnsi="宋体" w:cs="宋体"/>
                <w:kern w:val="0"/>
                <w:szCs w:val="21"/>
                <w:highlight w:val="none"/>
              </w:rPr>
            </w:pPr>
            <w:r>
              <w:rPr>
                <w:rFonts w:hint="eastAsia" w:ascii="宋体" w:hAnsi="宋体" w:cs="宋体"/>
                <w:kern w:val="0"/>
                <w:szCs w:val="21"/>
                <w:highlight w:val="none"/>
              </w:rPr>
              <w:t>接种群体为6</w:t>
            </w:r>
            <w:r>
              <w:rPr>
                <w:rFonts w:ascii="宋体" w:hAnsi="宋体" w:cs="宋体"/>
                <w:kern w:val="0"/>
                <w:szCs w:val="21"/>
                <w:highlight w:val="none"/>
              </w:rPr>
              <w:t>0</w:t>
            </w:r>
            <w:r>
              <w:rPr>
                <w:rFonts w:hint="eastAsia" w:ascii="宋体" w:hAnsi="宋体" w:cs="宋体"/>
                <w:kern w:val="0"/>
                <w:szCs w:val="21"/>
                <w:highlight w:val="none"/>
              </w:rPr>
              <w:t>岁及以上老年人的，每</w:t>
            </w:r>
            <w:r>
              <w:rPr>
                <w:rFonts w:hint="eastAsia" w:ascii="宋体" w:hAnsi="宋体" w:cs="宋体"/>
                <w:kern w:val="0"/>
                <w:szCs w:val="21"/>
                <w:highlight w:val="none"/>
                <w:lang w:val="en-US" w:eastAsia="zh-CN"/>
              </w:rPr>
              <w:t>提供1个</w:t>
            </w:r>
            <w:r>
              <w:rPr>
                <w:rFonts w:hint="eastAsia" w:ascii="宋体" w:hAnsi="宋体" w:cs="宋体"/>
                <w:kern w:val="0"/>
                <w:szCs w:val="21"/>
                <w:highlight w:val="none"/>
              </w:rPr>
              <w:t>项目得</w:t>
            </w:r>
            <w:r>
              <w:rPr>
                <w:rFonts w:ascii="宋体" w:hAnsi="宋体" w:cs="宋体"/>
                <w:kern w:val="0"/>
                <w:szCs w:val="21"/>
                <w:highlight w:val="none"/>
              </w:rPr>
              <w:t>15</w:t>
            </w:r>
            <w:r>
              <w:rPr>
                <w:rFonts w:hint="eastAsia" w:ascii="宋体" w:hAnsi="宋体" w:cs="宋体"/>
                <w:kern w:val="0"/>
                <w:szCs w:val="21"/>
                <w:highlight w:val="none"/>
              </w:rPr>
              <w:t>分</w:t>
            </w:r>
            <w:r>
              <w:rPr>
                <w:rFonts w:hint="eastAsia" w:ascii="宋体" w:hAnsi="宋体" w:cs="宋体"/>
                <w:kern w:val="0"/>
                <w:szCs w:val="21"/>
                <w:highlight w:val="none"/>
                <w:lang w:eastAsia="zh-CN"/>
              </w:rPr>
              <w:t>。</w:t>
            </w:r>
          </w:p>
          <w:p>
            <w:pPr>
              <w:pStyle w:val="79"/>
              <w:widowControl/>
              <w:numPr>
                <w:ilvl w:val="0"/>
                <w:numId w:val="7"/>
              </w:numPr>
              <w:wordWrap w:val="0"/>
              <w:ind w:firstLineChars="0"/>
              <w:jc w:val="left"/>
              <w:textAlignment w:val="top"/>
              <w:rPr>
                <w:rFonts w:ascii="宋体" w:hAnsi="宋体" w:cs="宋体"/>
                <w:kern w:val="0"/>
                <w:szCs w:val="21"/>
                <w:highlight w:val="none"/>
              </w:rPr>
            </w:pPr>
            <w:r>
              <w:rPr>
                <w:rFonts w:hint="eastAsia" w:ascii="宋体" w:hAnsi="宋体" w:cs="宋体"/>
                <w:kern w:val="0"/>
                <w:szCs w:val="21"/>
                <w:highlight w:val="none"/>
              </w:rPr>
              <w:t>接种群体为其他人群的，每</w:t>
            </w:r>
            <w:r>
              <w:rPr>
                <w:rFonts w:hint="eastAsia" w:ascii="宋体" w:hAnsi="宋体" w:cs="宋体"/>
                <w:kern w:val="0"/>
                <w:szCs w:val="21"/>
                <w:highlight w:val="none"/>
                <w:lang w:val="en-US" w:eastAsia="zh-CN"/>
              </w:rPr>
              <w:t>提供1个</w:t>
            </w:r>
            <w:r>
              <w:rPr>
                <w:rFonts w:hint="eastAsia" w:ascii="宋体" w:hAnsi="宋体" w:cs="宋体"/>
                <w:kern w:val="0"/>
                <w:szCs w:val="21"/>
                <w:highlight w:val="none"/>
              </w:rPr>
              <w:t>项目得</w:t>
            </w:r>
            <w:r>
              <w:rPr>
                <w:rFonts w:ascii="宋体" w:hAnsi="宋体" w:cs="宋体"/>
                <w:kern w:val="0"/>
                <w:szCs w:val="21"/>
                <w:highlight w:val="none"/>
              </w:rPr>
              <w:t>5</w:t>
            </w:r>
            <w:r>
              <w:rPr>
                <w:rFonts w:hint="eastAsia" w:ascii="宋体" w:hAnsi="宋体" w:cs="宋体"/>
                <w:kern w:val="0"/>
                <w:szCs w:val="21"/>
                <w:highlight w:val="none"/>
              </w:rPr>
              <w:t>分。</w:t>
            </w:r>
          </w:p>
          <w:p>
            <w:pPr>
              <w:widowControl/>
              <w:wordWrap w:val="0"/>
              <w:jc w:val="left"/>
              <w:textAlignment w:val="top"/>
              <w:rPr>
                <w:rFonts w:ascii="宋体" w:hAnsi="宋体" w:cs="宋体"/>
                <w:kern w:val="0"/>
                <w:szCs w:val="21"/>
                <w:highlight w:val="none"/>
              </w:rPr>
            </w:pPr>
            <w:r>
              <w:rPr>
                <w:rFonts w:hint="eastAsia" w:ascii="宋体" w:hAnsi="宋体" w:cs="宋体"/>
                <w:kern w:val="0"/>
                <w:szCs w:val="21"/>
                <w:highlight w:val="none"/>
                <w:lang w:val="en-US" w:eastAsia="zh-CN"/>
              </w:rPr>
              <w:t>注：以上</w:t>
            </w:r>
            <w:r>
              <w:rPr>
                <w:rFonts w:hint="eastAsia" w:ascii="宋体" w:hAnsi="宋体" w:cs="宋体"/>
                <w:kern w:val="0"/>
                <w:szCs w:val="21"/>
                <w:highlight w:val="none"/>
              </w:rPr>
              <w:t>两项累计得分，最高得100分。</w:t>
            </w:r>
          </w:p>
          <w:p>
            <w:pPr>
              <w:spacing w:line="360" w:lineRule="exact"/>
              <w:rPr>
                <w:rFonts w:asciiTheme="minorEastAsia" w:hAnsiTheme="minorEastAsia" w:eastAsiaTheme="minorEastAsia"/>
                <w:szCs w:val="21"/>
                <w:highlight w:val="none"/>
              </w:rPr>
            </w:pPr>
          </w:p>
          <w:p>
            <w:pPr>
              <w:spacing w:line="360" w:lineRule="exact"/>
              <w:rPr>
                <w:rFonts w:asciiTheme="minorEastAsia" w:hAnsiTheme="minorEastAsia" w:eastAsiaTheme="minorEastAsia"/>
                <w:szCs w:val="21"/>
                <w:highlight w:val="none"/>
              </w:rPr>
            </w:pPr>
            <w:r>
              <w:rPr>
                <w:rFonts w:asciiTheme="minorEastAsia" w:hAnsiTheme="minorEastAsia" w:eastAsiaTheme="minorEastAsia"/>
                <w:szCs w:val="21"/>
                <w:highlight w:val="none"/>
              </w:rPr>
              <w:t xml:space="preserve">（二）评分依据： </w:t>
            </w:r>
          </w:p>
          <w:p>
            <w:pPr>
              <w:spacing w:line="360" w:lineRule="exact"/>
              <w:rPr>
                <w:rFonts w:asciiTheme="minorEastAsia" w:hAnsiTheme="minorEastAsia" w:eastAsiaTheme="minorEastAsia"/>
                <w:szCs w:val="21"/>
              </w:rPr>
            </w:pPr>
            <w:r>
              <w:rPr>
                <w:rFonts w:asciiTheme="minorEastAsia" w:hAnsiTheme="minorEastAsia" w:eastAsiaTheme="minorEastAsia"/>
                <w:szCs w:val="21"/>
                <w:highlight w:val="none"/>
              </w:rPr>
              <w:t>1.提供</w:t>
            </w:r>
            <w:r>
              <w:rPr>
                <w:rFonts w:hint="eastAsia" w:asciiTheme="minorEastAsia" w:hAnsiTheme="minorEastAsia" w:eastAsiaTheme="minorEastAsia"/>
                <w:szCs w:val="21"/>
                <w:highlight w:val="none"/>
              </w:rPr>
              <w:t>中标通知书、发票和</w:t>
            </w:r>
            <w:r>
              <w:rPr>
                <w:rFonts w:asciiTheme="minorEastAsia" w:hAnsiTheme="minorEastAsia" w:eastAsiaTheme="minorEastAsia"/>
                <w:szCs w:val="21"/>
                <w:highlight w:val="none"/>
              </w:rPr>
              <w:t>合同关键页（需体现签订日期）且各项信息不得有任何遮挡</w:t>
            </w:r>
            <w:r>
              <w:rPr>
                <w:rFonts w:hint="eastAsia" w:asciiTheme="minorEastAsia" w:hAnsiTheme="minorEastAsia" w:eastAsiaTheme="minorEastAsia"/>
                <w:szCs w:val="21"/>
                <w:highlight w:val="none"/>
              </w:rPr>
              <w:t>以及</w:t>
            </w:r>
            <w:r>
              <w:rPr>
                <w:rFonts w:hint="eastAsia" w:asciiTheme="minorEastAsia" w:hAnsiTheme="minorEastAsia" w:eastAsiaTheme="minorEastAsia"/>
                <w:szCs w:val="21"/>
              </w:rPr>
              <w:t>完工项目的验收报告（均加盖合同甲方公章或业务章）</w:t>
            </w:r>
            <w:r>
              <w:rPr>
                <w:rFonts w:asciiTheme="minorEastAsia" w:hAnsiTheme="minorEastAsia" w:eastAsiaTheme="minorEastAsia"/>
                <w:szCs w:val="21"/>
              </w:rPr>
              <w:t xml:space="preserve">； </w:t>
            </w:r>
          </w:p>
          <w:p>
            <w:pPr>
              <w:spacing w:line="360" w:lineRule="exact"/>
              <w:rPr>
                <w:rFonts w:asciiTheme="minorEastAsia" w:hAnsiTheme="minorEastAsia" w:eastAsiaTheme="minorEastAsia"/>
                <w:szCs w:val="21"/>
              </w:rPr>
            </w:pPr>
            <w:r>
              <w:rPr>
                <w:rFonts w:asciiTheme="minorEastAsia" w:hAnsiTheme="minorEastAsia" w:eastAsiaTheme="minorEastAsia"/>
                <w:szCs w:val="21"/>
              </w:rPr>
              <w:t>2.以上证明文件均提供</w:t>
            </w:r>
            <w:r>
              <w:rPr>
                <w:rFonts w:hint="eastAsia" w:asciiTheme="minorEastAsia" w:hAnsiTheme="minorEastAsia" w:eastAsiaTheme="minorEastAsia"/>
                <w:szCs w:val="21"/>
              </w:rPr>
              <w:t>扫描件</w:t>
            </w:r>
            <w:r>
              <w:rPr>
                <w:rFonts w:asciiTheme="minorEastAsia" w:hAnsiTheme="minorEastAsia" w:eastAsiaTheme="minorEastAsia"/>
                <w:szCs w:val="21"/>
              </w:rPr>
              <w:t>，原件备查。未按要求提供有效证明材料或提供不清晰导致评委无法识别的不计得分。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spacing w:line="360" w:lineRule="exact"/>
              <w:jc w:val="center"/>
              <w:rPr>
                <w:rFonts w:cs="宋体" w:asciiTheme="minorEastAsia" w:hAnsiTheme="minorEastAsia" w:eastAsiaTheme="minorEastAsia"/>
                <w:b/>
                <w:bCs/>
                <w:color w:val="0000FF"/>
                <w:sz w:val="24"/>
              </w:rPr>
            </w:pPr>
            <w:r>
              <w:rPr>
                <w:rFonts w:hint="eastAsia" w:asciiTheme="minorEastAsia" w:hAnsiTheme="minorEastAsia" w:eastAsiaTheme="minorEastAsia"/>
                <w:b/>
                <w:bCs/>
                <w:color w:val="0000FF"/>
              </w:rPr>
              <w:t>4</w:t>
            </w:r>
          </w:p>
        </w:tc>
        <w:tc>
          <w:tcPr>
            <w:tcW w:w="3433"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b/>
                <w:bCs/>
                <w:color w:val="0000FF"/>
              </w:rPr>
            </w:pPr>
            <w:r>
              <w:rPr>
                <w:rFonts w:hint="eastAsia" w:asciiTheme="minorEastAsia" w:hAnsiTheme="minorEastAsia" w:eastAsiaTheme="minorEastAsia"/>
                <w:b/>
                <w:bCs/>
                <w:color w:val="0000FF"/>
              </w:rPr>
              <w:t>其他</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b/>
                <w:bCs/>
                <w:color w:val="0000FF"/>
              </w:rPr>
            </w:pPr>
            <w:r>
              <w:rPr>
                <w:rFonts w:hint="eastAsia" w:asciiTheme="minorEastAsia" w:hAnsiTheme="minorEastAsia" w:eastAsiaTheme="minorEastAsia"/>
                <w:b/>
                <w:bCs/>
                <w:color w:val="0000FF"/>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680" w:type="dxa"/>
            <w:vMerge w:val="continue"/>
            <w:tcBorders>
              <w:left w:val="single" w:color="000000" w:sz="8" w:space="0"/>
              <w:right w:val="single" w:color="000000" w:sz="8" w:space="0"/>
            </w:tcBorders>
            <w:vAlign w:val="center"/>
          </w:tcPr>
          <w:p>
            <w:pPr>
              <w:spacing w:line="360" w:lineRule="exact"/>
              <w:jc w:val="center"/>
              <w:rPr>
                <w:rFonts w:cs="宋体" w:asciiTheme="minorEastAsia" w:hAnsiTheme="minorEastAsia" w:eastAsiaTheme="minorEastAsia"/>
                <w:b/>
                <w:bCs/>
                <w:color w:val="0000FF"/>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cs="宋体" w:asciiTheme="minorEastAsia" w:hAnsiTheme="minorEastAsia" w:eastAsiaTheme="minorEastAsia"/>
                <w:szCs w:val="21"/>
              </w:rPr>
            </w:pPr>
            <w:r>
              <w:rPr>
                <w:rFonts w:asciiTheme="minorEastAsia" w:hAnsiTheme="minorEastAsia" w:eastAsiaTheme="minorEastAsia"/>
                <w:szCs w:val="21"/>
              </w:rPr>
              <w:t>序号</w:t>
            </w:r>
          </w:p>
        </w:tc>
        <w:tc>
          <w:tcPr>
            <w:tcW w:w="211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评分因素</w:t>
            </w:r>
          </w:p>
        </w:tc>
        <w:tc>
          <w:tcPr>
            <w:tcW w:w="637"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权重(%)</w:t>
            </w:r>
          </w:p>
        </w:tc>
        <w:tc>
          <w:tcPr>
            <w:tcW w:w="5386"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680" w:type="dxa"/>
            <w:vMerge w:val="continue"/>
            <w:tcBorders>
              <w:left w:val="single" w:color="000000" w:sz="8" w:space="0"/>
              <w:bottom w:val="single" w:color="000000" w:sz="8" w:space="0"/>
              <w:right w:val="single" w:color="000000" w:sz="8" w:space="0"/>
            </w:tcBorders>
          </w:tcPr>
          <w:p>
            <w:pPr>
              <w:spacing w:line="360" w:lineRule="exact"/>
              <w:rPr>
                <w:rFonts w:cs="宋体" w:asciiTheme="minorEastAsia" w:hAnsiTheme="minorEastAsia" w:eastAsiaTheme="minorEastAsia"/>
                <w:b/>
                <w:bCs/>
                <w:color w:val="0000FF"/>
                <w:sz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211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asciiTheme="minorEastAsia" w:hAnsiTheme="minorEastAsia" w:eastAsiaTheme="minorEastAsia"/>
                <w:szCs w:val="21"/>
              </w:rPr>
              <w:t>诚信评审</w:t>
            </w:r>
          </w:p>
        </w:tc>
        <w:tc>
          <w:tcPr>
            <w:tcW w:w="637"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5</w:t>
            </w:r>
          </w:p>
        </w:tc>
        <w:tc>
          <w:tcPr>
            <w:tcW w:w="5386" w:type="dxa"/>
            <w:tcBorders>
              <w:top w:val="single" w:color="000000" w:sz="8" w:space="0"/>
              <w:left w:val="single" w:color="000000" w:sz="8" w:space="0"/>
              <w:bottom w:val="single" w:color="000000" w:sz="8" w:space="0"/>
              <w:right w:val="single" w:color="000000" w:sz="8" w:space="0"/>
            </w:tcBorders>
          </w:tcPr>
          <w:p>
            <w:pPr>
              <w:spacing w:line="360" w:lineRule="exact"/>
              <w:jc w:val="left"/>
              <w:rPr>
                <w:rFonts w:asciiTheme="minorEastAsia" w:hAnsiTheme="minorEastAsia" w:eastAsiaTheme="minorEastAsia"/>
                <w:szCs w:val="21"/>
              </w:rPr>
            </w:pPr>
            <w:r>
              <w:rPr>
                <w:rFonts w:asciiTheme="minorEastAsia" w:hAnsiTheme="minorEastAsia" w:eastAsiaTheme="minorEastAsia"/>
                <w:szCs w:val="21"/>
              </w:rPr>
              <w:t xml:space="preserve">（一）评分内容： </w:t>
            </w:r>
          </w:p>
          <w:p>
            <w:pPr>
              <w:spacing w:line="360" w:lineRule="exact"/>
              <w:jc w:val="left"/>
              <w:rPr>
                <w:rFonts w:asciiTheme="minorEastAsia" w:hAnsiTheme="minorEastAsia" w:eastAsiaTheme="minorEastAsia"/>
                <w:szCs w:val="21"/>
              </w:rPr>
            </w:pPr>
            <w:r>
              <w:rPr>
                <w:rFonts w:asciiTheme="minorEastAsia" w:hAnsiTheme="minorEastAsia" w:eastAsiaTheme="minorEastAsia"/>
                <w:szCs w:val="21"/>
              </w:rPr>
              <w:t>投标人参与政府采购活动在诚信管理中受过主管部门通报处理且仍在实施期限内的本项不得分，否则得100分。</w:t>
            </w:r>
          </w:p>
          <w:p>
            <w:pPr>
              <w:spacing w:line="360" w:lineRule="exact"/>
              <w:rPr>
                <w:rFonts w:asciiTheme="minorEastAsia" w:hAnsiTheme="minorEastAsia" w:eastAsiaTheme="minorEastAsia"/>
                <w:szCs w:val="21"/>
              </w:rPr>
            </w:pPr>
          </w:p>
          <w:p>
            <w:pPr>
              <w:spacing w:line="360" w:lineRule="exact"/>
              <w:rPr>
                <w:rFonts w:asciiTheme="minorEastAsia" w:hAnsiTheme="minorEastAsia" w:eastAsiaTheme="minorEastAsia"/>
                <w:szCs w:val="21"/>
              </w:rPr>
            </w:pPr>
            <w:r>
              <w:rPr>
                <w:rFonts w:asciiTheme="minorEastAsia" w:hAnsiTheme="minorEastAsia" w:eastAsiaTheme="minorEastAsia"/>
                <w:szCs w:val="21"/>
              </w:rPr>
              <w:t xml:space="preserve">（二）评分依据： </w:t>
            </w:r>
          </w:p>
          <w:p>
            <w:pPr>
              <w:spacing w:line="360" w:lineRule="exact"/>
              <w:rPr>
                <w:rFonts w:asciiTheme="minorEastAsia" w:hAnsiTheme="minorEastAsia" w:eastAsiaTheme="minorEastAsia"/>
                <w:szCs w:val="21"/>
              </w:rPr>
            </w:pPr>
            <w:r>
              <w:rPr>
                <w:rFonts w:asciiTheme="minorEastAsia" w:hAnsiTheme="minorEastAsia" w:eastAsiaTheme="minorEastAsia"/>
                <w:szCs w:val="21"/>
              </w:rPr>
              <w:t>投标人按招标文件格式</w:t>
            </w:r>
            <w:r>
              <w:rPr>
                <w:rFonts w:hint="eastAsia" w:asciiTheme="minorEastAsia" w:hAnsiTheme="minorEastAsia" w:eastAsiaTheme="minorEastAsia"/>
                <w:szCs w:val="21"/>
              </w:rPr>
              <w:t>如实</w:t>
            </w:r>
            <w:r>
              <w:rPr>
                <w:rFonts w:asciiTheme="minorEastAsia" w:hAnsiTheme="minorEastAsia" w:eastAsiaTheme="minorEastAsia"/>
                <w:szCs w:val="21"/>
              </w:rPr>
              <w:t>提供《诚信承诺函》，</w:t>
            </w:r>
            <w:r>
              <w:rPr>
                <w:rFonts w:hint="eastAsia" w:asciiTheme="minorEastAsia" w:hAnsiTheme="minorEastAsia" w:eastAsiaTheme="minorEastAsia"/>
                <w:szCs w:val="21"/>
              </w:rPr>
              <w:t>承诺函格式及内容不得修改，</w:t>
            </w:r>
            <w:r>
              <w:rPr>
                <w:rFonts w:asciiTheme="minorEastAsia" w:hAnsiTheme="minorEastAsia" w:eastAsiaTheme="minorEastAsia"/>
                <w:szCs w:val="21"/>
              </w:rPr>
              <w:t>否则不得分。如若投标人承诺与实际情况不相符，将按虚假应标报相关主管部门处理。</w:t>
            </w:r>
          </w:p>
        </w:tc>
      </w:tr>
    </w:tbl>
    <w:p>
      <w:pPr>
        <w:sectPr>
          <w:footerReference r:id="rId3" w:type="default"/>
          <w:footerReference r:id="rId4" w:type="even"/>
          <w:pgSz w:w="11906" w:h="16838"/>
          <w:pgMar w:top="1440" w:right="1418" w:bottom="1440" w:left="1418" w:header="851" w:footer="992" w:gutter="0"/>
          <w:cols w:space="720" w:num="1"/>
          <w:titlePg/>
          <w:docGrid w:type="lines" w:linePitch="312" w:charSpace="0"/>
        </w:sectPr>
      </w:pPr>
    </w:p>
    <w:p>
      <w:pPr>
        <w:pStyle w:val="4"/>
        <w:rPr>
          <w:rFonts w:eastAsia="宋体"/>
          <w:szCs w:val="32"/>
        </w:rPr>
      </w:pPr>
      <w:r>
        <w:rPr>
          <w:rFonts w:hint="eastAsia" w:eastAsia="宋体"/>
          <w:szCs w:val="32"/>
        </w:rPr>
        <w:t>其它关键信息</w:t>
      </w:r>
    </w:p>
    <w:p>
      <w:pPr>
        <w:spacing w:line="360" w:lineRule="auto"/>
        <w:ind w:firstLine="413" w:firstLineChars="196"/>
        <w:rPr>
          <w:b/>
        </w:rPr>
      </w:pPr>
      <w:r>
        <w:rPr>
          <w:rFonts w:hint="eastAsia" w:ascii="宋体" w:hAnsi="宋体"/>
          <w:b/>
          <w:szCs w:val="21"/>
        </w:rPr>
        <w:t>一</w:t>
      </w:r>
      <w:r>
        <w:rPr>
          <w:rFonts w:hint="eastAsia" w:asciiTheme="minorEastAsia" w:hAnsiTheme="minorEastAsia" w:eastAsiaTheme="minorEastAsia"/>
          <w:b/>
          <w:szCs w:val="21"/>
        </w:rPr>
        <w:t>、</w:t>
      </w:r>
      <w:r>
        <w:rPr>
          <w:rFonts w:hint="eastAsia"/>
          <w:b/>
        </w:rPr>
        <w:t>评标定标信息</w:t>
      </w:r>
    </w:p>
    <w:tbl>
      <w:tblPr>
        <w:tblStyle w:val="42"/>
        <w:tblW w:w="85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4"/>
        <w:gridCol w:w="4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是否评标定标分离</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非评定分离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定标方法</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评标方法</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中标供应商家数</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候选中标供应商家数</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1</w:t>
            </w:r>
          </w:p>
        </w:tc>
      </w:tr>
    </w:tbl>
    <w:p>
      <w:pPr>
        <w:pStyle w:val="2"/>
      </w:pPr>
    </w:p>
    <w:p>
      <w:pPr>
        <w:spacing w:line="360" w:lineRule="auto"/>
        <w:ind w:firstLine="413" w:firstLineChars="196"/>
        <w:rPr>
          <w:rFonts w:ascii="宋体" w:hAnsi="宋体"/>
          <w:b/>
          <w:szCs w:val="21"/>
        </w:rPr>
      </w:pPr>
      <w:r>
        <w:rPr>
          <w:rFonts w:hint="eastAsia" w:ascii="宋体" w:hAnsi="宋体"/>
          <w:b/>
          <w:szCs w:val="21"/>
        </w:rPr>
        <w:t>二</w:t>
      </w:r>
      <w:r>
        <w:rPr>
          <w:rFonts w:hint="eastAsia" w:asciiTheme="minorEastAsia" w:hAnsiTheme="minorEastAsia" w:eastAsiaTheme="minorEastAsia"/>
          <w:b/>
          <w:szCs w:val="21"/>
        </w:rPr>
        <w:t>、</w:t>
      </w:r>
      <w:r>
        <w:rPr>
          <w:rFonts w:hint="eastAsia" w:ascii="宋体" w:hAnsi="宋体"/>
          <w:b/>
          <w:szCs w:val="21"/>
        </w:rPr>
        <w:t>报价明显偏低的合理性说明</w:t>
      </w:r>
    </w:p>
    <w:p>
      <w:pPr>
        <w:spacing w:line="360" w:lineRule="auto"/>
        <w:ind w:firstLine="420" w:firstLineChars="200"/>
        <w:rPr>
          <w:rFonts w:ascii="宋体" w:hAnsi="宋体"/>
          <w:szCs w:val="21"/>
        </w:rPr>
      </w:pP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hAns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pPr>
    </w:p>
    <w:p>
      <w:pPr>
        <w:spacing w:line="360" w:lineRule="auto"/>
        <w:ind w:firstLine="422" w:firstLineChars="200"/>
        <w:rPr>
          <w:rFonts w:asciiTheme="minorEastAsia" w:hAnsiTheme="minorEastAsia" w:eastAsiaTheme="minorEastAsia"/>
          <w:b/>
          <w:bCs/>
        </w:rPr>
      </w:pPr>
      <w:r>
        <w:rPr>
          <w:rFonts w:hint="eastAsia" w:asciiTheme="minorEastAsia" w:hAnsiTheme="minorEastAsia" w:eastAsiaTheme="minorEastAsia"/>
          <w:b/>
          <w:szCs w:val="21"/>
        </w:rPr>
        <w:t>三、</w:t>
      </w:r>
      <w:r>
        <w:rPr>
          <w:rFonts w:hint="eastAsia" w:asciiTheme="minorEastAsia" w:hAnsiTheme="minorEastAsia" w:eastAsiaTheme="minorEastAsia"/>
          <w:b/>
          <w:bCs/>
        </w:rPr>
        <w:t>关于享受政府采购扶持政策的主体及价格扣除比例</w:t>
      </w:r>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w:t>
      </w:r>
      <w:r>
        <w:rPr>
          <w:rFonts w:hint="eastAsia" w:ascii="宋体" w:hAnsi="宋体"/>
          <w:b/>
          <w:snapToGrid w:val="0"/>
          <w:szCs w:val="21"/>
          <w:highlight w:val="yellow"/>
          <w:u w:val="single"/>
          <w:lang w:val="en"/>
        </w:rPr>
        <w:t>其他未列明行业</w:t>
      </w:r>
      <w:r>
        <w:rPr>
          <w:rFonts w:hint="eastAsia" w:ascii="宋体" w:hAnsi="宋体"/>
          <w:b/>
          <w:snapToGrid w:val="0"/>
          <w:szCs w:val="21"/>
          <w:highlight w:val="yellow"/>
          <w:u w:val="single"/>
        </w:rPr>
        <w:t xml:space="preserve">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Calibri" w:hAnsi="宋体"/>
          <w:szCs w:val="21"/>
        </w:rPr>
        <w:t>专门面向中小企业采购项目</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cs="MS Mincho" w:asciiTheme="minorEastAsia" w:hAnsiTheme="minorEastAsia" w:eastAsiaTheme="minorEastAsia"/>
          <w:kern w:val="0"/>
          <w:szCs w:val="21"/>
        </w:rPr>
        <w:t xml:space="preserve"> </w:t>
      </w:r>
      <w:r>
        <w:rPr>
          <w:rFonts w:hint="eastAsia" w:asciiTheme="minorEastAsia" w:hAnsiTheme="minorEastAsia" w:eastAsiaTheme="minorEastAsia"/>
          <w:szCs w:val="21"/>
        </w:rPr>
        <w:t>非专门面向中小企业采购项目：</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（1）本项目货物</w:t>
      </w:r>
      <w:r>
        <w:rPr>
          <w:rFonts w:hint="eastAsia" w:ascii="Calibri" w:hAnsi="宋体"/>
          <w:szCs w:val="22"/>
        </w:rPr>
        <w:t>全部由小型、微型企业制造的，可</w:t>
      </w:r>
      <w:r>
        <w:rPr>
          <w:rFonts w:hint="eastAsia" w:asciiTheme="minorEastAsia" w:hAnsiTheme="minorEastAsia" w:eastAsiaTheme="minorEastAsia"/>
          <w:szCs w:val="22"/>
        </w:rPr>
        <w:t>给予投标人</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w:t>
      </w:r>
      <w:r>
        <w:rPr>
          <w:rFonts w:hint="eastAsia" w:asciiTheme="minorEastAsia" w:hAnsiTheme="minorEastAsia" w:eastAsiaTheme="minorEastAsia"/>
          <w:szCs w:val="22"/>
        </w:rPr>
        <w:t>的价格扣除</w:t>
      </w:r>
      <w:r>
        <w:rPr>
          <w:rFonts w:hint="eastAsia" w:ascii="宋体" w:hAnsi="宋体"/>
          <w:szCs w:val="22"/>
        </w:rPr>
        <w:t>，</w:t>
      </w:r>
      <w:r>
        <w:rPr>
          <w:rFonts w:hint="eastAsia" w:asciiTheme="minorEastAsia" w:hAnsiTheme="minorEastAsia" w:eastAsiaTheme="minorEastAsia"/>
          <w:szCs w:val="22"/>
        </w:rPr>
        <w:t>用扣除后的价格参与评审。对于同时属于小微企业、监狱企业或残疾人福利性单位的，不重复进行投标报价扣除。</w:t>
      </w:r>
    </w:p>
    <w:p>
      <w:pPr>
        <w:spacing w:line="360" w:lineRule="auto"/>
        <w:ind w:firstLine="424" w:firstLineChars="202"/>
        <w:rPr>
          <w:rFonts w:ascii="宋体" w:hAnsi="宋体"/>
          <w:szCs w:val="22"/>
        </w:rPr>
      </w:pPr>
      <w:r>
        <w:rPr>
          <w:rFonts w:hint="eastAsia" w:asciiTheme="minorEastAsia" w:hAnsiTheme="minorEastAsia" w:eastAsiaTheme="minorEastAsia"/>
          <w:szCs w:val="22"/>
        </w:rPr>
        <w:t>（2）</w:t>
      </w:r>
      <w:r>
        <w:rPr>
          <w:rFonts w:hint="eastAsia" w:ascii="宋体" w:hAnsi="宋体"/>
          <w:szCs w:val="22"/>
        </w:rPr>
        <w:t>小型、微型企业承担的合同份额占到合同总金额30%以上的，可给予投标人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（3）优惠主体资格的认定资料为《中小企业声明函》、《残疾人福利性单位声明函》以及《监狱企业声明函》等承诺性质的资料（</w:t>
      </w:r>
      <w:r>
        <w:rPr>
          <w:rFonts w:hint="eastAsia" w:ascii="宋体" w:hAnsi="宋体" w:cs="宋体"/>
          <w:szCs w:val="21"/>
        </w:rPr>
        <w:t>格式详见招标文件第三章</w:t>
      </w:r>
      <w:r>
        <w:rPr>
          <w:rFonts w:hint="eastAsia" w:ascii="宋体" w:hAnsi="宋体"/>
          <w:szCs w:val="22"/>
        </w:rPr>
        <w:t>）；监狱企业或者代理提供监狱企业货物的供应商如需享受优惠政策，除上述资料外，还须提供省级以上监狱管理局、戒毒管理局出具的监狱企业证明文件。</w:t>
      </w:r>
    </w:p>
    <w:p>
      <w:pPr>
        <w:pStyle w:val="2"/>
      </w:pP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拟采购的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rPr>
          <w:rFonts w:asciiTheme="minorEastAsia" w:hAnsiTheme="minorEastAsia" w:eastAsiaTheme="minorEastAsia"/>
        </w:rPr>
      </w:pPr>
    </w:p>
    <w:p>
      <w:pPr>
        <w:spacing w:after="78"/>
        <w:rPr>
          <w:vanish/>
        </w:rPr>
      </w:pPr>
    </w:p>
    <w:p/>
    <w:p>
      <w:pPr>
        <w:tabs>
          <w:tab w:val="left" w:pos="2640"/>
        </w:tabs>
        <w:sectPr>
          <w:pgSz w:w="11906" w:h="16838"/>
          <w:pgMar w:top="1440" w:right="1417" w:bottom="1440" w:left="1417" w:header="851" w:footer="992" w:gutter="0"/>
          <w:cols w:space="720" w:num="1"/>
          <w:titlePg/>
          <w:docGrid w:type="lines" w:linePitch="312" w:charSpace="0"/>
        </w:sectPr>
      </w:pPr>
    </w:p>
    <w:p>
      <w:pPr>
        <w:pStyle w:val="4"/>
      </w:pPr>
      <w:r>
        <w:rPr>
          <w:rFonts w:hint="eastAsia"/>
        </w:rPr>
        <w:t>目   录</w:t>
      </w:r>
    </w:p>
    <w:p>
      <w:pPr>
        <w:rPr>
          <w:b/>
          <w:sz w:val="24"/>
        </w:rPr>
      </w:pPr>
      <w:r>
        <w:rPr>
          <w:rFonts w:hint="eastAsia"/>
          <w:b/>
          <w:sz w:val="24"/>
        </w:rPr>
        <w:t>第一册  专用条款</w:t>
      </w:r>
    </w:p>
    <w:p>
      <w:pPr>
        <w:ind w:left="630" w:leftChars="300" w:firstLine="411" w:firstLineChars="196"/>
        <w:rPr>
          <w:rFonts w:ascii="宋体" w:hAnsi="宋体"/>
          <w:szCs w:val="21"/>
        </w:rPr>
      </w:pP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招标项目需求</w:t>
      </w:r>
    </w:p>
    <w:p>
      <w:pPr>
        <w:ind w:left="630" w:leftChars="300" w:firstLine="411" w:firstLineChars="196"/>
        <w:rPr>
          <w:rFonts w:ascii="宋体" w:hAnsi="宋体"/>
          <w:szCs w:val="21"/>
        </w:rPr>
      </w:pPr>
      <w:r>
        <w:rPr>
          <w:rFonts w:hint="eastAsia" w:ascii="宋体" w:hAnsi="宋体"/>
          <w:szCs w:val="21"/>
        </w:rPr>
        <w:t>第三章  投标文件格式、附件</w:t>
      </w:r>
    </w:p>
    <w:p>
      <w:pPr>
        <w:ind w:left="630" w:leftChars="300" w:firstLine="411" w:firstLineChars="196"/>
        <w:rPr>
          <w:rFonts w:ascii="宋体" w:hAnsi="宋体"/>
          <w:szCs w:val="21"/>
        </w:rPr>
      </w:pPr>
      <w:r>
        <w:rPr>
          <w:rFonts w:hint="eastAsia" w:ascii="宋体" w:hAnsi="宋体"/>
          <w:szCs w:val="21"/>
        </w:rPr>
        <w:t>第四章  合同及履约情况反馈格式</w:t>
      </w:r>
    </w:p>
    <w:p>
      <w:pPr>
        <w:ind w:left="630" w:leftChars="300" w:firstLine="411" w:firstLineChars="196"/>
        <w:rPr>
          <w:rFonts w:ascii="宋体" w:hAnsi="宋体"/>
          <w:szCs w:val="21"/>
        </w:rPr>
      </w:pPr>
      <w:r>
        <w:rPr>
          <w:rFonts w:hint="eastAsia" w:ascii="宋体" w:hAnsi="宋体"/>
          <w:szCs w:val="21"/>
        </w:rPr>
        <w:t>第五章  附件</w:t>
      </w:r>
    </w:p>
    <w:p>
      <w:pPr>
        <w:ind w:left="630" w:leftChars="300" w:firstLine="411" w:firstLineChars="196"/>
        <w:rPr>
          <w:rFonts w:ascii="宋体" w:hAnsi="宋体"/>
          <w:szCs w:val="21"/>
        </w:rPr>
      </w:pPr>
    </w:p>
    <w:p>
      <w:pPr>
        <w:rPr>
          <w:b/>
          <w:sz w:val="24"/>
        </w:rPr>
      </w:pPr>
    </w:p>
    <w:p>
      <w:pPr>
        <w:rPr>
          <w:b/>
          <w:sz w:val="24"/>
        </w:rPr>
      </w:pPr>
      <w:r>
        <w:rPr>
          <w:rFonts w:hint="eastAsia"/>
          <w:b/>
          <w:sz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评标要求</w:t>
      </w:r>
    </w:p>
    <w:p>
      <w:pPr>
        <w:ind w:left="630" w:leftChars="300" w:firstLine="411" w:firstLineChars="196"/>
        <w:rPr>
          <w:rFonts w:ascii="宋体" w:hAnsi="宋体"/>
          <w:szCs w:val="21"/>
        </w:rPr>
      </w:pPr>
      <w:r>
        <w:rPr>
          <w:rFonts w:hint="eastAsia" w:ascii="宋体" w:hAnsi="宋体"/>
          <w:szCs w:val="21"/>
        </w:rPr>
        <w:t>第七章  评标程序及评标方法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rPr>
          <w:sz w:val="24"/>
        </w:rPr>
      </w:pPr>
    </w:p>
    <w:p>
      <w:pPr>
        <w:rPr>
          <w:b/>
        </w:rPr>
      </w:pPr>
      <w:r>
        <w:rPr>
          <w:rFonts w:hint="eastAsia"/>
          <w:b/>
        </w:rPr>
        <w:t>备注：</w:t>
      </w:r>
    </w:p>
    <w:p>
      <w:pPr>
        <w:spacing w:line="360" w:lineRule="auto"/>
        <w:ind w:firstLine="420" w:firstLineChars="200"/>
        <w:jc w:val="left"/>
        <w:rPr>
          <w:rFonts w:ascii="宋体" w:hAnsi="宋体"/>
          <w:szCs w:val="21"/>
        </w:rPr>
      </w:pPr>
      <w:r>
        <w:rPr>
          <w:rFonts w:hint="eastAsia" w:ascii="宋体" w:hAnsi="宋体"/>
          <w:szCs w:val="21"/>
        </w:rPr>
        <w:t>1.本招标文件分为第一册“专用条款”和第二册“通用条款”。</w:t>
      </w:r>
    </w:p>
    <w:p>
      <w:pPr>
        <w:spacing w:line="360" w:lineRule="auto"/>
        <w:ind w:firstLine="420" w:firstLineChars="200"/>
        <w:jc w:val="left"/>
        <w:rPr>
          <w:rFonts w:ascii="宋体" w:hAnsi="宋体"/>
          <w:szCs w:val="21"/>
        </w:rPr>
      </w:pPr>
      <w:r>
        <w:rPr>
          <w:rFonts w:hint="eastAsia" w:ascii="宋体" w:hAnsi="宋体"/>
          <w:szCs w:val="21"/>
        </w:rPr>
        <w:t>2.“专用条款”是对本次采购项目的具体要求，包含招标公告、招标项目需求、投标文件格式、合同及履约情况反馈格式等内容。</w:t>
      </w:r>
    </w:p>
    <w:p>
      <w:pPr>
        <w:spacing w:line="360" w:lineRule="auto"/>
        <w:ind w:firstLine="420" w:firstLineChars="200"/>
        <w:jc w:val="left"/>
        <w:rPr>
          <w:rFonts w:ascii="宋体" w:hAnsi="宋体"/>
          <w:szCs w:val="21"/>
        </w:rPr>
      </w:pPr>
      <w:r>
        <w:rPr>
          <w:rFonts w:hint="eastAsia" w:ascii="宋体" w:hAnsi="宋体"/>
          <w:szCs w:val="21"/>
        </w:rPr>
        <w:t>3.“通用条款”是适用于政府采购项目的基础性条款，具有普遍性和通用性。</w:t>
      </w:r>
    </w:p>
    <w:p>
      <w:pPr>
        <w:spacing w:line="360" w:lineRule="auto"/>
        <w:ind w:firstLine="420" w:firstLineChars="200"/>
        <w:jc w:val="left"/>
        <w:rPr>
          <w:rFonts w:ascii="宋体" w:hAnsi="宋体"/>
          <w:szCs w:val="21"/>
        </w:rPr>
      </w:pPr>
      <w:r>
        <w:rPr>
          <w:rFonts w:hint="eastAsia" w:ascii="宋体" w:hAnsi="宋体"/>
          <w:szCs w:val="21"/>
        </w:rPr>
        <w:t>4.当出现“专用条款”和“通用条款”表述不一致或有冲突时，以“专用条款”为准。</w:t>
      </w:r>
    </w:p>
    <w:p>
      <w:pPr>
        <w:rPr>
          <w:b/>
          <w:sz w:val="24"/>
        </w:rPr>
      </w:pPr>
    </w:p>
    <w:p>
      <w:pPr>
        <w:rPr>
          <w:rFonts w:ascii="宋体" w:hAnsi="宋体"/>
          <w:szCs w:val="21"/>
        </w:rPr>
      </w:pPr>
      <w:r>
        <w:rPr>
          <w:rFonts w:hint="eastAsia"/>
          <w:sz w:val="24"/>
        </w:rPr>
        <w:t xml:space="preserve">  </w:t>
      </w:r>
    </w:p>
    <w:p>
      <w:pPr>
        <w:pStyle w:val="4"/>
        <w:rPr>
          <w:sz w:val="24"/>
        </w:rPr>
      </w:pPr>
      <w:r>
        <w:br w:type="page"/>
      </w:r>
      <w:bookmarkStart w:id="0" w:name="bt投标报价汇总表"/>
      <w:bookmarkEnd w:id="0"/>
      <w:bookmarkStart w:id="1" w:name="bt投标人情况介绍"/>
      <w:bookmarkEnd w:id="1"/>
      <w:bookmarkStart w:id="2" w:name="bt投标函"/>
      <w:bookmarkEnd w:id="2"/>
      <w:bookmarkStart w:id="3" w:name="bt其他资料2"/>
      <w:bookmarkEnd w:id="3"/>
      <w:bookmarkStart w:id="4" w:name="合同格式"/>
      <w:bookmarkEnd w:id="4"/>
      <w:bookmarkStart w:id="5" w:name="bt开标一览表"/>
      <w:bookmarkEnd w:id="5"/>
      <w:bookmarkStart w:id="6" w:name="bt投标文件签署授权委托书"/>
      <w:bookmarkEnd w:id="6"/>
      <w:bookmarkStart w:id="7" w:name="bt合同格式"/>
      <w:bookmarkEnd w:id="7"/>
      <w:bookmarkStart w:id="8" w:name="bt合同条款"/>
      <w:bookmarkEnd w:id="8"/>
      <w:bookmarkStart w:id="9" w:name="bt本工程承诺书"/>
      <w:bookmarkEnd w:id="9"/>
      <w:bookmarkStart w:id="10" w:name="bt合同条款及格式"/>
      <w:bookmarkEnd w:id="10"/>
      <w:bookmarkStart w:id="11" w:name="bt说明"/>
      <w:bookmarkEnd w:id="11"/>
      <w:bookmarkStart w:id="12" w:name="bt其他资料由投标人自定"/>
      <w:bookmarkEnd w:id="12"/>
      <w:bookmarkStart w:id="13" w:name="bt投标人须知"/>
      <w:bookmarkEnd w:id="13"/>
      <w:bookmarkStart w:id="14" w:name="bt技术标投标文件格式"/>
      <w:bookmarkEnd w:id="14"/>
      <w:bookmarkStart w:id="15" w:name="bt项目管理班子配备情况"/>
      <w:bookmarkEnd w:id="15"/>
      <w:bookmarkStart w:id="16" w:name="bt商务标投标文件格式"/>
      <w:bookmarkEnd w:id="16"/>
      <w:r>
        <w:rPr>
          <w:rFonts w:hint="eastAsia"/>
        </w:rPr>
        <w:t>第一册  专用条款</w:t>
      </w:r>
    </w:p>
    <w:p>
      <w:pPr>
        <w:keepNext/>
        <w:keepLines/>
        <w:adjustRightInd w:val="0"/>
        <w:spacing w:before="260" w:after="260" w:line="360" w:lineRule="exact"/>
        <w:jc w:val="center"/>
        <w:textAlignment w:val="baseline"/>
        <w:outlineLvl w:val="1"/>
        <w:rPr>
          <w:rFonts w:ascii="宋体" w:hAnsi="宋体"/>
          <w:b/>
          <w:bCs/>
          <w:kern w:val="0"/>
          <w:sz w:val="24"/>
          <w:szCs w:val="20"/>
        </w:rPr>
      </w:pPr>
      <w:r>
        <w:rPr>
          <w:rFonts w:hint="eastAsia" w:ascii="宋体" w:hAnsi="宋体"/>
          <w:b/>
          <w:bCs/>
          <w:kern w:val="0"/>
          <w:sz w:val="24"/>
          <w:szCs w:val="20"/>
        </w:rPr>
        <w:t>第一章  招标公告</w:t>
      </w:r>
    </w:p>
    <w:p>
      <w:pPr>
        <w:pStyle w:val="37"/>
        <w:widowControl/>
        <w:spacing w:line="360" w:lineRule="exact"/>
        <w:rPr>
          <w:rFonts w:ascii="宋体" w:hAnsi="宋体"/>
          <w:sz w:val="21"/>
        </w:rPr>
      </w:pPr>
      <w:bookmarkStart w:id="17" w:name="OLE_LINK1"/>
      <w:bookmarkStart w:id="18" w:name="OLE_LINK2"/>
      <w:r>
        <w:rPr>
          <w:rFonts w:ascii="宋体" w:hAnsi="宋体"/>
          <w:sz w:val="21"/>
        </w:rPr>
        <w:t>项目概况</w:t>
      </w:r>
      <w:r>
        <w:rPr>
          <w:rFonts w:hint="eastAsia" w:ascii="宋体" w:hAnsi="宋体"/>
          <w:sz w:val="21"/>
        </w:rPr>
        <w:t>:</w:t>
      </w:r>
    </w:p>
    <w:p>
      <w:pPr>
        <w:pStyle w:val="37"/>
        <w:widowControl/>
        <w:spacing w:line="360" w:lineRule="exact"/>
        <w:ind w:firstLine="424" w:firstLineChars="202"/>
        <w:rPr>
          <w:rFonts w:ascii="宋体" w:hAnsi="宋体"/>
          <w:sz w:val="21"/>
        </w:rPr>
      </w:pPr>
      <w:r>
        <w:rPr>
          <w:rFonts w:hint="eastAsia" w:ascii="宋体" w:hAnsi="宋体"/>
          <w:sz w:val="21"/>
          <w:szCs w:val="21"/>
        </w:rPr>
        <w:t>60岁以及上人群4价流感疫苗</w:t>
      </w:r>
      <w:r>
        <w:rPr>
          <w:rFonts w:hint="eastAsia" w:ascii="宋体" w:hAnsi="宋体"/>
          <w:sz w:val="21"/>
          <w:szCs w:val="21"/>
          <w:lang w:val="en-US" w:eastAsia="zh-CN"/>
        </w:rPr>
        <w:t>项目</w:t>
      </w:r>
      <w:bookmarkStart w:id="101" w:name="_GoBack"/>
      <w:bookmarkEnd w:id="101"/>
      <w:r>
        <w:rPr>
          <w:rFonts w:ascii="宋体" w:hAnsi="宋体"/>
          <w:sz w:val="21"/>
        </w:rPr>
        <w:t>的潜在投标人应在（本公告附件中）获取招标文件，并于</w:t>
      </w:r>
      <w:r>
        <w:rPr>
          <w:rFonts w:ascii="宋体" w:hAnsi="宋体"/>
          <w:b/>
          <w:sz w:val="21"/>
          <w:u w:val="single"/>
        </w:rPr>
        <w:t>2023年</w:t>
      </w:r>
      <w:r>
        <w:rPr>
          <w:rFonts w:hint="eastAsia" w:ascii="宋体" w:hAnsi="宋体"/>
          <w:b/>
          <w:sz w:val="21"/>
          <w:u w:val="single"/>
          <w:lang w:val="en-US" w:eastAsia="zh-CN"/>
        </w:rPr>
        <w:t>06</w:t>
      </w:r>
      <w:r>
        <w:rPr>
          <w:rFonts w:ascii="宋体" w:hAnsi="宋体"/>
          <w:b/>
          <w:sz w:val="21"/>
          <w:u w:val="single"/>
        </w:rPr>
        <w:t>月</w:t>
      </w:r>
      <w:r>
        <w:rPr>
          <w:rFonts w:hint="eastAsia" w:ascii="宋体" w:hAnsi="宋体"/>
          <w:b/>
          <w:sz w:val="21"/>
          <w:u w:val="single"/>
          <w:lang w:val="en-US" w:eastAsia="zh-CN"/>
        </w:rPr>
        <w:t>20</w:t>
      </w:r>
      <w:r>
        <w:rPr>
          <w:rFonts w:ascii="宋体" w:hAnsi="宋体"/>
          <w:b/>
          <w:sz w:val="21"/>
          <w:u w:val="single"/>
        </w:rPr>
        <w:t>日</w:t>
      </w:r>
      <w:r>
        <w:rPr>
          <w:rFonts w:hint="eastAsia" w:ascii="宋体" w:hAnsi="宋体"/>
          <w:b/>
          <w:sz w:val="21"/>
          <w:u w:val="single"/>
        </w:rPr>
        <w:t>14:00</w:t>
      </w:r>
      <w:r>
        <w:rPr>
          <w:rFonts w:ascii="宋体" w:hAnsi="宋体"/>
          <w:b/>
          <w:sz w:val="21"/>
          <w:u w:val="single"/>
        </w:rPr>
        <w:t>（北京时间）</w:t>
      </w:r>
      <w:r>
        <w:rPr>
          <w:rFonts w:ascii="宋体" w:hAnsi="宋体"/>
          <w:sz w:val="21"/>
        </w:rPr>
        <w:t xml:space="preserve">前递交投标文件。 </w:t>
      </w:r>
    </w:p>
    <w:p>
      <w:pPr>
        <w:pStyle w:val="37"/>
        <w:widowControl/>
        <w:spacing w:line="360" w:lineRule="exact"/>
        <w:rPr>
          <w:rFonts w:ascii="宋体" w:hAnsi="宋体"/>
          <w:sz w:val="21"/>
        </w:rPr>
      </w:pPr>
    </w:p>
    <w:p>
      <w:pPr>
        <w:pStyle w:val="37"/>
        <w:widowControl/>
        <w:spacing w:line="360" w:lineRule="exact"/>
        <w:rPr>
          <w:rFonts w:ascii="宋体" w:hAnsi="宋体"/>
          <w:sz w:val="21"/>
        </w:rPr>
      </w:pPr>
      <w:r>
        <w:rPr>
          <w:rFonts w:ascii="宋体" w:hAnsi="宋体"/>
          <w:sz w:val="21"/>
        </w:rPr>
        <w:t>一、项目基本情况</w:t>
      </w:r>
    </w:p>
    <w:p>
      <w:pPr>
        <w:pStyle w:val="37"/>
        <w:widowControl/>
        <w:spacing w:line="360" w:lineRule="exact"/>
        <w:ind w:firstLine="424" w:firstLineChars="202"/>
        <w:rPr>
          <w:rFonts w:ascii="宋体" w:hAnsi="宋体"/>
          <w:sz w:val="21"/>
          <w:szCs w:val="21"/>
        </w:rPr>
      </w:pPr>
      <w:r>
        <w:rPr>
          <w:rFonts w:ascii="宋体" w:hAnsi="宋体"/>
          <w:sz w:val="21"/>
          <w:szCs w:val="21"/>
        </w:rPr>
        <w:t>1</w:t>
      </w:r>
      <w:r>
        <w:rPr>
          <w:rFonts w:hint="eastAsia" w:ascii="宋体" w:hAnsi="宋体"/>
          <w:sz w:val="21"/>
          <w:szCs w:val="21"/>
        </w:rPr>
        <w:t>、</w:t>
      </w:r>
      <w:r>
        <w:rPr>
          <w:rFonts w:ascii="宋体" w:hAnsi="宋体"/>
          <w:sz w:val="21"/>
          <w:szCs w:val="21"/>
        </w:rPr>
        <w:t>项目编号：SZDL2023001249</w:t>
      </w:r>
    </w:p>
    <w:p>
      <w:pPr>
        <w:pStyle w:val="37"/>
        <w:widowControl/>
        <w:spacing w:line="360" w:lineRule="exact"/>
        <w:ind w:firstLine="424" w:firstLineChars="202"/>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项目名称：</w:t>
      </w:r>
      <w:r>
        <w:rPr>
          <w:rFonts w:hint="eastAsia" w:ascii="宋体" w:hAnsi="宋体"/>
          <w:sz w:val="21"/>
          <w:szCs w:val="21"/>
        </w:rPr>
        <w:t>60岁以及上人群4价流感疫苗</w:t>
      </w:r>
    </w:p>
    <w:p>
      <w:pPr>
        <w:pStyle w:val="37"/>
        <w:widowControl/>
        <w:spacing w:line="360" w:lineRule="exact"/>
        <w:ind w:firstLine="424" w:firstLineChars="202"/>
        <w:rPr>
          <w:rFonts w:ascii="宋体" w:hAnsi="宋体"/>
          <w:sz w:val="21"/>
          <w:szCs w:val="21"/>
        </w:rPr>
      </w:pPr>
      <w:r>
        <w:rPr>
          <w:rFonts w:ascii="宋体" w:hAnsi="宋体"/>
          <w:sz w:val="21"/>
          <w:szCs w:val="21"/>
        </w:rPr>
        <w:t>3</w:t>
      </w:r>
      <w:r>
        <w:rPr>
          <w:rFonts w:hint="eastAsia" w:ascii="宋体" w:hAnsi="宋体"/>
          <w:sz w:val="21"/>
          <w:szCs w:val="21"/>
        </w:rPr>
        <w:t>、</w:t>
      </w:r>
      <w:r>
        <w:rPr>
          <w:rFonts w:ascii="宋体" w:hAnsi="宋体"/>
          <w:sz w:val="21"/>
          <w:szCs w:val="21"/>
        </w:rPr>
        <w:t>预算金额：</w:t>
      </w:r>
      <w:r>
        <w:rPr>
          <w:rFonts w:hint="eastAsia" w:ascii="宋体" w:hAnsi="宋体"/>
          <w:sz w:val="21"/>
          <w:szCs w:val="21"/>
        </w:rPr>
        <w:t>人民币</w:t>
      </w:r>
      <w:r>
        <w:rPr>
          <w:rFonts w:ascii="宋体" w:hAnsi="宋体"/>
          <w:sz w:val="21"/>
          <w:szCs w:val="21"/>
        </w:rPr>
        <w:t>6</w:t>
      </w:r>
      <w:r>
        <w:rPr>
          <w:rFonts w:hint="eastAsia" w:ascii="宋体" w:hAnsi="宋体"/>
          <w:sz w:val="21"/>
          <w:szCs w:val="21"/>
        </w:rPr>
        <w:t>,</w:t>
      </w:r>
      <w:r>
        <w:rPr>
          <w:rFonts w:ascii="宋体" w:hAnsi="宋体"/>
          <w:sz w:val="21"/>
          <w:szCs w:val="21"/>
        </w:rPr>
        <w:t>000</w:t>
      </w:r>
      <w:r>
        <w:rPr>
          <w:rFonts w:hint="eastAsia" w:ascii="宋体" w:hAnsi="宋体"/>
          <w:sz w:val="21"/>
          <w:szCs w:val="21"/>
        </w:rPr>
        <w:t>,0</w:t>
      </w:r>
      <w:r>
        <w:rPr>
          <w:rFonts w:ascii="宋体" w:hAnsi="宋体"/>
          <w:sz w:val="21"/>
          <w:szCs w:val="21"/>
        </w:rPr>
        <w:t>0</w:t>
      </w:r>
      <w:r>
        <w:rPr>
          <w:rFonts w:hint="eastAsia" w:ascii="宋体" w:hAnsi="宋体"/>
          <w:sz w:val="21"/>
          <w:szCs w:val="21"/>
        </w:rPr>
        <w:t>0.00</w:t>
      </w:r>
      <w:r>
        <w:rPr>
          <w:rFonts w:ascii="宋体" w:hAnsi="宋体"/>
          <w:sz w:val="21"/>
          <w:szCs w:val="21"/>
        </w:rPr>
        <w:t>元</w:t>
      </w:r>
    </w:p>
    <w:p>
      <w:pPr>
        <w:pStyle w:val="37"/>
        <w:widowControl/>
        <w:spacing w:line="360" w:lineRule="exact"/>
        <w:ind w:firstLine="424" w:firstLineChars="202"/>
        <w:rPr>
          <w:rFonts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最高限价：</w:t>
      </w:r>
      <w:r>
        <w:rPr>
          <w:rFonts w:hint="eastAsia" w:ascii="宋体" w:hAnsi="宋体"/>
          <w:sz w:val="21"/>
          <w:szCs w:val="21"/>
        </w:rPr>
        <w:t>人民币</w:t>
      </w:r>
      <w:r>
        <w:rPr>
          <w:rFonts w:ascii="宋体" w:hAnsi="宋体"/>
          <w:sz w:val="21"/>
          <w:szCs w:val="21"/>
        </w:rPr>
        <w:t>6</w:t>
      </w:r>
      <w:r>
        <w:rPr>
          <w:rFonts w:hint="eastAsia" w:ascii="宋体" w:hAnsi="宋体"/>
          <w:sz w:val="21"/>
          <w:szCs w:val="21"/>
        </w:rPr>
        <w:t>,</w:t>
      </w:r>
      <w:r>
        <w:rPr>
          <w:rFonts w:ascii="宋体" w:hAnsi="宋体"/>
          <w:sz w:val="21"/>
          <w:szCs w:val="21"/>
        </w:rPr>
        <w:t>000</w:t>
      </w:r>
      <w:r>
        <w:rPr>
          <w:rFonts w:hint="eastAsia" w:ascii="宋体" w:hAnsi="宋体"/>
          <w:sz w:val="21"/>
          <w:szCs w:val="21"/>
        </w:rPr>
        <w:t>,0</w:t>
      </w:r>
      <w:r>
        <w:rPr>
          <w:rFonts w:ascii="宋体" w:hAnsi="宋体"/>
          <w:sz w:val="21"/>
          <w:szCs w:val="21"/>
        </w:rPr>
        <w:t>0</w:t>
      </w:r>
      <w:r>
        <w:rPr>
          <w:rFonts w:hint="eastAsia" w:ascii="宋体" w:hAnsi="宋体"/>
          <w:sz w:val="21"/>
          <w:szCs w:val="21"/>
        </w:rPr>
        <w:t>0.00元</w:t>
      </w:r>
    </w:p>
    <w:p>
      <w:pPr>
        <w:pStyle w:val="37"/>
        <w:widowControl/>
        <w:spacing w:line="360" w:lineRule="exact"/>
        <w:ind w:firstLine="424" w:firstLineChars="202"/>
        <w:rPr>
          <w:rFonts w:ascii="宋体" w:hAnsi="宋体"/>
          <w:sz w:val="21"/>
          <w:szCs w:val="21"/>
        </w:rPr>
      </w:pPr>
      <w:r>
        <w:rPr>
          <w:rFonts w:ascii="宋体" w:hAnsi="宋体"/>
          <w:sz w:val="21"/>
          <w:szCs w:val="21"/>
        </w:rPr>
        <w:t>5</w:t>
      </w:r>
      <w:r>
        <w:rPr>
          <w:rFonts w:hint="eastAsia" w:ascii="宋体" w:hAnsi="宋体"/>
          <w:sz w:val="21"/>
          <w:szCs w:val="21"/>
        </w:rPr>
        <w:t>、</w:t>
      </w:r>
      <w:r>
        <w:rPr>
          <w:rFonts w:ascii="宋体" w:hAnsi="宋体"/>
          <w:sz w:val="21"/>
          <w:szCs w:val="21"/>
        </w:rPr>
        <w:t>采购需求：</w:t>
      </w:r>
    </w:p>
    <w:tbl>
      <w:tblPr>
        <w:tblStyle w:val="42"/>
        <w:tblW w:w="8505" w:type="dxa"/>
        <w:tblInd w:w="60" w:type="dxa"/>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fixed"/>
        <w:tblCellMar>
          <w:top w:w="60" w:type="dxa"/>
          <w:left w:w="60" w:type="dxa"/>
          <w:bottom w:w="60" w:type="dxa"/>
          <w:right w:w="60" w:type="dxa"/>
        </w:tblCellMar>
      </w:tblPr>
      <w:tblGrid>
        <w:gridCol w:w="3261"/>
        <w:gridCol w:w="850"/>
        <w:gridCol w:w="992"/>
        <w:gridCol w:w="2552"/>
        <w:gridCol w:w="850"/>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3261"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cs="宋体"/>
                <w:szCs w:val="21"/>
              </w:rPr>
            </w:pPr>
            <w:r>
              <w:rPr>
                <w:rFonts w:hint="eastAsia" w:ascii="宋体" w:hAnsi="宋体" w:cs="宋体"/>
                <w:szCs w:val="21"/>
              </w:rPr>
              <w:t>标的名称</w:t>
            </w:r>
          </w:p>
        </w:tc>
        <w:tc>
          <w:tcPr>
            <w:tcW w:w="850"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cs="宋体"/>
                <w:szCs w:val="21"/>
              </w:rPr>
            </w:pPr>
            <w:r>
              <w:rPr>
                <w:rFonts w:hint="eastAsia" w:ascii="宋体" w:hAnsi="宋体" w:cs="宋体"/>
                <w:szCs w:val="21"/>
              </w:rPr>
              <w:t>数量</w:t>
            </w:r>
          </w:p>
        </w:tc>
        <w:tc>
          <w:tcPr>
            <w:tcW w:w="992"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cs="宋体"/>
                <w:szCs w:val="21"/>
              </w:rPr>
            </w:pPr>
            <w:r>
              <w:rPr>
                <w:rFonts w:hint="eastAsia" w:ascii="宋体" w:hAnsi="宋体" w:cs="宋体"/>
                <w:szCs w:val="21"/>
              </w:rPr>
              <w:t>单位</w:t>
            </w:r>
          </w:p>
        </w:tc>
        <w:tc>
          <w:tcPr>
            <w:tcW w:w="2552"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cs="宋体"/>
                <w:szCs w:val="21"/>
              </w:rPr>
            </w:pPr>
            <w:r>
              <w:rPr>
                <w:rFonts w:hint="eastAsia" w:ascii="宋体" w:hAnsi="宋体" w:cs="宋体"/>
                <w:szCs w:val="21"/>
              </w:rPr>
              <w:t>简要技术需求或服务要求</w:t>
            </w:r>
          </w:p>
        </w:tc>
        <w:tc>
          <w:tcPr>
            <w:tcW w:w="850"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cs="宋体"/>
                <w:szCs w:val="21"/>
              </w:rPr>
            </w:pPr>
            <w:r>
              <w:rPr>
                <w:rFonts w:hint="eastAsia" w:ascii="宋体" w:hAnsi="宋体" w:cs="宋体"/>
                <w:szCs w:val="21"/>
              </w:rPr>
              <w:t>备注</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3261"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exact"/>
              <w:jc w:val="center"/>
              <w:rPr>
                <w:rFonts w:ascii="宋体" w:hAnsi="宋体" w:cs="宋体"/>
                <w:szCs w:val="21"/>
              </w:rPr>
            </w:pPr>
            <w:r>
              <w:rPr>
                <w:rFonts w:hint="eastAsia" w:ascii="宋体" w:hAnsi="宋体" w:cs="宋体"/>
                <w:szCs w:val="21"/>
              </w:rPr>
              <w:t>详见货物清单明细</w:t>
            </w:r>
          </w:p>
        </w:tc>
        <w:tc>
          <w:tcPr>
            <w:tcW w:w="850"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exact"/>
              <w:jc w:val="center"/>
              <w:rPr>
                <w:rFonts w:ascii="宋体" w:hAnsi="宋体" w:cs="宋体"/>
                <w:szCs w:val="21"/>
              </w:rPr>
            </w:pPr>
            <w:r>
              <w:rPr>
                <w:rFonts w:hint="eastAsia" w:ascii="宋体" w:hAnsi="宋体" w:cs="宋体"/>
                <w:szCs w:val="21"/>
              </w:rPr>
              <w:t>1</w:t>
            </w:r>
          </w:p>
        </w:tc>
        <w:tc>
          <w:tcPr>
            <w:tcW w:w="992"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exact"/>
              <w:jc w:val="center"/>
              <w:rPr>
                <w:rFonts w:ascii="宋体" w:hAnsi="宋体" w:cs="宋体"/>
                <w:szCs w:val="21"/>
              </w:rPr>
            </w:pPr>
            <w:r>
              <w:rPr>
                <w:rFonts w:hint="eastAsia" w:ascii="宋体" w:hAnsi="宋体" w:cs="宋体"/>
                <w:szCs w:val="21"/>
              </w:rPr>
              <w:t>批</w:t>
            </w:r>
          </w:p>
        </w:tc>
        <w:tc>
          <w:tcPr>
            <w:tcW w:w="2552"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exact"/>
              <w:jc w:val="center"/>
              <w:rPr>
                <w:rFonts w:ascii="宋体" w:hAnsi="宋体" w:cs="宋体"/>
                <w:szCs w:val="21"/>
              </w:rPr>
            </w:pPr>
            <w:r>
              <w:rPr>
                <w:rFonts w:hint="eastAsia" w:ascii="宋体" w:hAnsi="宋体" w:cs="宋体"/>
                <w:szCs w:val="21"/>
              </w:rPr>
              <w:t>详见招标文件</w:t>
            </w:r>
          </w:p>
        </w:tc>
        <w:tc>
          <w:tcPr>
            <w:tcW w:w="850"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exact"/>
              <w:jc w:val="center"/>
              <w:rPr>
                <w:rFonts w:ascii="宋体" w:hAnsi="宋体" w:cs="宋体"/>
                <w:szCs w:val="21"/>
              </w:rPr>
            </w:pPr>
            <w:r>
              <w:rPr>
                <w:rFonts w:hint="eastAsia" w:ascii="宋体" w:hAnsi="宋体" w:cs="宋体"/>
                <w:szCs w:val="21"/>
              </w:rPr>
              <w:t>无</w:t>
            </w:r>
          </w:p>
        </w:tc>
      </w:tr>
    </w:tbl>
    <w:p>
      <w:pPr>
        <w:pStyle w:val="37"/>
        <w:widowControl/>
        <w:spacing w:line="360" w:lineRule="exact"/>
        <w:ind w:firstLine="424" w:firstLineChars="202"/>
        <w:rPr>
          <w:rFonts w:ascii="宋体" w:hAnsi="宋体"/>
          <w:sz w:val="21"/>
          <w:szCs w:val="21"/>
        </w:rPr>
      </w:pPr>
      <w:r>
        <w:rPr>
          <w:rFonts w:ascii="宋体" w:hAnsi="宋体"/>
          <w:sz w:val="21"/>
          <w:szCs w:val="21"/>
        </w:rPr>
        <w:t>6</w:t>
      </w:r>
      <w:r>
        <w:rPr>
          <w:rFonts w:hint="eastAsia" w:ascii="宋体" w:hAnsi="宋体"/>
          <w:sz w:val="21"/>
          <w:szCs w:val="21"/>
        </w:rPr>
        <w:t>、</w:t>
      </w:r>
      <w:r>
        <w:rPr>
          <w:rFonts w:ascii="宋体" w:hAnsi="宋体"/>
          <w:sz w:val="21"/>
          <w:szCs w:val="21"/>
        </w:rPr>
        <w:t>合同履行期限：</w:t>
      </w:r>
      <w:r>
        <w:rPr>
          <w:rFonts w:hint="eastAsia" w:asciiTheme="minorEastAsia" w:hAnsiTheme="minorEastAsia" w:eastAsiaTheme="minorEastAsia"/>
          <w:sz w:val="21"/>
          <w:szCs w:val="21"/>
        </w:rPr>
        <w:t>详见招标文件</w:t>
      </w:r>
    </w:p>
    <w:p>
      <w:pPr>
        <w:pStyle w:val="37"/>
        <w:widowControl/>
        <w:spacing w:line="360" w:lineRule="exact"/>
        <w:ind w:firstLine="424" w:firstLineChars="202"/>
        <w:rPr>
          <w:rFonts w:ascii="宋体" w:hAnsi="宋体"/>
          <w:sz w:val="21"/>
          <w:szCs w:val="21"/>
        </w:rPr>
      </w:pPr>
      <w:r>
        <w:rPr>
          <w:rFonts w:ascii="宋体" w:hAnsi="宋体"/>
          <w:sz w:val="21"/>
          <w:szCs w:val="21"/>
        </w:rPr>
        <w:t>7</w:t>
      </w:r>
      <w:r>
        <w:rPr>
          <w:rFonts w:hint="eastAsia" w:ascii="宋体" w:hAnsi="宋体"/>
          <w:sz w:val="21"/>
          <w:szCs w:val="21"/>
        </w:rPr>
        <w:t>、本项目（是/否）接受联合体投标：详见“申请人的资格要求”</w:t>
      </w:r>
    </w:p>
    <w:p>
      <w:pPr>
        <w:pStyle w:val="37"/>
        <w:widowControl/>
        <w:spacing w:line="360" w:lineRule="exact"/>
        <w:rPr>
          <w:rFonts w:ascii="宋体" w:hAnsi="宋体"/>
          <w:sz w:val="21"/>
          <w:szCs w:val="21"/>
        </w:rPr>
      </w:pPr>
    </w:p>
    <w:p>
      <w:pPr>
        <w:pStyle w:val="37"/>
        <w:widowControl/>
        <w:spacing w:line="360" w:lineRule="exact"/>
        <w:rPr>
          <w:rFonts w:ascii="宋体" w:hAnsi="宋体"/>
          <w:sz w:val="21"/>
        </w:rPr>
      </w:pPr>
      <w:r>
        <w:rPr>
          <w:rFonts w:ascii="宋体" w:hAnsi="宋体"/>
          <w:sz w:val="21"/>
        </w:rPr>
        <w:t>二、申请人的资格要求：</w:t>
      </w:r>
    </w:p>
    <w:p>
      <w:pPr>
        <w:pStyle w:val="37"/>
        <w:spacing w:line="360" w:lineRule="exact"/>
        <w:ind w:firstLine="424" w:firstLineChars="202"/>
        <w:rPr>
          <w:rFonts w:asciiTheme="minorEastAsia" w:hAnsiTheme="minorEastAsia" w:eastAsiaTheme="minorEastAsia"/>
          <w:sz w:val="21"/>
        </w:rPr>
      </w:pPr>
      <w:r>
        <w:rPr>
          <w:rFonts w:asciiTheme="minorEastAsia" w:hAnsiTheme="minorEastAsia" w:eastAsiaTheme="minorEastAsia"/>
          <w:sz w:val="21"/>
        </w:rPr>
        <w:t>1</w:t>
      </w:r>
      <w:r>
        <w:rPr>
          <w:rFonts w:hint="eastAsia" w:asciiTheme="minorEastAsia" w:hAnsiTheme="minorEastAsia" w:eastAsiaTheme="minorEastAsia"/>
          <w:sz w:val="21"/>
        </w:rPr>
        <w:t>、</w:t>
      </w:r>
      <w:r>
        <w:rPr>
          <w:rFonts w:asciiTheme="minorEastAsia" w:hAnsiTheme="minorEastAsia" w:eastAsiaTheme="minorEastAsia"/>
          <w:sz w:val="21"/>
        </w:rPr>
        <w:t>满足《中华人民共和国政府采购法》第二十二条规定</w:t>
      </w:r>
      <w:r>
        <w:rPr>
          <w:rFonts w:hint="eastAsia" w:asciiTheme="minorEastAsia" w:hAnsiTheme="minorEastAsia" w:eastAsiaTheme="minorEastAsia"/>
          <w:snapToGrid w:val="0"/>
          <w:sz w:val="21"/>
        </w:rPr>
        <w:t>（须提供具有独立承担民事责任能力的法人或其他组织的营业执照或法人证书等证明材料扫描件以及《</w:t>
      </w:r>
      <w:r>
        <w:rPr>
          <w:rFonts w:hint="eastAsia" w:asciiTheme="minorEastAsia" w:hAnsiTheme="minorEastAsia" w:eastAsiaTheme="minorEastAsia"/>
          <w:sz w:val="21"/>
        </w:rPr>
        <w:t>政府采购投标及履约承诺函</w:t>
      </w:r>
      <w:r>
        <w:rPr>
          <w:rFonts w:hint="eastAsia" w:asciiTheme="minorEastAsia" w:hAnsiTheme="minorEastAsia" w:eastAsiaTheme="minorEastAsia"/>
          <w:snapToGrid w:val="0"/>
          <w:sz w:val="21"/>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扫描件，原件备查</w:t>
      </w:r>
      <w:r>
        <w:rPr>
          <w:rFonts w:asciiTheme="minorEastAsia" w:hAnsiTheme="minorEastAsia" w:eastAsiaTheme="minorEastAsia"/>
          <w:sz w:val="21"/>
        </w:rPr>
        <w:t xml:space="preserve">； </w:t>
      </w:r>
    </w:p>
    <w:p>
      <w:pPr>
        <w:pStyle w:val="37"/>
        <w:spacing w:line="360" w:lineRule="exact"/>
        <w:ind w:firstLine="424" w:firstLineChars="202"/>
        <w:rPr>
          <w:rFonts w:asciiTheme="minorEastAsia" w:hAnsiTheme="minorEastAsia" w:eastAsiaTheme="minorEastAsia"/>
          <w:sz w:val="21"/>
        </w:rPr>
      </w:pPr>
      <w:r>
        <w:rPr>
          <w:rFonts w:asciiTheme="minorEastAsia" w:hAnsiTheme="minorEastAsia" w:eastAsiaTheme="minorEastAsia"/>
          <w:sz w:val="21"/>
        </w:rPr>
        <w:t>2</w:t>
      </w:r>
      <w:r>
        <w:rPr>
          <w:rFonts w:hint="eastAsia" w:asciiTheme="minorEastAsia" w:hAnsiTheme="minorEastAsia" w:eastAsiaTheme="minorEastAsia"/>
          <w:sz w:val="21"/>
        </w:rPr>
        <w:t>、</w:t>
      </w:r>
      <w:r>
        <w:rPr>
          <w:rFonts w:asciiTheme="minorEastAsia" w:hAnsiTheme="minorEastAsia" w:eastAsiaTheme="minorEastAsia"/>
          <w:sz w:val="21"/>
        </w:rPr>
        <w:t>落实政府采购政策需满足的资格要求：</w:t>
      </w:r>
      <w:r>
        <w:rPr>
          <w:rFonts w:hint="eastAsia" w:asciiTheme="minorEastAsia" w:hAnsiTheme="minorEastAsia" w:eastAsiaTheme="minorEastAsia"/>
          <w:sz w:val="21"/>
        </w:rPr>
        <w:t>无</w:t>
      </w:r>
      <w:r>
        <w:rPr>
          <w:rFonts w:asciiTheme="minorEastAsia" w:hAnsiTheme="minorEastAsia" w:eastAsiaTheme="minorEastAsia"/>
          <w:sz w:val="21"/>
        </w:rPr>
        <w:t xml:space="preserve">； </w:t>
      </w:r>
    </w:p>
    <w:p>
      <w:pPr>
        <w:pStyle w:val="37"/>
        <w:spacing w:line="360" w:lineRule="exact"/>
        <w:ind w:firstLine="424" w:firstLineChars="202"/>
        <w:rPr>
          <w:rFonts w:asciiTheme="minorEastAsia" w:hAnsiTheme="minorEastAsia" w:eastAsiaTheme="minorEastAsia"/>
          <w:sz w:val="21"/>
        </w:rPr>
      </w:pPr>
      <w:r>
        <w:rPr>
          <w:rFonts w:asciiTheme="minorEastAsia" w:hAnsiTheme="minorEastAsia" w:eastAsiaTheme="minorEastAsia"/>
          <w:sz w:val="21"/>
        </w:rPr>
        <w:t>3</w:t>
      </w:r>
      <w:r>
        <w:rPr>
          <w:rFonts w:hint="eastAsia" w:asciiTheme="minorEastAsia" w:hAnsiTheme="minorEastAsia" w:eastAsiaTheme="minorEastAsia"/>
          <w:sz w:val="21"/>
        </w:rPr>
        <w:t>、</w:t>
      </w:r>
      <w:r>
        <w:rPr>
          <w:rFonts w:asciiTheme="minorEastAsia" w:hAnsiTheme="minorEastAsia" w:eastAsiaTheme="minorEastAsia"/>
          <w:sz w:val="21"/>
        </w:rPr>
        <w:t>本项目的特定资格要求：</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（1）</w:t>
      </w:r>
      <w:r>
        <w:rPr>
          <w:rFonts w:hint="eastAsia" w:asciiTheme="minorEastAsia" w:hAnsiTheme="minorEastAsia" w:eastAsiaTheme="minorEastAsia"/>
          <w:snapToGrid w:val="0"/>
          <w:sz w:val="21"/>
        </w:rPr>
        <w:t>参与本项目投标前三年内，在经营活动中没有重大违法记录</w:t>
      </w:r>
      <w:r>
        <w:rPr>
          <w:rFonts w:hint="eastAsia" w:asciiTheme="minorEastAsia" w:hAnsiTheme="minorEastAsia" w:eastAsiaTheme="minorEastAsia"/>
          <w:sz w:val="21"/>
        </w:rPr>
        <w:t>（由供应商在《政府采购投标及履约承诺函》中作出声明）；</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（2）</w:t>
      </w:r>
      <w:r>
        <w:rPr>
          <w:rFonts w:hint="eastAsia" w:asciiTheme="minorEastAsia" w:hAnsiTheme="minorEastAsia" w:eastAsiaTheme="minorEastAsia"/>
          <w:snapToGrid w:val="0"/>
          <w:sz w:val="21"/>
        </w:rPr>
        <w:t>参与本项目政府采购活动时不存在被有关部门禁止参与政府采购活动且在有效期内的情况</w:t>
      </w:r>
      <w:r>
        <w:rPr>
          <w:rFonts w:hint="eastAsia" w:asciiTheme="minorEastAsia" w:hAnsiTheme="minorEastAsia" w:eastAsiaTheme="minorEastAsia"/>
          <w:sz w:val="21"/>
        </w:rPr>
        <w:t>（由供应商在《政府采购投标及履约承诺函》中作出声明）；</w:t>
      </w:r>
    </w:p>
    <w:p>
      <w:pPr>
        <w:pStyle w:val="37"/>
        <w:spacing w:line="360" w:lineRule="exact"/>
        <w:ind w:firstLine="424" w:firstLineChars="202"/>
        <w:jc w:val="left"/>
        <w:rPr>
          <w:rFonts w:asciiTheme="minorEastAsia" w:hAnsiTheme="minorEastAsia" w:eastAsiaTheme="minorEastAsia"/>
          <w:sz w:val="21"/>
        </w:rPr>
      </w:pPr>
      <w:r>
        <w:rPr>
          <w:rFonts w:hint="eastAsia" w:asciiTheme="minorEastAsia" w:hAnsiTheme="minorEastAsia" w:eastAsiaTheme="minorEastAsia"/>
          <w:sz w:val="21"/>
        </w:rPr>
        <w:t>（3）</w:t>
      </w:r>
      <w:r>
        <w:rPr>
          <w:rFonts w:hint="eastAsia" w:asciiTheme="minorEastAsia" w:hAnsiTheme="minorEastAsia" w:eastAsiaTheme="minorEastAsia"/>
          <w:snapToGrid w:val="0"/>
          <w:sz w:val="21"/>
        </w:rPr>
        <w:t>单位负责人为同一人或者存在直接控股、管理关系的不同供应商，不得参加同一合同项下</w:t>
      </w:r>
      <w:r>
        <w:rPr>
          <w:rFonts w:hint="eastAsia" w:asciiTheme="minorEastAsia" w:hAnsiTheme="minorEastAsia" w:eastAsiaTheme="minorEastAsia"/>
          <w:sz w:val="21"/>
        </w:rPr>
        <w:t>的政府采购活动（由供应商在《政府采购投标及履约承诺函》中作出声明）；</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（4）</w:t>
      </w:r>
      <w:r>
        <w:rPr>
          <w:rFonts w:hint="eastAsia" w:asciiTheme="minorEastAsia" w:hAnsiTheme="minorEastAsia" w:eastAsiaTheme="minorEastAsia"/>
          <w:snapToGrid w:val="0"/>
          <w:sz w:val="21"/>
        </w:rPr>
        <w:t>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sz w:val="21"/>
        </w:rPr>
        <w:t>（由供应商在《政府采购投标及履约承诺函》中作出声明）</w:t>
      </w:r>
      <w:r>
        <w:rPr>
          <w:rFonts w:hint="eastAsia" w:asciiTheme="minorEastAsia" w:hAnsiTheme="minorEastAsia" w:eastAsiaTheme="minorEastAsia"/>
          <w:snapToGrid w:val="0"/>
          <w:sz w:val="21"/>
        </w:rPr>
        <w:t>；</w:t>
      </w:r>
    </w:p>
    <w:p>
      <w:pPr>
        <w:spacing w:line="360" w:lineRule="exact"/>
        <w:ind w:firstLine="424" w:firstLineChars="202"/>
        <w:jc w:val="left"/>
        <w:rPr>
          <w:rFonts w:asciiTheme="minorEastAsia" w:hAnsiTheme="minorEastAsia" w:eastAsiaTheme="minorEastAsia"/>
        </w:rPr>
      </w:pPr>
      <w:r>
        <w:rPr>
          <w:rFonts w:hint="eastAsia" w:asciiTheme="minorEastAsia" w:hAnsiTheme="minorEastAsia" w:eastAsiaTheme="minorEastAsia"/>
        </w:rPr>
        <w:t>（5）参与本项目政府采购活动不存在与其他采购参加人串通投标，隐瞒真实情况，提供虚假资料等违法违规情形（由供应商在《政府采购投标及履约承诺函》中作出声明）；</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供应商信用信息查询渠道，相关信息以开标当日的查询结果为准。由采购代理机构查询，供应商无需提供证明材料）；</w:t>
      </w:r>
    </w:p>
    <w:p>
      <w:pPr>
        <w:pStyle w:val="195"/>
        <w:adjustRightInd w:val="0"/>
        <w:snapToGrid w:val="0"/>
        <w:spacing w:before="0" w:beforeAutospacing="0" w:after="0" w:afterAutospacing="0" w:line="360" w:lineRule="exact"/>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投标人如为制造厂家，提供药品监督管理部门颁发的生产范围包含所投产品且在有效期内的《中华人民共和国药品生产许可证》扫描件；投标人如为经营企业，提供《中华人民共和国药品经营许可证》扫描件并具有疫苗经营范围；如国家另有规定的，则适用其规定，投标人提供相关证明；</w:t>
      </w:r>
    </w:p>
    <w:p>
      <w:pPr>
        <w:pStyle w:val="195"/>
        <w:adjustRightInd w:val="0"/>
        <w:snapToGrid w:val="0"/>
        <w:spacing w:before="0" w:beforeAutospacing="0" w:after="0" w:afterAutospacing="0" w:line="360" w:lineRule="exact"/>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（8）本项目不接受联合体投标，不允许非法分包或转包；</w:t>
      </w:r>
    </w:p>
    <w:p>
      <w:pPr>
        <w:pStyle w:val="195"/>
        <w:adjustRightInd w:val="0"/>
        <w:snapToGrid w:val="0"/>
        <w:spacing w:before="0" w:beforeAutospacing="0" w:after="0" w:afterAutospacing="0" w:line="360" w:lineRule="exact"/>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（9）本项目不接受进口产品投标（进口产品是指通过中国海关报关验放进入中国境内且产自关境外的产品，相关内容以“财库【2007】119号文”和“财办库【2008】248号文”的相关规定为准）。</w:t>
      </w:r>
    </w:p>
    <w:p>
      <w:pPr>
        <w:pStyle w:val="195"/>
        <w:adjustRightInd w:val="0"/>
        <w:snapToGrid w:val="0"/>
        <w:spacing w:before="0" w:beforeAutospacing="0" w:after="0" w:afterAutospacing="0" w:line="360" w:lineRule="exact"/>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注：供应商投标（上传投标文件）必须先行办理注册手续，具体请按照本公告“三、获取招标文件”相关内容指引办理。</w:t>
      </w:r>
    </w:p>
    <w:p>
      <w:pPr>
        <w:pStyle w:val="37"/>
        <w:widowControl/>
        <w:spacing w:line="360" w:lineRule="exact"/>
        <w:rPr>
          <w:rFonts w:ascii="宋体" w:hAnsi="宋体"/>
          <w:sz w:val="21"/>
        </w:rPr>
      </w:pPr>
    </w:p>
    <w:p>
      <w:pPr>
        <w:pStyle w:val="37"/>
        <w:widowControl/>
        <w:spacing w:line="360" w:lineRule="exact"/>
        <w:rPr>
          <w:rFonts w:ascii="宋体" w:hAnsi="宋体"/>
          <w:sz w:val="21"/>
        </w:rPr>
      </w:pPr>
      <w:r>
        <w:rPr>
          <w:rFonts w:ascii="宋体" w:hAnsi="宋体"/>
          <w:sz w:val="21"/>
        </w:rPr>
        <w:t>三、获取招标文件</w:t>
      </w:r>
    </w:p>
    <w:p>
      <w:pPr>
        <w:pStyle w:val="37"/>
        <w:widowControl/>
        <w:spacing w:line="360" w:lineRule="exact"/>
        <w:ind w:firstLine="420" w:firstLineChars="200"/>
        <w:rPr>
          <w:rFonts w:ascii="宋体" w:hAnsi="宋体"/>
          <w:sz w:val="21"/>
        </w:rPr>
      </w:pPr>
      <w:r>
        <w:rPr>
          <w:rFonts w:hint="eastAsia" w:ascii="宋体" w:hAnsi="宋体"/>
          <w:sz w:val="21"/>
        </w:rPr>
        <w:t>1、</w:t>
      </w:r>
      <w:r>
        <w:rPr>
          <w:rFonts w:ascii="宋体" w:hAnsi="宋体"/>
          <w:sz w:val="21"/>
        </w:rPr>
        <w:t>时间：</w:t>
      </w:r>
      <w:r>
        <w:rPr>
          <w:rFonts w:hint="eastAsia" w:ascii="宋体" w:hAnsi="宋体"/>
          <w:b/>
          <w:sz w:val="21"/>
          <w:u w:val="single"/>
        </w:rPr>
        <w:t>2023年</w:t>
      </w:r>
      <w:r>
        <w:rPr>
          <w:rFonts w:hint="eastAsia" w:ascii="宋体" w:hAnsi="宋体"/>
          <w:b/>
          <w:sz w:val="21"/>
          <w:u w:val="single"/>
          <w:lang w:val="en-US" w:eastAsia="zh-CN"/>
        </w:rPr>
        <w:t>06</w:t>
      </w:r>
      <w:r>
        <w:rPr>
          <w:rFonts w:hint="eastAsia" w:ascii="宋体" w:hAnsi="宋体"/>
          <w:b/>
          <w:sz w:val="21"/>
          <w:u w:val="single"/>
        </w:rPr>
        <w:t>月</w:t>
      </w:r>
      <w:r>
        <w:rPr>
          <w:rFonts w:hint="eastAsia" w:ascii="宋体" w:hAnsi="宋体"/>
          <w:b/>
          <w:sz w:val="21"/>
          <w:u w:val="single"/>
          <w:lang w:val="en-US" w:eastAsia="zh-CN"/>
        </w:rPr>
        <w:t>09</w:t>
      </w:r>
      <w:r>
        <w:rPr>
          <w:rFonts w:hint="eastAsia" w:ascii="宋体" w:hAnsi="宋体"/>
          <w:b/>
          <w:sz w:val="21"/>
          <w:u w:val="single"/>
        </w:rPr>
        <w:t>日至2023年</w:t>
      </w:r>
      <w:r>
        <w:rPr>
          <w:rFonts w:hint="eastAsia" w:ascii="宋体" w:hAnsi="宋体"/>
          <w:b/>
          <w:sz w:val="21"/>
          <w:u w:val="single"/>
          <w:lang w:val="en-US" w:eastAsia="zh-CN"/>
        </w:rPr>
        <w:t>06</w:t>
      </w:r>
      <w:r>
        <w:rPr>
          <w:rFonts w:hint="eastAsia" w:ascii="宋体" w:hAnsi="宋体"/>
          <w:b/>
          <w:sz w:val="21"/>
          <w:u w:val="single"/>
        </w:rPr>
        <w:t>月</w:t>
      </w:r>
      <w:r>
        <w:rPr>
          <w:rFonts w:hint="eastAsia" w:ascii="宋体" w:hAnsi="宋体"/>
          <w:b/>
          <w:sz w:val="21"/>
          <w:u w:val="single"/>
          <w:lang w:val="en-US" w:eastAsia="zh-CN"/>
        </w:rPr>
        <w:t>20</w:t>
      </w:r>
      <w:r>
        <w:rPr>
          <w:rFonts w:hint="eastAsia" w:ascii="宋体" w:hAnsi="宋体"/>
          <w:b/>
          <w:sz w:val="21"/>
          <w:u w:val="single"/>
        </w:rPr>
        <w:t>日</w:t>
      </w:r>
      <w:r>
        <w:rPr>
          <w:rFonts w:ascii="宋体" w:hAnsi="宋体"/>
          <w:b/>
          <w:sz w:val="21"/>
          <w:u w:val="single"/>
        </w:rPr>
        <w:t>14:00</w:t>
      </w:r>
      <w:r>
        <w:rPr>
          <w:rFonts w:hint="eastAsia" w:ascii="宋体" w:hAnsi="宋体"/>
          <w:b/>
          <w:sz w:val="21"/>
          <w:u w:val="single"/>
        </w:rPr>
        <w:t>，每天上午0:00至12:00，下午12:00至24:00（北京时间，法定节假日除外）</w:t>
      </w:r>
      <w:r>
        <w:rPr>
          <w:rFonts w:hint="eastAsia" w:ascii="宋体" w:hAnsi="宋体"/>
          <w:sz w:val="21"/>
        </w:rPr>
        <w:t>。</w:t>
      </w:r>
      <w:r>
        <w:rPr>
          <w:rFonts w:ascii="宋体" w:hAnsi="宋体"/>
          <w:sz w:val="21"/>
        </w:rPr>
        <w:t xml:space="preserve"> </w:t>
      </w:r>
    </w:p>
    <w:p>
      <w:pPr>
        <w:pStyle w:val="37"/>
        <w:spacing w:line="360" w:lineRule="exact"/>
        <w:ind w:firstLine="420" w:firstLineChars="200"/>
        <w:rPr>
          <w:rFonts w:asciiTheme="minorEastAsia" w:hAnsiTheme="minorEastAsia" w:eastAsiaTheme="minorEastAsia"/>
          <w:sz w:val="21"/>
        </w:rPr>
      </w:pPr>
      <w:r>
        <w:rPr>
          <w:rFonts w:hint="eastAsia" w:asciiTheme="minorEastAsia" w:hAnsiTheme="minorEastAsia" w:eastAsiaTheme="minorEastAsia"/>
          <w:sz w:val="21"/>
        </w:rPr>
        <w:t>2、</w:t>
      </w:r>
      <w:r>
        <w:rPr>
          <w:rFonts w:asciiTheme="minorEastAsia" w:hAnsiTheme="minorEastAsia" w:eastAsiaTheme="minorEastAsia"/>
          <w:sz w:val="21"/>
        </w:rPr>
        <w:t>地点：</w:t>
      </w:r>
      <w:r>
        <w:rPr>
          <w:rFonts w:hint="eastAsia" w:asciiTheme="minorEastAsia" w:hAnsiTheme="minorEastAsia" w:eastAsiaTheme="minorEastAsia"/>
          <w:sz w:val="21"/>
        </w:rPr>
        <w:t>登录深圳政府采购智慧平台（http://zfcg.szggzy.com:8081/）下载本项目的招标文件</w:t>
      </w:r>
      <w:r>
        <w:rPr>
          <w:rFonts w:asciiTheme="minorEastAsia" w:hAnsiTheme="minorEastAsia" w:eastAsiaTheme="minorEastAsia"/>
          <w:sz w:val="21"/>
        </w:rPr>
        <w:t xml:space="preserve">。 </w:t>
      </w:r>
    </w:p>
    <w:p>
      <w:pPr>
        <w:pStyle w:val="37"/>
        <w:spacing w:line="360" w:lineRule="exact"/>
        <w:ind w:firstLine="420" w:firstLineChars="200"/>
        <w:rPr>
          <w:rFonts w:asciiTheme="minorEastAsia" w:hAnsiTheme="minorEastAsia" w:eastAsiaTheme="minorEastAsia"/>
          <w:sz w:val="21"/>
        </w:rPr>
      </w:pPr>
      <w:r>
        <w:rPr>
          <w:rFonts w:hint="eastAsia" w:asciiTheme="minorEastAsia" w:hAnsiTheme="minorEastAsia" w:eastAsiaTheme="minorEastAsia"/>
          <w:sz w:val="21"/>
        </w:rPr>
        <w:t>3、</w:t>
      </w:r>
      <w:r>
        <w:rPr>
          <w:rFonts w:asciiTheme="minorEastAsia" w:hAnsiTheme="minorEastAsia" w:eastAsiaTheme="minorEastAsia"/>
          <w:sz w:val="21"/>
        </w:rPr>
        <w:t xml:space="preserve">方式：在线下载。 </w:t>
      </w:r>
    </w:p>
    <w:p>
      <w:pPr>
        <w:pStyle w:val="37"/>
        <w:spacing w:line="360" w:lineRule="exact"/>
        <w:ind w:firstLine="420" w:firstLineChars="200"/>
        <w:rPr>
          <w:rFonts w:asciiTheme="minorEastAsia" w:hAnsiTheme="minorEastAsia" w:eastAsiaTheme="minorEastAsia"/>
          <w:sz w:val="21"/>
        </w:rPr>
      </w:pPr>
      <w:r>
        <w:rPr>
          <w:rFonts w:hint="eastAsia" w:asciiTheme="minorEastAsia" w:hAnsiTheme="minorEastAsia" w:eastAsiaTheme="minorEastAsia"/>
          <w:sz w:val="21"/>
        </w:rPr>
        <w:t>4、</w:t>
      </w:r>
      <w:r>
        <w:rPr>
          <w:rFonts w:asciiTheme="minorEastAsia" w:hAnsiTheme="minorEastAsia" w:eastAsiaTheme="minorEastAsia"/>
          <w:sz w:val="21"/>
        </w:rPr>
        <w:t>售价：免费。</w:t>
      </w:r>
    </w:p>
    <w:p>
      <w:pPr>
        <w:pStyle w:val="37"/>
        <w:spacing w:line="360" w:lineRule="exact"/>
        <w:ind w:firstLine="420" w:firstLineChars="200"/>
        <w:rPr>
          <w:rFonts w:asciiTheme="minorEastAsia" w:hAnsiTheme="minorEastAsia" w:eastAsiaTheme="minorEastAsia"/>
          <w:sz w:val="21"/>
        </w:rPr>
      </w:pPr>
      <w:r>
        <w:rPr>
          <w:rFonts w:hint="eastAsia" w:asciiTheme="minorEastAsia" w:hAnsiTheme="minorEastAsia" w:eastAsiaTheme="minorEastAsia"/>
          <w:sz w:val="21"/>
        </w:rPr>
        <w:t>凡已注册的深圳市网上政府采购供应商，按照授予的操作权限，可于</w:t>
      </w:r>
      <w:r>
        <w:rPr>
          <w:rFonts w:hint="eastAsia" w:ascii="宋体" w:hAnsi="宋体"/>
          <w:b/>
          <w:sz w:val="21"/>
          <w:u w:val="single"/>
        </w:rPr>
        <w:t>获取招标文件时间内</w:t>
      </w:r>
      <w:r>
        <w:rPr>
          <w:rFonts w:hint="eastAsia" w:asciiTheme="minorEastAsia" w:hAnsiTheme="minorEastAsia" w:eastAsiaTheme="minorEastAsia"/>
          <w:sz w:val="21"/>
        </w:rPr>
        <w:t>登录深圳政府采购智慧平台（http://zfcg.szggzy.com:8081/）下载本项目的采购文件。投标人如确定参加投标，首先要在深圳政府采购智慧平台网上办事子系统（http://zfcg.szggzy.com:8081/TPBidder/memberLogin）网上报名投标，方法为登陆网上办事子系统后点击“【招标公告】→【我要报名】”；如果网上报名后上传了投标文件，又不参加投标，应再到【我的项目】→【项目流程】→【递交投标(应答)文件】功能点中进行“【撤回本次投标】”操作；如果是未注册为深圳政府采购智慧平台（http://zfcg.szggzy.com:8081/）的供应商，请先办理密钥（</w:t>
      </w:r>
      <w:r>
        <w:fldChar w:fldCharType="begin"/>
      </w:r>
      <w:r>
        <w:instrText xml:space="preserve"> HYPERLINK "http://zfcg.szggzy.com:8081/TPBidder/CAHandle" </w:instrText>
      </w:r>
      <w:r>
        <w:fldChar w:fldCharType="separate"/>
      </w:r>
      <w:r>
        <w:rPr>
          <w:rStyle w:val="53"/>
          <w:rFonts w:asciiTheme="minorEastAsia" w:hAnsiTheme="minorEastAsia" w:eastAsiaTheme="minorEastAsia"/>
          <w:sz w:val="21"/>
          <w:szCs w:val="21"/>
          <w:shd w:val="clear" w:color="auto" w:fill="FFFFFF"/>
        </w:rPr>
        <w:t>请点击</w:t>
      </w:r>
      <w:r>
        <w:rPr>
          <w:rStyle w:val="53"/>
          <w:rFonts w:asciiTheme="minorEastAsia" w:hAnsiTheme="minorEastAsia" w:eastAsiaTheme="minorEastAsia"/>
          <w:sz w:val="21"/>
          <w:szCs w:val="21"/>
          <w:shd w:val="clear" w:color="auto" w:fill="FFFFFF"/>
        </w:rPr>
        <w:fldChar w:fldCharType="end"/>
      </w:r>
      <w:r>
        <w:rPr>
          <w:rFonts w:hint="eastAsia" w:asciiTheme="minorEastAsia" w:hAnsiTheme="minorEastAsia" w:eastAsiaTheme="minorEastAsia"/>
          <w:sz w:val="21"/>
        </w:rPr>
        <w:t>），并前往深圳公共资源交易中心绑定深圳政府采购智慧平台用户（电子密钥办理咨询电话：0755-83948165、0755-83938966、020-89524338），再进行投标报名。在网上报名后，点击“【我的项目】→【项目流程】→【采购文件下载】”进行招标文件的下载。</w:t>
      </w:r>
    </w:p>
    <w:p>
      <w:pPr>
        <w:pStyle w:val="37"/>
        <w:widowControl/>
        <w:spacing w:line="360" w:lineRule="exact"/>
        <w:ind w:firstLine="420" w:firstLineChars="200"/>
        <w:rPr>
          <w:rFonts w:ascii="宋体" w:hAnsi="宋体"/>
          <w:sz w:val="21"/>
        </w:rPr>
      </w:pPr>
    </w:p>
    <w:p>
      <w:pPr>
        <w:pStyle w:val="37"/>
        <w:widowControl/>
        <w:spacing w:line="360" w:lineRule="exact"/>
        <w:rPr>
          <w:rFonts w:ascii="宋体" w:hAnsi="宋体"/>
          <w:sz w:val="21"/>
        </w:rPr>
      </w:pPr>
      <w:r>
        <w:rPr>
          <w:rFonts w:ascii="宋体" w:hAnsi="宋体"/>
          <w:sz w:val="21"/>
        </w:rPr>
        <w:t>四、提交投标文件截止时间、开标时间和地点</w:t>
      </w:r>
    </w:p>
    <w:p>
      <w:pPr>
        <w:pStyle w:val="37"/>
        <w:widowControl/>
        <w:spacing w:line="360" w:lineRule="exact"/>
        <w:ind w:firstLine="424" w:firstLineChars="202"/>
        <w:rPr>
          <w:rFonts w:ascii="宋体" w:hAnsi="宋体"/>
          <w:sz w:val="21"/>
        </w:rPr>
      </w:pPr>
      <w:r>
        <w:rPr>
          <w:rFonts w:hint="eastAsia" w:ascii="宋体" w:hAnsi="宋体"/>
          <w:sz w:val="21"/>
        </w:rPr>
        <w:t>1、投标截止时间：所有投标文件应于</w:t>
      </w:r>
      <w:r>
        <w:rPr>
          <w:rFonts w:hint="eastAsia" w:ascii="宋体" w:hAnsi="宋体"/>
          <w:b/>
          <w:sz w:val="21"/>
          <w:u w:val="single"/>
        </w:rPr>
        <w:t>2023年</w:t>
      </w:r>
      <w:r>
        <w:rPr>
          <w:rFonts w:hint="eastAsia" w:ascii="宋体" w:hAnsi="宋体"/>
          <w:b/>
          <w:sz w:val="21"/>
          <w:u w:val="single"/>
          <w:lang w:val="en-US" w:eastAsia="zh-CN"/>
        </w:rPr>
        <w:t>06</w:t>
      </w:r>
      <w:r>
        <w:rPr>
          <w:rFonts w:hint="eastAsia" w:ascii="宋体" w:hAnsi="宋体"/>
          <w:b/>
          <w:sz w:val="21"/>
          <w:u w:val="single"/>
        </w:rPr>
        <w:t>月</w:t>
      </w:r>
      <w:r>
        <w:rPr>
          <w:rFonts w:hint="eastAsia" w:ascii="宋体" w:hAnsi="宋体"/>
          <w:b/>
          <w:sz w:val="21"/>
          <w:u w:val="single"/>
          <w:lang w:val="en-US" w:eastAsia="zh-CN"/>
        </w:rPr>
        <w:t>20</w:t>
      </w:r>
      <w:r>
        <w:rPr>
          <w:rFonts w:hint="eastAsia" w:ascii="宋体" w:hAnsi="宋体"/>
          <w:b/>
          <w:sz w:val="21"/>
          <w:u w:val="single"/>
        </w:rPr>
        <w:t>日14:00（北京时间）</w:t>
      </w:r>
      <w:r>
        <w:rPr>
          <w:rFonts w:hint="eastAsia" w:ascii="宋体" w:hAnsi="宋体"/>
          <w:sz w:val="21"/>
        </w:rPr>
        <w:t>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200MB</w:t>
      </w:r>
      <w:r>
        <w:rPr>
          <w:rFonts w:hint="eastAsia" w:ascii="宋体" w:hAnsi="宋体" w:cs="宋体"/>
          <w:sz w:val="21"/>
          <w:szCs w:val="21"/>
        </w:rPr>
        <w:t>，单个节点文件不能超过</w:t>
      </w:r>
      <w:r>
        <w:rPr>
          <w:rFonts w:ascii="宋体" w:hAnsi="宋体" w:cs="宋体"/>
          <w:sz w:val="21"/>
          <w:szCs w:val="21"/>
        </w:rPr>
        <w:t>50M</w:t>
      </w:r>
      <w:r>
        <w:rPr>
          <w:rFonts w:hint="eastAsia" w:ascii="宋体" w:hAnsi="宋体" w:cs="宋体"/>
          <w:sz w:val="21"/>
          <w:szCs w:val="21"/>
        </w:rPr>
        <w:t>B</w:t>
      </w:r>
      <w:r>
        <w:rPr>
          <w:rFonts w:hint="eastAsia" w:ascii="宋体" w:hAnsi="宋体"/>
          <w:sz w:val="21"/>
        </w:rPr>
        <w:t>，超过此容量的文件将被拒绝。</w:t>
      </w:r>
    </w:p>
    <w:p>
      <w:pPr>
        <w:pStyle w:val="37"/>
        <w:widowControl/>
        <w:spacing w:line="360" w:lineRule="exact"/>
        <w:ind w:firstLine="424" w:firstLineChars="202"/>
        <w:rPr>
          <w:rFonts w:ascii="宋体" w:hAnsi="宋体"/>
          <w:sz w:val="21"/>
        </w:rPr>
      </w:pPr>
      <w:r>
        <w:rPr>
          <w:rFonts w:hint="eastAsia" w:ascii="宋体" w:hAnsi="宋体"/>
          <w:sz w:val="21"/>
        </w:rPr>
        <w:t>2、开标时间和地点：定于</w:t>
      </w:r>
      <w:r>
        <w:rPr>
          <w:rFonts w:hint="eastAsia" w:ascii="宋体" w:hAnsi="宋体"/>
          <w:b/>
          <w:sz w:val="21"/>
          <w:u w:val="single"/>
        </w:rPr>
        <w:t>2023年</w:t>
      </w:r>
      <w:r>
        <w:rPr>
          <w:rFonts w:hint="eastAsia" w:ascii="宋体" w:hAnsi="宋体"/>
          <w:b/>
          <w:sz w:val="21"/>
          <w:u w:val="single"/>
          <w:lang w:val="en-US" w:eastAsia="zh-CN"/>
        </w:rPr>
        <w:t>06</w:t>
      </w:r>
      <w:r>
        <w:rPr>
          <w:rFonts w:hint="eastAsia" w:ascii="宋体" w:hAnsi="宋体"/>
          <w:b/>
          <w:sz w:val="21"/>
          <w:u w:val="single"/>
        </w:rPr>
        <w:t>月</w:t>
      </w:r>
      <w:r>
        <w:rPr>
          <w:rFonts w:hint="eastAsia" w:ascii="宋体" w:hAnsi="宋体"/>
          <w:b/>
          <w:sz w:val="21"/>
          <w:u w:val="single"/>
          <w:lang w:val="en-US" w:eastAsia="zh-CN"/>
        </w:rPr>
        <w:t>20</w:t>
      </w:r>
      <w:r>
        <w:rPr>
          <w:rFonts w:hint="eastAsia" w:ascii="宋体" w:hAnsi="宋体"/>
          <w:b/>
          <w:sz w:val="21"/>
          <w:u w:val="single"/>
        </w:rPr>
        <w:t>日14:00（北京时间）</w:t>
      </w:r>
      <w:r>
        <w:rPr>
          <w:rFonts w:hint="eastAsia" w:ascii="宋体" w:hAnsi="宋体"/>
          <w:sz w:val="21"/>
        </w:rPr>
        <w:t>，在深圳市中正招标有限公司公开开标。供应商可以登录“深圳政府采购智慧平台用户网上办事子系统（http://zfcg.szggzy.com:8081/TPBidder/memberLogin）”，在“【我的项目】→【项目流程】→【开标及解密】”进行在线解密、查询开标情况。</w:t>
      </w:r>
    </w:p>
    <w:p>
      <w:pPr>
        <w:pStyle w:val="37"/>
        <w:widowControl/>
        <w:spacing w:line="360" w:lineRule="exact"/>
        <w:ind w:firstLine="426" w:firstLineChars="202"/>
        <w:rPr>
          <w:rFonts w:ascii="宋体" w:hAnsi="宋体"/>
          <w:sz w:val="21"/>
        </w:rPr>
      </w:pPr>
      <w:r>
        <w:rPr>
          <w:rFonts w:hint="eastAsia" w:ascii="宋体" w:hAnsi="宋体"/>
          <w:b/>
          <w:sz w:val="21"/>
        </w:rPr>
        <w:t>3、在线解密：投标人须在</w:t>
      </w:r>
      <w:r>
        <w:rPr>
          <w:rFonts w:hint="eastAsia" w:ascii="宋体" w:hAnsi="宋体"/>
          <w:b/>
          <w:sz w:val="21"/>
          <w:u w:val="single"/>
        </w:rPr>
        <w:t>2023年</w:t>
      </w:r>
      <w:r>
        <w:rPr>
          <w:rFonts w:hint="eastAsia" w:ascii="宋体" w:hAnsi="宋体"/>
          <w:b/>
          <w:sz w:val="21"/>
          <w:u w:val="single"/>
          <w:lang w:val="en-US" w:eastAsia="zh-CN"/>
        </w:rPr>
        <w:t>06</w:t>
      </w:r>
      <w:r>
        <w:rPr>
          <w:rFonts w:hint="eastAsia" w:ascii="宋体" w:hAnsi="宋体"/>
          <w:b/>
          <w:sz w:val="21"/>
          <w:u w:val="single"/>
        </w:rPr>
        <w:t>月</w:t>
      </w:r>
      <w:r>
        <w:rPr>
          <w:rFonts w:hint="eastAsia" w:ascii="宋体" w:hAnsi="宋体"/>
          <w:b/>
          <w:sz w:val="21"/>
          <w:u w:val="single"/>
          <w:lang w:val="en-US" w:eastAsia="zh-CN"/>
        </w:rPr>
        <w:t>20</w:t>
      </w:r>
      <w:r>
        <w:rPr>
          <w:rFonts w:hint="eastAsia" w:ascii="宋体" w:hAnsi="宋体"/>
          <w:b/>
          <w:sz w:val="21"/>
          <w:u w:val="single"/>
        </w:rPr>
        <w:t>日14:00-</w:t>
      </w:r>
      <w:r>
        <w:rPr>
          <w:rFonts w:hint="eastAsia" w:ascii="宋体" w:hAnsi="宋体"/>
          <w:b/>
          <w:sz w:val="21"/>
          <w:u w:val="single"/>
          <w:lang w:val="en-US" w:eastAsia="zh-CN"/>
        </w:rPr>
        <w:t>14</w:t>
      </w:r>
      <w:r>
        <w:rPr>
          <w:rFonts w:hint="eastAsia" w:ascii="宋体" w:hAnsi="宋体"/>
          <w:b/>
          <w:sz w:val="21"/>
          <w:u w:val="single"/>
        </w:rPr>
        <w:t>:</w:t>
      </w:r>
      <w:r>
        <w:rPr>
          <w:rFonts w:hint="eastAsia" w:ascii="宋体" w:hAnsi="宋体"/>
          <w:b/>
          <w:sz w:val="21"/>
          <w:u w:val="single"/>
          <w:lang w:val="en-US" w:eastAsia="zh-CN"/>
        </w:rPr>
        <w:t>30</w:t>
      </w:r>
      <w:r>
        <w:rPr>
          <w:rFonts w:hint="eastAsia" w:ascii="宋体" w:hAnsi="宋体"/>
          <w:b/>
          <w:sz w:val="21"/>
          <w:u w:val="single"/>
        </w:rPr>
        <w:t>（北京时间）</w:t>
      </w:r>
      <w:r>
        <w:rPr>
          <w:rFonts w:hint="eastAsia" w:ascii="宋体" w:hAnsi="宋体"/>
          <w:b/>
          <w:sz w:val="21"/>
        </w:rPr>
        <w:t>期间进行解密，逾期未解密的作无效处理。</w:t>
      </w:r>
      <w:r>
        <w:rPr>
          <w:rFonts w:hint="eastAsia" w:ascii="宋体" w:hAnsi="宋体"/>
          <w:sz w:val="21"/>
        </w:rPr>
        <w:t>解密方法：登录“深圳政府采购智慧平台用户网上办事子系统（http://zfcg.szggzy.com:8081/TPBidder/memberLogin）”，使用本单位制作电子投标文件同一个电子密钥，在“【我的项目】→【项目流程】→【开标及解密】”进行在线解密、查询开标情况。</w:t>
      </w:r>
    </w:p>
    <w:p>
      <w:pPr>
        <w:pStyle w:val="37"/>
        <w:widowControl/>
        <w:spacing w:line="360" w:lineRule="exact"/>
        <w:ind w:left="420" w:leftChars="200"/>
        <w:rPr>
          <w:rFonts w:ascii="宋体" w:hAnsi="宋体"/>
          <w:sz w:val="21"/>
        </w:rPr>
      </w:pPr>
    </w:p>
    <w:p>
      <w:pPr>
        <w:pStyle w:val="37"/>
        <w:widowControl/>
        <w:spacing w:line="360" w:lineRule="exact"/>
        <w:rPr>
          <w:rFonts w:ascii="宋体" w:hAnsi="宋体"/>
          <w:sz w:val="21"/>
        </w:rPr>
      </w:pPr>
      <w:r>
        <w:rPr>
          <w:rFonts w:ascii="宋体" w:hAnsi="宋体"/>
          <w:sz w:val="21"/>
        </w:rPr>
        <w:t>五、公告期限</w:t>
      </w:r>
    </w:p>
    <w:p>
      <w:pPr>
        <w:pStyle w:val="37"/>
        <w:widowControl/>
        <w:spacing w:line="360" w:lineRule="exact"/>
        <w:ind w:firstLine="420" w:firstLineChars="200"/>
        <w:rPr>
          <w:rFonts w:ascii="宋体" w:hAnsi="宋体"/>
          <w:sz w:val="21"/>
        </w:rPr>
      </w:pPr>
      <w:r>
        <w:rPr>
          <w:rFonts w:ascii="宋体" w:hAnsi="宋体"/>
          <w:sz w:val="21"/>
        </w:rPr>
        <w:t>自本公告发布之日起5个工作日。</w:t>
      </w:r>
    </w:p>
    <w:p>
      <w:pPr>
        <w:pStyle w:val="37"/>
        <w:widowControl/>
        <w:spacing w:line="360" w:lineRule="exact"/>
        <w:ind w:firstLine="420" w:firstLineChars="200"/>
        <w:rPr>
          <w:rFonts w:ascii="宋体" w:hAnsi="宋体"/>
          <w:sz w:val="21"/>
        </w:rPr>
      </w:pPr>
    </w:p>
    <w:p>
      <w:pPr>
        <w:pStyle w:val="37"/>
        <w:widowControl/>
        <w:spacing w:line="360" w:lineRule="exact"/>
        <w:rPr>
          <w:rFonts w:ascii="宋体" w:hAnsi="宋体"/>
          <w:sz w:val="21"/>
        </w:rPr>
      </w:pPr>
      <w:r>
        <w:rPr>
          <w:rFonts w:ascii="宋体" w:hAnsi="宋体"/>
          <w:sz w:val="21"/>
        </w:rPr>
        <w:t>六、其他补充事宜</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1、本项目实行网上投标，采用电子投标文件。</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2、采购文件澄清/修改事项：</w:t>
      </w:r>
      <w:r>
        <w:rPr>
          <w:rFonts w:hint="eastAsia" w:asciiTheme="minorEastAsia" w:hAnsiTheme="minorEastAsia" w:eastAsiaTheme="minorEastAsia"/>
          <w:b/>
          <w:sz w:val="21"/>
          <w:u w:val="single"/>
        </w:rPr>
        <w:t>2023年</w:t>
      </w:r>
      <w:r>
        <w:rPr>
          <w:rFonts w:hint="eastAsia" w:asciiTheme="minorEastAsia" w:hAnsiTheme="minorEastAsia" w:eastAsiaTheme="minorEastAsia"/>
          <w:b/>
          <w:sz w:val="21"/>
          <w:u w:val="single"/>
          <w:lang w:val="en-US" w:eastAsia="zh-CN"/>
        </w:rPr>
        <w:t>06</w:t>
      </w:r>
      <w:r>
        <w:rPr>
          <w:rFonts w:hint="eastAsia" w:asciiTheme="minorEastAsia" w:hAnsiTheme="minorEastAsia" w:eastAsiaTheme="minorEastAsia"/>
          <w:b/>
          <w:sz w:val="21"/>
          <w:u w:val="single"/>
        </w:rPr>
        <w:t>月</w:t>
      </w:r>
      <w:r>
        <w:rPr>
          <w:rFonts w:hint="eastAsia" w:asciiTheme="minorEastAsia" w:hAnsiTheme="minorEastAsia" w:eastAsiaTheme="minorEastAsia"/>
          <w:b/>
          <w:sz w:val="21"/>
          <w:u w:val="single"/>
          <w:lang w:val="en-US" w:eastAsia="zh-CN"/>
        </w:rPr>
        <w:t>15</w:t>
      </w:r>
      <w:r>
        <w:rPr>
          <w:rFonts w:hint="eastAsia" w:asciiTheme="minorEastAsia" w:hAnsiTheme="minorEastAsia" w:eastAsiaTheme="minorEastAsia"/>
          <w:b/>
          <w:sz w:val="21"/>
          <w:u w:val="single"/>
        </w:rPr>
        <w:t>日00:00（北京时间）</w:t>
      </w:r>
      <w:r>
        <w:rPr>
          <w:rFonts w:hint="eastAsia" w:asciiTheme="minorEastAsia" w:hAnsiTheme="minorEastAsia" w:eastAsiaTheme="minorEastAsia"/>
          <w:sz w:val="21"/>
        </w:rPr>
        <w:t>前，供应商如果认为采购文件存在不明确、不清晰和前后不一致等问题，可登录“深圳政府采购智慧平台用户网上办事子系统（http://zfcg.szggzy.com:8081/TPBidder/memberLogin）”，在“【我的项目】→【项目流程】→【提问】”功能点中填写需澄清内容。</w:t>
      </w:r>
      <w:r>
        <w:rPr>
          <w:rFonts w:hint="eastAsia" w:asciiTheme="minorEastAsia" w:hAnsiTheme="minorEastAsia" w:eastAsiaTheme="minorEastAsia"/>
          <w:b/>
          <w:sz w:val="21"/>
          <w:u w:val="single"/>
        </w:rPr>
        <w:t>2023年</w:t>
      </w:r>
      <w:r>
        <w:rPr>
          <w:rFonts w:hint="eastAsia" w:asciiTheme="minorEastAsia" w:hAnsiTheme="minorEastAsia" w:eastAsiaTheme="minorEastAsia"/>
          <w:b/>
          <w:sz w:val="21"/>
          <w:u w:val="single"/>
          <w:lang w:val="en-US" w:eastAsia="zh-CN"/>
        </w:rPr>
        <w:t>06</w:t>
      </w:r>
      <w:r>
        <w:rPr>
          <w:rFonts w:hint="eastAsia" w:asciiTheme="minorEastAsia" w:hAnsiTheme="minorEastAsia" w:eastAsiaTheme="minorEastAsia"/>
          <w:b/>
          <w:sz w:val="21"/>
          <w:u w:val="single"/>
        </w:rPr>
        <w:t>月</w:t>
      </w:r>
      <w:r>
        <w:rPr>
          <w:rFonts w:hint="eastAsia" w:asciiTheme="minorEastAsia" w:hAnsiTheme="minorEastAsia" w:eastAsiaTheme="minorEastAsia"/>
          <w:b/>
          <w:sz w:val="21"/>
          <w:u w:val="single"/>
          <w:lang w:val="en-US" w:eastAsia="zh-CN"/>
        </w:rPr>
        <w:t>17</w:t>
      </w:r>
      <w:r>
        <w:rPr>
          <w:rFonts w:hint="eastAsia" w:asciiTheme="minorEastAsia" w:hAnsiTheme="minorEastAsia" w:eastAsiaTheme="minorEastAsia"/>
          <w:b/>
          <w:sz w:val="21"/>
          <w:u w:val="single"/>
        </w:rPr>
        <w:t>日00:00（北京时间）</w:t>
      </w:r>
      <w:r>
        <w:rPr>
          <w:rFonts w:hint="eastAsia" w:asciiTheme="minorEastAsia" w:hAnsiTheme="minorEastAsia" w:eastAsiaTheme="minorEastAsia"/>
          <w:sz w:val="21"/>
        </w:rPr>
        <w:t>前将采购文件澄清/修改情况在“【我的项目】→【项目流程】→【答疑澄清文件下载】”中公布，望投标人予以关注。</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网（ https://www.szggzy.com/fwdh/fwdhzfcg/bszn1/content_203163.html ）所发布的质疑指引、质疑函模板填写质疑函并提交质疑材料。质疑材料可以采用现场或邮寄方式提交，采用邮寄方式提交的，交邮时间应在本公告发布之日起七个工作日内。质疑材料现场提交、邮寄地址：深圳市福田区民田路171号新华保险大厦903深圳市中正招标有限公司。质疑咨询电话：0755-83026699。根据《深圳经济特区政府采购条例》第四十二条“供应商投诉的事项应当是经过质疑的事项”的规定，未经正式质疑的，将影响供应商行使向财政部门提起投诉的权利。）</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 xml:space="preserve">3、深圳市中正招标有限公司有权对投标人就本项目要求提供的相关证明资料（原件）进行审查。供应商提供虚假资料被查实的，则可能面临被取消本项目中标资格、列入不良行为记录名单和三年内禁止参与深圳市政府采购活动的风险。 </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4、本招标公告及本项目招标文件所涉及的时间一律为北京时间。投标人有义务在招标活动期间浏览深圳公共资源交易网（https://www.szggzy.com），在深圳公共资源交易网上公布的与本次招标项目有关的信息视为已送达各投标人。</w:t>
      </w:r>
    </w:p>
    <w:p>
      <w:pPr>
        <w:pStyle w:val="37"/>
        <w:spacing w:line="360" w:lineRule="exact"/>
        <w:ind w:firstLine="424" w:firstLineChars="202"/>
        <w:rPr>
          <w:rFonts w:asciiTheme="minorEastAsia" w:hAnsiTheme="minorEastAsia" w:eastAsiaTheme="minorEastAsia"/>
          <w:sz w:val="21"/>
        </w:rPr>
      </w:pPr>
      <w:r>
        <w:rPr>
          <w:rFonts w:hint="eastAsia" w:asciiTheme="minorEastAsia" w:hAnsiTheme="minorEastAsia" w:eastAsiaTheme="minorEastAsia"/>
          <w:sz w:val="21"/>
        </w:rPr>
        <w:t>5、本项目不需要投标保证金</w:t>
      </w:r>
      <w:r>
        <w:rPr>
          <w:rFonts w:asciiTheme="minorEastAsia" w:hAnsiTheme="minorEastAsia" w:eastAsiaTheme="minorEastAsia"/>
          <w:sz w:val="21"/>
        </w:rPr>
        <w:t>。</w:t>
      </w:r>
    </w:p>
    <w:p>
      <w:pPr>
        <w:pStyle w:val="37"/>
        <w:widowControl/>
        <w:spacing w:line="360" w:lineRule="exact"/>
        <w:ind w:firstLine="424" w:firstLineChars="202"/>
        <w:rPr>
          <w:rFonts w:ascii="宋体" w:hAnsi="宋体"/>
          <w:sz w:val="21"/>
        </w:rPr>
      </w:pPr>
    </w:p>
    <w:p>
      <w:pPr>
        <w:pStyle w:val="37"/>
        <w:widowControl/>
        <w:spacing w:line="360" w:lineRule="exact"/>
        <w:rPr>
          <w:rFonts w:ascii="宋体" w:hAnsi="宋体"/>
          <w:sz w:val="21"/>
        </w:rPr>
      </w:pPr>
      <w:r>
        <w:rPr>
          <w:rFonts w:ascii="宋体" w:hAnsi="宋体"/>
          <w:sz w:val="21"/>
        </w:rPr>
        <w:t>七、对本次招标提出询问，请按以下方式联系。</w:t>
      </w:r>
    </w:p>
    <w:p>
      <w:pPr>
        <w:pStyle w:val="37"/>
        <w:widowControl/>
        <w:spacing w:line="360" w:lineRule="exact"/>
        <w:ind w:firstLine="424" w:firstLineChars="202"/>
        <w:rPr>
          <w:rFonts w:ascii="宋体" w:hAnsi="宋体"/>
          <w:sz w:val="21"/>
        </w:rPr>
      </w:pPr>
      <w:r>
        <w:rPr>
          <w:rFonts w:hint="eastAsia" w:ascii="宋体" w:hAnsi="宋体"/>
          <w:sz w:val="21"/>
        </w:rPr>
        <w:t>1、</w:t>
      </w:r>
      <w:r>
        <w:rPr>
          <w:rFonts w:ascii="宋体" w:hAnsi="宋体"/>
          <w:sz w:val="21"/>
        </w:rPr>
        <w:t xml:space="preserve">采购人信息 </w:t>
      </w:r>
    </w:p>
    <w:p>
      <w:pPr>
        <w:pStyle w:val="195"/>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名称：深圳市疾病预防控制中心</w:t>
      </w:r>
    </w:p>
    <w:p>
      <w:pPr>
        <w:pStyle w:val="195"/>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地址：深圳市南山区龙苑路8号</w:t>
      </w:r>
    </w:p>
    <w:p>
      <w:pPr>
        <w:pStyle w:val="195"/>
        <w:adjustRightInd w:val="0"/>
        <w:snapToGrid w:val="0"/>
        <w:spacing w:before="0" w:beforeAutospacing="0" w:after="0" w:afterAutospacing="0" w:line="360" w:lineRule="exact"/>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联系方式：李工，0755-25608413</w:t>
      </w:r>
    </w:p>
    <w:p>
      <w:pPr>
        <w:pStyle w:val="37"/>
        <w:widowControl/>
        <w:spacing w:line="360" w:lineRule="exact"/>
        <w:ind w:firstLine="424" w:firstLineChars="202"/>
        <w:rPr>
          <w:rFonts w:ascii="宋体" w:hAnsi="宋体"/>
          <w:sz w:val="21"/>
        </w:rPr>
      </w:pPr>
      <w:r>
        <w:rPr>
          <w:rFonts w:hint="eastAsia" w:ascii="宋体" w:hAnsi="宋体"/>
          <w:sz w:val="21"/>
        </w:rPr>
        <w:t>2、</w:t>
      </w:r>
      <w:r>
        <w:rPr>
          <w:rFonts w:ascii="宋体" w:hAnsi="宋体"/>
          <w:sz w:val="21"/>
        </w:rPr>
        <w:t xml:space="preserve">采购代理机构信息 </w:t>
      </w:r>
    </w:p>
    <w:p>
      <w:pPr>
        <w:pStyle w:val="37"/>
        <w:widowControl/>
        <w:spacing w:line="360" w:lineRule="exact"/>
        <w:ind w:firstLine="424" w:firstLineChars="202"/>
        <w:rPr>
          <w:rFonts w:ascii="宋体" w:hAnsi="宋体"/>
          <w:sz w:val="21"/>
        </w:rPr>
      </w:pPr>
      <w:r>
        <w:rPr>
          <w:rFonts w:ascii="宋体" w:hAnsi="宋体"/>
          <w:sz w:val="21"/>
        </w:rPr>
        <w:t xml:space="preserve">名称：深圳市中正招标有限公司 </w:t>
      </w:r>
    </w:p>
    <w:p>
      <w:pPr>
        <w:pStyle w:val="37"/>
        <w:widowControl/>
        <w:spacing w:line="360" w:lineRule="exact"/>
        <w:ind w:firstLine="424" w:firstLineChars="202"/>
        <w:rPr>
          <w:rFonts w:ascii="宋体" w:hAnsi="宋体"/>
          <w:sz w:val="21"/>
        </w:rPr>
      </w:pPr>
      <w:r>
        <w:rPr>
          <w:rFonts w:ascii="宋体" w:hAnsi="宋体"/>
          <w:sz w:val="21"/>
        </w:rPr>
        <w:t>地址：深圳市福田区</w:t>
      </w:r>
      <w:r>
        <w:rPr>
          <w:rFonts w:hint="eastAsia" w:ascii="宋体" w:hAnsi="宋体"/>
          <w:sz w:val="21"/>
        </w:rPr>
        <w:t>民田路171号新华保险大厦903</w:t>
      </w:r>
    </w:p>
    <w:p>
      <w:pPr>
        <w:pStyle w:val="37"/>
        <w:widowControl/>
        <w:spacing w:line="360" w:lineRule="exact"/>
        <w:ind w:firstLine="424" w:firstLineChars="202"/>
        <w:rPr>
          <w:rFonts w:ascii="宋体" w:hAnsi="宋体"/>
          <w:sz w:val="21"/>
        </w:rPr>
      </w:pPr>
      <w:r>
        <w:rPr>
          <w:rFonts w:ascii="宋体" w:hAnsi="宋体"/>
          <w:sz w:val="21"/>
        </w:rPr>
        <w:t>联系方式：0755-83026699</w:t>
      </w:r>
    </w:p>
    <w:p>
      <w:pPr>
        <w:pStyle w:val="37"/>
        <w:widowControl/>
        <w:spacing w:line="360" w:lineRule="exact"/>
        <w:ind w:firstLine="424" w:firstLineChars="202"/>
        <w:rPr>
          <w:rFonts w:ascii="宋体" w:hAnsi="宋体"/>
          <w:sz w:val="21"/>
        </w:rPr>
      </w:pPr>
      <w:r>
        <w:rPr>
          <w:rFonts w:hint="eastAsia" w:ascii="宋体" w:hAnsi="宋体"/>
          <w:sz w:val="21"/>
        </w:rPr>
        <w:t>3、</w:t>
      </w:r>
      <w:r>
        <w:rPr>
          <w:rFonts w:ascii="宋体" w:hAnsi="宋体"/>
          <w:sz w:val="21"/>
        </w:rPr>
        <w:t xml:space="preserve">项目联系方式 </w:t>
      </w:r>
    </w:p>
    <w:p>
      <w:pPr>
        <w:pStyle w:val="37"/>
        <w:widowControl/>
        <w:spacing w:line="360" w:lineRule="exact"/>
        <w:ind w:firstLine="424" w:firstLineChars="202"/>
        <w:rPr>
          <w:rFonts w:ascii="宋体" w:hAnsi="宋体"/>
          <w:sz w:val="21"/>
        </w:rPr>
      </w:pPr>
      <w:r>
        <w:rPr>
          <w:rFonts w:ascii="宋体" w:hAnsi="宋体"/>
          <w:sz w:val="21"/>
        </w:rPr>
        <w:t>项目联系人：</w:t>
      </w:r>
      <w:r>
        <w:rPr>
          <w:rFonts w:hint="eastAsia" w:ascii="宋体" w:hAnsi="宋体"/>
          <w:sz w:val="21"/>
        </w:rPr>
        <w:t>李先生</w:t>
      </w:r>
      <w:r>
        <w:rPr>
          <w:rFonts w:ascii="宋体" w:hAnsi="宋体"/>
          <w:sz w:val="21"/>
        </w:rPr>
        <w:t xml:space="preserve"> </w:t>
      </w:r>
    </w:p>
    <w:p>
      <w:pPr>
        <w:pStyle w:val="37"/>
        <w:widowControl/>
        <w:spacing w:line="360" w:lineRule="exact"/>
        <w:ind w:firstLine="424" w:firstLineChars="202"/>
        <w:rPr>
          <w:rFonts w:ascii="宋体" w:hAnsi="宋体"/>
          <w:sz w:val="21"/>
        </w:rPr>
      </w:pPr>
      <w:r>
        <w:rPr>
          <w:rFonts w:ascii="宋体" w:hAnsi="宋体"/>
          <w:sz w:val="21"/>
        </w:rPr>
        <w:t>电话：</w:t>
      </w:r>
      <w:r>
        <w:rPr>
          <w:rFonts w:hint="eastAsia" w:ascii="宋体" w:hAnsi="宋体"/>
          <w:sz w:val="21"/>
        </w:rPr>
        <w:t>0755-83026699</w:t>
      </w:r>
    </w:p>
    <w:p>
      <w:pPr>
        <w:pStyle w:val="37"/>
        <w:widowControl/>
        <w:spacing w:line="360" w:lineRule="exact"/>
        <w:ind w:firstLine="424" w:firstLineChars="202"/>
        <w:rPr>
          <w:rFonts w:ascii="宋体" w:hAnsi="宋体"/>
          <w:sz w:val="21"/>
        </w:rPr>
      </w:pPr>
    </w:p>
    <w:p>
      <w:pPr>
        <w:pStyle w:val="37"/>
        <w:widowControl/>
        <w:spacing w:line="360" w:lineRule="exact"/>
        <w:ind w:firstLine="424" w:firstLineChars="202"/>
        <w:rPr>
          <w:rFonts w:ascii="宋体" w:hAnsi="宋体"/>
          <w:sz w:val="21"/>
        </w:rPr>
      </w:pPr>
    </w:p>
    <w:p>
      <w:pPr>
        <w:pStyle w:val="37"/>
        <w:widowControl/>
        <w:spacing w:line="360" w:lineRule="exact"/>
        <w:ind w:firstLine="484" w:firstLineChars="202"/>
        <w:jc w:val="right"/>
        <w:rPr>
          <w:rFonts w:ascii="宋体" w:hAnsi="宋体"/>
        </w:rPr>
      </w:pPr>
      <w:r>
        <w:rPr>
          <w:rFonts w:hint="eastAsia" w:ascii="宋体" w:hAnsi="宋体"/>
        </w:rPr>
        <w:t>深圳市中正招标有限公司</w:t>
      </w:r>
    </w:p>
    <w:p>
      <w:pPr>
        <w:pStyle w:val="37"/>
        <w:widowControl/>
        <w:spacing w:line="360" w:lineRule="exact"/>
        <w:ind w:firstLine="484" w:firstLineChars="202"/>
        <w:jc w:val="right"/>
      </w:pPr>
      <w:r>
        <w:rPr>
          <w:rFonts w:hint="eastAsia" w:ascii="宋体" w:hAnsi="宋体"/>
        </w:rPr>
        <w:t>2023年</w:t>
      </w:r>
      <w:r>
        <w:rPr>
          <w:rFonts w:hint="eastAsia" w:ascii="宋体" w:hAnsi="宋体"/>
          <w:lang w:val="en-US" w:eastAsia="zh-CN"/>
        </w:rPr>
        <w:t>06</w:t>
      </w:r>
      <w:r>
        <w:rPr>
          <w:rFonts w:hint="eastAsia" w:ascii="宋体" w:hAnsi="宋体"/>
        </w:rPr>
        <w:t>月</w:t>
      </w:r>
      <w:r>
        <w:rPr>
          <w:rFonts w:hint="eastAsia" w:ascii="宋体" w:hAnsi="宋体"/>
          <w:lang w:val="en-US" w:eastAsia="zh-CN"/>
        </w:rPr>
        <w:t>09</w:t>
      </w:r>
      <w:r>
        <w:rPr>
          <w:rFonts w:hint="eastAsia" w:ascii="宋体" w:hAnsi="宋体"/>
        </w:rPr>
        <w:t>日</w:t>
      </w:r>
      <w:bookmarkEnd w:id="17"/>
    </w:p>
    <w:bookmarkEnd w:id="18"/>
    <w:p>
      <w:pPr>
        <w:widowControl/>
        <w:jc w:val="left"/>
        <w:rPr>
          <w:rFonts w:ascii="宋体" w:hAnsi="宋体"/>
          <w:b/>
          <w:bCs/>
          <w:kern w:val="0"/>
          <w:sz w:val="24"/>
          <w:szCs w:val="20"/>
        </w:rPr>
      </w:pPr>
      <w:r>
        <w:br w:type="page"/>
      </w:r>
    </w:p>
    <w:p>
      <w:pPr>
        <w:pStyle w:val="7"/>
      </w:pPr>
      <w:r>
        <w:rPr>
          <w:rFonts w:hint="eastAsia"/>
        </w:rPr>
        <w:t>第二章  招标项目需求</w:t>
      </w:r>
    </w:p>
    <w:p>
      <w:pPr>
        <w:pStyle w:val="7"/>
        <w:spacing w:before="120" w:beforeLines="50" w:after="120" w:afterLines="50"/>
        <w:rPr>
          <w:sz w:val="28"/>
          <w:szCs w:val="28"/>
        </w:rPr>
      </w:pPr>
      <w:bookmarkStart w:id="19" w:name="_Toc100052364"/>
      <w:bookmarkStart w:id="20" w:name="_Toc101074876"/>
      <w:bookmarkStart w:id="21" w:name="_Toc73517639"/>
      <w:bookmarkStart w:id="22" w:name="_Toc73518117"/>
      <w:bookmarkStart w:id="23" w:name="_Toc60631620"/>
      <w:bookmarkStart w:id="24" w:name="_Toc60560625"/>
      <w:bookmarkStart w:id="25" w:name="_Toc73521547"/>
      <w:bookmarkStart w:id="26" w:name="_Toc73521635"/>
      <w:r>
        <w:rPr>
          <w:rFonts w:hint="eastAsia"/>
          <w:sz w:val="28"/>
          <w:szCs w:val="28"/>
        </w:rPr>
        <w:t>一、对通用条款的补充内容</w:t>
      </w:r>
    </w:p>
    <w:bookmarkEnd w:id="19"/>
    <w:bookmarkEnd w:id="20"/>
    <w:bookmarkEnd w:id="21"/>
    <w:bookmarkEnd w:id="22"/>
    <w:bookmarkEnd w:id="23"/>
    <w:bookmarkEnd w:id="24"/>
    <w:bookmarkEnd w:id="25"/>
    <w:bookmarkEnd w:id="26"/>
    <w:tbl>
      <w:tblPr>
        <w:tblStyle w:val="42"/>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
                <w:bCs/>
              </w:rPr>
            </w:pPr>
            <w:r>
              <w:rPr>
                <w:rFonts w:hint="eastAsia" w:ascii="宋体" w:hAnsi="宋体"/>
                <w:b/>
                <w:bCs/>
              </w:rPr>
              <w:t>序号</w:t>
            </w:r>
          </w:p>
        </w:tc>
        <w:tc>
          <w:tcPr>
            <w:tcW w:w="2160" w:type="dxa"/>
            <w:vAlign w:val="center"/>
          </w:tcPr>
          <w:p>
            <w:pPr>
              <w:jc w:val="center"/>
              <w:rPr>
                <w:rFonts w:ascii="宋体" w:hAnsi="宋体"/>
                <w:b/>
                <w:bCs/>
              </w:rPr>
            </w:pPr>
            <w:r>
              <w:rPr>
                <w:rFonts w:hint="eastAsia" w:ascii="宋体" w:hAnsi="宋体"/>
                <w:b/>
                <w:bCs/>
              </w:rPr>
              <w:t>内   容</w:t>
            </w:r>
          </w:p>
        </w:tc>
        <w:tc>
          <w:tcPr>
            <w:tcW w:w="5400" w:type="dxa"/>
            <w:vAlign w:val="center"/>
          </w:tcPr>
          <w:p>
            <w:pPr>
              <w:jc w:val="center"/>
              <w:rPr>
                <w:rFonts w:ascii="宋体" w:hAnsi="宋体"/>
                <w:b/>
                <w:bCs/>
              </w:rPr>
            </w:pPr>
            <w:r>
              <w:rPr>
                <w:rFonts w:hint="eastAsia" w:ascii="宋体" w:hAnsi="宋体"/>
                <w:b/>
                <w:bCs/>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36" w:hRule="atLeast"/>
          <w:jc w:val="center"/>
        </w:trPr>
        <w:tc>
          <w:tcPr>
            <w:tcW w:w="807" w:type="dxa"/>
            <w:vAlign w:val="center"/>
          </w:tcPr>
          <w:p>
            <w:pPr>
              <w:jc w:val="center"/>
              <w:rPr>
                <w:rFonts w:ascii="宋体" w:hAnsi="宋体"/>
              </w:rPr>
            </w:pPr>
            <w:r>
              <w:rPr>
                <w:rFonts w:hint="eastAsia" w:ascii="宋体" w:hAnsi="宋体"/>
              </w:rPr>
              <w:t>1</w:t>
            </w:r>
          </w:p>
        </w:tc>
        <w:tc>
          <w:tcPr>
            <w:tcW w:w="2160" w:type="dxa"/>
            <w:vAlign w:val="center"/>
          </w:tcPr>
          <w:p>
            <w:pPr>
              <w:jc w:val="center"/>
            </w:pPr>
            <w:r>
              <w:rPr>
                <w:rFonts w:hint="eastAsia"/>
              </w:rPr>
              <w:t>联合体投标</w:t>
            </w:r>
          </w:p>
        </w:tc>
        <w:tc>
          <w:tcPr>
            <w:tcW w:w="5400" w:type="dxa"/>
            <w:vAlign w:val="center"/>
          </w:tcPr>
          <w:p>
            <w:pPr>
              <w:rPr>
                <w:rFonts w:ascii="宋体" w:hAnsi="宋体"/>
                <w:snapToGrid w:val="0"/>
                <w:kern w:val="0"/>
                <w:szCs w:val="32"/>
                <w:lang w:val="zh-CN"/>
              </w:rPr>
            </w:pPr>
            <w:r>
              <w:rPr>
                <w:rFonts w:hint="eastAsia" w:ascii="宋体" w:hAnsi="宋体"/>
                <w:snapToGrid w:val="0"/>
                <w:kern w:val="0"/>
                <w:szCs w:val="32"/>
                <w:lang w:val="zh-CN"/>
              </w:rPr>
              <w:t>见《招标公告》中“项目基本情况”部分的相关内容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36" w:hRule="atLeast"/>
          <w:jc w:val="center"/>
        </w:trPr>
        <w:tc>
          <w:tcPr>
            <w:tcW w:w="807" w:type="dxa"/>
            <w:vAlign w:val="center"/>
          </w:tcPr>
          <w:p>
            <w:pPr>
              <w:jc w:val="center"/>
              <w:rPr>
                <w:rFonts w:ascii="宋体" w:hAnsi="宋体"/>
              </w:rPr>
            </w:pPr>
            <w:r>
              <w:rPr>
                <w:rFonts w:hint="eastAsia" w:ascii="宋体" w:hAnsi="宋体"/>
              </w:rPr>
              <w:t>2</w:t>
            </w:r>
          </w:p>
        </w:tc>
        <w:tc>
          <w:tcPr>
            <w:tcW w:w="2160" w:type="dxa"/>
            <w:vAlign w:val="center"/>
          </w:tcPr>
          <w:p>
            <w:pPr>
              <w:jc w:val="center"/>
              <w:rPr>
                <w:rFonts w:ascii="宋体" w:hAnsi="宋体"/>
              </w:rPr>
            </w:pPr>
            <w:r>
              <w:rPr>
                <w:rFonts w:hint="eastAsia" w:ascii="宋体" w:hAnsi="宋体"/>
              </w:rPr>
              <w:t>投标有效期</w:t>
            </w:r>
          </w:p>
        </w:tc>
        <w:tc>
          <w:tcPr>
            <w:tcW w:w="5400" w:type="dxa"/>
            <w:vAlign w:val="center"/>
          </w:tcPr>
          <w:p>
            <w:pPr>
              <w:rPr>
                <w:rFonts w:ascii="宋体" w:hAnsi="宋体"/>
              </w:rPr>
            </w:pPr>
            <w:r>
              <w:rPr>
                <w:rFonts w:hint="eastAsia" w:ascii="宋体" w:hAnsi="宋体"/>
                <w:u w:val="single"/>
              </w:rPr>
              <w:t>90</w:t>
            </w:r>
            <w:r>
              <w:rPr>
                <w:rFonts w:ascii="宋体" w:hAnsi="宋体"/>
                <w:u w:val="single"/>
              </w:rPr>
              <w:t>日历天</w:t>
            </w:r>
            <w:r>
              <w:rPr>
                <w:rFonts w:ascii="宋体" w:hAnsi="宋体"/>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36" w:hRule="atLeast"/>
          <w:jc w:val="center"/>
        </w:trPr>
        <w:tc>
          <w:tcPr>
            <w:tcW w:w="807" w:type="dxa"/>
            <w:vAlign w:val="center"/>
          </w:tcPr>
          <w:p>
            <w:pPr>
              <w:jc w:val="center"/>
              <w:rPr>
                <w:rFonts w:ascii="宋体" w:hAnsi="宋体"/>
              </w:rPr>
            </w:pPr>
            <w:r>
              <w:rPr>
                <w:rFonts w:hint="eastAsia" w:ascii="宋体" w:hAnsi="宋体"/>
              </w:rPr>
              <w:t>3</w:t>
            </w:r>
          </w:p>
        </w:tc>
        <w:tc>
          <w:tcPr>
            <w:tcW w:w="2160" w:type="dxa"/>
            <w:vAlign w:val="center"/>
          </w:tcPr>
          <w:p>
            <w:pPr>
              <w:jc w:val="center"/>
              <w:rPr>
                <w:rFonts w:ascii="宋体" w:hAnsi="宋体"/>
              </w:rPr>
            </w:pPr>
            <w:r>
              <w:rPr>
                <w:rFonts w:hint="eastAsia" w:ascii="宋体" w:hAnsi="宋体"/>
              </w:rPr>
              <w:t>投标人的替代方案</w:t>
            </w:r>
          </w:p>
        </w:tc>
        <w:tc>
          <w:tcPr>
            <w:tcW w:w="5400" w:type="dxa"/>
            <w:vAlign w:val="center"/>
          </w:tcPr>
          <w:p>
            <w:pPr>
              <w:rPr>
                <w:rFonts w:ascii="宋体" w:hAnsi="宋体"/>
              </w:rPr>
            </w:pPr>
            <w:r>
              <w:rPr>
                <w:rFonts w:hint="eastAsia" w:ascii="宋体" w:hAnsi="宋体"/>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164" w:hRule="atLeast"/>
          <w:jc w:val="center"/>
        </w:trPr>
        <w:tc>
          <w:tcPr>
            <w:tcW w:w="807" w:type="dxa"/>
            <w:vAlign w:val="center"/>
          </w:tcPr>
          <w:p>
            <w:pPr>
              <w:jc w:val="center"/>
              <w:rPr>
                <w:rFonts w:ascii="宋体" w:hAnsi="宋体"/>
              </w:rPr>
            </w:pPr>
            <w:r>
              <w:rPr>
                <w:rFonts w:hint="eastAsia" w:ascii="宋体" w:hAnsi="宋体"/>
              </w:rPr>
              <w:t>4</w:t>
            </w:r>
          </w:p>
        </w:tc>
        <w:tc>
          <w:tcPr>
            <w:tcW w:w="2160" w:type="dxa"/>
            <w:vAlign w:val="center"/>
          </w:tcPr>
          <w:p>
            <w:pPr>
              <w:jc w:val="center"/>
              <w:rPr>
                <w:rFonts w:ascii="宋体" w:hAnsi="宋体"/>
              </w:rPr>
            </w:pPr>
            <w:r>
              <w:rPr>
                <w:rFonts w:hint="eastAsia" w:ascii="宋体" w:hAnsi="宋体"/>
              </w:rPr>
              <w:t>投标文件的投递</w:t>
            </w:r>
          </w:p>
        </w:tc>
        <w:tc>
          <w:tcPr>
            <w:tcW w:w="5400" w:type="dxa"/>
            <w:vAlign w:val="center"/>
          </w:tcPr>
          <w:p>
            <w:pPr>
              <w:spacing w:line="360" w:lineRule="exact"/>
              <w:rPr>
                <w:rFonts w:ascii="宋体" w:hAnsi="宋体"/>
              </w:rPr>
            </w:pPr>
            <w:r>
              <w:rPr>
                <w:rFonts w:hint="eastAsia" w:ascii="宋体" w:hAnsi="宋体"/>
              </w:rPr>
              <w:t>本项目实行网上投标，投标人必须在招标文件规定的投标截止时间前登录“深圳政府采购智慧平台用户网上办事子系统”，使用“【我的项目】→【项目流程】→【递交投标(应答)文件】</w:t>
            </w:r>
            <w:r>
              <w:rPr>
                <w:rFonts w:ascii="宋体" w:hAnsi="宋体"/>
              </w:rPr>
              <w:t>”功能</w:t>
            </w:r>
            <w:r>
              <w:rPr>
                <w:rFonts w:hint="eastAsia" w:ascii="宋体" w:hAnsi="宋体"/>
              </w:rPr>
              <w:t>点，</w:t>
            </w:r>
            <w:r>
              <w:rPr>
                <w:rFonts w:ascii="宋体" w:hAnsi="宋体"/>
              </w:rPr>
              <w:t>将编制好的电子投标文件上传，投标文件大小不得超过</w:t>
            </w:r>
            <w:r>
              <w:rPr>
                <w:rFonts w:hint="eastAsia" w:ascii="宋体" w:hAnsi="宋体"/>
              </w:rPr>
              <w:t>20</w:t>
            </w:r>
            <w:r>
              <w:rPr>
                <w:rFonts w:ascii="宋体" w:hAnsi="宋体"/>
              </w:rPr>
              <w:t>0MB</w:t>
            </w:r>
            <w:r>
              <w:rPr>
                <w:rFonts w:hint="eastAsia" w:ascii="宋体" w:hAnsi="宋体" w:cs="宋体"/>
                <w:szCs w:val="21"/>
              </w:rPr>
              <w:t>，单个节点文件不能超过</w:t>
            </w:r>
            <w:r>
              <w:rPr>
                <w:rFonts w:ascii="宋体" w:hAnsi="宋体" w:cs="宋体"/>
                <w:szCs w:val="21"/>
              </w:rPr>
              <w:t>50M</w:t>
            </w:r>
            <w:r>
              <w:rPr>
                <w:rFonts w:hint="eastAsia" w:ascii="宋体" w:hAnsi="宋体" w:cs="宋体"/>
                <w:szCs w:val="21"/>
              </w:rPr>
              <w:t>B</w:t>
            </w:r>
            <w:r>
              <w:rPr>
                <w:rFonts w:hint="eastAsia" w:ascii="宋体" w:hAnsi="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761" w:hRule="atLeast"/>
          <w:jc w:val="center"/>
        </w:trPr>
        <w:tc>
          <w:tcPr>
            <w:tcW w:w="807" w:type="dxa"/>
            <w:vAlign w:val="center"/>
          </w:tcPr>
          <w:p>
            <w:pPr>
              <w:jc w:val="center"/>
              <w:rPr>
                <w:rFonts w:ascii="宋体" w:hAnsi="宋体"/>
              </w:rPr>
            </w:pPr>
            <w:r>
              <w:rPr>
                <w:rFonts w:hint="eastAsia" w:ascii="宋体" w:hAnsi="宋体"/>
              </w:rPr>
              <w:t>5</w:t>
            </w:r>
          </w:p>
        </w:tc>
        <w:tc>
          <w:tcPr>
            <w:tcW w:w="2160" w:type="dxa"/>
            <w:vAlign w:val="center"/>
          </w:tcPr>
          <w:p>
            <w:pPr>
              <w:jc w:val="center"/>
              <w:rPr>
                <w:rFonts w:ascii="宋体" w:hAnsi="宋体"/>
              </w:rPr>
            </w:pPr>
            <w:r>
              <w:rPr>
                <w:rFonts w:hint="eastAsia" w:ascii="宋体" w:hAnsi="宋体"/>
              </w:rPr>
              <w:t>中标服务费</w:t>
            </w:r>
          </w:p>
        </w:tc>
        <w:tc>
          <w:tcPr>
            <w:tcW w:w="5400" w:type="dxa"/>
            <w:vAlign w:val="center"/>
          </w:tcPr>
          <w:p>
            <w:pPr>
              <w:spacing w:line="360" w:lineRule="exact"/>
              <w:rPr>
                <w:rFonts w:ascii="宋体" w:hAnsi="宋体"/>
              </w:rPr>
            </w:pPr>
            <w:r>
              <w:rPr>
                <w:rFonts w:hint="eastAsia" w:ascii="宋体" w:hAnsi="宋体"/>
              </w:rPr>
              <w:t>1、中标人须向采购代理机构缴纳中标服务费，收费标准详见通用条款41.4，最低收取人民币7000元。</w:t>
            </w:r>
          </w:p>
          <w:p>
            <w:pPr>
              <w:spacing w:line="360" w:lineRule="exact"/>
              <w:rPr>
                <w:rFonts w:ascii="宋体" w:hAnsi="宋体"/>
              </w:rPr>
            </w:pPr>
            <w:r>
              <w:rPr>
                <w:rFonts w:hint="eastAsia" w:ascii="宋体" w:hAnsi="宋体"/>
              </w:rPr>
              <w:t>2、中标服务费缴纳至：</w:t>
            </w:r>
          </w:p>
          <w:p>
            <w:pPr>
              <w:spacing w:line="360" w:lineRule="exact"/>
              <w:rPr>
                <w:rFonts w:ascii="宋体" w:hAnsi="宋体"/>
              </w:rPr>
            </w:pPr>
            <w:r>
              <w:rPr>
                <w:rFonts w:hint="eastAsia" w:ascii="宋体" w:hAnsi="宋体"/>
              </w:rPr>
              <w:t>开户名称：深圳市中正招标有限公司</w:t>
            </w:r>
          </w:p>
          <w:p>
            <w:pPr>
              <w:spacing w:line="360" w:lineRule="exact"/>
              <w:rPr>
                <w:rFonts w:ascii="宋体" w:hAnsi="宋体"/>
              </w:rPr>
            </w:pPr>
            <w:r>
              <w:rPr>
                <w:rFonts w:hint="eastAsia" w:ascii="宋体" w:hAnsi="宋体"/>
              </w:rPr>
              <w:t>银行帐号：03003729353</w:t>
            </w:r>
          </w:p>
          <w:p>
            <w:pPr>
              <w:spacing w:line="360" w:lineRule="exact"/>
              <w:rPr>
                <w:rFonts w:ascii="宋体" w:hAnsi="宋体"/>
              </w:rPr>
            </w:pPr>
            <w:r>
              <w:rPr>
                <w:rFonts w:hint="eastAsia" w:ascii="宋体" w:hAnsi="宋体"/>
              </w:rPr>
              <w:t>开户银行：上海银行深圳天安支行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807" w:type="dxa"/>
            <w:vAlign w:val="center"/>
          </w:tcPr>
          <w:p>
            <w:pPr>
              <w:jc w:val="center"/>
              <w:rPr>
                <w:rFonts w:ascii="宋体" w:hAnsi="宋体"/>
              </w:rPr>
            </w:pPr>
            <w:r>
              <w:rPr>
                <w:rFonts w:hint="eastAsia" w:ascii="宋体" w:hAnsi="宋体"/>
              </w:rPr>
              <w:t>6</w:t>
            </w:r>
          </w:p>
        </w:tc>
        <w:tc>
          <w:tcPr>
            <w:tcW w:w="2160" w:type="dxa"/>
            <w:vAlign w:val="center"/>
          </w:tcPr>
          <w:p>
            <w:pPr>
              <w:jc w:val="center"/>
              <w:rPr>
                <w:rFonts w:ascii="宋体" w:hAnsi="宋体"/>
              </w:rPr>
            </w:pPr>
            <w:r>
              <w:rPr>
                <w:rFonts w:hint="eastAsia" w:ascii="宋体" w:hAnsi="宋体"/>
              </w:rPr>
              <w:t>履约保证金</w:t>
            </w:r>
          </w:p>
        </w:tc>
        <w:tc>
          <w:tcPr>
            <w:tcW w:w="5400" w:type="dxa"/>
            <w:vAlign w:val="center"/>
          </w:tcPr>
          <w:p>
            <w:pPr>
              <w:spacing w:line="360" w:lineRule="exact"/>
            </w:pPr>
            <w:r>
              <w:rPr>
                <w:rFonts w:hint="eastAsia" w:ascii="宋体" w:hAnsi="宋体"/>
              </w:rPr>
              <w:t>本项目不收取履约保证金。</w:t>
            </w:r>
          </w:p>
        </w:tc>
      </w:tr>
    </w:tbl>
    <w:p>
      <w:pPr>
        <w:spacing w:before="120" w:beforeLines="50"/>
        <w:rPr>
          <w:b/>
        </w:rPr>
      </w:pPr>
      <w:r>
        <w:rPr>
          <w:rFonts w:hint="eastAsia"/>
          <w:szCs w:val="21"/>
        </w:rPr>
        <w:t>备注：本表为通用条款相关内容的补充和明确，如与通用条款相冲突的以本表为准。</w:t>
      </w:r>
    </w:p>
    <w:p>
      <w:pPr>
        <w:rPr>
          <w:b/>
        </w:rPr>
      </w:pPr>
    </w:p>
    <w:p>
      <w:pPr>
        <w:pStyle w:val="7"/>
        <w:spacing w:before="120" w:beforeLines="50" w:after="120" w:afterLines="50"/>
        <w:rPr>
          <w:sz w:val="28"/>
          <w:szCs w:val="28"/>
        </w:rPr>
      </w:pPr>
      <w:r>
        <w:rPr>
          <w:rFonts w:hint="eastAsia"/>
          <w:sz w:val="28"/>
          <w:szCs w:val="28"/>
        </w:rPr>
        <w:t>二、货物清单</w:t>
      </w:r>
    </w:p>
    <w:p>
      <w:pPr>
        <w:rPr>
          <w:rFonts w:ascii="宋体" w:hAnsi="宋体"/>
          <w:b/>
          <w:szCs w:val="21"/>
        </w:rPr>
      </w:pPr>
      <w:r>
        <w:rPr>
          <w:rFonts w:hint="eastAsia" w:ascii="宋体" w:hAnsi="宋体"/>
          <w:b/>
          <w:szCs w:val="21"/>
        </w:rPr>
        <w:t>（一）货物总清单</w:t>
      </w:r>
    </w:p>
    <w:tbl>
      <w:tblPr>
        <w:tblStyle w:val="42"/>
        <w:tblpPr w:leftFromText="180" w:rightFromText="180" w:vertAnchor="text" w:horzAnchor="margin" w:tblpXSpec="center" w:tblpY="173"/>
        <w:tblW w:w="8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131"/>
        <w:gridCol w:w="675"/>
        <w:gridCol w:w="660"/>
        <w:gridCol w:w="1575"/>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313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项目名称</w:t>
            </w:r>
          </w:p>
        </w:tc>
        <w:tc>
          <w:tcPr>
            <w:tcW w:w="675"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66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单位</w:t>
            </w:r>
          </w:p>
        </w:tc>
        <w:tc>
          <w:tcPr>
            <w:tcW w:w="1575"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最高单价限价</w:t>
            </w:r>
          </w:p>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（人民币元）</w:t>
            </w:r>
          </w:p>
        </w:tc>
        <w:tc>
          <w:tcPr>
            <w:tcW w:w="1645"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预算金额</w:t>
            </w:r>
          </w:p>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1"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3131"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60岁以及上人群4价流感疫苗</w:t>
            </w:r>
          </w:p>
        </w:tc>
        <w:tc>
          <w:tcPr>
            <w:tcW w:w="675"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660"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批</w:t>
            </w:r>
          </w:p>
        </w:tc>
        <w:tc>
          <w:tcPr>
            <w:tcW w:w="1575"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0.00</w:t>
            </w:r>
          </w:p>
        </w:tc>
        <w:tc>
          <w:tcPr>
            <w:tcW w:w="1645"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w:t>
            </w:r>
            <w:r>
              <w:rPr>
                <w:rFonts w:asciiTheme="minorEastAsia" w:hAnsiTheme="minorEastAsia" w:eastAsiaTheme="minorEastAsia"/>
                <w:szCs w:val="21"/>
              </w:rPr>
              <w:t>000</w:t>
            </w:r>
            <w:r>
              <w:rPr>
                <w:rFonts w:hint="eastAsia" w:asciiTheme="minorEastAsia" w:hAnsiTheme="minorEastAsia" w:eastAsiaTheme="minorEastAsia"/>
                <w:szCs w:val="21"/>
              </w:rPr>
              <w:t>,0</w:t>
            </w:r>
            <w:r>
              <w:rPr>
                <w:rFonts w:asciiTheme="minorEastAsia" w:hAnsiTheme="minorEastAsia" w:eastAsiaTheme="minorEastAsia"/>
                <w:szCs w:val="21"/>
              </w:rPr>
              <w:t>0</w:t>
            </w:r>
            <w:r>
              <w:rPr>
                <w:rFonts w:hint="eastAsia" w:asciiTheme="minorEastAsia" w:hAnsiTheme="minorEastAsia" w:eastAsiaTheme="minorEastAsia"/>
                <w:szCs w:val="21"/>
              </w:rPr>
              <w:t>0.</w:t>
            </w:r>
            <w:r>
              <w:rPr>
                <w:rFonts w:asciiTheme="minorEastAsia" w:hAnsiTheme="minorEastAsia" w:eastAsiaTheme="minorEastAsia"/>
                <w:szCs w:val="21"/>
              </w:rPr>
              <w:t>00</w:t>
            </w:r>
          </w:p>
        </w:tc>
      </w:tr>
    </w:tbl>
    <w:p>
      <w:pPr>
        <w:spacing w:line="360" w:lineRule="auto"/>
        <w:rPr>
          <w:rFonts w:ascii="宋体" w:hAnsi="宋体"/>
          <w:b/>
          <w:szCs w:val="21"/>
        </w:rPr>
      </w:pPr>
      <w:r>
        <w:rPr>
          <w:rFonts w:hint="eastAsia" w:ascii="宋体" w:hAnsi="宋体" w:cs="宋体"/>
          <w:bCs/>
          <w:szCs w:val="21"/>
          <w:highlight w:val="yellow"/>
        </w:rPr>
        <w:t>★</w:t>
      </w:r>
      <w:r>
        <w:rPr>
          <w:rFonts w:hint="eastAsia" w:asciiTheme="minorEastAsia" w:hAnsiTheme="minorEastAsia" w:eastAsiaTheme="minorEastAsia"/>
          <w:bCs/>
          <w:szCs w:val="21"/>
          <w:highlight w:val="yellow"/>
        </w:rPr>
        <w:t>投标人的投标报价超过预算金额或最高单价限价的将导致投标无效。</w:t>
      </w:r>
    </w:p>
    <w:p>
      <w:pPr>
        <w:spacing w:line="360" w:lineRule="auto"/>
        <w:rPr>
          <w:rFonts w:ascii="宋体" w:hAnsi="宋体"/>
          <w:b/>
          <w:szCs w:val="21"/>
        </w:rPr>
      </w:pPr>
      <w:r>
        <w:rPr>
          <w:rFonts w:hint="eastAsia" w:ascii="宋体" w:hAnsi="宋体"/>
          <w:b/>
          <w:szCs w:val="21"/>
        </w:rPr>
        <w:t>（二）货物清单明细</w:t>
      </w:r>
    </w:p>
    <w:tbl>
      <w:tblPr>
        <w:tblStyle w:val="42"/>
        <w:tblW w:w="8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410"/>
        <w:gridCol w:w="1134"/>
        <w:gridCol w:w="1418"/>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71"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3410" w:type="dxa"/>
            <w:vAlign w:val="center"/>
          </w:tcPr>
          <w:p>
            <w:pPr>
              <w:spacing w:line="360" w:lineRule="auto"/>
              <w:jc w:val="center"/>
              <w:rPr>
                <w:rFonts w:asciiTheme="minorEastAsia" w:hAnsiTheme="minorEastAsia" w:eastAsiaTheme="minorEastAsia"/>
                <w:b/>
                <w:bCs/>
                <w:color w:val="FF0000"/>
                <w:szCs w:val="21"/>
              </w:rPr>
            </w:pPr>
            <w:r>
              <w:rPr>
                <w:rFonts w:hint="eastAsia" w:asciiTheme="minorEastAsia" w:hAnsiTheme="minorEastAsia" w:eastAsiaTheme="minorEastAsia"/>
                <w:b/>
                <w:bCs/>
                <w:color w:val="FF0000"/>
                <w:szCs w:val="21"/>
              </w:rPr>
              <w:t>标的名称</w:t>
            </w:r>
          </w:p>
        </w:tc>
        <w:tc>
          <w:tcPr>
            <w:tcW w:w="1134"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数量</w:t>
            </w:r>
          </w:p>
        </w:tc>
        <w:tc>
          <w:tcPr>
            <w:tcW w:w="1418"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单位</w:t>
            </w:r>
          </w:p>
        </w:tc>
        <w:tc>
          <w:tcPr>
            <w:tcW w:w="1720" w:type="dxa"/>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71"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3410"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4价流感</w:t>
            </w:r>
            <w:r>
              <w:rPr>
                <w:rFonts w:asciiTheme="minorEastAsia" w:hAnsiTheme="minorEastAsia" w:eastAsiaTheme="minorEastAsia"/>
                <w:bCs/>
                <w:szCs w:val="21"/>
              </w:rPr>
              <w:t>疫苗</w:t>
            </w:r>
          </w:p>
        </w:tc>
        <w:tc>
          <w:tcPr>
            <w:tcW w:w="1134" w:type="dxa"/>
            <w:vAlign w:val="center"/>
          </w:tcPr>
          <w:p>
            <w:pPr>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t>100000</w:t>
            </w:r>
          </w:p>
        </w:tc>
        <w:tc>
          <w:tcPr>
            <w:tcW w:w="1418"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支</w:t>
            </w:r>
          </w:p>
        </w:tc>
        <w:tc>
          <w:tcPr>
            <w:tcW w:w="1720" w:type="dxa"/>
            <w:vAlign w:val="center"/>
          </w:tcPr>
          <w:p>
            <w:pPr>
              <w:spacing w:line="360" w:lineRule="auto"/>
              <w:jc w:val="center"/>
              <w:rPr>
                <w:rFonts w:asciiTheme="minorEastAsia" w:hAnsiTheme="minorEastAsia" w:eastAsiaTheme="minorEastAsia"/>
                <w:bCs/>
                <w:szCs w:val="21"/>
              </w:rPr>
            </w:pPr>
            <w:r>
              <w:rPr>
                <w:rFonts w:hint="eastAsia" w:ascii="宋体" w:hAnsi="宋体"/>
                <w:szCs w:val="21"/>
              </w:rPr>
              <w:t>拒绝进口</w:t>
            </w:r>
          </w:p>
        </w:tc>
      </w:tr>
    </w:tbl>
    <w:p>
      <w:pPr>
        <w:spacing w:line="360" w:lineRule="auto"/>
        <w:rPr>
          <w:rFonts w:ascii="宋体" w:hAnsi="宋体"/>
          <w:szCs w:val="21"/>
        </w:rPr>
      </w:pPr>
      <w:r>
        <w:rPr>
          <w:rFonts w:hint="eastAsia" w:ascii="宋体" w:hAnsi="宋体"/>
          <w:szCs w:val="21"/>
        </w:rPr>
        <w:t>备注：</w:t>
      </w:r>
    </w:p>
    <w:p>
      <w:pPr>
        <w:spacing w:line="360" w:lineRule="auto"/>
        <w:rPr>
          <w:rFonts w:ascii="宋体" w:hAnsi="宋体"/>
          <w:szCs w:val="21"/>
        </w:rPr>
      </w:pPr>
      <w:r>
        <w:rPr>
          <w:rFonts w:hint="eastAsia" w:ascii="宋体" w:hAnsi="宋体"/>
          <w:szCs w:val="21"/>
          <w:highlight w:val="yellow"/>
        </w:rPr>
        <w:t>1、如同时有两家或两家以上（均为制造商的合法代理商）通过资格审查及符合性审查的合格投标人</w:t>
      </w:r>
      <w:r>
        <w:rPr>
          <w:rFonts w:hint="eastAsia" w:ascii="宋体" w:hAnsi="宋体"/>
          <w:b/>
          <w:szCs w:val="21"/>
          <w:highlight w:val="yellow"/>
        </w:rPr>
        <w:t>所投产品为相同品牌的，按一家投标人计算</w:t>
      </w:r>
      <w:r>
        <w:rPr>
          <w:rFonts w:hint="eastAsia" w:ascii="宋体" w:hAnsi="宋体"/>
          <w:szCs w:val="21"/>
          <w:highlight w:val="yellow"/>
        </w:rPr>
        <w:t>。在此种情况下，评审后得分最高的投标人获得中标人推荐资格；评审得分相同的由报价相对最低的获得中标人推荐资格；评审得分及报价均相同的由技术评分相对最高的获得中标人推荐资格；以上均相同的由评标委员会采取随机抽取方式确定，其他同品牌投标人不作为中标候选人。</w:t>
      </w:r>
    </w:p>
    <w:p>
      <w:pPr>
        <w:spacing w:line="360" w:lineRule="auto"/>
        <w:rPr>
          <w:rFonts w:ascii="宋体" w:hAnsi="宋体"/>
          <w:szCs w:val="21"/>
        </w:rPr>
      </w:pPr>
      <w:r>
        <w:rPr>
          <w:rFonts w:hint="eastAsia" w:ascii="宋体" w:hAnsi="宋体"/>
          <w:szCs w:val="21"/>
        </w:rPr>
        <w:t xml:space="preserve">2、备注栏注明“拒绝进口”的产品不接受投标人选用进口产品参与投标；注明“接受进口”的产品允许投标人选用进口产品参与投标，但不排斥国内产品。 </w:t>
      </w:r>
    </w:p>
    <w:p>
      <w:pPr>
        <w:spacing w:line="360" w:lineRule="auto"/>
        <w:rPr>
          <w:rFonts w:ascii="宋体" w:hAnsi="宋体"/>
          <w:szCs w:val="21"/>
        </w:rPr>
      </w:pPr>
      <w:r>
        <w:rPr>
          <w:rFonts w:hint="eastAsia" w:ascii="宋体" w:hAnsi="宋体"/>
          <w:szCs w:val="21"/>
        </w:rPr>
        <w:t>3、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spacing w:line="360" w:lineRule="auto"/>
        <w:rPr>
          <w:rFonts w:ascii="宋体" w:hAnsi="宋体"/>
          <w:szCs w:val="21"/>
        </w:rPr>
      </w:pPr>
      <w:r>
        <w:rPr>
          <w:rFonts w:hint="eastAsia" w:ascii="宋体" w:hAnsi="宋体"/>
          <w:szCs w:val="21"/>
        </w:rPr>
        <w:t>4、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spacing w:line="360" w:lineRule="auto"/>
        <w:rPr>
          <w:rFonts w:ascii="宋体" w:hAnsi="宋体"/>
          <w:szCs w:val="21"/>
        </w:rPr>
      </w:pPr>
      <w:r>
        <w:rPr>
          <w:rFonts w:hint="eastAsia" w:ascii="宋体" w:hAnsi="宋体"/>
          <w:szCs w:val="21"/>
        </w:rPr>
        <w:t>5、本项目需求中出现的工艺、材料、设备或参照的品牌等仅为方便描述而没有限制性，投标人可以在其提供的文件资料中选用替代标准，但这些替代标准要优于或相当于项目需求中要求的标准。</w:t>
      </w:r>
    </w:p>
    <w:p>
      <w:pPr>
        <w:spacing w:line="360" w:lineRule="auto"/>
        <w:rPr>
          <w:rFonts w:ascii="宋体" w:hAnsi="宋体"/>
          <w:szCs w:val="21"/>
        </w:rPr>
      </w:pPr>
      <w:r>
        <w:rPr>
          <w:rFonts w:hint="eastAsia" w:ascii="宋体" w:hAnsi="宋体"/>
          <w:szCs w:val="21"/>
        </w:rPr>
        <w:t>6、如要求提供证明材料，投标文件需提供相应证明材料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360" w:lineRule="auto"/>
        <w:rPr>
          <w:rFonts w:ascii="宋体" w:hAnsi="宋体"/>
          <w:szCs w:val="21"/>
        </w:rPr>
      </w:pPr>
      <w:r>
        <w:rPr>
          <w:rFonts w:hint="eastAsia" w:ascii="宋体" w:hAnsi="宋体"/>
          <w:szCs w:val="21"/>
        </w:rPr>
        <w:t>7、投标人提供证书或检测报告等证明材料的，颁发证书、出具报告的机构须是合法设立的机构，且具有颁发相应证书或者出具相应报告的资质。</w:t>
      </w:r>
    </w:p>
    <w:p>
      <w:pPr>
        <w:spacing w:line="360" w:lineRule="auto"/>
        <w:rPr>
          <w:rFonts w:ascii="宋体" w:hAnsi="宋体"/>
          <w:szCs w:val="21"/>
        </w:rPr>
      </w:pPr>
      <w:r>
        <w:rPr>
          <w:rFonts w:hint="eastAsia" w:ascii="宋体" w:hAnsi="宋体"/>
          <w:szCs w:val="21"/>
        </w:rPr>
        <w:t>8、技术参数设置为区间要求的（例如：潮气量：0-2000ML），投标产品参数区间与招标要求不完全一致的均视为负偏离。</w:t>
      </w:r>
    </w:p>
    <w:p>
      <w:pPr>
        <w:spacing w:line="360" w:lineRule="auto"/>
        <w:rPr>
          <w:rFonts w:ascii="宋体" w:hAnsi="宋体"/>
          <w:szCs w:val="21"/>
        </w:rPr>
      </w:pPr>
      <w:r>
        <w:rPr>
          <w:rFonts w:hint="eastAsia" w:ascii="宋体" w:hAnsi="宋体"/>
          <w:szCs w:val="21"/>
        </w:rPr>
        <w:t>9、对于定制类产品，投标人需在投标文件“分项报价表”中明确注明“定制”，否则该产品技术参数按负偏离处理。</w:t>
      </w:r>
    </w:p>
    <w:p>
      <w:pPr>
        <w:spacing w:line="360" w:lineRule="auto"/>
        <w:rPr>
          <w:rFonts w:ascii="宋体" w:hAnsi="宋体"/>
          <w:szCs w:val="21"/>
        </w:rPr>
      </w:pPr>
      <w:r>
        <w:rPr>
          <w:rFonts w:hint="eastAsia" w:ascii="宋体" w:hAnsi="宋体"/>
          <w:szCs w:val="21"/>
        </w:rPr>
        <w:t>10、加注▲的条款为重要条款要求，如不满足将按评标信息进行扣分。</w:t>
      </w:r>
    </w:p>
    <w:p>
      <w:pPr>
        <w:spacing w:line="360" w:lineRule="auto"/>
        <w:rPr>
          <w:rFonts w:ascii="宋体" w:hAnsi="宋体"/>
          <w:szCs w:val="21"/>
        </w:rPr>
      </w:pPr>
      <w:r>
        <w:rPr>
          <w:rFonts w:hint="eastAsia" w:ascii="宋体" w:hAnsi="宋体"/>
          <w:szCs w:val="21"/>
          <w:highlight w:val="yellow"/>
        </w:rPr>
        <w:t>11、加注★的条款为不可负偏离条款，任一项未响应或不满足要求的，将导致投标无效。</w:t>
      </w:r>
    </w:p>
    <w:p>
      <w:pPr>
        <w:pStyle w:val="2"/>
      </w:pPr>
    </w:p>
    <w:p>
      <w:pPr>
        <w:rPr>
          <w:rFonts w:ascii="宋体" w:hAnsi="宋体"/>
          <w:b/>
          <w:szCs w:val="21"/>
        </w:rPr>
      </w:pPr>
    </w:p>
    <w:p>
      <w:pPr>
        <w:rPr>
          <w:sz w:val="28"/>
          <w:szCs w:val="28"/>
        </w:rPr>
      </w:pPr>
      <w:bookmarkStart w:id="27" w:name="_Toc128884461"/>
      <w:r>
        <w:rPr>
          <w:rFonts w:hint="eastAsia"/>
          <w:sz w:val="28"/>
          <w:szCs w:val="28"/>
        </w:rPr>
        <w:br w:type="page"/>
      </w:r>
    </w:p>
    <w:p>
      <w:pPr>
        <w:pStyle w:val="7"/>
        <w:spacing w:before="120" w:beforeLines="50" w:after="120" w:afterLines="50"/>
      </w:pPr>
      <w:r>
        <w:rPr>
          <w:rFonts w:hint="eastAsia"/>
          <w:sz w:val="28"/>
          <w:szCs w:val="28"/>
        </w:rPr>
        <w:t>三、实质性条款</w:t>
      </w:r>
    </w:p>
    <w:tbl>
      <w:tblPr>
        <w:tblStyle w:val="42"/>
        <w:tblW w:w="8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widowControl/>
              <w:spacing w:line="360" w:lineRule="auto"/>
              <w:jc w:val="center"/>
              <w:rPr>
                <w:szCs w:val="21"/>
              </w:rPr>
            </w:pPr>
            <w:r>
              <w:rPr>
                <w:rFonts w:hint="eastAsia"/>
                <w:szCs w:val="21"/>
              </w:rPr>
              <w:t>序号</w:t>
            </w:r>
          </w:p>
        </w:tc>
        <w:tc>
          <w:tcPr>
            <w:tcW w:w="7598" w:type="dxa"/>
          </w:tcPr>
          <w:p>
            <w:pPr>
              <w:widowControl/>
              <w:spacing w:line="360" w:lineRule="auto"/>
              <w:jc w:val="center"/>
              <w:rPr>
                <w:szCs w:val="21"/>
              </w:rPr>
            </w:pPr>
            <w:r>
              <w:rPr>
                <w:rFonts w:hint="eastAsia"/>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1</w:t>
            </w:r>
          </w:p>
        </w:tc>
        <w:tc>
          <w:tcPr>
            <w:tcW w:w="7598"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szCs w:val="21"/>
              </w:rPr>
              <w:t>关于免费保修期（即疫苗有效期）：从到货日期算起到失效≥6个月，时间自最终验收合格并交付使用之日起计算。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w:t>
            </w:r>
          </w:p>
        </w:tc>
        <w:tc>
          <w:tcPr>
            <w:tcW w:w="7598"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szCs w:val="21"/>
              </w:rPr>
              <w:t>供货时间：合同签订之日起服务期限为1年，一年合同结束后，采购人对中标人进行履约评价，评价合格后续约一年，最多可续约一次，总服务期不超过2年。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3</w:t>
            </w:r>
          </w:p>
        </w:tc>
        <w:tc>
          <w:tcPr>
            <w:tcW w:w="7598"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投标人的投标报价超过预算金额或最高单价限价的将导致投标无效。</w:t>
            </w:r>
          </w:p>
        </w:tc>
      </w:tr>
    </w:tbl>
    <w:p>
      <w:pPr>
        <w:adjustRightInd w:val="0"/>
        <w:snapToGrid w:val="0"/>
        <w:spacing w:line="360" w:lineRule="auto"/>
        <w:ind w:firstLine="482" w:firstLineChars="200"/>
      </w:pPr>
      <w:r>
        <w:rPr>
          <w:rFonts w:hint="eastAsia" w:ascii="黑体"/>
          <w:b/>
          <w:kern w:val="0"/>
          <w:sz w:val="24"/>
        </w:rPr>
        <w:t>注：上表所列内容为不可负偏离条款。</w:t>
      </w:r>
    </w:p>
    <w:bookmarkEnd w:id="27"/>
    <w:p>
      <w:pPr>
        <w:pStyle w:val="7"/>
        <w:spacing w:before="120" w:beforeLines="50" w:after="120" w:afterLines="50"/>
        <w:rPr>
          <w:sz w:val="28"/>
          <w:szCs w:val="28"/>
        </w:rPr>
      </w:pPr>
    </w:p>
    <w:p>
      <w:pPr>
        <w:pStyle w:val="7"/>
        <w:spacing w:before="120" w:beforeLines="50" w:after="120" w:afterLines="50"/>
        <w:rPr>
          <w:sz w:val="28"/>
          <w:szCs w:val="28"/>
        </w:rPr>
      </w:pPr>
      <w:r>
        <w:rPr>
          <w:rFonts w:hint="eastAsia"/>
          <w:sz w:val="28"/>
          <w:szCs w:val="28"/>
        </w:rPr>
        <w:t>四、具体技术要求</w:t>
      </w:r>
    </w:p>
    <w:tbl>
      <w:tblPr>
        <w:tblStyle w:val="42"/>
        <w:tblW w:w="8602"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530"/>
        <w:gridCol w:w="6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trPr>
        <w:tc>
          <w:tcPr>
            <w:tcW w:w="660" w:type="dxa"/>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1530" w:type="dxa"/>
            <w:vAlign w:val="center"/>
          </w:tcPr>
          <w:p>
            <w:pPr>
              <w:widowControl/>
              <w:spacing w:line="360" w:lineRule="auto"/>
              <w:jc w:val="center"/>
              <w:rPr>
                <w:rFonts w:ascii="宋体" w:hAnsi="宋体" w:cs="宋体"/>
                <w:b/>
                <w:bCs/>
                <w:szCs w:val="21"/>
              </w:rPr>
            </w:pPr>
            <w:r>
              <w:rPr>
                <w:rFonts w:hint="eastAsia" w:ascii="宋体" w:hAnsi="宋体" w:cs="宋体"/>
                <w:b/>
                <w:bCs/>
                <w:szCs w:val="21"/>
              </w:rPr>
              <w:t>货物名称</w:t>
            </w:r>
          </w:p>
        </w:tc>
        <w:tc>
          <w:tcPr>
            <w:tcW w:w="6412" w:type="dxa"/>
            <w:vAlign w:val="center"/>
          </w:tcPr>
          <w:p>
            <w:pPr>
              <w:spacing w:line="360" w:lineRule="auto"/>
              <w:jc w:val="center"/>
              <w:rPr>
                <w:rFonts w:ascii="宋体" w:hAnsi="宋体" w:cs="宋体"/>
                <w:b/>
                <w:bCs/>
                <w:szCs w:val="21"/>
              </w:rPr>
            </w:pPr>
            <w:r>
              <w:rPr>
                <w:rFonts w:hint="eastAsia" w:ascii="宋体" w:hAnsi="宋体" w:cs="宋体"/>
                <w:b/>
                <w:bCs/>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Merge w:val="restart"/>
            <w:vAlign w:val="center"/>
          </w:tcPr>
          <w:p>
            <w:pPr>
              <w:spacing w:line="360" w:lineRule="auto"/>
              <w:jc w:val="center"/>
              <w:rPr>
                <w:rFonts w:ascii="宋体" w:hAnsi="宋体" w:cs="宋体"/>
                <w:b/>
                <w:szCs w:val="21"/>
              </w:rPr>
            </w:pPr>
            <w:r>
              <w:rPr>
                <w:rFonts w:hint="eastAsia" w:ascii="宋体" w:hAnsi="宋体" w:cs="宋体"/>
                <w:b/>
                <w:szCs w:val="21"/>
              </w:rPr>
              <w:t>1</w:t>
            </w:r>
          </w:p>
        </w:tc>
        <w:tc>
          <w:tcPr>
            <w:tcW w:w="1530" w:type="dxa"/>
            <w:vMerge w:val="restart"/>
            <w:vAlign w:val="center"/>
          </w:tcPr>
          <w:p>
            <w:pPr>
              <w:spacing w:line="360" w:lineRule="auto"/>
              <w:jc w:val="center"/>
              <w:rPr>
                <w:rFonts w:ascii="宋体" w:hAnsi="宋体" w:cs="宋体"/>
                <w:bCs/>
                <w:szCs w:val="21"/>
              </w:rPr>
            </w:pPr>
            <w:r>
              <w:rPr>
                <w:rFonts w:hint="eastAsia" w:ascii="宋体" w:hAnsi="宋体" w:cs="宋体"/>
                <w:b/>
                <w:szCs w:val="21"/>
              </w:rPr>
              <w:t>四价流感疫苗</w:t>
            </w:r>
          </w:p>
        </w:tc>
        <w:tc>
          <w:tcPr>
            <w:tcW w:w="6412" w:type="dxa"/>
            <w:vAlign w:val="center"/>
          </w:tcPr>
          <w:p>
            <w:pPr>
              <w:spacing w:line="360" w:lineRule="auto"/>
              <w:rPr>
                <w:rFonts w:ascii="宋体" w:hAnsi="宋体" w:cs="宋体"/>
                <w:szCs w:val="21"/>
              </w:rPr>
            </w:pPr>
            <w:r>
              <w:rPr>
                <w:rFonts w:hint="eastAsia" w:ascii="宋体" w:hAnsi="宋体" w:cs="宋体"/>
                <w:szCs w:val="21"/>
              </w:rPr>
              <w:t>1.1投标产品剂型：液体注射剂，包装：预填充注射器装，规格：每瓶0.5ml/支，每1次人用剂量0.5ml。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60" w:type="dxa"/>
            <w:vMerge w:val="continue"/>
            <w:vAlign w:val="center"/>
          </w:tcPr>
          <w:p>
            <w:pPr>
              <w:spacing w:line="360" w:lineRule="auto"/>
              <w:jc w:val="center"/>
              <w:rPr>
                <w:rFonts w:ascii="宋体" w:hAnsi="宋体" w:cs="宋体"/>
                <w:b/>
                <w:szCs w:val="21"/>
              </w:rPr>
            </w:pPr>
          </w:p>
        </w:tc>
        <w:tc>
          <w:tcPr>
            <w:tcW w:w="1530" w:type="dxa"/>
            <w:vMerge w:val="continue"/>
          </w:tcPr>
          <w:p>
            <w:pPr>
              <w:spacing w:line="360" w:lineRule="auto"/>
              <w:rPr>
                <w:rFonts w:ascii="宋体" w:hAnsi="宋体" w:cs="宋体"/>
                <w:bCs/>
                <w:szCs w:val="21"/>
              </w:rPr>
            </w:pPr>
          </w:p>
        </w:tc>
        <w:tc>
          <w:tcPr>
            <w:tcW w:w="6412" w:type="dxa"/>
            <w:vAlign w:val="center"/>
          </w:tcPr>
          <w:p>
            <w:pPr>
              <w:spacing w:line="360" w:lineRule="auto"/>
              <w:rPr>
                <w:rFonts w:ascii="宋体" w:hAnsi="宋体" w:cs="宋体"/>
                <w:szCs w:val="21"/>
              </w:rPr>
            </w:pPr>
            <w:r>
              <w:rPr>
                <w:rFonts w:hint="eastAsia" w:ascii="宋体" w:hAnsi="宋体" w:cs="宋体"/>
                <w:szCs w:val="21"/>
              </w:rPr>
              <w:t>▲1.2投标产品质量符合《中华人民共和国药典（2020年版）》的标准。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60" w:type="dxa"/>
            <w:vMerge w:val="continue"/>
            <w:vAlign w:val="center"/>
          </w:tcPr>
          <w:p>
            <w:pPr>
              <w:spacing w:line="360" w:lineRule="auto"/>
              <w:jc w:val="center"/>
              <w:rPr>
                <w:rFonts w:ascii="宋体" w:hAnsi="宋体" w:cs="宋体"/>
                <w:b/>
                <w:szCs w:val="21"/>
              </w:rPr>
            </w:pPr>
          </w:p>
        </w:tc>
        <w:tc>
          <w:tcPr>
            <w:tcW w:w="1530" w:type="dxa"/>
            <w:vMerge w:val="continue"/>
          </w:tcPr>
          <w:p>
            <w:pPr>
              <w:spacing w:line="360" w:lineRule="auto"/>
              <w:rPr>
                <w:rFonts w:ascii="宋体" w:hAnsi="宋体" w:cs="宋体"/>
                <w:bCs/>
                <w:szCs w:val="21"/>
              </w:rPr>
            </w:pPr>
          </w:p>
        </w:tc>
        <w:tc>
          <w:tcPr>
            <w:tcW w:w="6412" w:type="dxa"/>
            <w:vAlign w:val="center"/>
          </w:tcPr>
          <w:p>
            <w:pPr>
              <w:spacing w:line="360" w:lineRule="auto"/>
              <w:rPr>
                <w:rFonts w:ascii="宋体" w:hAnsi="宋体" w:cs="宋体"/>
                <w:szCs w:val="21"/>
              </w:rPr>
            </w:pPr>
            <w:r>
              <w:rPr>
                <w:rFonts w:hint="eastAsia" w:ascii="宋体" w:hAnsi="宋体" w:cs="宋体"/>
                <w:szCs w:val="21"/>
              </w:rPr>
              <w:t>1.3投标人需提供投标产品上市后安全性、免疫效果和流行病学效果评价的相关研究文献扫描件，原件备查。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60" w:type="dxa"/>
            <w:vMerge w:val="continue"/>
            <w:vAlign w:val="center"/>
          </w:tcPr>
          <w:p>
            <w:pPr>
              <w:spacing w:line="360" w:lineRule="auto"/>
              <w:jc w:val="center"/>
              <w:rPr>
                <w:rFonts w:ascii="宋体" w:hAnsi="宋体" w:cs="宋体"/>
                <w:b/>
                <w:szCs w:val="21"/>
              </w:rPr>
            </w:pPr>
          </w:p>
        </w:tc>
        <w:tc>
          <w:tcPr>
            <w:tcW w:w="1530" w:type="dxa"/>
            <w:vMerge w:val="continue"/>
          </w:tcPr>
          <w:p>
            <w:pPr>
              <w:spacing w:line="360" w:lineRule="auto"/>
              <w:rPr>
                <w:rFonts w:ascii="宋体" w:hAnsi="宋体" w:cs="宋体"/>
                <w:bCs/>
                <w:szCs w:val="21"/>
              </w:rPr>
            </w:pPr>
          </w:p>
        </w:tc>
        <w:tc>
          <w:tcPr>
            <w:tcW w:w="6412" w:type="dxa"/>
            <w:vAlign w:val="center"/>
          </w:tcPr>
          <w:p>
            <w:pPr>
              <w:spacing w:line="360" w:lineRule="auto"/>
              <w:rPr>
                <w:rFonts w:ascii="宋体" w:hAnsi="宋体" w:cs="宋体"/>
                <w:szCs w:val="21"/>
              </w:rPr>
            </w:pPr>
            <w:r>
              <w:rPr>
                <w:rFonts w:hint="eastAsia" w:ascii="宋体" w:hAnsi="宋体" w:cs="宋体"/>
                <w:szCs w:val="21"/>
              </w:rPr>
              <w:t>▲1.4投标企业具有完善的不良反应监测制度，并提供预防接种异常反应监测数据和分析报告或参与免疫接种异常反应处理情况报告扫描件（至少提供3份），原件备查。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60" w:type="dxa"/>
            <w:vMerge w:val="continue"/>
            <w:vAlign w:val="center"/>
          </w:tcPr>
          <w:p>
            <w:pPr>
              <w:spacing w:line="360" w:lineRule="auto"/>
              <w:jc w:val="center"/>
              <w:rPr>
                <w:rFonts w:ascii="宋体" w:hAnsi="宋体" w:cs="宋体"/>
                <w:b/>
                <w:szCs w:val="21"/>
              </w:rPr>
            </w:pPr>
          </w:p>
        </w:tc>
        <w:tc>
          <w:tcPr>
            <w:tcW w:w="1530" w:type="dxa"/>
            <w:vMerge w:val="continue"/>
          </w:tcPr>
          <w:p>
            <w:pPr>
              <w:spacing w:line="360" w:lineRule="auto"/>
              <w:rPr>
                <w:rFonts w:ascii="宋体" w:hAnsi="宋体" w:cs="宋体"/>
                <w:bCs/>
                <w:szCs w:val="21"/>
              </w:rPr>
            </w:pPr>
          </w:p>
        </w:tc>
        <w:tc>
          <w:tcPr>
            <w:tcW w:w="6412" w:type="dxa"/>
            <w:vAlign w:val="center"/>
          </w:tcPr>
          <w:p>
            <w:pPr>
              <w:spacing w:line="360" w:lineRule="auto"/>
              <w:rPr>
                <w:rFonts w:ascii="宋体" w:hAnsi="宋体" w:cs="宋体"/>
                <w:szCs w:val="21"/>
              </w:rPr>
            </w:pPr>
            <w:r>
              <w:rPr>
                <w:rFonts w:hint="eastAsia" w:ascii="宋体" w:hAnsi="宋体" w:cs="宋体"/>
                <w:szCs w:val="21"/>
              </w:rPr>
              <w:t>1.5投标人应提供技术成熟的符合用户需求的新型疫苗，并确保其完整性和可靠性。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60" w:type="dxa"/>
            <w:vMerge w:val="continue"/>
            <w:vAlign w:val="center"/>
          </w:tcPr>
          <w:p>
            <w:pPr>
              <w:spacing w:line="360" w:lineRule="auto"/>
              <w:jc w:val="center"/>
              <w:rPr>
                <w:rFonts w:ascii="宋体" w:hAnsi="宋体" w:cs="宋体"/>
                <w:b/>
                <w:szCs w:val="21"/>
              </w:rPr>
            </w:pPr>
          </w:p>
        </w:tc>
        <w:tc>
          <w:tcPr>
            <w:tcW w:w="1530" w:type="dxa"/>
            <w:vMerge w:val="continue"/>
          </w:tcPr>
          <w:p>
            <w:pPr>
              <w:spacing w:line="360" w:lineRule="auto"/>
              <w:rPr>
                <w:rFonts w:ascii="宋体" w:hAnsi="宋体" w:cs="宋体"/>
                <w:bCs/>
                <w:szCs w:val="21"/>
              </w:rPr>
            </w:pPr>
          </w:p>
        </w:tc>
        <w:tc>
          <w:tcPr>
            <w:tcW w:w="6412" w:type="dxa"/>
          </w:tcPr>
          <w:p>
            <w:pPr>
              <w:spacing w:line="360" w:lineRule="auto"/>
              <w:rPr>
                <w:rFonts w:ascii="宋体" w:hAnsi="宋体" w:cs="宋体"/>
                <w:szCs w:val="21"/>
              </w:rPr>
            </w:pPr>
            <w:r>
              <w:rPr>
                <w:rFonts w:hint="eastAsia" w:ascii="宋体" w:hAnsi="宋体" w:cs="宋体"/>
                <w:szCs w:val="21"/>
              </w:rPr>
              <w:t>1.6投标人在中标后提供</w:t>
            </w:r>
            <w:r>
              <w:rPr>
                <w:rFonts w:ascii="宋体" w:hAnsi="宋体" w:cs="宋体"/>
                <w:szCs w:val="21"/>
              </w:rPr>
              <w:t>4</w:t>
            </w:r>
            <w:r>
              <w:rPr>
                <w:rFonts w:hint="eastAsia" w:ascii="宋体" w:hAnsi="宋体" w:cs="宋体"/>
                <w:szCs w:val="21"/>
              </w:rPr>
              <w:t>价流感疫苗使用的中文文件（说明书和相关资料）。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60" w:type="dxa"/>
            <w:vMerge w:val="continue"/>
            <w:vAlign w:val="center"/>
          </w:tcPr>
          <w:p>
            <w:pPr>
              <w:spacing w:line="360" w:lineRule="auto"/>
              <w:jc w:val="center"/>
              <w:rPr>
                <w:rFonts w:ascii="宋体" w:hAnsi="宋体" w:cs="宋体"/>
                <w:b/>
                <w:szCs w:val="21"/>
              </w:rPr>
            </w:pPr>
          </w:p>
        </w:tc>
        <w:tc>
          <w:tcPr>
            <w:tcW w:w="1530" w:type="dxa"/>
            <w:vMerge w:val="continue"/>
          </w:tcPr>
          <w:p>
            <w:pPr>
              <w:spacing w:line="360" w:lineRule="auto"/>
              <w:rPr>
                <w:rFonts w:ascii="宋体" w:hAnsi="宋体" w:cs="宋体"/>
                <w:bCs/>
                <w:szCs w:val="21"/>
              </w:rPr>
            </w:pPr>
          </w:p>
        </w:tc>
        <w:tc>
          <w:tcPr>
            <w:tcW w:w="6412" w:type="dxa"/>
          </w:tcPr>
          <w:p>
            <w:pPr>
              <w:spacing w:line="360" w:lineRule="auto"/>
              <w:rPr>
                <w:rFonts w:ascii="宋体" w:hAnsi="宋体" w:cs="宋体"/>
                <w:szCs w:val="21"/>
              </w:rPr>
            </w:pPr>
            <w:r>
              <w:rPr>
                <w:rFonts w:hint="eastAsia" w:ascii="宋体" w:hAnsi="宋体" w:cs="宋体"/>
                <w:szCs w:val="21"/>
              </w:rPr>
              <w:t>1.7投标人在中标后提供4价流感疫苗执行的生产标准和测试验收标准。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660" w:type="dxa"/>
            <w:vMerge w:val="continue"/>
            <w:vAlign w:val="center"/>
          </w:tcPr>
          <w:p>
            <w:pPr>
              <w:spacing w:line="360" w:lineRule="auto"/>
              <w:jc w:val="center"/>
              <w:rPr>
                <w:rFonts w:ascii="宋体" w:hAnsi="宋体" w:cs="宋体"/>
                <w:b/>
                <w:szCs w:val="21"/>
              </w:rPr>
            </w:pPr>
          </w:p>
        </w:tc>
        <w:tc>
          <w:tcPr>
            <w:tcW w:w="1530" w:type="dxa"/>
            <w:vMerge w:val="continue"/>
          </w:tcPr>
          <w:p>
            <w:pPr>
              <w:spacing w:line="360" w:lineRule="auto"/>
              <w:rPr>
                <w:rFonts w:ascii="宋体" w:hAnsi="宋体" w:cs="宋体"/>
                <w:bCs/>
                <w:szCs w:val="21"/>
              </w:rPr>
            </w:pPr>
          </w:p>
        </w:tc>
        <w:tc>
          <w:tcPr>
            <w:tcW w:w="6412" w:type="dxa"/>
          </w:tcPr>
          <w:p>
            <w:pPr>
              <w:spacing w:line="360" w:lineRule="auto"/>
              <w:rPr>
                <w:rFonts w:ascii="宋体" w:hAnsi="宋体" w:cs="宋体"/>
                <w:szCs w:val="21"/>
              </w:rPr>
            </w:pPr>
            <w:r>
              <w:rPr>
                <w:rFonts w:hint="eastAsia" w:ascii="宋体" w:hAnsi="宋体" w:cs="宋体"/>
                <w:szCs w:val="21"/>
              </w:rPr>
              <w:t>▲1.8</w:t>
            </w:r>
            <w:r>
              <w:rPr>
                <w:rFonts w:hint="eastAsia" w:ascii="宋体" w:hAnsi="宋体" w:cs="宋体"/>
                <w:color w:val="000000"/>
                <w:szCs w:val="21"/>
              </w:rPr>
              <w:t>需提供</w:t>
            </w:r>
            <w:r>
              <w:rPr>
                <w:rFonts w:hint="eastAsia" w:ascii="宋体" w:hAnsi="宋体" w:cs="宋体"/>
                <w:szCs w:val="21"/>
              </w:rPr>
              <w:t>流感疫苗</w:t>
            </w:r>
            <w:r>
              <w:rPr>
                <w:rFonts w:hint="eastAsia" w:ascii="宋体" w:hAnsi="宋体" w:cs="宋体"/>
                <w:color w:val="000000"/>
                <w:szCs w:val="21"/>
              </w:rPr>
              <w:t>生产企业的非免疫规划疫苗基础保险合同扫描件或复印件，原件备查。</w:t>
            </w:r>
          </w:p>
        </w:tc>
      </w:tr>
    </w:tbl>
    <w:p/>
    <w:p>
      <w:pPr>
        <w:rPr>
          <w:sz w:val="28"/>
          <w:szCs w:val="28"/>
        </w:rPr>
      </w:pPr>
      <w:r>
        <w:rPr>
          <w:rFonts w:hint="eastAsia"/>
          <w:sz w:val="28"/>
          <w:szCs w:val="28"/>
        </w:rPr>
        <w:br w:type="page"/>
      </w:r>
    </w:p>
    <w:p>
      <w:pPr>
        <w:pStyle w:val="7"/>
        <w:spacing w:before="120" w:beforeLines="50" w:after="120" w:afterLines="50"/>
        <w:rPr>
          <w:sz w:val="28"/>
          <w:szCs w:val="28"/>
        </w:rPr>
      </w:pPr>
      <w:r>
        <w:rPr>
          <w:rFonts w:hint="eastAsia"/>
          <w:sz w:val="28"/>
          <w:szCs w:val="28"/>
        </w:rPr>
        <w:t>五、商务要求</w:t>
      </w:r>
    </w:p>
    <w:tbl>
      <w:tblPr>
        <w:tblStyle w:val="42"/>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530"/>
        <w:gridCol w:w="6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4" w:type="dxa"/>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1530" w:type="dxa"/>
            <w:vAlign w:val="center"/>
          </w:tcPr>
          <w:p>
            <w:pPr>
              <w:spacing w:line="360" w:lineRule="auto"/>
              <w:jc w:val="center"/>
              <w:rPr>
                <w:rFonts w:ascii="宋体" w:hAnsi="宋体" w:cs="宋体"/>
                <w:b/>
                <w:szCs w:val="21"/>
              </w:rPr>
            </w:pPr>
            <w:r>
              <w:rPr>
                <w:rFonts w:hint="eastAsia" w:ascii="宋体" w:hAnsi="宋体" w:cs="宋体"/>
                <w:b/>
                <w:szCs w:val="21"/>
              </w:rPr>
              <w:t>目录</w:t>
            </w:r>
          </w:p>
        </w:tc>
        <w:tc>
          <w:tcPr>
            <w:tcW w:w="6626" w:type="dxa"/>
            <w:vAlign w:val="center"/>
          </w:tcPr>
          <w:p>
            <w:pPr>
              <w:spacing w:line="360" w:lineRule="auto"/>
              <w:jc w:val="center"/>
              <w:rPr>
                <w:rFonts w:ascii="宋体" w:hAnsi="宋体" w:cs="宋体"/>
                <w:b/>
                <w:szCs w:val="21"/>
              </w:rPr>
            </w:pPr>
            <w:r>
              <w:rPr>
                <w:rFonts w:hint="eastAsia" w:ascii="宋体" w:hAnsi="宋体" w:cs="宋体"/>
                <w:b/>
                <w:szCs w:val="21"/>
              </w:rPr>
              <w:t>招标商务要求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820" w:type="dxa"/>
            <w:gridSpan w:val="3"/>
          </w:tcPr>
          <w:p>
            <w:pPr>
              <w:spacing w:line="360" w:lineRule="auto"/>
              <w:rPr>
                <w:rFonts w:ascii="宋体" w:hAnsi="宋体" w:cs="宋体"/>
                <w:b/>
                <w:szCs w:val="21"/>
              </w:rPr>
            </w:pPr>
            <w:r>
              <w:rPr>
                <w:rFonts w:hint="eastAsia" w:ascii="宋体" w:hAnsi="宋体" w:cs="宋体"/>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64" w:type="dxa"/>
            <w:vAlign w:val="center"/>
          </w:tcPr>
          <w:p>
            <w:pPr>
              <w:spacing w:line="360" w:lineRule="auto"/>
              <w:jc w:val="center"/>
              <w:rPr>
                <w:rFonts w:ascii="宋体" w:hAnsi="宋体" w:cs="宋体"/>
                <w:b/>
                <w:szCs w:val="21"/>
              </w:rPr>
            </w:pPr>
            <w:r>
              <w:rPr>
                <w:rFonts w:hint="eastAsia" w:ascii="宋体" w:hAnsi="宋体" w:cs="宋体"/>
                <w:b/>
                <w:szCs w:val="21"/>
              </w:rPr>
              <w:t>1</w:t>
            </w:r>
          </w:p>
        </w:tc>
        <w:tc>
          <w:tcPr>
            <w:tcW w:w="1530" w:type="dxa"/>
            <w:vAlign w:val="center"/>
          </w:tcPr>
          <w:p>
            <w:pPr>
              <w:spacing w:line="360" w:lineRule="auto"/>
              <w:jc w:val="center"/>
              <w:rPr>
                <w:rFonts w:ascii="宋体" w:hAnsi="宋体" w:cs="宋体"/>
                <w:szCs w:val="21"/>
              </w:rPr>
            </w:pPr>
            <w:r>
              <w:rPr>
                <w:rFonts w:hint="eastAsia" w:ascii="宋体" w:hAnsi="宋体" w:cs="宋体"/>
                <w:szCs w:val="21"/>
              </w:rPr>
              <w:t>维修响应及故障解决时间</w:t>
            </w:r>
          </w:p>
        </w:tc>
        <w:tc>
          <w:tcPr>
            <w:tcW w:w="6626" w:type="dxa"/>
          </w:tcPr>
          <w:p>
            <w:pPr>
              <w:spacing w:line="360" w:lineRule="auto"/>
              <w:rPr>
                <w:rFonts w:ascii="宋体" w:hAnsi="宋体" w:cs="宋体"/>
                <w:bCs/>
                <w:szCs w:val="21"/>
              </w:rPr>
            </w:pPr>
            <w:r>
              <w:rPr>
                <w:rFonts w:hint="eastAsia" w:ascii="宋体" w:hAnsi="宋体" w:cs="宋体"/>
                <w:bCs/>
                <w:szCs w:val="21"/>
              </w:rPr>
              <w:t>1.1在保修期内，一旦发生质量问题，投标人保证在接到通知24小时内赶到现场进行修理或更换。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64" w:type="dxa"/>
            <w:vAlign w:val="center"/>
          </w:tcPr>
          <w:p>
            <w:pPr>
              <w:spacing w:line="360" w:lineRule="auto"/>
              <w:jc w:val="center"/>
              <w:rPr>
                <w:rFonts w:ascii="宋体" w:hAnsi="宋体" w:cs="宋体"/>
                <w:b/>
                <w:szCs w:val="21"/>
              </w:rPr>
            </w:pPr>
            <w:r>
              <w:rPr>
                <w:rFonts w:hint="eastAsia" w:ascii="宋体" w:hAnsi="宋体" w:cs="宋体"/>
                <w:b/>
                <w:szCs w:val="21"/>
              </w:rPr>
              <w:t>2</w:t>
            </w:r>
          </w:p>
        </w:tc>
        <w:tc>
          <w:tcPr>
            <w:tcW w:w="1530" w:type="dxa"/>
            <w:vAlign w:val="center"/>
          </w:tcPr>
          <w:p>
            <w:pPr>
              <w:spacing w:line="360" w:lineRule="auto"/>
              <w:jc w:val="center"/>
              <w:rPr>
                <w:rFonts w:ascii="宋体" w:hAnsi="宋体" w:cs="宋体"/>
                <w:szCs w:val="21"/>
              </w:rPr>
            </w:pPr>
            <w:r>
              <w:rPr>
                <w:rFonts w:hint="eastAsia" w:ascii="宋体" w:hAnsi="宋体" w:cs="宋体"/>
                <w:szCs w:val="21"/>
              </w:rPr>
              <w:t>关于免费保修期</w:t>
            </w:r>
            <w:r>
              <w:rPr>
                <w:rFonts w:hint="eastAsia" w:asciiTheme="minorEastAsia" w:hAnsiTheme="minorEastAsia" w:eastAsiaTheme="minorEastAsia"/>
                <w:szCs w:val="21"/>
              </w:rPr>
              <w:t>（即疫苗有效期）</w:t>
            </w:r>
          </w:p>
        </w:tc>
        <w:tc>
          <w:tcPr>
            <w:tcW w:w="6626" w:type="dxa"/>
            <w:vAlign w:val="center"/>
          </w:tcPr>
          <w:p>
            <w:pPr>
              <w:spacing w:line="360" w:lineRule="auto"/>
              <w:rPr>
                <w:rFonts w:ascii="宋体" w:hAnsi="宋体" w:cs="宋体"/>
                <w:bCs/>
                <w:szCs w:val="21"/>
              </w:rPr>
            </w:pPr>
            <w:r>
              <w:rPr>
                <w:rFonts w:hint="eastAsia" w:ascii="宋体" w:hAnsi="宋体" w:cs="宋体"/>
                <w:b/>
                <w:szCs w:val="21"/>
                <w:highlight w:val="yellow"/>
              </w:rPr>
              <w:t>★2.1从到货日期算起到失效≥</w:t>
            </w:r>
            <w:r>
              <w:rPr>
                <w:rFonts w:ascii="宋体" w:hAnsi="宋体" w:cs="宋体"/>
                <w:b/>
                <w:szCs w:val="21"/>
                <w:highlight w:val="yellow"/>
              </w:rPr>
              <w:t>6</w:t>
            </w:r>
            <w:r>
              <w:rPr>
                <w:rFonts w:hint="eastAsia" w:ascii="宋体" w:hAnsi="宋体" w:cs="宋体"/>
                <w:b/>
                <w:szCs w:val="21"/>
                <w:highlight w:val="yellow"/>
              </w:rPr>
              <w:t>个月，时间自最终验收合格并交付使用之日起计算。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64" w:type="dxa"/>
            <w:vMerge w:val="restart"/>
            <w:vAlign w:val="center"/>
          </w:tcPr>
          <w:p>
            <w:pPr>
              <w:spacing w:line="360" w:lineRule="auto"/>
              <w:jc w:val="center"/>
              <w:rPr>
                <w:rFonts w:ascii="宋体" w:hAnsi="宋体" w:cs="宋体"/>
                <w:b/>
                <w:szCs w:val="21"/>
              </w:rPr>
            </w:pPr>
            <w:r>
              <w:rPr>
                <w:rFonts w:hint="eastAsia" w:ascii="宋体" w:hAnsi="宋体" w:cs="宋体"/>
                <w:b/>
                <w:szCs w:val="21"/>
              </w:rPr>
              <w:t>3</w:t>
            </w:r>
          </w:p>
        </w:tc>
        <w:tc>
          <w:tcPr>
            <w:tcW w:w="1530" w:type="dxa"/>
            <w:vMerge w:val="restart"/>
            <w:vAlign w:val="center"/>
          </w:tcPr>
          <w:p>
            <w:pPr>
              <w:spacing w:line="360" w:lineRule="auto"/>
              <w:jc w:val="center"/>
              <w:rPr>
                <w:rFonts w:ascii="宋体" w:hAnsi="宋体" w:cs="宋体"/>
                <w:szCs w:val="21"/>
              </w:rPr>
            </w:pPr>
            <w:r>
              <w:rPr>
                <w:rFonts w:hint="eastAsia" w:ascii="宋体" w:hAnsi="宋体" w:cs="宋体"/>
                <w:szCs w:val="21"/>
              </w:rPr>
              <w:t>其他</w:t>
            </w:r>
          </w:p>
        </w:tc>
        <w:tc>
          <w:tcPr>
            <w:tcW w:w="6626" w:type="dxa"/>
            <w:vAlign w:val="center"/>
          </w:tcPr>
          <w:p>
            <w:pPr>
              <w:widowControl/>
              <w:spacing w:line="360" w:lineRule="auto"/>
              <w:jc w:val="left"/>
              <w:rPr>
                <w:rFonts w:ascii="宋体" w:hAnsi="宋体" w:cs="宋体"/>
                <w:bCs/>
                <w:szCs w:val="21"/>
              </w:rPr>
            </w:pPr>
            <w:r>
              <w:rPr>
                <w:rFonts w:hint="eastAsia" w:ascii="宋体" w:hAnsi="宋体" w:cs="宋体"/>
                <w:szCs w:val="21"/>
              </w:rPr>
              <w:t>3.1投标产品质量符合《中华人民共和国药典（2015年版）》的标准，在交货时提供中国药品生物制品检定所出具的产品批签发合格证、质检报告及样品等相关资料。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64" w:type="dxa"/>
            <w:vMerge w:val="continue"/>
            <w:vAlign w:val="center"/>
          </w:tcPr>
          <w:p>
            <w:pPr>
              <w:spacing w:line="360" w:lineRule="auto"/>
              <w:jc w:val="center"/>
              <w:rPr>
                <w:rFonts w:ascii="宋体" w:hAnsi="宋体" w:cs="宋体"/>
                <w:b/>
                <w:szCs w:val="21"/>
              </w:rPr>
            </w:pPr>
          </w:p>
        </w:tc>
        <w:tc>
          <w:tcPr>
            <w:tcW w:w="1530" w:type="dxa"/>
            <w:vMerge w:val="continue"/>
            <w:vAlign w:val="center"/>
          </w:tcPr>
          <w:p>
            <w:pPr>
              <w:spacing w:line="360" w:lineRule="auto"/>
              <w:rPr>
                <w:rFonts w:ascii="宋体" w:hAnsi="宋体" w:cs="宋体"/>
                <w:szCs w:val="21"/>
              </w:rPr>
            </w:pPr>
          </w:p>
        </w:tc>
        <w:tc>
          <w:tcPr>
            <w:tcW w:w="6626" w:type="dxa"/>
            <w:vAlign w:val="center"/>
          </w:tcPr>
          <w:p>
            <w:pPr>
              <w:spacing w:line="360" w:lineRule="auto"/>
              <w:rPr>
                <w:rFonts w:ascii="宋体" w:hAnsi="宋体" w:cs="宋体"/>
                <w:bCs/>
                <w:szCs w:val="21"/>
              </w:rPr>
            </w:pPr>
            <w:r>
              <w:rPr>
                <w:rFonts w:hint="eastAsia" w:ascii="宋体" w:hAnsi="宋体" w:cs="宋体"/>
                <w:szCs w:val="21"/>
              </w:rPr>
              <w:t>3.2符合《生物制品包装规程》的标准，具有良好的密封性和防潮性，破损率低于国家规定标准。大、中、小包装上都必须标明“免费”字样标识。大包装指整箱，中包装指大包装里面的中盒，小包装指每剂次的包装盒。大、中（如有）、小包装均应印有批号（生产日期）、失效期等包装标识，小包装应附中文使用说明书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64" w:type="dxa"/>
            <w:vMerge w:val="continue"/>
            <w:vAlign w:val="center"/>
          </w:tcPr>
          <w:p>
            <w:pPr>
              <w:spacing w:line="360" w:lineRule="auto"/>
              <w:jc w:val="center"/>
              <w:rPr>
                <w:rFonts w:ascii="宋体" w:hAnsi="宋体" w:cs="宋体"/>
                <w:b/>
                <w:szCs w:val="21"/>
              </w:rPr>
            </w:pPr>
          </w:p>
        </w:tc>
        <w:tc>
          <w:tcPr>
            <w:tcW w:w="1530" w:type="dxa"/>
            <w:vMerge w:val="continue"/>
            <w:vAlign w:val="center"/>
          </w:tcPr>
          <w:p>
            <w:pPr>
              <w:spacing w:line="360" w:lineRule="auto"/>
              <w:rPr>
                <w:rFonts w:ascii="宋体" w:hAnsi="宋体" w:cs="宋体"/>
                <w:szCs w:val="21"/>
              </w:rPr>
            </w:pPr>
          </w:p>
        </w:tc>
        <w:tc>
          <w:tcPr>
            <w:tcW w:w="6626" w:type="dxa"/>
            <w:vAlign w:val="center"/>
          </w:tcPr>
          <w:p>
            <w:pPr>
              <w:pStyle w:val="9"/>
              <w:spacing w:line="360" w:lineRule="auto"/>
              <w:ind w:firstLine="0"/>
              <w:rPr>
                <w:rFonts w:ascii="宋体" w:hAnsi="宋体" w:cs="宋体"/>
                <w:bCs/>
                <w:szCs w:val="21"/>
              </w:rPr>
            </w:pPr>
            <w:r>
              <w:rPr>
                <w:rFonts w:hint="eastAsia" w:ascii="宋体" w:hAnsi="宋体" w:cs="宋体"/>
                <w:bCs/>
                <w:szCs w:val="21"/>
              </w:rPr>
              <w:t>3.3投标人应按其投标文件中的承诺，进行其他售后服务工作。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820" w:type="dxa"/>
            <w:gridSpan w:val="3"/>
          </w:tcPr>
          <w:p>
            <w:pPr>
              <w:spacing w:line="360" w:lineRule="auto"/>
              <w:rPr>
                <w:rFonts w:ascii="宋体" w:hAnsi="宋体" w:cs="宋体"/>
                <w:b/>
                <w:szCs w:val="21"/>
              </w:rPr>
            </w:pPr>
            <w:r>
              <w:rPr>
                <w:rFonts w:hint="eastAsia" w:ascii="宋体" w:hAnsi="宋体" w:cs="宋体"/>
                <w:b/>
                <w:szCs w:val="21"/>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64" w:type="dxa"/>
            <w:vMerge w:val="restart"/>
            <w:vAlign w:val="center"/>
          </w:tcPr>
          <w:p>
            <w:pPr>
              <w:spacing w:line="360" w:lineRule="auto"/>
              <w:jc w:val="center"/>
              <w:rPr>
                <w:rFonts w:ascii="宋体" w:hAnsi="宋体" w:cs="宋体"/>
                <w:b/>
                <w:szCs w:val="21"/>
              </w:rPr>
            </w:pPr>
            <w:r>
              <w:rPr>
                <w:rFonts w:hint="eastAsia" w:ascii="宋体" w:hAnsi="宋体" w:cs="宋体"/>
                <w:b/>
                <w:szCs w:val="21"/>
              </w:rPr>
              <w:t>1</w:t>
            </w:r>
          </w:p>
        </w:tc>
        <w:tc>
          <w:tcPr>
            <w:tcW w:w="1530" w:type="dxa"/>
            <w:vMerge w:val="restart"/>
            <w:vAlign w:val="center"/>
          </w:tcPr>
          <w:p>
            <w:pPr>
              <w:spacing w:line="360" w:lineRule="auto"/>
              <w:jc w:val="center"/>
              <w:rPr>
                <w:rFonts w:ascii="宋体" w:hAnsi="宋体" w:cs="宋体"/>
                <w:szCs w:val="21"/>
              </w:rPr>
            </w:pPr>
            <w:r>
              <w:rPr>
                <w:rFonts w:hint="eastAsia" w:ascii="宋体" w:hAnsi="宋体" w:cs="宋体"/>
                <w:szCs w:val="21"/>
              </w:rPr>
              <w:t>关于交货</w:t>
            </w:r>
          </w:p>
        </w:tc>
        <w:tc>
          <w:tcPr>
            <w:tcW w:w="6626" w:type="dxa"/>
          </w:tcPr>
          <w:p>
            <w:pPr>
              <w:adjustRightInd w:val="0"/>
              <w:snapToGrid w:val="0"/>
              <w:spacing w:line="360" w:lineRule="auto"/>
              <w:rPr>
                <w:rFonts w:ascii="宋体" w:hAnsi="宋体" w:cs="宋体"/>
                <w:bCs/>
                <w:szCs w:val="21"/>
              </w:rPr>
            </w:pPr>
            <w:r>
              <w:rPr>
                <w:rFonts w:hint="eastAsia" w:ascii="宋体" w:hAnsi="宋体" w:cs="宋体"/>
                <w:b/>
                <w:szCs w:val="21"/>
                <w:highlight w:val="yellow"/>
              </w:rPr>
              <w:t>★1.1供货时间：合同签订之日起服务期限为1年，一年合同结束后，采购人对中标人进行履约评价，评价合格后续约一年，最多可续约一次，总服务期不超过2年。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64" w:type="dxa"/>
            <w:vMerge w:val="continue"/>
            <w:vAlign w:val="center"/>
          </w:tcPr>
          <w:p>
            <w:pPr>
              <w:spacing w:line="360" w:lineRule="auto"/>
              <w:jc w:val="center"/>
              <w:rPr>
                <w:rFonts w:ascii="宋体" w:hAnsi="宋体" w:cs="宋体"/>
                <w:b/>
                <w:szCs w:val="21"/>
              </w:rPr>
            </w:pPr>
          </w:p>
        </w:tc>
        <w:tc>
          <w:tcPr>
            <w:tcW w:w="1530" w:type="dxa"/>
            <w:vMerge w:val="continue"/>
            <w:vAlign w:val="center"/>
          </w:tcPr>
          <w:p>
            <w:pPr>
              <w:spacing w:line="360" w:lineRule="auto"/>
              <w:jc w:val="center"/>
              <w:rPr>
                <w:rFonts w:ascii="宋体" w:hAnsi="宋体" w:cs="宋体"/>
                <w:szCs w:val="21"/>
              </w:rPr>
            </w:pPr>
          </w:p>
        </w:tc>
        <w:tc>
          <w:tcPr>
            <w:tcW w:w="6626" w:type="dxa"/>
          </w:tcPr>
          <w:p>
            <w:pPr>
              <w:adjustRightInd w:val="0"/>
              <w:snapToGrid w:val="0"/>
              <w:spacing w:line="360" w:lineRule="auto"/>
              <w:ind w:left="-11"/>
              <w:rPr>
                <w:rFonts w:ascii="宋体" w:hAnsi="宋体" w:cs="宋体"/>
                <w:bCs/>
                <w:szCs w:val="21"/>
              </w:rPr>
            </w:pPr>
            <w:r>
              <w:rPr>
                <w:rFonts w:hint="eastAsia" w:ascii="宋体" w:hAnsi="宋体" w:cs="宋体"/>
                <w:bCs/>
                <w:szCs w:val="21"/>
              </w:rPr>
              <w:t>1.2</w:t>
            </w:r>
            <w:r>
              <w:rPr>
                <w:rFonts w:hint="eastAsia" w:asciiTheme="minorEastAsia" w:hAnsiTheme="minorEastAsia" w:eastAsiaTheme="minorEastAsia"/>
                <w:bCs/>
                <w:color w:val="auto"/>
                <w:szCs w:val="21"/>
                <w:highlight w:val="none"/>
              </w:rPr>
              <w:t>签订合同后120天（日历日）内第一次交货。</w:t>
            </w:r>
            <w:r>
              <w:rPr>
                <w:rFonts w:hint="eastAsia" w:asciiTheme="minorEastAsia" w:hAnsiTheme="minorEastAsia" w:eastAsiaTheme="minorEastAsia"/>
                <w:color w:val="auto"/>
                <w:szCs w:val="21"/>
                <w:highlight w:val="none"/>
              </w:rPr>
              <w:t>首批流感疫苗供应量不低于本项目包招标数量的</w:t>
            </w:r>
            <w:r>
              <w:rPr>
                <w:rFonts w:asciiTheme="minorEastAsia" w:hAnsiTheme="minorEastAsia" w:eastAsiaTheme="minorEastAsia"/>
                <w:color w:val="auto"/>
                <w:szCs w:val="21"/>
                <w:highlight w:val="none"/>
              </w:rPr>
              <w:t>60%</w:t>
            </w:r>
            <w:r>
              <w:rPr>
                <w:rFonts w:hint="eastAsia" w:asciiTheme="minorEastAsia" w:hAnsiTheme="minorEastAsia" w:eastAsiaTheme="minorEastAsia"/>
                <w:color w:val="auto"/>
                <w:szCs w:val="21"/>
                <w:highlight w:val="none"/>
              </w:rPr>
              <w:t>，但要视冷库容量而定。</w:t>
            </w:r>
            <w:r>
              <w:rPr>
                <w:rFonts w:hint="eastAsia" w:ascii="宋体" w:hAnsi="宋体" w:cs="宋体"/>
                <w:color w:val="auto"/>
                <w:szCs w:val="21"/>
                <w:highlight w:val="none"/>
              </w:rPr>
              <w:t>在合同执行过程中，采购人保留根据中标人的诚信度、供货质量、速度、售后服务等因素对签订合同时的供货数量在中标人之间作调整的权力。</w:t>
            </w:r>
            <w:r>
              <w:rPr>
                <w:rFonts w:hint="eastAsia" w:asciiTheme="minorEastAsia" w:hAnsiTheme="minorEastAsia" w:eastAsiaTheme="minorEastAsia"/>
                <w:color w:val="auto"/>
                <w:szCs w:val="21"/>
                <w:highlight w:val="none"/>
              </w:rPr>
              <w:t>供货原则：如果本季流感流行季未使用完的4价流感疫苗，已配送至我市的4价流感疫苗，则需免费退货，退货的4价流感疫苗顺延至下一个流感流行季供应。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64" w:type="dxa"/>
            <w:vMerge w:val="continue"/>
            <w:vAlign w:val="center"/>
          </w:tcPr>
          <w:p>
            <w:pPr>
              <w:spacing w:line="360" w:lineRule="auto"/>
              <w:jc w:val="center"/>
              <w:rPr>
                <w:rFonts w:ascii="宋体" w:hAnsi="宋体" w:cs="宋体"/>
                <w:b/>
                <w:szCs w:val="21"/>
              </w:rPr>
            </w:pPr>
          </w:p>
        </w:tc>
        <w:tc>
          <w:tcPr>
            <w:tcW w:w="1530" w:type="dxa"/>
            <w:vMerge w:val="continue"/>
            <w:vAlign w:val="center"/>
          </w:tcPr>
          <w:p>
            <w:pPr>
              <w:spacing w:line="360" w:lineRule="auto"/>
              <w:jc w:val="center"/>
              <w:rPr>
                <w:rFonts w:ascii="宋体" w:hAnsi="宋体" w:cs="宋体"/>
                <w:szCs w:val="21"/>
              </w:rPr>
            </w:pPr>
          </w:p>
        </w:tc>
        <w:tc>
          <w:tcPr>
            <w:tcW w:w="6626" w:type="dxa"/>
          </w:tcPr>
          <w:p>
            <w:pPr>
              <w:adjustRightInd w:val="0"/>
              <w:snapToGrid w:val="0"/>
              <w:spacing w:line="360" w:lineRule="auto"/>
              <w:ind w:left="-11"/>
              <w:rPr>
                <w:rFonts w:ascii="宋体" w:hAnsi="宋体" w:cs="宋体"/>
                <w:bCs/>
                <w:szCs w:val="21"/>
              </w:rPr>
            </w:pPr>
            <w:r>
              <w:rPr>
                <w:rFonts w:hint="eastAsia" w:ascii="宋体" w:hAnsi="宋体" w:cs="宋体"/>
                <w:bCs/>
                <w:szCs w:val="21"/>
              </w:rPr>
              <w:t>1.3</w:t>
            </w:r>
            <w:r>
              <w:rPr>
                <w:rFonts w:hint="eastAsia" w:ascii="宋体" w:hAnsi="宋体" w:cs="宋体"/>
                <w:szCs w:val="21"/>
              </w:rPr>
              <w:t>储存和运输要求：疫苗储存和运输要符合《疫苗储存和运输管理规范》的规定，并提供疫苗运输过程中的冷链监测数据。中标人应积极储备足够的储存疫苗，和具有应对采购人紧急订货需求的配送能力或条件。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64" w:type="dxa"/>
            <w:vMerge w:val="continue"/>
            <w:vAlign w:val="center"/>
          </w:tcPr>
          <w:p>
            <w:pPr>
              <w:spacing w:line="360" w:lineRule="auto"/>
              <w:jc w:val="center"/>
              <w:rPr>
                <w:rFonts w:ascii="宋体" w:hAnsi="宋体" w:cs="宋体"/>
                <w:b/>
                <w:szCs w:val="21"/>
              </w:rPr>
            </w:pPr>
          </w:p>
        </w:tc>
        <w:tc>
          <w:tcPr>
            <w:tcW w:w="1530" w:type="dxa"/>
            <w:vMerge w:val="continue"/>
            <w:vAlign w:val="center"/>
          </w:tcPr>
          <w:p>
            <w:pPr>
              <w:spacing w:line="360" w:lineRule="auto"/>
              <w:jc w:val="center"/>
              <w:rPr>
                <w:rFonts w:ascii="宋体" w:hAnsi="宋体" w:cs="宋体"/>
                <w:szCs w:val="21"/>
              </w:rPr>
            </w:pPr>
          </w:p>
        </w:tc>
        <w:tc>
          <w:tcPr>
            <w:tcW w:w="6626" w:type="dxa"/>
          </w:tcPr>
          <w:p>
            <w:pPr>
              <w:adjustRightInd w:val="0"/>
              <w:snapToGrid w:val="0"/>
              <w:spacing w:line="360" w:lineRule="auto"/>
              <w:ind w:left="-11"/>
              <w:rPr>
                <w:rFonts w:ascii="宋体" w:hAnsi="宋体" w:cs="宋体"/>
                <w:bCs/>
                <w:szCs w:val="21"/>
              </w:rPr>
            </w:pPr>
            <w:r>
              <w:rPr>
                <w:rFonts w:hint="eastAsia" w:ascii="宋体" w:hAnsi="宋体" w:cs="宋体"/>
                <w:bCs/>
                <w:szCs w:val="21"/>
              </w:rPr>
              <w:t>1.4</w:t>
            </w:r>
            <w:r>
              <w:rPr>
                <w:rFonts w:hint="eastAsia" w:ascii="宋体" w:hAnsi="宋体" w:cs="宋体"/>
                <w:szCs w:val="21"/>
              </w:rPr>
              <w:t>供货地点：深圳市疾病预防控制中心指定地点。中标人负责搬运到采购人指定的存放地点，并承担所产生的费用。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4" w:type="dxa"/>
            <w:vMerge w:val="restart"/>
            <w:vAlign w:val="center"/>
          </w:tcPr>
          <w:p>
            <w:pPr>
              <w:spacing w:line="360" w:lineRule="auto"/>
              <w:jc w:val="center"/>
              <w:rPr>
                <w:rFonts w:ascii="宋体" w:hAnsi="宋体" w:cs="宋体"/>
                <w:b/>
                <w:szCs w:val="21"/>
              </w:rPr>
            </w:pPr>
            <w:r>
              <w:rPr>
                <w:rFonts w:hint="eastAsia" w:ascii="宋体" w:hAnsi="宋体" w:cs="宋体"/>
                <w:b/>
                <w:szCs w:val="21"/>
              </w:rPr>
              <w:t>2</w:t>
            </w:r>
          </w:p>
        </w:tc>
        <w:tc>
          <w:tcPr>
            <w:tcW w:w="1530" w:type="dxa"/>
            <w:vMerge w:val="restart"/>
            <w:vAlign w:val="center"/>
          </w:tcPr>
          <w:p>
            <w:pPr>
              <w:spacing w:line="360" w:lineRule="auto"/>
              <w:jc w:val="center"/>
              <w:rPr>
                <w:rFonts w:ascii="宋体" w:hAnsi="宋体" w:cs="宋体"/>
                <w:szCs w:val="21"/>
              </w:rPr>
            </w:pPr>
            <w:r>
              <w:rPr>
                <w:rFonts w:hint="eastAsia" w:ascii="宋体" w:hAnsi="宋体" w:cs="宋体"/>
                <w:szCs w:val="21"/>
              </w:rPr>
              <w:t>关于验收</w:t>
            </w:r>
          </w:p>
        </w:tc>
        <w:tc>
          <w:tcPr>
            <w:tcW w:w="6626" w:type="dxa"/>
          </w:tcPr>
          <w:p>
            <w:pPr>
              <w:spacing w:line="360" w:lineRule="auto"/>
              <w:rPr>
                <w:rFonts w:ascii="宋体" w:hAnsi="宋体" w:cs="宋体"/>
                <w:bCs/>
                <w:szCs w:val="21"/>
              </w:rPr>
            </w:pPr>
            <w:r>
              <w:rPr>
                <w:rFonts w:hint="eastAsia" w:ascii="宋体" w:hAnsi="宋体" w:cs="宋体"/>
                <w:bCs/>
                <w:szCs w:val="21"/>
              </w:rPr>
              <w:t>2.1</w:t>
            </w:r>
            <w:r>
              <w:rPr>
                <w:rFonts w:hint="eastAsia" w:ascii="宋体" w:hAnsi="宋体" w:cs="宋体"/>
                <w:szCs w:val="21"/>
              </w:rPr>
              <w:t>投标人应提供技术成熟的符合用户需求的4价流感疫苗，并确保其完整性和可靠性。货物运送至交货地点后，由中标人和采购人进行联合验收。货物的外包装应牢固、完好，符合储存运输要求。在此期间如发现货物有破损，中标人应立即予以更换（费用由中标人承担）。如上述要求不合格，采购人可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4" w:type="dxa"/>
            <w:vMerge w:val="continue"/>
            <w:vAlign w:val="center"/>
          </w:tcPr>
          <w:p>
            <w:pPr>
              <w:spacing w:line="360" w:lineRule="auto"/>
              <w:jc w:val="center"/>
              <w:rPr>
                <w:rFonts w:ascii="宋体" w:hAnsi="宋体" w:cs="宋体"/>
                <w:b/>
                <w:szCs w:val="21"/>
              </w:rPr>
            </w:pPr>
          </w:p>
        </w:tc>
        <w:tc>
          <w:tcPr>
            <w:tcW w:w="1530" w:type="dxa"/>
            <w:vMerge w:val="continue"/>
          </w:tcPr>
          <w:p>
            <w:pPr>
              <w:spacing w:line="360" w:lineRule="auto"/>
              <w:rPr>
                <w:rFonts w:ascii="宋体" w:hAnsi="宋体" w:cs="宋体"/>
                <w:b/>
                <w:szCs w:val="21"/>
              </w:rPr>
            </w:pPr>
          </w:p>
        </w:tc>
        <w:tc>
          <w:tcPr>
            <w:tcW w:w="6626" w:type="dxa"/>
          </w:tcPr>
          <w:p>
            <w:pPr>
              <w:spacing w:line="360" w:lineRule="auto"/>
              <w:rPr>
                <w:rFonts w:ascii="宋体" w:hAnsi="宋体" w:cs="宋体"/>
                <w:bCs/>
                <w:szCs w:val="21"/>
              </w:rPr>
            </w:pPr>
            <w:r>
              <w:rPr>
                <w:rFonts w:hint="eastAsia" w:ascii="宋体" w:hAnsi="宋体" w:cs="宋体"/>
                <w:bCs/>
                <w:szCs w:val="21"/>
              </w:rPr>
              <w:t>2.2当满足以下条件时，采购人才向中标人签发货物验收报告：</w:t>
            </w:r>
          </w:p>
          <w:p>
            <w:pPr>
              <w:tabs>
                <w:tab w:val="left" w:pos="1260"/>
              </w:tabs>
              <w:spacing w:line="360" w:lineRule="auto"/>
              <w:rPr>
                <w:rFonts w:ascii="宋体" w:hAnsi="宋体" w:cs="宋体"/>
                <w:bCs/>
                <w:szCs w:val="21"/>
              </w:rPr>
            </w:pPr>
            <w:r>
              <w:rPr>
                <w:rFonts w:hint="eastAsia" w:ascii="宋体" w:hAnsi="宋体" w:cs="宋体"/>
                <w:bCs/>
                <w:szCs w:val="21"/>
              </w:rPr>
              <w:t>a、中标人已按照合同规定提供了全</w:t>
            </w:r>
            <w:r>
              <w:rPr>
                <w:rFonts w:hint="eastAsia" w:ascii="宋体" w:hAnsi="宋体" w:cs="宋体"/>
                <w:bCs/>
                <w:szCs w:val="21"/>
                <w:lang w:val="en-US" w:eastAsia="zh-CN"/>
              </w:rPr>
              <w:t xml:space="preserve"> </w:t>
            </w:r>
            <w:r>
              <w:rPr>
                <w:rFonts w:hint="eastAsia" w:ascii="宋体" w:hAnsi="宋体" w:cs="宋体"/>
                <w:bCs/>
                <w:szCs w:val="21"/>
              </w:rPr>
              <w:t>部产品及完整的技术资料。</w:t>
            </w:r>
          </w:p>
          <w:p>
            <w:pPr>
              <w:tabs>
                <w:tab w:val="left" w:pos="1260"/>
              </w:tabs>
              <w:spacing w:line="360" w:lineRule="auto"/>
              <w:rPr>
                <w:rFonts w:ascii="宋体" w:hAnsi="宋体" w:cs="宋体"/>
                <w:bCs/>
                <w:szCs w:val="21"/>
              </w:rPr>
            </w:pPr>
            <w:r>
              <w:rPr>
                <w:rFonts w:hint="eastAsia" w:ascii="宋体" w:hAnsi="宋体" w:cs="宋体"/>
                <w:bCs/>
                <w:szCs w:val="21"/>
              </w:rPr>
              <w:t>b、货物符合招标文件技术规格书的要求，性能满足要求。</w:t>
            </w:r>
          </w:p>
          <w:p>
            <w:pPr>
              <w:tabs>
                <w:tab w:val="left" w:pos="1260"/>
              </w:tabs>
              <w:spacing w:line="360" w:lineRule="auto"/>
              <w:rPr>
                <w:rFonts w:ascii="宋体" w:hAnsi="宋体" w:cs="宋体"/>
                <w:bCs/>
                <w:szCs w:val="21"/>
              </w:rPr>
            </w:pPr>
            <w:r>
              <w:rPr>
                <w:rFonts w:hint="eastAsia" w:ascii="宋体" w:hAnsi="宋体" w:cs="宋体"/>
                <w:bCs/>
                <w:szCs w:val="21"/>
              </w:rPr>
              <w:t>c、货物具备产品合格证。</w:t>
            </w:r>
          </w:p>
          <w:p>
            <w:pPr>
              <w:tabs>
                <w:tab w:val="left" w:pos="1260"/>
              </w:tabs>
              <w:spacing w:line="360" w:lineRule="auto"/>
              <w:rPr>
                <w:rFonts w:ascii="宋体" w:hAnsi="宋体" w:cs="宋体"/>
                <w:bCs/>
                <w:szCs w:val="21"/>
              </w:rPr>
            </w:pPr>
            <w:r>
              <w:rPr>
                <w:rFonts w:hint="eastAsia" w:ascii="宋体" w:hAnsi="宋体" w:cs="宋体"/>
                <w:bCs/>
                <w:szCs w:val="21"/>
              </w:rPr>
              <w:t>d、</w:t>
            </w:r>
            <w:r>
              <w:rPr>
                <w:rFonts w:hint="eastAsia" w:ascii="宋体" w:hAnsi="宋体" w:cs="宋体"/>
                <w:szCs w:val="21"/>
              </w:rPr>
              <w:t>按有关标准提供免疫规划疫苗包装，按采购人的订购计划并采用冷链要求将其运抵交货地点。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4" w:type="dxa"/>
            <w:vMerge w:val="restart"/>
            <w:vAlign w:val="center"/>
          </w:tcPr>
          <w:p>
            <w:pPr>
              <w:spacing w:line="360" w:lineRule="auto"/>
              <w:jc w:val="center"/>
              <w:rPr>
                <w:rFonts w:ascii="宋体" w:hAnsi="宋体" w:cs="宋体"/>
                <w:szCs w:val="21"/>
              </w:rPr>
            </w:pPr>
            <w:r>
              <w:rPr>
                <w:rFonts w:hint="eastAsia" w:ascii="宋体" w:hAnsi="宋体" w:cs="宋体"/>
                <w:b/>
                <w:szCs w:val="21"/>
              </w:rPr>
              <w:t>3</w:t>
            </w:r>
          </w:p>
        </w:tc>
        <w:tc>
          <w:tcPr>
            <w:tcW w:w="1530" w:type="dxa"/>
            <w:vMerge w:val="restart"/>
            <w:vAlign w:val="center"/>
          </w:tcPr>
          <w:p>
            <w:pPr>
              <w:spacing w:line="360" w:lineRule="auto"/>
              <w:jc w:val="center"/>
              <w:rPr>
                <w:rFonts w:ascii="宋体" w:hAnsi="宋体" w:cs="宋体"/>
                <w:b/>
                <w:szCs w:val="21"/>
              </w:rPr>
            </w:pPr>
            <w:r>
              <w:rPr>
                <w:rFonts w:hint="eastAsia" w:ascii="宋体" w:hAnsi="宋体" w:cs="宋体"/>
                <w:szCs w:val="21"/>
              </w:rPr>
              <w:t>关于违约</w:t>
            </w:r>
          </w:p>
        </w:tc>
        <w:tc>
          <w:tcPr>
            <w:tcW w:w="6626" w:type="dxa"/>
          </w:tcPr>
          <w:p>
            <w:pPr>
              <w:spacing w:line="360" w:lineRule="auto"/>
              <w:rPr>
                <w:rFonts w:ascii="宋体" w:hAnsi="宋体" w:cs="宋体"/>
                <w:bCs/>
                <w:szCs w:val="21"/>
              </w:rPr>
            </w:pPr>
            <w:r>
              <w:rPr>
                <w:rFonts w:hint="eastAsia" w:ascii="宋体" w:hAnsi="宋体" w:cs="宋体"/>
                <w:bCs/>
                <w:szCs w:val="21"/>
              </w:rPr>
              <w:t>3.1中标人不能交货的，需偿付不能交货部分货款的</w:t>
            </w:r>
            <w:r>
              <w:rPr>
                <w:rFonts w:hint="eastAsia" w:ascii="宋体" w:hAnsi="宋体" w:cs="宋体"/>
                <w:bCs/>
                <w:szCs w:val="21"/>
                <w:u w:val="single"/>
                <w:lang w:val="en-US" w:eastAsia="zh-CN"/>
              </w:rPr>
              <w:t xml:space="preserve"> </w:t>
            </w:r>
            <w:r>
              <w:rPr>
                <w:rFonts w:hint="eastAsia" w:ascii="宋体" w:hAnsi="宋体" w:cs="宋体"/>
                <w:bCs/>
                <w:szCs w:val="21"/>
                <w:u w:val="single"/>
              </w:rPr>
              <w:t xml:space="preserve">30 </w:t>
            </w:r>
            <w:r>
              <w:rPr>
                <w:rFonts w:hint="eastAsia" w:ascii="宋体" w:hAnsi="宋体" w:cs="宋体"/>
                <w:bCs/>
                <w:szCs w:val="21"/>
              </w:rPr>
              <w:t>%的违约金并按主管部门相关规定处理。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4" w:type="dxa"/>
            <w:vMerge w:val="continue"/>
            <w:vAlign w:val="center"/>
          </w:tcPr>
          <w:p>
            <w:pPr>
              <w:spacing w:line="360" w:lineRule="auto"/>
              <w:jc w:val="center"/>
              <w:rPr>
                <w:rFonts w:ascii="宋体" w:hAnsi="宋体" w:cs="宋体"/>
                <w:b/>
                <w:szCs w:val="21"/>
              </w:rPr>
            </w:pPr>
          </w:p>
        </w:tc>
        <w:tc>
          <w:tcPr>
            <w:tcW w:w="1530" w:type="dxa"/>
            <w:vMerge w:val="continue"/>
            <w:vAlign w:val="center"/>
          </w:tcPr>
          <w:p>
            <w:pPr>
              <w:spacing w:line="360" w:lineRule="auto"/>
              <w:jc w:val="center"/>
              <w:rPr>
                <w:rFonts w:ascii="宋体" w:hAnsi="宋体" w:cs="宋体"/>
                <w:szCs w:val="21"/>
              </w:rPr>
            </w:pPr>
          </w:p>
        </w:tc>
        <w:tc>
          <w:tcPr>
            <w:tcW w:w="6626" w:type="dxa"/>
          </w:tcPr>
          <w:p>
            <w:pPr>
              <w:spacing w:line="360" w:lineRule="auto"/>
              <w:rPr>
                <w:rFonts w:ascii="宋体" w:hAnsi="宋体" w:cs="宋体"/>
                <w:bCs/>
                <w:szCs w:val="21"/>
              </w:rPr>
            </w:pPr>
            <w:r>
              <w:rPr>
                <w:rFonts w:hint="eastAsia" w:ascii="宋体" w:hAnsi="宋体" w:cs="宋体"/>
                <w:bCs/>
                <w:szCs w:val="21"/>
              </w:rPr>
              <w:t>3.2中标人逾期交货的，将按主管部门相关规定处理。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4" w:type="dxa"/>
            <w:vMerge w:val="continue"/>
            <w:vAlign w:val="center"/>
          </w:tcPr>
          <w:p>
            <w:pPr>
              <w:spacing w:line="360" w:lineRule="auto"/>
              <w:jc w:val="center"/>
              <w:rPr>
                <w:rFonts w:ascii="宋体" w:hAnsi="宋体" w:cs="宋体"/>
                <w:b/>
                <w:szCs w:val="21"/>
              </w:rPr>
            </w:pPr>
          </w:p>
        </w:tc>
        <w:tc>
          <w:tcPr>
            <w:tcW w:w="1530" w:type="dxa"/>
            <w:vMerge w:val="continue"/>
            <w:vAlign w:val="center"/>
          </w:tcPr>
          <w:p>
            <w:pPr>
              <w:spacing w:line="360" w:lineRule="auto"/>
              <w:jc w:val="center"/>
              <w:rPr>
                <w:rFonts w:ascii="宋体" w:hAnsi="宋体" w:cs="宋体"/>
                <w:szCs w:val="21"/>
              </w:rPr>
            </w:pPr>
          </w:p>
        </w:tc>
        <w:tc>
          <w:tcPr>
            <w:tcW w:w="6626" w:type="dxa"/>
          </w:tcPr>
          <w:p>
            <w:pPr>
              <w:spacing w:line="360" w:lineRule="auto"/>
              <w:rPr>
                <w:rFonts w:ascii="宋体" w:hAnsi="宋体" w:cs="宋体"/>
                <w:bCs/>
                <w:szCs w:val="21"/>
              </w:rPr>
            </w:pPr>
            <w:r>
              <w:rPr>
                <w:rFonts w:hint="eastAsia" w:ascii="宋体" w:hAnsi="宋体" w:cs="宋体"/>
                <w:bCs/>
                <w:szCs w:val="21"/>
              </w:rPr>
              <w:t>3.3中标人所交付产品、服务不符合其投标承诺的，或在投标阶段为了中标而盲目虚假承诺、低价恶性竞争，在履约阶段则通过偷工减料、以次充好而获取利润的，将被履约评价工作实施机构评为履约等级“差”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4" w:type="dxa"/>
            <w:vAlign w:val="center"/>
          </w:tcPr>
          <w:p>
            <w:pPr>
              <w:spacing w:line="360" w:lineRule="auto"/>
              <w:jc w:val="center"/>
              <w:rPr>
                <w:rFonts w:ascii="宋体" w:hAnsi="宋体" w:cs="宋体"/>
                <w:b/>
                <w:bCs/>
                <w:szCs w:val="21"/>
              </w:rPr>
            </w:pPr>
            <w:r>
              <w:rPr>
                <w:rFonts w:hint="eastAsia" w:ascii="宋体" w:hAnsi="宋体" w:cs="宋体"/>
                <w:b/>
                <w:bCs/>
                <w:szCs w:val="21"/>
              </w:rPr>
              <w:t>4</w:t>
            </w:r>
          </w:p>
        </w:tc>
        <w:tc>
          <w:tcPr>
            <w:tcW w:w="1530" w:type="dxa"/>
            <w:vAlign w:val="center"/>
          </w:tcPr>
          <w:p>
            <w:pPr>
              <w:spacing w:line="360" w:lineRule="auto"/>
              <w:jc w:val="center"/>
              <w:rPr>
                <w:rFonts w:ascii="宋体" w:hAnsi="宋体" w:cs="宋体"/>
                <w:bCs/>
                <w:szCs w:val="21"/>
              </w:rPr>
            </w:pPr>
            <w:r>
              <w:rPr>
                <w:rFonts w:hint="eastAsia" w:ascii="宋体" w:hAnsi="宋体" w:cs="宋体"/>
                <w:bCs/>
                <w:szCs w:val="21"/>
              </w:rPr>
              <w:t>关于付款</w:t>
            </w:r>
          </w:p>
        </w:tc>
        <w:tc>
          <w:tcPr>
            <w:tcW w:w="6626" w:type="dxa"/>
          </w:tcPr>
          <w:p>
            <w:pPr>
              <w:spacing w:line="360" w:lineRule="auto"/>
              <w:rPr>
                <w:rFonts w:ascii="宋体" w:hAnsi="宋体" w:cs="宋体"/>
                <w:bCs/>
                <w:szCs w:val="21"/>
              </w:rPr>
            </w:pPr>
            <w:r>
              <w:rPr>
                <w:rFonts w:hint="eastAsia" w:ascii="宋体" w:hAnsi="宋体" w:cs="宋体"/>
                <w:bCs/>
                <w:szCs w:val="21"/>
              </w:rPr>
              <w:t>4.1按深圳市财政部门的规定国库直接支付。合同签订后预支付总数量的70%作为疫苗预付款，付款后需一个月内提供预付款的50%银行保函或其他形式交纳，第一次交货验收合格后支付剩余30%。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4" w:type="dxa"/>
            <w:vMerge w:val="restart"/>
            <w:vAlign w:val="center"/>
          </w:tcPr>
          <w:p>
            <w:pPr>
              <w:spacing w:line="360" w:lineRule="auto"/>
              <w:jc w:val="center"/>
              <w:rPr>
                <w:rFonts w:ascii="宋体" w:hAnsi="宋体" w:cs="宋体"/>
                <w:b/>
                <w:bCs/>
                <w:szCs w:val="21"/>
              </w:rPr>
            </w:pPr>
            <w:r>
              <w:rPr>
                <w:rFonts w:hint="eastAsia" w:ascii="宋体" w:hAnsi="宋体" w:cs="宋体"/>
                <w:b/>
                <w:bCs/>
                <w:szCs w:val="21"/>
              </w:rPr>
              <w:t>5</w:t>
            </w:r>
          </w:p>
        </w:tc>
        <w:tc>
          <w:tcPr>
            <w:tcW w:w="1530" w:type="dxa"/>
            <w:vMerge w:val="restart"/>
            <w:vAlign w:val="center"/>
          </w:tcPr>
          <w:p>
            <w:pPr>
              <w:spacing w:line="360" w:lineRule="auto"/>
              <w:jc w:val="center"/>
              <w:rPr>
                <w:rFonts w:ascii="宋体" w:hAnsi="宋体" w:cs="宋体"/>
                <w:bCs/>
                <w:szCs w:val="21"/>
              </w:rPr>
            </w:pPr>
            <w:r>
              <w:rPr>
                <w:rFonts w:hint="eastAsia" w:ascii="宋体" w:hAnsi="宋体" w:cs="宋体"/>
                <w:bCs/>
                <w:szCs w:val="21"/>
              </w:rPr>
              <w:t>其他</w:t>
            </w:r>
          </w:p>
        </w:tc>
        <w:tc>
          <w:tcPr>
            <w:tcW w:w="6626" w:type="dxa"/>
          </w:tcPr>
          <w:p>
            <w:pPr>
              <w:adjustRightInd w:val="0"/>
              <w:snapToGrid w:val="0"/>
              <w:spacing w:line="360" w:lineRule="auto"/>
              <w:rPr>
                <w:rFonts w:ascii="宋体" w:hAnsi="宋体" w:cs="宋体"/>
                <w:szCs w:val="21"/>
              </w:rPr>
            </w:pPr>
            <w:r>
              <w:rPr>
                <w:rFonts w:hint="eastAsia" w:ascii="宋体" w:hAnsi="宋体" w:cs="宋体"/>
                <w:szCs w:val="21"/>
              </w:rPr>
              <w:t>5.1</w:t>
            </w:r>
            <w:r>
              <w:rPr>
                <w:rFonts w:hint="eastAsia" w:ascii="宋体" w:hAnsi="宋体" w:cs="宋体"/>
                <w:kern w:val="0"/>
                <w:szCs w:val="21"/>
              </w:rPr>
              <w:t>中标人负责产品出厂到采购人指定地点过程中的贮存和运输</w:t>
            </w:r>
            <w:r>
              <w:rPr>
                <w:rFonts w:hint="eastAsia" w:ascii="宋体" w:hAnsi="宋体" w:cs="宋体"/>
                <w:szCs w:val="21"/>
              </w:rPr>
              <w:t>，并承担相关费用；厂家需要为项目提供专业化的培训方案，以保证项目的顺利运转。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4" w:type="dxa"/>
            <w:vMerge w:val="continue"/>
            <w:vAlign w:val="center"/>
          </w:tcPr>
          <w:p>
            <w:pPr>
              <w:spacing w:line="360" w:lineRule="auto"/>
              <w:jc w:val="center"/>
              <w:rPr>
                <w:rFonts w:ascii="宋体" w:hAnsi="宋体" w:cs="宋体"/>
                <w:b/>
                <w:bCs/>
                <w:szCs w:val="21"/>
              </w:rPr>
            </w:pPr>
          </w:p>
        </w:tc>
        <w:tc>
          <w:tcPr>
            <w:tcW w:w="1530" w:type="dxa"/>
            <w:vMerge w:val="continue"/>
            <w:vAlign w:val="center"/>
          </w:tcPr>
          <w:p>
            <w:pPr>
              <w:spacing w:line="360" w:lineRule="auto"/>
              <w:jc w:val="center"/>
              <w:rPr>
                <w:rFonts w:ascii="宋体" w:hAnsi="宋体" w:cs="宋体"/>
                <w:bCs/>
                <w:szCs w:val="21"/>
              </w:rPr>
            </w:pPr>
          </w:p>
        </w:tc>
        <w:tc>
          <w:tcPr>
            <w:tcW w:w="6626" w:type="dxa"/>
          </w:tcPr>
          <w:p>
            <w:pPr>
              <w:adjustRightInd w:val="0"/>
              <w:snapToGrid w:val="0"/>
              <w:spacing w:line="360" w:lineRule="auto"/>
              <w:rPr>
                <w:rFonts w:ascii="宋体" w:hAnsi="宋体" w:cs="宋体"/>
                <w:szCs w:val="21"/>
              </w:rPr>
            </w:pPr>
            <w:r>
              <w:rPr>
                <w:rFonts w:hint="eastAsia" w:ascii="宋体" w:hAnsi="宋体" w:cs="宋体"/>
                <w:szCs w:val="21"/>
              </w:rPr>
              <w:t>5.2中标人必须确保疫苗的完整性。对于招标文件没有列出，而对疫苗的正常使用必不可少的且应属于疫苗需求配带的物品，中标人有责任给予补充。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4" w:type="dxa"/>
            <w:vMerge w:val="continue"/>
            <w:vAlign w:val="center"/>
          </w:tcPr>
          <w:p>
            <w:pPr>
              <w:spacing w:line="360" w:lineRule="auto"/>
              <w:jc w:val="center"/>
              <w:rPr>
                <w:rFonts w:ascii="宋体" w:hAnsi="宋体" w:cs="宋体"/>
                <w:b/>
                <w:bCs/>
                <w:szCs w:val="21"/>
              </w:rPr>
            </w:pPr>
          </w:p>
        </w:tc>
        <w:tc>
          <w:tcPr>
            <w:tcW w:w="1530" w:type="dxa"/>
            <w:vMerge w:val="continue"/>
            <w:vAlign w:val="center"/>
          </w:tcPr>
          <w:p>
            <w:pPr>
              <w:spacing w:line="360" w:lineRule="auto"/>
              <w:jc w:val="center"/>
              <w:rPr>
                <w:rFonts w:ascii="宋体" w:hAnsi="宋体" w:cs="宋体"/>
                <w:bCs/>
                <w:szCs w:val="21"/>
              </w:rPr>
            </w:pPr>
          </w:p>
        </w:tc>
        <w:tc>
          <w:tcPr>
            <w:tcW w:w="6626" w:type="dxa"/>
          </w:tcPr>
          <w:p>
            <w:pPr>
              <w:adjustRightInd w:val="0"/>
              <w:snapToGrid w:val="0"/>
              <w:spacing w:line="360" w:lineRule="auto"/>
              <w:rPr>
                <w:rFonts w:ascii="宋体" w:hAnsi="宋体" w:cs="宋体"/>
                <w:szCs w:val="21"/>
              </w:rPr>
            </w:pPr>
            <w:r>
              <w:rPr>
                <w:rFonts w:hint="eastAsia" w:ascii="宋体" w:hAnsi="宋体" w:cs="宋体"/>
                <w:szCs w:val="21"/>
              </w:rPr>
              <w:t>5.3中标人提供的所有疫苗都应是制造商的原厂全新的。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4" w:type="dxa"/>
            <w:vMerge w:val="continue"/>
            <w:vAlign w:val="center"/>
          </w:tcPr>
          <w:p>
            <w:pPr>
              <w:spacing w:line="360" w:lineRule="auto"/>
              <w:jc w:val="center"/>
              <w:rPr>
                <w:rFonts w:ascii="宋体" w:hAnsi="宋体" w:cs="宋体"/>
                <w:b/>
                <w:bCs/>
                <w:szCs w:val="21"/>
              </w:rPr>
            </w:pPr>
          </w:p>
        </w:tc>
        <w:tc>
          <w:tcPr>
            <w:tcW w:w="1530" w:type="dxa"/>
            <w:vMerge w:val="continue"/>
            <w:vAlign w:val="center"/>
          </w:tcPr>
          <w:p>
            <w:pPr>
              <w:spacing w:line="360" w:lineRule="auto"/>
              <w:jc w:val="center"/>
              <w:rPr>
                <w:rFonts w:ascii="宋体" w:hAnsi="宋体" w:cs="宋体"/>
                <w:bCs/>
                <w:szCs w:val="21"/>
              </w:rPr>
            </w:pPr>
          </w:p>
        </w:tc>
        <w:tc>
          <w:tcPr>
            <w:tcW w:w="6626" w:type="dxa"/>
          </w:tcPr>
          <w:p>
            <w:pPr>
              <w:adjustRightInd w:val="0"/>
              <w:snapToGrid w:val="0"/>
              <w:spacing w:line="360" w:lineRule="auto"/>
              <w:rPr>
                <w:rFonts w:ascii="宋体" w:hAnsi="宋体" w:cs="宋体"/>
                <w:szCs w:val="21"/>
              </w:rPr>
            </w:pPr>
            <w:r>
              <w:rPr>
                <w:rFonts w:hint="eastAsia" w:ascii="宋体" w:hAnsi="宋体" w:cs="宋体"/>
                <w:szCs w:val="21"/>
              </w:rPr>
              <w:t>5.4中标人必须有技术指导、培训、质量监督、维护保养和异常反应监测处理等项目的服务和经费列支。中标人应承诺协助采购人处理疑似预防接种异常反应，并提供处理措施方案。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664" w:type="dxa"/>
            <w:vMerge w:val="continue"/>
            <w:vAlign w:val="center"/>
          </w:tcPr>
          <w:p>
            <w:pPr>
              <w:spacing w:line="360" w:lineRule="auto"/>
              <w:jc w:val="center"/>
              <w:rPr>
                <w:rFonts w:ascii="宋体" w:hAnsi="宋体" w:cs="宋体"/>
                <w:b/>
                <w:bCs/>
                <w:szCs w:val="21"/>
              </w:rPr>
            </w:pPr>
          </w:p>
        </w:tc>
        <w:tc>
          <w:tcPr>
            <w:tcW w:w="1530" w:type="dxa"/>
            <w:vMerge w:val="continue"/>
            <w:vAlign w:val="center"/>
          </w:tcPr>
          <w:p>
            <w:pPr>
              <w:spacing w:line="360" w:lineRule="auto"/>
              <w:jc w:val="center"/>
              <w:rPr>
                <w:rFonts w:ascii="宋体" w:hAnsi="宋体" w:cs="宋体"/>
                <w:bCs/>
                <w:szCs w:val="21"/>
              </w:rPr>
            </w:pPr>
          </w:p>
        </w:tc>
        <w:tc>
          <w:tcPr>
            <w:tcW w:w="6626" w:type="dxa"/>
          </w:tcPr>
          <w:p>
            <w:pPr>
              <w:adjustRightInd w:val="0"/>
              <w:snapToGrid w:val="0"/>
              <w:spacing w:line="360" w:lineRule="auto"/>
              <w:rPr>
                <w:rFonts w:ascii="宋体" w:hAnsi="宋体" w:cs="宋体"/>
                <w:szCs w:val="21"/>
              </w:rPr>
            </w:pPr>
            <w:r>
              <w:rPr>
                <w:rFonts w:hint="eastAsia" w:ascii="宋体" w:hAnsi="宋体" w:cs="宋体"/>
                <w:szCs w:val="21"/>
              </w:rPr>
              <w:t>5.5中标人协助采购人开展疫苗电子监管码使用管理工作的相关事宜。</w:t>
            </w:r>
          </w:p>
        </w:tc>
      </w:tr>
    </w:tbl>
    <w:p>
      <w:r>
        <w:rPr>
          <w:rFonts w:hint="eastAsia"/>
        </w:rPr>
        <w:br w:type="page"/>
      </w:r>
    </w:p>
    <w:p>
      <w:pPr>
        <w:pStyle w:val="7"/>
        <w:ind w:firstLine="2409" w:firstLineChars="1000"/>
        <w:jc w:val="both"/>
        <w:rPr>
          <w:kern w:val="2"/>
        </w:rPr>
      </w:pPr>
      <w:r>
        <w:rPr>
          <w:rFonts w:hint="eastAsia"/>
          <w:kern w:val="2"/>
        </w:rPr>
        <w:t>第三章</w:t>
      </w:r>
      <w:r>
        <w:rPr>
          <w:kern w:val="2"/>
        </w:rPr>
        <w:t xml:space="preserve"> </w:t>
      </w:r>
      <w:r>
        <w:rPr>
          <w:rFonts w:hint="eastAsia"/>
          <w:kern w:val="2"/>
        </w:rPr>
        <w:t xml:space="preserve"> 投标文件格式、附件</w:t>
      </w:r>
    </w:p>
    <w:p>
      <w:pPr>
        <w:rPr>
          <w:b/>
          <w:bCs/>
          <w:sz w:val="24"/>
          <w:szCs w:val="32"/>
        </w:rPr>
      </w:pPr>
      <w:r>
        <w:rPr>
          <w:rFonts w:hint="eastAsia"/>
          <w:b/>
          <w:bCs/>
          <w:sz w:val="24"/>
          <w:szCs w:val="32"/>
        </w:rPr>
        <w:t>特别提醒：</w:t>
      </w:r>
    </w:p>
    <w:p>
      <w:pPr>
        <w:rPr>
          <w:b/>
          <w:bCs/>
          <w:sz w:val="24"/>
          <w:szCs w:val="32"/>
        </w:rPr>
      </w:pPr>
    </w:p>
    <w:p>
      <w:pPr>
        <w:widowControl/>
        <w:ind w:firstLine="482" w:firstLineChars="200"/>
        <w:jc w:val="left"/>
        <w:rPr>
          <w:rFonts w:ascii="仿宋_GB2312" w:eastAsia="仿宋_GB2312"/>
          <w:kern w:val="0"/>
          <w:sz w:val="24"/>
        </w:rPr>
      </w:pPr>
      <w:r>
        <w:rPr>
          <w:rFonts w:hint="eastAsia" w:ascii="仿宋_GB2312" w:eastAsia="仿宋_GB2312"/>
          <w:b/>
          <w:kern w:val="0"/>
          <w:sz w:val="24"/>
        </w:rPr>
        <w:t>投标文件正文将对外公开，投标文件附件不公开。</w:t>
      </w:r>
      <w:r>
        <w:rPr>
          <w:rFonts w:hint="eastAsia" w:ascii="仿宋_GB2312" w:eastAsia="仿宋_GB2312"/>
          <w:kern w:val="0"/>
          <w:sz w:val="24"/>
        </w:rPr>
        <w:t>投标人在编辑投标文件时，在投标文件目录中属于本节点内容的必须在本节点中填写，填写到其他节点或附件的将可能导致投标无效，一切后果由供应商自行承担。</w:t>
      </w:r>
    </w:p>
    <w:p>
      <w:pPr>
        <w:widowControl/>
        <w:jc w:val="left"/>
        <w:rPr>
          <w:rFonts w:ascii="仿宋_GB2312" w:eastAsia="仿宋_GB2312"/>
          <w:kern w:val="0"/>
          <w:sz w:val="24"/>
        </w:rPr>
      </w:pPr>
      <w:r>
        <w:rPr>
          <w:rFonts w:hint="eastAsia" w:ascii="仿宋_GB2312" w:eastAsia="仿宋_GB2312"/>
          <w:kern w:val="0"/>
          <w:sz w:val="24"/>
        </w:rPr>
        <w:t xml:space="preserve">    投标人应按招标文件规定的“投标文件组成”编制投标文件正文（信息公开部分）和投标文件附件（信息不公开部分），举例如下图：</w:t>
      </w:r>
    </w:p>
    <w:p>
      <w:pPr>
        <w:widowControl/>
        <w:jc w:val="center"/>
        <w:rPr>
          <w:rFonts w:ascii="宋体" w:hAnsi="宋体" w:cs="宋体" w:eastAsiaTheme="minorEastAsia"/>
          <w:kern w:val="0"/>
          <w:sz w:val="24"/>
          <w:highlight w:val="green"/>
        </w:rPr>
      </w:pPr>
      <w:r>
        <w:rPr>
          <w:rFonts w:ascii="仿宋_GB2312" w:eastAsia="仿宋_GB2312"/>
          <w:kern w:val="0"/>
          <w:sz w:val="24"/>
          <w:highlight w:val="green"/>
        </w:rPr>
        <w:drawing>
          <wp:inline distT="0" distB="0" distL="0" distR="0">
            <wp:extent cx="5278755" cy="4126230"/>
            <wp:effectExtent l="0" t="0" r="0" b="0"/>
            <wp:docPr id="3"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图形用户界面, 应用程序&#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pPr>
        <w:widowControl/>
        <w:jc w:val="center"/>
        <w:rPr>
          <w:rFonts w:ascii="仿宋_GB2312" w:eastAsia="仿宋_GB2312"/>
          <w:kern w:val="0"/>
          <w:sz w:val="24"/>
          <w:highlight w:val="green"/>
        </w:rPr>
      </w:pPr>
    </w:p>
    <w:p>
      <w:pPr>
        <w:widowControl/>
        <w:ind w:firstLine="480" w:firstLineChars="200"/>
        <w:jc w:val="left"/>
        <w:rPr>
          <w:rFonts w:ascii="仿宋_GB2312" w:eastAsia="仿宋_GB2312"/>
          <w:b/>
          <w:kern w:val="0"/>
          <w:sz w:val="24"/>
        </w:rPr>
      </w:pPr>
      <w:bookmarkStart w:id="28" w:name="_Hlk72257167"/>
      <w:r>
        <w:rPr>
          <w:rFonts w:hint="eastAsia" w:ascii="仿宋_GB2312" w:eastAsia="仿宋_GB2312"/>
          <w:kern w:val="0"/>
          <w:sz w:val="24"/>
        </w:rPr>
        <w:t>采购代理机构公布投标文件正文（信息公开部分）时为计算机截取信息自动公布，</w:t>
      </w:r>
      <w:r>
        <w:rPr>
          <w:rFonts w:hint="eastAsia" w:ascii="仿宋_GB2312" w:eastAsia="仿宋_GB2312"/>
          <w:b/>
          <w:bCs/>
          <w:kern w:val="0"/>
          <w:sz w:val="24"/>
        </w:rPr>
        <w:t>如投标人误将涉及个人隐私或其他重要信息放入投标文件正文，相关后果由投标人自负；</w:t>
      </w:r>
      <w:r>
        <w:rPr>
          <w:rFonts w:hint="eastAsia" w:ascii="仿宋_GB2312" w:eastAsia="仿宋_GB2312"/>
          <w:b/>
          <w:kern w:val="0"/>
          <w:sz w:val="24"/>
        </w:rPr>
        <w:t>如投标人将必须放于投标文件正文（信息公开部分）的内容放入投标文件附件（信息不公开部分），将作投标无效处理。</w:t>
      </w:r>
    </w:p>
    <w:bookmarkEnd w:id="28"/>
    <w:p>
      <w:pPr>
        <w:rPr>
          <w:rFonts w:ascii="仿宋_GB2312" w:eastAsia="仿宋_GB2312"/>
          <w:sz w:val="24"/>
        </w:rPr>
      </w:pPr>
    </w:p>
    <w:p>
      <w:pPr>
        <w:rPr>
          <w:rFonts w:ascii="宋体" w:hAnsi="宋体"/>
          <w:sz w:val="24"/>
        </w:rPr>
      </w:pPr>
      <w:r>
        <w:rPr>
          <w:rFonts w:hint="eastAsia" w:ascii="宋体" w:hAnsi="宋体"/>
          <w:sz w:val="24"/>
        </w:rPr>
        <w:t>投标文件组成：</w:t>
      </w:r>
    </w:p>
    <w:p>
      <w:pPr>
        <w:ind w:firstLine="424" w:firstLineChars="202"/>
        <w:rPr>
          <w:rFonts w:ascii="宋体" w:hAnsi="宋体"/>
          <w:sz w:val="24"/>
        </w:rPr>
      </w:pPr>
      <w:r>
        <w:rPr>
          <w:rFonts w:hint="eastAsia" w:ascii="宋体" w:hAnsi="宋体"/>
        </w:rPr>
        <w:t>1.</w:t>
      </w:r>
      <w:r>
        <w:rPr>
          <w:rFonts w:hint="eastAsia" w:ascii="宋体" w:hAnsi="宋体"/>
          <w:b/>
        </w:rPr>
        <w:t>投标文件正文</w:t>
      </w:r>
      <w:r>
        <w:rPr>
          <w:rFonts w:hint="eastAsia" w:ascii="宋体" w:hAnsi="宋体"/>
          <w:b/>
          <w:szCs w:val="21"/>
        </w:rPr>
        <w:t>（信息公开部分）</w:t>
      </w:r>
      <w:r>
        <w:rPr>
          <w:rFonts w:hint="eastAsia" w:ascii="宋体" w:hAnsi="宋体"/>
        </w:rPr>
        <w:t>，主要</w:t>
      </w:r>
      <w:r>
        <w:rPr>
          <w:rFonts w:hint="eastAsia" w:ascii="宋体" w:hAnsi="宋体"/>
          <w:szCs w:val="21"/>
        </w:rPr>
        <w:t>包括以下内容：</w:t>
      </w:r>
    </w:p>
    <w:p>
      <w:pPr>
        <w:spacing w:before="60" w:beforeLines="25" w:after="60" w:afterLines="25"/>
        <w:ind w:firstLine="991" w:firstLineChars="472"/>
        <w:rPr>
          <w:rFonts w:ascii="宋体" w:hAnsi="宋体"/>
          <w:szCs w:val="21"/>
        </w:rPr>
      </w:pPr>
      <w:r>
        <w:rPr>
          <w:rFonts w:hint="eastAsia" w:ascii="宋体" w:hAnsi="宋体"/>
          <w:szCs w:val="21"/>
        </w:rPr>
        <w:t>（1）投标函</w:t>
      </w:r>
    </w:p>
    <w:p>
      <w:pPr>
        <w:spacing w:before="60" w:beforeLines="25" w:after="60" w:afterLines="25"/>
        <w:ind w:firstLine="991" w:firstLineChars="472"/>
        <w:rPr>
          <w:rFonts w:ascii="宋体" w:hAnsi="宋体"/>
          <w:szCs w:val="21"/>
        </w:rPr>
      </w:pPr>
      <w:r>
        <w:rPr>
          <w:rFonts w:hint="eastAsia" w:ascii="宋体" w:hAnsi="宋体"/>
          <w:szCs w:val="21"/>
        </w:rPr>
        <w:t>（2）资格响应文件</w:t>
      </w:r>
    </w:p>
    <w:p>
      <w:pPr>
        <w:spacing w:before="60" w:beforeLines="25" w:after="60" w:afterLines="25"/>
        <w:ind w:firstLine="991" w:firstLineChars="472"/>
        <w:rPr>
          <w:rFonts w:ascii="宋体" w:hAnsi="宋体"/>
          <w:szCs w:val="21"/>
        </w:rPr>
      </w:pPr>
      <w:r>
        <w:rPr>
          <w:rFonts w:hint="eastAsia" w:ascii="宋体" w:hAnsi="宋体"/>
          <w:szCs w:val="21"/>
        </w:rPr>
        <w:t>（3）投标人情况介绍</w:t>
      </w:r>
    </w:p>
    <w:p>
      <w:pPr>
        <w:spacing w:before="60" w:beforeLines="25" w:after="60" w:afterLines="25"/>
        <w:ind w:firstLine="991" w:firstLineChars="472"/>
        <w:rPr>
          <w:rFonts w:ascii="宋体" w:hAnsi="宋体"/>
          <w:szCs w:val="21"/>
        </w:rPr>
      </w:pPr>
      <w:r>
        <w:rPr>
          <w:rFonts w:hint="eastAsia" w:ascii="宋体" w:hAnsi="宋体"/>
          <w:szCs w:val="21"/>
        </w:rPr>
        <w:t>（4）中小企业声明函等符合政府采购扶持政策的证明材料</w:t>
      </w:r>
    </w:p>
    <w:p>
      <w:pPr>
        <w:ind w:firstLine="424" w:firstLineChars="202"/>
        <w:rPr>
          <w:rFonts w:ascii="宋体" w:hAnsi="宋体"/>
          <w:szCs w:val="21"/>
        </w:rPr>
      </w:pPr>
    </w:p>
    <w:p>
      <w:pPr>
        <w:ind w:firstLine="424" w:firstLineChars="202"/>
        <w:rPr>
          <w:rFonts w:ascii="宋体" w:hAnsi="宋体"/>
          <w:szCs w:val="21"/>
        </w:rPr>
      </w:pPr>
      <w:r>
        <w:rPr>
          <w:rFonts w:hint="eastAsia" w:ascii="宋体" w:hAnsi="宋体"/>
          <w:szCs w:val="21"/>
        </w:rPr>
        <w:t>2.</w:t>
      </w:r>
      <w:r>
        <w:rPr>
          <w:rFonts w:hint="eastAsia" w:ascii="宋体" w:hAnsi="宋体"/>
          <w:b/>
          <w:szCs w:val="21"/>
        </w:rPr>
        <w:t>投标文件附件（信息不公开部分）</w:t>
      </w:r>
      <w:r>
        <w:rPr>
          <w:rFonts w:hint="eastAsia" w:ascii="宋体" w:hAnsi="宋体"/>
          <w:szCs w:val="21"/>
        </w:rPr>
        <w:t>，主要包括以下内容：</w:t>
      </w:r>
    </w:p>
    <w:p>
      <w:pPr>
        <w:spacing w:before="60" w:beforeLines="25" w:after="60" w:afterLines="25"/>
        <w:ind w:firstLine="991" w:firstLineChars="472"/>
        <w:rPr>
          <w:rFonts w:ascii="宋体" w:hAnsi="宋体"/>
          <w:szCs w:val="21"/>
        </w:rPr>
      </w:pPr>
      <w:r>
        <w:rPr>
          <w:rFonts w:hint="eastAsia" w:ascii="宋体" w:hAnsi="宋体"/>
          <w:szCs w:val="21"/>
        </w:rPr>
        <w:t>（5）政府采购违法行为风险知悉确认书</w:t>
      </w:r>
    </w:p>
    <w:p>
      <w:pPr>
        <w:spacing w:before="60" w:beforeLines="25" w:after="60" w:afterLines="25"/>
        <w:ind w:firstLine="991" w:firstLineChars="472"/>
        <w:rPr>
          <w:rFonts w:ascii="宋体" w:hAnsi="宋体"/>
          <w:szCs w:val="21"/>
        </w:rPr>
      </w:pPr>
      <w:r>
        <w:rPr>
          <w:rFonts w:hint="eastAsia" w:ascii="宋体" w:hAnsi="宋体"/>
          <w:szCs w:val="21"/>
        </w:rPr>
        <w:t>（6）法定代表人（负责人）资格证明书</w:t>
      </w:r>
    </w:p>
    <w:p>
      <w:pPr>
        <w:spacing w:before="60" w:beforeLines="25" w:after="60" w:afterLines="25"/>
        <w:ind w:firstLine="991" w:firstLineChars="472"/>
        <w:rPr>
          <w:rFonts w:ascii="宋体" w:hAnsi="宋体"/>
          <w:szCs w:val="21"/>
        </w:rPr>
      </w:pPr>
      <w:r>
        <w:rPr>
          <w:rFonts w:hint="eastAsia" w:ascii="宋体" w:hAnsi="宋体"/>
          <w:szCs w:val="21"/>
        </w:rPr>
        <w:t>（7）投标文件签署授权委托书</w:t>
      </w:r>
    </w:p>
    <w:p>
      <w:pPr>
        <w:spacing w:before="60" w:beforeLines="25" w:after="60" w:afterLines="25"/>
        <w:ind w:firstLine="991" w:firstLineChars="472"/>
        <w:rPr>
          <w:rFonts w:ascii="宋体" w:hAnsi="宋体"/>
          <w:szCs w:val="21"/>
        </w:rPr>
      </w:pPr>
      <w:r>
        <w:rPr>
          <w:rFonts w:hint="eastAsia" w:ascii="宋体" w:hAnsi="宋体"/>
          <w:szCs w:val="21"/>
        </w:rPr>
        <w:t>（8）</w:t>
      </w:r>
      <w:r>
        <w:rPr>
          <w:rFonts w:hint="eastAsia"/>
          <w:szCs w:val="21"/>
        </w:rPr>
        <w:t>实质性条款响应情况表</w:t>
      </w:r>
    </w:p>
    <w:p>
      <w:pPr>
        <w:spacing w:before="60" w:beforeLines="25" w:after="60" w:afterLines="25"/>
        <w:ind w:firstLine="991" w:firstLineChars="472"/>
        <w:rPr>
          <w:rFonts w:ascii="宋体" w:hAnsi="宋体"/>
          <w:szCs w:val="21"/>
        </w:rPr>
      </w:pPr>
      <w:r>
        <w:rPr>
          <w:rFonts w:hint="eastAsia" w:ascii="宋体" w:hAnsi="宋体"/>
          <w:szCs w:val="21"/>
        </w:rPr>
        <w:t>（9）分项报价表</w:t>
      </w:r>
    </w:p>
    <w:p>
      <w:pPr>
        <w:spacing w:before="60" w:beforeLines="25" w:after="60" w:afterLines="25"/>
        <w:ind w:firstLine="991" w:firstLineChars="472"/>
        <w:rPr>
          <w:rFonts w:ascii="宋体" w:hAnsi="宋体"/>
          <w:szCs w:val="21"/>
        </w:rPr>
      </w:pPr>
      <w:r>
        <w:rPr>
          <w:rFonts w:hint="eastAsia" w:ascii="宋体" w:hAnsi="宋体"/>
          <w:szCs w:val="21"/>
        </w:rPr>
        <w:t>（10）技术规格偏离表</w:t>
      </w:r>
    </w:p>
    <w:p>
      <w:pPr>
        <w:spacing w:before="60" w:beforeLines="25" w:after="60" w:afterLines="25"/>
        <w:ind w:firstLine="991" w:firstLineChars="472"/>
        <w:rPr>
          <w:rFonts w:ascii="宋体" w:hAnsi="宋体"/>
          <w:szCs w:val="21"/>
        </w:rPr>
      </w:pPr>
      <w:r>
        <w:rPr>
          <w:rFonts w:hint="eastAsia" w:ascii="宋体" w:hAnsi="宋体"/>
          <w:szCs w:val="21"/>
        </w:rPr>
        <w:t>（11）商务条款偏离表</w:t>
      </w:r>
    </w:p>
    <w:p>
      <w:pPr>
        <w:spacing w:before="60" w:beforeLines="25" w:after="60" w:afterLines="25"/>
        <w:ind w:firstLine="991" w:firstLineChars="472"/>
        <w:rPr>
          <w:rFonts w:asciiTheme="minorEastAsia" w:hAnsiTheme="minorEastAsia" w:eastAsiaTheme="minorEastAsia"/>
          <w:szCs w:val="21"/>
        </w:rPr>
      </w:pPr>
      <w:r>
        <w:rPr>
          <w:rFonts w:hint="eastAsia" w:ascii="宋体" w:hAnsi="宋体"/>
          <w:szCs w:val="21"/>
        </w:rPr>
        <w:t>（12）</w:t>
      </w:r>
      <w:r>
        <w:rPr>
          <w:rFonts w:hint="eastAsia" w:asciiTheme="minorEastAsia" w:hAnsiTheme="minorEastAsia" w:eastAsiaTheme="minorEastAsia"/>
          <w:szCs w:val="21"/>
        </w:rPr>
        <w:t>技术保障措施</w:t>
      </w:r>
    </w:p>
    <w:p>
      <w:pPr>
        <w:spacing w:before="60" w:beforeLines="25" w:after="60" w:afterLines="25"/>
        <w:ind w:firstLine="991" w:firstLineChars="472"/>
        <w:rPr>
          <w:rFonts w:ascii="宋体" w:hAnsi="宋体" w:cs="宋体"/>
        </w:rPr>
      </w:pPr>
      <w:r>
        <w:rPr>
          <w:rFonts w:hint="eastAsia" w:ascii="宋体" w:hAnsi="宋体" w:cs="宋体"/>
        </w:rPr>
        <w:t>（13）同类项目业绩情况</w:t>
      </w:r>
    </w:p>
    <w:p>
      <w:pPr>
        <w:spacing w:before="60" w:beforeLines="25" w:after="60" w:afterLines="25"/>
        <w:ind w:firstLine="991" w:firstLineChars="472"/>
        <w:rPr>
          <w:rFonts w:ascii="宋体" w:hAnsi="宋体"/>
          <w:szCs w:val="21"/>
        </w:rPr>
      </w:pPr>
      <w:r>
        <w:rPr>
          <w:rFonts w:hint="eastAsia" w:ascii="宋体" w:hAnsi="宋体" w:cs="宋体"/>
          <w:szCs w:val="21"/>
        </w:rPr>
        <w:t>（14）诚信</w:t>
      </w:r>
      <w:r>
        <w:rPr>
          <w:rFonts w:hint="eastAsia" w:ascii="宋体" w:hAnsi="宋体"/>
          <w:szCs w:val="21"/>
        </w:rPr>
        <w:t>评审</w:t>
      </w:r>
    </w:p>
    <w:p>
      <w:pPr>
        <w:spacing w:before="60" w:beforeLines="25" w:after="60" w:afterLines="25"/>
        <w:ind w:firstLine="991" w:firstLineChars="472"/>
        <w:rPr>
          <w:rFonts w:ascii="宋体" w:hAnsi="宋体"/>
          <w:szCs w:val="21"/>
        </w:rPr>
      </w:pPr>
      <w:r>
        <w:rPr>
          <w:rFonts w:hint="eastAsia" w:ascii="宋体" w:hAnsi="宋体"/>
          <w:szCs w:val="21"/>
        </w:rPr>
        <w:t>（15）招标文件要求的其它内容或投标人认为需要补充的资料</w:t>
      </w:r>
    </w:p>
    <w:p>
      <w:pPr>
        <w:ind w:firstLine="424" w:firstLineChars="202"/>
        <w:rPr>
          <w:rFonts w:ascii="宋体" w:hAnsi="宋体"/>
          <w:szCs w:val="21"/>
        </w:rPr>
      </w:pP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备注：</w:t>
      </w: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1.本项目为网上电子投标项目，投标文件不需法人或授权委托人另行签字，无需加盖单位公章，招标文件专用条款另有规定的除外。</w:t>
      </w: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2.关于填写“开标一览表”的说明：“开标一览表”中除“投标报价”外，其他信息不作为评审依据。</w:t>
      </w:r>
    </w:p>
    <w:p>
      <w:pPr>
        <w:rPr>
          <w:rFonts w:ascii="仿宋_GB2312" w:eastAsia="仿宋_GB2312"/>
          <w:b/>
          <w:color w:val="FF0000"/>
          <w:sz w:val="30"/>
          <w:szCs w:val="30"/>
        </w:rPr>
      </w:pPr>
    </w:p>
    <w:p>
      <w:pPr>
        <w:widowControl/>
        <w:jc w:val="left"/>
        <w:rPr>
          <w:rFonts w:ascii="仿宋_GB2312" w:eastAsia="仿宋_GB2312"/>
          <w:b/>
          <w:color w:val="FF0000"/>
          <w:sz w:val="30"/>
          <w:szCs w:val="30"/>
        </w:rPr>
      </w:pPr>
      <w:r>
        <w:rPr>
          <w:rFonts w:ascii="仿宋_GB2312" w:eastAsia="仿宋_GB2312"/>
          <w:b/>
          <w:color w:val="FF0000"/>
          <w:sz w:val="30"/>
          <w:szCs w:val="30"/>
        </w:rPr>
        <w:br w:type="page"/>
      </w:r>
    </w:p>
    <w:p>
      <w:pPr>
        <w:rPr>
          <w:rFonts w:ascii="仿宋_GB2312" w:eastAsia="仿宋_GB2312"/>
          <w:b/>
          <w:color w:val="FF0000"/>
          <w:sz w:val="30"/>
          <w:szCs w:val="30"/>
        </w:rPr>
      </w:pPr>
      <w:r>
        <w:rPr>
          <w:rFonts w:hint="eastAsia" w:ascii="仿宋_GB2312" w:eastAsia="仿宋_GB2312"/>
          <w:b/>
          <w:color w:val="FF0000"/>
          <w:sz w:val="30"/>
          <w:szCs w:val="30"/>
        </w:rPr>
        <w:t>投标文件正文（信息公开部分）：</w:t>
      </w:r>
    </w:p>
    <w:p>
      <w:pPr>
        <w:rPr>
          <w:rFonts w:ascii="仿宋_GB2312" w:eastAsia="仿宋_GB2312"/>
          <w:b/>
          <w:sz w:val="30"/>
          <w:szCs w:val="30"/>
        </w:rPr>
      </w:pPr>
    </w:p>
    <w:p>
      <w:pPr>
        <w:pStyle w:val="5"/>
        <w:jc w:val="center"/>
        <w:rPr>
          <w:rFonts w:ascii="黑体" w:eastAsia="黑体"/>
          <w:b w:val="0"/>
          <w:sz w:val="24"/>
        </w:rPr>
      </w:pPr>
      <w:r>
        <w:rPr>
          <w:rFonts w:hint="eastAsia" w:ascii="黑体" w:eastAsia="黑体"/>
          <w:b w:val="0"/>
          <w:sz w:val="24"/>
        </w:rPr>
        <w:t>一、投标函</w:t>
      </w:r>
    </w:p>
    <w:p>
      <w:pPr>
        <w:spacing w:line="360" w:lineRule="auto"/>
        <w:rPr>
          <w:rFonts w:ascii="宋体" w:hAnsi="宋体"/>
          <w:szCs w:val="21"/>
        </w:rPr>
      </w:pPr>
      <w:r>
        <w:rPr>
          <w:rFonts w:hint="eastAsia" w:ascii="宋体" w:hAnsi="宋体"/>
          <w:szCs w:val="21"/>
        </w:rPr>
        <w:t xml:space="preserve">深圳市中正招标有限公司：  </w:t>
      </w:r>
    </w:p>
    <w:p>
      <w:pPr>
        <w:spacing w:after="120" w:afterLines="50"/>
        <w:ind w:firstLine="420" w:firstLineChars="200"/>
        <w:rPr>
          <w:szCs w:val="21"/>
        </w:rPr>
      </w:pPr>
      <w:r>
        <w:rPr>
          <w:rFonts w:hint="eastAsia"/>
          <w:szCs w:val="21"/>
        </w:rPr>
        <w:t>1.根据已收到贵方的</w:t>
      </w:r>
      <w:r>
        <w:rPr>
          <w:rFonts w:hint="eastAsia"/>
          <w:kern w:val="0"/>
          <w:szCs w:val="21"/>
        </w:rPr>
        <w:t>（项目编号为</w:t>
      </w:r>
      <w:r>
        <w:rPr>
          <w:kern w:val="0"/>
          <w:szCs w:val="21"/>
          <w:u w:val="single"/>
        </w:rPr>
        <w:t xml:space="preserve">                   </w:t>
      </w:r>
      <w:r>
        <w:rPr>
          <w:rFonts w:hint="eastAsia"/>
          <w:kern w:val="0"/>
          <w:szCs w:val="21"/>
        </w:rPr>
        <w:t>）的（</w:t>
      </w:r>
      <w:r>
        <w:rPr>
          <w:kern w:val="0"/>
          <w:szCs w:val="21"/>
          <w:u w:val="single"/>
        </w:rPr>
        <w:t xml:space="preserve">                   </w:t>
      </w:r>
      <w:r>
        <w:rPr>
          <w:rFonts w:hint="eastAsia"/>
          <w:kern w:val="0"/>
          <w:szCs w:val="21"/>
        </w:rPr>
        <w:t>项目）</w:t>
      </w:r>
      <w:r>
        <w:rPr>
          <w:rFonts w:hint="eastAsia"/>
          <w:szCs w:val="21"/>
        </w:rPr>
        <w:t>的招标文件，遵照《深圳经济特区政府采购条例》和《深圳网上政府采购管理暂行办法》等有关规定，我方经研究上述招标文件的专用条款及通用条款后，愿以投标书编制软件中《开标一览表》中填写的投标报价并按招标文件要求承包上述项目并修补其任何缺陷。</w:t>
      </w:r>
    </w:p>
    <w:p>
      <w:pPr>
        <w:spacing w:after="120" w:afterLines="50"/>
        <w:ind w:firstLine="42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120" w:afterLines="50"/>
        <w:ind w:firstLine="411" w:firstLineChars="196"/>
        <w:rPr>
          <w:rFonts w:ascii="宋体" w:hAnsi="宋体"/>
          <w:szCs w:val="21"/>
        </w:rPr>
      </w:pPr>
      <w:r>
        <w:rPr>
          <w:rFonts w:hint="eastAsia" w:ascii="宋体" w:hAnsi="宋体"/>
          <w:szCs w:val="21"/>
        </w:rPr>
        <w:t>3.我方同意所递交的投标文件在“对通用条款的补充内容”中的投标有效期内有效，在此期间内我方的投标有可能中标，我方将受此约束。</w:t>
      </w:r>
    </w:p>
    <w:p>
      <w:pPr>
        <w:spacing w:after="120" w:afterLines="50"/>
        <w:ind w:firstLine="411" w:firstLineChars="196"/>
        <w:rPr>
          <w:rFonts w:ascii="宋体" w:hAnsi="宋体"/>
          <w:szCs w:val="21"/>
        </w:rPr>
      </w:pPr>
      <w:r>
        <w:rPr>
          <w:rFonts w:hint="eastAsia" w:ascii="宋体" w:hAnsi="宋体"/>
          <w:szCs w:val="21"/>
        </w:rPr>
        <w:t>4.除非另外达成协议并生效，贵方的中标通知书和本投标文件将构成约束我们双方的合同。</w:t>
      </w:r>
    </w:p>
    <w:p>
      <w:pPr>
        <w:spacing w:after="120" w:afterLines="50"/>
        <w:ind w:firstLine="411" w:firstLineChars="196"/>
        <w:rPr>
          <w:rFonts w:ascii="宋体" w:hAnsi="宋体"/>
          <w:szCs w:val="21"/>
        </w:rPr>
      </w:pPr>
      <w:r>
        <w:rPr>
          <w:rFonts w:hint="eastAsia" w:ascii="宋体" w:hAnsi="宋体"/>
          <w:szCs w:val="21"/>
        </w:rPr>
        <w:t>5.我方理解贵方将不受必须接受你们所收到的最低标价或其它任何投标文件的约束。</w:t>
      </w:r>
    </w:p>
    <w:p>
      <w:pPr>
        <w:ind w:left="540" w:leftChars="257"/>
        <w:rPr>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szCs w:val="21"/>
        </w:rPr>
        <w:t>法定代表人或其委托代理人：</w:t>
      </w:r>
      <w:r>
        <w:rPr>
          <w:rFonts w:hint="eastAsia"/>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sz w:val="24"/>
        </w:rPr>
        <w:t xml:space="preserve">                                </w:t>
      </w:r>
    </w:p>
    <w:p>
      <w:pPr>
        <w:spacing w:after="120" w:afterLines="50"/>
        <w:ind w:firstLine="411" w:firstLineChars="196"/>
        <w:rPr>
          <w:rFonts w:ascii="宋体" w:hAnsi="宋体"/>
          <w:szCs w:val="21"/>
        </w:rPr>
      </w:pPr>
    </w:p>
    <w:p>
      <w:pPr>
        <w:pStyle w:val="5"/>
        <w:jc w:val="center"/>
        <w:rPr>
          <w:rFonts w:ascii="黑体" w:eastAsia="黑体"/>
          <w:b w:val="0"/>
          <w:sz w:val="24"/>
        </w:rPr>
      </w:pPr>
      <w:r>
        <w:rPr>
          <w:rFonts w:hint="eastAsia" w:ascii="黑体" w:eastAsia="黑体"/>
          <w:b w:val="0"/>
          <w:sz w:val="24"/>
        </w:rPr>
        <w:t>二、资格响应文件</w:t>
      </w: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3、其它资格证明材料（如有，按招标公告“申请人的资格要求”提供）</w:t>
      </w:r>
    </w:p>
    <w:p>
      <w:pPr>
        <w:pStyle w:val="5"/>
        <w:jc w:val="center"/>
        <w:rPr>
          <w:rFonts w:ascii="黑体" w:eastAsia="黑体"/>
          <w:b w:val="0"/>
          <w:sz w:val="24"/>
        </w:rPr>
      </w:pPr>
    </w:p>
    <w:p>
      <w:pPr>
        <w:pStyle w:val="5"/>
        <w:jc w:val="center"/>
        <w:rPr>
          <w:rFonts w:ascii="黑体" w:eastAsia="黑体"/>
          <w:b w:val="0"/>
          <w:sz w:val="24"/>
        </w:rPr>
      </w:pPr>
      <w:r>
        <w:rPr>
          <w:rFonts w:hint="eastAsia" w:ascii="黑体" w:eastAsia="黑体"/>
          <w:b w:val="0"/>
          <w:sz w:val="24"/>
        </w:rPr>
        <w:t>政府采购投标及履约承诺函</w:t>
      </w:r>
    </w:p>
    <w:p>
      <w:pPr>
        <w:rPr>
          <w:rFonts w:ascii="宋体" w:hAnsi="宋体"/>
          <w:sz w:val="24"/>
        </w:rPr>
      </w:pPr>
    </w:p>
    <w:p>
      <w:pPr>
        <w:rPr>
          <w:rFonts w:ascii="宋体" w:hAnsi="宋体"/>
          <w:szCs w:val="21"/>
        </w:rPr>
      </w:pPr>
      <w:r>
        <w:rPr>
          <w:rFonts w:hint="eastAsia" w:ascii="宋体" w:hAnsi="宋体"/>
          <w:szCs w:val="21"/>
        </w:rPr>
        <w:t>深圳市中正招标有限公司：</w:t>
      </w:r>
    </w:p>
    <w:p>
      <w:pPr>
        <w:ind w:right="-815" w:firstLine="420" w:firstLineChars="200"/>
        <w:rPr>
          <w:rFonts w:ascii="宋体" w:hAnsi="宋体"/>
          <w:szCs w:val="21"/>
        </w:rPr>
      </w:pPr>
      <w:r>
        <w:rPr>
          <w:rFonts w:hint="eastAsia" w:ascii="宋体" w:hAnsi="宋体"/>
          <w:szCs w:val="21"/>
        </w:rPr>
        <w:t>我单位承诺：</w:t>
      </w:r>
    </w:p>
    <w:p>
      <w:pPr>
        <w:ind w:firstLine="420" w:firstLineChars="200"/>
        <w:rPr>
          <w:rFonts w:ascii="宋体" w:hAnsi="宋体"/>
          <w:szCs w:val="21"/>
        </w:rPr>
      </w:pPr>
      <w:r>
        <w:rPr>
          <w:rFonts w:hint="eastAsia" w:ascii="宋体" w:hAnsi="宋体"/>
          <w:szCs w:val="21"/>
        </w:rPr>
        <w:t>1.我单位满足《中华人民共和国政府采购法》第二十二条规定的条件。</w:t>
      </w:r>
    </w:p>
    <w:p>
      <w:pPr>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szCs w:val="21"/>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ind w:firstLine="420" w:firstLineChars="200"/>
        <w:rPr>
          <w:rFonts w:ascii="宋体" w:hAnsi="宋体"/>
          <w:szCs w:val="21"/>
        </w:rPr>
      </w:pPr>
      <w:r>
        <w:rPr>
          <w:rFonts w:hint="eastAsia" w:ascii="宋体" w:hAnsi="宋体"/>
          <w:szCs w:val="21"/>
        </w:rPr>
        <w:t>4.我单位承诺不非法转包或分包。</w:t>
      </w:r>
    </w:p>
    <w:p>
      <w:pPr>
        <w:ind w:firstLine="420" w:firstLineChars="200"/>
        <w:rPr>
          <w:rFonts w:ascii="宋体" w:hAnsi="宋体"/>
          <w:szCs w:val="21"/>
        </w:rPr>
      </w:pPr>
      <w:r>
        <w:rPr>
          <w:rFonts w:hint="eastAsia" w:ascii="宋体" w:hAnsi="宋体"/>
          <w:szCs w:val="21"/>
        </w:rPr>
        <w:t>5.我单位本招标项目所提供的货物或服务未侵犯知识产权。</w:t>
      </w:r>
    </w:p>
    <w:p>
      <w:pPr>
        <w:ind w:firstLine="424" w:firstLineChars="202"/>
        <w:rPr>
          <w:rFonts w:ascii="宋体" w:hAnsi="宋体"/>
          <w:szCs w:val="21"/>
        </w:rPr>
      </w:pPr>
      <w:r>
        <w:rPr>
          <w:rFonts w:hint="eastAsia" w:ascii="宋体" w:hAnsi="宋体"/>
          <w:szCs w:val="21"/>
        </w:rPr>
        <w:t>6.我单位参与该项目投标，严格遵循公平竞争的原则，不妨碍其他投标人的竞争行为，不损害采购人或者其他投标人的合法权益，与其他采购参加人不存在下列串通投标情形：</w:t>
      </w:r>
    </w:p>
    <w:p>
      <w:pPr>
        <w:ind w:firstLine="424" w:firstLineChars="202"/>
        <w:rPr>
          <w:rFonts w:ascii="宋体" w:hAnsi="宋体"/>
          <w:szCs w:val="21"/>
        </w:rPr>
      </w:pPr>
      <w:r>
        <w:rPr>
          <w:rFonts w:hint="eastAsia" w:ascii="宋体" w:hAnsi="宋体"/>
          <w:szCs w:val="21"/>
        </w:rPr>
        <w:t>（1）投标供应商之间相互约定给予未中标的供应商利益补偿；</w:t>
      </w:r>
    </w:p>
    <w:p>
      <w:pPr>
        <w:ind w:firstLine="424" w:firstLineChars="202"/>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ind w:firstLine="424" w:firstLineChars="202"/>
        <w:rPr>
          <w:rFonts w:ascii="宋体" w:hAnsi="宋体"/>
          <w:szCs w:val="21"/>
        </w:rPr>
      </w:pPr>
      <w:r>
        <w:rPr>
          <w:rFonts w:hint="eastAsia" w:ascii="宋体" w:hAnsi="宋体"/>
          <w:szCs w:val="21"/>
        </w:rPr>
        <w:t>（3）不同投标供应商的投标文件由同一单位或者同一人编制，或者由同一人分阶段参与编制的；</w:t>
      </w:r>
    </w:p>
    <w:p>
      <w:pPr>
        <w:ind w:firstLine="424" w:firstLineChars="202"/>
        <w:rPr>
          <w:rFonts w:ascii="宋体" w:hAnsi="宋体"/>
          <w:szCs w:val="21"/>
        </w:rPr>
      </w:pPr>
      <w:r>
        <w:rPr>
          <w:rFonts w:hint="eastAsia" w:ascii="宋体" w:hAnsi="宋体"/>
          <w:szCs w:val="21"/>
        </w:rPr>
        <w:t>（4）不同投标供应商的投标文件或部分投标文件相互混装；</w:t>
      </w:r>
    </w:p>
    <w:p>
      <w:pPr>
        <w:ind w:firstLine="424" w:firstLineChars="202"/>
        <w:rPr>
          <w:rFonts w:ascii="宋体" w:hAnsi="宋体"/>
          <w:szCs w:val="21"/>
        </w:rPr>
      </w:pPr>
      <w:r>
        <w:rPr>
          <w:rFonts w:hint="eastAsia" w:ascii="宋体" w:hAnsi="宋体"/>
          <w:szCs w:val="21"/>
        </w:rPr>
        <w:t>（5）不同投标供应商的投标文件内容存在非正常一致；</w:t>
      </w:r>
    </w:p>
    <w:p>
      <w:pPr>
        <w:ind w:firstLine="424" w:firstLineChars="202"/>
        <w:rPr>
          <w:rFonts w:ascii="宋体" w:hAnsi="宋体"/>
          <w:szCs w:val="21"/>
        </w:rPr>
      </w:pPr>
      <w:r>
        <w:rPr>
          <w:rFonts w:hint="eastAsia" w:ascii="宋体" w:hAnsi="宋体"/>
          <w:szCs w:val="21"/>
        </w:rPr>
        <w:t>（6）由同一单位工作人员为两家以上（含两家）供应商进行同一项投标活动的；</w:t>
      </w:r>
    </w:p>
    <w:p>
      <w:pPr>
        <w:ind w:firstLine="420" w:firstLineChars="200"/>
        <w:rPr>
          <w:rFonts w:ascii="宋体" w:hAnsi="宋体"/>
          <w:szCs w:val="21"/>
        </w:rPr>
      </w:pPr>
      <w:r>
        <w:rPr>
          <w:rFonts w:hint="eastAsia" w:ascii="宋体" w:hAnsi="宋体"/>
          <w:szCs w:val="21"/>
        </w:rPr>
        <w:t>（7）主管部门依照法律、法规认定的其他情形。</w:t>
      </w:r>
    </w:p>
    <w:p>
      <w:pPr>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ind w:firstLine="420" w:firstLineChars="200"/>
        <w:rPr>
          <w:rFonts w:ascii="宋体" w:hAnsi="宋体"/>
          <w:szCs w:val="21"/>
        </w:rPr>
      </w:pPr>
      <w:r>
        <w:rPr>
          <w:rFonts w:hint="eastAsia" w:ascii="宋体" w:hAnsi="宋体"/>
          <w:szCs w:val="21"/>
        </w:rPr>
        <w:t>以上承诺，如有违反，愿依照国家相关法律处理，并承担由此给采购人带来的损失。</w:t>
      </w:r>
    </w:p>
    <w:p>
      <w:pPr>
        <w:ind w:firstLine="420" w:firstLineChars="200"/>
        <w:rPr>
          <w:rFonts w:ascii="宋体" w:hAnsi="宋体"/>
          <w:szCs w:val="21"/>
        </w:rPr>
      </w:pPr>
    </w:p>
    <w:p>
      <w:pPr>
        <w:jc w:val="center"/>
      </w:pPr>
      <w:r>
        <w:rPr>
          <w:rFonts w:hint="eastAsia"/>
          <w:szCs w:val="21"/>
        </w:rPr>
        <w:t xml:space="preserve">                             投标人：</w:t>
      </w:r>
    </w:p>
    <w:p>
      <w:pPr>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firstLine="420" w:firstLineChars="200"/>
        <w:rPr>
          <w:rFonts w:ascii="宋体" w:hAnsi="宋体"/>
          <w:szCs w:val="21"/>
        </w:rPr>
      </w:pPr>
    </w:p>
    <w:p>
      <w:pPr>
        <w:pStyle w:val="5"/>
        <w:jc w:val="center"/>
        <w:rPr>
          <w:rFonts w:ascii="黑体" w:eastAsia="黑体"/>
          <w:b w:val="0"/>
          <w:sz w:val="24"/>
        </w:rPr>
      </w:pPr>
      <w:r>
        <w:rPr>
          <w:rFonts w:hint="eastAsia" w:ascii="黑体" w:eastAsia="黑体"/>
          <w:b w:val="0"/>
          <w:sz w:val="24"/>
        </w:rPr>
        <w:t>三、投标人情况介绍</w:t>
      </w:r>
    </w:p>
    <w:p>
      <w:pPr>
        <w:ind w:left="632" w:hanging="632" w:hangingChars="300"/>
        <w:rPr>
          <w:b/>
          <w:bCs/>
        </w:rPr>
      </w:pPr>
    </w:p>
    <w:tbl>
      <w:tblPr>
        <w:tblStyle w:val="42"/>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59"/>
        <w:gridCol w:w="4432"/>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序号</w:t>
            </w:r>
          </w:p>
        </w:tc>
        <w:tc>
          <w:tcPr>
            <w:tcW w:w="2559" w:type="dxa"/>
          </w:tcPr>
          <w:p>
            <w:pPr>
              <w:spacing w:after="60"/>
              <w:jc w:val="center"/>
              <w:rPr>
                <w:rFonts w:ascii="宋体" w:hAnsi="宋体"/>
                <w:b/>
                <w:szCs w:val="21"/>
              </w:rPr>
            </w:pPr>
            <w:r>
              <w:rPr>
                <w:rFonts w:hint="eastAsia" w:ascii="宋体" w:hAnsi="宋体"/>
                <w:b/>
                <w:szCs w:val="21"/>
              </w:rPr>
              <w:t>项</w:t>
            </w:r>
            <w:r>
              <w:rPr>
                <w:rFonts w:ascii="宋体" w:hAnsi="宋体"/>
                <w:b/>
                <w:szCs w:val="21"/>
              </w:rPr>
              <w:t xml:space="preserve">  </w:t>
            </w:r>
            <w:r>
              <w:rPr>
                <w:rFonts w:hint="eastAsia" w:ascii="宋体" w:hAnsi="宋体"/>
                <w:b/>
                <w:szCs w:val="21"/>
              </w:rPr>
              <w:t>目</w:t>
            </w:r>
          </w:p>
        </w:tc>
        <w:tc>
          <w:tcPr>
            <w:tcW w:w="4432" w:type="dxa"/>
            <w:vAlign w:val="center"/>
          </w:tcPr>
          <w:p>
            <w:pPr>
              <w:spacing w:after="60"/>
              <w:jc w:val="center"/>
              <w:rPr>
                <w:rFonts w:ascii="宋体" w:hAnsi="宋体"/>
                <w:b/>
                <w:szCs w:val="21"/>
              </w:rPr>
            </w:pPr>
            <w:r>
              <w:rPr>
                <w:rFonts w:hint="eastAsia" w:ascii="宋体" w:hAnsi="宋体"/>
                <w:b/>
                <w:szCs w:val="21"/>
              </w:rPr>
              <w:t>内容及说明</w:t>
            </w:r>
          </w:p>
        </w:tc>
        <w:tc>
          <w:tcPr>
            <w:tcW w:w="1411" w:type="dxa"/>
            <w:vAlign w:val="center"/>
          </w:tcPr>
          <w:p>
            <w:pPr>
              <w:spacing w:after="60"/>
              <w:jc w:val="center"/>
              <w:rPr>
                <w:rFonts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一</w:t>
            </w:r>
          </w:p>
        </w:tc>
        <w:tc>
          <w:tcPr>
            <w:tcW w:w="6991" w:type="dxa"/>
            <w:gridSpan w:val="2"/>
          </w:tcPr>
          <w:p>
            <w:pPr>
              <w:spacing w:after="60"/>
              <w:rPr>
                <w:rFonts w:ascii="宋体" w:hAnsi="宋体"/>
                <w:b/>
                <w:szCs w:val="21"/>
              </w:rPr>
            </w:pPr>
            <w:r>
              <w:rPr>
                <w:rFonts w:hint="eastAsia" w:ascii="宋体" w:hAnsi="宋体"/>
                <w:b/>
                <w:szCs w:val="21"/>
              </w:rPr>
              <w:t>营业执照</w:t>
            </w: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ascii="宋体" w:hAnsi="宋体"/>
                <w:szCs w:val="21"/>
              </w:rPr>
              <w:t>1</w:t>
            </w:r>
          </w:p>
        </w:tc>
        <w:tc>
          <w:tcPr>
            <w:tcW w:w="2559" w:type="dxa"/>
            <w:vAlign w:val="center"/>
          </w:tcPr>
          <w:p>
            <w:pPr>
              <w:spacing w:after="60"/>
              <w:jc w:val="center"/>
              <w:rPr>
                <w:rFonts w:ascii="宋体" w:hAnsi="宋体"/>
                <w:szCs w:val="21"/>
              </w:rPr>
            </w:pPr>
            <w:r>
              <w:rPr>
                <w:rFonts w:hint="eastAsia" w:ascii="宋体" w:hAnsi="宋体"/>
                <w:szCs w:val="21"/>
              </w:rPr>
              <w:t>注册年度及注册编号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ascii="宋体" w:hAnsi="宋体"/>
                <w:szCs w:val="21"/>
              </w:rPr>
              <w:t>2</w:t>
            </w:r>
          </w:p>
        </w:tc>
        <w:tc>
          <w:tcPr>
            <w:tcW w:w="2559" w:type="dxa"/>
            <w:vAlign w:val="center"/>
          </w:tcPr>
          <w:p>
            <w:pPr>
              <w:spacing w:after="60"/>
              <w:jc w:val="center"/>
              <w:rPr>
                <w:rFonts w:ascii="宋体" w:hAnsi="宋体"/>
                <w:szCs w:val="21"/>
              </w:rPr>
            </w:pPr>
            <w:r>
              <w:rPr>
                <w:rFonts w:hint="eastAsia" w:ascii="宋体" w:hAnsi="宋体"/>
                <w:szCs w:val="21"/>
              </w:rPr>
              <w:t>注册资金（万元）</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3</w:t>
            </w:r>
          </w:p>
        </w:tc>
        <w:tc>
          <w:tcPr>
            <w:tcW w:w="2559" w:type="dxa"/>
            <w:vAlign w:val="center"/>
          </w:tcPr>
          <w:p>
            <w:pPr>
              <w:spacing w:after="60"/>
              <w:jc w:val="center"/>
              <w:rPr>
                <w:rFonts w:ascii="宋体" w:hAnsi="宋体"/>
                <w:szCs w:val="21"/>
              </w:rPr>
            </w:pPr>
            <w:r>
              <w:rPr>
                <w:rFonts w:hint="eastAsia" w:ascii="宋体" w:hAnsi="宋体"/>
                <w:szCs w:val="21"/>
              </w:rPr>
              <w:t>法定代表人</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4</w:t>
            </w:r>
          </w:p>
        </w:tc>
        <w:tc>
          <w:tcPr>
            <w:tcW w:w="2559" w:type="dxa"/>
            <w:vAlign w:val="center"/>
          </w:tcPr>
          <w:p>
            <w:pPr>
              <w:spacing w:after="60"/>
              <w:jc w:val="center"/>
              <w:rPr>
                <w:rFonts w:ascii="宋体" w:hAnsi="宋体"/>
                <w:szCs w:val="21"/>
              </w:rPr>
            </w:pPr>
            <w:r>
              <w:rPr>
                <w:rFonts w:hint="eastAsia" w:ascii="宋体" w:hAnsi="宋体"/>
                <w:szCs w:val="21"/>
              </w:rPr>
              <w:t>住所地</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5</w:t>
            </w:r>
          </w:p>
        </w:tc>
        <w:tc>
          <w:tcPr>
            <w:tcW w:w="2559" w:type="dxa"/>
            <w:vAlign w:val="center"/>
          </w:tcPr>
          <w:p>
            <w:pPr>
              <w:spacing w:after="60"/>
              <w:jc w:val="center"/>
              <w:rPr>
                <w:rFonts w:ascii="宋体" w:hAnsi="宋体"/>
                <w:szCs w:val="21"/>
              </w:rPr>
            </w:pPr>
            <w:r>
              <w:rPr>
                <w:rFonts w:hint="eastAsia" w:ascii="宋体" w:hAnsi="宋体"/>
                <w:szCs w:val="21"/>
              </w:rPr>
              <w:t>经营范围</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6</w:t>
            </w:r>
          </w:p>
        </w:tc>
        <w:tc>
          <w:tcPr>
            <w:tcW w:w="2559" w:type="dxa"/>
            <w:vAlign w:val="center"/>
          </w:tcPr>
          <w:p>
            <w:pPr>
              <w:spacing w:after="60"/>
              <w:jc w:val="center"/>
              <w:rPr>
                <w:rFonts w:ascii="宋体" w:hAnsi="宋体"/>
                <w:szCs w:val="21"/>
              </w:rPr>
            </w:pPr>
            <w:r>
              <w:rPr>
                <w:rFonts w:hint="eastAsia" w:ascii="宋体" w:hAnsi="宋体"/>
                <w:szCs w:val="21"/>
              </w:rPr>
              <w:t>开户银行及账号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7</w:t>
            </w:r>
          </w:p>
        </w:tc>
        <w:tc>
          <w:tcPr>
            <w:tcW w:w="2559" w:type="dxa"/>
            <w:vAlign w:val="center"/>
          </w:tcPr>
          <w:p>
            <w:pPr>
              <w:spacing w:after="60"/>
              <w:jc w:val="center"/>
              <w:rPr>
                <w:rFonts w:ascii="宋体" w:hAnsi="宋体"/>
                <w:szCs w:val="21"/>
              </w:rPr>
            </w:pPr>
            <w:r>
              <w:rPr>
                <w:rFonts w:hint="eastAsia" w:ascii="宋体" w:hAnsi="宋体"/>
                <w:szCs w:val="21"/>
              </w:rPr>
              <w:t>联系方式</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二</w:t>
            </w:r>
          </w:p>
        </w:tc>
        <w:tc>
          <w:tcPr>
            <w:tcW w:w="2559" w:type="dxa"/>
            <w:vAlign w:val="center"/>
          </w:tcPr>
          <w:p>
            <w:pPr>
              <w:spacing w:after="60"/>
              <w:jc w:val="left"/>
              <w:rPr>
                <w:rFonts w:ascii="宋体" w:hAnsi="宋体"/>
                <w:b/>
                <w:szCs w:val="21"/>
              </w:rPr>
            </w:pPr>
            <w:r>
              <w:rPr>
                <w:rFonts w:hint="eastAsia" w:ascii="宋体" w:hAnsi="宋体"/>
                <w:b/>
                <w:szCs w:val="21"/>
              </w:rPr>
              <w:t>其他材料</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bl>
    <w:p>
      <w:pPr>
        <w:spacing w:line="360" w:lineRule="exact"/>
        <w:rPr>
          <w:bCs/>
          <w:szCs w:val="21"/>
        </w:rPr>
      </w:pPr>
      <w:r>
        <w:rPr>
          <w:rFonts w:hint="eastAsia"/>
          <w:bCs/>
          <w:szCs w:val="21"/>
        </w:rPr>
        <w:t>注：供应商应填写上述表格内容，并可根据自身情况自行对表格内容进行补充和完善。</w:t>
      </w:r>
    </w:p>
    <w:p>
      <w:pPr>
        <w:ind w:left="632" w:hanging="632" w:hangingChars="300"/>
        <w:rPr>
          <w:b/>
          <w:bCs/>
        </w:rPr>
      </w:pPr>
    </w:p>
    <w:p>
      <w:pPr>
        <w:ind w:left="632" w:hanging="632" w:hangingChars="300"/>
        <w:rPr>
          <w:b/>
          <w:bCs/>
        </w:rPr>
      </w:pPr>
    </w:p>
    <w:p>
      <w:pPr>
        <w:ind w:left="632" w:hanging="632" w:hangingChars="300"/>
        <w:rPr>
          <w:b/>
          <w:bCs/>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四、中小企业声明函等符合政府采购扶持政策的证明材料</w:t>
      </w:r>
    </w:p>
    <w:p>
      <w:pPr>
        <w:jc w:val="left"/>
        <w:outlineLvl w:val="3"/>
        <w:rPr>
          <w:rFonts w:ascii="黑体" w:hAnsi="宋体" w:eastAsia="黑体"/>
          <w:bCs/>
          <w:kern w:val="0"/>
          <w:sz w:val="24"/>
          <w:szCs w:val="32"/>
        </w:rPr>
      </w:pPr>
    </w:p>
    <w:p>
      <w:pPr>
        <w:widowControl/>
        <w:snapToGrid w:val="0"/>
        <w:spacing w:line="360" w:lineRule="auto"/>
        <w:jc w:val="left"/>
        <w:outlineLvl w:val="4"/>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29" w:name="_Hlk71925120"/>
      <w:r>
        <w:rPr>
          <w:rFonts w:hint="eastAsia" w:asciiTheme="minorEastAsia" w:hAnsiTheme="minorEastAsia" w:eastAsiaTheme="minorEastAsia"/>
          <w:kern w:val="0"/>
          <w:szCs w:val="21"/>
        </w:rPr>
        <w:t>《关于印发中小企业划型标准规定的通知》（工信部联企业〔2011〕300 号</w:t>
      </w:r>
      <w:bookmarkEnd w:id="29"/>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3、请依照招标文件提供的格式和内容填写声明函，不要随意变更格式；声明函不需要盖章或签字；满足多项优惠政策的投标人，不重复享受多项价格扣除政策。</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w:t>
      </w:r>
      <w:r>
        <w:rPr>
          <w:rFonts w:hint="eastAsia" w:asciiTheme="minorEastAsia" w:hAnsiTheme="minorEastAsia" w:eastAsiaTheme="minorEastAsia"/>
          <w:b/>
          <w:color w:val="FF0000"/>
          <w:kern w:val="0"/>
          <w:szCs w:val="21"/>
        </w:rPr>
        <w:t>采购标的（货物或服务或工程）的具体名称</w:t>
      </w:r>
      <w:r>
        <w:rPr>
          <w:rFonts w:hint="eastAsia" w:asciiTheme="minorEastAsia" w:hAnsiTheme="minorEastAsia" w:eastAsiaTheme="minorEastAsia"/>
          <w:b/>
          <w:bCs/>
          <w:color w:val="FF0000"/>
          <w:kern w:val="0"/>
          <w:szCs w:val="21"/>
        </w:rPr>
        <w:t>（具体详见第二章招标项目需求，如涉及多项标的，投标人需逐项进行响应）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w:t>
      </w:r>
      <w:r>
        <w:rPr>
          <w:rFonts w:hint="eastAsia" w:asciiTheme="minorEastAsia" w:hAnsiTheme="minorEastAsia" w:eastAsiaTheme="minorEastAsia"/>
          <w:b/>
          <w:color w:val="FF0000"/>
          <w:kern w:val="0"/>
          <w:szCs w:val="21"/>
        </w:rPr>
        <w:t>采购文件规定的本项目所属行业</w:t>
      </w:r>
      <w:r>
        <w:rPr>
          <w:rFonts w:hint="eastAsia" w:asciiTheme="minorEastAsia" w:hAnsiTheme="minorEastAsia" w:eastAsiaTheme="minorEastAsia"/>
          <w:b/>
          <w:bCs/>
          <w:color w:val="FF0000"/>
          <w:kern w:val="0"/>
          <w:szCs w:val="21"/>
        </w:rPr>
        <w:t>（详见其它关键信息）</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widowControl/>
        <w:snapToGrid w:val="0"/>
        <w:spacing w:line="360" w:lineRule="auto"/>
        <w:jc w:val="left"/>
        <w:rPr>
          <w:b/>
          <w:bCs/>
        </w:rPr>
      </w:pPr>
      <w:r>
        <w:rPr>
          <w:rFonts w:hint="eastAsia" w:asciiTheme="minorEastAsia" w:hAnsiTheme="minorEastAsia" w:eastAsiaTheme="minorEastAsia"/>
          <w:kern w:val="0"/>
          <w:szCs w:val="21"/>
        </w:rPr>
        <w:t xml:space="preserve">   </w:t>
      </w:r>
    </w:p>
    <w:p>
      <w:pPr>
        <w:jc w:val="left"/>
        <w:outlineLvl w:val="3"/>
        <w:rPr>
          <w:rFonts w:ascii="黑体" w:hAnsi="宋体" w:eastAsia="黑体"/>
          <w:bCs/>
          <w:kern w:val="0"/>
          <w:sz w:val="24"/>
          <w:szCs w:val="32"/>
        </w:rPr>
      </w:pPr>
    </w:p>
    <w:p>
      <w:pPr>
        <w:spacing w:after="60"/>
        <w:jc w:val="center"/>
        <w:outlineLvl w:val="3"/>
        <w:rPr>
          <w:b/>
          <w:sz w:val="24"/>
        </w:rPr>
      </w:pPr>
      <w:r>
        <w:rPr>
          <w:rFonts w:hint="eastAsia"/>
          <w:b/>
          <w:sz w:val="24"/>
        </w:rPr>
        <w:t>1、中小企业声明函</w:t>
      </w:r>
    </w:p>
    <w:p>
      <w:pPr>
        <w:pStyle w:val="2"/>
        <w:spacing w:line="302" w:lineRule="auto"/>
        <w:ind w:right="-51" w:firstLine="412"/>
        <w:rPr>
          <w:rFonts w:asciiTheme="minorEastAsia" w:hAnsiTheme="minorEastAsia" w:eastAsiaTheme="minorEastAsia"/>
          <w:b w:val="0"/>
          <w:sz w:val="21"/>
          <w:szCs w:val="21"/>
        </w:rPr>
      </w:pPr>
      <w:r>
        <w:rPr>
          <w:rFonts w:asciiTheme="minorEastAsia" w:hAnsiTheme="minorEastAsia" w:eastAsiaTheme="minorEastAsia"/>
          <w:b w:val="0"/>
          <w:sz w:val="21"/>
          <w:szCs w:val="21"/>
        </w:rPr>
        <w:t>本公司（联合体）郑重声明，根据《政府采购促进中小企业发展管理办法》（财库</w:t>
      </w:r>
      <w:r>
        <w:rPr>
          <w:rFonts w:hint="eastAsia" w:asciiTheme="minorEastAsia" w:hAnsiTheme="minorEastAsia" w:eastAsiaTheme="minorEastAsia"/>
          <w:b w:val="0"/>
          <w:sz w:val="21"/>
          <w:szCs w:val="21"/>
        </w:rPr>
        <w:t>﹝</w:t>
      </w:r>
      <w:r>
        <w:rPr>
          <w:rFonts w:asciiTheme="minorEastAsia" w:hAnsiTheme="minorEastAsia" w:eastAsiaTheme="minorEastAsia"/>
          <w:b w:val="0"/>
          <w:sz w:val="21"/>
          <w:szCs w:val="21"/>
        </w:rPr>
        <w:t>2020</w:t>
      </w:r>
      <w:r>
        <w:rPr>
          <w:rFonts w:hint="eastAsia" w:asciiTheme="minorEastAsia" w:hAnsiTheme="minorEastAsia" w:eastAsiaTheme="minorEastAsia"/>
          <w:b w:val="0"/>
          <w:sz w:val="21"/>
          <w:szCs w:val="21"/>
        </w:rPr>
        <w:t>﹞</w:t>
      </w:r>
      <w:r>
        <w:rPr>
          <w:rFonts w:asciiTheme="minorEastAsia" w:hAnsiTheme="minorEastAsia" w:eastAsiaTheme="minorEastAsia"/>
          <w:b w:val="0"/>
          <w:sz w:val="21"/>
          <w:szCs w:val="21"/>
        </w:rPr>
        <w:t>46 号）的规定，本公司（联合体）参加</w:t>
      </w:r>
      <w:r>
        <w:rPr>
          <w:rFonts w:asciiTheme="minorEastAsia" w:hAnsiTheme="minorEastAsia" w:eastAsiaTheme="minorEastAsia"/>
          <w:b w:val="0"/>
          <w:sz w:val="21"/>
          <w:szCs w:val="21"/>
          <w:u w:val="single"/>
        </w:rPr>
        <w:t>（单位名称）</w:t>
      </w:r>
      <w:r>
        <w:rPr>
          <w:rFonts w:asciiTheme="minorEastAsia" w:hAnsiTheme="minorEastAsia" w:eastAsiaTheme="minorEastAsia"/>
          <w:b w:val="0"/>
          <w:sz w:val="21"/>
          <w:szCs w:val="21"/>
        </w:rPr>
        <w:t>的</w:t>
      </w:r>
      <w:r>
        <w:rPr>
          <w:rFonts w:asciiTheme="minorEastAsia" w:hAnsiTheme="minorEastAsia" w:eastAsiaTheme="minorEastAsia"/>
          <w:b w:val="0"/>
          <w:sz w:val="21"/>
          <w:szCs w:val="21"/>
          <w:u w:val="single"/>
        </w:rPr>
        <w:t>（项目名称）</w:t>
      </w:r>
      <w:r>
        <w:rPr>
          <w:rFonts w:asciiTheme="minorEastAsia" w:hAnsiTheme="minorEastAsia" w:eastAsiaTheme="minorEastAsia"/>
          <w:b w:val="0"/>
          <w:sz w:val="21"/>
          <w:szCs w:val="21"/>
        </w:rPr>
        <w:t>采购活动，</w:t>
      </w:r>
      <w:r>
        <w:rPr>
          <w:rFonts w:hint="eastAsia" w:asciiTheme="minorEastAsia" w:hAnsiTheme="minorEastAsia" w:eastAsiaTheme="minorEastAsia"/>
          <w:b w:val="0"/>
          <w:sz w:val="21"/>
          <w:szCs w:val="21"/>
        </w:rPr>
        <w:t>提供的货物全部由符合政策要求的中小企业制造</w:t>
      </w:r>
      <w:r>
        <w:rPr>
          <w:rFonts w:asciiTheme="minorEastAsia" w:hAnsiTheme="minorEastAsia" w:eastAsiaTheme="minorEastAsia"/>
          <w:b w:val="0"/>
          <w:sz w:val="21"/>
          <w:szCs w:val="21"/>
        </w:rPr>
        <w:t>。相关企业（含联合体中的中小企业、签订分包意向协议的中小企业）的具体情况如下：</w:t>
      </w:r>
    </w:p>
    <w:p>
      <w:pPr>
        <w:pStyle w:val="2"/>
        <w:spacing w:line="302" w:lineRule="auto"/>
        <w:ind w:right="-51" w:firstLine="412"/>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 xml:space="preserve">1. </w:t>
      </w:r>
      <w:r>
        <w:rPr>
          <w:rFonts w:asciiTheme="minorEastAsia" w:hAnsiTheme="minorEastAsia" w:eastAsiaTheme="minorEastAsia"/>
          <w:b w:val="0"/>
          <w:sz w:val="21"/>
          <w:szCs w:val="21"/>
          <w:u w:val="single"/>
        </w:rPr>
        <w:t>（标的名称）</w:t>
      </w:r>
      <w:r>
        <w:rPr>
          <w:rFonts w:asciiTheme="minorEastAsia" w:hAnsiTheme="minorEastAsia" w:eastAsiaTheme="minorEastAsia"/>
          <w:b w:val="0"/>
          <w:sz w:val="21"/>
          <w:szCs w:val="21"/>
        </w:rPr>
        <w:t>，属于</w:t>
      </w:r>
      <w:r>
        <w:rPr>
          <w:rFonts w:asciiTheme="minorEastAsia" w:hAnsiTheme="minorEastAsia" w:eastAsiaTheme="minorEastAsia"/>
          <w:b w:val="0"/>
          <w:sz w:val="21"/>
          <w:szCs w:val="21"/>
          <w:u w:val="single"/>
        </w:rPr>
        <w:t>（采购文件中明确的所属行业）</w:t>
      </w:r>
      <w:r>
        <w:rPr>
          <w:rFonts w:hint="eastAsia" w:asciiTheme="minorEastAsia" w:hAnsiTheme="minorEastAsia" w:eastAsiaTheme="minorEastAsia"/>
          <w:b w:val="0"/>
          <w:sz w:val="21"/>
          <w:szCs w:val="21"/>
        </w:rPr>
        <w:t>行业</w:t>
      </w:r>
      <w:r>
        <w:rPr>
          <w:rFonts w:asciiTheme="minorEastAsia" w:hAnsiTheme="minorEastAsia" w:eastAsiaTheme="minorEastAsia"/>
          <w:b w:val="0"/>
          <w:sz w:val="21"/>
          <w:szCs w:val="21"/>
        </w:rPr>
        <w:t>；</w:t>
      </w:r>
      <w:r>
        <w:rPr>
          <w:rFonts w:hint="eastAsia" w:asciiTheme="minorEastAsia" w:hAnsiTheme="minorEastAsia" w:eastAsiaTheme="minorEastAsia"/>
          <w:b w:val="0"/>
          <w:sz w:val="21"/>
          <w:szCs w:val="21"/>
        </w:rPr>
        <w:t>制造商</w:t>
      </w:r>
      <w:r>
        <w:rPr>
          <w:rFonts w:asciiTheme="minorEastAsia" w:hAnsiTheme="minorEastAsia" w:eastAsiaTheme="minorEastAsia"/>
          <w:b w:val="0"/>
          <w:sz w:val="21"/>
          <w:szCs w:val="21"/>
        </w:rPr>
        <w:t>为</w:t>
      </w:r>
      <w:r>
        <w:rPr>
          <w:rFonts w:asciiTheme="minorEastAsia" w:hAnsiTheme="minorEastAsia" w:eastAsiaTheme="minorEastAsia"/>
          <w:b w:val="0"/>
          <w:sz w:val="21"/>
          <w:szCs w:val="21"/>
          <w:u w:val="single"/>
        </w:rPr>
        <w:t>（企业名称）</w:t>
      </w:r>
      <w:r>
        <w:rPr>
          <w:rFonts w:asciiTheme="minorEastAsia" w:hAnsiTheme="minorEastAsia" w:eastAsiaTheme="minorEastAsia"/>
          <w:b w:val="0"/>
          <w:sz w:val="21"/>
          <w:szCs w:val="21"/>
        </w:rPr>
        <w:t>，从业人员</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asciiTheme="minorEastAsia" w:hAnsiTheme="minorEastAsia" w:eastAsiaTheme="minorEastAsia"/>
          <w:b w:val="0"/>
          <w:sz w:val="21"/>
          <w:szCs w:val="21"/>
        </w:rPr>
        <w:t>人，营业收入为</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万元，资产总额为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万元，属于</w:t>
      </w:r>
      <w:r>
        <w:rPr>
          <w:rFonts w:asciiTheme="minorEastAsia" w:hAnsiTheme="minorEastAsia" w:eastAsiaTheme="minorEastAsia"/>
          <w:b w:val="0"/>
          <w:sz w:val="21"/>
          <w:szCs w:val="21"/>
          <w:u w:val="single"/>
        </w:rPr>
        <w:t>（中型企业、小型企业、微型企业）</w:t>
      </w:r>
      <w:r>
        <w:rPr>
          <w:rFonts w:asciiTheme="minorEastAsia" w:hAnsiTheme="minorEastAsia" w:eastAsiaTheme="minorEastAsia"/>
          <w:b w:val="0"/>
          <w:sz w:val="21"/>
          <w:szCs w:val="21"/>
        </w:rPr>
        <w:t>；</w:t>
      </w:r>
    </w:p>
    <w:p>
      <w:pPr>
        <w:pStyle w:val="2"/>
        <w:spacing w:line="302" w:lineRule="auto"/>
        <w:ind w:right="-51" w:firstLine="412"/>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 xml:space="preserve">2. </w:t>
      </w:r>
      <w:r>
        <w:rPr>
          <w:rFonts w:asciiTheme="minorEastAsia" w:hAnsiTheme="minorEastAsia" w:eastAsiaTheme="minorEastAsia"/>
          <w:b w:val="0"/>
          <w:sz w:val="21"/>
          <w:szCs w:val="21"/>
          <w:u w:val="single"/>
        </w:rPr>
        <w:t>（标的名称）</w:t>
      </w:r>
      <w:r>
        <w:rPr>
          <w:rFonts w:asciiTheme="minorEastAsia" w:hAnsiTheme="minorEastAsia" w:eastAsiaTheme="minorEastAsia"/>
          <w:b w:val="0"/>
          <w:sz w:val="21"/>
          <w:szCs w:val="21"/>
        </w:rPr>
        <w:t>，属于</w:t>
      </w:r>
      <w:r>
        <w:rPr>
          <w:rFonts w:asciiTheme="minorEastAsia" w:hAnsiTheme="minorEastAsia" w:eastAsiaTheme="minorEastAsia"/>
          <w:b w:val="0"/>
          <w:sz w:val="21"/>
          <w:szCs w:val="21"/>
          <w:u w:val="single"/>
        </w:rPr>
        <w:t>（采购文件中明确的所属行业）</w:t>
      </w:r>
      <w:r>
        <w:rPr>
          <w:rFonts w:hint="eastAsia" w:asciiTheme="minorEastAsia" w:hAnsiTheme="minorEastAsia" w:eastAsiaTheme="minorEastAsia"/>
          <w:b w:val="0"/>
          <w:sz w:val="21"/>
          <w:szCs w:val="21"/>
        </w:rPr>
        <w:t>行业</w:t>
      </w:r>
      <w:r>
        <w:rPr>
          <w:rFonts w:asciiTheme="minorEastAsia" w:hAnsiTheme="minorEastAsia" w:eastAsiaTheme="minorEastAsia"/>
          <w:b w:val="0"/>
          <w:sz w:val="21"/>
          <w:szCs w:val="21"/>
        </w:rPr>
        <w:t>；</w:t>
      </w:r>
      <w:r>
        <w:rPr>
          <w:rFonts w:hint="eastAsia" w:asciiTheme="minorEastAsia" w:hAnsiTheme="minorEastAsia" w:eastAsiaTheme="minorEastAsia"/>
          <w:b w:val="0"/>
          <w:sz w:val="21"/>
          <w:szCs w:val="21"/>
        </w:rPr>
        <w:t>制造商</w:t>
      </w:r>
      <w:r>
        <w:rPr>
          <w:rFonts w:asciiTheme="minorEastAsia" w:hAnsiTheme="minorEastAsia" w:eastAsiaTheme="minorEastAsia"/>
          <w:b w:val="0"/>
          <w:sz w:val="21"/>
          <w:szCs w:val="21"/>
        </w:rPr>
        <w:t>为</w:t>
      </w:r>
      <w:r>
        <w:rPr>
          <w:rFonts w:asciiTheme="minorEastAsia" w:hAnsiTheme="minorEastAsia" w:eastAsiaTheme="minorEastAsia"/>
          <w:b w:val="0"/>
          <w:sz w:val="21"/>
          <w:szCs w:val="21"/>
          <w:u w:val="single"/>
        </w:rPr>
        <w:t>（企业名称）</w:t>
      </w:r>
      <w:r>
        <w:rPr>
          <w:rFonts w:asciiTheme="minorEastAsia" w:hAnsiTheme="minorEastAsia" w:eastAsiaTheme="minorEastAsia"/>
          <w:b w:val="0"/>
          <w:sz w:val="21"/>
          <w:szCs w:val="21"/>
        </w:rPr>
        <w:t>，从业人员</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asciiTheme="minorEastAsia" w:hAnsiTheme="minorEastAsia" w:eastAsiaTheme="minorEastAsia"/>
          <w:b w:val="0"/>
          <w:sz w:val="21"/>
          <w:szCs w:val="21"/>
        </w:rPr>
        <w:t>人，营业收入为</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万元，资产总额为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万元，属于</w:t>
      </w:r>
      <w:r>
        <w:rPr>
          <w:rFonts w:asciiTheme="minorEastAsia" w:hAnsiTheme="minorEastAsia" w:eastAsiaTheme="minorEastAsia"/>
          <w:b w:val="0"/>
          <w:sz w:val="21"/>
          <w:szCs w:val="21"/>
          <w:u w:val="single"/>
        </w:rPr>
        <w:t>（中型企业、小型企业、微型企业）</w:t>
      </w:r>
      <w:r>
        <w:rPr>
          <w:rFonts w:asciiTheme="minorEastAsia" w:hAnsiTheme="minorEastAsia" w:eastAsiaTheme="minorEastAsia"/>
          <w:b w:val="0"/>
          <w:sz w:val="21"/>
          <w:szCs w:val="21"/>
        </w:rPr>
        <w:t>；</w:t>
      </w:r>
    </w:p>
    <w:p>
      <w:pPr>
        <w:pStyle w:val="2"/>
        <w:spacing w:before="11"/>
        <w:ind w:right="-51" w:firstLine="424" w:firstLineChars="202"/>
        <w:rPr>
          <w:rFonts w:asciiTheme="minorEastAsia" w:hAnsiTheme="minorEastAsia" w:eastAsiaTheme="minorEastAsia"/>
          <w:b w:val="0"/>
          <w:sz w:val="21"/>
          <w:szCs w:val="21"/>
        </w:rPr>
      </w:pPr>
      <w:r>
        <w:rPr>
          <w:rFonts w:asciiTheme="minorEastAsia" w:hAnsiTheme="minorEastAsia" w:eastAsiaTheme="minorEastAsia"/>
          <w:b w:val="0"/>
          <w:sz w:val="21"/>
          <w:szCs w:val="21"/>
        </w:rPr>
        <w:t>……</w:t>
      </w:r>
    </w:p>
    <w:p>
      <w:pPr>
        <w:pStyle w:val="2"/>
        <w:spacing w:before="108" w:line="304" w:lineRule="auto"/>
        <w:ind w:right="-51" w:firstLine="408"/>
        <w:rPr>
          <w:rFonts w:asciiTheme="minorEastAsia" w:hAnsiTheme="minorEastAsia" w:eastAsiaTheme="minorEastAsia"/>
          <w:b w:val="0"/>
          <w:sz w:val="21"/>
          <w:szCs w:val="21"/>
        </w:rPr>
      </w:pPr>
      <w:r>
        <w:rPr>
          <w:rFonts w:asciiTheme="minorEastAsia" w:hAnsiTheme="minorEastAsia" w:eastAsiaTheme="minorEastAsia"/>
          <w:b w:val="0"/>
          <w:sz w:val="21"/>
          <w:szCs w:val="21"/>
        </w:rPr>
        <w:t>以上企业，不属于大企业的分支机构，不存在控股股东为大企业的情形，也不存在与大企业的负责人为同一人的情形。</w:t>
      </w:r>
    </w:p>
    <w:p>
      <w:pPr>
        <w:spacing w:line="360" w:lineRule="exact"/>
        <w:ind w:right="-5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exact"/>
        <w:ind w:right="-51"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本企业已知悉《政府采购促进中小企业发展管理办法》（财库〔2020〕46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exact"/>
        <w:ind w:firstLine="420" w:firstLineChars="200"/>
        <w:rPr>
          <w:rFonts w:asciiTheme="minorEastAsia" w:hAnsiTheme="minorEastAsia" w:eastAsiaTheme="minorEastAsia"/>
          <w:szCs w:val="21"/>
        </w:rPr>
      </w:pPr>
    </w:p>
    <w:p>
      <w:pPr>
        <w:spacing w:line="360" w:lineRule="exact"/>
        <w:jc w:val="center"/>
      </w:pPr>
      <w:r>
        <w:rPr>
          <w:rFonts w:hint="eastAsia"/>
          <w:szCs w:val="21"/>
        </w:rPr>
        <w:t xml:space="preserve">                           企业名称：</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ind w:firstLine="420" w:firstLineChars="200"/>
        <w:rPr>
          <w:rFonts w:ascii="宋体" w:hAnsi="宋体"/>
          <w:szCs w:val="21"/>
        </w:rPr>
      </w:pPr>
      <w:r>
        <w:rPr>
          <w:rFonts w:hint="eastAsia" w:ascii="宋体" w:hAnsi="宋体"/>
          <w:szCs w:val="21"/>
        </w:rPr>
        <w:t>备注：</w:t>
      </w:r>
    </w:p>
    <w:p>
      <w:pPr>
        <w:spacing w:line="360" w:lineRule="exact"/>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exact"/>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exact"/>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spacing w:line="360" w:lineRule="exact"/>
        <w:ind w:firstLine="420" w:firstLineChars="200"/>
        <w:rPr>
          <w:rFonts w:ascii="宋体" w:hAnsi="宋体"/>
          <w:szCs w:val="21"/>
        </w:rPr>
      </w:pPr>
    </w:p>
    <w:p>
      <w:pPr>
        <w:spacing w:after="60" w:line="360" w:lineRule="exact"/>
        <w:jc w:val="center"/>
        <w:outlineLvl w:val="3"/>
        <w:rPr>
          <w:b/>
          <w:sz w:val="24"/>
        </w:rPr>
      </w:pPr>
      <w:r>
        <w:rPr>
          <w:rFonts w:hint="eastAsia"/>
          <w:b/>
          <w:sz w:val="24"/>
        </w:rPr>
        <w:t>2、监狱企业声明函</w:t>
      </w:r>
    </w:p>
    <w:p>
      <w:pPr>
        <w:spacing w:after="60" w:line="360" w:lineRule="exact"/>
        <w:ind w:firstLine="420" w:firstLineChars="200"/>
        <w:rPr>
          <w:rFonts w:ascii="宋体" w:hAnsi="宋体"/>
          <w:szCs w:val="21"/>
        </w:rPr>
      </w:pPr>
      <w:r>
        <w:rPr>
          <w:rFonts w:hint="eastAsia" w:ascii="宋体" w:hAnsi="宋体"/>
          <w:szCs w:val="21"/>
        </w:rPr>
        <w:t>本单位郑重声明，根据《关于政府采购支持监狱企业发展有关问题的通知》（财库〔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exact"/>
        <w:jc w:val="center"/>
      </w:pPr>
      <w:r>
        <w:rPr>
          <w:rFonts w:hint="eastAsia"/>
          <w:szCs w:val="21"/>
        </w:rPr>
        <w:t xml:space="preserve">                             单位名称：</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rPr>
          <w:rFonts w:ascii="宋体"/>
          <w:b/>
          <w:szCs w:val="21"/>
        </w:rPr>
      </w:pPr>
      <w:r>
        <w:rPr>
          <w:rFonts w:hint="eastAsia" w:ascii="宋体" w:hAnsi="宋体"/>
          <w:szCs w:val="21"/>
        </w:rPr>
        <w:t xml:space="preserve">                                    </w:t>
      </w:r>
    </w:p>
    <w:p>
      <w:pPr>
        <w:spacing w:after="60" w:line="360" w:lineRule="exact"/>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exact"/>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after="60" w:line="360" w:lineRule="exact"/>
        <w:ind w:firstLine="420" w:firstLineChars="200"/>
        <w:rPr>
          <w:rFonts w:ascii="宋体" w:hAnsi="宋体"/>
          <w:szCs w:val="21"/>
        </w:rPr>
      </w:pPr>
      <w:r>
        <w:rPr>
          <w:rFonts w:hint="eastAsia" w:ascii="宋体" w:hAnsi="宋体"/>
          <w:szCs w:val="21"/>
        </w:rPr>
        <w:t xml:space="preserve">                                     </w:t>
      </w:r>
    </w:p>
    <w:p>
      <w:pPr>
        <w:spacing w:after="60" w:line="360" w:lineRule="exact"/>
        <w:jc w:val="center"/>
        <w:outlineLvl w:val="3"/>
        <w:rPr>
          <w:b/>
          <w:bCs/>
        </w:rPr>
      </w:pPr>
      <w:r>
        <w:rPr>
          <w:rFonts w:hint="eastAsia"/>
          <w:b/>
          <w:sz w:val="24"/>
        </w:rPr>
        <w:t>3、残疾人福利性单位声明函</w:t>
      </w:r>
    </w:p>
    <w:p>
      <w:pPr>
        <w:spacing w:line="360" w:lineRule="exact"/>
        <w:ind w:firstLine="420" w:firstLineChars="200"/>
        <w:jc w:val="left"/>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after="60" w:line="3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after="60" w:line="360" w:lineRule="exact"/>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pStyle w:val="2"/>
      </w:pPr>
    </w:p>
    <w:p>
      <w:pPr>
        <w:spacing w:line="360" w:lineRule="exact"/>
        <w:jc w:val="center"/>
      </w:pPr>
      <w:r>
        <w:rPr>
          <w:rFonts w:hint="eastAsia"/>
          <w:szCs w:val="21"/>
        </w:rPr>
        <w:t xml:space="preserve">                             单位名称：</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
      </w:pPr>
    </w:p>
    <w:p>
      <w:pPr>
        <w:spacing w:line="360" w:lineRule="exact"/>
        <w:ind w:firstLine="424" w:firstLineChars="202"/>
        <w:rPr>
          <w:rFonts w:ascii="宋体" w:hAnsi="宋体"/>
          <w:szCs w:val="21"/>
        </w:rPr>
      </w:pPr>
      <w:r>
        <w:rPr>
          <w:rFonts w:hint="eastAsia" w:ascii="宋体" w:hAnsi="宋体"/>
          <w:szCs w:val="21"/>
        </w:rPr>
        <w:t>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 xml:space="preserve">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                                              </w:t>
      </w:r>
    </w:p>
    <w:p>
      <w:pPr>
        <w:spacing w:after="60"/>
        <w:ind w:firstLine="420" w:firstLineChars="200"/>
        <w:rPr>
          <w:rFonts w:ascii="宋体" w:hAnsi="宋体"/>
          <w:szCs w:val="21"/>
        </w:rPr>
      </w:pPr>
    </w:p>
    <w:p>
      <w:pPr>
        <w:widowControl/>
        <w:jc w:val="left"/>
      </w:pPr>
    </w:p>
    <w:p>
      <w:pPr>
        <w:widowControl/>
        <w:jc w:val="left"/>
        <w:rPr>
          <w:rFonts w:ascii="仿宋_GB2312" w:eastAsia="仿宋_GB2312"/>
          <w:b/>
          <w:color w:val="FF0000"/>
          <w:sz w:val="30"/>
          <w:szCs w:val="30"/>
        </w:rPr>
      </w:pPr>
      <w:r>
        <w:rPr>
          <w:rFonts w:ascii="仿宋_GB2312" w:eastAsia="仿宋_GB2312"/>
          <w:b/>
          <w:color w:val="FF0000"/>
          <w:sz w:val="30"/>
          <w:szCs w:val="30"/>
        </w:rPr>
        <w:br w:type="page"/>
      </w:r>
    </w:p>
    <w:p>
      <w:r>
        <w:rPr>
          <w:rFonts w:hint="eastAsia" w:ascii="仿宋_GB2312" w:eastAsia="仿宋_GB2312"/>
          <w:b/>
          <w:color w:val="FF0000"/>
          <w:sz w:val="30"/>
          <w:szCs w:val="30"/>
        </w:rPr>
        <w:t>投标文件附件（信息不公开部分）：</w:t>
      </w:r>
    </w:p>
    <w:p>
      <w:pPr>
        <w:keepNext/>
        <w:keepLines/>
        <w:spacing w:before="260" w:after="260"/>
        <w:jc w:val="center"/>
        <w:outlineLvl w:val="2"/>
        <w:rPr>
          <w:rFonts w:ascii="黑体" w:hAnsi="宋体" w:eastAsia="黑体"/>
          <w:bCs/>
          <w:kern w:val="0"/>
          <w:sz w:val="24"/>
          <w:szCs w:val="32"/>
        </w:rPr>
      </w:pPr>
      <w:r>
        <w:rPr>
          <w:rFonts w:hint="eastAsia" w:ascii="黑体" w:hAnsi="宋体" w:eastAsia="黑体"/>
          <w:bCs/>
          <w:kern w:val="0"/>
          <w:sz w:val="24"/>
          <w:szCs w:val="32"/>
        </w:rPr>
        <w:t>五、政府采购违法行为风险知悉确认书</w:t>
      </w:r>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keepNext/>
        <w:keepLines/>
        <w:spacing w:before="260" w:after="260"/>
        <w:jc w:val="center"/>
        <w:outlineLvl w:val="2"/>
        <w:rPr>
          <w:rFonts w:ascii="黑体" w:hAnsi="宋体" w:eastAsia="黑体"/>
          <w:bCs/>
          <w:kern w:val="0"/>
          <w:sz w:val="24"/>
          <w:szCs w:val="32"/>
        </w:rPr>
      </w:pPr>
      <w:r>
        <w:rPr>
          <w:rFonts w:hint="eastAsia" w:ascii="黑体" w:hAnsi="宋体" w:eastAsia="黑体"/>
          <w:bCs/>
          <w:kern w:val="0"/>
          <w:sz w:val="24"/>
          <w:szCs w:val="32"/>
        </w:rPr>
        <w:t>六、法定代表人（负责人）资格证明书</w:t>
      </w:r>
    </w:p>
    <w:p>
      <w:pPr>
        <w:rPr>
          <w:sz w:val="24"/>
        </w:rPr>
      </w:pP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w:t>
      </w:r>
      <w:r>
        <w:rPr>
          <w:rFonts w:hint="eastAsia" w:ascii="黑体" w:eastAsia="黑体"/>
          <w:b/>
          <w:kern w:val="0"/>
          <w:sz w:val="24"/>
        </w:rPr>
        <w:t>（负责人）</w:t>
      </w:r>
      <w:r>
        <w:rPr>
          <w:rFonts w:hint="eastAsia"/>
          <w:szCs w:val="21"/>
        </w:rPr>
        <w:t>，特此证明。</w:t>
      </w:r>
    </w:p>
    <w:p>
      <w:pPr>
        <w:spacing w:line="360" w:lineRule="auto"/>
        <w:rPr>
          <w:szCs w:val="21"/>
        </w:rPr>
      </w:pPr>
      <w:r>
        <w:rPr>
          <w:rFonts w:hint="eastAsia"/>
          <w:szCs w:val="21"/>
        </w:rPr>
        <w:t>说明：1、法定代表人为企业事业单位、国家机关、社会团体的主要负责人。</w:t>
      </w:r>
    </w:p>
    <w:p>
      <w:pPr>
        <w:rPr>
          <w:szCs w:val="21"/>
        </w:rPr>
      </w:pPr>
      <w:r>
        <w:rPr>
          <w:rFonts w:hint="eastAsia"/>
          <w:szCs w:val="21"/>
        </w:rPr>
        <w:t xml:space="preserve">      2、内容必须填写真实、清楚，涂改无效，不得转让、买卖。</w:t>
      </w:r>
    </w:p>
    <w:p>
      <w:pPr>
        <w:spacing w:line="360" w:lineRule="auto"/>
        <w:rPr>
          <w:b/>
          <w:szCs w:val="21"/>
        </w:rPr>
      </w:pPr>
    </w:p>
    <w:p>
      <w:pPr>
        <w:spacing w:line="360" w:lineRule="auto"/>
        <w:rPr>
          <w:b/>
          <w:sz w:val="24"/>
        </w:rPr>
      </w:pPr>
      <w:r>
        <w:rPr>
          <w:rFonts w:hint="eastAsia"/>
          <w:b/>
          <w:sz w:val="24"/>
        </w:rPr>
        <w:t>附：要求必须提供法定代表人（负责人）身份证扫描件（正反两面）。</w:t>
      </w:r>
    </w:p>
    <w:p>
      <w:pPr>
        <w:pStyle w:val="2"/>
      </w:pPr>
    </w:p>
    <w:p>
      <w:pPr>
        <w:keepNext/>
        <w:keepLines/>
        <w:spacing w:before="260" w:after="260"/>
        <w:jc w:val="center"/>
        <w:outlineLvl w:val="2"/>
        <w:rPr>
          <w:rFonts w:ascii="黑体" w:hAnsi="宋体" w:eastAsia="黑体"/>
          <w:bCs/>
          <w:sz w:val="24"/>
        </w:rPr>
      </w:pPr>
      <w:r>
        <w:rPr>
          <w:rFonts w:hint="eastAsia" w:ascii="黑体" w:hAnsi="宋体" w:eastAsia="黑体"/>
          <w:bCs/>
          <w:kern w:val="0"/>
          <w:sz w:val="24"/>
        </w:rPr>
        <w:t>七、投标文件签署授权委托书</w:t>
      </w:r>
    </w:p>
    <w:p>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（投标供应商名称）的法定代表人</w:t>
      </w:r>
      <w:r>
        <w:rPr>
          <w:rFonts w:hint="eastAsia" w:ascii="黑体" w:eastAsia="黑体"/>
          <w:b/>
          <w:kern w:val="0"/>
          <w:sz w:val="24"/>
        </w:rPr>
        <w:t>（负责人）</w:t>
      </w:r>
      <w:r>
        <w:rPr>
          <w:rFonts w:hint="eastAsia"/>
          <w:szCs w:val="21"/>
        </w:rPr>
        <w:t>，现授权委托</w:t>
      </w:r>
      <w:r>
        <w:rPr>
          <w:rFonts w:hint="eastAsia"/>
          <w:szCs w:val="21"/>
          <w:u w:val="single"/>
        </w:rPr>
        <w:t xml:space="preserve">            </w:t>
      </w:r>
      <w:r>
        <w:rPr>
          <w:rFonts w:hint="eastAsia"/>
          <w:szCs w:val="21"/>
        </w:rPr>
        <w:t>（姓名）为我公司签署本项目已递交的投标文件的法定代表人的授权委托代理人，代理人全权代表我所签署的本项目已递交的投标文件内容我均承认。</w:t>
      </w:r>
    </w:p>
    <w:p>
      <w:pPr>
        <w:spacing w:line="360" w:lineRule="auto"/>
        <w:ind w:firstLine="420"/>
        <w:rPr>
          <w:szCs w:val="21"/>
        </w:rPr>
      </w:pPr>
      <w:r>
        <w:rPr>
          <w:rFonts w:hint="eastAsia"/>
          <w:szCs w:val="21"/>
        </w:rPr>
        <w:t>代理人无转委托权，特此委托。</w:t>
      </w:r>
    </w:p>
    <w:p>
      <w:pPr>
        <w:spacing w:line="360" w:lineRule="auto"/>
        <w:ind w:firstLine="420"/>
        <w:rPr>
          <w:szCs w:val="21"/>
        </w:rPr>
      </w:pPr>
    </w:p>
    <w:p>
      <w:pPr>
        <w:spacing w:line="360" w:lineRule="auto"/>
        <w:ind w:left="540" w:leftChars="257"/>
        <w:rPr>
          <w:szCs w:val="21"/>
          <w:u w:val="single"/>
        </w:rPr>
      </w:pPr>
      <w:r>
        <w:rPr>
          <w:rFonts w:hint="eastAsia"/>
          <w:szCs w:val="21"/>
        </w:rPr>
        <w:t>代理人：</w:t>
      </w:r>
      <w:r>
        <w:rPr>
          <w:rFonts w:hint="eastAsia"/>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Pr>
        <w:spacing w:line="360" w:lineRule="auto"/>
        <w:ind w:left="540" w:leftChars="257"/>
        <w:rPr>
          <w:szCs w:val="21"/>
          <w:u w:val="single"/>
        </w:rPr>
      </w:pPr>
    </w:p>
    <w:p>
      <w:pPr>
        <w:spacing w:line="360" w:lineRule="auto"/>
        <w:rPr>
          <w:b/>
          <w:sz w:val="24"/>
        </w:rPr>
      </w:pPr>
      <w:r>
        <w:rPr>
          <w:rFonts w:hint="eastAsia"/>
          <w:b/>
          <w:sz w:val="24"/>
        </w:rPr>
        <w:t>附：要求必须提供代理人身份证扫描件（正反两面）。</w:t>
      </w:r>
    </w:p>
    <w:p>
      <w:pPr>
        <w:pStyle w:val="2"/>
      </w:pPr>
    </w:p>
    <w:p>
      <w:pPr>
        <w:keepNext/>
        <w:keepLines/>
        <w:spacing w:before="260" w:after="260"/>
        <w:jc w:val="center"/>
        <w:outlineLvl w:val="2"/>
        <w:rPr>
          <w:rFonts w:ascii="黑体" w:hAnsi="宋体" w:eastAsia="黑体"/>
          <w:bCs/>
          <w:kern w:val="0"/>
          <w:sz w:val="24"/>
        </w:rPr>
      </w:pPr>
      <w:r>
        <w:rPr>
          <w:rFonts w:hint="eastAsia" w:ascii="黑体" w:hAnsi="宋体" w:eastAsia="黑体"/>
          <w:bCs/>
          <w:kern w:val="0"/>
          <w:sz w:val="24"/>
        </w:rPr>
        <w:t>八、实质性条款响应情况表</w:t>
      </w:r>
    </w:p>
    <w:tbl>
      <w:tblPr>
        <w:tblStyle w:val="4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6099"/>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6099" w:type="dxa"/>
          </w:tcPr>
          <w:p>
            <w:pPr>
              <w:adjustRightInd w:val="0"/>
              <w:snapToGrid w:val="0"/>
              <w:spacing w:line="360" w:lineRule="auto"/>
              <w:jc w:val="center"/>
              <w:rPr>
                <w:rFonts w:ascii="宋体" w:hAnsi="宋体"/>
                <w:kern w:val="0"/>
                <w:szCs w:val="21"/>
              </w:rPr>
            </w:pPr>
            <w:r>
              <w:rPr>
                <w:rFonts w:hint="eastAsia" w:ascii="宋体" w:hAnsi="宋体"/>
                <w:kern w:val="0"/>
                <w:szCs w:val="21"/>
              </w:rPr>
              <w:t>采购人要求内容</w:t>
            </w:r>
          </w:p>
        </w:tc>
        <w:tc>
          <w:tcPr>
            <w:tcW w:w="1809" w:type="dxa"/>
          </w:tcPr>
          <w:p>
            <w:pPr>
              <w:adjustRightInd w:val="0"/>
              <w:snapToGrid w:val="0"/>
              <w:spacing w:line="360" w:lineRule="auto"/>
              <w:jc w:val="center"/>
              <w:rPr>
                <w:rFonts w:ascii="宋体" w:hAnsi="宋体"/>
                <w:kern w:val="0"/>
                <w:szCs w:val="21"/>
              </w:rPr>
            </w:pPr>
            <w:r>
              <w:rPr>
                <w:rFonts w:hint="eastAsia" w:ascii="宋体" w:hAnsi="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6099" w:type="dxa"/>
            <w:vAlign w:val="center"/>
          </w:tcPr>
          <w:p>
            <w:pPr>
              <w:spacing w:line="360" w:lineRule="auto"/>
              <w:rPr>
                <w:rFonts w:asciiTheme="minorEastAsia" w:hAnsiTheme="minorEastAsia" w:eastAsiaTheme="minorEastAsia"/>
                <w:bCs/>
                <w:szCs w:val="21"/>
              </w:rPr>
            </w:pPr>
            <w:r>
              <w:rPr>
                <w:rFonts w:hint="eastAsia" w:asciiTheme="minorEastAsia" w:hAnsiTheme="minorEastAsia" w:eastAsiaTheme="minorEastAsia"/>
                <w:szCs w:val="21"/>
              </w:rPr>
              <w:t>关于免费保修期（即疫苗有效期）：从到货日期算起到失效≥6个月，时间自最终验收合格并交付使用之日起计算。</w:t>
            </w:r>
          </w:p>
        </w:tc>
        <w:tc>
          <w:tcPr>
            <w:tcW w:w="1809"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6099" w:type="dxa"/>
            <w:vAlign w:val="center"/>
          </w:tcPr>
          <w:p>
            <w:pPr>
              <w:spacing w:line="360" w:lineRule="auto"/>
              <w:rPr>
                <w:rFonts w:ascii="宋体" w:hAnsi="宋体"/>
                <w:snapToGrid w:val="0"/>
                <w:szCs w:val="21"/>
              </w:rPr>
            </w:pPr>
            <w:r>
              <w:rPr>
                <w:rFonts w:hint="eastAsia" w:asciiTheme="minorEastAsia" w:hAnsiTheme="minorEastAsia" w:eastAsiaTheme="minorEastAsia"/>
                <w:szCs w:val="21"/>
              </w:rPr>
              <w:t>供货时间：合同签订之日起服务期限为1年，一年合同结束后，采购人对中标人进行履约评价，评价合格后续约一年，最多可续约一次，总服务期不超过2年。</w:t>
            </w:r>
          </w:p>
        </w:tc>
        <w:tc>
          <w:tcPr>
            <w:tcW w:w="1809"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3</w:t>
            </w:r>
          </w:p>
        </w:tc>
        <w:tc>
          <w:tcPr>
            <w:tcW w:w="6099" w:type="dxa"/>
            <w:vAlign w:val="center"/>
          </w:tcPr>
          <w:p>
            <w:pPr>
              <w:spacing w:line="360" w:lineRule="auto"/>
              <w:rPr>
                <w:rFonts w:ascii="宋体" w:hAnsi="宋体"/>
                <w:snapToGrid w:val="0"/>
                <w:szCs w:val="21"/>
              </w:rPr>
            </w:pPr>
            <w:r>
              <w:rPr>
                <w:rFonts w:hint="eastAsia" w:asciiTheme="minorEastAsia" w:hAnsiTheme="minorEastAsia" w:eastAsiaTheme="minorEastAsia"/>
                <w:szCs w:val="21"/>
              </w:rPr>
              <w:t>投标人的投标报价超过预算金额或最高单价限价的将导致投标无效。</w:t>
            </w:r>
          </w:p>
        </w:tc>
        <w:tc>
          <w:tcPr>
            <w:tcW w:w="1809" w:type="dxa"/>
          </w:tcPr>
          <w:p>
            <w:pPr>
              <w:adjustRightInd w:val="0"/>
              <w:snapToGrid w:val="0"/>
              <w:spacing w:line="360" w:lineRule="auto"/>
              <w:rPr>
                <w:rFonts w:ascii="宋体" w:hAnsi="宋体"/>
                <w:kern w:val="0"/>
                <w:szCs w:val="21"/>
              </w:rPr>
            </w:pPr>
          </w:p>
        </w:tc>
      </w:tr>
    </w:tbl>
    <w:p>
      <w:pPr>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注：1.“</w:t>
      </w:r>
      <w:r>
        <w:rPr>
          <w:rFonts w:hint="eastAsia" w:ascii="宋体" w:hAnsi="宋体"/>
          <w:kern w:val="0"/>
          <w:szCs w:val="21"/>
        </w:rPr>
        <w:t>采购人要求内容</w:t>
      </w:r>
      <w:r>
        <w:rPr>
          <w:rFonts w:hint="eastAsia" w:asciiTheme="minorEastAsia" w:hAnsiTheme="minorEastAsia" w:eastAsiaTheme="minorEastAsia"/>
          <w:bCs/>
          <w:kern w:val="0"/>
          <w:szCs w:val="21"/>
        </w:rPr>
        <w:t>”为</w:t>
      </w:r>
      <w:r>
        <w:rPr>
          <w:rFonts w:hint="eastAsia" w:asciiTheme="minorEastAsia" w:hAnsiTheme="minorEastAsia" w:eastAsiaTheme="minorEastAsia"/>
          <w:b/>
          <w:szCs w:val="21"/>
          <w:highlight w:val="yellow"/>
        </w:rPr>
        <w:t>“第一册  专用条款/第二章  招标项目需求”</w:t>
      </w:r>
      <w:r>
        <w:rPr>
          <w:rFonts w:hint="eastAsia" w:asciiTheme="minorEastAsia" w:hAnsiTheme="minorEastAsia" w:eastAsiaTheme="minorEastAsia"/>
          <w:bCs/>
          <w:kern w:val="0"/>
          <w:szCs w:val="21"/>
        </w:rPr>
        <w:t>中的不可负偏离条款，即“实质性条款”。</w:t>
      </w:r>
    </w:p>
    <w:p>
      <w:pPr>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2.“投标人响应情况”一栏应如实填写“响应”或“不响应”。</w:t>
      </w:r>
    </w:p>
    <w:p>
      <w:pPr>
        <w:spacing w:line="360" w:lineRule="auto"/>
        <w:rPr>
          <w:rFonts w:ascii="宋体" w:hAnsi="宋体"/>
          <w:szCs w:val="21"/>
        </w:rPr>
      </w:pPr>
      <w:r>
        <w:rPr>
          <w:rFonts w:hint="eastAsia" w:asciiTheme="minorEastAsia" w:hAnsiTheme="minorEastAsia" w:eastAsiaTheme="minorEastAsia"/>
          <w:bCs/>
          <w:kern w:val="0"/>
          <w:szCs w:val="21"/>
        </w:rPr>
        <w:t>3.“实质性条款响应情况表”与投标文件其它内容冲突的，以“实质性条款响应情况表”为准</w:t>
      </w:r>
      <w:r>
        <w:rPr>
          <w:rFonts w:hint="eastAsia" w:ascii="宋体" w:hAnsi="宋体"/>
          <w:szCs w:val="21"/>
        </w:rPr>
        <w:t>。</w:t>
      </w:r>
    </w:p>
    <w:p>
      <w:pPr>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w:t>
      </w:r>
      <w:r>
        <w:rPr>
          <w:rFonts w:hint="eastAsia" w:ascii="宋体" w:hAnsi="宋体"/>
          <w:kern w:val="0"/>
          <w:szCs w:val="21"/>
        </w:rPr>
        <w:t>采购人要求内容</w:t>
      </w:r>
      <w:r>
        <w:rPr>
          <w:rFonts w:hint="eastAsia" w:asciiTheme="minorEastAsia" w:hAnsiTheme="minorEastAsia" w:eastAsiaTheme="minorEastAsia"/>
          <w:bCs/>
          <w:kern w:val="0"/>
          <w:szCs w:val="21"/>
        </w:rPr>
        <w:t>”中涉及提供证明材料的，应附在本表后，未提供证明材料或证明材料与响应情况不相符的，按负偏离处理。</w:t>
      </w:r>
    </w:p>
    <w:p>
      <w:pPr>
        <w:pStyle w:val="5"/>
        <w:jc w:val="center"/>
        <w:rPr>
          <w:rFonts w:ascii="黑体" w:eastAsia="黑体"/>
          <w:b w:val="0"/>
          <w:sz w:val="24"/>
          <w:szCs w:val="24"/>
        </w:rPr>
      </w:pPr>
      <w:r>
        <w:rPr>
          <w:rFonts w:hint="eastAsia" w:ascii="黑体" w:eastAsia="黑体"/>
          <w:b w:val="0"/>
          <w:sz w:val="24"/>
          <w:szCs w:val="24"/>
        </w:rPr>
        <w:t>九、分项报价表</w:t>
      </w:r>
    </w:p>
    <w:p>
      <w:pPr>
        <w:numPr>
          <w:ilvl w:val="0"/>
          <w:numId w:val="8"/>
        </w:numPr>
        <w:jc w:val="center"/>
        <w:rPr>
          <w:b/>
          <w:sz w:val="24"/>
        </w:rPr>
      </w:pPr>
      <w:r>
        <w:rPr>
          <w:rFonts w:hint="eastAsia"/>
          <w:b/>
          <w:sz w:val="24"/>
        </w:rPr>
        <w:t>分项报价表</w:t>
      </w:r>
    </w:p>
    <w:p/>
    <w:tbl>
      <w:tblPr>
        <w:tblStyle w:val="42"/>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15"/>
        <w:gridCol w:w="686"/>
        <w:gridCol w:w="851"/>
        <w:gridCol w:w="850"/>
        <w:gridCol w:w="851"/>
        <w:gridCol w:w="708"/>
        <w:gridCol w:w="567"/>
        <w:gridCol w:w="617"/>
        <w:gridCol w:w="900"/>
        <w:gridCol w:w="90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cs="宋体"/>
                <w:szCs w:val="21"/>
              </w:rPr>
            </w:pPr>
            <w:r>
              <w:rPr>
                <w:rFonts w:hint="eastAsia" w:ascii="宋体" w:hAnsi="宋体" w:cs="宋体"/>
                <w:szCs w:val="21"/>
              </w:rPr>
              <w:t>序号</w:t>
            </w:r>
          </w:p>
        </w:tc>
        <w:tc>
          <w:tcPr>
            <w:tcW w:w="1015" w:type="dxa"/>
            <w:vAlign w:val="center"/>
          </w:tcPr>
          <w:p>
            <w:pPr>
              <w:jc w:val="center"/>
              <w:rPr>
                <w:rFonts w:ascii="宋体" w:hAnsi="宋体" w:cs="宋体"/>
                <w:szCs w:val="21"/>
              </w:rPr>
            </w:pPr>
            <w:r>
              <w:rPr>
                <w:rFonts w:hint="eastAsia" w:ascii="宋体" w:hAnsi="宋体" w:cs="宋体"/>
                <w:szCs w:val="21"/>
              </w:rPr>
              <w:t>货物名称</w:t>
            </w:r>
          </w:p>
        </w:tc>
        <w:tc>
          <w:tcPr>
            <w:tcW w:w="686" w:type="dxa"/>
            <w:vAlign w:val="center"/>
          </w:tcPr>
          <w:p>
            <w:pPr>
              <w:jc w:val="center"/>
              <w:rPr>
                <w:rFonts w:ascii="宋体" w:hAnsi="宋体" w:cs="宋体"/>
                <w:szCs w:val="21"/>
              </w:rPr>
            </w:pPr>
            <w:r>
              <w:rPr>
                <w:rFonts w:hint="eastAsia" w:ascii="宋体" w:hAnsi="宋体" w:cs="宋体"/>
                <w:szCs w:val="21"/>
              </w:rPr>
              <w:t>品牌</w:t>
            </w:r>
          </w:p>
        </w:tc>
        <w:tc>
          <w:tcPr>
            <w:tcW w:w="851" w:type="dxa"/>
            <w:vAlign w:val="center"/>
          </w:tcPr>
          <w:p>
            <w:pPr>
              <w:jc w:val="center"/>
              <w:rPr>
                <w:rFonts w:ascii="宋体" w:hAnsi="宋体" w:cs="宋体"/>
                <w:szCs w:val="21"/>
              </w:rPr>
            </w:pPr>
            <w:r>
              <w:rPr>
                <w:rFonts w:hint="eastAsia" w:ascii="宋体" w:hAnsi="宋体" w:cs="宋体"/>
                <w:szCs w:val="21"/>
              </w:rPr>
              <w:t>规格/型号</w:t>
            </w:r>
          </w:p>
        </w:tc>
        <w:tc>
          <w:tcPr>
            <w:tcW w:w="850" w:type="dxa"/>
            <w:vAlign w:val="center"/>
          </w:tcPr>
          <w:p>
            <w:pPr>
              <w:jc w:val="center"/>
              <w:rPr>
                <w:rFonts w:ascii="宋体" w:hAnsi="宋体" w:cs="宋体"/>
                <w:b/>
                <w:szCs w:val="21"/>
              </w:rPr>
            </w:pPr>
            <w:r>
              <w:rPr>
                <w:rFonts w:hint="eastAsia" w:ascii="宋体" w:hAnsi="宋体" w:cs="宋体"/>
                <w:b/>
                <w:szCs w:val="21"/>
              </w:rPr>
              <w:t>原产地</w:t>
            </w:r>
          </w:p>
        </w:tc>
        <w:tc>
          <w:tcPr>
            <w:tcW w:w="851" w:type="dxa"/>
            <w:vAlign w:val="center"/>
          </w:tcPr>
          <w:p>
            <w:pPr>
              <w:jc w:val="center"/>
              <w:rPr>
                <w:rFonts w:ascii="宋体" w:hAnsi="宋体" w:cs="宋体"/>
                <w:b/>
                <w:szCs w:val="21"/>
              </w:rPr>
            </w:pPr>
            <w:r>
              <w:rPr>
                <w:rFonts w:hint="eastAsia" w:ascii="宋体" w:hAnsi="宋体" w:cs="宋体"/>
                <w:snapToGrid w:val="0"/>
                <w:kern w:val="0"/>
                <w:szCs w:val="21"/>
              </w:rPr>
              <w:t>是否为进口产品</w:t>
            </w:r>
          </w:p>
        </w:tc>
        <w:tc>
          <w:tcPr>
            <w:tcW w:w="708" w:type="dxa"/>
            <w:vAlign w:val="center"/>
          </w:tcPr>
          <w:p>
            <w:pPr>
              <w:jc w:val="center"/>
              <w:rPr>
                <w:rFonts w:ascii="宋体" w:hAnsi="宋体" w:cs="宋体"/>
                <w:szCs w:val="21"/>
              </w:rPr>
            </w:pPr>
            <w:r>
              <w:rPr>
                <w:rFonts w:hint="eastAsia" w:ascii="宋体" w:hAnsi="宋体" w:cs="宋体"/>
                <w:szCs w:val="21"/>
              </w:rPr>
              <w:t>制造商名称</w:t>
            </w:r>
          </w:p>
        </w:tc>
        <w:tc>
          <w:tcPr>
            <w:tcW w:w="567" w:type="dxa"/>
            <w:vAlign w:val="center"/>
          </w:tcPr>
          <w:p>
            <w:pPr>
              <w:jc w:val="center"/>
              <w:rPr>
                <w:rFonts w:ascii="宋体" w:hAnsi="宋体" w:cs="宋体"/>
                <w:szCs w:val="21"/>
              </w:rPr>
            </w:pPr>
            <w:r>
              <w:rPr>
                <w:rFonts w:hint="eastAsia" w:ascii="宋体" w:hAnsi="宋体" w:cs="宋体"/>
                <w:szCs w:val="21"/>
              </w:rPr>
              <w:t>数量</w:t>
            </w:r>
          </w:p>
        </w:tc>
        <w:tc>
          <w:tcPr>
            <w:tcW w:w="617" w:type="dxa"/>
            <w:vAlign w:val="center"/>
          </w:tcPr>
          <w:p>
            <w:pPr>
              <w:jc w:val="center"/>
              <w:rPr>
                <w:rFonts w:ascii="宋体" w:hAnsi="宋体" w:cs="宋体"/>
                <w:szCs w:val="21"/>
              </w:rPr>
            </w:pPr>
            <w:r>
              <w:rPr>
                <w:rFonts w:hint="eastAsia" w:ascii="宋体" w:hAnsi="宋体" w:cs="宋体"/>
                <w:szCs w:val="21"/>
              </w:rPr>
              <w:t>单位</w:t>
            </w:r>
          </w:p>
        </w:tc>
        <w:tc>
          <w:tcPr>
            <w:tcW w:w="900" w:type="dxa"/>
            <w:vAlign w:val="center"/>
          </w:tcPr>
          <w:p>
            <w:pPr>
              <w:jc w:val="center"/>
              <w:rPr>
                <w:rFonts w:ascii="宋体" w:hAnsi="宋体" w:cs="宋体"/>
                <w:szCs w:val="21"/>
              </w:rPr>
            </w:pPr>
            <w:r>
              <w:rPr>
                <w:rFonts w:hint="eastAsia" w:ascii="宋体" w:hAnsi="宋体" w:cs="宋体"/>
                <w:szCs w:val="21"/>
              </w:rPr>
              <w:t>单价(元)</w:t>
            </w:r>
          </w:p>
        </w:tc>
        <w:tc>
          <w:tcPr>
            <w:tcW w:w="900" w:type="dxa"/>
            <w:vAlign w:val="center"/>
          </w:tcPr>
          <w:p>
            <w:pPr>
              <w:jc w:val="center"/>
              <w:rPr>
                <w:rFonts w:ascii="宋体" w:hAnsi="宋体" w:cs="宋体"/>
                <w:szCs w:val="21"/>
              </w:rPr>
            </w:pPr>
            <w:r>
              <w:rPr>
                <w:rFonts w:hint="eastAsia" w:ascii="宋体" w:hAnsi="宋体" w:cs="宋体"/>
                <w:szCs w:val="21"/>
              </w:rPr>
              <w:t>合价(元)</w:t>
            </w:r>
          </w:p>
        </w:tc>
        <w:tc>
          <w:tcPr>
            <w:tcW w:w="956" w:type="dxa"/>
            <w:vAlign w:val="center"/>
          </w:tcPr>
          <w:p>
            <w:pPr>
              <w:jc w:val="center"/>
              <w:rPr>
                <w:rFonts w:ascii="宋体" w:hAnsi="宋体" w:cs="宋体"/>
                <w:szCs w:val="21"/>
              </w:rPr>
            </w:pPr>
            <w:r>
              <w:rPr>
                <w:rFonts w:hint="eastAsia" w:ascii="宋体" w:hAnsi="宋体" w:cs="宋体"/>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cs="宋体"/>
                <w:szCs w:val="21"/>
              </w:rPr>
            </w:pPr>
            <w:r>
              <w:rPr>
                <w:rFonts w:hint="eastAsia" w:ascii="宋体" w:hAnsi="宋体" w:cs="宋体"/>
                <w:szCs w:val="21"/>
              </w:rPr>
              <w:t>1</w:t>
            </w:r>
          </w:p>
        </w:tc>
        <w:tc>
          <w:tcPr>
            <w:tcW w:w="1015" w:type="dxa"/>
          </w:tcPr>
          <w:p>
            <w:pPr>
              <w:rPr>
                <w:rFonts w:ascii="宋体" w:hAnsi="宋体" w:cs="宋体"/>
                <w:szCs w:val="21"/>
              </w:rPr>
            </w:pPr>
            <w:r>
              <w:rPr>
                <w:rFonts w:hint="eastAsia" w:ascii="宋体" w:hAnsi="宋体" w:cs="宋体"/>
                <w:szCs w:val="21"/>
              </w:rPr>
              <w:t>四价流感疫苗</w:t>
            </w:r>
          </w:p>
        </w:tc>
        <w:tc>
          <w:tcPr>
            <w:tcW w:w="686" w:type="dxa"/>
          </w:tcPr>
          <w:p>
            <w:pPr>
              <w:rPr>
                <w:rFonts w:ascii="宋体" w:hAnsi="宋体" w:cs="宋体"/>
                <w:szCs w:val="21"/>
              </w:rPr>
            </w:pPr>
          </w:p>
        </w:tc>
        <w:tc>
          <w:tcPr>
            <w:tcW w:w="851" w:type="dxa"/>
          </w:tcPr>
          <w:p>
            <w:pPr>
              <w:rPr>
                <w:rFonts w:ascii="宋体" w:hAnsi="宋体" w:cs="宋体"/>
                <w:szCs w:val="21"/>
              </w:rPr>
            </w:pPr>
          </w:p>
        </w:tc>
        <w:tc>
          <w:tcPr>
            <w:tcW w:w="850" w:type="dxa"/>
          </w:tcPr>
          <w:p>
            <w:pPr>
              <w:rPr>
                <w:rFonts w:ascii="宋体" w:hAnsi="宋体" w:cs="宋体"/>
                <w:szCs w:val="21"/>
              </w:rPr>
            </w:pPr>
          </w:p>
        </w:tc>
        <w:tc>
          <w:tcPr>
            <w:tcW w:w="851" w:type="dxa"/>
          </w:tcPr>
          <w:p>
            <w:pPr>
              <w:rPr>
                <w:rFonts w:ascii="宋体" w:hAnsi="宋体" w:cs="宋体"/>
                <w:szCs w:val="21"/>
              </w:rPr>
            </w:pPr>
          </w:p>
        </w:tc>
        <w:tc>
          <w:tcPr>
            <w:tcW w:w="708" w:type="dxa"/>
          </w:tcPr>
          <w:p>
            <w:pPr>
              <w:rPr>
                <w:rFonts w:ascii="宋体" w:hAnsi="宋体" w:cs="宋体"/>
                <w:szCs w:val="21"/>
              </w:rPr>
            </w:pPr>
          </w:p>
        </w:tc>
        <w:tc>
          <w:tcPr>
            <w:tcW w:w="567" w:type="dxa"/>
          </w:tcPr>
          <w:p>
            <w:pPr>
              <w:rPr>
                <w:rFonts w:ascii="宋体" w:hAnsi="宋体" w:cs="宋体"/>
                <w:szCs w:val="21"/>
              </w:rPr>
            </w:pPr>
          </w:p>
        </w:tc>
        <w:tc>
          <w:tcPr>
            <w:tcW w:w="617" w:type="dxa"/>
          </w:tcPr>
          <w:p>
            <w:pPr>
              <w:rPr>
                <w:rFonts w:ascii="宋体" w:hAnsi="宋体" w:cs="宋体"/>
                <w:szCs w:val="21"/>
              </w:rPr>
            </w:pPr>
          </w:p>
        </w:tc>
        <w:tc>
          <w:tcPr>
            <w:tcW w:w="900" w:type="dxa"/>
          </w:tcPr>
          <w:p>
            <w:pPr>
              <w:rPr>
                <w:rFonts w:ascii="宋体" w:hAnsi="宋体" w:cs="宋体"/>
                <w:szCs w:val="21"/>
              </w:rPr>
            </w:pPr>
          </w:p>
        </w:tc>
        <w:tc>
          <w:tcPr>
            <w:tcW w:w="900" w:type="dxa"/>
          </w:tcPr>
          <w:p>
            <w:pPr>
              <w:rPr>
                <w:rFonts w:ascii="宋体" w:hAnsi="宋体" w:cs="宋体"/>
                <w:szCs w:val="21"/>
              </w:rPr>
            </w:pPr>
          </w:p>
        </w:tc>
        <w:tc>
          <w:tcPr>
            <w:tcW w:w="956" w:type="dxa"/>
          </w:tcPr>
          <w:p>
            <w:pPr>
              <w:rPr>
                <w:rFonts w:ascii="宋体" w:hAnsi="宋体" w:cs="宋体"/>
                <w:szCs w:val="21"/>
              </w:rPr>
            </w:pPr>
            <w:r>
              <w:rPr>
                <w:rFonts w:asciiTheme="minorEastAsia" w:hAnsiTheme="minorEastAsia" w:eastAsiaTheme="minorEastAsia"/>
                <w:szCs w:val="21"/>
              </w:rPr>
              <w:t>6</w:t>
            </w:r>
            <w:r>
              <w:rPr>
                <w:rFonts w:hint="eastAsia" w:asciiTheme="minorEastAsia" w:hAnsiTheme="minorEastAsia" w:eastAsiaTheme="minorEastAsia"/>
                <w:szCs w:val="21"/>
              </w:rPr>
              <w:t>,</w:t>
            </w:r>
            <w:r>
              <w:rPr>
                <w:rFonts w:asciiTheme="minorEastAsia" w:hAnsiTheme="minorEastAsia" w:eastAsiaTheme="minorEastAsia"/>
                <w:szCs w:val="21"/>
              </w:rPr>
              <w:t>000</w:t>
            </w:r>
            <w:r>
              <w:rPr>
                <w:rFonts w:hint="eastAsia" w:asciiTheme="minorEastAsia" w:hAnsiTheme="minorEastAsia" w:eastAsiaTheme="minorEastAsia"/>
                <w:szCs w:val="21"/>
              </w:rPr>
              <w:t>,0</w:t>
            </w:r>
            <w:r>
              <w:rPr>
                <w:rFonts w:asciiTheme="minorEastAsia" w:hAnsiTheme="minorEastAsia" w:eastAsiaTheme="minorEastAsia"/>
                <w:szCs w:val="21"/>
              </w:rPr>
              <w:t>0</w:t>
            </w:r>
            <w:r>
              <w:rPr>
                <w:rFonts w:hint="eastAsia" w:asciiTheme="minorEastAsia" w:hAnsiTheme="minorEastAsia" w:eastAsiaTheme="minorEastAsia"/>
                <w:szCs w:val="21"/>
              </w:rPr>
              <w:t>0.</w:t>
            </w:r>
            <w:r>
              <w:rPr>
                <w:rFonts w:asciiTheme="minorEastAsia" w:hAnsiTheme="minorEastAsia" w:eastAsiaTheme="minorEastAsia"/>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441" w:type="dxa"/>
            <w:gridSpan w:val="12"/>
            <w:vAlign w:val="center"/>
          </w:tcPr>
          <w:p>
            <w:pPr>
              <w:rPr>
                <w:rFonts w:ascii="宋体" w:hAnsi="宋体" w:cs="宋体"/>
                <w:szCs w:val="21"/>
              </w:rPr>
            </w:pPr>
            <w:r>
              <w:rPr>
                <w:rFonts w:hint="eastAsia" w:ascii="宋体" w:hAnsi="宋体" w:cs="宋体"/>
                <w:szCs w:val="21"/>
              </w:rPr>
              <w:t>合计（即：投标总价；币种：人民币；单位：元）：大写：</w:t>
            </w:r>
          </w:p>
        </w:tc>
      </w:tr>
    </w:tbl>
    <w:p>
      <w:pPr>
        <w:spacing w:line="300" w:lineRule="auto"/>
        <w:rPr>
          <w:rFonts w:ascii="宋体" w:hAnsi="宋体"/>
          <w:szCs w:val="21"/>
        </w:rPr>
      </w:pPr>
    </w:p>
    <w:p>
      <w:pPr>
        <w:spacing w:line="300" w:lineRule="auto"/>
        <w:rPr>
          <w:rFonts w:ascii="宋体" w:hAnsi="宋体"/>
          <w:szCs w:val="21"/>
        </w:rPr>
      </w:pPr>
      <w:r>
        <w:rPr>
          <w:rFonts w:hint="eastAsia" w:ascii="宋体" w:hAnsi="宋体"/>
          <w:szCs w:val="21"/>
        </w:rPr>
        <w:t xml:space="preserve">注：1. 请根据“第二章 招标项目需求” </w:t>
      </w:r>
      <w:r>
        <w:rPr>
          <w:rFonts w:hint="eastAsia" w:asciiTheme="minorEastAsia" w:hAnsiTheme="minorEastAsia" w:eastAsiaTheme="minorEastAsia"/>
          <w:b/>
          <w:szCs w:val="21"/>
          <w:highlight w:val="yellow"/>
        </w:rPr>
        <w:t>“二、货物清单”中的“（二）货物清单明细”</w:t>
      </w:r>
      <w:r>
        <w:rPr>
          <w:rFonts w:hint="eastAsia" w:ascii="宋体" w:hAnsi="宋体"/>
          <w:szCs w:val="21"/>
        </w:rPr>
        <w:t>填写；本表格式不得修改。</w:t>
      </w:r>
    </w:p>
    <w:p>
      <w:pPr>
        <w:spacing w:line="300" w:lineRule="auto"/>
        <w:rPr>
          <w:rFonts w:ascii="宋体" w:hAnsi="宋体"/>
          <w:szCs w:val="21"/>
        </w:rPr>
      </w:pPr>
      <w:r>
        <w:rPr>
          <w:rFonts w:ascii="宋体" w:hAnsi="宋体"/>
          <w:szCs w:val="21"/>
        </w:rPr>
        <w:t xml:space="preserve">    2</w:t>
      </w:r>
      <w:r>
        <w:rPr>
          <w:rFonts w:hint="eastAsia" w:ascii="宋体" w:hAnsi="宋体"/>
          <w:szCs w:val="21"/>
        </w:rPr>
        <w:t>. 所有价格应按“招标文件”中规定的货币单位填写；投标总价应为以上各分项价格之和；投标总价和项目报价表中单个采购预算条目报价均不得超过对应的财政预算限额，否则将导致无效投标。</w:t>
      </w:r>
    </w:p>
    <w:p>
      <w:pPr>
        <w:spacing w:line="300" w:lineRule="auto"/>
        <w:ind w:firstLine="420" w:firstLineChars="200"/>
        <w:rPr>
          <w:rFonts w:ascii="宋体" w:hAnsi="宋体"/>
          <w:szCs w:val="21"/>
        </w:rPr>
      </w:pPr>
      <w:r>
        <w:rPr>
          <w:rFonts w:hint="eastAsia" w:ascii="宋体" w:hAnsi="宋体"/>
          <w:szCs w:val="21"/>
        </w:rPr>
        <w:t>3.</w:t>
      </w:r>
      <w:r>
        <w:rPr>
          <w:rFonts w:ascii="宋体" w:hAnsi="宋体"/>
          <w:szCs w:val="21"/>
        </w:rPr>
        <w:t xml:space="preserve"> </w:t>
      </w:r>
      <w:r>
        <w:rPr>
          <w:rFonts w:hint="eastAsia" w:ascii="宋体" w:hAnsi="宋体"/>
          <w:szCs w:val="21"/>
        </w:rPr>
        <w:t>单价、合价和投标总价为包干价，即三者均应包含设备的价款、包装、运输、装卸、安装、调试、技术指导、培训、咨询、服务、保险、税费、检测、验收合格交付使用之前以及技术和售后服务等其他各项有关费用。</w:t>
      </w:r>
    </w:p>
    <w:p>
      <w:pPr>
        <w:spacing w:line="300" w:lineRule="auto"/>
        <w:ind w:firstLine="420" w:firstLineChars="200"/>
        <w:rPr>
          <w:rFonts w:ascii="宋体" w:hAnsi="宋体"/>
          <w:szCs w:val="21"/>
        </w:rPr>
      </w:pPr>
      <w:r>
        <w:rPr>
          <w:rFonts w:hint="eastAsia" w:ascii="宋体" w:hAnsi="宋体"/>
          <w:szCs w:val="21"/>
        </w:rPr>
        <w:t>4.</w:t>
      </w:r>
      <w:r>
        <w:rPr>
          <w:rFonts w:ascii="宋体" w:hAnsi="宋体"/>
          <w:szCs w:val="21"/>
        </w:rPr>
        <w:t xml:space="preserve"> </w:t>
      </w:r>
      <w:r>
        <w:rPr>
          <w:rFonts w:hint="eastAsia" w:ascii="宋体" w:hAnsi="宋体"/>
          <w:szCs w:val="21"/>
        </w:rPr>
        <w:t>开标一览表的投标总价必须与项目报价表的投标总价一致。</w:t>
      </w:r>
    </w:p>
    <w:p>
      <w:pPr>
        <w:spacing w:line="300" w:lineRule="auto"/>
        <w:ind w:firstLine="411" w:firstLineChars="196"/>
        <w:rPr>
          <w:rFonts w:ascii="宋体" w:hAnsi="宋体"/>
          <w:szCs w:val="21"/>
        </w:rPr>
      </w:pPr>
      <w:r>
        <w:rPr>
          <w:rFonts w:hint="eastAsia" w:ascii="宋体" w:hAnsi="宋体"/>
          <w:szCs w:val="21"/>
        </w:rPr>
        <w:t>5.</w:t>
      </w:r>
      <w:r>
        <w:rPr>
          <w:rFonts w:ascii="宋体" w:hAnsi="宋体"/>
          <w:szCs w:val="21"/>
        </w:rPr>
        <w:t xml:space="preserve"> </w:t>
      </w:r>
      <w:r>
        <w:rPr>
          <w:rFonts w:hint="eastAsia" w:ascii="宋体" w:hAnsi="宋体"/>
          <w:szCs w:val="21"/>
        </w:rPr>
        <w:t>“原产地”是指该产品的实际生产加工地，而非品牌总公司所在地。</w:t>
      </w:r>
    </w:p>
    <w:p>
      <w:pPr>
        <w:spacing w:line="300" w:lineRule="auto"/>
        <w:ind w:firstLine="411" w:firstLineChars="196"/>
        <w:rPr>
          <w:rFonts w:ascii="宋体" w:hAnsi="宋体"/>
          <w:szCs w:val="21"/>
        </w:rPr>
      </w:pPr>
      <w:r>
        <w:rPr>
          <w:rFonts w:hint="eastAsia" w:ascii="宋体" w:hAnsi="宋体"/>
          <w:szCs w:val="21"/>
        </w:rPr>
        <w:t>6. 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spacing w:line="300" w:lineRule="auto"/>
        <w:ind w:firstLine="411" w:firstLineChars="196"/>
        <w:rPr>
          <w:rFonts w:ascii="宋体" w:hAnsi="宋体"/>
          <w:szCs w:val="21"/>
        </w:rPr>
      </w:pPr>
      <w:r>
        <w:rPr>
          <w:rFonts w:hint="eastAsia" w:ascii="宋体" w:hAnsi="宋体"/>
          <w:szCs w:val="21"/>
        </w:rPr>
        <w:t>7.</w:t>
      </w:r>
      <w:r>
        <w:rPr>
          <w:rFonts w:hint="eastAsia"/>
          <w:szCs w:val="21"/>
        </w:rPr>
        <w:t xml:space="preserve"> </w:t>
      </w:r>
      <w:r>
        <w:rPr>
          <w:rFonts w:hint="eastAsia" w:ascii="宋体" w:hAnsi="宋体"/>
          <w:szCs w:val="21"/>
        </w:rPr>
        <w:t>如所投产品属于定制类的非量产货物，投标供应商无需填写规格/型号等信息，但必须注明“定制”，否则该产品技术参数按负偏离处理。</w:t>
      </w:r>
    </w:p>
    <w:p>
      <w:pPr>
        <w:spacing w:line="300" w:lineRule="auto"/>
        <w:ind w:firstLine="411" w:firstLineChars="196"/>
        <w:rPr>
          <w:rFonts w:ascii="宋体" w:hAnsi="宋体"/>
          <w:b/>
          <w:sz w:val="24"/>
        </w:rPr>
      </w:pPr>
      <w:r>
        <w:rPr>
          <w:rFonts w:hint="eastAsia" w:ascii="宋体" w:hAnsi="宋体"/>
          <w:szCs w:val="21"/>
        </w:rPr>
        <w:t xml:space="preserve">8. </w:t>
      </w:r>
      <w:r>
        <w:rPr>
          <w:rFonts w:hint="eastAsia" w:asciiTheme="minorEastAsia" w:hAnsiTheme="minorEastAsia" w:eastAsiaTheme="minorEastAsia"/>
          <w:bCs/>
          <w:kern w:val="0"/>
          <w:szCs w:val="21"/>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00" w:lineRule="auto"/>
        <w:ind w:firstLine="482" w:firstLineChars="200"/>
        <w:jc w:val="center"/>
        <w:rPr>
          <w:rFonts w:hAnsi="宋体"/>
          <w:b/>
          <w:bCs/>
          <w:sz w:val="24"/>
        </w:rPr>
      </w:pPr>
    </w:p>
    <w:p>
      <w:pPr>
        <w:spacing w:line="300" w:lineRule="auto"/>
        <w:ind w:firstLine="482" w:firstLineChars="200"/>
        <w:jc w:val="center"/>
        <w:rPr>
          <w:rFonts w:hAnsi="宋体"/>
          <w:b/>
          <w:bCs/>
          <w:sz w:val="24"/>
        </w:rPr>
      </w:pPr>
      <w:r>
        <w:rPr>
          <w:rFonts w:hint="eastAsia" w:hAnsi="宋体"/>
          <w:b/>
          <w:bCs/>
          <w:sz w:val="24"/>
        </w:rPr>
        <w:t>（二）可选配件报价清单（不包括在总报价内）</w:t>
      </w:r>
    </w:p>
    <w:p>
      <w:pPr>
        <w:spacing w:line="300" w:lineRule="auto"/>
        <w:ind w:firstLine="422" w:firstLineChars="200"/>
        <w:rPr>
          <w:rFonts w:hAnsi="宋体"/>
          <w:b/>
          <w:bCs/>
          <w:szCs w:val="21"/>
        </w:rPr>
      </w:pPr>
      <w:r>
        <w:rPr>
          <w:rFonts w:hint="eastAsia" w:hAnsi="宋体"/>
          <w:b/>
          <w:bCs/>
          <w:szCs w:val="21"/>
        </w:rPr>
        <w:t>注：格式参照《（一）分项报价表》表格，但须提供相应的品牌、规格型号、原产地、单价等详细信息</w:t>
      </w:r>
    </w:p>
    <w:p>
      <w:pPr>
        <w:spacing w:line="300" w:lineRule="auto"/>
        <w:ind w:firstLine="480" w:firstLineChars="200"/>
        <w:jc w:val="center"/>
        <w:rPr>
          <w:sz w:val="24"/>
        </w:rPr>
      </w:pPr>
    </w:p>
    <w:p>
      <w:pPr>
        <w:spacing w:line="300" w:lineRule="auto"/>
        <w:ind w:firstLine="482" w:firstLineChars="200"/>
        <w:jc w:val="center"/>
        <w:rPr>
          <w:sz w:val="24"/>
        </w:rPr>
      </w:pPr>
      <w:r>
        <w:rPr>
          <w:rFonts w:hint="eastAsia"/>
          <w:b/>
          <w:bCs/>
          <w:sz w:val="24"/>
        </w:rPr>
        <w:t>（三）供应商认为需要涉及的其他内容报价清单</w:t>
      </w:r>
    </w:p>
    <w:p>
      <w:pPr>
        <w:pStyle w:val="5"/>
        <w:jc w:val="center"/>
        <w:rPr>
          <w:rFonts w:ascii="黑体" w:eastAsia="黑体"/>
          <w:b w:val="0"/>
          <w:sz w:val="24"/>
          <w:szCs w:val="24"/>
        </w:rPr>
      </w:pPr>
      <w:r>
        <w:rPr>
          <w:rFonts w:hint="eastAsia" w:ascii="黑体" w:eastAsia="黑体"/>
          <w:b w:val="0"/>
          <w:sz w:val="24"/>
          <w:szCs w:val="24"/>
        </w:rPr>
        <w:t>十、技术规格偏离表</w:t>
      </w:r>
    </w:p>
    <w:tbl>
      <w:tblPr>
        <w:tblStyle w:val="42"/>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798"/>
        <w:gridCol w:w="1356"/>
        <w:gridCol w:w="1356"/>
        <w:gridCol w:w="1484"/>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jc w:val="center"/>
              <w:rPr>
                <w:sz w:val="24"/>
              </w:rPr>
            </w:pPr>
            <w:r>
              <w:rPr>
                <w:rFonts w:hint="eastAsia"/>
                <w:sz w:val="24"/>
              </w:rPr>
              <w:t>序号</w:t>
            </w:r>
          </w:p>
        </w:tc>
        <w:tc>
          <w:tcPr>
            <w:tcW w:w="1798" w:type="dxa"/>
            <w:vAlign w:val="center"/>
          </w:tcPr>
          <w:p>
            <w:pPr>
              <w:jc w:val="center"/>
              <w:rPr>
                <w:sz w:val="24"/>
              </w:rPr>
            </w:pPr>
            <w:r>
              <w:rPr>
                <w:rFonts w:hint="eastAsia"/>
                <w:sz w:val="24"/>
              </w:rPr>
              <w:t>货物名称</w:t>
            </w:r>
          </w:p>
        </w:tc>
        <w:tc>
          <w:tcPr>
            <w:tcW w:w="1356" w:type="dxa"/>
            <w:vAlign w:val="center"/>
          </w:tcPr>
          <w:p>
            <w:pPr>
              <w:jc w:val="center"/>
              <w:rPr>
                <w:sz w:val="24"/>
              </w:rPr>
            </w:pPr>
            <w:r>
              <w:rPr>
                <w:rFonts w:hint="eastAsia"/>
                <w:sz w:val="24"/>
              </w:rPr>
              <w:t>招标技术要求</w:t>
            </w:r>
          </w:p>
        </w:tc>
        <w:tc>
          <w:tcPr>
            <w:tcW w:w="1356" w:type="dxa"/>
            <w:vAlign w:val="center"/>
          </w:tcPr>
          <w:p>
            <w:pPr>
              <w:jc w:val="center"/>
              <w:rPr>
                <w:sz w:val="24"/>
              </w:rPr>
            </w:pPr>
            <w:r>
              <w:rPr>
                <w:rFonts w:hint="eastAsia"/>
                <w:sz w:val="24"/>
              </w:rPr>
              <w:t>投标技术响应</w:t>
            </w:r>
          </w:p>
        </w:tc>
        <w:tc>
          <w:tcPr>
            <w:tcW w:w="1484" w:type="dxa"/>
            <w:vAlign w:val="center"/>
          </w:tcPr>
          <w:p>
            <w:pPr>
              <w:jc w:val="center"/>
              <w:rPr>
                <w:sz w:val="24"/>
              </w:rPr>
            </w:pPr>
            <w:r>
              <w:rPr>
                <w:rFonts w:hint="eastAsia"/>
                <w:sz w:val="24"/>
              </w:rPr>
              <w:t>偏离情况</w:t>
            </w:r>
          </w:p>
        </w:tc>
        <w:tc>
          <w:tcPr>
            <w:tcW w:w="1530" w:type="dxa"/>
            <w:vAlign w:val="center"/>
          </w:tcPr>
          <w:p>
            <w:pPr>
              <w:jc w:val="center"/>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Pr>
          <w:p>
            <w:pPr>
              <w:rPr>
                <w:sz w:val="24"/>
              </w:rPr>
            </w:pPr>
          </w:p>
        </w:tc>
        <w:tc>
          <w:tcPr>
            <w:tcW w:w="1798"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r>
              <w:rPr>
                <w:rFonts w:hint="eastAsia"/>
                <w:szCs w:val="21"/>
              </w:rPr>
              <w:t>如需附证明文件，应在“说明”栏填写证明文件对应名称和页码。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Pr>
          <w:p>
            <w:pPr>
              <w:rPr>
                <w:sz w:val="24"/>
              </w:rPr>
            </w:pPr>
          </w:p>
        </w:tc>
        <w:tc>
          <w:tcPr>
            <w:tcW w:w="1798"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Pr>
          <w:p>
            <w:pPr>
              <w:rPr>
                <w:sz w:val="24"/>
              </w:rPr>
            </w:pPr>
          </w:p>
        </w:tc>
        <w:tc>
          <w:tcPr>
            <w:tcW w:w="1798"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tcPr>
          <w:p>
            <w:pPr>
              <w:rPr>
                <w:sz w:val="24"/>
              </w:rPr>
            </w:pPr>
          </w:p>
        </w:tc>
        <w:tc>
          <w:tcPr>
            <w:tcW w:w="1798" w:type="dxa"/>
          </w:tcPr>
          <w:p>
            <w:pPr>
              <w:rPr>
                <w:sz w:val="24"/>
              </w:rPr>
            </w:pPr>
          </w:p>
        </w:tc>
        <w:tc>
          <w:tcPr>
            <w:tcW w:w="1356" w:type="dxa"/>
          </w:tcPr>
          <w:p>
            <w:pPr>
              <w:rPr>
                <w:sz w:val="24"/>
              </w:rPr>
            </w:pPr>
          </w:p>
        </w:tc>
        <w:tc>
          <w:tcPr>
            <w:tcW w:w="1356" w:type="dxa"/>
          </w:tcPr>
          <w:p>
            <w:pPr>
              <w:rPr>
                <w:sz w:val="24"/>
              </w:rPr>
            </w:pPr>
          </w:p>
        </w:tc>
        <w:tc>
          <w:tcPr>
            <w:tcW w:w="1484" w:type="dxa"/>
          </w:tcPr>
          <w:p>
            <w:pPr>
              <w:rPr>
                <w:sz w:val="24"/>
              </w:rPr>
            </w:pPr>
          </w:p>
        </w:tc>
        <w:tc>
          <w:tcPr>
            <w:tcW w:w="1530" w:type="dxa"/>
          </w:tcPr>
          <w:p>
            <w:pPr>
              <w:rPr>
                <w:sz w:val="24"/>
              </w:rPr>
            </w:pPr>
          </w:p>
        </w:tc>
      </w:tr>
    </w:tbl>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备注：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1、“招标技术要求”一栏</w:t>
      </w:r>
      <w:r>
        <w:rPr>
          <w:rFonts w:asciiTheme="minorEastAsia" w:hAnsiTheme="minorEastAsia" w:eastAsiaTheme="minorEastAsia"/>
          <w:bCs/>
          <w:kern w:val="0"/>
          <w:szCs w:val="21"/>
        </w:rPr>
        <w:t>应</w:t>
      </w:r>
      <w:r>
        <w:rPr>
          <w:rFonts w:hint="eastAsia" w:asciiTheme="minorEastAsia" w:hAnsiTheme="minorEastAsia" w:eastAsiaTheme="minorEastAsia"/>
          <w:bCs/>
          <w:kern w:val="0"/>
          <w:szCs w:val="21"/>
        </w:rPr>
        <w:t>根据</w:t>
      </w:r>
      <w:r>
        <w:rPr>
          <w:rFonts w:hint="eastAsia" w:asciiTheme="minorEastAsia" w:hAnsiTheme="minorEastAsia" w:eastAsiaTheme="minorEastAsia"/>
          <w:b/>
          <w:szCs w:val="21"/>
          <w:highlight w:val="yellow"/>
        </w:rPr>
        <w:t>招标文件第二章“四、具体技术要求”</w:t>
      </w:r>
      <w:r>
        <w:rPr>
          <w:rFonts w:hint="eastAsia" w:asciiTheme="minorEastAsia" w:hAnsiTheme="minorEastAsia" w:eastAsiaTheme="minorEastAsia"/>
          <w:szCs w:val="21"/>
        </w:rPr>
        <w:t>的内容填写。</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2、“投标技术响应”一栏详细填写投标产品的具体参数，并应对照招标技术要求一一对应响应。</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3、“偏离情况”一栏应如实填写“正偏离”、“负偏离”或“无偏离”。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4. </w:t>
      </w:r>
      <w:r>
        <w:rPr>
          <w:rFonts w:hint="eastAsia" w:asciiTheme="minorEastAsia" w:hAnsiTheme="minorEastAsia" w:eastAsiaTheme="minorEastAsia"/>
          <w:bCs/>
          <w:kern w:val="0"/>
          <w:szCs w:val="21"/>
        </w:rPr>
        <w:t>对于实质性</w:t>
      </w:r>
      <w:r>
        <w:rPr>
          <w:rFonts w:hint="eastAsia" w:asciiTheme="minorEastAsia" w:hAnsiTheme="minorEastAsia" w:eastAsiaTheme="minorEastAsia"/>
          <w:szCs w:val="21"/>
        </w:rPr>
        <w:t>条款，投标文件响应为“负偏离”的，投标文件将按无效投标处理。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b/>
          <w:szCs w:val="21"/>
        </w:rPr>
        <w:t>投标产品的技术参数应按</w:t>
      </w:r>
      <w:r>
        <w:rPr>
          <w:rFonts w:hint="eastAsia" w:asciiTheme="minorEastAsia" w:hAnsiTheme="minorEastAsia" w:eastAsiaTheme="minorEastAsia"/>
          <w:b/>
          <w:szCs w:val="21"/>
          <w:highlight w:val="yellow"/>
        </w:rPr>
        <w:t>招标文件第二章“四、具体技术要求”</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指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5、证明资料（均为扫描件）的提供要求：</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产品说明书或彩页应为制造商公布或出具的中文产品说明书或彩页；提供外文说明书或彩页的，需同时提供加盖制造商公章的对应中文翻译说明，评标依据以中文翻译内容为准，外文说明书或彩页仅供参考；产品说明书或彩页的尺寸和清晰度应该能够在电脑上被阅读、识别和判断；</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（2）我国政府机构出具的产品检验和核准证件应为证件正面、背面和附件标注的全部具体内容；产品检验和核准证件的尺寸和清晰度应该能够在电脑上被阅读、识别和判断。</w:t>
      </w:r>
    </w:p>
    <w:p>
      <w:pPr>
        <w:rPr>
          <w:sz w:val="24"/>
        </w:rPr>
      </w:pPr>
    </w:p>
    <w:p>
      <w:pPr>
        <w:pStyle w:val="5"/>
        <w:jc w:val="center"/>
        <w:rPr>
          <w:rFonts w:ascii="黑体" w:eastAsia="黑体"/>
          <w:b w:val="0"/>
          <w:bCs w:val="0"/>
          <w:sz w:val="24"/>
          <w:szCs w:val="20"/>
        </w:rPr>
      </w:pPr>
      <w:r>
        <w:rPr>
          <w:rFonts w:hint="eastAsia" w:ascii="黑体" w:eastAsia="黑体"/>
          <w:b w:val="0"/>
          <w:bCs w:val="0"/>
          <w:sz w:val="24"/>
          <w:szCs w:val="20"/>
        </w:rPr>
        <w:t>十一、商务条款偏离表</w:t>
      </w:r>
    </w:p>
    <w:tbl>
      <w:tblPr>
        <w:tblStyle w:val="42"/>
        <w:tblpPr w:leftFromText="180" w:rightFromText="180" w:vertAnchor="text" w:tblpXSpec="center" w:tblpY="1"/>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80"/>
        <w:gridCol w:w="1980"/>
        <w:gridCol w:w="1440"/>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jc w:val="center"/>
              <w:rPr>
                <w:sz w:val="24"/>
              </w:rPr>
            </w:pPr>
            <w:r>
              <w:rPr>
                <w:rFonts w:hint="eastAsia"/>
                <w:sz w:val="24"/>
              </w:rPr>
              <w:t>序号</w:t>
            </w:r>
          </w:p>
        </w:tc>
        <w:tc>
          <w:tcPr>
            <w:tcW w:w="1980" w:type="dxa"/>
          </w:tcPr>
          <w:p>
            <w:pPr>
              <w:jc w:val="center"/>
              <w:rPr>
                <w:sz w:val="24"/>
              </w:rPr>
            </w:pPr>
            <w:r>
              <w:rPr>
                <w:rFonts w:hint="eastAsia"/>
                <w:sz w:val="24"/>
              </w:rPr>
              <w:t>招标商务条款</w:t>
            </w:r>
          </w:p>
        </w:tc>
        <w:tc>
          <w:tcPr>
            <w:tcW w:w="1980" w:type="dxa"/>
          </w:tcPr>
          <w:p>
            <w:pPr>
              <w:jc w:val="center"/>
              <w:rPr>
                <w:sz w:val="24"/>
              </w:rPr>
            </w:pPr>
            <w:r>
              <w:rPr>
                <w:rFonts w:hint="eastAsia"/>
                <w:sz w:val="24"/>
              </w:rPr>
              <w:t>投标商务响应</w:t>
            </w:r>
          </w:p>
        </w:tc>
        <w:tc>
          <w:tcPr>
            <w:tcW w:w="1440" w:type="dxa"/>
          </w:tcPr>
          <w:p>
            <w:pPr>
              <w:jc w:val="center"/>
              <w:rPr>
                <w:sz w:val="24"/>
              </w:rPr>
            </w:pPr>
            <w:r>
              <w:rPr>
                <w:rFonts w:hint="eastAsia"/>
              </w:rPr>
              <w:t>偏离情况</w:t>
            </w:r>
          </w:p>
        </w:tc>
        <w:tc>
          <w:tcPr>
            <w:tcW w:w="2385" w:type="dxa"/>
          </w:tcPr>
          <w:p>
            <w:pPr>
              <w:jc w:val="center"/>
              <w:rPr>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p>
        </w:tc>
        <w:tc>
          <w:tcPr>
            <w:tcW w:w="1980" w:type="dxa"/>
          </w:tcPr>
          <w:p>
            <w:pPr>
              <w:rPr>
                <w:sz w:val="24"/>
              </w:rPr>
            </w:pPr>
          </w:p>
        </w:tc>
        <w:tc>
          <w:tcPr>
            <w:tcW w:w="1980" w:type="dxa"/>
          </w:tcPr>
          <w:p>
            <w:pPr>
              <w:rPr>
                <w:sz w:val="24"/>
              </w:rPr>
            </w:pPr>
          </w:p>
        </w:tc>
        <w:tc>
          <w:tcPr>
            <w:tcW w:w="1440" w:type="dxa"/>
          </w:tcPr>
          <w:p>
            <w:pPr>
              <w:rPr>
                <w:sz w:val="24"/>
              </w:rPr>
            </w:pPr>
          </w:p>
        </w:tc>
        <w:tc>
          <w:tcPr>
            <w:tcW w:w="2385" w:type="dxa"/>
          </w:tcPr>
          <w:p>
            <w:pPr>
              <w:rPr>
                <w:sz w:val="24"/>
              </w:rPr>
            </w:pPr>
            <w:r>
              <w:rPr>
                <w:rFonts w:hint="eastAsia"/>
                <w:szCs w:val="21"/>
              </w:rPr>
              <w:t>如需附证明文件，应在“说明”栏填写证明文件对应名称和页码。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p>
        </w:tc>
        <w:tc>
          <w:tcPr>
            <w:tcW w:w="1980" w:type="dxa"/>
          </w:tcPr>
          <w:p>
            <w:pPr>
              <w:rPr>
                <w:sz w:val="24"/>
              </w:rPr>
            </w:pPr>
          </w:p>
        </w:tc>
        <w:tc>
          <w:tcPr>
            <w:tcW w:w="1980" w:type="dxa"/>
          </w:tcPr>
          <w:p>
            <w:pPr>
              <w:rPr>
                <w:sz w:val="24"/>
              </w:rPr>
            </w:pPr>
          </w:p>
        </w:tc>
        <w:tc>
          <w:tcPr>
            <w:tcW w:w="1440" w:type="dxa"/>
          </w:tcPr>
          <w:p>
            <w:pPr>
              <w:rPr>
                <w:sz w:val="24"/>
              </w:rPr>
            </w:pPr>
          </w:p>
        </w:tc>
        <w:tc>
          <w:tcPr>
            <w:tcW w:w="23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p>
        </w:tc>
        <w:tc>
          <w:tcPr>
            <w:tcW w:w="1980" w:type="dxa"/>
          </w:tcPr>
          <w:p>
            <w:pPr>
              <w:rPr>
                <w:sz w:val="24"/>
              </w:rPr>
            </w:pPr>
          </w:p>
        </w:tc>
        <w:tc>
          <w:tcPr>
            <w:tcW w:w="1980" w:type="dxa"/>
          </w:tcPr>
          <w:p>
            <w:pPr>
              <w:rPr>
                <w:sz w:val="24"/>
              </w:rPr>
            </w:pPr>
          </w:p>
        </w:tc>
        <w:tc>
          <w:tcPr>
            <w:tcW w:w="1440" w:type="dxa"/>
          </w:tcPr>
          <w:p>
            <w:pPr>
              <w:rPr>
                <w:sz w:val="24"/>
              </w:rPr>
            </w:pPr>
          </w:p>
        </w:tc>
        <w:tc>
          <w:tcPr>
            <w:tcW w:w="23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p>
        </w:tc>
        <w:tc>
          <w:tcPr>
            <w:tcW w:w="1980" w:type="dxa"/>
          </w:tcPr>
          <w:p>
            <w:pPr>
              <w:rPr>
                <w:sz w:val="24"/>
              </w:rPr>
            </w:pPr>
          </w:p>
        </w:tc>
        <w:tc>
          <w:tcPr>
            <w:tcW w:w="1980" w:type="dxa"/>
          </w:tcPr>
          <w:p>
            <w:pPr>
              <w:rPr>
                <w:sz w:val="24"/>
              </w:rPr>
            </w:pPr>
          </w:p>
        </w:tc>
        <w:tc>
          <w:tcPr>
            <w:tcW w:w="1440" w:type="dxa"/>
          </w:tcPr>
          <w:p>
            <w:pPr>
              <w:rPr>
                <w:sz w:val="24"/>
              </w:rPr>
            </w:pPr>
          </w:p>
        </w:tc>
        <w:tc>
          <w:tcPr>
            <w:tcW w:w="2385"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sz w:val="24"/>
              </w:rPr>
            </w:pPr>
          </w:p>
        </w:tc>
        <w:tc>
          <w:tcPr>
            <w:tcW w:w="1980" w:type="dxa"/>
          </w:tcPr>
          <w:p>
            <w:pPr>
              <w:rPr>
                <w:sz w:val="24"/>
              </w:rPr>
            </w:pPr>
          </w:p>
        </w:tc>
        <w:tc>
          <w:tcPr>
            <w:tcW w:w="1980" w:type="dxa"/>
          </w:tcPr>
          <w:p>
            <w:pPr>
              <w:rPr>
                <w:sz w:val="24"/>
              </w:rPr>
            </w:pPr>
          </w:p>
        </w:tc>
        <w:tc>
          <w:tcPr>
            <w:tcW w:w="1440" w:type="dxa"/>
          </w:tcPr>
          <w:p>
            <w:pPr>
              <w:rPr>
                <w:sz w:val="24"/>
              </w:rPr>
            </w:pPr>
          </w:p>
        </w:tc>
        <w:tc>
          <w:tcPr>
            <w:tcW w:w="2385" w:type="dxa"/>
          </w:tcPr>
          <w:p>
            <w:pPr>
              <w:rPr>
                <w:sz w:val="24"/>
              </w:rPr>
            </w:pPr>
          </w:p>
        </w:tc>
      </w:tr>
    </w:tbl>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备注：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 “招标商务条款”一栏逐项填写</w:t>
      </w:r>
      <w:r>
        <w:rPr>
          <w:rFonts w:hint="eastAsia" w:asciiTheme="minorEastAsia" w:hAnsiTheme="minorEastAsia" w:eastAsiaTheme="minorEastAsia"/>
          <w:b/>
          <w:szCs w:val="21"/>
          <w:highlight w:val="yellow"/>
        </w:rPr>
        <w:t>招标文件第二章“五、商务要求”的内容</w:t>
      </w:r>
      <w:r>
        <w:rPr>
          <w:rFonts w:hint="eastAsia"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 “投标商务响应”一栏详细填写投标商务响应的内容。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 “偏离情况”栏中应如实填写“正偏离”、“负偏离”或“无偏离”。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4. </w:t>
      </w:r>
      <w:r>
        <w:rPr>
          <w:rFonts w:hint="eastAsia" w:asciiTheme="minorEastAsia" w:hAnsiTheme="minorEastAsia" w:eastAsiaTheme="minorEastAsia"/>
          <w:bCs/>
          <w:kern w:val="0"/>
          <w:szCs w:val="21"/>
        </w:rPr>
        <w:t>对于实质性</w:t>
      </w:r>
      <w:r>
        <w:rPr>
          <w:rFonts w:hint="eastAsia" w:asciiTheme="minorEastAsia" w:hAnsiTheme="minorEastAsia" w:eastAsiaTheme="minorEastAsia"/>
          <w:szCs w:val="21"/>
        </w:rPr>
        <w:t>条款，投标文件响应为“负偏离”的，投标文件将按无效投标处理。</w:t>
      </w:r>
    </w:p>
    <w:p>
      <w:pPr>
        <w:spacing w:line="360" w:lineRule="auto"/>
      </w:pPr>
      <w:r>
        <w:rPr>
          <w:rFonts w:hint="eastAsia" w:asciiTheme="minorEastAsia" w:hAnsiTheme="minorEastAsia" w:eastAsiaTheme="minorEastAsia"/>
          <w:szCs w:val="21"/>
        </w:rPr>
        <w:t>5.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rPr>
          <w:sz w:val="24"/>
        </w:rPr>
      </w:pPr>
    </w:p>
    <w:p>
      <w:pPr>
        <w:spacing w:after="120" w:afterLines="50"/>
        <w:jc w:val="center"/>
        <w:rPr>
          <w:rFonts w:ascii="黑体" w:hAnsi="宋体" w:eastAsia="黑体"/>
          <w:bCs/>
          <w:kern w:val="0"/>
          <w:sz w:val="24"/>
        </w:rPr>
      </w:pPr>
      <w:r>
        <w:rPr>
          <w:rFonts w:hint="eastAsia" w:ascii="黑体" w:hAnsi="宋体" w:eastAsia="黑体"/>
          <w:bCs/>
          <w:kern w:val="0"/>
          <w:sz w:val="24"/>
        </w:rPr>
        <w:t>十二、技术保障措施</w:t>
      </w:r>
    </w:p>
    <w:p>
      <w:pPr>
        <w:pStyle w:val="5"/>
        <w:jc w:val="center"/>
        <w:rPr>
          <w:rFonts w:ascii="黑体" w:eastAsia="黑体"/>
          <w:b w:val="0"/>
          <w:bCs w:val="0"/>
          <w:kern w:val="0"/>
          <w:sz w:val="24"/>
          <w:szCs w:val="24"/>
        </w:rPr>
      </w:pPr>
      <w:r>
        <w:rPr>
          <w:rFonts w:hint="eastAsia" w:ascii="黑体" w:eastAsia="黑体"/>
          <w:b w:val="0"/>
          <w:bCs w:val="0"/>
          <w:kern w:val="0"/>
          <w:sz w:val="24"/>
          <w:szCs w:val="24"/>
        </w:rPr>
        <w:t>十三、同类项目业绩情况</w:t>
      </w:r>
    </w:p>
    <w:p>
      <w:pPr>
        <w:pStyle w:val="5"/>
        <w:jc w:val="center"/>
        <w:rPr>
          <w:rFonts w:ascii="黑体" w:eastAsia="黑体"/>
          <w:b w:val="0"/>
          <w:kern w:val="0"/>
          <w:sz w:val="24"/>
          <w:szCs w:val="24"/>
        </w:rPr>
      </w:pPr>
      <w:r>
        <w:rPr>
          <w:rFonts w:hint="eastAsia" w:ascii="黑体" w:eastAsia="黑体"/>
          <w:b w:val="0"/>
          <w:bCs w:val="0"/>
          <w:kern w:val="0"/>
          <w:sz w:val="24"/>
          <w:szCs w:val="24"/>
        </w:rPr>
        <w:t>十</w:t>
      </w:r>
      <w:r>
        <w:rPr>
          <w:rFonts w:hint="eastAsia" w:ascii="黑体" w:eastAsia="黑体"/>
          <w:b w:val="0"/>
          <w:bCs w:val="0"/>
          <w:sz w:val="24"/>
          <w:szCs w:val="24"/>
        </w:rPr>
        <w:t>四</w:t>
      </w:r>
      <w:r>
        <w:rPr>
          <w:rFonts w:hint="eastAsia" w:ascii="黑体" w:eastAsia="黑体"/>
          <w:b w:val="0"/>
          <w:kern w:val="0"/>
          <w:sz w:val="24"/>
          <w:szCs w:val="24"/>
        </w:rPr>
        <w:t>、诚信评审</w:t>
      </w:r>
    </w:p>
    <w:p>
      <w:pPr>
        <w:pStyle w:val="5"/>
        <w:jc w:val="center"/>
        <w:rPr>
          <w:rFonts w:ascii="黑体" w:eastAsia="黑体"/>
          <w:b w:val="0"/>
          <w:sz w:val="24"/>
        </w:rPr>
      </w:pPr>
      <w:r>
        <w:rPr>
          <w:rFonts w:hint="eastAsia" w:ascii="黑体" w:eastAsia="黑体"/>
          <w:b w:val="0"/>
          <w:sz w:val="24"/>
        </w:rPr>
        <w:t>诚信承诺函</w:t>
      </w:r>
    </w:p>
    <w:p>
      <w:pPr>
        <w:spacing w:line="320" w:lineRule="exact"/>
        <w:rPr>
          <w:rFonts w:cs="Courier New"/>
          <w:snapToGrid w:val="0"/>
          <w:szCs w:val="18"/>
        </w:rPr>
      </w:pPr>
      <w:r>
        <w:rPr>
          <w:rFonts w:hint="eastAsia" w:cs="Courier New"/>
          <w:snapToGrid w:val="0"/>
          <w:szCs w:val="18"/>
        </w:rPr>
        <w:t>深圳市中正招标有限公司：</w:t>
      </w:r>
    </w:p>
    <w:p>
      <w:pPr>
        <w:spacing w:line="320" w:lineRule="exact"/>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20" w:lineRule="exact"/>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20" w:lineRule="exact"/>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20" w:lineRule="exact"/>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20" w:lineRule="exact"/>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20" w:lineRule="exact"/>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20" w:lineRule="exact"/>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20" w:lineRule="exact"/>
        <w:ind w:firstLine="420" w:firstLineChars="200"/>
        <w:rPr>
          <w:rFonts w:cs="Courier New"/>
          <w:snapToGrid w:val="0"/>
          <w:szCs w:val="18"/>
        </w:rPr>
      </w:pPr>
      <w:r>
        <w:rPr>
          <w:rFonts w:hint="eastAsia" w:cs="Courier New"/>
          <w:snapToGrid w:val="0"/>
          <w:szCs w:val="18"/>
        </w:rPr>
        <w:t>（六）捏造事实、提供虚假材料进行质疑的；</w:t>
      </w:r>
    </w:p>
    <w:p>
      <w:pPr>
        <w:spacing w:line="320" w:lineRule="exact"/>
        <w:ind w:firstLine="420" w:firstLineChars="200"/>
        <w:rPr>
          <w:rFonts w:cs="Courier New"/>
          <w:snapToGrid w:val="0"/>
          <w:szCs w:val="18"/>
        </w:rPr>
      </w:pPr>
      <w:r>
        <w:rPr>
          <w:rFonts w:hint="eastAsia" w:cs="Courier New"/>
          <w:snapToGrid w:val="0"/>
          <w:szCs w:val="18"/>
        </w:rPr>
        <w:t>（七）假冒他人名义质疑的；</w:t>
      </w:r>
    </w:p>
    <w:p>
      <w:pPr>
        <w:spacing w:line="320" w:lineRule="exact"/>
        <w:ind w:firstLine="420" w:firstLineChars="200"/>
        <w:rPr>
          <w:rFonts w:cs="Courier New"/>
          <w:snapToGrid w:val="0"/>
          <w:szCs w:val="18"/>
        </w:rPr>
      </w:pPr>
      <w:r>
        <w:rPr>
          <w:rFonts w:hint="eastAsia" w:cs="Courier New"/>
          <w:snapToGrid w:val="0"/>
          <w:szCs w:val="18"/>
        </w:rPr>
        <w:t>（八）无正当理由拒不配合进行质疑调查的。</w:t>
      </w:r>
    </w:p>
    <w:p>
      <w:pPr>
        <w:spacing w:line="320" w:lineRule="exact"/>
        <w:ind w:firstLine="420" w:firstLineChars="200"/>
        <w:rPr>
          <w:rFonts w:cs="Courier New"/>
          <w:snapToGrid w:val="0"/>
          <w:szCs w:val="18"/>
        </w:rPr>
      </w:pPr>
      <w:r>
        <w:rPr>
          <w:rFonts w:hint="eastAsia" w:cs="Courier New"/>
          <w:snapToGrid w:val="0"/>
          <w:szCs w:val="18"/>
        </w:rPr>
        <w:t>特此承诺。</w:t>
      </w:r>
    </w:p>
    <w:p>
      <w:pPr>
        <w:spacing w:line="320" w:lineRule="exact"/>
        <w:ind w:firstLine="420" w:firstLineChars="200"/>
        <w:rPr>
          <w:rFonts w:cs="Courier New"/>
          <w:snapToGrid w:val="0"/>
          <w:szCs w:val="18"/>
        </w:rPr>
      </w:pPr>
    </w:p>
    <w:p>
      <w:pPr>
        <w:spacing w:line="320" w:lineRule="exact"/>
        <w:jc w:val="center"/>
      </w:pPr>
      <w:r>
        <w:rPr>
          <w:rFonts w:hint="eastAsia"/>
          <w:szCs w:val="21"/>
        </w:rPr>
        <w:t xml:space="preserve">                             投标人：</w:t>
      </w:r>
    </w:p>
    <w:p>
      <w:pPr>
        <w:spacing w:line="32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20" w:lineRule="exact"/>
        <w:rPr>
          <w:szCs w:val="21"/>
          <w:u w:val="single"/>
        </w:rPr>
      </w:pPr>
    </w:p>
    <w:p>
      <w:pPr>
        <w:spacing w:line="320" w:lineRule="exact"/>
        <w:rPr>
          <w:rFonts w:ascii="宋体" w:hAnsi="宋体"/>
          <w:szCs w:val="21"/>
        </w:rPr>
      </w:pPr>
      <w:r>
        <w:rPr>
          <w:rFonts w:hint="eastAsia"/>
          <w:szCs w:val="21"/>
          <w:u w:val="single"/>
        </w:rPr>
        <w:t>（备注：如联合体投标，投标人一栏需填写联合体双方的名称）</w:t>
      </w:r>
    </w:p>
    <w:p>
      <w:pPr>
        <w:jc w:val="center"/>
        <w:rPr>
          <w:rFonts w:ascii="黑体" w:hAnsi="宋体" w:eastAsia="黑体"/>
          <w:bCs/>
          <w:kern w:val="0"/>
          <w:sz w:val="24"/>
        </w:rPr>
      </w:pPr>
      <w:r>
        <w:rPr>
          <w:rFonts w:hint="eastAsia" w:ascii="黑体" w:hAnsi="宋体" w:eastAsia="黑体"/>
          <w:bCs/>
          <w:kern w:val="0"/>
          <w:sz w:val="24"/>
        </w:rPr>
        <w:t>十</w:t>
      </w:r>
      <w:r>
        <w:rPr>
          <w:rFonts w:hint="eastAsia" w:ascii="黑体" w:eastAsia="黑体"/>
          <w:bCs/>
          <w:sz w:val="24"/>
        </w:rPr>
        <w:t>五</w:t>
      </w:r>
      <w:r>
        <w:rPr>
          <w:rFonts w:hint="eastAsia" w:ascii="黑体" w:hAnsi="宋体" w:eastAsia="黑体"/>
          <w:bCs/>
          <w:kern w:val="0"/>
          <w:sz w:val="24"/>
        </w:rPr>
        <w:t>、招标文件要求的其它内容或投标人认为需要补充的资料（格式自定）</w:t>
      </w:r>
    </w:p>
    <w:p>
      <w:pPr>
        <w:widowControl/>
        <w:snapToGrid w:val="0"/>
        <w:spacing w:line="360" w:lineRule="auto"/>
        <w:jc w:val="left"/>
        <w:outlineLvl w:val="4"/>
        <w:rPr>
          <w:rFonts w:ascii="仿宋" w:hAnsi="仿宋" w:eastAsia="仿宋"/>
          <w:b/>
          <w:bCs/>
          <w:color w:val="FF0000"/>
          <w:kern w:val="0"/>
          <w:sz w:val="25"/>
          <w:szCs w:val="25"/>
        </w:rPr>
      </w:pPr>
    </w:p>
    <w:p>
      <w:pPr>
        <w:widowControl/>
        <w:snapToGrid w:val="0"/>
        <w:spacing w:line="360" w:lineRule="auto"/>
        <w:jc w:val="left"/>
        <w:outlineLvl w:val="4"/>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widowControl/>
        <w:jc w:val="left"/>
        <w:rPr>
          <w:rFonts w:ascii="宋体" w:hAnsi="宋体"/>
          <w:b/>
          <w:bCs/>
          <w:kern w:val="0"/>
          <w:sz w:val="24"/>
          <w:szCs w:val="20"/>
        </w:rPr>
      </w:pPr>
      <w:r>
        <w:br w:type="page"/>
      </w:r>
    </w:p>
    <w:p>
      <w:pPr>
        <w:pStyle w:val="7"/>
      </w:pPr>
      <w:r>
        <w:rPr>
          <w:rFonts w:hint="eastAsia"/>
        </w:rPr>
        <w:t>第四章  合同及履约情况反馈格式</w:t>
      </w:r>
    </w:p>
    <w:p>
      <w:pPr>
        <w:ind w:firstLine="411" w:firstLineChars="196"/>
      </w:pPr>
    </w:p>
    <w:p>
      <w:pPr>
        <w:pStyle w:val="5"/>
        <w:jc w:val="center"/>
        <w:rPr>
          <w:rFonts w:ascii="黑体" w:eastAsia="黑体"/>
          <w:b w:val="0"/>
          <w:kern w:val="0"/>
          <w:sz w:val="24"/>
          <w:szCs w:val="24"/>
        </w:rPr>
      </w:pPr>
      <w:r>
        <w:rPr>
          <w:rFonts w:hint="eastAsia" w:ascii="黑体" w:eastAsia="黑体"/>
          <w:b w:val="0"/>
          <w:kern w:val="0"/>
          <w:sz w:val="24"/>
          <w:szCs w:val="24"/>
        </w:rPr>
        <w:t>一、合同条款及格式（仅供参考）</w:t>
      </w:r>
    </w:p>
    <w:p>
      <w:pPr>
        <w:ind w:firstLine="470" w:firstLineChars="196"/>
        <w:jc w:val="center"/>
        <w:rPr>
          <w:sz w:val="24"/>
        </w:rPr>
      </w:pPr>
      <w:bookmarkStart w:id="30" w:name="_Toc101074886"/>
      <w:bookmarkStart w:id="31" w:name="_Toc73521680"/>
      <w:bookmarkStart w:id="32" w:name="_Toc73521592"/>
      <w:bookmarkStart w:id="33" w:name="_Toc73518163"/>
      <w:bookmarkStart w:id="34" w:name="_Toc100052414"/>
      <w:bookmarkStart w:id="35" w:name="_Toc73517685"/>
      <w:bookmarkStart w:id="36" w:name="_Toc84303603"/>
    </w:p>
    <w:bookmarkEnd w:id="30"/>
    <w:bookmarkEnd w:id="31"/>
    <w:bookmarkEnd w:id="32"/>
    <w:bookmarkEnd w:id="33"/>
    <w:bookmarkEnd w:id="34"/>
    <w:bookmarkEnd w:id="35"/>
    <w:bookmarkEnd w:id="36"/>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3"/>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after="60" w:line="360" w:lineRule="auto"/>
        <w:jc w:val="center"/>
        <w:rPr>
          <w:b/>
          <w:snapToGrid w:val="0"/>
          <w:kern w:val="0"/>
          <w:sz w:val="28"/>
        </w:rPr>
      </w:pPr>
    </w:p>
    <w:p>
      <w:pPr>
        <w:spacing w:after="60" w:line="360" w:lineRule="auto"/>
        <w:rPr>
          <w:rFonts w:ascii="宋体" w:hAnsi="宋体"/>
          <w:b/>
          <w:bCs/>
          <w:szCs w:val="21"/>
        </w:rPr>
      </w:pPr>
      <w:r>
        <w:rPr>
          <w:rFonts w:hint="eastAsia" w:ascii="宋体" w:hAnsi="宋体"/>
          <w:b/>
          <w:bCs/>
          <w:szCs w:val="21"/>
        </w:rPr>
        <w:t>甲方（采购人）：</w:t>
      </w:r>
    </w:p>
    <w:p>
      <w:pPr>
        <w:spacing w:after="60" w:line="360" w:lineRule="auto"/>
        <w:rPr>
          <w:rFonts w:ascii="宋体" w:hAnsi="宋体"/>
          <w:szCs w:val="21"/>
        </w:rPr>
      </w:pPr>
      <w:r>
        <w:rPr>
          <w:rFonts w:hint="eastAsia" w:ascii="宋体" w:hAnsi="宋体"/>
          <w:b/>
          <w:bCs/>
          <w:szCs w:val="21"/>
        </w:rPr>
        <w:t>乙方（中标人）：</w:t>
      </w:r>
    </w:p>
    <w:p>
      <w:pPr>
        <w:snapToGrid w:val="0"/>
        <w:spacing w:after="60"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根据《中华人民共和国政府采购法》、《深圳经济特区政府采购条例》、《中华人民共和国民法典》之规定，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after="60" w:line="360" w:lineRule="auto"/>
        <w:ind w:firstLine="422" w:firstLineChars="200"/>
        <w:jc w:val="left"/>
        <w:rPr>
          <w:rFonts w:ascii="宋体" w:hAnsi="宋体"/>
          <w:b/>
          <w:szCs w:val="21"/>
        </w:rPr>
      </w:pPr>
      <w:r>
        <w:rPr>
          <w:rFonts w:hint="eastAsia" w:ascii="宋体" w:hAnsi="宋体"/>
          <w:b/>
          <w:szCs w:val="21"/>
        </w:rPr>
        <w:t>第一条</w:t>
      </w:r>
      <w:r>
        <w:rPr>
          <w:rFonts w:ascii="宋体" w:hAnsi="宋体"/>
          <w:b/>
          <w:szCs w:val="21"/>
        </w:rPr>
        <w:t xml:space="preserve">  </w:t>
      </w:r>
      <w:r>
        <w:rPr>
          <w:rFonts w:hint="eastAsia" w:ascii="宋体" w:hAnsi="宋体"/>
          <w:b/>
          <w:szCs w:val="21"/>
        </w:rPr>
        <w:t>合同标的</w:t>
      </w:r>
    </w:p>
    <w:p>
      <w:pPr>
        <w:spacing w:after="60" w:line="360" w:lineRule="auto"/>
        <w:ind w:firstLine="420" w:firstLineChars="200"/>
        <w:rPr>
          <w:rFonts w:ascii="宋体" w:hAnsi="宋体"/>
          <w:szCs w:val="21"/>
        </w:rPr>
      </w:pPr>
      <w:r>
        <w:rPr>
          <w:rFonts w:hint="eastAsia" w:ascii="宋体" w:hAnsi="宋体"/>
          <w:szCs w:val="21"/>
        </w:rPr>
        <w:t>货物名称、规格型号、制造商、产地、单位、数量、单价、合同价，详见</w:t>
      </w:r>
      <w:r>
        <w:rPr>
          <w:rFonts w:ascii="宋体" w:hAnsi="宋体"/>
          <w:b/>
          <w:szCs w:val="21"/>
          <w:u w:val="single"/>
        </w:rPr>
        <w:t xml:space="preserve">                  </w:t>
      </w:r>
      <w:r>
        <w:rPr>
          <w:rFonts w:hint="eastAsia" w:ascii="宋体" w:hAnsi="宋体"/>
          <w:szCs w:val="21"/>
        </w:rPr>
        <w:t>。</w:t>
      </w:r>
    </w:p>
    <w:p>
      <w:pPr>
        <w:spacing w:after="60" w:line="360" w:lineRule="auto"/>
        <w:ind w:firstLine="422" w:firstLineChars="200"/>
        <w:jc w:val="left"/>
        <w:rPr>
          <w:rFonts w:ascii="宋体" w:hAnsi="宋体"/>
          <w:b/>
          <w:szCs w:val="21"/>
        </w:rPr>
      </w:pPr>
      <w:r>
        <w:rPr>
          <w:rFonts w:hint="eastAsia" w:ascii="宋体" w:hAnsi="宋体"/>
          <w:b/>
          <w:szCs w:val="21"/>
        </w:rPr>
        <w:t>第二条</w:t>
      </w:r>
      <w:r>
        <w:rPr>
          <w:rFonts w:ascii="宋体" w:hAnsi="宋体"/>
          <w:b/>
          <w:szCs w:val="21"/>
        </w:rPr>
        <w:t xml:space="preserve">  </w:t>
      </w:r>
      <w:r>
        <w:rPr>
          <w:rFonts w:hint="eastAsia" w:ascii="宋体" w:hAnsi="宋体"/>
          <w:b/>
          <w:szCs w:val="21"/>
        </w:rPr>
        <w:t>合同价款</w:t>
      </w:r>
    </w:p>
    <w:p>
      <w:pPr>
        <w:spacing w:after="60" w:line="360" w:lineRule="auto"/>
        <w:ind w:firstLine="420" w:firstLineChars="200"/>
        <w:jc w:val="left"/>
        <w:rPr>
          <w:rFonts w:ascii="宋体" w:hAnsi="宋体"/>
          <w:szCs w:val="21"/>
        </w:rPr>
      </w:pPr>
      <w:r>
        <w:rPr>
          <w:rFonts w:hint="eastAsia" w:ascii="宋体" w:hAnsi="宋体"/>
          <w:szCs w:val="21"/>
        </w:rPr>
        <w:t>本合同项下总价款为</w:t>
      </w:r>
      <w:r>
        <w:rPr>
          <w:rFonts w:ascii="宋体" w:hAnsi="宋体"/>
          <w:szCs w:val="21"/>
          <w:u w:val="single"/>
        </w:rPr>
        <w:t xml:space="preserve">              </w:t>
      </w:r>
      <w:r>
        <w:rPr>
          <w:rFonts w:hint="eastAsia" w:ascii="宋体" w:hAnsi="宋体"/>
          <w:szCs w:val="21"/>
        </w:rPr>
        <w:t>（大写）人民币，分项价款详见</w:t>
      </w:r>
      <w:r>
        <w:rPr>
          <w:rFonts w:ascii="宋体" w:hAnsi="宋体"/>
          <w:b/>
          <w:szCs w:val="21"/>
          <w:u w:val="single"/>
        </w:rPr>
        <w:t xml:space="preserve">          </w:t>
      </w:r>
      <w:r>
        <w:rPr>
          <w:rFonts w:hint="eastAsia" w:ascii="宋体" w:hAnsi="宋体"/>
          <w:szCs w:val="21"/>
        </w:rPr>
        <w:t>。本合同总价款已包括乙方为履行本合同义务所发生的一切费用，系固定不变价格，且不随通货膨胀的影响而波动。</w:t>
      </w:r>
    </w:p>
    <w:p>
      <w:pPr>
        <w:spacing w:after="60" w:line="360" w:lineRule="auto"/>
        <w:ind w:firstLine="422" w:firstLineChars="200"/>
        <w:jc w:val="left"/>
        <w:rPr>
          <w:rFonts w:ascii="宋体" w:hAnsi="宋体"/>
          <w:b/>
          <w:szCs w:val="21"/>
        </w:rPr>
      </w:pPr>
      <w:r>
        <w:rPr>
          <w:rFonts w:hint="eastAsia" w:ascii="宋体" w:hAnsi="宋体"/>
          <w:b/>
          <w:szCs w:val="21"/>
        </w:rPr>
        <w:t>第三条</w:t>
      </w:r>
      <w:r>
        <w:rPr>
          <w:rFonts w:ascii="宋体" w:hAnsi="宋体"/>
          <w:b/>
          <w:szCs w:val="21"/>
        </w:rPr>
        <w:t xml:space="preserve">  </w:t>
      </w:r>
      <w:r>
        <w:rPr>
          <w:rFonts w:hint="eastAsia" w:ascii="宋体" w:hAnsi="宋体"/>
          <w:b/>
          <w:szCs w:val="21"/>
        </w:rPr>
        <w:t>交货时间、地点和交货状态</w:t>
      </w:r>
    </w:p>
    <w:p>
      <w:pPr>
        <w:spacing w:after="60" w:line="360" w:lineRule="auto"/>
        <w:ind w:firstLine="420" w:firstLineChars="200"/>
        <w:jc w:val="left"/>
        <w:rPr>
          <w:rFonts w:ascii="宋体" w:hAnsi="宋体"/>
          <w:szCs w:val="21"/>
        </w:rPr>
      </w:pPr>
      <w:r>
        <w:rPr>
          <w:rFonts w:hint="eastAsia" w:ascii="宋体" w:hAnsi="宋体"/>
          <w:szCs w:val="21"/>
        </w:rPr>
        <w:t>3.1交货时间：</w:t>
      </w:r>
    </w:p>
    <w:p>
      <w:pPr>
        <w:spacing w:after="60" w:line="360" w:lineRule="auto"/>
        <w:ind w:firstLine="420" w:firstLineChars="200"/>
        <w:jc w:val="left"/>
        <w:rPr>
          <w:rFonts w:ascii="宋体" w:hAnsi="宋体"/>
          <w:szCs w:val="21"/>
        </w:rPr>
      </w:pPr>
      <w:r>
        <w:rPr>
          <w:rFonts w:hint="eastAsia" w:ascii="宋体" w:hAnsi="宋体"/>
          <w:szCs w:val="21"/>
        </w:rPr>
        <w:t>3.2交货地点：</w:t>
      </w:r>
    </w:p>
    <w:p>
      <w:pPr>
        <w:spacing w:after="60" w:line="360" w:lineRule="auto"/>
        <w:ind w:firstLine="420" w:firstLineChars="200"/>
        <w:jc w:val="left"/>
        <w:rPr>
          <w:rFonts w:ascii="宋体" w:hAnsi="宋体"/>
          <w:szCs w:val="21"/>
        </w:rPr>
      </w:pPr>
      <w:r>
        <w:rPr>
          <w:rFonts w:hint="eastAsia" w:ascii="宋体" w:hAnsi="宋体"/>
          <w:szCs w:val="21"/>
        </w:rPr>
        <w:t>3.3交货状态：</w:t>
      </w:r>
    </w:p>
    <w:p>
      <w:pPr>
        <w:spacing w:after="60" w:line="360" w:lineRule="auto"/>
        <w:ind w:firstLine="422" w:firstLineChars="200"/>
        <w:jc w:val="left"/>
        <w:rPr>
          <w:rFonts w:ascii="宋体" w:hAnsi="宋体"/>
          <w:b/>
          <w:szCs w:val="21"/>
        </w:rPr>
      </w:pPr>
      <w:r>
        <w:rPr>
          <w:rFonts w:hint="eastAsia" w:ascii="宋体" w:hAnsi="宋体"/>
          <w:b/>
          <w:szCs w:val="21"/>
        </w:rPr>
        <w:t>第四条</w:t>
      </w:r>
      <w:r>
        <w:rPr>
          <w:rFonts w:ascii="宋体" w:hAnsi="宋体"/>
          <w:b/>
          <w:szCs w:val="21"/>
        </w:rPr>
        <w:t xml:space="preserve">  </w:t>
      </w:r>
      <w:r>
        <w:rPr>
          <w:rFonts w:hint="eastAsia" w:ascii="宋体" w:hAnsi="宋体"/>
          <w:b/>
          <w:szCs w:val="21"/>
        </w:rPr>
        <w:t>质量标准和要求</w:t>
      </w:r>
    </w:p>
    <w:p>
      <w:pPr>
        <w:spacing w:after="60" w:line="360" w:lineRule="auto"/>
        <w:ind w:firstLine="420" w:firstLineChars="200"/>
        <w:jc w:val="left"/>
        <w:rPr>
          <w:rFonts w:ascii="宋体" w:hAnsi="宋体"/>
          <w:szCs w:val="21"/>
        </w:rPr>
      </w:pPr>
      <w:r>
        <w:rPr>
          <w:rFonts w:hint="eastAsia" w:ascii="宋体" w:hAnsi="宋体"/>
          <w:szCs w:val="21"/>
        </w:rPr>
        <w:t>4.1乙方所提供的货物质量标准按照国家标准或者行业标准或者企业标准明确。没有国家标准、行业标准或企业标准的，按照通常标准或者符合合同目的的特定标准确定。</w:t>
      </w:r>
    </w:p>
    <w:p>
      <w:pPr>
        <w:spacing w:after="60" w:line="360" w:lineRule="auto"/>
        <w:ind w:firstLine="420" w:firstLineChars="200"/>
        <w:jc w:val="left"/>
        <w:rPr>
          <w:rFonts w:ascii="宋体" w:hAnsi="宋体"/>
          <w:szCs w:val="21"/>
        </w:rPr>
      </w:pPr>
      <w:r>
        <w:rPr>
          <w:rFonts w:hint="eastAsia" w:ascii="宋体" w:hAnsi="宋体"/>
          <w:szCs w:val="21"/>
        </w:rPr>
        <w:t>4.2乙方应保证货物是全新、未使用过的原装合格正品（包括零部件），并完全符合甲方要求的质量、规格和性能的要求。如货物安装或配置了软件的，乙方保证相关软件均为正版软件。</w:t>
      </w:r>
    </w:p>
    <w:p>
      <w:pPr>
        <w:spacing w:after="60" w:line="360" w:lineRule="auto"/>
        <w:ind w:firstLine="420" w:firstLineChars="200"/>
        <w:jc w:val="left"/>
        <w:rPr>
          <w:rFonts w:ascii="宋体" w:hAnsi="宋体"/>
          <w:szCs w:val="21"/>
        </w:rPr>
      </w:pPr>
      <w:r>
        <w:rPr>
          <w:rFonts w:ascii="宋体" w:hAnsi="宋体"/>
          <w:szCs w:val="21"/>
        </w:rPr>
        <w:t>4.3乙方保证交货时一并提供货物的质量合格凭证或文件。</w:t>
      </w:r>
    </w:p>
    <w:p>
      <w:pPr>
        <w:spacing w:after="60" w:line="360" w:lineRule="auto"/>
        <w:ind w:firstLine="420" w:firstLineChars="200"/>
        <w:jc w:val="left"/>
        <w:rPr>
          <w:rFonts w:ascii="宋体" w:hAnsi="宋体"/>
          <w:szCs w:val="21"/>
        </w:rPr>
      </w:pPr>
      <w:r>
        <w:rPr>
          <w:rFonts w:ascii="宋体" w:hAnsi="宋体"/>
          <w:szCs w:val="21"/>
        </w:rPr>
        <w:t>4.4乙方所提供的全部货物均应按照标准保护措施进行包装，包装应适用于远距离运输、防潮、防震、防锈、防野蛮装卸等要求，以确保货物安全无损抵运指定交货地点。</w:t>
      </w:r>
    </w:p>
    <w:p>
      <w:pPr>
        <w:spacing w:after="60" w:line="360" w:lineRule="auto"/>
        <w:ind w:firstLine="422" w:firstLineChars="200"/>
        <w:jc w:val="left"/>
        <w:rPr>
          <w:rFonts w:ascii="宋体" w:hAnsi="宋体"/>
          <w:b/>
          <w:szCs w:val="21"/>
        </w:rPr>
      </w:pPr>
      <w:r>
        <w:rPr>
          <w:rFonts w:hint="eastAsia" w:ascii="宋体" w:hAnsi="宋体"/>
          <w:b/>
          <w:szCs w:val="21"/>
        </w:rPr>
        <w:t>第五条</w:t>
      </w:r>
      <w:r>
        <w:rPr>
          <w:rFonts w:ascii="宋体" w:hAnsi="宋体"/>
          <w:b/>
          <w:szCs w:val="21"/>
        </w:rPr>
        <w:t xml:space="preserve">  </w:t>
      </w:r>
      <w:r>
        <w:rPr>
          <w:rFonts w:hint="eastAsia" w:ascii="宋体" w:hAnsi="宋体"/>
          <w:b/>
          <w:szCs w:val="21"/>
        </w:rPr>
        <w:t>权利保证</w:t>
      </w:r>
    </w:p>
    <w:p>
      <w:pPr>
        <w:spacing w:after="60" w:line="360" w:lineRule="auto"/>
        <w:ind w:firstLine="420" w:firstLineChars="200"/>
        <w:jc w:val="left"/>
        <w:rPr>
          <w:rFonts w:ascii="宋体" w:hAnsi="宋体"/>
          <w:szCs w:val="21"/>
        </w:rPr>
      </w:pPr>
      <w:r>
        <w:rPr>
          <w:rFonts w:ascii="宋体" w:hAnsi="宋体"/>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after="60" w:line="360" w:lineRule="auto"/>
        <w:ind w:firstLine="420" w:firstLineChars="200"/>
        <w:jc w:val="left"/>
        <w:rPr>
          <w:rFonts w:ascii="宋体" w:hAnsi="宋体"/>
          <w:szCs w:val="21"/>
        </w:rPr>
      </w:pPr>
      <w:r>
        <w:rPr>
          <w:rFonts w:ascii="宋体" w:hAnsi="宋体"/>
          <w:szCs w:val="21"/>
        </w:rPr>
        <w:t>5.2乙方应保证其提供的货物不存在任何未曾向甲方透漏的担保物权，如抵押权、质押权、留置权等。</w:t>
      </w:r>
    </w:p>
    <w:p>
      <w:pPr>
        <w:spacing w:after="60" w:line="360" w:lineRule="auto"/>
        <w:ind w:firstLine="422" w:firstLineChars="200"/>
        <w:jc w:val="left"/>
        <w:rPr>
          <w:rFonts w:ascii="宋体" w:hAnsi="宋体"/>
          <w:b/>
          <w:szCs w:val="21"/>
        </w:rPr>
      </w:pPr>
      <w:r>
        <w:rPr>
          <w:rFonts w:hint="eastAsia" w:ascii="宋体" w:hAnsi="宋体"/>
          <w:b/>
          <w:szCs w:val="21"/>
        </w:rPr>
        <w:t>第六条</w:t>
      </w:r>
      <w:r>
        <w:rPr>
          <w:rFonts w:ascii="宋体" w:hAnsi="宋体"/>
          <w:b/>
          <w:szCs w:val="21"/>
        </w:rPr>
        <w:t xml:space="preserve">  </w:t>
      </w:r>
      <w:r>
        <w:rPr>
          <w:rFonts w:hint="eastAsia" w:ascii="宋体" w:hAnsi="宋体"/>
          <w:b/>
          <w:szCs w:val="21"/>
        </w:rPr>
        <w:t>质量保障</w:t>
      </w:r>
    </w:p>
    <w:p>
      <w:pPr>
        <w:spacing w:after="60" w:line="360" w:lineRule="auto"/>
        <w:ind w:firstLine="420" w:firstLineChars="200"/>
        <w:jc w:val="left"/>
        <w:rPr>
          <w:rFonts w:ascii="宋体" w:hAnsi="宋体"/>
          <w:szCs w:val="21"/>
        </w:rPr>
      </w:pPr>
      <w:r>
        <w:rPr>
          <w:rFonts w:ascii="宋体" w:hAnsi="宋体"/>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after="60" w:line="360" w:lineRule="auto"/>
        <w:ind w:firstLine="420" w:firstLineChars="200"/>
        <w:jc w:val="left"/>
        <w:rPr>
          <w:rFonts w:ascii="宋体" w:hAnsi="宋体"/>
          <w:szCs w:val="21"/>
        </w:rPr>
      </w:pPr>
      <w:r>
        <w:rPr>
          <w:rFonts w:ascii="宋体" w:hAnsi="宋体"/>
          <w:szCs w:val="21"/>
        </w:rPr>
        <w:t>6.2在质量保证期限内，如果货物的质量或规格与合同不符，或者证实货物存在缺陷的，包括潜在的缺陷或者使用不符合要求的材料等，甲方可根据本合同追究乙方相应违约责任。</w:t>
      </w:r>
    </w:p>
    <w:p>
      <w:pPr>
        <w:spacing w:after="60" w:line="360" w:lineRule="auto"/>
        <w:ind w:firstLine="422" w:firstLineChars="200"/>
        <w:jc w:val="left"/>
        <w:rPr>
          <w:rFonts w:ascii="宋体" w:hAnsi="宋体"/>
          <w:b/>
          <w:szCs w:val="21"/>
        </w:rPr>
      </w:pPr>
      <w:r>
        <w:rPr>
          <w:rFonts w:hint="eastAsia" w:ascii="宋体" w:hAnsi="宋体"/>
          <w:b/>
          <w:szCs w:val="21"/>
        </w:rPr>
        <w:t>第七条</w:t>
      </w:r>
      <w:r>
        <w:rPr>
          <w:rFonts w:ascii="宋体" w:hAnsi="宋体"/>
          <w:b/>
          <w:szCs w:val="21"/>
        </w:rPr>
        <w:t xml:space="preserve">  </w:t>
      </w:r>
      <w:r>
        <w:rPr>
          <w:rFonts w:hint="eastAsia" w:ascii="宋体" w:hAnsi="宋体"/>
          <w:b/>
          <w:szCs w:val="21"/>
        </w:rPr>
        <w:t>交货和验收</w:t>
      </w:r>
    </w:p>
    <w:p>
      <w:pPr>
        <w:spacing w:after="60" w:line="360" w:lineRule="auto"/>
        <w:ind w:firstLine="420" w:firstLineChars="200"/>
        <w:jc w:val="left"/>
        <w:rPr>
          <w:rFonts w:ascii="宋体" w:hAnsi="宋体"/>
          <w:szCs w:val="21"/>
        </w:rPr>
      </w:pPr>
      <w:r>
        <w:rPr>
          <w:rFonts w:ascii="宋体" w:hAnsi="宋体"/>
          <w:szCs w:val="21"/>
        </w:rPr>
        <w:t>7.1乙方应按照本合同或招投标文件规定的时间和方式向甲方交付货物，交货地点由甲方指定。因交货产生的费用由乙方自行承担。</w:t>
      </w:r>
    </w:p>
    <w:p>
      <w:pPr>
        <w:spacing w:after="60" w:line="360" w:lineRule="auto"/>
        <w:ind w:firstLine="420" w:firstLineChars="200"/>
        <w:jc w:val="left"/>
        <w:rPr>
          <w:rFonts w:ascii="宋体" w:hAnsi="宋体"/>
          <w:szCs w:val="21"/>
        </w:rPr>
      </w:pPr>
      <w:r>
        <w:rPr>
          <w:rFonts w:ascii="宋体" w:hAnsi="宋体"/>
          <w:szCs w:val="21"/>
        </w:rPr>
        <w:t>7.2乙方交付的货物应当完全符合招投标文件所规定的货物、数量、质量和规格要求。乙方提供的货物不符合招投标文件和合同规定的，甲方有权拒收货物，由此引起的风险，由乙方承担。</w:t>
      </w:r>
    </w:p>
    <w:p>
      <w:pPr>
        <w:spacing w:after="60" w:line="360" w:lineRule="auto"/>
        <w:ind w:firstLine="420" w:firstLineChars="200"/>
        <w:jc w:val="left"/>
        <w:rPr>
          <w:rFonts w:ascii="宋体" w:hAnsi="宋体"/>
          <w:szCs w:val="21"/>
        </w:rPr>
      </w:pPr>
      <w:r>
        <w:rPr>
          <w:rFonts w:ascii="宋体" w:hAnsi="宋体"/>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after="60" w:line="360" w:lineRule="auto"/>
        <w:ind w:firstLine="420" w:firstLineChars="200"/>
        <w:jc w:val="left"/>
        <w:rPr>
          <w:rFonts w:ascii="宋体" w:hAnsi="宋体"/>
          <w:szCs w:val="21"/>
        </w:rPr>
      </w:pPr>
      <w:r>
        <w:rPr>
          <w:rFonts w:ascii="宋体" w:hAnsi="宋体"/>
          <w:szCs w:val="21"/>
        </w:rPr>
        <w:t>7.4甲方应当在到货后的</w:t>
      </w:r>
      <w:r>
        <w:rPr>
          <w:rFonts w:ascii="宋体" w:hAnsi="宋体"/>
          <w:szCs w:val="21"/>
          <w:u w:val="single"/>
        </w:rPr>
        <w:t xml:space="preserve">       </w:t>
      </w:r>
      <w:r>
        <w:rPr>
          <w:rFonts w:hint="eastAsia" w:ascii="宋体" w:hAnsi="宋体"/>
          <w:szCs w:val="21"/>
        </w:rPr>
        <w:t>个工作日内对货物进行验收；需要乙方对货物或系统进行安装调试的，甲方应在货物安装调试完毕后的</w:t>
      </w:r>
      <w:r>
        <w:rPr>
          <w:rFonts w:ascii="宋体" w:hAnsi="宋体"/>
          <w:szCs w:val="21"/>
          <w:u w:val="single"/>
        </w:rPr>
        <w:t xml:space="preserve">       </w:t>
      </w:r>
      <w:r>
        <w:rPr>
          <w:rFonts w:hint="eastAsia" w:ascii="宋体" w:hAnsi="宋体"/>
          <w:szCs w:val="21"/>
        </w:rPr>
        <w:t>个工作日内进行质量验收。</w:t>
      </w:r>
    </w:p>
    <w:p>
      <w:pPr>
        <w:spacing w:after="60" w:line="360" w:lineRule="auto"/>
        <w:ind w:firstLine="422" w:firstLineChars="200"/>
        <w:jc w:val="left"/>
        <w:rPr>
          <w:rFonts w:ascii="宋体" w:hAnsi="宋体"/>
          <w:b/>
          <w:szCs w:val="21"/>
        </w:rPr>
      </w:pPr>
      <w:r>
        <w:rPr>
          <w:rFonts w:hint="eastAsia" w:ascii="宋体" w:hAnsi="宋体"/>
          <w:b/>
          <w:szCs w:val="21"/>
        </w:rPr>
        <w:t>第八条</w:t>
      </w:r>
      <w:r>
        <w:rPr>
          <w:rFonts w:ascii="宋体" w:hAnsi="宋体"/>
          <w:b/>
          <w:szCs w:val="21"/>
        </w:rPr>
        <w:t xml:space="preserve">  </w:t>
      </w:r>
      <w:r>
        <w:rPr>
          <w:rFonts w:hint="eastAsia" w:ascii="宋体" w:hAnsi="宋体"/>
          <w:b/>
          <w:szCs w:val="21"/>
        </w:rPr>
        <w:t>保修及其他服务</w:t>
      </w:r>
    </w:p>
    <w:p>
      <w:pPr>
        <w:spacing w:after="60" w:line="360" w:lineRule="auto"/>
        <w:ind w:firstLine="420" w:firstLineChars="200"/>
        <w:jc w:val="left"/>
        <w:rPr>
          <w:rFonts w:ascii="宋体" w:hAnsi="宋体"/>
          <w:szCs w:val="21"/>
        </w:rPr>
      </w:pPr>
      <w:r>
        <w:rPr>
          <w:rFonts w:ascii="宋体" w:hAnsi="宋体"/>
          <w:szCs w:val="21"/>
        </w:rPr>
        <w:t>8.1乙方应按照国家有关法律法规规章和“三包”规定和招标文件的要求及乙方在投标文件的相关承诺提供保修及其他服务。</w:t>
      </w:r>
    </w:p>
    <w:p>
      <w:pPr>
        <w:spacing w:after="60" w:line="360" w:lineRule="auto"/>
        <w:ind w:firstLine="420" w:firstLineChars="200"/>
        <w:jc w:val="left"/>
        <w:rPr>
          <w:rFonts w:ascii="宋体" w:hAnsi="宋体"/>
          <w:szCs w:val="21"/>
        </w:rPr>
      </w:pPr>
      <w:r>
        <w:rPr>
          <w:rFonts w:ascii="宋体" w:hAnsi="宋体"/>
          <w:szCs w:val="21"/>
        </w:rPr>
        <w:t>8.2保修期内，乙方负责对其提供的货物进行维修和系统维护，不再收取任何费用。</w:t>
      </w:r>
      <w:r>
        <w:rPr>
          <w:rFonts w:hint="eastAsia" w:ascii="宋体" w:hAnsi="宋体"/>
          <w:szCs w:val="21"/>
        </w:rPr>
        <w:t>所有货物保修服务方式均为乙方上门保修，即由乙方派员到货物使用现场维修，由此产生的一切费用均由乙方承担。保修期后的货物维护另行协商。</w:t>
      </w:r>
    </w:p>
    <w:p>
      <w:pPr>
        <w:spacing w:after="60" w:line="360" w:lineRule="auto"/>
        <w:ind w:firstLine="422" w:firstLineChars="200"/>
        <w:jc w:val="left"/>
        <w:rPr>
          <w:rFonts w:ascii="宋体" w:hAnsi="宋体"/>
          <w:b/>
          <w:szCs w:val="21"/>
        </w:rPr>
      </w:pPr>
      <w:r>
        <w:rPr>
          <w:rFonts w:hint="eastAsia" w:ascii="宋体" w:hAnsi="宋体"/>
          <w:b/>
          <w:szCs w:val="21"/>
        </w:rPr>
        <w:t>第九条</w:t>
      </w:r>
      <w:r>
        <w:rPr>
          <w:rFonts w:ascii="宋体" w:hAnsi="宋体"/>
          <w:b/>
          <w:szCs w:val="21"/>
        </w:rPr>
        <w:t xml:space="preserve">  </w:t>
      </w:r>
      <w:r>
        <w:rPr>
          <w:rFonts w:hint="eastAsia" w:ascii="宋体" w:hAnsi="宋体"/>
          <w:b/>
          <w:szCs w:val="21"/>
        </w:rPr>
        <w:t>履约保证金</w:t>
      </w:r>
    </w:p>
    <w:p>
      <w:pPr>
        <w:spacing w:after="60" w:line="360" w:lineRule="auto"/>
        <w:ind w:firstLine="420" w:firstLineChars="200"/>
        <w:jc w:val="left"/>
        <w:rPr>
          <w:rFonts w:ascii="宋体" w:hAnsi="宋体"/>
          <w:szCs w:val="21"/>
        </w:rPr>
      </w:pPr>
      <w:r>
        <w:rPr>
          <w:rFonts w:ascii="宋体" w:hAnsi="宋体"/>
          <w:szCs w:val="21"/>
        </w:rPr>
        <w:t>9.1乙方应在签订本合同之日，向甲方或甲方指定的机构提交履约保证金_________元。</w:t>
      </w:r>
    </w:p>
    <w:p>
      <w:pPr>
        <w:spacing w:after="60" w:line="360" w:lineRule="auto"/>
        <w:ind w:firstLine="420" w:firstLineChars="200"/>
        <w:jc w:val="left"/>
        <w:rPr>
          <w:rFonts w:ascii="宋体" w:hAnsi="宋体"/>
          <w:szCs w:val="21"/>
        </w:rPr>
      </w:pPr>
      <w:r>
        <w:rPr>
          <w:rFonts w:ascii="宋体" w:hAnsi="宋体"/>
          <w:szCs w:val="21"/>
        </w:rPr>
        <w:t>9.2如乙方未能履行合同规定的义务，甲方有权从履约保证金中取得补偿。</w:t>
      </w:r>
    </w:p>
    <w:p>
      <w:pPr>
        <w:spacing w:after="60" w:line="360" w:lineRule="auto"/>
        <w:ind w:firstLine="420" w:firstLineChars="200"/>
        <w:jc w:val="left"/>
        <w:rPr>
          <w:rFonts w:ascii="宋体" w:hAnsi="宋体"/>
          <w:szCs w:val="21"/>
        </w:rPr>
      </w:pPr>
      <w:r>
        <w:rPr>
          <w:rFonts w:ascii="宋体" w:hAnsi="宋体"/>
          <w:szCs w:val="21"/>
        </w:rPr>
        <w:t>9.3甲方在乙方履行完毕本合同项下全部义务后______天内无息退还乙方。</w:t>
      </w:r>
    </w:p>
    <w:p>
      <w:pPr>
        <w:spacing w:after="60" w:line="360" w:lineRule="auto"/>
        <w:ind w:firstLine="422" w:firstLineChars="200"/>
        <w:jc w:val="left"/>
        <w:rPr>
          <w:rFonts w:ascii="宋体" w:hAnsi="宋体"/>
          <w:b/>
          <w:szCs w:val="21"/>
        </w:rPr>
      </w:pPr>
      <w:r>
        <w:rPr>
          <w:rFonts w:hint="eastAsia" w:ascii="宋体" w:hAnsi="宋体"/>
          <w:b/>
          <w:szCs w:val="21"/>
        </w:rPr>
        <w:t>第十条</w:t>
      </w:r>
      <w:r>
        <w:rPr>
          <w:rFonts w:ascii="宋体" w:hAnsi="宋体"/>
          <w:b/>
          <w:szCs w:val="21"/>
        </w:rPr>
        <w:t xml:space="preserve">  </w:t>
      </w:r>
      <w:r>
        <w:rPr>
          <w:rFonts w:hint="eastAsia" w:ascii="宋体" w:hAnsi="宋体"/>
          <w:b/>
          <w:szCs w:val="21"/>
        </w:rPr>
        <w:t>货款支付</w:t>
      </w:r>
    </w:p>
    <w:p>
      <w:pPr>
        <w:spacing w:after="60" w:line="360" w:lineRule="auto"/>
        <w:ind w:firstLine="420" w:firstLineChars="200"/>
        <w:jc w:val="left"/>
        <w:rPr>
          <w:rFonts w:ascii="宋体" w:hAnsi="宋体"/>
          <w:szCs w:val="21"/>
        </w:rPr>
      </w:pPr>
      <w:r>
        <w:rPr>
          <w:rFonts w:hint="eastAsia" w:ascii="宋体" w:hAnsi="宋体"/>
          <w:szCs w:val="21"/>
        </w:rPr>
        <w:t>10.1本合同以人民币付款。</w:t>
      </w:r>
    </w:p>
    <w:p>
      <w:pPr>
        <w:spacing w:after="60" w:line="360" w:lineRule="auto"/>
        <w:ind w:firstLine="420" w:firstLineChars="200"/>
        <w:jc w:val="left"/>
        <w:rPr>
          <w:rFonts w:ascii="宋体" w:hAnsi="宋体"/>
          <w:szCs w:val="21"/>
        </w:rPr>
      </w:pPr>
      <w:r>
        <w:rPr>
          <w:rFonts w:hint="eastAsia" w:ascii="宋体" w:hAnsi="宋体"/>
          <w:szCs w:val="21"/>
        </w:rPr>
        <w:t>10.2付款条件：</w:t>
      </w:r>
    </w:p>
    <w:p>
      <w:pPr>
        <w:spacing w:after="60" w:line="360" w:lineRule="auto"/>
        <w:ind w:firstLine="420" w:firstLineChars="200"/>
        <w:jc w:val="left"/>
        <w:rPr>
          <w:rFonts w:ascii="宋体" w:hAnsi="宋体"/>
          <w:szCs w:val="21"/>
        </w:rPr>
      </w:pPr>
      <w:r>
        <w:rPr>
          <w:rFonts w:hint="eastAsia" w:ascii="宋体" w:hAnsi="宋体"/>
          <w:szCs w:val="21"/>
        </w:rPr>
        <w:t>10.3付款方式和时间：</w:t>
      </w:r>
    </w:p>
    <w:p>
      <w:pPr>
        <w:spacing w:after="60" w:line="360" w:lineRule="auto"/>
        <w:ind w:firstLine="422" w:firstLineChars="200"/>
        <w:jc w:val="left"/>
        <w:rPr>
          <w:rFonts w:ascii="宋体" w:hAnsi="宋体"/>
          <w:b/>
          <w:szCs w:val="21"/>
        </w:rPr>
      </w:pPr>
      <w:r>
        <w:rPr>
          <w:rFonts w:hint="eastAsia" w:ascii="宋体" w:hAnsi="宋体"/>
          <w:b/>
          <w:szCs w:val="21"/>
        </w:rPr>
        <w:t>第十一条</w:t>
      </w:r>
      <w:r>
        <w:rPr>
          <w:rFonts w:ascii="宋体" w:hAnsi="宋体"/>
          <w:b/>
          <w:szCs w:val="21"/>
        </w:rPr>
        <w:t xml:space="preserve">  </w:t>
      </w:r>
      <w:r>
        <w:rPr>
          <w:rFonts w:hint="eastAsia" w:ascii="宋体" w:hAnsi="宋体"/>
          <w:b/>
          <w:szCs w:val="21"/>
        </w:rPr>
        <w:t>违约责任</w:t>
      </w:r>
    </w:p>
    <w:p>
      <w:pPr>
        <w:spacing w:after="60" w:line="360" w:lineRule="auto"/>
        <w:ind w:firstLine="420" w:firstLineChars="200"/>
        <w:jc w:val="left"/>
        <w:rPr>
          <w:rFonts w:ascii="宋体" w:hAnsi="宋体"/>
          <w:szCs w:val="21"/>
        </w:rPr>
      </w:pPr>
      <w:r>
        <w:rPr>
          <w:rFonts w:ascii="宋体" w:hAnsi="宋体"/>
          <w:szCs w:val="21"/>
        </w:rPr>
        <w:t>11.1甲方无正当理由拒收货物、拒付货物款的，由甲方向乙方偿付合同总价的【】%违约金。</w:t>
      </w:r>
    </w:p>
    <w:p>
      <w:pPr>
        <w:spacing w:after="60" w:line="360" w:lineRule="auto"/>
        <w:ind w:firstLine="420" w:firstLineChars="200"/>
        <w:jc w:val="left"/>
        <w:rPr>
          <w:rFonts w:ascii="宋体" w:hAnsi="宋体"/>
          <w:szCs w:val="21"/>
        </w:rPr>
      </w:pPr>
      <w:r>
        <w:rPr>
          <w:rFonts w:ascii="宋体" w:hAnsi="宋体"/>
          <w:szCs w:val="21"/>
        </w:rPr>
        <w:t>11.2甲方未按合同规定的期限向乙方支付货款的，每逾期1天甲方向乙方偿付欠款总额的【】‰滞纳金，但累计滞纳金总额不超过欠款总额的【】%。</w:t>
      </w:r>
    </w:p>
    <w:p>
      <w:pPr>
        <w:spacing w:after="60" w:line="360" w:lineRule="auto"/>
        <w:ind w:firstLine="420" w:firstLineChars="200"/>
        <w:jc w:val="left"/>
        <w:rPr>
          <w:rFonts w:ascii="宋体" w:hAnsi="宋体"/>
          <w:szCs w:val="21"/>
        </w:rPr>
      </w:pPr>
      <w:r>
        <w:rPr>
          <w:rFonts w:ascii="宋体" w:hAnsi="宋体"/>
          <w:szCs w:val="21"/>
        </w:rPr>
        <w:t>11.3乙方逾期交付货物的</w:t>
      </w:r>
      <w:r>
        <w:rPr>
          <w:rFonts w:hint="eastAsia" w:ascii="宋体" w:hAnsi="宋体"/>
          <w:szCs w:val="21"/>
        </w:rPr>
        <w:t>，</w:t>
      </w:r>
      <w:r>
        <w:rPr>
          <w:rFonts w:ascii="宋体" w:hAnsi="宋体"/>
          <w:szCs w:val="21"/>
        </w:rPr>
        <w:t>每逾期1天，乙方向甲方偿付逾期交货部分货款总额的</w:t>
      </w:r>
      <w:r>
        <w:rPr>
          <w:rFonts w:hint="eastAsia" w:ascii="宋体" w:hAnsi="宋体"/>
          <w:szCs w:val="21"/>
        </w:rPr>
        <w:t>【】</w:t>
      </w:r>
      <w:r>
        <w:rPr>
          <w:rFonts w:ascii="宋体" w:hAnsi="宋体"/>
          <w:szCs w:val="21"/>
        </w:rPr>
        <w:t>‰的滞纳金</w:t>
      </w:r>
      <w:r>
        <w:rPr>
          <w:rFonts w:hint="eastAsia" w:ascii="宋体" w:hAnsi="宋体"/>
          <w:szCs w:val="21"/>
        </w:rPr>
        <w:t>。如乙方逾期交货达</w:t>
      </w:r>
      <w:r>
        <w:rPr>
          <w:rFonts w:ascii="宋体" w:hAnsi="宋体"/>
          <w:szCs w:val="21"/>
          <w:u w:val="single"/>
        </w:rPr>
        <w:t xml:space="preserve">    </w:t>
      </w:r>
      <w:r>
        <w:rPr>
          <w:rFonts w:hint="eastAsia" w:ascii="宋体" w:hAnsi="宋体"/>
          <w:szCs w:val="21"/>
        </w:rPr>
        <w:t>天，甲方有权解除合同，履约保证金不予退回，同时乙方应向甲方支付合同总价【】％的违约金。</w:t>
      </w:r>
    </w:p>
    <w:p>
      <w:pPr>
        <w:spacing w:after="60" w:line="360" w:lineRule="auto"/>
        <w:ind w:firstLine="420" w:firstLineChars="200"/>
        <w:jc w:val="left"/>
        <w:rPr>
          <w:rFonts w:ascii="宋体" w:hAnsi="宋体"/>
          <w:szCs w:val="21"/>
        </w:rPr>
      </w:pPr>
      <w:r>
        <w:rPr>
          <w:rFonts w:ascii="宋体" w:hAnsi="宋体"/>
          <w:szCs w:val="21"/>
        </w:rPr>
        <w:t>11.4乙方所交付的货物品种、型号、规格不符合合同规定的，甲方有权拒收。甲方拒收的，乙方应向甲方支付货款总额【】%的违约金。</w:t>
      </w:r>
    </w:p>
    <w:p>
      <w:pPr>
        <w:spacing w:after="60" w:line="360" w:lineRule="auto"/>
        <w:ind w:firstLine="420" w:firstLineChars="200"/>
        <w:jc w:val="left"/>
        <w:rPr>
          <w:rFonts w:ascii="宋体" w:hAnsi="宋体"/>
          <w:szCs w:val="21"/>
        </w:rPr>
      </w:pPr>
      <w:r>
        <w:rPr>
          <w:rFonts w:ascii="宋体" w:hAnsi="宋体"/>
          <w:szCs w:val="21"/>
        </w:rPr>
        <w:t>11.5在乙方承诺的或国家规定的质量保证期内（取两者中最长的期限），如经乙方两次维修</w:t>
      </w:r>
      <w:r>
        <w:rPr>
          <w:rFonts w:hint="eastAsia" w:ascii="宋体" w:hAnsi="宋体"/>
          <w:szCs w:val="21"/>
        </w:rPr>
        <w:t>或更换</w:t>
      </w:r>
      <w:r>
        <w:rPr>
          <w:rFonts w:ascii="宋体" w:hAnsi="宋体"/>
          <w:szCs w:val="21"/>
        </w:rPr>
        <w:t>，货物仍不能达到合同约定</w:t>
      </w:r>
      <w:r>
        <w:rPr>
          <w:rFonts w:hint="eastAsia" w:ascii="宋体" w:hAnsi="宋体"/>
          <w:szCs w:val="21"/>
        </w:rPr>
        <w:t>的</w:t>
      </w:r>
      <w:r>
        <w:rPr>
          <w:rFonts w:ascii="宋体" w:hAnsi="宋体"/>
          <w:szCs w:val="21"/>
        </w:rPr>
        <w:t>质量标准，甲方有权退货，乙方</w:t>
      </w:r>
      <w:r>
        <w:rPr>
          <w:rFonts w:hint="eastAsia" w:ascii="宋体" w:hAnsi="宋体"/>
          <w:szCs w:val="21"/>
        </w:rPr>
        <w:t>应</w:t>
      </w:r>
      <w:r>
        <w:rPr>
          <w:rFonts w:ascii="宋体" w:hAnsi="宋体"/>
          <w:szCs w:val="21"/>
        </w:rPr>
        <w:t>退回全部货款</w:t>
      </w:r>
      <w:r>
        <w:rPr>
          <w:rFonts w:hint="eastAsia" w:ascii="宋体" w:hAnsi="宋体"/>
          <w:szCs w:val="21"/>
        </w:rPr>
        <w:t>并</w:t>
      </w:r>
      <w:r>
        <w:rPr>
          <w:rFonts w:ascii="宋体" w:hAnsi="宋体"/>
          <w:szCs w:val="21"/>
        </w:rPr>
        <w:t>赔偿甲方因此遭受的损失。</w:t>
      </w:r>
    </w:p>
    <w:p>
      <w:pPr>
        <w:spacing w:after="60" w:line="360" w:lineRule="auto"/>
        <w:ind w:firstLine="420" w:firstLineChars="200"/>
        <w:jc w:val="left"/>
        <w:rPr>
          <w:rFonts w:ascii="宋体" w:hAnsi="宋体"/>
          <w:szCs w:val="21"/>
        </w:rPr>
      </w:pPr>
      <w:r>
        <w:rPr>
          <w:rFonts w:ascii="宋体" w:hAnsi="宋体"/>
          <w:szCs w:val="21"/>
        </w:rPr>
        <w:t>11.6乙方未履行本合同项下的其他义务或违反其在投标文件中的相关承诺的，应按合同总价款的【】%向甲方承担违约责任。</w:t>
      </w:r>
    </w:p>
    <w:p>
      <w:pPr>
        <w:spacing w:after="60" w:line="360" w:lineRule="auto"/>
        <w:ind w:firstLine="420" w:firstLineChars="200"/>
        <w:jc w:val="left"/>
        <w:rPr>
          <w:rFonts w:ascii="宋体" w:hAnsi="宋体"/>
          <w:szCs w:val="21"/>
        </w:rPr>
      </w:pPr>
      <w:r>
        <w:rPr>
          <w:rFonts w:ascii="宋体" w:hAnsi="宋体"/>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after="60" w:line="360" w:lineRule="auto"/>
        <w:ind w:firstLine="422" w:firstLineChars="200"/>
        <w:jc w:val="left"/>
        <w:rPr>
          <w:rFonts w:ascii="宋体" w:hAnsi="宋体"/>
          <w:b/>
          <w:szCs w:val="21"/>
        </w:rPr>
      </w:pPr>
      <w:r>
        <w:rPr>
          <w:rFonts w:hint="eastAsia" w:ascii="宋体" w:hAnsi="宋体"/>
          <w:b/>
          <w:szCs w:val="21"/>
        </w:rPr>
        <w:t>第十二条</w:t>
      </w:r>
      <w:r>
        <w:rPr>
          <w:rFonts w:ascii="宋体" w:hAnsi="宋体"/>
          <w:b/>
          <w:szCs w:val="21"/>
        </w:rPr>
        <w:t xml:space="preserve">  </w:t>
      </w:r>
      <w:r>
        <w:rPr>
          <w:rFonts w:hint="eastAsia" w:ascii="宋体" w:hAnsi="宋体"/>
          <w:b/>
          <w:szCs w:val="21"/>
        </w:rPr>
        <w:t>合同的变更、解除或终止</w:t>
      </w:r>
    </w:p>
    <w:p>
      <w:pPr>
        <w:spacing w:after="60" w:line="360" w:lineRule="auto"/>
        <w:ind w:firstLine="420" w:firstLineChars="200"/>
        <w:jc w:val="left"/>
        <w:rPr>
          <w:rFonts w:ascii="宋体" w:hAnsi="宋体"/>
          <w:szCs w:val="21"/>
        </w:rPr>
      </w:pPr>
      <w:r>
        <w:rPr>
          <w:rFonts w:ascii="宋体" w:hAnsi="宋体"/>
          <w:szCs w:val="21"/>
        </w:rPr>
        <w:t>12.1在合同履行中，甲方需追加与合同标的项目的货物、工程或者服务的，应按照《深圳经济特区政府采购条例》第四十条、第四十八条规定办理相关手续。</w:t>
      </w:r>
    </w:p>
    <w:p>
      <w:pPr>
        <w:spacing w:after="60" w:line="360" w:lineRule="auto"/>
        <w:ind w:firstLine="420" w:firstLineChars="200"/>
        <w:jc w:val="left"/>
        <w:rPr>
          <w:rFonts w:ascii="宋体" w:hAnsi="宋体"/>
          <w:szCs w:val="21"/>
        </w:rPr>
      </w:pPr>
      <w:r>
        <w:rPr>
          <w:rFonts w:ascii="宋体" w:hAnsi="宋体"/>
          <w:szCs w:val="21"/>
        </w:rPr>
        <w:t>12.</w:t>
      </w:r>
      <w:r>
        <w:rPr>
          <w:rFonts w:hint="eastAsia" w:ascii="宋体" w:hAnsi="宋体"/>
          <w:szCs w:val="21"/>
        </w:rPr>
        <w:t>2</w:t>
      </w:r>
      <w:r>
        <w:rPr>
          <w:rFonts w:ascii="宋体" w:hAnsi="宋体"/>
          <w:szCs w:val="21"/>
        </w:rPr>
        <w:t>除《中华人民共和国政府采购法》第49条、第50条第二款规定的情形外，本合同一经签订，甲乙双方不得擅自变更、中止或终止合同。</w:t>
      </w:r>
    </w:p>
    <w:p>
      <w:pPr>
        <w:spacing w:after="60" w:line="360" w:lineRule="auto"/>
        <w:ind w:firstLine="422" w:firstLineChars="200"/>
        <w:jc w:val="left"/>
        <w:rPr>
          <w:rFonts w:ascii="宋体" w:hAnsi="宋体"/>
          <w:b/>
          <w:szCs w:val="21"/>
        </w:rPr>
      </w:pPr>
      <w:r>
        <w:rPr>
          <w:rFonts w:hint="eastAsia" w:ascii="宋体" w:hAnsi="宋体"/>
          <w:b/>
          <w:szCs w:val="21"/>
        </w:rPr>
        <w:t>第十三条</w:t>
      </w:r>
      <w:r>
        <w:rPr>
          <w:rFonts w:ascii="宋体" w:hAnsi="宋体"/>
          <w:b/>
          <w:szCs w:val="21"/>
        </w:rPr>
        <w:t xml:space="preserve">  </w:t>
      </w:r>
      <w:r>
        <w:rPr>
          <w:rFonts w:hint="eastAsia" w:ascii="宋体" w:hAnsi="宋体"/>
          <w:b/>
          <w:szCs w:val="21"/>
        </w:rPr>
        <w:t>争议的解决</w:t>
      </w:r>
    </w:p>
    <w:p>
      <w:pPr>
        <w:spacing w:after="60" w:line="360" w:lineRule="auto"/>
        <w:ind w:firstLine="420" w:firstLineChars="200"/>
        <w:jc w:val="left"/>
        <w:rPr>
          <w:rFonts w:ascii="宋体" w:hAnsi="宋体"/>
          <w:szCs w:val="21"/>
        </w:rPr>
      </w:pPr>
      <w:r>
        <w:rPr>
          <w:rFonts w:ascii="宋体" w:hAnsi="宋体"/>
          <w:szCs w:val="21"/>
        </w:rPr>
        <w:t>13.1因货物的质量问题发生争议的，应当邀请国家认可的质量检测机构对货物质量进行鉴定。货物符合标准的，鉴定费由甲方承担；货物不符合质量标准的，鉴定费由乙方承担。</w:t>
      </w:r>
    </w:p>
    <w:p>
      <w:pPr>
        <w:spacing w:after="60" w:line="360" w:lineRule="auto"/>
        <w:ind w:firstLine="420" w:firstLineChars="200"/>
        <w:jc w:val="left"/>
        <w:rPr>
          <w:rFonts w:ascii="宋体" w:hAnsi="宋体"/>
          <w:szCs w:val="21"/>
        </w:rPr>
      </w:pPr>
      <w:r>
        <w:rPr>
          <w:rFonts w:ascii="宋体" w:hAnsi="宋体"/>
          <w:szCs w:val="21"/>
        </w:rPr>
        <w:t>13.2因履行本合同引起的或与本合同有关的争议，甲、乙双方应首先通过友好协商解决，如果协商不能解决争议，则向甲方所在地有管辖权的人民法院提起诉讼。</w:t>
      </w:r>
    </w:p>
    <w:p>
      <w:pPr>
        <w:spacing w:after="60" w:line="360" w:lineRule="auto"/>
        <w:ind w:firstLine="422" w:firstLineChars="200"/>
        <w:jc w:val="left"/>
        <w:rPr>
          <w:rFonts w:ascii="宋体" w:hAnsi="宋体"/>
          <w:b/>
          <w:szCs w:val="21"/>
        </w:rPr>
      </w:pPr>
      <w:r>
        <w:rPr>
          <w:rFonts w:hint="eastAsia" w:ascii="宋体" w:hAnsi="宋体"/>
          <w:b/>
          <w:szCs w:val="21"/>
        </w:rPr>
        <w:t>第十四条</w:t>
      </w:r>
      <w:r>
        <w:rPr>
          <w:rFonts w:ascii="宋体" w:hAnsi="宋体"/>
          <w:b/>
          <w:szCs w:val="21"/>
        </w:rPr>
        <w:t xml:space="preserve">  </w:t>
      </w:r>
      <w:r>
        <w:rPr>
          <w:rFonts w:hint="eastAsia" w:ascii="宋体" w:hAnsi="宋体"/>
          <w:b/>
          <w:szCs w:val="21"/>
        </w:rPr>
        <w:t>合同生效及其他</w:t>
      </w:r>
    </w:p>
    <w:p>
      <w:pPr>
        <w:spacing w:after="60" w:line="360" w:lineRule="auto"/>
        <w:ind w:firstLine="420" w:firstLineChars="200"/>
        <w:jc w:val="left"/>
        <w:rPr>
          <w:rFonts w:ascii="宋体" w:hAnsi="宋体"/>
          <w:szCs w:val="21"/>
        </w:rPr>
      </w:pPr>
      <w:r>
        <w:rPr>
          <w:rFonts w:ascii="宋体" w:hAnsi="宋体"/>
          <w:szCs w:val="21"/>
        </w:rPr>
        <w:t>14.1下列文件均为本合同的组成部分：</w:t>
      </w:r>
    </w:p>
    <w:p>
      <w:pPr>
        <w:spacing w:after="60"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招标文件、答疑及补充通知；</w:t>
      </w:r>
    </w:p>
    <w:p>
      <w:pPr>
        <w:spacing w:after="60"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2）乙方的投标文件；</w:t>
      </w:r>
    </w:p>
    <w:p>
      <w:pPr>
        <w:spacing w:after="60"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3）本合同执行中甲乙双方共同签署的补充与修正文件。</w:t>
      </w:r>
    </w:p>
    <w:p>
      <w:pPr>
        <w:spacing w:after="60" w:line="360" w:lineRule="auto"/>
        <w:ind w:firstLine="420" w:firstLineChars="200"/>
        <w:jc w:val="left"/>
        <w:rPr>
          <w:rFonts w:ascii="宋体" w:hAnsi="宋体"/>
          <w:szCs w:val="21"/>
        </w:rPr>
      </w:pPr>
      <w:r>
        <w:rPr>
          <w:rFonts w:ascii="宋体" w:hAnsi="宋体"/>
          <w:szCs w:val="21"/>
        </w:rPr>
        <w:t>14.2本合同一式</w:t>
      </w:r>
      <w:r>
        <w:rPr>
          <w:rFonts w:ascii="宋体" w:hAnsi="宋体"/>
          <w:szCs w:val="21"/>
          <w:u w:val="single"/>
        </w:rPr>
        <w:t xml:space="preserve">     </w:t>
      </w:r>
      <w:r>
        <w:rPr>
          <w:rFonts w:hint="eastAsia" w:ascii="宋体" w:hAnsi="宋体"/>
          <w:szCs w:val="21"/>
        </w:rPr>
        <w:t>份，甲、乙方双方各执</w:t>
      </w:r>
      <w:r>
        <w:rPr>
          <w:rFonts w:ascii="宋体" w:hAnsi="宋体"/>
          <w:szCs w:val="21"/>
          <w:u w:val="single"/>
        </w:rPr>
        <w:t xml:space="preserve">     </w:t>
      </w:r>
      <w:r>
        <w:rPr>
          <w:rFonts w:hint="eastAsia" w:ascii="宋体" w:hAnsi="宋体"/>
          <w:szCs w:val="21"/>
        </w:rPr>
        <w:t>份，具有同等法律效力。本合同自双方签字并盖章之日起生效。</w:t>
      </w:r>
    </w:p>
    <w:p>
      <w:pPr>
        <w:snapToGrid w:val="0"/>
        <w:spacing w:after="60" w:line="360" w:lineRule="auto"/>
        <w:ind w:firstLine="420" w:firstLineChars="200"/>
        <w:rPr>
          <w:rFonts w:ascii="宋体" w:hAnsi="宋体"/>
          <w:szCs w:val="21"/>
        </w:rPr>
      </w:pPr>
      <w:r>
        <w:rPr>
          <w:rFonts w:ascii="宋体" w:hAnsi="宋体"/>
          <w:szCs w:val="21"/>
        </w:rPr>
        <w:t>14.</w:t>
      </w:r>
      <w:r>
        <w:rPr>
          <w:rFonts w:hint="eastAsia" w:ascii="宋体" w:hAnsi="宋体"/>
          <w:szCs w:val="21"/>
        </w:rPr>
        <w:t>3本合同未尽事宜，双方友好协商，达成解决方案，经双方签字后，可作为本合同的有效附件。</w:t>
      </w:r>
    </w:p>
    <w:p>
      <w:pPr>
        <w:spacing w:after="60" w:line="360" w:lineRule="auto"/>
        <w:ind w:firstLine="420" w:firstLineChars="200"/>
        <w:jc w:val="left"/>
        <w:rPr>
          <w:rFonts w:ascii="宋体" w:hAnsi="宋体"/>
          <w:szCs w:val="21"/>
        </w:rPr>
      </w:pPr>
    </w:p>
    <w:p>
      <w:pPr>
        <w:pStyle w:val="23"/>
        <w:snapToGrid w:val="0"/>
        <w:spacing w:line="360" w:lineRule="auto"/>
        <w:ind w:firstLine="420" w:firstLineChars="200"/>
        <w:rPr>
          <w:rFonts w:hAnsi="宋体"/>
          <w:szCs w:val="21"/>
        </w:rPr>
      </w:pPr>
      <w:r>
        <w:rPr>
          <w:rFonts w:hint="eastAsia" w:hAnsi="宋体"/>
          <w:szCs w:val="21"/>
        </w:rPr>
        <w:t>附件：</w:t>
      </w:r>
    </w:p>
    <w:p>
      <w:pPr>
        <w:snapToGrid w:val="0"/>
        <w:spacing w:after="60" w:line="360" w:lineRule="auto"/>
        <w:ind w:firstLine="420" w:firstLineChars="200"/>
        <w:rPr>
          <w:rFonts w:ascii="宋体" w:hAnsi="宋体"/>
          <w:szCs w:val="21"/>
        </w:rPr>
      </w:pPr>
      <w:r>
        <w:rPr>
          <w:rFonts w:hint="eastAsia" w:ascii="宋体" w:hAnsi="宋体"/>
          <w:szCs w:val="21"/>
        </w:rPr>
        <w:t>1、《中标/成交通知书》</w:t>
      </w:r>
    </w:p>
    <w:p>
      <w:pPr>
        <w:snapToGrid w:val="0"/>
        <w:spacing w:after="60" w:line="360" w:lineRule="auto"/>
        <w:ind w:firstLine="420" w:firstLineChars="200"/>
        <w:rPr>
          <w:rFonts w:ascii="宋体" w:hAnsi="宋体"/>
          <w:szCs w:val="21"/>
        </w:rPr>
      </w:pPr>
      <w:r>
        <w:rPr>
          <w:rFonts w:hint="eastAsia" w:ascii="宋体" w:hAnsi="宋体"/>
          <w:szCs w:val="21"/>
        </w:rPr>
        <w:t>2、《投标文件》</w:t>
      </w:r>
    </w:p>
    <w:p>
      <w:pPr>
        <w:snapToGrid w:val="0"/>
        <w:spacing w:after="60"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ind w:firstLine="420" w:firstLineChars="200"/>
        <w:rPr>
          <w:rFonts w:ascii="宋体" w:hAnsi="宋体"/>
          <w:szCs w:val="21"/>
        </w:rPr>
      </w:pPr>
      <w:r>
        <w:rPr>
          <w:rFonts w:hint="eastAsia" w:ascii="宋体" w:hAnsi="宋体"/>
          <w:szCs w:val="21"/>
        </w:rPr>
        <w:t>4、《分包意向协议书/联合体投标协议》</w:t>
      </w:r>
    </w:p>
    <w:p>
      <w:pPr>
        <w:spacing w:after="60" w:line="360" w:lineRule="auto"/>
        <w:ind w:firstLine="420" w:firstLineChars="200"/>
        <w:jc w:val="left"/>
        <w:rPr>
          <w:rFonts w:ascii="宋体" w:hAnsi="宋体"/>
          <w:szCs w:val="21"/>
        </w:rPr>
      </w:pPr>
    </w:p>
    <w:p>
      <w:pPr>
        <w:spacing w:after="60" w:line="360" w:lineRule="auto"/>
        <w:ind w:firstLine="424" w:firstLineChars="202"/>
        <w:jc w:val="left"/>
        <w:rPr>
          <w:rFonts w:ascii="宋体" w:hAnsi="宋体"/>
          <w:szCs w:val="21"/>
        </w:rPr>
      </w:pPr>
      <w:r>
        <w:rPr>
          <w:rFonts w:hint="eastAsia" w:ascii="宋体" w:hAnsi="宋体"/>
          <w:szCs w:val="21"/>
        </w:rPr>
        <w:t>甲方（采购人）：</w:t>
      </w:r>
      <w:r>
        <w:rPr>
          <w:rFonts w:ascii="宋体" w:hAnsi="宋体"/>
          <w:szCs w:val="21"/>
        </w:rPr>
        <w:t>（盖</w:t>
      </w:r>
      <w:r>
        <w:rPr>
          <w:rFonts w:hint="eastAsia" w:ascii="宋体" w:hAnsi="宋体"/>
          <w:szCs w:val="21"/>
        </w:rPr>
        <w:t>公</w:t>
      </w:r>
      <w:r>
        <w:rPr>
          <w:rFonts w:ascii="宋体" w:hAnsi="宋体"/>
          <w:szCs w:val="21"/>
        </w:rPr>
        <w:t xml:space="preserve">章）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乙方（</w:t>
      </w:r>
      <w:r>
        <w:rPr>
          <w:rFonts w:hint="eastAsia" w:ascii="宋体" w:hAnsi="宋体"/>
          <w:szCs w:val="21"/>
        </w:rPr>
        <w:t>中标人</w:t>
      </w:r>
      <w:r>
        <w:rPr>
          <w:rFonts w:ascii="宋体" w:hAnsi="宋体"/>
          <w:szCs w:val="21"/>
        </w:rPr>
        <w:t>）：（盖</w:t>
      </w:r>
      <w:r>
        <w:rPr>
          <w:rFonts w:hint="eastAsia" w:ascii="宋体" w:hAnsi="宋体"/>
          <w:szCs w:val="21"/>
        </w:rPr>
        <w:t>公</w:t>
      </w:r>
      <w:r>
        <w:rPr>
          <w:rFonts w:ascii="宋体" w:hAnsi="宋体"/>
          <w:szCs w:val="21"/>
        </w:rPr>
        <w:t>章）</w:t>
      </w:r>
    </w:p>
    <w:p>
      <w:pPr>
        <w:spacing w:after="60" w:line="360" w:lineRule="auto"/>
        <w:ind w:firstLine="424" w:firstLineChars="202"/>
        <w:jc w:val="left"/>
        <w:rPr>
          <w:rFonts w:ascii="宋体" w:hAnsi="宋体"/>
          <w:szCs w:val="21"/>
        </w:rPr>
      </w:pPr>
      <w:r>
        <w:rPr>
          <w:rFonts w:hint="eastAsia" w:ascii="宋体" w:hAnsi="宋体"/>
          <w:szCs w:val="21"/>
        </w:rPr>
        <w:t>法定代表人（签字或盖私章）：</w:t>
      </w:r>
      <w:r>
        <w:rPr>
          <w:rFonts w:ascii="宋体" w:hAnsi="宋体"/>
          <w:szCs w:val="21"/>
        </w:rPr>
        <w:t xml:space="preserve">                 </w:t>
      </w:r>
      <w:r>
        <w:rPr>
          <w:rFonts w:hint="eastAsia" w:ascii="宋体" w:hAnsi="宋体"/>
          <w:szCs w:val="21"/>
        </w:rPr>
        <w:t xml:space="preserve"> </w:t>
      </w:r>
      <w:r>
        <w:rPr>
          <w:rFonts w:ascii="宋体" w:hAnsi="宋体"/>
          <w:szCs w:val="21"/>
        </w:rPr>
        <w:t>法定代表人</w:t>
      </w:r>
      <w:r>
        <w:rPr>
          <w:rFonts w:hint="eastAsia" w:ascii="宋体" w:hAnsi="宋体"/>
          <w:szCs w:val="21"/>
        </w:rPr>
        <w:t>（签字或盖私章）</w:t>
      </w:r>
      <w:r>
        <w:rPr>
          <w:rFonts w:ascii="宋体" w:hAnsi="宋体"/>
          <w:szCs w:val="21"/>
        </w:rPr>
        <w:t xml:space="preserve">： </w:t>
      </w:r>
    </w:p>
    <w:p>
      <w:pPr>
        <w:spacing w:after="60" w:line="360" w:lineRule="auto"/>
        <w:ind w:firstLine="424" w:firstLineChars="202"/>
        <w:jc w:val="left"/>
        <w:rPr>
          <w:rFonts w:ascii="宋体" w:hAnsi="宋体"/>
          <w:szCs w:val="21"/>
        </w:rPr>
      </w:pPr>
      <w:r>
        <w:rPr>
          <w:rFonts w:hint="eastAsia" w:ascii="宋体" w:hAnsi="宋体"/>
          <w:szCs w:val="21"/>
        </w:rPr>
        <w:t>委托代理人：</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委托代理人：</w:t>
      </w:r>
    </w:p>
    <w:p>
      <w:pPr>
        <w:spacing w:after="60"/>
        <w:ind w:firstLine="424" w:firstLineChars="202"/>
        <w:rPr>
          <w:rFonts w:ascii="宋体" w:hAnsi="宋体"/>
          <w:b/>
          <w:szCs w:val="21"/>
        </w:rPr>
      </w:pPr>
      <w:r>
        <w:rPr>
          <w:rFonts w:hint="eastAsia" w:ascii="宋体" w:hAnsi="宋体"/>
          <w:szCs w:val="21"/>
        </w:rPr>
        <w:t>日期：</w:t>
      </w:r>
      <w:r>
        <w:rPr>
          <w:rFonts w:ascii="宋体" w:hAnsi="宋体"/>
          <w:szCs w:val="21"/>
        </w:rPr>
        <w:t xml:space="preserve">   年     月    日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日期：   年     月    日</w:t>
      </w:r>
    </w:p>
    <w:p/>
    <w:p>
      <w:pPr>
        <w:widowControl/>
        <w:jc w:val="left"/>
        <w:rPr>
          <w:rFonts w:ascii="黑体" w:hAnsi="宋体" w:eastAsia="黑体"/>
          <w:bCs/>
          <w:kern w:val="0"/>
          <w:sz w:val="24"/>
        </w:rPr>
      </w:pPr>
      <w:r>
        <w:rPr>
          <w:rFonts w:ascii="黑体" w:eastAsia="黑体"/>
          <w:b/>
          <w:kern w:val="0"/>
          <w:sz w:val="24"/>
        </w:rPr>
        <w:br w:type="page"/>
      </w:r>
    </w:p>
    <w:p>
      <w:pPr>
        <w:pStyle w:val="5"/>
        <w:jc w:val="center"/>
        <w:rPr>
          <w:rFonts w:ascii="黑体" w:eastAsia="黑体"/>
          <w:b w:val="0"/>
          <w:kern w:val="0"/>
          <w:sz w:val="24"/>
          <w:szCs w:val="24"/>
        </w:rPr>
      </w:pPr>
      <w:r>
        <w:rPr>
          <w:rFonts w:hint="eastAsia" w:ascii="黑体" w:eastAsia="黑体"/>
          <w:b w:val="0"/>
          <w:kern w:val="0"/>
          <w:sz w:val="24"/>
          <w:szCs w:val="24"/>
        </w:rPr>
        <w:t>二、政府采购履约情况反馈表</w:t>
      </w: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42"/>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120" w:beforeLines="50" w:after="12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20" w:beforeLines="50" w:after="12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0"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履约情况评价分为优、良、中、差四个等级，请在对应的框前打“√”，然后在“具体情况说明”一栏详细说明有关情况。</w:t>
      </w:r>
    </w:p>
    <w:p>
      <w:pPr>
        <w:widowControl/>
        <w:jc w:val="left"/>
        <w:rPr>
          <w:rFonts w:ascii="宋体" w:hAnsi="宋体"/>
          <w:szCs w:val="21"/>
        </w:rPr>
      </w:pPr>
      <w:r>
        <w:rPr>
          <w:rFonts w:ascii="宋体" w:hAnsi="宋体"/>
          <w:szCs w:val="21"/>
        </w:rPr>
        <w:br w:type="page"/>
      </w:r>
    </w:p>
    <w:p>
      <w:pPr>
        <w:jc w:val="center"/>
        <w:rPr>
          <w:rFonts w:ascii="宋体" w:hAnsi="宋体"/>
          <w:b/>
          <w:bCs/>
          <w:kern w:val="0"/>
          <w:sz w:val="24"/>
          <w:szCs w:val="20"/>
        </w:rPr>
      </w:pPr>
      <w:r>
        <w:rPr>
          <w:rFonts w:hint="eastAsia" w:ascii="宋体" w:hAnsi="宋体"/>
          <w:b/>
          <w:bCs/>
          <w:kern w:val="0"/>
          <w:sz w:val="24"/>
          <w:szCs w:val="20"/>
        </w:rPr>
        <w:t>第五章  附件</w:t>
      </w:r>
    </w:p>
    <w:p>
      <w:pPr>
        <w:jc w:val="center"/>
        <w:rPr>
          <w:rFonts w:ascii="宋体" w:hAnsi="宋体"/>
          <w:b/>
          <w:bCs/>
          <w:kern w:val="0"/>
          <w:sz w:val="24"/>
          <w:szCs w:val="20"/>
        </w:rPr>
      </w:pPr>
    </w:p>
    <w:p>
      <w:pPr>
        <w:jc w:val="center"/>
        <w:rPr>
          <w:rFonts w:ascii="宋体" w:hAnsi="宋体"/>
          <w:b/>
          <w:bCs/>
          <w:kern w:val="0"/>
          <w:sz w:val="24"/>
          <w:szCs w:val="20"/>
        </w:rPr>
      </w:pPr>
    </w:p>
    <w:p>
      <w:pPr>
        <w:keepNext/>
        <w:keepLines/>
        <w:jc w:val="center"/>
        <w:outlineLvl w:val="2"/>
        <w:rPr>
          <w:rFonts w:ascii="宋体" w:hAnsi="宋体"/>
          <w:b/>
          <w:bCs/>
          <w:kern w:val="0"/>
          <w:sz w:val="28"/>
          <w:szCs w:val="32"/>
        </w:rPr>
      </w:pPr>
      <w:bookmarkStart w:id="37" w:name="_Toc73613644"/>
      <w:bookmarkStart w:id="38" w:name="_Toc73610162"/>
      <w:r>
        <w:rPr>
          <w:rFonts w:hint="eastAsia" w:ascii="宋体" w:hAnsi="宋体"/>
          <w:b/>
          <w:bCs/>
          <w:kern w:val="0"/>
          <w:sz w:val="28"/>
          <w:szCs w:val="32"/>
        </w:rPr>
        <w:t>一、财政部 工业和信息化部关于印发《政府采购促进中小企业发展管理办法》的通知</w:t>
      </w:r>
      <w:bookmarkEnd w:id="37"/>
      <w:bookmarkEnd w:id="38"/>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keepNext/>
        <w:keepLines/>
        <w:jc w:val="center"/>
        <w:outlineLvl w:val="2"/>
        <w:rPr>
          <w:rFonts w:ascii="宋体" w:hAnsi="宋体"/>
          <w:b/>
          <w:bCs/>
          <w:kern w:val="0"/>
          <w:sz w:val="28"/>
          <w:szCs w:val="32"/>
        </w:rPr>
      </w:pPr>
      <w:bookmarkStart w:id="39" w:name="_Toc73610163"/>
      <w:bookmarkStart w:id="40" w:name="_Toc73613645"/>
      <w:r>
        <w:rPr>
          <w:rFonts w:hint="eastAsia" w:ascii="宋体" w:hAnsi="宋体"/>
          <w:b/>
          <w:bCs/>
          <w:kern w:val="0"/>
          <w:sz w:val="28"/>
          <w:szCs w:val="32"/>
        </w:rPr>
        <w:t>二、关于印发中小企业划型标准规定的通知</w:t>
      </w:r>
      <w:bookmarkEnd w:id="39"/>
      <w:bookmarkEnd w:id="40"/>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keepNext/>
        <w:keepLines/>
        <w:jc w:val="center"/>
        <w:outlineLvl w:val="2"/>
        <w:rPr>
          <w:rFonts w:asciiTheme="minorEastAsia" w:hAnsiTheme="minorEastAsia" w:eastAsiaTheme="minorEastAsia"/>
          <w:b/>
          <w:bCs/>
          <w:kern w:val="0"/>
          <w:sz w:val="28"/>
          <w:szCs w:val="32"/>
        </w:rPr>
      </w:pPr>
      <w:bookmarkStart w:id="41" w:name="_Toc73610164"/>
      <w:bookmarkStart w:id="42" w:name="_Toc73613646"/>
      <w:r>
        <w:rPr>
          <w:rFonts w:hint="eastAsia" w:asciiTheme="minorEastAsia" w:hAnsiTheme="minorEastAsia" w:eastAsiaTheme="minorEastAsia"/>
          <w:b/>
          <w:kern w:val="0"/>
          <w:sz w:val="28"/>
          <w:szCs w:val="32"/>
        </w:rPr>
        <w:t>三、</w:t>
      </w:r>
      <w:r>
        <w:rPr>
          <w:rFonts w:asciiTheme="minorEastAsia" w:hAnsiTheme="minorEastAsia" w:eastAsiaTheme="minorEastAsia"/>
          <w:b/>
          <w:kern w:val="0"/>
          <w:sz w:val="28"/>
          <w:szCs w:val="32"/>
        </w:rPr>
        <w:t>国家统计局关于印发《统计上大中小微型企业划分办法 （2017）》的通知</w:t>
      </w:r>
      <w:bookmarkEnd w:id="41"/>
      <w:bookmarkEnd w:id="42"/>
      <w:r>
        <w:rPr>
          <w:rFonts w:asciiTheme="minorEastAsia" w:hAnsiTheme="minorEastAsia" w:eastAsiaTheme="minorEastAsia"/>
          <w:b/>
          <w:kern w:val="0"/>
          <w:sz w:val="28"/>
          <w:szCs w:val="32"/>
        </w:rP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42"/>
        <w:tblW w:w="9435" w:type="dxa"/>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keepNext/>
        <w:keepLines/>
        <w:jc w:val="center"/>
        <w:outlineLvl w:val="2"/>
        <w:rPr>
          <w:rFonts w:ascii="宋体" w:hAnsi="宋体"/>
          <w:b/>
          <w:bCs/>
          <w:kern w:val="0"/>
          <w:sz w:val="28"/>
          <w:szCs w:val="32"/>
        </w:rPr>
      </w:pPr>
      <w:bookmarkStart w:id="43" w:name="_Toc73613647"/>
      <w:bookmarkStart w:id="44" w:name="_Toc73610165"/>
      <w:r>
        <w:rPr>
          <w:rFonts w:hint="eastAsia" w:ascii="宋体" w:hAnsi="宋体"/>
          <w:b/>
          <w:bCs/>
          <w:kern w:val="0"/>
          <w:sz w:val="28"/>
          <w:szCs w:val="32"/>
        </w:rPr>
        <w:t>四、</w:t>
      </w:r>
      <w:r>
        <w:rPr>
          <w:rFonts w:ascii="宋体" w:hAnsi="宋体"/>
          <w:b/>
          <w:bCs/>
          <w:kern w:val="0"/>
          <w:sz w:val="28"/>
          <w:szCs w:val="32"/>
        </w:rPr>
        <w:t>财政部 民政部 中国残疾人联合会关于促进残疾人就业 政府采购政策的通知</w:t>
      </w:r>
      <w:bookmarkEnd w:id="43"/>
      <w:bookmarkEnd w:id="44"/>
      <w:r>
        <w:rPr>
          <w:rFonts w:ascii="宋体" w:hAnsi="宋体"/>
          <w:b/>
          <w:bCs/>
          <w:kern w:val="0"/>
          <w:sz w:val="28"/>
          <w:szCs w:val="32"/>
        </w:rP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keepNext/>
        <w:keepLines/>
        <w:jc w:val="center"/>
        <w:outlineLvl w:val="2"/>
        <w:rPr>
          <w:rFonts w:ascii="宋体" w:hAnsi="宋体"/>
          <w:b/>
          <w:bCs/>
          <w:kern w:val="0"/>
          <w:sz w:val="28"/>
          <w:szCs w:val="32"/>
        </w:rPr>
      </w:pPr>
      <w:r>
        <w:rPr>
          <w:rFonts w:hint="eastAsia" w:ascii="宋体" w:hAnsi="宋体"/>
          <w:b/>
          <w:bCs/>
          <w:kern w:val="0"/>
          <w:sz w:val="28"/>
          <w:szCs w:val="32"/>
        </w:rPr>
        <w:t>五、财政部 司法部关于政府采购支持监狱企业发展有关问题的通知</w:t>
      </w:r>
      <w:r>
        <w:rPr>
          <w:rFonts w:ascii="宋体" w:hAnsi="宋体"/>
          <w:b/>
          <w:bCs/>
          <w:kern w:val="0"/>
          <w:sz w:val="28"/>
          <w:szCs w:val="32"/>
        </w:rP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pPr>
        <w:pStyle w:val="5"/>
        <w:spacing w:before="0" w:after="0"/>
        <w:jc w:val="center"/>
        <w:rPr>
          <w:rFonts w:cs="宋体" w:asciiTheme="minorEastAsia" w:hAnsiTheme="minorEastAsia" w:eastAsiaTheme="minorEastAsia"/>
          <w:kern w:val="0"/>
          <w:szCs w:val="21"/>
        </w:rPr>
      </w:pPr>
    </w:p>
    <w:p>
      <w:pPr>
        <w:widowControl/>
        <w:jc w:val="left"/>
        <w:rPr>
          <w:rFonts w:ascii="宋体" w:hAnsi="宋体"/>
          <w:b/>
          <w:bCs/>
          <w:kern w:val="0"/>
          <w:sz w:val="28"/>
          <w:szCs w:val="28"/>
        </w:rPr>
      </w:pPr>
      <w:r>
        <w:rPr>
          <w:rFonts w:ascii="宋体" w:hAnsi="宋体"/>
          <w:b/>
          <w:bCs/>
          <w:kern w:val="0"/>
          <w:sz w:val="28"/>
          <w:szCs w:val="28"/>
        </w:rPr>
        <w:br w:type="page"/>
      </w:r>
    </w:p>
    <w:p>
      <w:pPr>
        <w:pStyle w:val="7"/>
        <w:spacing w:before="120" w:beforeLines="50" w:after="120" w:afterLines="50" w:line="360" w:lineRule="auto"/>
        <w:ind w:left="562"/>
        <w:rPr>
          <w:rFonts w:asciiTheme="majorEastAsia" w:hAnsiTheme="majorEastAsia" w:eastAsiaTheme="majorEastAsia"/>
          <w:sz w:val="32"/>
          <w:szCs w:val="32"/>
        </w:rPr>
      </w:pPr>
      <w:r>
        <w:rPr>
          <w:rFonts w:hint="eastAsia" w:asciiTheme="majorEastAsia" w:hAnsiTheme="majorEastAsia" w:eastAsiaTheme="majorEastAsia"/>
          <w:sz w:val="32"/>
          <w:szCs w:val="32"/>
        </w:rPr>
        <w:t>第二册  通用条款（公开招标）</w:t>
      </w:r>
    </w:p>
    <w:p>
      <w:pPr>
        <w:pStyle w:val="7"/>
        <w:widowControl/>
        <w:numPr>
          <w:ilvl w:val="0"/>
          <w:numId w:val="9"/>
        </w:numPr>
        <w:spacing w:before="120" w:beforeLines="50" w:after="120" w:afterLines="50" w:line="360" w:lineRule="auto"/>
        <w:ind w:left="562" w:hanging="562"/>
        <w:rPr>
          <w:rFonts w:asciiTheme="majorEastAsia" w:hAnsiTheme="majorEastAsia" w:eastAsiaTheme="majorEastAsia"/>
          <w:sz w:val="28"/>
          <w:szCs w:val="28"/>
        </w:rPr>
      </w:pPr>
      <w:bookmarkStart w:id="45" w:name="_Hlk72399513"/>
      <w:r>
        <w:rPr>
          <w:rFonts w:hint="eastAsia" w:asciiTheme="majorEastAsia" w:hAnsiTheme="majorEastAsia" w:eastAsiaTheme="majorEastAsia"/>
          <w:sz w:val="28"/>
          <w:szCs w:val="28"/>
        </w:rPr>
        <w:t>总则</w:t>
      </w:r>
    </w:p>
    <w:bookmarkEnd w:id="45"/>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1. 通用条款说明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1.1采购代理机构发出招标文件通用条款版本，列出深圳市政府采购项目进行招标采购所适用的通用条款内容。</w:t>
      </w:r>
      <w:bookmarkStart w:id="46" w:name="_Hlk72399729"/>
      <w:r>
        <w:rPr>
          <w:rFonts w:hint="eastAsia" w:asciiTheme="majorEastAsia" w:hAnsiTheme="majorEastAsia" w:eastAsiaTheme="majorEastAsia"/>
          <w:szCs w:val="21"/>
        </w:rPr>
        <w:t>如有需要，采购代理机构可以对通用条款的内容进行补充。</w:t>
      </w:r>
      <w:bookmarkEnd w:id="46"/>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1.2招标文件分为第一册“专用条款”和第二册“通用条款”。</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1.3“专用条款”是对本次采购项目的具体要求，包含招标公告、对通用条款的补充内容及其他关键信息、用户需求书、投标文件格式及附件、合同条款及格式等内容。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1.4“通用条款”是适用于政府采购公开招标项目的基础性条款，具有普遍性和通用性。</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1.5 “专用条款”和“通用条款”表述不一致或有冲突时，以“专用条款”为准。</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2</w:t>
      </w:r>
      <w:r>
        <w:rPr>
          <w:rFonts w:asciiTheme="majorEastAsia" w:hAnsiTheme="majorEastAsia" w:eastAsiaTheme="majorEastAsia"/>
          <w:b/>
          <w:bCs/>
          <w:szCs w:val="21"/>
        </w:rPr>
        <w:t>．</w:t>
      </w:r>
      <w:r>
        <w:rPr>
          <w:rFonts w:hint="eastAsia" w:asciiTheme="majorEastAsia" w:hAnsiTheme="majorEastAsia" w:eastAsiaTheme="majorEastAsia"/>
          <w:b/>
          <w:bCs/>
          <w:szCs w:val="21"/>
        </w:rPr>
        <w:t>招标说明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本项目按照《深圳经济特区政府采购条例》、《深圳经济特区政府采购条例实施细则》及政府采购其他法律法规，通过公开招标方式确定中标供应商。</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3．定义</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招标文件中下列术语应解释为：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1</w:t>
      </w:r>
      <w:r>
        <w:rPr>
          <w:rFonts w:hint="eastAsia" w:asciiTheme="majorEastAsia" w:hAnsiTheme="majorEastAsia" w:eastAsiaTheme="majorEastAsia"/>
          <w:szCs w:val="21"/>
        </w:rPr>
        <w:t>“采购人”：指利用财政性资金依法进行政府采购的国家机关、事业单位、团体组织；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 “政府集中采购机构”</w:t>
      </w:r>
      <w:r>
        <w:rPr>
          <w:rFonts w:hint="eastAsia" w:cs="Arial" w:asciiTheme="majorEastAsia" w:hAnsiTheme="majorEastAsia" w:eastAsiaTheme="majorEastAsia"/>
          <w:szCs w:val="21"/>
          <w:shd w:val="clear" w:color="auto" w:fill="FFFFFF"/>
        </w:rPr>
        <w:t>是指市政府设立的，对纳入集中采购目录内的采购项目组织实施采购，并对政府采购活动提供服务的专门机构；</w:t>
      </w:r>
      <w:r>
        <w:rPr>
          <w:rFonts w:hint="eastAsia" w:asciiTheme="majorEastAsia" w:hAnsiTheme="majorEastAsia" w:eastAsiaTheme="majorEastAsia"/>
          <w:szCs w:val="21"/>
        </w:rPr>
        <w:t>本文件所述的“政府集中采购机构”</w:t>
      </w:r>
      <w:r>
        <w:rPr>
          <w:rFonts w:asciiTheme="majorEastAsia" w:hAnsiTheme="majorEastAsia" w:eastAsiaTheme="majorEastAsia"/>
          <w:szCs w:val="21"/>
        </w:rPr>
        <w:t>指</w:t>
      </w:r>
      <w:r>
        <w:rPr>
          <w:rFonts w:hint="eastAsia" w:asciiTheme="majorEastAsia" w:hAnsiTheme="majorEastAsia" w:eastAsiaTheme="majorEastAsia"/>
          <w:szCs w:val="21"/>
        </w:rPr>
        <w:t>深圳公共资源交易中心；</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3.3“采购代理机构”是指根据采购人委托，代理政府采购事宜的社会采购代理机构。本招标文件的招标机构特指</w:t>
      </w:r>
      <w:r>
        <w:rPr>
          <w:rFonts w:hint="eastAsia" w:asciiTheme="majorEastAsia" w:hAnsiTheme="majorEastAsia" w:eastAsiaTheme="majorEastAsia"/>
          <w:b/>
          <w:bCs/>
          <w:szCs w:val="21"/>
        </w:rPr>
        <w:t>深圳市中正招标有限公司；</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3.4“投标人”，即供应商，指参加投标竞争并愿意按照招标文件要求向采购人提供货物、工程或者服务的依法成立的法人、其他组织或者自然人；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3.5“评审委员会”是依据《深圳经济特区政府采购条例》、《深圳经济特区政府采购条例实施细则》等有关规定组建的专门负责本次招标其评审工作的临时性机构；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3.6“日期”</w:t>
      </w:r>
      <w:r>
        <w:rPr>
          <w:rFonts w:asciiTheme="majorEastAsia" w:hAnsiTheme="majorEastAsia" w:eastAsiaTheme="majorEastAsia"/>
          <w:szCs w:val="21"/>
        </w:rPr>
        <w:t>指</w:t>
      </w:r>
      <w:r>
        <w:rPr>
          <w:rFonts w:hint="eastAsia" w:asciiTheme="majorEastAsia" w:hAnsiTheme="majorEastAsia" w:eastAsiaTheme="majorEastAsia"/>
          <w:szCs w:val="21"/>
        </w:rPr>
        <w:t>公历日；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3.7“合同”指由本次招标所产生的合同或合约文件；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3.8“电子投标文件”指利用</w:t>
      </w:r>
      <w:r>
        <w:rPr>
          <w:rFonts w:hint="eastAsia" w:asciiTheme="majorEastAsia" w:hAnsiTheme="majorEastAsia" w:eastAsiaTheme="majorEastAsia"/>
          <w:bCs/>
          <w:szCs w:val="21"/>
        </w:rPr>
        <w:t>深圳公共资源交易网</w:t>
      </w:r>
      <w:r>
        <w:rPr>
          <w:rFonts w:hint="eastAsia" w:asciiTheme="majorEastAsia" w:hAnsiTheme="majorEastAsia" w:eastAsiaTheme="majorEastAsia"/>
          <w:szCs w:val="21"/>
        </w:rPr>
        <w:t>站提供的深圳智慧采购平台投标文件制作专用软件（以下简称：投标文件制作软件）制作并加密的投标文件,适用于网上投标；（投标文件制作软件可从“下载地址：</w:t>
      </w:r>
      <w:r>
        <w:rPr>
          <w:rFonts w:asciiTheme="majorEastAsia" w:hAnsiTheme="majorEastAsia" w:eastAsiaTheme="majorEastAsia"/>
          <w:szCs w:val="21"/>
        </w:rPr>
        <w:t>http://zfcg.szggzy.com/</w:t>
      </w:r>
      <w:r>
        <w:rPr>
          <w:rFonts w:hint="eastAsia" w:asciiTheme="majorEastAsia" w:hAnsiTheme="majorEastAsia" w:eastAsiaTheme="majorEastAsia"/>
          <w:szCs w:val="21"/>
        </w:rPr>
        <w:t>TPBidder/DownLoad/深圳市智慧采购平台投标文件制作专用软件.zip”下载）；</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3.9“网上投标”指通过</w:t>
      </w:r>
      <w:r>
        <w:rPr>
          <w:rFonts w:hint="eastAsia" w:asciiTheme="majorEastAsia" w:hAnsiTheme="majorEastAsia" w:eastAsiaTheme="majorEastAsia"/>
          <w:bCs/>
          <w:szCs w:val="21"/>
        </w:rPr>
        <w:t>深圳公共资源交易网</w:t>
      </w:r>
      <w:r>
        <w:rPr>
          <w:rFonts w:hint="eastAsia" w:asciiTheme="majorEastAsia" w:hAnsiTheme="majorEastAsia" w:eastAsiaTheme="majorEastAsia"/>
          <w:szCs w:val="21"/>
        </w:rPr>
        <w:t>站上传电子投标文件；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3.10招标文件中的标题或题名仅起引导作用，而不应视为对招标文件内容的理解和解释。</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 xml:space="preserve">4. </w:t>
      </w:r>
      <w:bookmarkStart w:id="47" w:name="_Hlk72398643"/>
      <w:r>
        <w:rPr>
          <w:rFonts w:hint="eastAsia" w:asciiTheme="majorEastAsia" w:hAnsiTheme="majorEastAsia" w:eastAsiaTheme="majorEastAsia"/>
          <w:b/>
          <w:bCs/>
          <w:szCs w:val="21"/>
        </w:rPr>
        <w:t>政府采购供应商责任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4.1欢迎诚信、有实力和有社会责任心的供应商参与政府采购事业。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5．投标人参加政府采购的条件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5.1投标人应在投标前到</w:t>
      </w:r>
      <w:r>
        <w:rPr>
          <w:rFonts w:hint="eastAsia" w:asciiTheme="majorEastAsia" w:hAnsiTheme="majorEastAsia" w:eastAsiaTheme="majorEastAsia"/>
          <w:b/>
          <w:bCs/>
          <w:szCs w:val="21"/>
        </w:rPr>
        <w:t>深圳公共资源交易中心（具体在深圳交易集团有限公司政府采购业务分公司进行办理）</w:t>
      </w:r>
      <w:r>
        <w:rPr>
          <w:rFonts w:hint="eastAsia" w:asciiTheme="majorEastAsia" w:hAnsiTheme="majorEastAsia" w:eastAsiaTheme="majorEastAsia"/>
          <w:szCs w:val="21"/>
        </w:rPr>
        <w:t>进行注册并办理电子密钥。《</w:t>
      </w:r>
      <w:r>
        <w:fldChar w:fldCharType="begin"/>
      </w:r>
      <w:r>
        <w:instrText xml:space="preserve"> HYPERLINK "http://www.szzfcg.cn/viewer.do?id=2455258" \t "documentViewer2455258" </w:instrText>
      </w:r>
      <w:r>
        <w:fldChar w:fldCharType="separate"/>
      </w:r>
      <w:r>
        <w:rPr>
          <w:rFonts w:asciiTheme="majorEastAsia" w:hAnsiTheme="majorEastAsia" w:eastAsiaTheme="majorEastAsia"/>
          <w:szCs w:val="21"/>
        </w:rPr>
        <w:t>供应商注册及电子密钥新申请指引</w:t>
      </w:r>
      <w:r>
        <w:rPr>
          <w:rFonts w:asciiTheme="majorEastAsia" w:hAnsiTheme="majorEastAsia" w:eastAsiaTheme="majorEastAsia"/>
          <w:szCs w:val="21"/>
        </w:rPr>
        <w:fldChar w:fldCharType="end"/>
      </w:r>
      <w:r>
        <w:rPr>
          <w:rFonts w:hint="eastAsia" w:asciiTheme="majorEastAsia" w:hAnsiTheme="majorEastAsia" w:eastAsiaTheme="majorEastAsia"/>
          <w:szCs w:val="21"/>
        </w:rPr>
        <w:t>》详见</w:t>
      </w:r>
      <w:r>
        <w:rPr>
          <w:rFonts w:asciiTheme="majorEastAsia" w:hAnsiTheme="majorEastAsia" w:eastAsiaTheme="majorEastAsia"/>
          <w:szCs w:val="21"/>
        </w:rPr>
        <w:t>http://zfcg.szggzy.com/</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5.2投标人资格要求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参加本项目的投标人应具备的资格条件详见本项目招标公告中 “投标人资格要求”（即申请人的资格要求）的内容。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5.3联合体投标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5.3.1　以下有关联合体投标的条款仅适用于允许投标人组成联合体投标的项目。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5.3.2  由两个或两个以上的自然人、法人或者其他组织可以组成一个联合体，以一个供应商的身份共同投标时，应符合以下原则：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（1）投标联合体各方参加政府采购活动应当具备下列条件：</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1、具有独立承担民事责任的能力；</w:t>
      </w:r>
    </w:p>
    <w:p>
      <w:pPr>
        <w:spacing w:line="360" w:lineRule="auto"/>
        <w:ind w:left="420" w:firstLine="411" w:firstLineChars="196"/>
        <w:rPr>
          <w:rFonts w:asciiTheme="majorEastAsia" w:hAnsiTheme="majorEastAsia" w:eastAsiaTheme="majorEastAsia"/>
          <w:szCs w:val="21"/>
        </w:rPr>
      </w:pPr>
      <w:r>
        <w:rPr>
          <w:rFonts w:hint="eastAsia" w:asciiTheme="majorEastAsia" w:hAnsiTheme="majorEastAsia" w:eastAsiaTheme="majorEastAsia"/>
          <w:szCs w:val="21"/>
        </w:rPr>
        <w:t>2、有良好的商业信誉和健全的财务会计制度；</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3、具有履行合同所必需的设备和专业技术能力；</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4、有依法缴纳税收和社会保障资金的良好记录；</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5、参加政府采购活动前三年内，在经营活动中没有重大违法记录；</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6、法律、行政法规规定的其他条件。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（2）在投标截止前，投标联合体各方均应注册成深圳市政府采购供应商；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（3）联合体中有同类资质的供应商按照联合体分工承担相同工作的，应当按照资质等级较低的供应商确定资质等级；</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（4）是否允许联合体参加投标，应当由采购人和采购代理机构根据项目的实际情况和潜在供应商的数量自主决定，如果决定接受联合体投标则应当在招标公告中明示；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（5）投标人的投标文件及中标后签署的合同协议对联合体各方均具法律约束力；</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（6）联合体各方应当签订联合体投标协议，明确约定各方拟承担的工作和责任，并将该协议随投标文件一并递交给采购代理机构；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（7）联合体中标后，联合体各方应当共同与采购人签订合同，就中标项目向采购人承担连带责任；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（9）本通用条款中“投标人”一词亦指联合体各方，专用条款另有规定或说明的除外。</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6．政策导向</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6.1政府采购扶持贫困地区、中小企业、监狱企业和残疾人福利性单位发展，支持节能减排、环境保护。</w:t>
      </w:r>
    </w:p>
    <w:p>
      <w:pPr>
        <w:spacing w:line="360" w:lineRule="auto"/>
        <w:ind w:firstLine="405"/>
        <w:rPr>
          <w:rFonts w:asciiTheme="majorEastAsia" w:hAnsiTheme="majorEastAsia" w:eastAsiaTheme="majorEastAsia"/>
          <w:szCs w:val="21"/>
          <w:shd w:val="clear" w:color="auto" w:fill="FFFFFF"/>
        </w:rPr>
      </w:pPr>
      <w:r>
        <w:rPr>
          <w:rFonts w:hint="eastAsia" w:asciiTheme="majorEastAsia" w:hAnsiTheme="majorEastAsia" w:eastAsiaTheme="majorEastAsia"/>
          <w:szCs w:val="21"/>
        </w:rPr>
        <w:t>6.2本项目落实深圳市政府采购供应商诚信管理政策要求。</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7. 本项目若涉及采购货物，则合格的货物及相应服务应满足以下要求：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 xml:space="preserve">.1  </w:t>
      </w:r>
      <w:r>
        <w:rPr>
          <w:rFonts w:hint="eastAsia" w:asciiTheme="majorEastAsia" w:hAnsiTheme="majorEastAsia" w:eastAsiaTheme="majorEastAsia"/>
          <w:szCs w:val="21"/>
        </w:rPr>
        <w:t>必须是全新、未使用过的原装合格正品（包括零部件），如安装或配置了软件的，须为正版软件。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7.2  国产的货物及其有关服务必须符合中华人民共和国的设计、制造生产标准及行业标准。招标公告有其他要求的，亦应符合其要求。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4投标人</w:t>
      </w:r>
      <w:bookmarkStart w:id="48" w:name="_Hlk72152753"/>
      <w:r>
        <w:rPr>
          <w:rFonts w:hint="eastAsia" w:asciiTheme="majorEastAsia" w:hAnsiTheme="majorEastAsia" w:eastAsiaTheme="majorEastAsia"/>
          <w:szCs w:val="21"/>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48"/>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7.6  工期要求：投标人在投标时对其所投项目应提交交货进度、交货计划等，在合同规定的时间内完成项目实施工作。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7.7  投标人必须承担的设备运输、安装调试、验收检测和提供设备操作说明书、图纸等其他相关及类似的义务。</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8．投标费用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不论投标结果如何，投标人应承担其编制投标文件与递交投标文件所涉及的一切费用。</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9．踏勘现场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9.1如有需要（详见专用条款），采购人或采购代理机构将组织投标人对项目现场及周围环境进行踏勘，以便投标人获取有关编制投标文件和签署合同所需的资料。踏勘现场所发生的费用由投标人自行承担。投标人应按招标文件所约定的时间、地点踏勘现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9.2投标人及其人员经过采购人的允许，可以进入采购人的项目现场踏勘。若招标文件要求投标人于统一时间地点踏勘现场的，投标人应当按时前往。</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9.3采购人应当通过采购代理机构向投标人提供有关现场的书面资料和数据。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9.4任何人或任何组织在踏勘现场时向投标人提供的任何书面资料或口头承诺，未经采购代理机构在网上发布或书面通知，均作无效处理。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9</w:t>
      </w:r>
      <w:r>
        <w:rPr>
          <w:rFonts w:hint="eastAsia" w:asciiTheme="majorEastAsia" w:hAnsiTheme="majorEastAsia" w:eastAsiaTheme="majorEastAsia"/>
          <w:szCs w:val="21"/>
        </w:rPr>
        <w:t>.</w:t>
      </w:r>
      <w:r>
        <w:rPr>
          <w:rFonts w:asciiTheme="majorEastAsia" w:hAnsiTheme="majorEastAsia" w:eastAsiaTheme="majorEastAsia"/>
          <w:szCs w:val="21"/>
        </w:rPr>
        <w:t>5</w:t>
      </w:r>
      <w:r>
        <w:rPr>
          <w:rFonts w:hint="eastAsia" w:asciiTheme="majorEastAsia" w:hAnsiTheme="majorEastAsia" w:eastAsiaTheme="majorEastAsia"/>
          <w:szCs w:val="21"/>
        </w:rPr>
        <w:t>未参与踏勘现场不作为否定投标人资格的理由。</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0</w:t>
      </w:r>
      <w:r>
        <w:rPr>
          <w:rFonts w:hint="eastAsia" w:asciiTheme="majorEastAsia" w:hAnsiTheme="majorEastAsia" w:eastAsiaTheme="majorEastAsia"/>
          <w:b/>
          <w:bCs/>
          <w:szCs w:val="21"/>
        </w:rPr>
        <w:t>．标前会议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如采购人或采购代理机构认为有必要组织标前会议，投标人应按照招标文件规定的时间或采购代理机构另行书面通知（包括采购代理机构网站发布方式，如更正公告等）的时间和地点，参与标前会议。</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10</w:t>
      </w:r>
      <w:r>
        <w:rPr>
          <w:rFonts w:hint="eastAsia" w:asciiTheme="majorEastAsia" w:hAnsiTheme="majorEastAsia" w:eastAsiaTheme="majorEastAsia"/>
          <w:szCs w:val="21"/>
        </w:rPr>
        <w:t>.</w:t>
      </w:r>
      <w:r>
        <w:rPr>
          <w:rFonts w:asciiTheme="majorEastAsia" w:hAnsiTheme="majorEastAsia" w:eastAsiaTheme="majorEastAsia"/>
          <w:szCs w:val="21"/>
        </w:rPr>
        <w:t>2</w:t>
      </w:r>
      <w:r>
        <w:rPr>
          <w:rFonts w:hint="eastAsia" w:asciiTheme="majorEastAsia" w:hAnsiTheme="majorEastAsia" w:eastAsiaTheme="majorEastAsia"/>
          <w:szCs w:val="21"/>
        </w:rPr>
        <w:t>任何人或任何组织在标前会议时向投标人提供的任何书面资料或口头承诺，未经采购代理机构在网上发布或书面通知，均作无效处理。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r>
        <w:rPr>
          <w:rFonts w:hint="eastAsia" w:asciiTheme="majorEastAsia" w:hAnsiTheme="majorEastAsia" w:eastAsiaTheme="majorEastAsia"/>
          <w:szCs w:val="21"/>
        </w:rPr>
        <w:t>.</w:t>
      </w:r>
      <w:r>
        <w:rPr>
          <w:rFonts w:asciiTheme="majorEastAsia" w:hAnsiTheme="majorEastAsia" w:eastAsiaTheme="majorEastAsia"/>
          <w:szCs w:val="21"/>
        </w:rPr>
        <w:t>3</w:t>
      </w:r>
      <w:r>
        <w:rPr>
          <w:rFonts w:hint="eastAsia" w:asciiTheme="majorEastAsia" w:hAnsiTheme="majorEastAsia" w:eastAsiaTheme="majorEastAsia"/>
          <w:szCs w:val="21"/>
        </w:rPr>
        <w:t>未参与标前会议不作为否定投标人资格的理由。</w:t>
      </w:r>
    </w:p>
    <w:bookmarkEnd w:id="47"/>
    <w:p>
      <w:pPr>
        <w:pStyle w:val="7"/>
        <w:widowControl/>
        <w:numPr>
          <w:ilvl w:val="0"/>
          <w:numId w:val="9"/>
        </w:numPr>
        <w:spacing w:before="120" w:beforeLines="50" w:after="12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招标文件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1</w:t>
      </w:r>
      <w:r>
        <w:rPr>
          <w:rFonts w:hint="eastAsia" w:asciiTheme="majorEastAsia" w:hAnsiTheme="majorEastAsia" w:eastAsiaTheme="majorEastAsia"/>
          <w:b/>
          <w:bCs/>
          <w:szCs w:val="21"/>
        </w:rPr>
        <w:t>．</w:t>
      </w:r>
      <w:bookmarkStart w:id="49" w:name="_Hlk72399819"/>
      <w:r>
        <w:rPr>
          <w:rFonts w:hint="eastAsia" w:asciiTheme="majorEastAsia" w:hAnsiTheme="majorEastAsia" w:eastAsiaTheme="majorEastAsia"/>
          <w:b/>
          <w:bCs/>
          <w:szCs w:val="21"/>
        </w:rPr>
        <w:t>招标文件的编制与组成</w:t>
      </w:r>
    </w:p>
    <w:p>
      <w:pPr>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.1招标文件除以下内容外，采购代理机构在招标期间发出的澄清或修改等相关公告或通知内容，均是招标文件的组成部分，对投标人起约束作用；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招标文件包括下列内容：</w:t>
      </w:r>
    </w:p>
    <w:p>
      <w:pPr>
        <w:spacing w:line="360" w:lineRule="auto"/>
        <w:ind w:left="420" w:leftChars="200"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第一册  专用条款</w:t>
      </w:r>
    </w:p>
    <w:p>
      <w:pPr>
        <w:spacing w:line="360" w:lineRule="auto"/>
        <w:ind w:left="1079" w:leftChars="514"/>
        <w:rPr>
          <w:rFonts w:asciiTheme="majorEastAsia" w:hAnsiTheme="majorEastAsia" w:eastAsiaTheme="majorEastAsia"/>
          <w:b/>
          <w:szCs w:val="21"/>
        </w:rPr>
      </w:pPr>
      <w:r>
        <w:rPr>
          <w:rFonts w:hint="eastAsia" w:asciiTheme="majorEastAsia" w:hAnsiTheme="majorEastAsia" w:eastAsiaTheme="majorEastAsia"/>
          <w:b/>
          <w:szCs w:val="21"/>
        </w:rPr>
        <w:t>关键信息</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第一章  招标公告</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第二章  对通用条款的补充内容及其他关键信息</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第三章  用户需求书</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第四章  投标文件格式及附件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第五章  合同条款及格式</w:t>
      </w:r>
    </w:p>
    <w:p>
      <w:pPr>
        <w:spacing w:line="360" w:lineRule="auto"/>
        <w:ind w:left="420" w:leftChars="200" w:firstLine="413" w:firstLineChars="196"/>
        <w:outlineLvl w:val="0"/>
        <w:rPr>
          <w:rFonts w:asciiTheme="majorEastAsia" w:hAnsiTheme="majorEastAsia" w:eastAsiaTheme="majorEastAsia"/>
          <w:b/>
          <w:szCs w:val="21"/>
        </w:rPr>
      </w:pPr>
      <w:r>
        <w:rPr>
          <w:rFonts w:hint="eastAsia" w:asciiTheme="majorEastAsia" w:hAnsiTheme="majorEastAsia" w:eastAsiaTheme="majorEastAsia"/>
          <w:b/>
          <w:szCs w:val="21"/>
        </w:rPr>
        <w:t>第二册  通用条款</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第一章  总则</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第二章  招标文件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第三章  投标文件的编制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第四章  投标文件的递交</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第五章  开标</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第六章  评审要求</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第七章  评审程序及评审方法</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第八章  定标及公示</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第九章  公开招标失败的后续处理</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第十章  合同的授予与备案</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第十一章  质疑处理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.2 投标人下载招标文件后，应仔细检查招标文件的所有内容，如有疑问应在答疑截止时间之前向采购代理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3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2</w:t>
      </w:r>
      <w:r>
        <w:rPr>
          <w:rFonts w:hint="eastAsia" w:asciiTheme="majorEastAsia" w:hAnsiTheme="majorEastAsia" w:eastAsiaTheme="majorEastAsia"/>
          <w:b/>
          <w:bCs/>
          <w:szCs w:val="21"/>
        </w:rPr>
        <w:t>．招标文件的澄清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.1招标文件澄清的目的是澄清、解答投标人在查阅招标文件后或现场踏勘中可能提出的与投标有关的疑问或询问。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.2投标人如对招标文件内容有疑问，应当在招标公告规定的澄清（提问）截止时间前以网上提问的形式通过网上政府采购系统提交采购代理机构。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3不论是采购代理机构根据需要主动对招标文件进行必要的澄清或是根据投标人的要求对招标文件做出澄清，采购代理机构都将在投标截止日期前以书面形式（包括采购代理机构网站发布方式）答复或发送给所有投标人。答复内容是招标文件的组成部分，对投标人起约束作用，其有效性按照本通用条款第1</w:t>
      </w:r>
      <w:r>
        <w:rPr>
          <w:rFonts w:asciiTheme="majorEastAsia" w:hAnsiTheme="majorEastAsia" w:eastAsiaTheme="majorEastAsia"/>
          <w:szCs w:val="21"/>
        </w:rPr>
        <w:t>3.3</w:t>
      </w:r>
      <w:r>
        <w:rPr>
          <w:rFonts w:hint="eastAsia" w:asciiTheme="majorEastAsia" w:hAnsiTheme="majorEastAsia" w:eastAsiaTheme="majorEastAsia"/>
          <w:szCs w:val="21"/>
        </w:rPr>
        <w:t>、1</w:t>
      </w:r>
      <w:r>
        <w:rPr>
          <w:rFonts w:asciiTheme="majorEastAsia" w:hAnsiTheme="majorEastAsia" w:eastAsiaTheme="majorEastAsia"/>
          <w:szCs w:val="21"/>
        </w:rPr>
        <w:t>3.4</w:t>
      </w:r>
      <w:r>
        <w:rPr>
          <w:rFonts w:hint="eastAsia" w:asciiTheme="majorEastAsia" w:hAnsiTheme="majorEastAsia" w:eastAsiaTheme="majorEastAsia"/>
          <w:szCs w:val="21"/>
        </w:rPr>
        <w:t>款规定执行。</w:t>
      </w:r>
    </w:p>
    <w:p>
      <w:pPr>
        <w:spacing w:line="360" w:lineRule="auto"/>
        <w:rPr>
          <w:rFonts w:asciiTheme="majorEastAsia" w:hAnsiTheme="majorEastAsia" w:eastAsiaTheme="majorEastAsia"/>
          <w:b/>
          <w:bCs/>
          <w:szCs w:val="21"/>
        </w:rPr>
      </w:pPr>
      <w:r>
        <w:rPr>
          <w:rFonts w:asciiTheme="majorEastAsia" w:hAnsiTheme="majorEastAsia" w:eastAsiaTheme="majorEastAsia"/>
          <w:b/>
          <w:bCs/>
          <w:szCs w:val="21"/>
        </w:rPr>
        <w:t>1</w:t>
      </w:r>
      <w:r>
        <w:rPr>
          <w:rFonts w:hint="eastAsia" w:asciiTheme="majorEastAsia" w:hAnsiTheme="majorEastAsia" w:eastAsiaTheme="majorEastAsia"/>
          <w:b/>
          <w:bCs/>
          <w:szCs w:val="21"/>
        </w:rPr>
        <w:t>3．招标文件的修改</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3.1招标文件发出后，在投标截止日期前任何时候，确需要变更招标文件内容的，采购代理机构可主动或在解答投标人提出的澄清问题时对招标文件进行修改。</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3.2招标文件的修改以书面形式（包括采购代理机构网站发布方式，如更正公告等）发送给所有投标人，招标文件的修改内容作为招标文件的组成部分，并具有约束力。</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3.3招标文件、招标文件澄清答复内容、招标文件修改补充内容均以书面形式（包括采购代理机构网站公开发布方式，如更正公告等）明确的内容为准。当招标文件、修改补充通知、招标文件澄清答复内容相互矛盾时，以最后发出的内容为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3.4采购代理机构保证招标文件澄清答复内容和招标文件修改补充内容在投标截止时间前以书面形式（包括采购代理机构网站发布方式，如更正公告等）发送给所有投标人。为使投标人在编制投标文件时有充分时间对招标文件的修改部分进行研究，采购代理机构可以酌情延长递交投标文件的截止日期。</w:t>
      </w:r>
      <w:bookmarkEnd w:id="49"/>
    </w:p>
    <w:p>
      <w:pPr>
        <w:pStyle w:val="7"/>
        <w:widowControl/>
        <w:numPr>
          <w:ilvl w:val="0"/>
          <w:numId w:val="9"/>
        </w:numPr>
        <w:spacing w:before="120" w:beforeLines="50" w:after="12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投标文件的编制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14．</w:t>
      </w:r>
      <w:bookmarkStart w:id="50" w:name="_Hlk72400236"/>
      <w:r>
        <w:rPr>
          <w:rFonts w:hint="eastAsia" w:asciiTheme="majorEastAsia" w:hAnsiTheme="majorEastAsia" w:eastAsiaTheme="majorEastAsia"/>
          <w:b/>
          <w:bCs/>
          <w:szCs w:val="21"/>
        </w:rPr>
        <w:t>投标文件的语言及度量单位</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14.1 投标人与采购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14.2 除技术规范另有规定外，投标文件使用的度量单位，均采用中华人民共和国法定计量单位。</w:t>
      </w:r>
    </w:p>
    <w:bookmarkEnd w:id="50"/>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15．</w:t>
      </w:r>
      <w:bookmarkStart w:id="51" w:name="_Hlk72401567"/>
      <w:r>
        <w:rPr>
          <w:rFonts w:hint="eastAsia" w:asciiTheme="majorEastAsia" w:hAnsiTheme="majorEastAsia" w:eastAsiaTheme="majorEastAsia"/>
          <w:b/>
          <w:bCs/>
          <w:szCs w:val="21"/>
        </w:rPr>
        <w:t>投标文件的组成</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具体内容在招标文件专用条款中进行规定。</w:t>
      </w:r>
    </w:p>
    <w:p>
      <w:pPr>
        <w:spacing w:line="360" w:lineRule="auto"/>
        <w:rPr>
          <w:rFonts w:asciiTheme="majorEastAsia" w:hAnsiTheme="majorEastAsia" w:eastAsiaTheme="majorEastAsia"/>
          <w:b/>
          <w:bCs/>
          <w:szCs w:val="21"/>
        </w:rPr>
      </w:pPr>
      <w:r>
        <w:rPr>
          <w:rFonts w:asciiTheme="majorEastAsia" w:hAnsiTheme="majorEastAsia" w:eastAsiaTheme="majorEastAsia"/>
          <w:b/>
          <w:bCs/>
          <w:szCs w:val="21"/>
        </w:rPr>
        <w:t>16．投标文件格式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投标文件包括本通用条款第</w:t>
      </w:r>
      <w:r>
        <w:rPr>
          <w:rFonts w:asciiTheme="majorEastAsia" w:hAnsiTheme="majorEastAsia" w:eastAsiaTheme="majorEastAsia"/>
          <w:szCs w:val="21"/>
        </w:rPr>
        <w:t>15条中规定的内容。如招标文件提供了投标文件格式，则</w:t>
      </w:r>
      <w:r>
        <w:rPr>
          <w:rFonts w:hint="eastAsia" w:asciiTheme="majorEastAsia" w:hAnsiTheme="majorEastAsia" w:eastAsiaTheme="majorEastAsia"/>
          <w:b/>
          <w:bCs/>
          <w:szCs w:val="21"/>
        </w:rPr>
        <w:t>投标人提交的投标文件应毫无例外地使用招标文件所提供的相应格式</w:t>
      </w:r>
      <w:r>
        <w:rPr>
          <w:rFonts w:hint="eastAsia" w:asciiTheme="majorEastAsia" w:hAnsiTheme="majorEastAsia" w:eastAsiaTheme="majorEastAsia"/>
          <w:szCs w:val="21"/>
        </w:rPr>
        <w:t>（表格均可按同样格式扩展）。</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17．投标货币</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本项目的投标报价应以人民币计。</w:t>
      </w:r>
    </w:p>
    <w:bookmarkEnd w:id="51"/>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18．</w:t>
      </w:r>
      <w:bookmarkStart w:id="52" w:name="_Hlk72401735"/>
      <w:r>
        <w:rPr>
          <w:rFonts w:hint="eastAsia" w:asciiTheme="majorEastAsia" w:hAnsiTheme="majorEastAsia" w:eastAsiaTheme="majorEastAsia"/>
          <w:b/>
          <w:bCs/>
          <w:szCs w:val="21"/>
        </w:rPr>
        <w:t>证明投标文件投标技术方案的合格性和符合招标文件规定的文件要求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w:t>
      </w:r>
      <w:r>
        <w:rPr>
          <w:rFonts w:asciiTheme="majorEastAsia" w:hAnsiTheme="majorEastAsia" w:eastAsiaTheme="majorEastAsia"/>
          <w:szCs w:val="21"/>
        </w:rPr>
        <w:t xml:space="preserve">.1 </w:t>
      </w:r>
      <w:r>
        <w:rPr>
          <w:rFonts w:hint="eastAsia" w:asciiTheme="majorEastAsia" w:hAnsiTheme="majorEastAsia" w:eastAsiaTheme="majorEastAsia"/>
          <w:szCs w:val="21"/>
        </w:rPr>
        <w:t>投标人应提交证明文件，证明其投标技术方案项下的货物和服务的合格性符合招标文件规定。该投标技术方案及其证明文件均作为投标文件组成部分。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8</w:t>
      </w:r>
      <w:r>
        <w:rPr>
          <w:rFonts w:asciiTheme="majorEastAsia" w:hAnsiTheme="majorEastAsia" w:eastAsiaTheme="majorEastAsia"/>
          <w:szCs w:val="21"/>
        </w:rPr>
        <w:t xml:space="preserve">.2 </w:t>
      </w:r>
      <w:r>
        <w:rPr>
          <w:rFonts w:hint="eastAsia" w:asciiTheme="majorEastAsia" w:hAnsiTheme="majorEastAsia" w:eastAsiaTheme="major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18.2.1主要技术指标和性能的详细说明。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w:t>
      </w:r>
      <w:r>
        <w:rPr>
          <w:rFonts w:asciiTheme="majorEastAsia" w:hAnsiTheme="majorEastAsia" w:eastAsiaTheme="majorEastAsia"/>
          <w:szCs w:val="21"/>
        </w:rPr>
        <w:t>2</w:t>
      </w:r>
      <w:r>
        <w:rPr>
          <w:rFonts w:hint="eastAsia" w:asciiTheme="majorEastAsia" w:hAnsiTheme="majorEastAsia" w:eastAsiaTheme="majorEastAsia"/>
          <w:szCs w:val="21"/>
        </w:rPr>
        <w:t>投标产品从采购人开始使用至招标文件中规定的周期内正常、连续地使用所必须的备件和专用工具清单，包括备件和专用工具的货源及现行价格。</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w:t>
      </w:r>
      <w:r>
        <w:rPr>
          <w:rFonts w:asciiTheme="majorEastAsia" w:hAnsiTheme="majorEastAsia" w:eastAsiaTheme="majorEastAsia"/>
          <w:szCs w:val="21"/>
        </w:rPr>
        <w:t>3</w:t>
      </w:r>
      <w:r>
        <w:rPr>
          <w:rFonts w:hint="eastAsia" w:asciiTheme="majorEastAsia" w:hAnsiTheme="majorEastAsia" w:eastAsiaTheme="major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要求能够使用电脑阅读、识别和判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18.2.5我国政府机构出具的产品检验和核准证件应为证件正面、背面和附件标注的全部具体内容；产品检验和核准证件的尺寸和清晰度应该能够在电脑上被阅读、识别和判断，提供原件扫描件。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18.3相关资料不符合18.2款要求的，评审委员会有权认定为投标技术方案不合格响应，其相关分数予以扣减或作投标无效处理。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审委员会来评判。</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18.5除非另有规定或说明，投标人对同一项目投标时，不得同时提供两套或两套以上的投标方案。</w:t>
      </w:r>
    </w:p>
    <w:bookmarkEnd w:id="52"/>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19．</w:t>
      </w:r>
      <w:bookmarkStart w:id="53" w:name="_Hlk72402034"/>
      <w:r>
        <w:rPr>
          <w:rFonts w:hint="eastAsia" w:asciiTheme="majorEastAsia" w:hAnsiTheme="majorEastAsia" w:eastAsiaTheme="majorEastAsia"/>
          <w:b/>
          <w:bCs/>
          <w:szCs w:val="21"/>
        </w:rPr>
        <w:t>投标文件其他证明文件的要求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54" w:name="_Hlk71407299"/>
    </w:p>
    <w:bookmarkEnd w:id="54"/>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20．投标有效期</w:t>
      </w:r>
    </w:p>
    <w:bookmarkEnd w:id="53"/>
    <w:p>
      <w:pPr>
        <w:spacing w:line="360" w:lineRule="auto"/>
        <w:ind w:firstLine="411" w:firstLineChars="196"/>
        <w:rPr>
          <w:rFonts w:asciiTheme="majorEastAsia" w:hAnsiTheme="majorEastAsia" w:eastAsiaTheme="majorEastAsia"/>
          <w:szCs w:val="21"/>
        </w:rPr>
      </w:pPr>
      <w:bookmarkStart w:id="55" w:name="_Hlk72402214"/>
      <w:r>
        <w:rPr>
          <w:rFonts w:hint="eastAsia" w:asciiTheme="majorEastAsia" w:hAnsiTheme="majorEastAsia" w:eastAsiaTheme="majorEastAsia"/>
          <w:szCs w:val="21"/>
        </w:rPr>
        <w:t>20.1 投标有效期为</w:t>
      </w:r>
      <w:r>
        <w:rPr>
          <w:rFonts w:hint="eastAsia" w:cs="Arial" w:asciiTheme="majorEastAsia" w:hAnsiTheme="majorEastAsia" w:eastAsiaTheme="majorEastAsia"/>
          <w:szCs w:val="21"/>
        </w:rPr>
        <w:t>从投标截止之日算起的日历天数。</w:t>
      </w:r>
      <w:r>
        <w:rPr>
          <w:rFonts w:hint="eastAsia" w:asciiTheme="majorEastAsia" w:hAnsiTheme="majorEastAsia" w:eastAsiaTheme="majorEastAsia"/>
          <w:szCs w:val="21"/>
        </w:rPr>
        <w:t>在此期限内，所有投标文件均保持有效。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20.2 在特殊情况下，采购代理机构在原定的投标有效期满之前，可以根据需要以书面形式（包括采购代理机构网站公开发布方式）向投标人提出延长投标有效期的要求，对此要求投标人须以书面形式予以答复，投标人可以拒绝采购代理机构此项要求，其投标在原投标有效期满后不再有效。同意延长投标有效期的投标人不能要求也不允许修改其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20</w:t>
      </w:r>
      <w:r>
        <w:rPr>
          <w:rFonts w:asciiTheme="majorEastAsia" w:hAnsiTheme="majorEastAsia" w:eastAsiaTheme="majorEastAsia"/>
          <w:szCs w:val="21"/>
        </w:rPr>
        <w:t>.3</w:t>
      </w:r>
      <w:r>
        <w:rPr>
          <w:rFonts w:hint="eastAsia" w:asciiTheme="majorEastAsia" w:hAnsiTheme="majorEastAsia" w:eastAsiaTheme="majorEastAsia"/>
          <w:szCs w:val="21"/>
        </w:rPr>
        <w:t xml:space="preserve"> 中标供应商的投标文件有效期，截止于完成本招标文件规定的全部项目内容，并通过竣工验收及保修期结束。</w:t>
      </w:r>
    </w:p>
    <w:bookmarkEnd w:id="55"/>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21．</w:t>
      </w:r>
      <w:bookmarkStart w:id="56" w:name="_Hlk72402325"/>
      <w:r>
        <w:rPr>
          <w:rFonts w:hint="eastAsia" w:asciiTheme="majorEastAsia" w:hAnsiTheme="majorEastAsia" w:eastAsiaTheme="majorEastAsia"/>
          <w:szCs w:val="21"/>
        </w:rPr>
        <w:t xml:space="preserve">关于投标保证金 </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21.1 根据《</w:t>
      </w:r>
      <w:r>
        <w:rPr>
          <w:rFonts w:asciiTheme="majorEastAsia" w:hAnsiTheme="majorEastAsia" w:eastAsiaTheme="majorEastAsia"/>
          <w:szCs w:val="21"/>
        </w:rPr>
        <w:t>深圳市财政局关于明确政府采购保证金管理工作的通知</w:t>
      </w:r>
      <w:r>
        <w:rPr>
          <w:rFonts w:hint="eastAsia" w:asciiTheme="majorEastAsia" w:hAnsiTheme="majorEastAsia" w:eastAsiaTheme="majorEastAsia"/>
          <w:szCs w:val="21"/>
        </w:rPr>
        <w:t>》（深财购[</w:t>
      </w:r>
      <w:r>
        <w:rPr>
          <w:rFonts w:asciiTheme="majorEastAsia" w:hAnsiTheme="majorEastAsia" w:eastAsiaTheme="majorEastAsia"/>
          <w:szCs w:val="21"/>
        </w:rPr>
        <w:t>2019]42</w:t>
      </w:r>
      <w:r>
        <w:rPr>
          <w:rFonts w:hint="eastAsia" w:asciiTheme="majorEastAsia" w:hAnsiTheme="majorEastAsia" w:eastAsiaTheme="majorEastAsia"/>
          <w:szCs w:val="21"/>
        </w:rPr>
        <w:t>号）文的规定，本项目不收取投标保证金。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22．投标人的替代方案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56"/>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23．</w:t>
      </w:r>
      <w:bookmarkStart w:id="57" w:name="_Hlk72402860"/>
      <w:r>
        <w:rPr>
          <w:rFonts w:asciiTheme="majorEastAsia" w:hAnsiTheme="majorEastAsia" w:eastAsiaTheme="majorEastAsia"/>
          <w:b/>
          <w:bCs/>
          <w:szCs w:val="21"/>
        </w:rPr>
        <w:t>投标文件的</w:t>
      </w:r>
      <w:r>
        <w:rPr>
          <w:rFonts w:hint="eastAsia" w:asciiTheme="majorEastAsia" w:hAnsiTheme="majorEastAsia" w:eastAsiaTheme="majorEastAsia"/>
          <w:b/>
          <w:bCs/>
          <w:szCs w:val="21"/>
        </w:rPr>
        <w:t>制作</w:t>
      </w:r>
      <w:r>
        <w:rPr>
          <w:rFonts w:asciiTheme="majorEastAsia" w:hAnsiTheme="majorEastAsia" w:eastAsiaTheme="majorEastAsia"/>
          <w:b/>
          <w:bCs/>
          <w:szCs w:val="21"/>
        </w:rPr>
        <w:t>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23.1投标人应准备所投项目的电子投标文件一份。此电子投标文件须由投标人根据采购代理机构提供的后缀名为.szczf的电子招标文件，下载并使用相应的深圳智慧采购平台投标文件制作专用软件打开招标文件（.szczf格式）【下载地址：</w:t>
      </w:r>
      <w:r>
        <w:rPr>
          <w:rFonts w:asciiTheme="majorEastAsia" w:hAnsiTheme="majorEastAsia" w:eastAsiaTheme="majorEastAsia"/>
          <w:szCs w:val="21"/>
        </w:rPr>
        <w:t>http://zfcg.szggzy.com/</w:t>
      </w:r>
      <w:r>
        <w:rPr>
          <w:rFonts w:hint="eastAsia" w:asciiTheme="majorEastAsia" w:hAnsiTheme="majorEastAsia" w:eastAsiaTheme="majorEastAsia"/>
          <w:szCs w:val="21"/>
        </w:rPr>
        <w:t>TPBidder/DownLoad/深圳市智慧采购平台投标文件制作专用软件.zip】。</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23.2投标人在使用《投标文件制作软件》编制投标书时须注意：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23.2.1导入《投标文件制作软件》的招标文件项目编号、包号应与以此制作的投标文件项目编号、包号一致。例如，不能将甲项目A包的招标书导入《投标文件制作软件》，制作乙项目B包的投标书。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23.2.2不能用非本公司的电子密钥加密本公司的投标文件，或者用其它公司的登录用户上传本公司的投标文件。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23.2.3要求用《投标文件制作软件》编制投标书的包，不能用其它方式编制投标书。编制投标文件时，电脑须连通互联网。</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23.2.4投标文件不能带病毒。采购代理机构将用专业杀毒软件对投标文件进行病毒检测，如果这两种软件均报告发现病毒，则采购代理机构认为该投标文件带病毒。</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23.2.5完整填写“投标关键信息”，如下图所示：</w:t>
      </w:r>
    </w:p>
    <w:p>
      <w:pPr>
        <w:tabs>
          <w:tab w:val="left" w:pos="0"/>
        </w:tabs>
        <w:spacing w:line="360" w:lineRule="auto"/>
        <w:rPr>
          <w:rFonts w:asciiTheme="majorEastAsia" w:hAnsiTheme="majorEastAsia" w:eastAsiaTheme="majorEastAsia"/>
          <w:szCs w:val="21"/>
        </w:rPr>
      </w:pPr>
      <w:r>
        <w:rPr>
          <w:rFonts w:asciiTheme="majorEastAsia" w:hAnsiTheme="majorEastAsia" w:eastAsiaTheme="majorEastAsia"/>
          <w:szCs w:val="21"/>
        </w:rPr>
        <w:drawing>
          <wp:inline distT="0" distB="0" distL="0" distR="0">
            <wp:extent cx="5278755" cy="2721610"/>
            <wp:effectExtent l="0" t="0" r="0" b="2540"/>
            <wp:docPr id="2"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图形用户界面, 应用程序&#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备注：上述“开标一览表”中的“投标总价”将作为价格分计算依据；其它信息仅是对投标文件相关内容的概括性表述，不作为评审依据。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23.2.6投标人在编辑投标文件时，</w:t>
      </w:r>
      <w:r>
        <w:rPr>
          <w:rFonts w:hint="eastAsia" w:asciiTheme="majorEastAsia" w:hAnsiTheme="majorEastAsia" w:eastAsiaTheme="majorEastAsia"/>
          <w:b/>
          <w:szCs w:val="21"/>
        </w:rPr>
        <w:t>在投标文件目录中属于本节点内容的必须在本节点中填写，填写到其他节点或附件，</w:t>
      </w:r>
      <w:r>
        <w:rPr>
          <w:rFonts w:hint="eastAsia" w:asciiTheme="majorEastAsia" w:hAnsiTheme="majorEastAsia" w:eastAsiaTheme="majorEastAsia"/>
          <w:szCs w:val="21"/>
        </w:rPr>
        <w:t>一切后果由供应商自行承担。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23.2.7投标文件编写完成后，</w:t>
      </w:r>
      <w:r>
        <w:rPr>
          <w:rFonts w:hint="eastAsia" w:asciiTheme="majorEastAsia" w:hAnsiTheme="majorEastAsia" w:eastAsiaTheme="majorEastAsia"/>
          <w:b/>
          <w:szCs w:val="21"/>
        </w:rPr>
        <w:t>必须用属于投标人的电子密钥进行加密，否则视同未盖公章，将导致投标文件无效。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23.2.8采购代理机构不接受投标截止时间后递交的纸质、电子、传真等所有形式的投标文件。由于对网上政府采购系统操作不熟悉或自身电脑、网络等原因导致不能在投标截止时间之前上传投标文件，采购代理机构概不负责。建议于开标前一个工作日完成投标文件的制作与上传，如上传确有困难，请及时咨询。</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23.2.9如果开标时出现网络故障、技术故障，影响了政府采购活动，采购代理机构有权采取措施如延期、接受无法从网上上传的投标书等，以保障政府采购活动的公开、公平和公正。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23.3电报、电话、传真形式的投标概不接受。</w:t>
      </w:r>
    </w:p>
    <w:p>
      <w:pPr>
        <w:spacing w:line="360" w:lineRule="auto"/>
        <w:ind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23.4经投标人电子密钥加密的投标文件无须盖章或签字，</w:t>
      </w:r>
      <w:r>
        <w:rPr>
          <w:rFonts w:hint="eastAsia" w:asciiTheme="majorEastAsia" w:hAnsiTheme="majorEastAsia" w:eastAsiaTheme="majorEastAsia"/>
          <w:szCs w:val="21"/>
        </w:rPr>
        <w:t>专用条款另有要求的除外。</w:t>
      </w:r>
    </w:p>
    <w:p>
      <w:pPr>
        <w:spacing w:line="360" w:lineRule="auto"/>
        <w:ind w:firstLine="413" w:firstLineChars="196"/>
        <w:rPr>
          <w:rFonts w:asciiTheme="majorEastAsia" w:hAnsiTheme="majorEastAsia" w:eastAsiaTheme="majorEastAsia"/>
          <w:szCs w:val="21"/>
        </w:rPr>
      </w:pPr>
      <w:r>
        <w:rPr>
          <w:rFonts w:hint="eastAsia" w:asciiTheme="majorEastAsia" w:hAnsiTheme="majorEastAsia" w:eastAsiaTheme="majorEastAsia"/>
          <w:b/>
          <w:szCs w:val="21"/>
        </w:rPr>
        <w:t>23.5</w:t>
      </w:r>
      <w:r>
        <w:rPr>
          <w:rFonts w:hint="eastAsia" w:asciiTheme="majorEastAsia" w:hAnsiTheme="majorEastAsia" w:eastAsiaTheme="majorEastAsia"/>
          <w:szCs w:val="21"/>
        </w:rPr>
        <w:t xml:space="preserve"> 各类资格（资质）文件提供扫描件，专用条款另有要求的除外。</w:t>
      </w:r>
      <w:bookmarkEnd w:id="57"/>
    </w:p>
    <w:p>
      <w:pPr>
        <w:pStyle w:val="7"/>
        <w:widowControl/>
        <w:numPr>
          <w:ilvl w:val="0"/>
          <w:numId w:val="9"/>
        </w:numPr>
        <w:spacing w:before="120" w:beforeLines="50" w:after="12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投标文件的递交</w:t>
      </w:r>
      <w:bookmarkStart w:id="58" w:name="_Hlk72405459"/>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24．投标书的保密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drawing>
          <wp:inline distT="0" distB="0" distL="0" distR="0">
            <wp:extent cx="5278755" cy="2721610"/>
            <wp:effectExtent l="0" t="0" r="0" b="2540"/>
            <wp:docPr id="5"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图形用户界面, 应用程序&#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在投标文件制作软件点击【生成标书】按钮进入【填写开标一览表界面】界面，在该界面填写完开标一览表信息后点击【确定】，进入投标文件生成环节。</w:t>
      </w:r>
      <w:r>
        <w:rPr>
          <w:rFonts w:asciiTheme="majorEastAsia" w:hAnsiTheme="majorEastAsia" w:eastAsiaTheme="majorEastAsia"/>
          <w:szCs w:val="21"/>
        </w:rPr>
        <w:drawing>
          <wp:inline distT="0" distB="0" distL="0" distR="0">
            <wp:extent cx="5278755" cy="2732405"/>
            <wp:effectExtent l="0" t="0" r="0" b="0"/>
            <wp:docPr id="7"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图形用户界面&#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投标文件制作软件会在投标文件生成过程中，提示用户输入密码，输入密码后对标文件自动进行加密。</w:t>
      </w:r>
    </w:p>
    <w:p>
      <w:pPr>
        <w:spacing w:line="360" w:lineRule="auto"/>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24.2若采购项目出现延期情况：</w:t>
      </w:r>
    </w:p>
    <w:p>
      <w:pPr>
        <w:spacing w:line="360" w:lineRule="auto"/>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如果供下载的招标文件（后缀名为.</w:t>
      </w:r>
      <w:r>
        <w:rPr>
          <w:rFonts w:asciiTheme="majorEastAsia" w:hAnsiTheme="majorEastAsia" w:eastAsiaTheme="majorEastAsia"/>
          <w:b/>
          <w:szCs w:val="21"/>
        </w:rPr>
        <w:t>szczf</w:t>
      </w:r>
      <w:r>
        <w:rPr>
          <w:rFonts w:hint="eastAsia" w:asciiTheme="majorEastAsia" w:hAnsiTheme="majorEastAsia" w:eastAsiaTheme="majorEastAsia"/>
          <w:b/>
          <w:szCs w:val="21"/>
        </w:rPr>
        <w:t>）有更新，投标人必须重新下载招标文件、重新制作投标文件、重新加密投标文件、重新上传投标文件；如果供下载的招标文件（后缀名为.</w:t>
      </w:r>
      <w:r>
        <w:rPr>
          <w:rFonts w:asciiTheme="majorEastAsia" w:hAnsiTheme="majorEastAsia" w:eastAsiaTheme="majorEastAsia"/>
          <w:b/>
          <w:szCs w:val="21"/>
        </w:rPr>
        <w:t>szczf</w:t>
      </w:r>
      <w:r>
        <w:rPr>
          <w:rFonts w:hint="eastAsia" w:asciiTheme="majorEastAsia" w:hAnsiTheme="majorEastAsia" w:eastAsiaTheme="majorEastAsia"/>
          <w:b/>
          <w:szCs w:val="21"/>
        </w:rPr>
        <w:t>）没有更新，投标人必须重新加密投标文件、重新上传投标文件（是否重新制作投标文件根据项目实际情况定）。否则，投标人自行承担投标文件无法解密导致投标无效的后果。</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25．上传投标文件及投标截止日期</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w:t>
      </w:r>
      <w:r>
        <w:rPr>
          <w:rFonts w:asciiTheme="majorEastAsia" w:hAnsiTheme="majorEastAsia" w:eastAsiaTheme="majorEastAsia"/>
          <w:szCs w:val="21"/>
        </w:rPr>
        <w:t>.</w:t>
      </w:r>
      <w:r>
        <w:rPr>
          <w:rFonts w:hint="eastAsia" w:asciiTheme="majorEastAsia" w:hAnsiTheme="majorEastAsia" w:eastAsiaTheme="majorEastAsia"/>
          <w:szCs w:val="21"/>
        </w:rPr>
        <w:t>1实行网上投标，</w:t>
      </w:r>
      <w:r>
        <w:rPr>
          <w:rFonts w:asciiTheme="majorEastAsia" w:hAnsiTheme="majorEastAsia" w:eastAsiaTheme="majorEastAsia"/>
          <w:szCs w:val="21"/>
        </w:rPr>
        <w:t>投标人必须</w:t>
      </w:r>
      <w:r>
        <w:rPr>
          <w:rFonts w:hint="eastAsia" w:asciiTheme="majorEastAsia" w:hAnsiTheme="majorEastAsia" w:eastAsiaTheme="majorEastAsia"/>
          <w:szCs w:val="21"/>
        </w:rPr>
        <w:t>在招标</w:t>
      </w:r>
      <w:r>
        <w:rPr>
          <w:rFonts w:asciiTheme="majorEastAsia" w:hAnsiTheme="majorEastAsia" w:eastAsiaTheme="majorEastAsia"/>
          <w:szCs w:val="21"/>
        </w:rPr>
        <w:t>文件规定的投标截止时间前</w:t>
      </w:r>
      <w:r>
        <w:rPr>
          <w:rFonts w:hint="eastAsia" w:asciiTheme="majorEastAsia" w:hAnsiTheme="majorEastAsia" w:eastAsiaTheme="majorEastAsia"/>
          <w:szCs w:val="21"/>
        </w:rPr>
        <w:t>用电子密钥登录“深圳政府采购智慧平台用户网上办事子系统（http://zfcg.szggzy.com/TPBidder/memberLogin）”，用“【我的项目】→【项目流程】→【递交投标(应答)文件】”功能点上传投标文件。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25.2采购代理机构可以按本通用条款第13条规定，通过修改招标文件自行决定酌情延长投标截止期。在此情况下，采购代理机构、采购人和投标人受投标截止期制约的所有权利和义务均应延长至新的截止期。</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w:t>
      </w:r>
      <w:r>
        <w:rPr>
          <w:rFonts w:asciiTheme="majorEastAsia" w:hAnsiTheme="majorEastAsia" w:eastAsiaTheme="majorEastAsia"/>
          <w:szCs w:val="21"/>
        </w:rPr>
        <w:t>.</w:t>
      </w:r>
      <w:r>
        <w:rPr>
          <w:rFonts w:hint="eastAsia" w:asciiTheme="majorEastAsia" w:hAnsiTheme="majorEastAsia" w:eastAsiaTheme="majorEastAsia"/>
          <w:szCs w:val="21"/>
        </w:rPr>
        <w:t>3投标截止时间以后不得上传投标文件。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25.4.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bookmarkEnd w:id="58"/>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26. 样品、现场演示、方案讲解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26.1 样品、现场演示、方案讲解等事项在招标文件专用条款中进行规定。</w:t>
      </w:r>
    </w:p>
    <w:p>
      <w:pPr>
        <w:spacing w:line="360" w:lineRule="auto"/>
        <w:rPr>
          <w:rFonts w:asciiTheme="majorEastAsia" w:hAnsiTheme="majorEastAsia" w:eastAsiaTheme="majorEastAsia"/>
          <w:b/>
          <w:bCs/>
          <w:szCs w:val="21"/>
        </w:rPr>
      </w:pPr>
      <w:bookmarkStart w:id="59" w:name="_Hlk72428346"/>
      <w:r>
        <w:rPr>
          <w:rFonts w:asciiTheme="majorEastAsia" w:hAnsiTheme="majorEastAsia" w:eastAsiaTheme="majorEastAsia"/>
          <w:b/>
          <w:bCs/>
          <w:szCs w:val="21"/>
        </w:rPr>
        <w:t>2</w:t>
      </w:r>
      <w:r>
        <w:rPr>
          <w:rFonts w:hint="eastAsia" w:asciiTheme="majorEastAsia" w:hAnsiTheme="majorEastAsia" w:eastAsiaTheme="majorEastAsia"/>
          <w:b/>
          <w:bCs/>
          <w:szCs w:val="21"/>
        </w:rPr>
        <w:t>7．</w:t>
      </w:r>
      <w:r>
        <w:rPr>
          <w:rFonts w:asciiTheme="majorEastAsia" w:hAnsiTheme="majorEastAsia" w:eastAsiaTheme="majorEastAsia"/>
          <w:b/>
          <w:bCs/>
          <w:szCs w:val="21"/>
        </w:rPr>
        <w:t>投标文件的修改和撤销</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1</w:t>
      </w:r>
      <w:r>
        <w:rPr>
          <w:rFonts w:asciiTheme="majorEastAsia" w:hAnsiTheme="majorEastAsia" w:eastAsiaTheme="majorEastAsia"/>
          <w:szCs w:val="21"/>
        </w:rPr>
        <w:t>投标方在提交投标文件后可对其投标文件进行修改</w:t>
      </w:r>
      <w:r>
        <w:rPr>
          <w:rFonts w:hint="eastAsia" w:asciiTheme="majorEastAsia" w:hAnsiTheme="majorEastAsia" w:eastAsiaTheme="majorEastAsia"/>
          <w:szCs w:val="21"/>
        </w:rPr>
        <w:t>并重新上传投标文件</w:t>
      </w:r>
      <w:r>
        <w:rPr>
          <w:rFonts w:asciiTheme="majorEastAsia" w:hAnsiTheme="majorEastAsia" w:eastAsiaTheme="majorEastAsia"/>
          <w:szCs w:val="21"/>
        </w:rPr>
        <w:t>或</w:t>
      </w:r>
      <w:r>
        <w:rPr>
          <w:rFonts w:hint="eastAsia" w:asciiTheme="majorEastAsia" w:hAnsiTheme="majorEastAsia" w:eastAsiaTheme="majorEastAsia"/>
          <w:szCs w:val="21"/>
        </w:rPr>
        <w:t>在网上进行</w:t>
      </w:r>
      <w:r>
        <w:rPr>
          <w:rFonts w:asciiTheme="majorEastAsia" w:hAnsiTheme="majorEastAsia" w:eastAsiaTheme="majorEastAsia"/>
          <w:szCs w:val="21"/>
        </w:rPr>
        <w:t>撤销</w:t>
      </w:r>
      <w:r>
        <w:rPr>
          <w:rFonts w:hint="eastAsia" w:asciiTheme="majorEastAsia" w:hAnsiTheme="majorEastAsia" w:eastAsiaTheme="majorEastAsia"/>
          <w:szCs w:val="21"/>
        </w:rPr>
        <w:t>投标的操作</w:t>
      </w:r>
      <w:r>
        <w:rPr>
          <w:rFonts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2</w:t>
      </w:r>
      <w:r>
        <w:rPr>
          <w:rFonts w:asciiTheme="majorEastAsia" w:hAnsiTheme="majorEastAsia" w:eastAsiaTheme="majorEastAsia"/>
          <w:szCs w:val="21"/>
        </w:rPr>
        <w:t>投标截止时间以后不得修改投标文件。</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3从投标截止期至投标人在投标文件中确定的投标有效期之间的这段时间内，投标人不得撤回其投标。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27.4采购代理机构不退还投标文件，专用条款另有规定的除外。</w:t>
      </w:r>
    </w:p>
    <w:bookmarkEnd w:id="59"/>
    <w:p>
      <w:pPr>
        <w:pStyle w:val="7"/>
        <w:widowControl/>
        <w:numPr>
          <w:ilvl w:val="0"/>
          <w:numId w:val="9"/>
        </w:numPr>
        <w:spacing w:before="120" w:beforeLines="50" w:after="12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开标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28．开标</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1投标人须在开标当日的开标时间至解密截止时间内进行解密，逾期未解密的作无效处理。解密方法：登录“深圳政府采购智慧平台用户网上办事子系统（</w:t>
      </w:r>
      <w:r>
        <w:rPr>
          <w:rFonts w:asciiTheme="majorEastAsia" w:hAnsiTheme="majorEastAsia" w:eastAsiaTheme="majorEastAsia"/>
          <w:szCs w:val="21"/>
        </w:rPr>
        <w:t>http://zfcg.szggzy.com/</w:t>
      </w:r>
      <w:r>
        <w:rPr>
          <w:rFonts w:hint="eastAsia" w:asciiTheme="majorEastAsia" w:hAnsiTheme="majorEastAsia" w:eastAsiaTheme="majorEastAsia"/>
          <w:szCs w:val="21"/>
        </w:rPr>
        <w:t>TPBidder/memberLogin）”，使用本单位制作电子投标文件同一个电子密钥，在“【我的项目】→【项目流程】→【开标及解密】”进行在线解密、查询开标情况。</w:t>
      </w:r>
    </w:p>
    <w:p>
      <w:pPr>
        <w:spacing w:line="360" w:lineRule="auto"/>
        <w:ind w:firstLine="359" w:firstLineChars="171"/>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 xml:space="preserve">8.2 </w:t>
      </w:r>
      <w:r>
        <w:rPr>
          <w:rFonts w:hint="eastAsia" w:asciiTheme="majorEastAsia" w:hAnsiTheme="majorEastAsia" w:eastAsiaTheme="majorEastAsia"/>
          <w:szCs w:val="21"/>
        </w:rPr>
        <w:t>采购代理机构将在满足开标条件（</w:t>
      </w:r>
      <w:r>
        <w:rPr>
          <w:rFonts w:hint="eastAsia" w:cs="宋体" w:asciiTheme="majorEastAsia" w:hAnsiTheme="majorEastAsia" w:eastAsiaTheme="majorEastAsia"/>
          <w:color w:val="333333"/>
          <w:szCs w:val="21"/>
          <w:shd w:val="clear" w:color="auto" w:fill="FFFFFF"/>
        </w:rPr>
        <w:t>①</w:t>
      </w:r>
      <w:r>
        <w:rPr>
          <w:rFonts w:hint="eastAsia" w:asciiTheme="majorEastAsia" w:hAnsiTheme="majorEastAsia" w:eastAsiaTheme="majorEastAsia"/>
          <w:szCs w:val="21"/>
        </w:rPr>
        <w:t>解密时间结束，解密后的投标供应商数量满足开标要求或</w:t>
      </w:r>
      <w:r>
        <w:rPr>
          <w:rFonts w:hint="eastAsia" w:cs="宋体" w:asciiTheme="majorEastAsia" w:hAnsiTheme="majorEastAsia" w:eastAsiaTheme="majorEastAsia"/>
          <w:color w:val="333333"/>
          <w:szCs w:val="21"/>
          <w:shd w:val="clear" w:color="auto" w:fill="FFFFFF"/>
        </w:rPr>
        <w:t>②</w:t>
      </w:r>
      <w:r>
        <w:rPr>
          <w:rFonts w:hint="eastAsia" w:asciiTheme="majorEastAsia" w:hAnsiTheme="majorEastAsia" w:eastAsiaTheme="majorEastAsia"/>
          <w:szCs w:val="21"/>
        </w:rPr>
        <w:t>解密时间结束前所有投标供应商均完成投标文件解密）后，对投标文件进行开标，并在网上公布开标结果。</w:t>
      </w:r>
    </w:p>
    <w:p>
      <w:pPr>
        <w:pStyle w:val="7"/>
        <w:widowControl/>
        <w:numPr>
          <w:ilvl w:val="0"/>
          <w:numId w:val="9"/>
        </w:numPr>
        <w:spacing w:before="120" w:beforeLines="50" w:after="12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评审要求</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29．评审委员会组成</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29.1网上开标结束后召开评审会议，评审委员会由采购代理机构依法组建，负责评审活动。</w:t>
      </w:r>
    </w:p>
    <w:p>
      <w:pPr>
        <w:spacing w:line="360" w:lineRule="auto"/>
        <w:ind w:firstLine="411" w:firstLineChars="196"/>
        <w:rPr>
          <w:rFonts w:asciiTheme="majorEastAsia" w:hAnsiTheme="majorEastAsia" w:eastAsiaTheme="majorEastAsia"/>
          <w:szCs w:val="21"/>
        </w:rPr>
      </w:pPr>
      <w:bookmarkStart w:id="60" w:name="_Hlk72436580"/>
      <w:r>
        <w:rPr>
          <w:rFonts w:hint="eastAsia" w:asciiTheme="majorEastAsia" w:hAnsiTheme="majorEastAsia" w:eastAsiaTheme="majorEastAsia"/>
          <w:szCs w:val="21"/>
        </w:rPr>
        <w:t>评审委员会由采购人代表和评审专家组成，成员人数应当为5人以上单数（部分条件下为7人以上单数），其中评审专家不得少于成员总数的三分之二。</w:t>
      </w:r>
      <w:bookmarkEnd w:id="60"/>
      <w:r>
        <w:rPr>
          <w:rFonts w:hint="eastAsia" w:asciiTheme="majorEastAsia" w:hAnsiTheme="majorEastAsia" w:eastAsiaTheme="majorEastAsia"/>
          <w:szCs w:val="21"/>
        </w:rPr>
        <w:t>评定分离项目</w:t>
      </w:r>
      <w:r>
        <w:rPr>
          <w:rFonts w:asciiTheme="majorEastAsia" w:hAnsiTheme="majorEastAsia" w:eastAsiaTheme="majorEastAsia"/>
          <w:szCs w:val="21"/>
        </w:rPr>
        <w:t>评审专家</w:t>
      </w:r>
      <w:r>
        <w:rPr>
          <w:rFonts w:hint="eastAsia" w:asciiTheme="majorEastAsia" w:hAnsiTheme="majorEastAsia" w:eastAsiaTheme="majorEastAsia"/>
          <w:szCs w:val="21"/>
        </w:rPr>
        <w:t>均</w:t>
      </w:r>
      <w:r>
        <w:rPr>
          <w:rFonts w:asciiTheme="majorEastAsia" w:hAnsiTheme="majorEastAsia" w:eastAsiaTheme="majorEastAsia"/>
          <w:szCs w:val="21"/>
        </w:rPr>
        <w:t>由</w:t>
      </w:r>
      <w:r>
        <w:rPr>
          <w:rFonts w:hint="eastAsia" w:asciiTheme="majorEastAsia" w:hAnsiTheme="majorEastAsia" w:eastAsiaTheme="majorEastAsia"/>
          <w:szCs w:val="21"/>
        </w:rPr>
        <w:t>评审专家组成。评审专家一般是从深圳市政府采购评审专家库中随机抽取。采购人代表须持本单位签发的《评审授权书》参加评审。</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29.2评审定标应当遵循公平、公正、科学、择优的原则。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29.3评审活动依法进行，任何单位和个人不得非法干预评标过程和结果。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29.4评审过程中不允许违背评标程序或采用招标文件未载明的评标方法或评标因素进行评标。</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29.5 开标后，直到签订合同为止，凡属于对投标文件的审查、澄清、评价和比较的有关资料以及中标候选人的推荐情况、与评审有关的其他任何情况均严格保密（</w:t>
      </w:r>
      <w:r>
        <w:rPr>
          <w:rFonts w:hint="eastAsia" w:asciiTheme="majorEastAsia" w:hAnsiTheme="majorEastAsia" w:eastAsiaTheme="majorEastAsia"/>
          <w:szCs w:val="21"/>
        </w:rPr>
        <w:t>信息公开的内容除外</w:t>
      </w:r>
      <w:r>
        <w:rPr>
          <w:rFonts w:hint="eastAsia" w:asciiTheme="majorEastAsia" w:hAnsiTheme="majorEastAsia" w:eastAsiaTheme="majorEastAsia"/>
          <w:bCs/>
          <w:szCs w:val="21"/>
        </w:rPr>
        <w:t>）。</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30．向评审委员会提供的资料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30.1公开发布的招标文件，包括图纸、服务清单、答疑文件等；</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30.2其他评标必须的资料。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30.3评审委员会应当认真研究招标文件，至少应了解熟悉以下内容：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（1）招标的目的；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（2）招标项目需求的范围和性质；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（3）招标文件规定的投标人的资格、财政预算限额、商务条款；</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（4）招标文件规定的评标程序、评标方法和评标因素；</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（5）招标文件所列示的资格性审查表及符合性审查表。</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31．独立评审</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w:t>
      </w:r>
      <w:r>
        <w:rPr>
          <w:rFonts w:asciiTheme="majorEastAsia" w:hAnsiTheme="majorEastAsia" w:eastAsiaTheme="majorEastAsia"/>
          <w:bCs/>
          <w:szCs w:val="21"/>
        </w:rPr>
        <w:t>1</w:t>
      </w:r>
      <w:r>
        <w:rPr>
          <w:rFonts w:hint="eastAsia" w:asciiTheme="majorEastAsia" w:hAnsiTheme="majorEastAsia" w:eastAsiaTheme="majorEastAsia"/>
          <w:bCs/>
          <w:szCs w:val="21"/>
        </w:rPr>
        <w:t>.1</w:t>
      </w:r>
      <w:r>
        <w:rPr>
          <w:rFonts w:hint="eastAsia" w:asciiTheme="majorEastAsia" w:hAnsiTheme="majorEastAsia" w:eastAsiaTheme="majorEastAsia"/>
          <w:szCs w:val="21"/>
        </w:rPr>
        <w:t>评审委员会</w:t>
      </w:r>
      <w:r>
        <w:rPr>
          <w:rFonts w:hint="eastAsia" w:asciiTheme="majorEastAsia" w:hAnsiTheme="majorEastAsia" w:eastAsiaTheme="majorEastAsia"/>
          <w:bCs/>
          <w:szCs w:val="21"/>
        </w:rPr>
        <w:t>成员的评标活动应当独立进行，并应遵循投标文件初审、澄清有关问题、比较与评价、确定中标供应商、编写评审报告的工作程序。</w:t>
      </w:r>
    </w:p>
    <w:p>
      <w:pPr>
        <w:pStyle w:val="7"/>
        <w:widowControl/>
        <w:numPr>
          <w:ilvl w:val="0"/>
          <w:numId w:val="9"/>
        </w:numPr>
        <w:spacing w:before="120" w:beforeLines="50" w:after="12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评审程序及评审方法</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32．投标文件初审</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32.1投标文件初审包括资格性审查和符合性审查。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资格性审查：依据法律法规和招标文件的规定，对投标文件中的资格证明等进行审查，以确定投标供应商是否具备投标资格。</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符合性审查：依据招标文件的规定，对投标文件的有效性、完整性和对招标文件的响应程度进行审查，以确定是否满足符合性审查的要求。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32.2 投标文件初审内容请详见《资格性审查表》和《符合性审查表》部分。投标人若有一条审查不通过则按投标无效处理。</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 投标文件初审中关于供应商家数的计算:</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32.3.3非单一产品采购项目，采购人应当根据采购项目技术构成、产品价格比重等合理确定核心产品，并在招标文件中载明。多家投标人提供的核心产品品牌相同的，按前两款规定处理。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32.4投标人投标文件作无效处理的情形，具体包括但不限于以下：</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32.4.1不同投标人的投标文件由同一单位或者同一个人编制，或者由同一个人分阶段参与编制；</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32.4.</w:t>
      </w:r>
      <w:r>
        <w:rPr>
          <w:rFonts w:hint="eastAsia" w:asciiTheme="majorEastAsia" w:hAnsiTheme="majorEastAsia" w:eastAsiaTheme="majorEastAsia"/>
          <w:szCs w:val="21"/>
        </w:rPr>
        <w:t>2不同投标人委托同一单位或者个人办理投标事宜；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32.4.3不同投标人的投标文件载明的项目管理成员或者联系人员为同一人；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32.4.4不同投标人的投标文件异常一致或者投标报价呈规律性差异；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32.4.5</w:t>
      </w:r>
      <w:r>
        <w:rPr>
          <w:rFonts w:asciiTheme="majorEastAsia" w:hAnsiTheme="majorEastAsia" w:eastAsiaTheme="majorEastAsia"/>
          <w:szCs w:val="21"/>
        </w:rPr>
        <w:t>不同投标供应商的投标文件或部分投标文件相互混装</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32.4.6投标供应商之间相互约定给予未中标的供应商利益补偿；</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32.4.7不同投标供应商的法定代表人、主要经营负责人、项目投标授权代表人、项目负责人、主要技术人员为同一人、属同一单位或者同一单位缴纳社会保险；</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32.4.8不同投标供应商的投标文件内容存在非正常一致；</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32.4.9在同一单位工作人员为两家以上（含两家）供应商进行同一项投标活动；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32.4.10主管部门依照法律、法规认定的其他情形。</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32.5对不属于《资格性审查表》和《符合性审查表》所列的其他情形，除专用条款另有规定和32.4条款所列情形外，不得作为投标无效的理由。</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33．澄清有关问题</w:t>
      </w:r>
    </w:p>
    <w:p>
      <w:pPr>
        <w:spacing w:line="360" w:lineRule="auto"/>
        <w:ind w:firstLine="411" w:firstLineChars="196"/>
        <w:rPr>
          <w:rFonts w:asciiTheme="majorEastAsia" w:hAnsiTheme="majorEastAsia" w:eastAsiaTheme="majorEastAsia"/>
          <w:szCs w:val="21"/>
        </w:rPr>
      </w:pPr>
      <w:bookmarkStart w:id="61" w:name="_Hlk71407321"/>
      <w:r>
        <w:rPr>
          <w:rFonts w:hint="eastAsia" w:asciiTheme="majorEastAsia" w:hAnsiTheme="majorEastAsia" w:eastAsiaTheme="majorEastAsia"/>
          <w:szCs w:val="21"/>
        </w:rPr>
        <w:t>3</w:t>
      </w:r>
      <w:r>
        <w:rPr>
          <w:rFonts w:asciiTheme="majorEastAsia" w:hAnsiTheme="majorEastAsia" w:eastAsiaTheme="majorEastAsia"/>
          <w:szCs w:val="21"/>
        </w:rPr>
        <w:t>3.1</w:t>
      </w:r>
      <w:r>
        <w:rPr>
          <w:rFonts w:hint="eastAsia" w:asciiTheme="majorEastAsia" w:hAnsiTheme="majorEastAsia" w:eastAsiaTheme="majorEastAsia"/>
          <w:szCs w:val="21"/>
        </w:rPr>
        <w:t>对招标文件中描述有歧义或前后不一致的地方（不含</w:t>
      </w:r>
      <w:r>
        <w:rPr>
          <w:rFonts w:asciiTheme="majorEastAsia" w:hAnsiTheme="majorEastAsia" w:eastAsiaTheme="majorEastAsia"/>
          <w:szCs w:val="21"/>
        </w:rPr>
        <w:t>招标文件存在歧义、重大缺陷导致评</w:t>
      </w:r>
      <w:r>
        <w:rPr>
          <w:rFonts w:hint="eastAsia" w:asciiTheme="majorEastAsia" w:hAnsiTheme="majorEastAsia" w:eastAsiaTheme="majorEastAsia"/>
          <w:szCs w:val="21"/>
        </w:rPr>
        <w:t>审</w:t>
      </w:r>
      <w:r>
        <w:rPr>
          <w:rFonts w:asciiTheme="majorEastAsia" w:hAnsiTheme="majorEastAsia" w:eastAsiaTheme="majorEastAsia"/>
          <w:szCs w:val="21"/>
        </w:rPr>
        <w:t>工作无法进行</w:t>
      </w:r>
      <w:r>
        <w:rPr>
          <w:rFonts w:hint="eastAsia" w:asciiTheme="majorEastAsia" w:hAnsiTheme="majorEastAsia" w:eastAsiaTheme="majorEastAsia"/>
          <w:szCs w:val="21"/>
        </w:rPr>
        <w:t>的情况），评审委员会有权进行评判，但对同一条款的评判应适用于每个投标人。</w:t>
      </w:r>
      <w:bookmarkEnd w:id="61"/>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3.2评</w:t>
      </w:r>
      <w:r>
        <w:rPr>
          <w:rFonts w:hint="eastAsia" w:asciiTheme="majorEastAsia" w:hAnsiTheme="majorEastAsia" w:eastAsiaTheme="majorEastAsia"/>
          <w:szCs w:val="21"/>
        </w:rPr>
        <w:t>审</w:t>
      </w:r>
      <w:r>
        <w:rPr>
          <w:rFonts w:asciiTheme="majorEastAsia" w:hAnsiTheme="majorEastAsia" w:eastAsiaTheme="majorEastAsia"/>
          <w:szCs w:val="21"/>
        </w:rPr>
        <w:t>委员会发现招标文件存在歧义、重大缺陷导致评</w:t>
      </w:r>
      <w:r>
        <w:rPr>
          <w:rFonts w:hint="eastAsia" w:asciiTheme="majorEastAsia" w:hAnsiTheme="majorEastAsia" w:eastAsiaTheme="majorEastAsia"/>
          <w:szCs w:val="21"/>
        </w:rPr>
        <w:t>审</w:t>
      </w:r>
      <w:r>
        <w:rPr>
          <w:rFonts w:asciiTheme="majorEastAsia" w:hAnsiTheme="majorEastAsia" w:eastAsiaTheme="majorEastAsia"/>
          <w:szCs w:val="21"/>
        </w:rPr>
        <w:t>工作无法进行，或者招标文件内容违反国家有关强制性规定的，应当停止评</w:t>
      </w:r>
      <w:r>
        <w:rPr>
          <w:rFonts w:hint="eastAsia" w:asciiTheme="majorEastAsia" w:hAnsiTheme="majorEastAsia" w:eastAsiaTheme="majorEastAsia"/>
          <w:szCs w:val="21"/>
        </w:rPr>
        <w:t>审</w:t>
      </w:r>
      <w:r>
        <w:rPr>
          <w:rFonts w:asciiTheme="majorEastAsia" w:hAnsiTheme="majorEastAsia" w:eastAsiaTheme="majorEastAsia"/>
          <w:szCs w:val="21"/>
        </w:rPr>
        <w:t>工作，与</w:t>
      </w:r>
      <w:r>
        <w:rPr>
          <w:rFonts w:hint="eastAsia" w:asciiTheme="majorEastAsia" w:hAnsiTheme="majorEastAsia" w:eastAsiaTheme="majorEastAsia"/>
          <w:szCs w:val="21"/>
        </w:rPr>
        <w:t>采购代理机构</w:t>
      </w:r>
      <w:r>
        <w:rPr>
          <w:rFonts w:asciiTheme="majorEastAsia" w:hAnsiTheme="majorEastAsia" w:eastAsiaTheme="majorEastAsia"/>
          <w:szCs w:val="21"/>
        </w:rPr>
        <w:t>沟通并作书面记录。</w:t>
      </w:r>
      <w:r>
        <w:rPr>
          <w:rFonts w:hint="eastAsia" w:asciiTheme="majorEastAsia" w:hAnsiTheme="majorEastAsia" w:eastAsiaTheme="majorEastAsia"/>
          <w:szCs w:val="21"/>
        </w:rPr>
        <w:t>经</w:t>
      </w:r>
      <w:r>
        <w:rPr>
          <w:rFonts w:asciiTheme="majorEastAsia" w:hAnsiTheme="majorEastAsia" w:eastAsiaTheme="majorEastAsia"/>
          <w:szCs w:val="21"/>
        </w:rPr>
        <w:t>确认后，</w:t>
      </w:r>
      <w:r>
        <w:rPr>
          <w:rFonts w:hint="eastAsia" w:asciiTheme="majorEastAsia" w:hAnsiTheme="majorEastAsia" w:eastAsiaTheme="majorEastAsia"/>
          <w:szCs w:val="21"/>
        </w:rPr>
        <w:t>项目</w:t>
      </w:r>
      <w:r>
        <w:rPr>
          <w:rFonts w:asciiTheme="majorEastAsia" w:hAnsiTheme="majorEastAsia" w:eastAsiaTheme="majorEastAsia"/>
          <w:szCs w:val="21"/>
        </w:rPr>
        <w:t>应当修改招标文件，重新组织采购活动。</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33.3</w:t>
      </w:r>
      <w:r>
        <w:rPr>
          <w:rFonts w:hint="eastAsia" w:asciiTheme="majorEastAsia" w:hAnsiTheme="majorEastAsia" w:eastAsiaTheme="majorEastAsia"/>
          <w:szCs w:val="21"/>
        </w:rPr>
        <w:t>对于投标文件中含义不明确、同类问题表述不一致或者有明显文字和计算错误的内容，评审委员会应当以书面形式要求投标人作出必要的澄清、说明或者补正。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根据本通用条款第34条，凡属于评审委员会在评审中发现的算术错误进行核实的修改不在此列。</w:t>
      </w:r>
    </w:p>
    <w:p>
      <w:pPr>
        <w:spacing w:line="360" w:lineRule="auto"/>
        <w:rPr>
          <w:rFonts w:asciiTheme="majorEastAsia" w:hAnsiTheme="majorEastAsia" w:eastAsiaTheme="majorEastAsia"/>
          <w:b/>
          <w:bCs/>
          <w:szCs w:val="21"/>
        </w:rPr>
      </w:pPr>
      <w:bookmarkStart w:id="62" w:name="_Toc73518151"/>
      <w:bookmarkStart w:id="63" w:name="_Toc73517673"/>
      <w:bookmarkStart w:id="64" w:name="_Toc100052400"/>
      <w:bookmarkStart w:id="65" w:name="_Toc73521669"/>
      <w:bookmarkStart w:id="66" w:name="_Toc73521581"/>
      <w:r>
        <w:rPr>
          <w:rFonts w:hint="eastAsia" w:asciiTheme="majorEastAsia" w:hAnsiTheme="majorEastAsia" w:eastAsiaTheme="majorEastAsia"/>
          <w:b/>
          <w:bCs/>
          <w:szCs w:val="21"/>
        </w:rPr>
        <w:t>34．错误的修正</w:t>
      </w:r>
      <w:bookmarkEnd w:id="62"/>
      <w:bookmarkEnd w:id="63"/>
      <w:bookmarkEnd w:id="64"/>
      <w:bookmarkEnd w:id="65"/>
      <w:bookmarkEnd w:id="66"/>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投标文件报价出现前后不一致的，除专用条款另有规定外，按照下列规定修正：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34.1投标文件中开标一览表投标报价内容与投标文件中投标报价相应内容不一致的，以开标一览表为准；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34.2大写金额和小写金额不一致的，以大写金额为准；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34.3单价金额小数点或者百分比有明显错位，以开标一览表的总价为准，并修改单价；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34.4总价金额与按单价汇总金额不一致的，以单价金额计算结果为准。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35．投标文件的比较与评价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评审委员会成员对需要共同认定的事项存在争议的，应当按照少数服从多数的原则作出结论。持不同意见的评审委员会成员应当书面作出说明，否则视为无异议。</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36. 实地考察或资料查验</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36.1在评审过程中，评审委员会有权决定是否对本项目投标人进行实地考察或资料查验（原件）。投标人应随时做好接受实地考察或资料查验的准备。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37．评审方法</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37.1.1最低价法</w:t>
      </w:r>
    </w:p>
    <w:p>
      <w:pPr>
        <w:spacing w:line="360" w:lineRule="auto"/>
        <w:ind w:firstLine="411" w:firstLineChars="196"/>
        <w:rPr>
          <w:rFonts w:asciiTheme="majorEastAsia" w:hAnsiTheme="majorEastAsia" w:eastAsiaTheme="majorEastAsia"/>
          <w:szCs w:val="21"/>
        </w:rPr>
      </w:pPr>
      <w:bookmarkStart w:id="67" w:name="_Hlk72438142"/>
      <w:r>
        <w:rPr>
          <w:rFonts w:asciiTheme="majorEastAsia" w:hAnsiTheme="majorEastAsia" w:eastAsiaTheme="majorEastAsia"/>
          <w:szCs w:val="21"/>
        </w:rPr>
        <w:t>最低价法，是指</w:t>
      </w:r>
      <w:r>
        <w:rPr>
          <w:rFonts w:hint="eastAsia" w:asciiTheme="majorEastAsia" w:hAnsiTheme="majorEastAsia" w:eastAsiaTheme="majorEastAsia"/>
          <w:szCs w:val="21"/>
        </w:rPr>
        <w:t>完全</w:t>
      </w:r>
      <w:r>
        <w:rPr>
          <w:rFonts w:asciiTheme="majorEastAsia" w:hAnsiTheme="majorEastAsia" w:eastAsiaTheme="majorEastAsia"/>
          <w:szCs w:val="21"/>
        </w:rPr>
        <w:t>满足招标文件实质性要求，</w:t>
      </w:r>
      <w:r>
        <w:rPr>
          <w:rFonts w:hint="eastAsia" w:asciiTheme="majorEastAsia" w:hAnsiTheme="majorEastAsia" w:eastAsiaTheme="majorEastAsia"/>
          <w:szCs w:val="21"/>
        </w:rPr>
        <w:t>按照报价由低到高的顺序，依据招标文件中规定的数量或者比例推荐候选中标供应商。</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37.1.2综合评分法</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综合评分法，是指</w:t>
      </w:r>
      <w:r>
        <w:rPr>
          <w:rFonts w:hint="eastAsia" w:asciiTheme="majorEastAsia" w:hAnsiTheme="majorEastAsia" w:eastAsiaTheme="majorEastAsia"/>
          <w:szCs w:val="21"/>
        </w:rPr>
        <w:t>在</w:t>
      </w:r>
      <w:r>
        <w:rPr>
          <w:rFonts w:asciiTheme="majorEastAsia" w:hAnsiTheme="majorEastAsia" w:eastAsiaTheme="majorEastAsia"/>
          <w:szCs w:val="21"/>
        </w:rPr>
        <w:t>满足招标文件全部实质性要求</w:t>
      </w:r>
      <w:r>
        <w:rPr>
          <w:rFonts w:hint="eastAsia" w:asciiTheme="majorEastAsia" w:hAnsiTheme="majorEastAsia" w:eastAsiaTheme="majorEastAsia"/>
          <w:szCs w:val="21"/>
        </w:rPr>
        <w:t>的前提下</w:t>
      </w:r>
      <w:r>
        <w:rPr>
          <w:rFonts w:asciiTheme="majorEastAsia" w:hAnsiTheme="majorEastAsia" w:eastAsiaTheme="majorEastAsia"/>
          <w:szCs w:val="21"/>
        </w:rPr>
        <w:t>，</w:t>
      </w:r>
      <w:r>
        <w:rPr>
          <w:rFonts w:hint="eastAsia" w:asciiTheme="majorEastAsia" w:hAnsiTheme="majorEastAsia" w:eastAsiaTheme="majorEastAsia"/>
          <w:szCs w:val="21"/>
        </w:rPr>
        <w:t>按照招标文件中规定的各项因素进行综合评审，评审总得分排名前列的投标人，作为推荐的候选中标供应商。</w:t>
      </w:r>
      <w:bookmarkEnd w:id="67"/>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37.2 本项目采用的评审方法见本项目招标文件第一册“专用条款”的相关内容。</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37.3重新评审的情形</w:t>
      </w:r>
    </w:p>
    <w:p>
      <w:pPr>
        <w:spacing w:line="360" w:lineRule="auto"/>
        <w:ind w:firstLine="411" w:firstLineChars="196"/>
        <w:rPr>
          <w:rFonts w:asciiTheme="majorEastAsia" w:hAnsiTheme="majorEastAsia" w:eastAsiaTheme="majorEastAsia"/>
          <w:b/>
          <w:bCs/>
          <w:szCs w:val="21"/>
        </w:rPr>
      </w:pPr>
      <w:r>
        <w:rPr>
          <w:rFonts w:hint="eastAsia" w:cs="宋体" w:asciiTheme="majorEastAsia" w:hAnsiTheme="majorEastAsia" w:eastAsiaTheme="majorEastAsia"/>
          <w:szCs w:val="21"/>
        </w:rPr>
        <w:t>评审结果汇总完成后，除下列情形外，任何人不得修改评审结果：</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37.3.1分值汇总计算错误的；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37.3.2分项评分超出评分标准范围的；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37.3.3评审委员会成员对客观评审因素评分不一致的；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37.3.4经评审委员会认定评分畸高、畸低的。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投标人对本条第一款情形提出质疑的，采购人或者采购代理机构可以组织原评审委员会进行重新评审，重新评审改变评审结果的，应当书面报告本级财政部门。</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 xml:space="preserve"> 37.4重新组建评审委员会的情形</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评审委员会或者其成员存在下列情形导致评审结果无效的，重新组建评审委员会进行评标，并书面报告本级财政部门：</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37.4.1评审委员会组成不符合《政府采购货物和服务招标投标管理办法》规定的；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37.4.2有《政府采购货物和服务招标投标管理办法》第六十二条第一至五项情形的；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37.4.3评审委员会及其成员独立评标受到非法干预的；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37.4.4有政府采购法实施条例第七十五条规定的违法行为的。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有违法违规行为的原评审委员会成员不得参加重新组建的评审委员会。</w:t>
      </w:r>
    </w:p>
    <w:p>
      <w:pPr>
        <w:pStyle w:val="7"/>
        <w:widowControl/>
        <w:numPr>
          <w:ilvl w:val="0"/>
          <w:numId w:val="9"/>
        </w:numPr>
        <w:spacing w:before="120" w:beforeLines="50" w:after="12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定标及公示</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38．定标方法</w:t>
      </w:r>
    </w:p>
    <w:p>
      <w:pPr>
        <w:spacing w:line="360" w:lineRule="auto"/>
        <w:ind w:firstLine="411" w:firstLineChars="196"/>
        <w:rPr>
          <w:rFonts w:asciiTheme="majorEastAsia" w:hAnsiTheme="majorEastAsia" w:eastAsiaTheme="majorEastAsia"/>
          <w:szCs w:val="21"/>
        </w:rPr>
      </w:pPr>
      <w:bookmarkStart w:id="68" w:name="_Hlk73782795"/>
      <w:r>
        <w:rPr>
          <w:rFonts w:hint="eastAsia" w:asciiTheme="majorEastAsia" w:hAnsiTheme="majorEastAsia" w:eastAsiaTheme="majorEastAsia"/>
          <w:szCs w:val="21"/>
        </w:rPr>
        <w:t>38.1非评定分离项目定标方法</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1.1评审委员会依据本项目招标文件所约定的评审方法进行评审和比较，向采购代理机构提交书面评审报告，并根据评审方法比较评价结果从优到劣进行排序，确定候选中标供应商。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1.2</w:t>
      </w:r>
      <w:r>
        <w:rPr>
          <w:rFonts w:asciiTheme="majorEastAsia" w:hAnsiTheme="majorEastAsia" w:eastAsiaTheme="majorEastAsia"/>
          <w:szCs w:val="21"/>
        </w:rPr>
        <w:t>采用最低价法的，评</w:t>
      </w:r>
      <w:r>
        <w:rPr>
          <w:rFonts w:hint="eastAsia" w:asciiTheme="majorEastAsia" w:hAnsiTheme="majorEastAsia" w:eastAsiaTheme="majorEastAsia"/>
          <w:szCs w:val="21"/>
        </w:rPr>
        <w:t>审</w:t>
      </w:r>
      <w:r>
        <w:rPr>
          <w:rFonts w:asciiTheme="majorEastAsia" w:hAnsiTheme="majorEastAsia" w:eastAsiaTheme="majorEastAsia"/>
          <w:szCs w:val="21"/>
        </w:rPr>
        <w:t>结果按投标报价由低到高顺序排列。投标报价相同的并列。投标文件满足招标文件全部实质性要求且投标报价最低的</w:t>
      </w:r>
      <w:r>
        <w:rPr>
          <w:rFonts w:hint="eastAsia" w:asciiTheme="majorEastAsia" w:hAnsiTheme="majorEastAsia" w:eastAsiaTheme="majorEastAsia"/>
          <w:szCs w:val="21"/>
        </w:rPr>
        <w:t>投标人为</w:t>
      </w:r>
      <w:bookmarkStart w:id="69" w:name="_Hlk73821177"/>
      <w:r>
        <w:rPr>
          <w:rFonts w:hint="eastAsia" w:asciiTheme="majorEastAsia" w:hAnsiTheme="majorEastAsia" w:eastAsiaTheme="majorEastAsia"/>
          <w:szCs w:val="21"/>
        </w:rPr>
        <w:t>中标供应商</w:t>
      </w:r>
      <w:r>
        <w:rPr>
          <w:rFonts w:asciiTheme="majorEastAsia" w:hAnsiTheme="majorEastAsia" w:eastAsiaTheme="majorEastAsia"/>
          <w:szCs w:val="21"/>
        </w:rPr>
        <w:t>（</w:t>
      </w:r>
      <w:r>
        <w:rPr>
          <w:rFonts w:hint="eastAsia" w:asciiTheme="majorEastAsia" w:hAnsiTheme="majorEastAsia" w:eastAsiaTheme="majorEastAsia"/>
          <w:szCs w:val="21"/>
        </w:rPr>
        <w:t>排名</w:t>
      </w:r>
      <w:r>
        <w:rPr>
          <w:rFonts w:asciiTheme="majorEastAsia" w:hAnsiTheme="majorEastAsia" w:eastAsiaTheme="majorEastAsia"/>
          <w:szCs w:val="21"/>
        </w:rPr>
        <w:t>第二</w:t>
      </w:r>
      <w:r>
        <w:rPr>
          <w:rFonts w:hint="eastAsia" w:asciiTheme="majorEastAsia" w:hAnsiTheme="majorEastAsia" w:eastAsiaTheme="majorEastAsia"/>
          <w:szCs w:val="21"/>
        </w:rPr>
        <w:t>的投标人为第一替补中标候选人、排名</w:t>
      </w:r>
      <w:r>
        <w:rPr>
          <w:rFonts w:asciiTheme="majorEastAsia" w:hAnsiTheme="majorEastAsia" w:eastAsiaTheme="majorEastAsia"/>
          <w:szCs w:val="21"/>
        </w:rPr>
        <w:t>第</w:t>
      </w:r>
      <w:r>
        <w:rPr>
          <w:rFonts w:hint="eastAsia" w:asciiTheme="majorEastAsia" w:hAnsiTheme="majorEastAsia" w:eastAsiaTheme="majorEastAsia"/>
          <w:szCs w:val="21"/>
        </w:rPr>
        <w:t>三的投标人为第二替补中标候选人</w:t>
      </w:r>
      <w:bookmarkEnd w:id="69"/>
      <w:r>
        <w:rPr>
          <w:rFonts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1.3</w:t>
      </w:r>
      <w:r>
        <w:rPr>
          <w:rFonts w:asciiTheme="majorEastAsia" w:hAnsiTheme="majorEastAsia" w:eastAsiaTheme="majorEastAsia"/>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Theme="majorEastAsia" w:hAnsiTheme="majorEastAsia" w:eastAsiaTheme="majorEastAsia"/>
          <w:szCs w:val="21"/>
        </w:rPr>
        <w:t>为中标供应商</w:t>
      </w:r>
      <w:r>
        <w:rPr>
          <w:rFonts w:asciiTheme="majorEastAsia" w:hAnsiTheme="majorEastAsia" w:eastAsiaTheme="majorEastAsia"/>
          <w:szCs w:val="21"/>
        </w:rPr>
        <w:t>（</w:t>
      </w:r>
      <w:r>
        <w:rPr>
          <w:rFonts w:hint="eastAsia" w:asciiTheme="majorEastAsia" w:hAnsiTheme="majorEastAsia" w:eastAsiaTheme="majorEastAsia"/>
          <w:szCs w:val="21"/>
        </w:rPr>
        <w:t>中标候选人如不止一名，则推选排名</w:t>
      </w:r>
      <w:r>
        <w:rPr>
          <w:rFonts w:asciiTheme="majorEastAsia" w:hAnsiTheme="majorEastAsia" w:eastAsiaTheme="majorEastAsia"/>
          <w:szCs w:val="21"/>
        </w:rPr>
        <w:t>第二</w:t>
      </w:r>
      <w:r>
        <w:rPr>
          <w:rFonts w:hint="eastAsia" w:asciiTheme="majorEastAsia" w:hAnsiTheme="majorEastAsia" w:eastAsiaTheme="majorEastAsia"/>
          <w:szCs w:val="21"/>
        </w:rPr>
        <w:t>的投标人为第一替补中标候选人、排名</w:t>
      </w:r>
      <w:r>
        <w:rPr>
          <w:rFonts w:asciiTheme="majorEastAsia" w:hAnsiTheme="majorEastAsia" w:eastAsiaTheme="majorEastAsia"/>
          <w:szCs w:val="21"/>
        </w:rPr>
        <w:t>第</w:t>
      </w:r>
      <w:r>
        <w:rPr>
          <w:rFonts w:hint="eastAsia" w:asciiTheme="majorEastAsia" w:hAnsiTheme="majorEastAsia" w:eastAsiaTheme="majorEastAsia"/>
          <w:szCs w:val="21"/>
        </w:rPr>
        <w:t>三的投标人为第二替补中标候选人</w:t>
      </w:r>
      <w:r>
        <w:rPr>
          <w:rFonts w:asciiTheme="majorEastAsia" w:hAnsiTheme="majorEastAsia" w:eastAsiaTheme="majorEastAsia"/>
          <w:szCs w:val="21"/>
        </w:rPr>
        <w:t>）。</w:t>
      </w:r>
      <w:r>
        <w:rPr>
          <w:rFonts w:hint="eastAsia" w:asciiTheme="majorEastAsia" w:hAnsiTheme="majorEastAsia" w:eastAsiaTheme="majorEastAsia"/>
          <w:szCs w:val="21"/>
        </w:rPr>
        <w:t>出现</w:t>
      </w:r>
      <w:r>
        <w:rPr>
          <w:rFonts w:asciiTheme="majorEastAsia" w:hAnsiTheme="majorEastAsia" w:eastAsiaTheme="majorEastAsia"/>
          <w:szCs w:val="21"/>
        </w:rPr>
        <w:t>得分且投标报价相同的并列</w:t>
      </w:r>
      <w:r>
        <w:rPr>
          <w:rFonts w:hint="eastAsia" w:asciiTheme="majorEastAsia" w:hAnsiTheme="majorEastAsia" w:eastAsiaTheme="majorEastAsia"/>
          <w:szCs w:val="21"/>
        </w:rPr>
        <w:t>情况时，采取随机抽取的方式确定，具体操作办法及流程由评审委员会确定。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38.2评定分离项目定标方法</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 xml:space="preserve">38.2.2 </w:t>
      </w:r>
      <w:bookmarkStart w:id="70" w:name="_Hlk71469733"/>
      <w:r>
        <w:rPr>
          <w:rFonts w:asciiTheme="majorEastAsia" w:hAnsiTheme="majorEastAsia" w:eastAsiaTheme="majorEastAsia"/>
          <w:szCs w:val="21"/>
        </w:rPr>
        <w:t>适用评定分离的政府采购项目，采用综合评分法评</w:t>
      </w:r>
      <w:r>
        <w:rPr>
          <w:rFonts w:hint="eastAsia" w:asciiTheme="majorEastAsia" w:hAnsiTheme="majorEastAsia" w:eastAsiaTheme="majorEastAsia"/>
          <w:szCs w:val="21"/>
        </w:rPr>
        <w:t>审。评审委员会按照评审结果，推荐</w:t>
      </w:r>
      <w:r>
        <w:rPr>
          <w:rFonts w:asciiTheme="majorEastAsia" w:hAnsiTheme="majorEastAsia" w:eastAsiaTheme="majorEastAsia"/>
          <w:szCs w:val="21"/>
        </w:rPr>
        <w:t>三个合格的候选中标供应商。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38.2.3</w:t>
      </w:r>
      <w:bookmarkStart w:id="71" w:name="_Hlk71469688"/>
      <w:r>
        <w:rPr>
          <w:rFonts w:asciiTheme="majorEastAsia" w:hAnsiTheme="majorEastAsia" w:eastAsiaTheme="majorEastAsia"/>
          <w:szCs w:val="21"/>
        </w:rPr>
        <w:t>适用评定分离的政府采购项目，</w:t>
      </w:r>
      <w:r>
        <w:rPr>
          <w:rFonts w:hint="eastAsia" w:asciiTheme="majorEastAsia" w:hAnsiTheme="majorEastAsia" w:eastAsiaTheme="majorEastAsia"/>
          <w:szCs w:val="21"/>
        </w:rPr>
        <w:t>按照自定法确定中标供应商：自定法是指采购人组织定标委员会，由定标委员会在三家候选中标供应商中确定中标供应商。</w:t>
      </w:r>
      <w:bookmarkEnd w:id="70"/>
      <w:bookmarkEnd w:id="71"/>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38.2.4</w:t>
      </w:r>
      <w:r>
        <w:rPr>
          <w:rFonts w:hint="eastAsia" w:asciiTheme="majorEastAsia" w:hAnsiTheme="majorEastAsia" w:eastAsiaTheme="majorEastAsia"/>
          <w:szCs w:val="21"/>
        </w:rPr>
        <w:t>采购代理机构</w:t>
      </w:r>
      <w:r>
        <w:rPr>
          <w:rFonts w:asciiTheme="majorEastAsia" w:hAnsiTheme="majorEastAsia" w:eastAsiaTheme="majorEastAsia"/>
          <w:szCs w:val="21"/>
        </w:rPr>
        <w:t>应当自评审结束之日起两个工作日内将候选中标供应商名单及其投标文件、评审报告送交采购人</w:t>
      </w:r>
      <w:r>
        <w:rPr>
          <w:rFonts w:hint="eastAsia" w:asciiTheme="majorEastAsia" w:hAnsiTheme="majorEastAsia" w:eastAsiaTheme="majorEastAsia"/>
          <w:szCs w:val="21"/>
        </w:rPr>
        <w:t>。</w:t>
      </w:r>
      <w:r>
        <w:rPr>
          <w:rFonts w:asciiTheme="majorEastAsia" w:hAnsiTheme="majorEastAsia" w:eastAsiaTheme="majorEastAsia"/>
          <w:szCs w:val="21"/>
        </w:rPr>
        <w:t>采购人应当安排专人对定标过程进行书面记录，形成定标报告，作为采购文件的组成部分存档，并及时将定标结果反馈</w:t>
      </w:r>
      <w:r>
        <w:rPr>
          <w:rFonts w:hint="eastAsia" w:asciiTheme="majorEastAsia" w:hAnsiTheme="majorEastAsia" w:eastAsiaTheme="majorEastAsia"/>
          <w:szCs w:val="21"/>
        </w:rPr>
        <w:t>采购代理机构。具体定标程序及相关要求以按照《</w:t>
      </w:r>
      <w:r>
        <w:rPr>
          <w:rFonts w:asciiTheme="majorEastAsia" w:hAnsiTheme="majorEastAsia" w:eastAsiaTheme="majorEastAsia"/>
          <w:szCs w:val="21"/>
        </w:rPr>
        <w:t>深圳市财政局关于印发</w:t>
      </w:r>
      <w:r>
        <w:rPr>
          <w:rFonts w:hint="eastAsia" w:asciiTheme="majorEastAsia" w:hAnsiTheme="majorEastAsia" w:eastAsiaTheme="majorEastAsia"/>
          <w:szCs w:val="21"/>
        </w:rPr>
        <w:t>〈</w:t>
      </w:r>
      <w:r>
        <w:rPr>
          <w:rFonts w:asciiTheme="majorEastAsia" w:hAnsiTheme="majorEastAsia" w:eastAsiaTheme="majorEastAsia"/>
          <w:szCs w:val="21"/>
        </w:rPr>
        <w:t>深圳市政府采购评标定标分离管理办法</w:t>
      </w:r>
      <w:r>
        <w:rPr>
          <w:rFonts w:hint="eastAsia" w:asciiTheme="majorEastAsia" w:hAnsiTheme="majorEastAsia" w:eastAsiaTheme="majorEastAsia"/>
          <w:szCs w:val="21"/>
        </w:rPr>
        <w:t>〉</w:t>
      </w:r>
      <w:r>
        <w:rPr>
          <w:rFonts w:asciiTheme="majorEastAsia" w:hAnsiTheme="majorEastAsia" w:eastAsiaTheme="majorEastAsia"/>
          <w:szCs w:val="21"/>
        </w:rPr>
        <w:t>的通知</w:t>
      </w:r>
      <w:r>
        <w:rPr>
          <w:rFonts w:hint="eastAsia" w:asciiTheme="majorEastAsia" w:hAnsiTheme="majorEastAsia" w:eastAsiaTheme="majorEastAsia"/>
          <w:szCs w:val="21"/>
        </w:rPr>
        <w:t>》（深财规【2</w:t>
      </w:r>
      <w:r>
        <w:rPr>
          <w:rFonts w:asciiTheme="majorEastAsia" w:hAnsiTheme="majorEastAsia" w:eastAsiaTheme="majorEastAsia"/>
          <w:szCs w:val="21"/>
        </w:rPr>
        <w:t>020</w:t>
      </w:r>
      <w:r>
        <w:rPr>
          <w:rFonts w:hint="eastAsia" w:asciiTheme="majorEastAsia" w:hAnsiTheme="majorEastAsia" w:eastAsiaTheme="majorEastAsia"/>
          <w:szCs w:val="21"/>
        </w:rPr>
        <w:t>】1号）执行。</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说明：采购人及投标供应商应按照上述方法提前做好相关准备。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38.3专用条款另有规定的，按专用条款相关要求定标。</w:t>
      </w:r>
      <w:bookmarkEnd w:id="68"/>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39．编写评审报告</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40．中标公告</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40.1</w:t>
      </w:r>
      <w:bookmarkStart w:id="72" w:name="_Hlk72438709"/>
      <w:r>
        <w:rPr>
          <w:rFonts w:hint="eastAsia" w:asciiTheme="majorEastAsia" w:hAnsiTheme="majorEastAsia" w:eastAsiaTheme="majorEastAsia"/>
          <w:szCs w:val="21"/>
        </w:rPr>
        <w:t>为体现“公开、公平、公正”的原则，评审结束后经采购人确认（确定）评审结果，采购代理机构将在“深圳政府采购智慧平台（http://zfcg.szggzy.com/）”上发布中标结果公告。</w:t>
      </w:r>
      <w:bookmarkEnd w:id="72"/>
      <w:bookmarkStart w:id="73" w:name="_Hlk72438751"/>
      <w:r>
        <w:rPr>
          <w:rFonts w:hint="eastAsia" w:asciiTheme="majorEastAsia" w:hAnsiTheme="majorEastAsia" w:eastAsiaTheme="majorEastAsia"/>
          <w:szCs w:val="21"/>
        </w:rPr>
        <w:t>供应商如对评审结果有异议，</w:t>
      </w:r>
      <w:r>
        <w:rPr>
          <w:rFonts w:asciiTheme="majorEastAsia" w:hAnsiTheme="majorEastAsia" w:eastAsiaTheme="majorEastAsia"/>
          <w:szCs w:val="21"/>
        </w:rPr>
        <w:t>可在发布公示日期起</w:t>
      </w:r>
      <w:r>
        <w:rPr>
          <w:rFonts w:hint="eastAsia" w:asciiTheme="majorEastAsia" w:hAnsiTheme="majorEastAsia" w:eastAsiaTheme="majorEastAsia"/>
          <w:szCs w:val="21"/>
        </w:rPr>
        <w:t>七</w:t>
      </w:r>
      <w:r>
        <w:rPr>
          <w:rFonts w:asciiTheme="majorEastAsia" w:hAnsiTheme="majorEastAsia" w:eastAsiaTheme="majorEastAsia"/>
          <w:szCs w:val="21"/>
        </w:rPr>
        <w:t>个工作日内向</w:t>
      </w:r>
      <w:r>
        <w:rPr>
          <w:rFonts w:hint="eastAsia" w:asciiTheme="majorEastAsia" w:hAnsiTheme="majorEastAsia" w:eastAsiaTheme="majorEastAsia"/>
          <w:szCs w:val="21"/>
        </w:rPr>
        <w:t>采购代理机构</w:t>
      </w:r>
      <w:r>
        <w:rPr>
          <w:rFonts w:asciiTheme="majorEastAsia" w:hAnsiTheme="majorEastAsia" w:eastAsiaTheme="majorEastAsia"/>
          <w:szCs w:val="21"/>
        </w:rPr>
        <w:t>提出。 监督电话：0755-83948143。</w:t>
      </w:r>
      <w:r>
        <w:rPr>
          <w:rFonts w:hint="eastAsia" w:asciiTheme="majorEastAsia" w:hAnsiTheme="majorEastAsia" w:eastAsiaTheme="majorEastAsia"/>
          <w:szCs w:val="21"/>
        </w:rPr>
        <w:t>若在公示期内未提出质疑，则视为认同该评审结果。</w:t>
      </w:r>
    </w:p>
    <w:bookmarkEnd w:id="73"/>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40.2质疑、投诉供应商应保证质疑、投诉内容的真实性和可靠性，并承担相应的法律责任。</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41．中标通知书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w:t>
      </w:r>
      <w:r>
        <w:rPr>
          <w:rFonts w:asciiTheme="majorEastAsia" w:hAnsiTheme="majorEastAsia" w:eastAsiaTheme="majorEastAsia"/>
          <w:szCs w:val="21"/>
        </w:rPr>
        <w:t>.</w:t>
      </w:r>
      <w:r>
        <w:rPr>
          <w:rFonts w:hint="eastAsia" w:asciiTheme="majorEastAsia" w:hAnsiTheme="majorEastAsia" w:eastAsiaTheme="majorEastAsia"/>
          <w:szCs w:val="21"/>
        </w:rPr>
        <w:t>1</w:t>
      </w:r>
      <w:bookmarkStart w:id="74" w:name="_Hlk72438863"/>
      <w:r>
        <w:rPr>
          <w:rFonts w:hint="eastAsia" w:asciiTheme="majorEastAsia" w:hAnsiTheme="majorEastAsia" w:eastAsiaTheme="majorEastAsia"/>
          <w:szCs w:val="21"/>
        </w:rPr>
        <w:t>中标公告公布以后无异常的情况下,采购代理机构将向中标供应商和采购人发出中标通知书。</w:t>
      </w:r>
      <w:bookmarkEnd w:id="74"/>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w:t>
      </w:r>
      <w:r>
        <w:rPr>
          <w:rFonts w:asciiTheme="majorEastAsia" w:hAnsiTheme="majorEastAsia" w:eastAsiaTheme="majorEastAsia"/>
          <w:szCs w:val="21"/>
        </w:rPr>
        <w:t>.2</w:t>
      </w:r>
      <w:r>
        <w:rPr>
          <w:rFonts w:hint="eastAsia" w:asciiTheme="majorEastAsia" w:hAnsiTheme="majorEastAsia" w:eastAsiaTheme="majorEastAsia"/>
          <w:szCs w:val="21"/>
        </w:rPr>
        <w:t>中标通知书是合同的重要组成部分。</w:t>
      </w:r>
    </w:p>
    <w:p>
      <w:pPr>
        <w:spacing w:line="360" w:lineRule="auto"/>
        <w:ind w:firstLine="411" w:firstLineChars="196"/>
        <w:rPr>
          <w:rFonts w:asciiTheme="majorEastAsia" w:hAnsiTheme="majorEastAsia" w:eastAsiaTheme="majorEastAsia"/>
          <w:szCs w:val="21"/>
        </w:rPr>
      </w:pPr>
      <w:bookmarkStart w:id="75" w:name="_Hlk71407340"/>
      <w:r>
        <w:rPr>
          <w:rFonts w:hint="eastAsia" w:asciiTheme="majorEastAsia" w:hAnsiTheme="majorEastAsia" w:eastAsiaTheme="majorEastAsia"/>
          <w:szCs w:val="21"/>
        </w:rPr>
        <w:t>41.3因质疑投诉或其它原因导致项目结果变更或采购终止的，采购代理机构有权吊销中标通知书。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41.4中标服务费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中标人须在中标公告公示期结束后，向采购代理机构缴纳中标服务费。中标服务费收费标准根据《深圳市财政委员会关于规范深圳市社会采购代理机构的管理有关事项的补充通知（深财购[2018]27号）》文件相关规定，按照差额定率累进法计算。具体收费标准详见下表：</w:t>
      </w:r>
    </w:p>
    <w:tbl>
      <w:tblPr>
        <w:tblStyle w:val="42"/>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027"/>
        <w:gridCol w:w="215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2802" w:type="dxa"/>
          </w:tcPr>
          <w:p>
            <w:pPr>
              <w:spacing w:line="360" w:lineRule="auto"/>
              <w:ind w:firstLine="1724" w:firstLineChars="821"/>
              <w:rPr>
                <w:rFonts w:asciiTheme="majorEastAsia" w:hAnsiTheme="majorEastAsia" w:eastAsiaTheme="majorEastAsia"/>
                <w:b/>
                <w:szCs w:val="21"/>
              </w:rPr>
            </w:pPr>
            <w:r>
              <w:rPr>
                <w:rFonts w:asciiTheme="majorEastAsia" w:hAnsiTheme="majorEastAsia" w:eastAsiaTheme="majorEastAsia"/>
                <w:szCs w:val="21"/>
              </w:rPr>
              <mc:AlternateContent>
                <mc:Choice Requires="wps">
                  <w:drawing>
                    <wp:anchor distT="0" distB="0" distL="114300" distR="114300" simplePos="0" relativeHeight="251661312" behindDoc="0" locked="0" layoutInCell="0" allowOverlap="1">
                      <wp:simplePos x="0" y="0"/>
                      <wp:positionH relativeFrom="column">
                        <wp:posOffset>-257175</wp:posOffset>
                      </wp:positionH>
                      <wp:positionV relativeFrom="paragraph">
                        <wp:posOffset>244475</wp:posOffset>
                      </wp:positionV>
                      <wp:extent cx="1733550" cy="548005"/>
                      <wp:effectExtent l="1270" t="4445" r="17780" b="19050"/>
                      <wp:wrapNone/>
                      <wp:docPr id="8" name="直接连接符 7"/>
                      <wp:cNvGraphicFramePr/>
                      <a:graphic xmlns:a="http://schemas.openxmlformats.org/drawingml/2006/main">
                        <a:graphicData uri="http://schemas.microsoft.com/office/word/2010/wordprocessingShape">
                          <wps:wsp>
                            <wps:cNvCnPr/>
                            <wps:spPr>
                              <a:xfrm flipH="1" flipV="1">
                                <a:off x="0" y="0"/>
                                <a:ext cx="1771650" cy="5410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7" o:spid="_x0000_s1026" o:spt="20" style="position:absolute;left:0pt;flip:x y;margin-left:-20.25pt;margin-top:19.25pt;height:43.15pt;width:136.5pt;z-index:251661312;mso-width-relative:page;mso-height-relative:page;" filled="f" stroked="t" coordsize="21600,21600" o:allowincell="f" o:gfxdata="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YwcuNUAAAAKAQAADwAAAAAAAAABACAAAAAiAAAAZHJzL2Rv&#10;d25yZXYueG1sUEsBAhQAFAAAAAgAh07iQFENzJcEAgAA/wMAAA4AAAAAAAAAAQAgAAAAJAEAAGRy&#10;cy9lMm9Eb2MueG1sUEsFBgAAAAAGAAYAWQEAAJoFAAAAAA==&#10;">
                      <v:fill on="f" focussize="0,0"/>
                      <v:stroke color="#000000" joinstyle="round"/>
                      <v:imagedata o:title=""/>
                      <o:lock v:ext="edit" aspectratio="f"/>
                    </v:line>
                  </w:pict>
                </mc:Fallback>
              </mc:AlternateContent>
            </w:r>
            <w:r>
              <w:rPr>
                <w:rFonts w:asciiTheme="majorEastAsia" w:hAnsiTheme="majorEastAsia" w:eastAsiaTheme="majorEastAsia"/>
                <w:szCs w:val="21"/>
              </w:rPr>
              <mc:AlternateContent>
                <mc:Choice Requires="wps">
                  <w:drawing>
                    <wp:anchor distT="0" distB="0" distL="114300" distR="114300" simplePos="0" relativeHeight="251660288" behindDoc="0" locked="0" layoutInCell="0" allowOverlap="1">
                      <wp:simplePos x="0" y="0"/>
                      <wp:positionH relativeFrom="column">
                        <wp:posOffset>154305</wp:posOffset>
                      </wp:positionH>
                      <wp:positionV relativeFrom="paragraph">
                        <wp:posOffset>-6350</wp:posOffset>
                      </wp:positionV>
                      <wp:extent cx="1322070" cy="798830"/>
                      <wp:effectExtent l="2540" t="3810" r="8890" b="16510"/>
                      <wp:wrapNone/>
                      <wp:docPr id="6" name="直接连接符 6"/>
                      <wp:cNvGraphicFramePr/>
                      <a:graphic xmlns:a="http://schemas.openxmlformats.org/drawingml/2006/main">
                        <a:graphicData uri="http://schemas.microsoft.com/office/word/2010/wordprocessingShape">
                          <wps:wsp>
                            <wps:cNvCnPr/>
                            <wps:spPr>
                              <a:xfrm flipH="1" flipV="1">
                                <a:off x="0" y="0"/>
                                <a:ext cx="1215390" cy="8515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12.15pt;margin-top:-0.5pt;height:62.9pt;width:104.1pt;z-index:251660288;mso-width-relative:page;mso-height-relative:page;" filled="f" stroked="t" coordsize="21600,21600" o:allowincell="f" o:gfxdata="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kyIVLUAAAACQEAAA8AAAAAAAAAAQAgAAAAIgAAAGRycy9kb3ducmV2&#10;LnhtbFBLAQIUABQAAAAIAIdO4kD45f1GAAIAAP8DAAAOAAAAAAAAAAEAIAAAACMBAABkcnMvZTJv&#10;RG9jLnhtbFBLBQYAAAAABgAGAFkBAACVBQAAAAA=&#10;">
                      <v:fill on="f" focussize="0,0"/>
                      <v:stroke color="#000000" joinstyle="round"/>
                      <v:imagedata o:title=""/>
                      <o:lock v:ext="edit" aspectratio="f"/>
                    </v:line>
                  </w:pict>
                </mc:Fallback>
              </mc:AlternateContent>
            </w:r>
            <w:r>
              <w:rPr>
                <w:rFonts w:asciiTheme="majorEastAsia" w:hAnsiTheme="majorEastAsia" w:eastAsiaTheme="majorEastAsia"/>
                <w:szCs w:val="21"/>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-6350</wp:posOffset>
                      </wp:positionV>
                      <wp:extent cx="635" cy="0"/>
                      <wp:effectExtent l="0" t="0" r="0" b="0"/>
                      <wp:wrapNone/>
                      <wp:docPr id="9" name="直接连接符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5" o:spid="_x0000_s1026" o:spt="20" style="position:absolute;left:0pt;margin-left:-9pt;margin-top:-0.5pt;height:0pt;width:0.05pt;z-index:251662336;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R037V&#10;AAAACQEAAA8AAAAAAAAAAQAgAAAAIgAAAGRycy9kb3ducmV2LnhtbFBLAQIUABQAAAAIAIdO4kAt&#10;tA/p6gEAAOADAAAOAAAAAAAAAAEAIAAAACQBAABkcnMvZTJvRG9jLnhtbFBLBQYAAAAABgAGAFkB&#10;AACABQAAAAA=&#10;">
                      <v:fill on="f" focussize="0,0"/>
                      <v:stroke color="#000000" joinstyle="round"/>
                      <v:imagedata o:title=""/>
                      <o:lock v:ext="edit" aspectratio="f"/>
                    </v:line>
                  </w:pict>
                </mc:Fallback>
              </mc:AlternateContent>
            </w:r>
            <w:r>
              <w:rPr>
                <w:rFonts w:hint="eastAsia" w:asciiTheme="majorEastAsia" w:hAnsiTheme="majorEastAsia" w:eastAsiaTheme="majorEastAsia"/>
                <w:b/>
                <w:szCs w:val="21"/>
              </w:rPr>
              <w:t>服务类型</w:t>
            </w:r>
          </w:p>
          <w:p>
            <w:pPr>
              <w:spacing w:line="360" w:lineRule="auto"/>
              <w:ind w:firstLine="873" w:firstLineChars="414"/>
              <w:rPr>
                <w:rFonts w:asciiTheme="majorEastAsia" w:hAnsiTheme="majorEastAsia" w:eastAsiaTheme="majorEastAsia"/>
                <w:b/>
                <w:szCs w:val="21"/>
              </w:rPr>
            </w:pPr>
            <w:r>
              <w:rPr>
                <w:rFonts w:hint="eastAsia" w:asciiTheme="majorEastAsia" w:hAnsiTheme="majorEastAsia" w:eastAsiaTheme="majorEastAsia"/>
                <w:b/>
                <w:szCs w:val="21"/>
              </w:rPr>
              <w:t>费率　　　　　</w:t>
            </w:r>
          </w:p>
          <w:p>
            <w:pPr>
              <w:spacing w:line="360" w:lineRule="auto"/>
              <w:rPr>
                <w:rFonts w:asciiTheme="majorEastAsia" w:hAnsiTheme="majorEastAsia" w:eastAsiaTheme="majorEastAsia"/>
                <w:b/>
                <w:szCs w:val="21"/>
              </w:rPr>
            </w:pPr>
            <w:r>
              <w:rPr>
                <w:rFonts w:hint="eastAsia" w:asciiTheme="majorEastAsia" w:hAnsiTheme="majorEastAsia" w:eastAsiaTheme="majorEastAsia"/>
                <w:b/>
                <w:szCs w:val="21"/>
              </w:rPr>
              <w:t>中标金额（万元）</w:t>
            </w:r>
          </w:p>
        </w:tc>
        <w:tc>
          <w:tcPr>
            <w:tcW w:w="2027"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货物招标</w:t>
            </w:r>
          </w:p>
        </w:tc>
        <w:tc>
          <w:tcPr>
            <w:tcW w:w="2158"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服务招标</w:t>
            </w:r>
          </w:p>
        </w:tc>
        <w:tc>
          <w:tcPr>
            <w:tcW w:w="2158"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以下</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1.500%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1.500%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w:t>
            </w:r>
            <w:r>
              <w:rPr>
                <w:rFonts w:asciiTheme="majorEastAsia" w:hAnsiTheme="majorEastAsia" w:eastAsiaTheme="majorEastAsia"/>
                <w:szCs w:val="21"/>
              </w:rPr>
              <w:t>500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1.100%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0.800%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500</w:t>
            </w: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0.800%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0.450%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000～</w:t>
            </w:r>
            <w:r>
              <w:rPr>
                <w:rFonts w:asciiTheme="majorEastAsia" w:hAnsiTheme="majorEastAsia" w:eastAsiaTheme="majorEastAsia"/>
                <w:szCs w:val="21"/>
              </w:rPr>
              <w:t>5</w:t>
            </w:r>
            <w:r>
              <w:rPr>
                <w:rFonts w:hint="eastAsia" w:asciiTheme="majorEastAsia" w:hAnsiTheme="majorEastAsia" w:eastAsiaTheme="majorEastAsia"/>
                <w:szCs w:val="21"/>
              </w:rPr>
              <w:t>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0.500%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0.250%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000～</w:t>
            </w:r>
            <w:r>
              <w:rPr>
                <w:rFonts w:asciiTheme="majorEastAsia" w:hAnsiTheme="majorEastAsia" w:eastAsiaTheme="majorEastAsia"/>
                <w:szCs w:val="21"/>
              </w:rPr>
              <w:t>1</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0.250%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0.100%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0000～</w:t>
            </w:r>
            <w:r>
              <w:rPr>
                <w:rFonts w:asciiTheme="majorEastAsia" w:hAnsiTheme="majorEastAsia" w:eastAsiaTheme="majorEastAsia"/>
                <w:szCs w:val="21"/>
              </w:rPr>
              <w:t>5</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0.050%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0000～</w:t>
            </w:r>
            <w:r>
              <w:rPr>
                <w:rFonts w:asciiTheme="majorEastAsia" w:hAnsiTheme="majorEastAsia" w:eastAsiaTheme="majorEastAsia"/>
                <w:szCs w:val="21"/>
              </w:rPr>
              <w:t>10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0.035%</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0.035%</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w:t>
            </w:r>
            <w:r>
              <w:rPr>
                <w:rFonts w:hint="eastAsia" w:asciiTheme="majorEastAsia" w:hAnsiTheme="majorEastAsia" w:eastAsiaTheme="majorEastAsia"/>
                <w:szCs w:val="21"/>
              </w:rPr>
              <w:t>0000～</w:t>
            </w:r>
            <w:r>
              <w:rPr>
                <w:rFonts w:asciiTheme="majorEastAsia" w:hAnsiTheme="majorEastAsia" w:eastAsiaTheme="majorEastAsia"/>
                <w:szCs w:val="21"/>
              </w:rPr>
              <w:t>50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0.008%</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0.008%</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50</w:t>
            </w:r>
            <w:r>
              <w:rPr>
                <w:rFonts w:hint="eastAsia" w:asciiTheme="majorEastAsia" w:hAnsiTheme="majorEastAsia" w:eastAsiaTheme="majorEastAsia"/>
                <w:szCs w:val="21"/>
              </w:rPr>
              <w:t>0000～</w:t>
            </w:r>
            <w:r>
              <w:rPr>
                <w:rFonts w:asciiTheme="majorEastAsia" w:hAnsiTheme="majorEastAsia" w:eastAsiaTheme="majorEastAsia"/>
                <w:szCs w:val="21"/>
              </w:rPr>
              <w:t>100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0.006%</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0.006%</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0000以上</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0.004%</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0.004%</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0.004%</w:t>
            </w:r>
          </w:p>
        </w:tc>
      </w:tr>
    </w:tbl>
    <w:p>
      <w:pPr>
        <w:spacing w:line="360" w:lineRule="auto"/>
        <w:ind w:firstLine="411" w:firstLineChars="196"/>
        <w:rPr>
          <w:rFonts w:asciiTheme="majorEastAsia" w:hAnsiTheme="majorEastAsia" w:eastAsiaTheme="majorEastAsia"/>
          <w:szCs w:val="21"/>
        </w:rPr>
      </w:pPr>
    </w:p>
    <w:bookmarkEnd w:id="75"/>
    <w:p>
      <w:pPr>
        <w:pStyle w:val="7"/>
        <w:widowControl/>
        <w:numPr>
          <w:ilvl w:val="0"/>
          <w:numId w:val="9"/>
        </w:numPr>
        <w:spacing w:before="120" w:beforeLines="50" w:after="12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公开招标失败的后续处理</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42．公开招标失败的处理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42.1本项目公开招标过程中若由于投标截止后实际递交</w:t>
      </w:r>
      <w:r>
        <w:rPr>
          <w:rFonts w:asciiTheme="majorEastAsia" w:hAnsiTheme="majorEastAsia" w:eastAsiaTheme="majorEastAsia"/>
          <w:szCs w:val="21"/>
        </w:rPr>
        <w:t>投标</w:t>
      </w:r>
      <w:r>
        <w:rPr>
          <w:rFonts w:hint="eastAsia" w:asciiTheme="majorEastAsia" w:hAnsiTheme="majorEastAsia" w:eastAsiaTheme="majorEastAsia"/>
          <w:szCs w:val="21"/>
        </w:rPr>
        <w:t>文件的供应商数量不足、经评审委员会评审对招标文件作实质响应的供应商不足等原因造成公开招标失败，可由</w:t>
      </w:r>
      <w:r>
        <w:rPr>
          <w:rFonts w:hint="eastAsia" w:cs="宋体" w:asciiTheme="majorEastAsia" w:hAnsiTheme="majorEastAsia" w:eastAsiaTheme="majorEastAsia"/>
          <w:szCs w:val="21"/>
        </w:rPr>
        <w:t>采购代理机构</w:t>
      </w:r>
      <w:r>
        <w:rPr>
          <w:rFonts w:hint="eastAsia" w:asciiTheme="majorEastAsia" w:hAnsiTheme="majorEastAsia" w:eastAsiaTheme="majorEastAsia"/>
          <w:szCs w:val="21"/>
        </w:rPr>
        <w:t>重新组织采购。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42.2对公开招标失败的项目，评审委员会在出具该项目招标失败结论的同时，可以提出重新采购组织形式的建议，以及进一步完善招标文件的资格、技术、商务要求的修改建议。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42.3重新组织采购有以下两种组织形式：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（1）由采购代理机构重新组织公开招标；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（2）根据实际情况需要向同级财政部门提出非公开招标方式申请的，经同级财政部门批准，公开招标失败采购项目可转为竞争性谈判或单一来源谈判方式采购。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42.4公开招标失败的采购项目重新组织公开招标，由采购代理机构重新按公开招标流程组织采购活动。</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42.5公开招标失败的采购项目经同级财政部门批准转为竞争性谈判或单一来源谈判方式采购的，按规定要求组织政府采购工作。</w:t>
      </w:r>
    </w:p>
    <w:p>
      <w:pPr>
        <w:pStyle w:val="7"/>
        <w:widowControl/>
        <w:numPr>
          <w:ilvl w:val="0"/>
          <w:numId w:val="9"/>
        </w:numPr>
        <w:spacing w:before="120" w:beforeLines="50" w:after="120" w:afterLines="50" w:line="360" w:lineRule="auto"/>
        <w:ind w:left="562" w:hanging="562"/>
        <w:rPr>
          <w:rFonts w:asciiTheme="majorEastAsia" w:hAnsiTheme="majorEastAsia" w:eastAsiaTheme="majorEastAsia"/>
          <w:sz w:val="28"/>
          <w:szCs w:val="28"/>
        </w:rPr>
      </w:pPr>
      <w:bookmarkStart w:id="76" w:name="_Hlk72439043"/>
      <w:r>
        <w:rPr>
          <w:rFonts w:hint="eastAsia" w:asciiTheme="majorEastAsia" w:hAnsiTheme="majorEastAsia" w:eastAsiaTheme="majorEastAsia"/>
          <w:sz w:val="28"/>
          <w:szCs w:val="28"/>
        </w:rPr>
        <w:t>合同的授予与备案</w:t>
      </w:r>
      <w:bookmarkEnd w:id="76"/>
    </w:p>
    <w:p>
      <w:pPr>
        <w:spacing w:line="360" w:lineRule="auto"/>
        <w:rPr>
          <w:rFonts w:asciiTheme="majorEastAsia" w:hAnsiTheme="majorEastAsia" w:eastAsiaTheme="majorEastAsia"/>
          <w:b/>
          <w:bCs/>
          <w:szCs w:val="21"/>
        </w:rPr>
      </w:pPr>
      <w:bookmarkStart w:id="77" w:name="_Toc73521674"/>
      <w:bookmarkStart w:id="78" w:name="_Toc73518157"/>
      <w:bookmarkStart w:id="79" w:name="_Toc100052408"/>
      <w:bookmarkStart w:id="80" w:name="_Toc73517679"/>
      <w:bookmarkStart w:id="81" w:name="_Toc73521586"/>
      <w:bookmarkStart w:id="82" w:name="_Hlk72439088"/>
      <w:r>
        <w:rPr>
          <w:rFonts w:hint="eastAsia" w:asciiTheme="majorEastAsia" w:hAnsiTheme="majorEastAsia" w:eastAsiaTheme="majorEastAsia"/>
          <w:b/>
          <w:bCs/>
          <w:szCs w:val="21"/>
        </w:rPr>
        <w:t>43．合同授予标准</w:t>
      </w:r>
      <w:bookmarkEnd w:id="77"/>
      <w:bookmarkEnd w:id="78"/>
      <w:bookmarkEnd w:id="79"/>
      <w:bookmarkEnd w:id="80"/>
      <w:bookmarkEnd w:id="81"/>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本项目的合同将授予经本招标文件规定评审确定的中标供应商。</w:t>
      </w:r>
    </w:p>
    <w:p>
      <w:pPr>
        <w:spacing w:line="360" w:lineRule="auto"/>
        <w:rPr>
          <w:rFonts w:asciiTheme="majorEastAsia" w:hAnsiTheme="majorEastAsia" w:eastAsiaTheme="majorEastAsia"/>
          <w:b/>
          <w:bCs/>
          <w:szCs w:val="21"/>
        </w:rPr>
      </w:pPr>
      <w:bookmarkStart w:id="83" w:name="_Toc100052409"/>
      <w:bookmarkStart w:id="84" w:name="_Toc73521587"/>
      <w:bookmarkStart w:id="85" w:name="_Toc73518158"/>
      <w:bookmarkStart w:id="86" w:name="_Toc73521675"/>
      <w:bookmarkStart w:id="87" w:name="_Toc73517680"/>
      <w:r>
        <w:rPr>
          <w:rFonts w:hint="eastAsia" w:asciiTheme="majorEastAsia" w:hAnsiTheme="majorEastAsia" w:eastAsiaTheme="majorEastAsia"/>
          <w:b/>
          <w:bCs/>
          <w:szCs w:val="21"/>
        </w:rPr>
        <w:t>44．</w:t>
      </w:r>
      <w:bookmarkEnd w:id="83"/>
      <w:bookmarkEnd w:id="84"/>
      <w:bookmarkEnd w:id="85"/>
      <w:bookmarkEnd w:id="86"/>
      <w:bookmarkEnd w:id="87"/>
      <w:r>
        <w:rPr>
          <w:rFonts w:hint="eastAsia" w:asciiTheme="majorEastAsia" w:hAnsiTheme="majorEastAsia" w:eastAsiaTheme="majorEastAsia"/>
          <w:b/>
          <w:bCs/>
          <w:szCs w:val="21"/>
        </w:rPr>
        <w:t>接受和拒绝任何或所有投标的权力</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采购代理机构和采购人保留在投标之前任何时候接受或拒绝任何投标或所有投标，以及宣布招标无效的权力，对受影响的投标人不承担任何责任，也无义务向受影响的投标人解释采取这一行动的理由。</w:t>
      </w:r>
    </w:p>
    <w:p>
      <w:pPr>
        <w:spacing w:line="360" w:lineRule="auto"/>
        <w:rPr>
          <w:rFonts w:asciiTheme="majorEastAsia" w:hAnsiTheme="majorEastAsia" w:eastAsiaTheme="majorEastAsia"/>
          <w:b/>
          <w:bCs/>
          <w:szCs w:val="21"/>
        </w:rPr>
      </w:pPr>
      <w:bookmarkStart w:id="88" w:name="_Toc100052410"/>
      <w:bookmarkStart w:id="89" w:name="_Toc73518160"/>
      <w:bookmarkStart w:id="90" w:name="_Toc73521677"/>
      <w:bookmarkStart w:id="91" w:name="_Toc73521589"/>
      <w:bookmarkStart w:id="92" w:name="_Toc73517682"/>
      <w:r>
        <w:rPr>
          <w:rFonts w:hint="eastAsia" w:asciiTheme="majorEastAsia" w:hAnsiTheme="majorEastAsia" w:eastAsiaTheme="majorEastAsia"/>
          <w:b/>
          <w:bCs/>
          <w:szCs w:val="21"/>
        </w:rPr>
        <w:t>45．合同的签订</w:t>
      </w:r>
      <w:bookmarkEnd w:id="88"/>
      <w:bookmarkEnd w:id="89"/>
      <w:bookmarkEnd w:id="90"/>
      <w:bookmarkEnd w:id="91"/>
      <w:bookmarkEnd w:id="92"/>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45.1中标人将于中标通知书发出之日起十个工作日内，按照采购文件（招标文件和投标文件等）内容与采购人签订政府采购合同；合同的实质性内容应当符合招标文件的规定；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45.2中标人如不按本通用条款第45</w:t>
      </w:r>
      <w:r>
        <w:rPr>
          <w:rFonts w:asciiTheme="majorEastAsia" w:hAnsiTheme="majorEastAsia" w:eastAsiaTheme="majorEastAsia"/>
          <w:szCs w:val="21"/>
        </w:rPr>
        <w:t>.1</w:t>
      </w:r>
      <w:r>
        <w:rPr>
          <w:rFonts w:hint="eastAsia" w:asciiTheme="majorEastAsia" w:hAnsiTheme="majorEastAsia" w:eastAsiaTheme="majorEastAsia"/>
          <w:szCs w:val="21"/>
        </w:rPr>
        <w:t>款的规定与采购人签订合同，</w:t>
      </w:r>
      <w:r>
        <w:rPr>
          <w:rFonts w:cs="宋体" w:asciiTheme="majorEastAsia" w:hAnsiTheme="majorEastAsia" w:eastAsiaTheme="majorEastAsia"/>
          <w:szCs w:val="21"/>
        </w:rPr>
        <w:t>情节严重的，由</w:t>
      </w:r>
      <w:r>
        <w:rPr>
          <w:rFonts w:hint="eastAsia" w:cs="宋体" w:asciiTheme="majorEastAsia" w:hAnsiTheme="majorEastAsia" w:eastAsiaTheme="majorEastAsia"/>
          <w:szCs w:val="21"/>
        </w:rPr>
        <w:t>同级财政</w:t>
      </w:r>
      <w:r>
        <w:rPr>
          <w:rFonts w:cs="宋体" w:asciiTheme="majorEastAsia" w:hAnsiTheme="majorEastAsia" w:eastAsiaTheme="majorEastAsia"/>
          <w:szCs w:val="21"/>
        </w:rPr>
        <w:t>部门记入供应商诚信档案，予以通报</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45.3中标人应当按照合同约定履行义务，完成中标项目，不得将中标项目转让（转包）给他人。</w:t>
      </w:r>
    </w:p>
    <w:p>
      <w:pPr>
        <w:spacing w:line="360" w:lineRule="auto"/>
        <w:rPr>
          <w:rFonts w:asciiTheme="majorEastAsia" w:hAnsiTheme="majorEastAsia" w:eastAsiaTheme="majorEastAsia"/>
          <w:b/>
          <w:bCs/>
          <w:szCs w:val="21"/>
        </w:rPr>
      </w:pPr>
      <w:bookmarkStart w:id="93" w:name="_Toc73518161"/>
      <w:bookmarkStart w:id="94" w:name="_Toc73521590"/>
      <w:bookmarkStart w:id="95" w:name="_Toc100052411"/>
      <w:bookmarkStart w:id="96" w:name="_Toc73517683"/>
      <w:bookmarkStart w:id="97" w:name="_Toc73521678"/>
      <w:r>
        <w:rPr>
          <w:rFonts w:hint="eastAsia" w:asciiTheme="majorEastAsia" w:hAnsiTheme="majorEastAsia" w:eastAsiaTheme="majorEastAsia"/>
          <w:b/>
          <w:bCs/>
          <w:szCs w:val="21"/>
        </w:rPr>
        <w:t>46．履约担保</w:t>
      </w:r>
      <w:bookmarkEnd w:id="93"/>
      <w:bookmarkEnd w:id="94"/>
      <w:bookmarkEnd w:id="95"/>
      <w:bookmarkEnd w:id="96"/>
      <w:bookmarkEnd w:id="97"/>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46.1在签订项目合同的同时，中标人应按“对通用条款的补充内容”中规定的金额向采购人提交履约担保；</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46.2，允许供应商自主选择以支票、汇票、本票、保函等非现金方式提交履约担保；</w:t>
      </w:r>
      <w:r>
        <w:rPr>
          <w:rFonts w:asciiTheme="majorEastAsia" w:hAnsiTheme="majorEastAsia" w:eastAsiaTheme="majorEastAsia"/>
          <w:szCs w:val="21"/>
        </w:rPr>
        <w:t>中标</w:t>
      </w:r>
      <w:r>
        <w:rPr>
          <w:rFonts w:hint="eastAsia" w:asciiTheme="majorEastAsia" w:hAnsiTheme="majorEastAsia" w:eastAsiaTheme="majorEastAsia"/>
          <w:szCs w:val="21"/>
        </w:rPr>
        <w:t>人</w:t>
      </w:r>
      <w:r>
        <w:rPr>
          <w:rFonts w:asciiTheme="majorEastAsia" w:hAnsiTheme="majorEastAsia" w:eastAsiaTheme="majorEastAsia"/>
          <w:szCs w:val="21"/>
        </w:rPr>
        <w:t>提交履约</w:t>
      </w:r>
      <w:r>
        <w:rPr>
          <w:rFonts w:hint="eastAsia" w:asciiTheme="majorEastAsia" w:hAnsiTheme="majorEastAsia" w:eastAsiaTheme="majorEastAsia"/>
          <w:szCs w:val="21"/>
        </w:rPr>
        <w:t>担保不是</w:t>
      </w:r>
      <w:r>
        <w:rPr>
          <w:rFonts w:asciiTheme="majorEastAsia" w:hAnsiTheme="majorEastAsia" w:eastAsiaTheme="majorEastAsia"/>
          <w:szCs w:val="21"/>
        </w:rPr>
        <w:t>合同签订的</w:t>
      </w:r>
      <w:r>
        <w:rPr>
          <w:rFonts w:hint="eastAsia" w:asciiTheme="majorEastAsia" w:hAnsiTheme="majorEastAsia" w:eastAsiaTheme="majorEastAsia"/>
          <w:szCs w:val="21"/>
        </w:rPr>
        <w:t>前提</w:t>
      </w:r>
      <w:r>
        <w:rPr>
          <w:rFonts w:asciiTheme="majorEastAsia" w:hAnsiTheme="majorEastAsia" w:eastAsiaTheme="majorEastAsia"/>
          <w:szCs w:val="21"/>
        </w:rPr>
        <w:t>条件，不要求中标</w:t>
      </w:r>
      <w:r>
        <w:rPr>
          <w:rFonts w:hint="eastAsia" w:asciiTheme="majorEastAsia" w:hAnsiTheme="majorEastAsia" w:eastAsiaTheme="majorEastAsia"/>
          <w:szCs w:val="21"/>
        </w:rPr>
        <w:t>人</w:t>
      </w:r>
      <w:r>
        <w:rPr>
          <w:rFonts w:asciiTheme="majorEastAsia" w:hAnsiTheme="majorEastAsia" w:eastAsiaTheme="majorEastAsia"/>
          <w:szCs w:val="21"/>
        </w:rPr>
        <w:t>提供除法律、法规明确规定外的其他担保</w:t>
      </w:r>
      <w:r>
        <w:rPr>
          <w:rFonts w:hint="eastAsia" w:asciiTheme="majorEastAsia" w:hAnsiTheme="majorEastAsia" w:eastAsiaTheme="majorEastAsia"/>
          <w:szCs w:val="21"/>
        </w:rPr>
        <w:t>。</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47. 合同备案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采购人与中标人应于合同签订之日起十日内，由采购人或委托中标人将采购合同副本抄送合同备案工作实施机构备案。</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48. 合同变更</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合同变更事宜按《深圳市财政局 深圳市政府采购中心关于进一步加强市本级政府采购合同备案管理工作的通知》（深财购〔2019〕43号）相关规定执行。</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49. 项目验收</w:t>
      </w:r>
    </w:p>
    <w:p>
      <w:pPr>
        <w:spacing w:line="360" w:lineRule="auto"/>
        <w:ind w:right="176" w:firstLine="420"/>
        <w:rPr>
          <w:rFonts w:asciiTheme="majorEastAsia" w:hAnsiTheme="majorEastAsia" w:eastAsiaTheme="majorEastAsia"/>
          <w:szCs w:val="21"/>
        </w:rPr>
      </w:pPr>
      <w:r>
        <w:rPr>
          <w:rFonts w:hint="eastAsia" w:asciiTheme="majorEastAsia" w:hAnsiTheme="majorEastAsia" w:eastAsiaTheme="majorEastAsia"/>
          <w:szCs w:val="21"/>
        </w:rPr>
        <w:t>49.1采购人应当按照招标文件和合同规定的标准和方法，及时组织验收。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50. 宣传</w:t>
      </w:r>
    </w:p>
    <w:p>
      <w:pPr>
        <w:spacing w:line="360" w:lineRule="auto"/>
        <w:ind w:left="210" w:leftChars="100" w:firstLine="411" w:firstLineChars="196"/>
        <w:rPr>
          <w:rFonts w:asciiTheme="majorEastAsia" w:hAnsiTheme="majorEastAsia" w:eastAsiaTheme="majorEastAsia"/>
          <w:szCs w:val="21"/>
        </w:rPr>
      </w:pPr>
      <w:r>
        <w:rPr>
          <w:rFonts w:hint="eastAsia" w:asciiTheme="majorEastAsia" w:hAnsiTheme="majorEastAsia" w:eastAsiaTheme="majorEastAsia"/>
          <w:szCs w:val="21"/>
        </w:rPr>
        <w:t>凡与政府采购活动有关的宣传或广告，若当中提及政府采购，</w:t>
      </w:r>
      <w:r>
        <w:rPr>
          <w:rFonts w:asciiTheme="majorEastAsia" w:hAnsiTheme="majorEastAsia" w:eastAsiaTheme="majorEastAsia"/>
          <w:szCs w:val="21"/>
        </w:rPr>
        <w:t>必须事先将具体对外宣传方案报</w:t>
      </w:r>
      <w:r>
        <w:rPr>
          <w:rFonts w:hint="eastAsia" w:asciiTheme="majorEastAsia" w:hAnsiTheme="majorEastAsia" w:eastAsiaTheme="majorEastAsia"/>
          <w:szCs w:val="21"/>
        </w:rPr>
        <w:t>同级财政部门</w:t>
      </w:r>
      <w:r>
        <w:rPr>
          <w:rFonts w:asciiTheme="majorEastAsia" w:hAnsiTheme="majorEastAsia" w:eastAsiaTheme="majorEastAsia"/>
          <w:szCs w:val="21"/>
        </w:rPr>
        <w:t>和</w:t>
      </w:r>
      <w:r>
        <w:rPr>
          <w:rFonts w:hint="eastAsia" w:asciiTheme="majorEastAsia" w:hAnsiTheme="majorEastAsia" w:eastAsiaTheme="majorEastAsia"/>
          <w:szCs w:val="21"/>
        </w:rPr>
        <w:t>采购代理机构</w:t>
      </w:r>
      <w:r>
        <w:rPr>
          <w:rFonts w:asciiTheme="majorEastAsia" w:hAnsiTheme="majorEastAsia" w:eastAsiaTheme="majorEastAsia"/>
          <w:szCs w:val="21"/>
        </w:rPr>
        <w:t>，并征得其同意。对外市场宣传包括但不限于以下形式：</w:t>
      </w:r>
    </w:p>
    <w:p>
      <w:pPr>
        <w:spacing w:line="360" w:lineRule="auto"/>
        <w:ind w:left="210" w:leftChars="100" w:firstLine="411" w:firstLineChars="196"/>
        <w:rPr>
          <w:rFonts w:asciiTheme="majorEastAsia" w:hAnsiTheme="majorEastAsia" w:eastAsiaTheme="majorEastAsia"/>
          <w:szCs w:val="21"/>
        </w:rPr>
      </w:pPr>
      <w:r>
        <w:rPr>
          <w:rFonts w:asciiTheme="majorEastAsia" w:hAnsiTheme="majorEastAsia" w:eastAsiaTheme="majorEastAsia"/>
          <w:szCs w:val="21"/>
        </w:rPr>
        <w:t>a.名片、宣传册、广告标语等；</w:t>
      </w:r>
    </w:p>
    <w:p>
      <w:pPr>
        <w:spacing w:line="360" w:lineRule="auto"/>
        <w:ind w:left="210" w:leftChars="100" w:firstLine="411" w:firstLineChars="196"/>
        <w:rPr>
          <w:rFonts w:asciiTheme="majorEastAsia" w:hAnsiTheme="majorEastAsia" w:eastAsiaTheme="majorEastAsia"/>
          <w:szCs w:val="21"/>
        </w:rPr>
      </w:pPr>
      <w:r>
        <w:rPr>
          <w:rFonts w:asciiTheme="majorEastAsia" w:hAnsiTheme="majorEastAsia" w:eastAsiaTheme="majorEastAsia"/>
          <w:szCs w:val="21"/>
        </w:rPr>
        <w:t>b.案例介绍、推广等；</w:t>
      </w:r>
    </w:p>
    <w:p>
      <w:pPr>
        <w:spacing w:line="360" w:lineRule="auto"/>
        <w:ind w:left="210" w:leftChars="100" w:firstLine="411" w:firstLineChars="196"/>
        <w:rPr>
          <w:rFonts w:asciiTheme="majorEastAsia" w:hAnsiTheme="majorEastAsia" w:eastAsiaTheme="majorEastAsia"/>
          <w:szCs w:val="21"/>
        </w:rPr>
      </w:pPr>
      <w:r>
        <w:rPr>
          <w:rFonts w:hint="eastAsia" w:asciiTheme="majorEastAsia" w:hAnsiTheme="majorEastAsia" w:eastAsiaTheme="majorEastAsia"/>
          <w:szCs w:val="21"/>
        </w:rPr>
        <w:t>c.工作</w:t>
      </w:r>
      <w:r>
        <w:rPr>
          <w:rFonts w:asciiTheme="majorEastAsia" w:hAnsiTheme="majorEastAsia" w:eastAsiaTheme="majorEastAsia"/>
          <w:szCs w:val="21"/>
        </w:rPr>
        <w:t>人员向其他消费群体宣传。</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51. 供应商违法责任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1.1</w:t>
      </w:r>
      <w:r>
        <w:rPr>
          <w:rFonts w:hint="eastAsia" w:asciiTheme="majorEastAsia" w:hAnsiTheme="majorEastAsia" w:eastAsiaTheme="major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（1）在采购活动中应当回避而未回避的；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（2）未按本条例规定签订、履行采购合同，造成严重后果的；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（3）隐瞒真实情况，提供虚假资料的；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（4）以非法手段排斥其他供应商参与竞争的；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（5）与其他采购参加人串通投标的；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（6）恶意投诉的；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（7）向采购项目相关人行贿或者提供其他不当利益的；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（8）阻碍、抗拒主管部门监督检查的；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（9）其他违反本条例规定的行为。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 xml:space="preserve">1.2 </w:t>
      </w:r>
      <w:r>
        <w:rPr>
          <w:rFonts w:hint="eastAsia" w:asciiTheme="majorEastAsia" w:hAnsiTheme="majorEastAsia" w:eastAsiaTheme="majorEastAsia"/>
          <w:szCs w:val="21"/>
        </w:rPr>
        <w:t>根据《深圳市财政局关于明确政府采购保证金管理工作的通知》（深财购[2019]42号）的要求，供应商在政府采购活动中出现《深圳经济特区政府采购条例实施细则》第八十四条所列情形的，</w:t>
      </w:r>
      <w:bookmarkStart w:id="98" w:name="_Hlk72440769"/>
      <w:r>
        <w:rPr>
          <w:rFonts w:hint="eastAsia" w:asciiTheme="majorEastAsia" w:hAnsiTheme="majorEastAsia" w:eastAsiaTheme="majorEastAsia"/>
          <w:szCs w:val="21"/>
        </w:rPr>
        <w:t>采购人或采购代理机构</w:t>
      </w:r>
      <w:bookmarkEnd w:id="98"/>
      <w:r>
        <w:rPr>
          <w:rFonts w:hint="eastAsia" w:asciiTheme="majorEastAsia" w:hAnsiTheme="majorEastAsia" w:eastAsiaTheme="majorEastAsia"/>
          <w:szCs w:val="21"/>
        </w:rPr>
        <w:t>可将有关情况报同级财政部门，由财政部门根据实际情况记入供应商诚信档案，予以通报：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）投标截止后，撤销投标的；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2</w:t>
      </w:r>
      <w:r>
        <w:rPr>
          <w:rFonts w:asciiTheme="majorEastAsia" w:hAnsiTheme="majorEastAsia" w:eastAsiaTheme="majorEastAsia"/>
          <w:szCs w:val="21"/>
        </w:rPr>
        <w:t>）中标后无正当理由未在规定期限内签订合同的；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3</w:t>
      </w:r>
      <w:r>
        <w:rPr>
          <w:rFonts w:asciiTheme="majorEastAsia" w:hAnsiTheme="majorEastAsia" w:eastAsiaTheme="majorEastAsia"/>
          <w:szCs w:val="21"/>
        </w:rPr>
        <w:t>）将中标项目转让给他人、或者在投标文件中未说明且未经采购人、采购招标机构同意，将中标项目分包给他人的；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4</w:t>
      </w:r>
      <w:r>
        <w:rPr>
          <w:rFonts w:asciiTheme="majorEastAsia" w:hAnsiTheme="majorEastAsia" w:eastAsiaTheme="majorEastAsia"/>
          <w:szCs w:val="21"/>
        </w:rPr>
        <w:t>）拒绝履行合同义务的</w:t>
      </w:r>
      <w:r>
        <w:rPr>
          <w:rFonts w:hint="eastAsia" w:asciiTheme="majorEastAsia" w:hAnsiTheme="majorEastAsia" w:eastAsiaTheme="majorEastAsia"/>
          <w:szCs w:val="21"/>
        </w:rPr>
        <w:t>。</w:t>
      </w:r>
    </w:p>
    <w:bookmarkEnd w:id="82"/>
    <w:p>
      <w:pPr>
        <w:pStyle w:val="7"/>
        <w:widowControl/>
        <w:numPr>
          <w:ilvl w:val="0"/>
          <w:numId w:val="9"/>
        </w:numPr>
        <w:spacing w:before="120" w:beforeLines="50" w:after="120" w:afterLines="50" w:line="360" w:lineRule="auto"/>
        <w:ind w:left="562" w:hanging="562"/>
        <w:rPr>
          <w:rFonts w:asciiTheme="majorEastAsia" w:hAnsiTheme="majorEastAsia" w:eastAsiaTheme="majorEastAsia"/>
          <w:sz w:val="28"/>
          <w:szCs w:val="28"/>
        </w:rPr>
      </w:pPr>
      <w:r>
        <w:rPr>
          <w:rFonts w:hint="eastAsia" w:asciiTheme="majorEastAsia" w:hAnsiTheme="majorEastAsia" w:eastAsiaTheme="majorEastAsia"/>
          <w:sz w:val="28"/>
          <w:szCs w:val="28"/>
        </w:rPr>
        <w:t>质疑处理</w:t>
      </w:r>
    </w:p>
    <w:p>
      <w:pPr>
        <w:spacing w:line="360" w:lineRule="auto"/>
        <w:rPr>
          <w:rFonts w:asciiTheme="majorEastAsia" w:hAnsiTheme="majorEastAsia" w:eastAsiaTheme="majorEastAsia"/>
          <w:b/>
          <w:bCs/>
          <w:szCs w:val="21"/>
        </w:rPr>
      </w:pPr>
      <w:bookmarkStart w:id="99" w:name="_Hlk72439706"/>
      <w:r>
        <w:rPr>
          <w:rFonts w:hint="eastAsia" w:asciiTheme="majorEastAsia" w:hAnsiTheme="majorEastAsia" w:eastAsiaTheme="majorEastAsia"/>
          <w:b/>
          <w:bCs/>
          <w:szCs w:val="21"/>
        </w:rPr>
        <w:t>52.质疑提出与答复</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52.3质疑条件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52.3.1提出质疑的供应商应当是参与所质疑项目采购活动的供应商；</w:t>
      </w:r>
      <w:bookmarkStart w:id="100" w:name="_Hlk75374941"/>
      <w:r>
        <w:rPr>
          <w:rFonts w:hint="eastAsia" w:asciiTheme="majorEastAsia" w:hAnsiTheme="majorEastAsia" w:eastAsiaTheme="majorEastAsia"/>
          <w:szCs w:val="21"/>
        </w:rPr>
        <w:t>以联合体形式参与的，质疑应当由组成联合体的所有成员共同提出</w:t>
      </w:r>
      <w:bookmarkEnd w:id="100"/>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52.3.3应提交书面质疑函，质疑函应当包括以下内容：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52.5提交方式</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2.5.1</w:t>
      </w:r>
      <w:r>
        <w:rPr>
          <w:rFonts w:hint="eastAsia" w:asciiTheme="majorEastAsia" w:hAnsiTheme="majorEastAsia" w:eastAsiaTheme="majorEastAsia"/>
          <w:szCs w:val="21"/>
        </w:rPr>
        <w:t>供应商登录“深圳政府采购智慧平台用户网上办事子系统（http://zfcg.szggzy.com/TPBidder/memberLogin）”，在“【我的项目】→【项目流程】→【质疑】”中提出质疑。</w:t>
      </w:r>
    </w:p>
    <w:p>
      <w:pPr>
        <w:spacing w:line="360" w:lineRule="auto"/>
        <w:ind w:firstLine="420" w:firstLineChars="200"/>
        <w:rPr>
          <w:rFonts w:asciiTheme="majorEastAsia" w:hAnsiTheme="majorEastAsia" w:eastAsiaTheme="majorEastAsia"/>
          <w:b/>
          <w:bCs/>
          <w:szCs w:val="21"/>
        </w:rPr>
      </w:pPr>
      <w:r>
        <w:rPr>
          <w:rFonts w:hint="eastAsia" w:asciiTheme="majorEastAsia" w:hAnsiTheme="majorEastAsia" w:eastAsiaTheme="majorEastAsia"/>
          <w:szCs w:val="21"/>
        </w:rPr>
        <w:t>5</w:t>
      </w:r>
      <w:r>
        <w:rPr>
          <w:rFonts w:asciiTheme="majorEastAsia" w:hAnsiTheme="majorEastAsia" w:eastAsiaTheme="majorEastAsia"/>
          <w:szCs w:val="21"/>
        </w:rPr>
        <w:t>2.5.2</w:t>
      </w:r>
      <w:r>
        <w:rPr>
          <w:rFonts w:hint="eastAsia" w:asciiTheme="majorEastAsia" w:hAnsiTheme="majorEastAsia" w:eastAsiaTheme="majorEastAsia"/>
          <w:szCs w:val="21"/>
        </w:rPr>
        <w:t>同时，请质疑供应商根据深圳政府采购智慧平台（http://zfcg.szggzy.com/）所发布的质疑指引、质疑函模板填写质疑函并提交质疑材料。</w:t>
      </w:r>
      <w:r>
        <w:rPr>
          <w:rFonts w:hint="eastAsia" w:asciiTheme="majorEastAsia" w:hAnsiTheme="majorEastAsia" w:eastAsiaTheme="majorEastAsia"/>
          <w:bCs/>
          <w:szCs w:val="21"/>
        </w:rPr>
        <w:t>地址：深圳市中正招标有限公司（深圳市福田区民田路171号新华保险大厦903），质疑咨询电话：0755-83026699。</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52.6收文办理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52.6.1供应商提交的质疑符合受理条件的，采购代理机构自收到质疑材料之日起即为受理，应当向供应商出具质疑函收文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99"/>
    </w:p>
    <w:sectPr>
      <w:footerReference r:id="rId5" w:type="default"/>
      <w:footerReference r:id="rId6" w:type="even"/>
      <w:pgSz w:w="11907" w:h="16840"/>
      <w:pgMar w:top="1440" w:right="1797" w:bottom="1440" w:left="1797" w:header="851" w:footer="992" w:gutter="0"/>
      <w:cols w:space="425"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隶书">
    <w:panose1 w:val="0201050906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宋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8"/>
      <w:framePr w:wrap="around" w:vAnchor="text" w:hAnchor="margin" w:xAlign="center" w:y="1"/>
      <w:rPr>
        <w:rStyle w:val="46"/>
      </w:rPr>
    </w:pPr>
    <w:r>
      <w:fldChar w:fldCharType="begin"/>
    </w:r>
    <w:r>
      <w:rPr>
        <w:rStyle w:val="46"/>
      </w:rPr>
      <w:instrText xml:space="preserve">PAGE  </w:instrText>
    </w:r>
    <w:r>
      <w:fldChar w:fldCharType="separate"/>
    </w:r>
    <w:r>
      <w:rPr>
        <w:rStyle w:val="46"/>
      </w:rPr>
      <w:t>9</w:t>
    </w:r>
    <w:r>
      <w:fldChar w:fldCharType="end"/>
    </w:r>
  </w:p>
  <w:p>
    <w:pPr>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8"/>
      <w:framePr w:wrap="around" w:vAnchor="text" w:hAnchor="margin" w:xAlign="center" w:y="1"/>
      <w:rPr>
        <w:rStyle w:val="46"/>
      </w:rPr>
    </w:pPr>
    <w:r>
      <w:fldChar w:fldCharType="begin"/>
    </w:r>
    <w:r>
      <w:rPr>
        <w:rStyle w:val="46"/>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t xml:space="preserve">- </w:t>
    </w:r>
    <w:r>
      <w:fldChar w:fldCharType="begin"/>
    </w:r>
    <w:r>
      <w:instrText xml:space="preserve"> PAGE </w:instrText>
    </w:r>
    <w:r>
      <w:fldChar w:fldCharType="separate"/>
    </w:r>
    <w:r>
      <w:t>19</w:t>
    </w:r>
    <w:r>
      <w:fldChar w:fldCharType="end"/>
    </w:r>
    <w:r>
      <w:t xml:space="preserve"> -</w:t>
    </w: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6"/>
      </w:rPr>
    </w:pPr>
    <w:r>
      <w:rPr>
        <w:rStyle w:val="46"/>
      </w:rPr>
      <w:fldChar w:fldCharType="begin"/>
    </w:r>
    <w:r>
      <w:rPr>
        <w:rStyle w:val="46"/>
      </w:rPr>
      <w:instrText xml:space="preserve">PAGE  </w:instrText>
    </w:r>
    <w:r>
      <w:rPr>
        <w:rStyle w:val="46"/>
      </w:rPr>
      <w:fldChar w:fldCharType="end"/>
    </w:r>
  </w:p>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89"/>
    <w:multiLevelType w:val="singleLevel"/>
    <w:tmpl w:val="FFFFFF89"/>
    <w:lvl w:ilvl="0" w:tentative="0">
      <w:start w:val="1"/>
      <w:numFmt w:val="bullet"/>
      <w:pStyle w:val="16"/>
      <w:lvlText w:val=""/>
      <w:lvlJc w:val="left"/>
      <w:pPr>
        <w:tabs>
          <w:tab w:val="left" w:pos="360"/>
        </w:tabs>
        <w:ind w:left="360" w:hanging="360" w:hangingChars="200"/>
      </w:pPr>
      <w:rPr>
        <w:rFonts w:hint="default" w:ascii="Wingdings" w:hAnsi="Wingdings"/>
      </w:rPr>
    </w:lvl>
  </w:abstractNum>
  <w:abstractNum w:abstractNumId="2">
    <w:nsid w:val="00000003"/>
    <w:multiLevelType w:val="multilevel"/>
    <w:tmpl w:val="0000000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2503483"/>
    <w:multiLevelType w:val="multilevel"/>
    <w:tmpl w:val="12503483"/>
    <w:lvl w:ilvl="0" w:tentative="0">
      <w:start w:val="1"/>
      <w:numFmt w:val="bullet"/>
      <w:pStyle w:val="113"/>
      <w:lvlText w:val=""/>
      <w:lvlJc w:val="left"/>
      <w:pPr>
        <w:tabs>
          <w:tab w:val="left" w:pos="420"/>
        </w:tabs>
        <w:ind w:left="420" w:hanging="420"/>
      </w:pPr>
      <w:rPr>
        <w:rFonts w:hint="default" w:ascii="Wingdings" w:hAnsi="Wingdings"/>
      </w:rPr>
    </w:lvl>
    <w:lvl w:ilvl="1" w:tentative="0">
      <w:start w:val="1"/>
      <w:numFmt w:val="bullet"/>
      <w:pStyle w:val="112"/>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160D20D0"/>
    <w:multiLevelType w:val="multilevel"/>
    <w:tmpl w:val="160D20D0"/>
    <w:lvl w:ilvl="0" w:tentative="0">
      <w:start w:val="1"/>
      <w:numFmt w:val="bullet"/>
      <w:pStyle w:val="81"/>
      <w:lvlText w:val=""/>
      <w:lvlJc w:val="left"/>
      <w:pPr>
        <w:tabs>
          <w:tab w:val="left" w:pos="840"/>
        </w:tabs>
        <w:ind w:left="840" w:hanging="420"/>
      </w:pPr>
      <w:rPr>
        <w:rFonts w:hint="default" w:ascii="Wingdings" w:hAnsi="Wingdings"/>
      </w:rPr>
    </w:lvl>
    <w:lvl w:ilvl="1" w:tentative="0">
      <w:start w:val="1"/>
      <w:numFmt w:val="bullet"/>
      <w:pStyle w:val="82"/>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1D61531A"/>
    <w:multiLevelType w:val="multilevel"/>
    <w:tmpl w:val="1D61531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2F395B7B"/>
    <w:multiLevelType w:val="multilevel"/>
    <w:tmpl w:val="2F395B7B"/>
    <w:lvl w:ilvl="0" w:tentative="0">
      <w:start w:val="1"/>
      <w:numFmt w:val="bullet"/>
      <w:pStyle w:val="173"/>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7">
    <w:nsid w:val="45882EC0"/>
    <w:multiLevelType w:val="multilevel"/>
    <w:tmpl w:val="45882EC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AEF7716"/>
    <w:multiLevelType w:val="multilevel"/>
    <w:tmpl w:val="7AEF7716"/>
    <w:lvl w:ilvl="0" w:tentative="0">
      <w:start w:val="1"/>
      <w:numFmt w:val="chineseCountingThousand"/>
      <w:pStyle w:val="126"/>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3"/>
  </w:num>
  <w:num w:numId="5">
    <w:abstractNumId w:val="8"/>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NiN2JjZGQwODQzNTVmMDg4ZGNmNzRhYmJlZDY2YTUifQ=="/>
  </w:docVars>
  <w:rsids>
    <w:rsidRoot w:val="006C5683"/>
    <w:rsid w:val="0000029D"/>
    <w:rsid w:val="00000AD9"/>
    <w:rsid w:val="00003A32"/>
    <w:rsid w:val="000043C0"/>
    <w:rsid w:val="000050CA"/>
    <w:rsid w:val="000051C6"/>
    <w:rsid w:val="00005215"/>
    <w:rsid w:val="00005A10"/>
    <w:rsid w:val="00005D3D"/>
    <w:rsid w:val="00006F7B"/>
    <w:rsid w:val="00007951"/>
    <w:rsid w:val="00010063"/>
    <w:rsid w:val="00010102"/>
    <w:rsid w:val="00011EA6"/>
    <w:rsid w:val="000123CC"/>
    <w:rsid w:val="00012B21"/>
    <w:rsid w:val="0001300F"/>
    <w:rsid w:val="0001480D"/>
    <w:rsid w:val="00014A5C"/>
    <w:rsid w:val="00015388"/>
    <w:rsid w:val="0001716B"/>
    <w:rsid w:val="00017F81"/>
    <w:rsid w:val="00020D1A"/>
    <w:rsid w:val="000211EA"/>
    <w:rsid w:val="000234B2"/>
    <w:rsid w:val="00023915"/>
    <w:rsid w:val="00023C68"/>
    <w:rsid w:val="00023FCE"/>
    <w:rsid w:val="00024FEB"/>
    <w:rsid w:val="00025AE4"/>
    <w:rsid w:val="0002650F"/>
    <w:rsid w:val="0002684B"/>
    <w:rsid w:val="00026A46"/>
    <w:rsid w:val="00027645"/>
    <w:rsid w:val="000300AE"/>
    <w:rsid w:val="000300EE"/>
    <w:rsid w:val="000302B6"/>
    <w:rsid w:val="0003106D"/>
    <w:rsid w:val="00031700"/>
    <w:rsid w:val="00031E72"/>
    <w:rsid w:val="00031F6E"/>
    <w:rsid w:val="0003277F"/>
    <w:rsid w:val="00032948"/>
    <w:rsid w:val="00032B0A"/>
    <w:rsid w:val="0003315D"/>
    <w:rsid w:val="00033DE7"/>
    <w:rsid w:val="0003414F"/>
    <w:rsid w:val="00034C97"/>
    <w:rsid w:val="0003541F"/>
    <w:rsid w:val="00036A2B"/>
    <w:rsid w:val="000379A7"/>
    <w:rsid w:val="00040D3C"/>
    <w:rsid w:val="00042C84"/>
    <w:rsid w:val="00043739"/>
    <w:rsid w:val="00043A89"/>
    <w:rsid w:val="000441DB"/>
    <w:rsid w:val="00045739"/>
    <w:rsid w:val="00045D0E"/>
    <w:rsid w:val="00046D30"/>
    <w:rsid w:val="000472F6"/>
    <w:rsid w:val="000510B6"/>
    <w:rsid w:val="00051133"/>
    <w:rsid w:val="00051F3F"/>
    <w:rsid w:val="000521D8"/>
    <w:rsid w:val="00052BC1"/>
    <w:rsid w:val="00053A89"/>
    <w:rsid w:val="0005582B"/>
    <w:rsid w:val="00055F5C"/>
    <w:rsid w:val="00056247"/>
    <w:rsid w:val="00056292"/>
    <w:rsid w:val="00056C11"/>
    <w:rsid w:val="00057302"/>
    <w:rsid w:val="00057332"/>
    <w:rsid w:val="00057D00"/>
    <w:rsid w:val="0006267A"/>
    <w:rsid w:val="00062F59"/>
    <w:rsid w:val="0006335B"/>
    <w:rsid w:val="00063BF7"/>
    <w:rsid w:val="00063C25"/>
    <w:rsid w:val="00064892"/>
    <w:rsid w:val="00066026"/>
    <w:rsid w:val="0006660A"/>
    <w:rsid w:val="0006670C"/>
    <w:rsid w:val="00067960"/>
    <w:rsid w:val="0007003A"/>
    <w:rsid w:val="00070210"/>
    <w:rsid w:val="000707BF"/>
    <w:rsid w:val="00070C63"/>
    <w:rsid w:val="00071ACB"/>
    <w:rsid w:val="00072637"/>
    <w:rsid w:val="00072862"/>
    <w:rsid w:val="000734CD"/>
    <w:rsid w:val="00074403"/>
    <w:rsid w:val="00074CEC"/>
    <w:rsid w:val="000750DC"/>
    <w:rsid w:val="0007583C"/>
    <w:rsid w:val="00075B2D"/>
    <w:rsid w:val="00076057"/>
    <w:rsid w:val="00076F36"/>
    <w:rsid w:val="000770EC"/>
    <w:rsid w:val="00081292"/>
    <w:rsid w:val="00082667"/>
    <w:rsid w:val="00082907"/>
    <w:rsid w:val="00082AD2"/>
    <w:rsid w:val="00083DC6"/>
    <w:rsid w:val="00084857"/>
    <w:rsid w:val="00084E41"/>
    <w:rsid w:val="000850AF"/>
    <w:rsid w:val="000852EB"/>
    <w:rsid w:val="000869D8"/>
    <w:rsid w:val="00086CA6"/>
    <w:rsid w:val="00090213"/>
    <w:rsid w:val="00091200"/>
    <w:rsid w:val="0009198C"/>
    <w:rsid w:val="00091D63"/>
    <w:rsid w:val="00092FC7"/>
    <w:rsid w:val="00093133"/>
    <w:rsid w:val="0009395E"/>
    <w:rsid w:val="000954D5"/>
    <w:rsid w:val="00095723"/>
    <w:rsid w:val="0009618D"/>
    <w:rsid w:val="0009709B"/>
    <w:rsid w:val="000975E3"/>
    <w:rsid w:val="000A00E8"/>
    <w:rsid w:val="000A0CEE"/>
    <w:rsid w:val="000A1DD1"/>
    <w:rsid w:val="000A21A5"/>
    <w:rsid w:val="000A3025"/>
    <w:rsid w:val="000A3863"/>
    <w:rsid w:val="000A3908"/>
    <w:rsid w:val="000A4B44"/>
    <w:rsid w:val="000A4C29"/>
    <w:rsid w:val="000A5621"/>
    <w:rsid w:val="000A5E29"/>
    <w:rsid w:val="000A6E2B"/>
    <w:rsid w:val="000A6F71"/>
    <w:rsid w:val="000A79D3"/>
    <w:rsid w:val="000B05B8"/>
    <w:rsid w:val="000B05E2"/>
    <w:rsid w:val="000B2568"/>
    <w:rsid w:val="000B41BB"/>
    <w:rsid w:val="000B5357"/>
    <w:rsid w:val="000B597F"/>
    <w:rsid w:val="000B634D"/>
    <w:rsid w:val="000B7465"/>
    <w:rsid w:val="000C14CB"/>
    <w:rsid w:val="000C18BC"/>
    <w:rsid w:val="000C1EE4"/>
    <w:rsid w:val="000C1FF9"/>
    <w:rsid w:val="000C269B"/>
    <w:rsid w:val="000C4151"/>
    <w:rsid w:val="000C4425"/>
    <w:rsid w:val="000C4469"/>
    <w:rsid w:val="000C4B12"/>
    <w:rsid w:val="000C4BF6"/>
    <w:rsid w:val="000C522E"/>
    <w:rsid w:val="000C5FA7"/>
    <w:rsid w:val="000C68BE"/>
    <w:rsid w:val="000C6D4A"/>
    <w:rsid w:val="000C6E11"/>
    <w:rsid w:val="000C76DD"/>
    <w:rsid w:val="000C7E71"/>
    <w:rsid w:val="000D036E"/>
    <w:rsid w:val="000D16AA"/>
    <w:rsid w:val="000D1A7D"/>
    <w:rsid w:val="000D2309"/>
    <w:rsid w:val="000D2CCA"/>
    <w:rsid w:val="000D2CFA"/>
    <w:rsid w:val="000D2DFE"/>
    <w:rsid w:val="000D34A7"/>
    <w:rsid w:val="000D366B"/>
    <w:rsid w:val="000D38F9"/>
    <w:rsid w:val="000D3F93"/>
    <w:rsid w:val="000D46DF"/>
    <w:rsid w:val="000D4C15"/>
    <w:rsid w:val="000D4FE9"/>
    <w:rsid w:val="000D5D6B"/>
    <w:rsid w:val="000D7304"/>
    <w:rsid w:val="000D7A20"/>
    <w:rsid w:val="000D7DD7"/>
    <w:rsid w:val="000E161C"/>
    <w:rsid w:val="000E231C"/>
    <w:rsid w:val="000E4390"/>
    <w:rsid w:val="000E470B"/>
    <w:rsid w:val="000E4DE8"/>
    <w:rsid w:val="000E50F5"/>
    <w:rsid w:val="000E5E99"/>
    <w:rsid w:val="000E6B31"/>
    <w:rsid w:val="000F0C3B"/>
    <w:rsid w:val="000F0E9F"/>
    <w:rsid w:val="000F1540"/>
    <w:rsid w:val="000F2065"/>
    <w:rsid w:val="000F2A88"/>
    <w:rsid w:val="000F2C23"/>
    <w:rsid w:val="000F2D1B"/>
    <w:rsid w:val="000F3658"/>
    <w:rsid w:val="000F3B37"/>
    <w:rsid w:val="000F3F12"/>
    <w:rsid w:val="000F4B68"/>
    <w:rsid w:val="000F4F2E"/>
    <w:rsid w:val="000F565B"/>
    <w:rsid w:val="000F5C6C"/>
    <w:rsid w:val="000F5F3F"/>
    <w:rsid w:val="000F6ADB"/>
    <w:rsid w:val="00100570"/>
    <w:rsid w:val="00101CE5"/>
    <w:rsid w:val="00101DD0"/>
    <w:rsid w:val="001022AB"/>
    <w:rsid w:val="00102555"/>
    <w:rsid w:val="00102903"/>
    <w:rsid w:val="00102B4B"/>
    <w:rsid w:val="00102BA2"/>
    <w:rsid w:val="00103AB9"/>
    <w:rsid w:val="00103E80"/>
    <w:rsid w:val="00103EEF"/>
    <w:rsid w:val="0010532D"/>
    <w:rsid w:val="00106357"/>
    <w:rsid w:val="00107187"/>
    <w:rsid w:val="00107272"/>
    <w:rsid w:val="00107315"/>
    <w:rsid w:val="00107D54"/>
    <w:rsid w:val="00110B62"/>
    <w:rsid w:val="00111581"/>
    <w:rsid w:val="00111CEB"/>
    <w:rsid w:val="0011245C"/>
    <w:rsid w:val="0011500F"/>
    <w:rsid w:val="00115A55"/>
    <w:rsid w:val="0011665D"/>
    <w:rsid w:val="00116AAC"/>
    <w:rsid w:val="00117D55"/>
    <w:rsid w:val="001204B2"/>
    <w:rsid w:val="001212EF"/>
    <w:rsid w:val="001217DC"/>
    <w:rsid w:val="00121F81"/>
    <w:rsid w:val="0012203F"/>
    <w:rsid w:val="00122142"/>
    <w:rsid w:val="00122FF8"/>
    <w:rsid w:val="00123C40"/>
    <w:rsid w:val="00123CC6"/>
    <w:rsid w:val="00125689"/>
    <w:rsid w:val="00125C8A"/>
    <w:rsid w:val="001261FC"/>
    <w:rsid w:val="001306FE"/>
    <w:rsid w:val="00130827"/>
    <w:rsid w:val="001308A2"/>
    <w:rsid w:val="00130FC8"/>
    <w:rsid w:val="00131140"/>
    <w:rsid w:val="00131211"/>
    <w:rsid w:val="00131C9F"/>
    <w:rsid w:val="00132E86"/>
    <w:rsid w:val="00132FD3"/>
    <w:rsid w:val="00133A53"/>
    <w:rsid w:val="00133ADE"/>
    <w:rsid w:val="00133C39"/>
    <w:rsid w:val="00135008"/>
    <w:rsid w:val="00135EEA"/>
    <w:rsid w:val="001365A8"/>
    <w:rsid w:val="00136706"/>
    <w:rsid w:val="0013673A"/>
    <w:rsid w:val="001407F2"/>
    <w:rsid w:val="001410EB"/>
    <w:rsid w:val="00141B62"/>
    <w:rsid w:val="00141C12"/>
    <w:rsid w:val="00143554"/>
    <w:rsid w:val="00143653"/>
    <w:rsid w:val="00143934"/>
    <w:rsid w:val="00143B3A"/>
    <w:rsid w:val="00143E43"/>
    <w:rsid w:val="00143FFC"/>
    <w:rsid w:val="00145760"/>
    <w:rsid w:val="001463D4"/>
    <w:rsid w:val="00146ABB"/>
    <w:rsid w:val="00147338"/>
    <w:rsid w:val="00147A48"/>
    <w:rsid w:val="00150143"/>
    <w:rsid w:val="001509AB"/>
    <w:rsid w:val="00152E91"/>
    <w:rsid w:val="0015460B"/>
    <w:rsid w:val="00155ADD"/>
    <w:rsid w:val="00156CA9"/>
    <w:rsid w:val="00157465"/>
    <w:rsid w:val="001579DC"/>
    <w:rsid w:val="00157E23"/>
    <w:rsid w:val="00157FC3"/>
    <w:rsid w:val="00160ACE"/>
    <w:rsid w:val="001618E3"/>
    <w:rsid w:val="00161C4F"/>
    <w:rsid w:val="00161C84"/>
    <w:rsid w:val="00161F2A"/>
    <w:rsid w:val="00161FDF"/>
    <w:rsid w:val="00161FE5"/>
    <w:rsid w:val="001626BD"/>
    <w:rsid w:val="00162849"/>
    <w:rsid w:val="00162C33"/>
    <w:rsid w:val="00162E3E"/>
    <w:rsid w:val="0016340E"/>
    <w:rsid w:val="00164C06"/>
    <w:rsid w:val="00164C82"/>
    <w:rsid w:val="00164E23"/>
    <w:rsid w:val="001656B5"/>
    <w:rsid w:val="0016595F"/>
    <w:rsid w:val="0016633D"/>
    <w:rsid w:val="00166A2C"/>
    <w:rsid w:val="00166BF2"/>
    <w:rsid w:val="00166CC3"/>
    <w:rsid w:val="00170A9E"/>
    <w:rsid w:val="0017121A"/>
    <w:rsid w:val="00171401"/>
    <w:rsid w:val="00171777"/>
    <w:rsid w:val="001719FB"/>
    <w:rsid w:val="001722F6"/>
    <w:rsid w:val="00172B65"/>
    <w:rsid w:val="00172EF5"/>
    <w:rsid w:val="001732E1"/>
    <w:rsid w:val="001735B6"/>
    <w:rsid w:val="00173A44"/>
    <w:rsid w:val="0017613E"/>
    <w:rsid w:val="00177167"/>
    <w:rsid w:val="001776AC"/>
    <w:rsid w:val="00180C21"/>
    <w:rsid w:val="0018121C"/>
    <w:rsid w:val="00181607"/>
    <w:rsid w:val="00181A71"/>
    <w:rsid w:val="0018261B"/>
    <w:rsid w:val="001834A7"/>
    <w:rsid w:val="0018373B"/>
    <w:rsid w:val="00183761"/>
    <w:rsid w:val="00183C79"/>
    <w:rsid w:val="00183C8B"/>
    <w:rsid w:val="00183E75"/>
    <w:rsid w:val="00184122"/>
    <w:rsid w:val="001845CF"/>
    <w:rsid w:val="00185727"/>
    <w:rsid w:val="001865BB"/>
    <w:rsid w:val="001871DD"/>
    <w:rsid w:val="001873C5"/>
    <w:rsid w:val="00187518"/>
    <w:rsid w:val="00187743"/>
    <w:rsid w:val="0019096C"/>
    <w:rsid w:val="00191EA7"/>
    <w:rsid w:val="00192164"/>
    <w:rsid w:val="00194C98"/>
    <w:rsid w:val="00194FB7"/>
    <w:rsid w:val="00196B4E"/>
    <w:rsid w:val="001975A1"/>
    <w:rsid w:val="001A027A"/>
    <w:rsid w:val="001A08E4"/>
    <w:rsid w:val="001A0D2C"/>
    <w:rsid w:val="001A0EBC"/>
    <w:rsid w:val="001A12B5"/>
    <w:rsid w:val="001A1C72"/>
    <w:rsid w:val="001A3980"/>
    <w:rsid w:val="001A422B"/>
    <w:rsid w:val="001A440A"/>
    <w:rsid w:val="001A4985"/>
    <w:rsid w:val="001A4A55"/>
    <w:rsid w:val="001A5C6F"/>
    <w:rsid w:val="001A6A4F"/>
    <w:rsid w:val="001A6BB9"/>
    <w:rsid w:val="001A76B7"/>
    <w:rsid w:val="001B015C"/>
    <w:rsid w:val="001B1339"/>
    <w:rsid w:val="001B1B58"/>
    <w:rsid w:val="001B1F55"/>
    <w:rsid w:val="001B2049"/>
    <w:rsid w:val="001B2369"/>
    <w:rsid w:val="001B2934"/>
    <w:rsid w:val="001B4265"/>
    <w:rsid w:val="001B4A37"/>
    <w:rsid w:val="001B6FAD"/>
    <w:rsid w:val="001B77FD"/>
    <w:rsid w:val="001C04B2"/>
    <w:rsid w:val="001C076C"/>
    <w:rsid w:val="001C14C1"/>
    <w:rsid w:val="001C168A"/>
    <w:rsid w:val="001C1FDE"/>
    <w:rsid w:val="001C2063"/>
    <w:rsid w:val="001C21E1"/>
    <w:rsid w:val="001C3426"/>
    <w:rsid w:val="001C3F07"/>
    <w:rsid w:val="001C4768"/>
    <w:rsid w:val="001C4BEF"/>
    <w:rsid w:val="001C4DF4"/>
    <w:rsid w:val="001C5839"/>
    <w:rsid w:val="001C5E6F"/>
    <w:rsid w:val="001C6696"/>
    <w:rsid w:val="001C6AF6"/>
    <w:rsid w:val="001C7129"/>
    <w:rsid w:val="001C77E1"/>
    <w:rsid w:val="001C7ADA"/>
    <w:rsid w:val="001D121D"/>
    <w:rsid w:val="001D2D11"/>
    <w:rsid w:val="001D310E"/>
    <w:rsid w:val="001D33C8"/>
    <w:rsid w:val="001D3543"/>
    <w:rsid w:val="001D3CA5"/>
    <w:rsid w:val="001D4151"/>
    <w:rsid w:val="001D41A9"/>
    <w:rsid w:val="001D58E5"/>
    <w:rsid w:val="001E0FAB"/>
    <w:rsid w:val="001E1A7D"/>
    <w:rsid w:val="001E2502"/>
    <w:rsid w:val="001E292F"/>
    <w:rsid w:val="001E351C"/>
    <w:rsid w:val="001E4464"/>
    <w:rsid w:val="001E474D"/>
    <w:rsid w:val="001E5194"/>
    <w:rsid w:val="001E5A81"/>
    <w:rsid w:val="001E62FB"/>
    <w:rsid w:val="001E69D0"/>
    <w:rsid w:val="001E6A0B"/>
    <w:rsid w:val="001E77DA"/>
    <w:rsid w:val="001E7A2F"/>
    <w:rsid w:val="001E7AB0"/>
    <w:rsid w:val="001E7DD0"/>
    <w:rsid w:val="001F0349"/>
    <w:rsid w:val="001F077B"/>
    <w:rsid w:val="001F0B74"/>
    <w:rsid w:val="001F0EFB"/>
    <w:rsid w:val="001F2558"/>
    <w:rsid w:val="001F2648"/>
    <w:rsid w:val="001F41B9"/>
    <w:rsid w:val="001F4509"/>
    <w:rsid w:val="001F4BE8"/>
    <w:rsid w:val="001F4EB8"/>
    <w:rsid w:val="001F560A"/>
    <w:rsid w:val="001F6318"/>
    <w:rsid w:val="001F65B1"/>
    <w:rsid w:val="001F6B83"/>
    <w:rsid w:val="001F6F6A"/>
    <w:rsid w:val="001F7595"/>
    <w:rsid w:val="001F7658"/>
    <w:rsid w:val="001F7B40"/>
    <w:rsid w:val="002000B8"/>
    <w:rsid w:val="00200B4C"/>
    <w:rsid w:val="00203267"/>
    <w:rsid w:val="00203897"/>
    <w:rsid w:val="0020391D"/>
    <w:rsid w:val="00205904"/>
    <w:rsid w:val="00205F9C"/>
    <w:rsid w:val="002060F7"/>
    <w:rsid w:val="00207BC6"/>
    <w:rsid w:val="00210771"/>
    <w:rsid w:val="00210EE2"/>
    <w:rsid w:val="00211885"/>
    <w:rsid w:val="00211AEC"/>
    <w:rsid w:val="00212ADF"/>
    <w:rsid w:val="002134CF"/>
    <w:rsid w:val="00213A60"/>
    <w:rsid w:val="0021429B"/>
    <w:rsid w:val="00215699"/>
    <w:rsid w:val="00215834"/>
    <w:rsid w:val="002159DE"/>
    <w:rsid w:val="00215E99"/>
    <w:rsid w:val="0021667D"/>
    <w:rsid w:val="002166A1"/>
    <w:rsid w:val="002166A6"/>
    <w:rsid w:val="00216BB6"/>
    <w:rsid w:val="00216E0A"/>
    <w:rsid w:val="0022048B"/>
    <w:rsid w:val="0022175C"/>
    <w:rsid w:val="002221B5"/>
    <w:rsid w:val="00222208"/>
    <w:rsid w:val="00222261"/>
    <w:rsid w:val="00223584"/>
    <w:rsid w:val="00223AC8"/>
    <w:rsid w:val="00223C96"/>
    <w:rsid w:val="0022453F"/>
    <w:rsid w:val="00224852"/>
    <w:rsid w:val="002261AD"/>
    <w:rsid w:val="0022634D"/>
    <w:rsid w:val="00226FF0"/>
    <w:rsid w:val="00227512"/>
    <w:rsid w:val="0022766E"/>
    <w:rsid w:val="002277E8"/>
    <w:rsid w:val="00227834"/>
    <w:rsid w:val="002278D5"/>
    <w:rsid w:val="00227C13"/>
    <w:rsid w:val="00227D49"/>
    <w:rsid w:val="00227FC7"/>
    <w:rsid w:val="00232F95"/>
    <w:rsid w:val="002339D1"/>
    <w:rsid w:val="00233A54"/>
    <w:rsid w:val="00234440"/>
    <w:rsid w:val="002347C9"/>
    <w:rsid w:val="0023482F"/>
    <w:rsid w:val="00235B36"/>
    <w:rsid w:val="00236E72"/>
    <w:rsid w:val="00237B6B"/>
    <w:rsid w:val="002411BD"/>
    <w:rsid w:val="00242177"/>
    <w:rsid w:val="00244131"/>
    <w:rsid w:val="00244711"/>
    <w:rsid w:val="00244AE4"/>
    <w:rsid w:val="00244FCF"/>
    <w:rsid w:val="00245EBE"/>
    <w:rsid w:val="002472C1"/>
    <w:rsid w:val="002473F4"/>
    <w:rsid w:val="00247687"/>
    <w:rsid w:val="00250500"/>
    <w:rsid w:val="00250F42"/>
    <w:rsid w:val="002528A1"/>
    <w:rsid w:val="00252EBA"/>
    <w:rsid w:val="0025361A"/>
    <w:rsid w:val="002545EF"/>
    <w:rsid w:val="00254B44"/>
    <w:rsid w:val="00254CA7"/>
    <w:rsid w:val="00254E99"/>
    <w:rsid w:val="00255B9B"/>
    <w:rsid w:val="0025610A"/>
    <w:rsid w:val="00256596"/>
    <w:rsid w:val="002568F8"/>
    <w:rsid w:val="0026027A"/>
    <w:rsid w:val="00260533"/>
    <w:rsid w:val="002605CE"/>
    <w:rsid w:val="00261357"/>
    <w:rsid w:val="00261367"/>
    <w:rsid w:val="00261A54"/>
    <w:rsid w:val="00261C21"/>
    <w:rsid w:val="00261D37"/>
    <w:rsid w:val="00262746"/>
    <w:rsid w:val="00262D6B"/>
    <w:rsid w:val="00262ED0"/>
    <w:rsid w:val="00263607"/>
    <w:rsid w:val="002638EE"/>
    <w:rsid w:val="00264965"/>
    <w:rsid w:val="00264AA9"/>
    <w:rsid w:val="002656E1"/>
    <w:rsid w:val="00265CFF"/>
    <w:rsid w:val="00270B4E"/>
    <w:rsid w:val="00271500"/>
    <w:rsid w:val="00271E13"/>
    <w:rsid w:val="00272E57"/>
    <w:rsid w:val="00273308"/>
    <w:rsid w:val="00274663"/>
    <w:rsid w:val="00275641"/>
    <w:rsid w:val="0027569A"/>
    <w:rsid w:val="002767D9"/>
    <w:rsid w:val="00277214"/>
    <w:rsid w:val="0028018B"/>
    <w:rsid w:val="00280F4B"/>
    <w:rsid w:val="0028183A"/>
    <w:rsid w:val="002821E9"/>
    <w:rsid w:val="002827D2"/>
    <w:rsid w:val="002835B7"/>
    <w:rsid w:val="002843E8"/>
    <w:rsid w:val="00284662"/>
    <w:rsid w:val="00284C1F"/>
    <w:rsid w:val="00285195"/>
    <w:rsid w:val="002851AF"/>
    <w:rsid w:val="0028610F"/>
    <w:rsid w:val="00286129"/>
    <w:rsid w:val="00287259"/>
    <w:rsid w:val="0028787B"/>
    <w:rsid w:val="00287D84"/>
    <w:rsid w:val="00290263"/>
    <w:rsid w:val="002908A7"/>
    <w:rsid w:val="0029127C"/>
    <w:rsid w:val="00291768"/>
    <w:rsid w:val="00291777"/>
    <w:rsid w:val="00291796"/>
    <w:rsid w:val="00292556"/>
    <w:rsid w:val="002925CC"/>
    <w:rsid w:val="00292F66"/>
    <w:rsid w:val="0029315D"/>
    <w:rsid w:val="00293226"/>
    <w:rsid w:val="00293A33"/>
    <w:rsid w:val="00294094"/>
    <w:rsid w:val="0029449E"/>
    <w:rsid w:val="0029488D"/>
    <w:rsid w:val="0029530C"/>
    <w:rsid w:val="00296020"/>
    <w:rsid w:val="002963DA"/>
    <w:rsid w:val="0029693F"/>
    <w:rsid w:val="002969C6"/>
    <w:rsid w:val="00296BE2"/>
    <w:rsid w:val="00296F46"/>
    <w:rsid w:val="00296F8A"/>
    <w:rsid w:val="002A04A0"/>
    <w:rsid w:val="002A11CE"/>
    <w:rsid w:val="002A13E2"/>
    <w:rsid w:val="002A142B"/>
    <w:rsid w:val="002A180F"/>
    <w:rsid w:val="002A1B36"/>
    <w:rsid w:val="002A37E6"/>
    <w:rsid w:val="002A4DFC"/>
    <w:rsid w:val="002A5A90"/>
    <w:rsid w:val="002B087A"/>
    <w:rsid w:val="002B0B0E"/>
    <w:rsid w:val="002B18D6"/>
    <w:rsid w:val="002B22D4"/>
    <w:rsid w:val="002B3984"/>
    <w:rsid w:val="002B45C1"/>
    <w:rsid w:val="002B4BF3"/>
    <w:rsid w:val="002B55C8"/>
    <w:rsid w:val="002B5E4B"/>
    <w:rsid w:val="002B642F"/>
    <w:rsid w:val="002B660D"/>
    <w:rsid w:val="002B6935"/>
    <w:rsid w:val="002B7969"/>
    <w:rsid w:val="002C0031"/>
    <w:rsid w:val="002C0485"/>
    <w:rsid w:val="002C0762"/>
    <w:rsid w:val="002C257A"/>
    <w:rsid w:val="002C28DC"/>
    <w:rsid w:val="002C2BEC"/>
    <w:rsid w:val="002C30C0"/>
    <w:rsid w:val="002C456D"/>
    <w:rsid w:val="002C4F4B"/>
    <w:rsid w:val="002C6EC0"/>
    <w:rsid w:val="002C7C4E"/>
    <w:rsid w:val="002D0356"/>
    <w:rsid w:val="002D07C0"/>
    <w:rsid w:val="002D0F98"/>
    <w:rsid w:val="002D18A9"/>
    <w:rsid w:val="002D1B96"/>
    <w:rsid w:val="002D1DFB"/>
    <w:rsid w:val="002D2565"/>
    <w:rsid w:val="002D45BF"/>
    <w:rsid w:val="002D460D"/>
    <w:rsid w:val="002D4A85"/>
    <w:rsid w:val="002D6162"/>
    <w:rsid w:val="002D64DF"/>
    <w:rsid w:val="002D663C"/>
    <w:rsid w:val="002E242E"/>
    <w:rsid w:val="002E2FEC"/>
    <w:rsid w:val="002E38DB"/>
    <w:rsid w:val="002E4AB1"/>
    <w:rsid w:val="002E4E90"/>
    <w:rsid w:val="002E4F8A"/>
    <w:rsid w:val="002E505D"/>
    <w:rsid w:val="002E57A4"/>
    <w:rsid w:val="002E73B8"/>
    <w:rsid w:val="002F0823"/>
    <w:rsid w:val="002F1391"/>
    <w:rsid w:val="002F2471"/>
    <w:rsid w:val="002F2B7A"/>
    <w:rsid w:val="002F3105"/>
    <w:rsid w:val="002F4251"/>
    <w:rsid w:val="002F5E6C"/>
    <w:rsid w:val="002F72FF"/>
    <w:rsid w:val="00300BF3"/>
    <w:rsid w:val="0030143F"/>
    <w:rsid w:val="00301BCD"/>
    <w:rsid w:val="00303920"/>
    <w:rsid w:val="00303ACF"/>
    <w:rsid w:val="0030463E"/>
    <w:rsid w:val="00304ED6"/>
    <w:rsid w:val="00306D5D"/>
    <w:rsid w:val="00306FF4"/>
    <w:rsid w:val="00310EE1"/>
    <w:rsid w:val="00311784"/>
    <w:rsid w:val="0031210B"/>
    <w:rsid w:val="003122B0"/>
    <w:rsid w:val="00312390"/>
    <w:rsid w:val="003137B1"/>
    <w:rsid w:val="003138EB"/>
    <w:rsid w:val="00313A51"/>
    <w:rsid w:val="00314EF7"/>
    <w:rsid w:val="00315880"/>
    <w:rsid w:val="00315A06"/>
    <w:rsid w:val="003163E0"/>
    <w:rsid w:val="0031678B"/>
    <w:rsid w:val="0031683C"/>
    <w:rsid w:val="00316C08"/>
    <w:rsid w:val="00317146"/>
    <w:rsid w:val="003176EA"/>
    <w:rsid w:val="00317928"/>
    <w:rsid w:val="00317D36"/>
    <w:rsid w:val="00321473"/>
    <w:rsid w:val="003225FB"/>
    <w:rsid w:val="003232D8"/>
    <w:rsid w:val="00323A7C"/>
    <w:rsid w:val="00323BE9"/>
    <w:rsid w:val="00323C32"/>
    <w:rsid w:val="00323CC7"/>
    <w:rsid w:val="003249E9"/>
    <w:rsid w:val="00324A1D"/>
    <w:rsid w:val="00324C55"/>
    <w:rsid w:val="003250B4"/>
    <w:rsid w:val="003256EC"/>
    <w:rsid w:val="00325742"/>
    <w:rsid w:val="00325CB5"/>
    <w:rsid w:val="003262C7"/>
    <w:rsid w:val="00327AB3"/>
    <w:rsid w:val="00327D1B"/>
    <w:rsid w:val="00327F9E"/>
    <w:rsid w:val="00330527"/>
    <w:rsid w:val="00331829"/>
    <w:rsid w:val="003318A6"/>
    <w:rsid w:val="003321A8"/>
    <w:rsid w:val="00332EB1"/>
    <w:rsid w:val="00333E63"/>
    <w:rsid w:val="00334044"/>
    <w:rsid w:val="00335188"/>
    <w:rsid w:val="00335234"/>
    <w:rsid w:val="00335F22"/>
    <w:rsid w:val="00336B63"/>
    <w:rsid w:val="003373B8"/>
    <w:rsid w:val="00340552"/>
    <w:rsid w:val="00341099"/>
    <w:rsid w:val="003413F4"/>
    <w:rsid w:val="00342690"/>
    <w:rsid w:val="00342DC1"/>
    <w:rsid w:val="00342EF7"/>
    <w:rsid w:val="003432B6"/>
    <w:rsid w:val="00343F41"/>
    <w:rsid w:val="00344877"/>
    <w:rsid w:val="00344BF3"/>
    <w:rsid w:val="00345AE6"/>
    <w:rsid w:val="00345CC1"/>
    <w:rsid w:val="00345EA7"/>
    <w:rsid w:val="0034652C"/>
    <w:rsid w:val="00346606"/>
    <w:rsid w:val="00346E73"/>
    <w:rsid w:val="00347090"/>
    <w:rsid w:val="0035067B"/>
    <w:rsid w:val="00350B6E"/>
    <w:rsid w:val="00351A4A"/>
    <w:rsid w:val="00351D3F"/>
    <w:rsid w:val="00351D95"/>
    <w:rsid w:val="00351FB4"/>
    <w:rsid w:val="00353860"/>
    <w:rsid w:val="00353B86"/>
    <w:rsid w:val="00353CE5"/>
    <w:rsid w:val="003546DF"/>
    <w:rsid w:val="00354CD9"/>
    <w:rsid w:val="003556C1"/>
    <w:rsid w:val="00355EEE"/>
    <w:rsid w:val="00357883"/>
    <w:rsid w:val="00357B14"/>
    <w:rsid w:val="00360494"/>
    <w:rsid w:val="003608F0"/>
    <w:rsid w:val="00360C00"/>
    <w:rsid w:val="00361935"/>
    <w:rsid w:val="003626AE"/>
    <w:rsid w:val="003648EE"/>
    <w:rsid w:val="00364BEE"/>
    <w:rsid w:val="0036508D"/>
    <w:rsid w:val="003651C8"/>
    <w:rsid w:val="00366321"/>
    <w:rsid w:val="003669F1"/>
    <w:rsid w:val="00366F10"/>
    <w:rsid w:val="003700A3"/>
    <w:rsid w:val="00370B40"/>
    <w:rsid w:val="00370D6B"/>
    <w:rsid w:val="00371C15"/>
    <w:rsid w:val="00372CDF"/>
    <w:rsid w:val="00373411"/>
    <w:rsid w:val="00373D40"/>
    <w:rsid w:val="003741F6"/>
    <w:rsid w:val="00374938"/>
    <w:rsid w:val="00374A29"/>
    <w:rsid w:val="00374FA4"/>
    <w:rsid w:val="003756C6"/>
    <w:rsid w:val="00375D65"/>
    <w:rsid w:val="00376E35"/>
    <w:rsid w:val="00377F6C"/>
    <w:rsid w:val="00377F89"/>
    <w:rsid w:val="00380094"/>
    <w:rsid w:val="00380256"/>
    <w:rsid w:val="0038165D"/>
    <w:rsid w:val="00381F3A"/>
    <w:rsid w:val="00382AE3"/>
    <w:rsid w:val="00383071"/>
    <w:rsid w:val="00385444"/>
    <w:rsid w:val="00385F39"/>
    <w:rsid w:val="00386070"/>
    <w:rsid w:val="00386A53"/>
    <w:rsid w:val="003900A5"/>
    <w:rsid w:val="003917AD"/>
    <w:rsid w:val="00391FAB"/>
    <w:rsid w:val="00392539"/>
    <w:rsid w:val="00392677"/>
    <w:rsid w:val="003931BC"/>
    <w:rsid w:val="00393431"/>
    <w:rsid w:val="00393633"/>
    <w:rsid w:val="003945E2"/>
    <w:rsid w:val="00394981"/>
    <w:rsid w:val="003953A8"/>
    <w:rsid w:val="0039578E"/>
    <w:rsid w:val="003958E6"/>
    <w:rsid w:val="00395D76"/>
    <w:rsid w:val="003967DC"/>
    <w:rsid w:val="00396F7B"/>
    <w:rsid w:val="00396FA3"/>
    <w:rsid w:val="0039788E"/>
    <w:rsid w:val="00397F0D"/>
    <w:rsid w:val="00397F4C"/>
    <w:rsid w:val="003A0DC3"/>
    <w:rsid w:val="003A1CF5"/>
    <w:rsid w:val="003A2812"/>
    <w:rsid w:val="003A2D0C"/>
    <w:rsid w:val="003A2FDE"/>
    <w:rsid w:val="003A3304"/>
    <w:rsid w:val="003A3551"/>
    <w:rsid w:val="003A38F0"/>
    <w:rsid w:val="003A443D"/>
    <w:rsid w:val="003A5983"/>
    <w:rsid w:val="003A6A5A"/>
    <w:rsid w:val="003A6D8C"/>
    <w:rsid w:val="003A72AA"/>
    <w:rsid w:val="003A72E9"/>
    <w:rsid w:val="003A7B0F"/>
    <w:rsid w:val="003B175A"/>
    <w:rsid w:val="003B3231"/>
    <w:rsid w:val="003B357A"/>
    <w:rsid w:val="003B47A4"/>
    <w:rsid w:val="003B499C"/>
    <w:rsid w:val="003B4CCD"/>
    <w:rsid w:val="003B53D4"/>
    <w:rsid w:val="003B6C32"/>
    <w:rsid w:val="003B7109"/>
    <w:rsid w:val="003B7298"/>
    <w:rsid w:val="003C061A"/>
    <w:rsid w:val="003C0FF8"/>
    <w:rsid w:val="003C1D0C"/>
    <w:rsid w:val="003C4FD5"/>
    <w:rsid w:val="003C582B"/>
    <w:rsid w:val="003C5A79"/>
    <w:rsid w:val="003C5DAF"/>
    <w:rsid w:val="003C612D"/>
    <w:rsid w:val="003C6532"/>
    <w:rsid w:val="003D2333"/>
    <w:rsid w:val="003D29B0"/>
    <w:rsid w:val="003D3241"/>
    <w:rsid w:val="003D3BEF"/>
    <w:rsid w:val="003D4804"/>
    <w:rsid w:val="003D5413"/>
    <w:rsid w:val="003D62B9"/>
    <w:rsid w:val="003D7685"/>
    <w:rsid w:val="003D7E9A"/>
    <w:rsid w:val="003D7F0C"/>
    <w:rsid w:val="003E0366"/>
    <w:rsid w:val="003E077B"/>
    <w:rsid w:val="003E100C"/>
    <w:rsid w:val="003E2FFE"/>
    <w:rsid w:val="003E37AA"/>
    <w:rsid w:val="003E4310"/>
    <w:rsid w:val="003E47DE"/>
    <w:rsid w:val="003E4FFA"/>
    <w:rsid w:val="003E5A3E"/>
    <w:rsid w:val="003E5BD8"/>
    <w:rsid w:val="003E6C1E"/>
    <w:rsid w:val="003E6DDE"/>
    <w:rsid w:val="003E6E11"/>
    <w:rsid w:val="003E721A"/>
    <w:rsid w:val="003E7B88"/>
    <w:rsid w:val="003F0536"/>
    <w:rsid w:val="003F10D3"/>
    <w:rsid w:val="003F1548"/>
    <w:rsid w:val="003F2B3D"/>
    <w:rsid w:val="003F3105"/>
    <w:rsid w:val="003F3C44"/>
    <w:rsid w:val="003F4172"/>
    <w:rsid w:val="003F4249"/>
    <w:rsid w:val="003F4E3B"/>
    <w:rsid w:val="003F5086"/>
    <w:rsid w:val="003F5108"/>
    <w:rsid w:val="003F5D2C"/>
    <w:rsid w:val="003F7679"/>
    <w:rsid w:val="003F7E55"/>
    <w:rsid w:val="0040085F"/>
    <w:rsid w:val="00400C13"/>
    <w:rsid w:val="00402311"/>
    <w:rsid w:val="0040239F"/>
    <w:rsid w:val="00402C97"/>
    <w:rsid w:val="00403364"/>
    <w:rsid w:val="0040415C"/>
    <w:rsid w:val="00404AA4"/>
    <w:rsid w:val="00404C61"/>
    <w:rsid w:val="00404FE9"/>
    <w:rsid w:val="004050C9"/>
    <w:rsid w:val="004051F0"/>
    <w:rsid w:val="00405956"/>
    <w:rsid w:val="00405F34"/>
    <w:rsid w:val="00406314"/>
    <w:rsid w:val="00406376"/>
    <w:rsid w:val="00406896"/>
    <w:rsid w:val="00411B37"/>
    <w:rsid w:val="004125ED"/>
    <w:rsid w:val="00413B39"/>
    <w:rsid w:val="0041450E"/>
    <w:rsid w:val="0041456E"/>
    <w:rsid w:val="00415370"/>
    <w:rsid w:val="00415781"/>
    <w:rsid w:val="00416485"/>
    <w:rsid w:val="00416C86"/>
    <w:rsid w:val="00416E1E"/>
    <w:rsid w:val="00416F40"/>
    <w:rsid w:val="004172F0"/>
    <w:rsid w:val="00417769"/>
    <w:rsid w:val="00417F0D"/>
    <w:rsid w:val="00420A9A"/>
    <w:rsid w:val="004218BA"/>
    <w:rsid w:val="00421EF2"/>
    <w:rsid w:val="00422668"/>
    <w:rsid w:val="00423296"/>
    <w:rsid w:val="0042602D"/>
    <w:rsid w:val="004260BA"/>
    <w:rsid w:val="00427004"/>
    <w:rsid w:val="00427B03"/>
    <w:rsid w:val="0043134E"/>
    <w:rsid w:val="00431AC1"/>
    <w:rsid w:val="00431DE1"/>
    <w:rsid w:val="004329C9"/>
    <w:rsid w:val="00432CD5"/>
    <w:rsid w:val="00433CDB"/>
    <w:rsid w:val="00435A96"/>
    <w:rsid w:val="00435D29"/>
    <w:rsid w:val="004363FA"/>
    <w:rsid w:val="004364CC"/>
    <w:rsid w:val="00437141"/>
    <w:rsid w:val="004405B0"/>
    <w:rsid w:val="00440A27"/>
    <w:rsid w:val="00441905"/>
    <w:rsid w:val="00441FF9"/>
    <w:rsid w:val="0044382F"/>
    <w:rsid w:val="00443B96"/>
    <w:rsid w:val="00443E1D"/>
    <w:rsid w:val="004442EB"/>
    <w:rsid w:val="00444FA3"/>
    <w:rsid w:val="00446553"/>
    <w:rsid w:val="00446A92"/>
    <w:rsid w:val="004501B4"/>
    <w:rsid w:val="0045082F"/>
    <w:rsid w:val="00450C00"/>
    <w:rsid w:val="0045135E"/>
    <w:rsid w:val="00451571"/>
    <w:rsid w:val="00451800"/>
    <w:rsid w:val="00452434"/>
    <w:rsid w:val="00452B5F"/>
    <w:rsid w:val="00452C53"/>
    <w:rsid w:val="00453565"/>
    <w:rsid w:val="004539C7"/>
    <w:rsid w:val="00453E96"/>
    <w:rsid w:val="00454004"/>
    <w:rsid w:val="00454597"/>
    <w:rsid w:val="004548E6"/>
    <w:rsid w:val="0045543A"/>
    <w:rsid w:val="004556FB"/>
    <w:rsid w:val="00455880"/>
    <w:rsid w:val="00455DA6"/>
    <w:rsid w:val="004561F9"/>
    <w:rsid w:val="0045637C"/>
    <w:rsid w:val="0045665A"/>
    <w:rsid w:val="004569A3"/>
    <w:rsid w:val="004578ED"/>
    <w:rsid w:val="00460B22"/>
    <w:rsid w:val="004611B6"/>
    <w:rsid w:val="00461997"/>
    <w:rsid w:val="00463F8B"/>
    <w:rsid w:val="00464928"/>
    <w:rsid w:val="004649AD"/>
    <w:rsid w:val="00464D5F"/>
    <w:rsid w:val="004650E7"/>
    <w:rsid w:val="0046687B"/>
    <w:rsid w:val="00470418"/>
    <w:rsid w:val="004704EA"/>
    <w:rsid w:val="00470624"/>
    <w:rsid w:val="0047071D"/>
    <w:rsid w:val="004727C4"/>
    <w:rsid w:val="00473579"/>
    <w:rsid w:val="00474E5A"/>
    <w:rsid w:val="0047558F"/>
    <w:rsid w:val="00475ED8"/>
    <w:rsid w:val="00475FD5"/>
    <w:rsid w:val="0047700D"/>
    <w:rsid w:val="004779A3"/>
    <w:rsid w:val="004803CF"/>
    <w:rsid w:val="00480612"/>
    <w:rsid w:val="004812F4"/>
    <w:rsid w:val="00481719"/>
    <w:rsid w:val="0048231B"/>
    <w:rsid w:val="004838D4"/>
    <w:rsid w:val="004845AC"/>
    <w:rsid w:val="00484C31"/>
    <w:rsid w:val="00485E3C"/>
    <w:rsid w:val="00486F09"/>
    <w:rsid w:val="004877FB"/>
    <w:rsid w:val="00490350"/>
    <w:rsid w:val="004906DB"/>
    <w:rsid w:val="00490C0F"/>
    <w:rsid w:val="00491FF2"/>
    <w:rsid w:val="004925EE"/>
    <w:rsid w:val="00492735"/>
    <w:rsid w:val="00493609"/>
    <w:rsid w:val="004945E8"/>
    <w:rsid w:val="00494FC9"/>
    <w:rsid w:val="00495228"/>
    <w:rsid w:val="004963B6"/>
    <w:rsid w:val="00496E3C"/>
    <w:rsid w:val="004972DB"/>
    <w:rsid w:val="004A1B75"/>
    <w:rsid w:val="004A2013"/>
    <w:rsid w:val="004A201B"/>
    <w:rsid w:val="004A23B9"/>
    <w:rsid w:val="004A2B7A"/>
    <w:rsid w:val="004A3D20"/>
    <w:rsid w:val="004A3EB3"/>
    <w:rsid w:val="004A4377"/>
    <w:rsid w:val="004A57EB"/>
    <w:rsid w:val="004A5824"/>
    <w:rsid w:val="004A59D3"/>
    <w:rsid w:val="004A6D7C"/>
    <w:rsid w:val="004A6F11"/>
    <w:rsid w:val="004A74DD"/>
    <w:rsid w:val="004A7556"/>
    <w:rsid w:val="004A7C4D"/>
    <w:rsid w:val="004B00D1"/>
    <w:rsid w:val="004B02C8"/>
    <w:rsid w:val="004B0B57"/>
    <w:rsid w:val="004B0E3F"/>
    <w:rsid w:val="004B1CAB"/>
    <w:rsid w:val="004B2501"/>
    <w:rsid w:val="004B2DEA"/>
    <w:rsid w:val="004B2FF9"/>
    <w:rsid w:val="004B3506"/>
    <w:rsid w:val="004B36ED"/>
    <w:rsid w:val="004B3730"/>
    <w:rsid w:val="004B40DB"/>
    <w:rsid w:val="004B4EF6"/>
    <w:rsid w:val="004B612E"/>
    <w:rsid w:val="004B623B"/>
    <w:rsid w:val="004B6554"/>
    <w:rsid w:val="004B6B22"/>
    <w:rsid w:val="004B6C50"/>
    <w:rsid w:val="004B7D22"/>
    <w:rsid w:val="004C04CA"/>
    <w:rsid w:val="004C0DA0"/>
    <w:rsid w:val="004C18AC"/>
    <w:rsid w:val="004C3E02"/>
    <w:rsid w:val="004C422D"/>
    <w:rsid w:val="004C4CEB"/>
    <w:rsid w:val="004C5CBA"/>
    <w:rsid w:val="004C630D"/>
    <w:rsid w:val="004C6C09"/>
    <w:rsid w:val="004C6EA3"/>
    <w:rsid w:val="004D000F"/>
    <w:rsid w:val="004D055D"/>
    <w:rsid w:val="004D1240"/>
    <w:rsid w:val="004D16DC"/>
    <w:rsid w:val="004D489F"/>
    <w:rsid w:val="004D49EE"/>
    <w:rsid w:val="004D4AE0"/>
    <w:rsid w:val="004D4C0B"/>
    <w:rsid w:val="004D53BD"/>
    <w:rsid w:val="004D69FC"/>
    <w:rsid w:val="004D77BD"/>
    <w:rsid w:val="004D77DE"/>
    <w:rsid w:val="004D7BF4"/>
    <w:rsid w:val="004D7C92"/>
    <w:rsid w:val="004E0213"/>
    <w:rsid w:val="004E295C"/>
    <w:rsid w:val="004E34AD"/>
    <w:rsid w:val="004E38B2"/>
    <w:rsid w:val="004E3936"/>
    <w:rsid w:val="004E490B"/>
    <w:rsid w:val="004E57F7"/>
    <w:rsid w:val="004E5D9C"/>
    <w:rsid w:val="004E6707"/>
    <w:rsid w:val="004E6B8E"/>
    <w:rsid w:val="004E78F2"/>
    <w:rsid w:val="004F0543"/>
    <w:rsid w:val="004F0D33"/>
    <w:rsid w:val="004F2385"/>
    <w:rsid w:val="004F3A97"/>
    <w:rsid w:val="004F4991"/>
    <w:rsid w:val="004F5591"/>
    <w:rsid w:val="004F5D14"/>
    <w:rsid w:val="004F68DC"/>
    <w:rsid w:val="0050014F"/>
    <w:rsid w:val="00500F7A"/>
    <w:rsid w:val="005012AD"/>
    <w:rsid w:val="005016E5"/>
    <w:rsid w:val="00501A56"/>
    <w:rsid w:val="00502317"/>
    <w:rsid w:val="005026BF"/>
    <w:rsid w:val="005027BB"/>
    <w:rsid w:val="00502DAD"/>
    <w:rsid w:val="00502FA1"/>
    <w:rsid w:val="00503415"/>
    <w:rsid w:val="005037E1"/>
    <w:rsid w:val="00503B5C"/>
    <w:rsid w:val="0050456A"/>
    <w:rsid w:val="005046AC"/>
    <w:rsid w:val="005057AE"/>
    <w:rsid w:val="005068E1"/>
    <w:rsid w:val="00506C91"/>
    <w:rsid w:val="005077C5"/>
    <w:rsid w:val="00507A4F"/>
    <w:rsid w:val="00510B80"/>
    <w:rsid w:val="0051168A"/>
    <w:rsid w:val="005117D2"/>
    <w:rsid w:val="005118A6"/>
    <w:rsid w:val="005122F4"/>
    <w:rsid w:val="0051405F"/>
    <w:rsid w:val="0051444F"/>
    <w:rsid w:val="005156A6"/>
    <w:rsid w:val="00516393"/>
    <w:rsid w:val="005165A7"/>
    <w:rsid w:val="00517449"/>
    <w:rsid w:val="005179A5"/>
    <w:rsid w:val="00520B4F"/>
    <w:rsid w:val="0052175A"/>
    <w:rsid w:val="00524AD7"/>
    <w:rsid w:val="005254FD"/>
    <w:rsid w:val="00525D42"/>
    <w:rsid w:val="005268A9"/>
    <w:rsid w:val="0052703D"/>
    <w:rsid w:val="0052720F"/>
    <w:rsid w:val="00527421"/>
    <w:rsid w:val="005275C4"/>
    <w:rsid w:val="00527D36"/>
    <w:rsid w:val="00531076"/>
    <w:rsid w:val="005315BD"/>
    <w:rsid w:val="00531D28"/>
    <w:rsid w:val="005328A8"/>
    <w:rsid w:val="00532B8B"/>
    <w:rsid w:val="00533920"/>
    <w:rsid w:val="005346C5"/>
    <w:rsid w:val="00535141"/>
    <w:rsid w:val="00535324"/>
    <w:rsid w:val="00535504"/>
    <w:rsid w:val="00535D2C"/>
    <w:rsid w:val="005363B4"/>
    <w:rsid w:val="0053712D"/>
    <w:rsid w:val="00537210"/>
    <w:rsid w:val="005403F4"/>
    <w:rsid w:val="005407FE"/>
    <w:rsid w:val="00541136"/>
    <w:rsid w:val="005414CE"/>
    <w:rsid w:val="00541D5A"/>
    <w:rsid w:val="0054213D"/>
    <w:rsid w:val="0054216F"/>
    <w:rsid w:val="00542F18"/>
    <w:rsid w:val="00544853"/>
    <w:rsid w:val="00544CA5"/>
    <w:rsid w:val="005450E2"/>
    <w:rsid w:val="00545284"/>
    <w:rsid w:val="00545B19"/>
    <w:rsid w:val="0055035F"/>
    <w:rsid w:val="005507FD"/>
    <w:rsid w:val="005511C0"/>
    <w:rsid w:val="0055232C"/>
    <w:rsid w:val="0055278E"/>
    <w:rsid w:val="00553F07"/>
    <w:rsid w:val="00555488"/>
    <w:rsid w:val="0055549A"/>
    <w:rsid w:val="00555B18"/>
    <w:rsid w:val="00555C9C"/>
    <w:rsid w:val="00556A4D"/>
    <w:rsid w:val="00557319"/>
    <w:rsid w:val="0055762E"/>
    <w:rsid w:val="0055764E"/>
    <w:rsid w:val="00560528"/>
    <w:rsid w:val="00561923"/>
    <w:rsid w:val="005622F8"/>
    <w:rsid w:val="0056310A"/>
    <w:rsid w:val="0056336F"/>
    <w:rsid w:val="00565AF7"/>
    <w:rsid w:val="00567398"/>
    <w:rsid w:val="005674B5"/>
    <w:rsid w:val="0057009D"/>
    <w:rsid w:val="00570AB3"/>
    <w:rsid w:val="0057189C"/>
    <w:rsid w:val="00571BD2"/>
    <w:rsid w:val="00571CD7"/>
    <w:rsid w:val="00571D59"/>
    <w:rsid w:val="00572E3E"/>
    <w:rsid w:val="0057420B"/>
    <w:rsid w:val="0057593B"/>
    <w:rsid w:val="0057615A"/>
    <w:rsid w:val="0057632C"/>
    <w:rsid w:val="00577610"/>
    <w:rsid w:val="00580280"/>
    <w:rsid w:val="00580B9E"/>
    <w:rsid w:val="00580DE4"/>
    <w:rsid w:val="0058135A"/>
    <w:rsid w:val="00581F7C"/>
    <w:rsid w:val="00582B32"/>
    <w:rsid w:val="00583358"/>
    <w:rsid w:val="00583363"/>
    <w:rsid w:val="005839BF"/>
    <w:rsid w:val="00584058"/>
    <w:rsid w:val="005844A5"/>
    <w:rsid w:val="005846B4"/>
    <w:rsid w:val="00584D05"/>
    <w:rsid w:val="005850E5"/>
    <w:rsid w:val="005851E0"/>
    <w:rsid w:val="00585571"/>
    <w:rsid w:val="005856F9"/>
    <w:rsid w:val="00585B91"/>
    <w:rsid w:val="00586BF1"/>
    <w:rsid w:val="00587510"/>
    <w:rsid w:val="005876C2"/>
    <w:rsid w:val="00587DC4"/>
    <w:rsid w:val="005902FB"/>
    <w:rsid w:val="005903E4"/>
    <w:rsid w:val="005907D5"/>
    <w:rsid w:val="005913EE"/>
    <w:rsid w:val="00592461"/>
    <w:rsid w:val="00592764"/>
    <w:rsid w:val="00593CC3"/>
    <w:rsid w:val="005940A0"/>
    <w:rsid w:val="0059449B"/>
    <w:rsid w:val="005950D6"/>
    <w:rsid w:val="0059519C"/>
    <w:rsid w:val="00595319"/>
    <w:rsid w:val="00595524"/>
    <w:rsid w:val="005974F3"/>
    <w:rsid w:val="0059751C"/>
    <w:rsid w:val="00597919"/>
    <w:rsid w:val="005A0B9F"/>
    <w:rsid w:val="005A0EFC"/>
    <w:rsid w:val="005A302B"/>
    <w:rsid w:val="005A44E7"/>
    <w:rsid w:val="005A5D8E"/>
    <w:rsid w:val="005A63D8"/>
    <w:rsid w:val="005A7C14"/>
    <w:rsid w:val="005A7DBE"/>
    <w:rsid w:val="005B0560"/>
    <w:rsid w:val="005B152C"/>
    <w:rsid w:val="005B1C64"/>
    <w:rsid w:val="005B1DE8"/>
    <w:rsid w:val="005B2807"/>
    <w:rsid w:val="005B3606"/>
    <w:rsid w:val="005B3E08"/>
    <w:rsid w:val="005B492C"/>
    <w:rsid w:val="005B49B6"/>
    <w:rsid w:val="005B56EE"/>
    <w:rsid w:val="005B672C"/>
    <w:rsid w:val="005B6C6E"/>
    <w:rsid w:val="005B7048"/>
    <w:rsid w:val="005B747D"/>
    <w:rsid w:val="005B7733"/>
    <w:rsid w:val="005B7A22"/>
    <w:rsid w:val="005C0602"/>
    <w:rsid w:val="005C0D5D"/>
    <w:rsid w:val="005C152B"/>
    <w:rsid w:val="005C191A"/>
    <w:rsid w:val="005C2AA9"/>
    <w:rsid w:val="005C330D"/>
    <w:rsid w:val="005C40C7"/>
    <w:rsid w:val="005C4114"/>
    <w:rsid w:val="005C4583"/>
    <w:rsid w:val="005C4EFF"/>
    <w:rsid w:val="005C4F43"/>
    <w:rsid w:val="005C77E0"/>
    <w:rsid w:val="005D070E"/>
    <w:rsid w:val="005D0B55"/>
    <w:rsid w:val="005D23CE"/>
    <w:rsid w:val="005D4A04"/>
    <w:rsid w:val="005D4CF7"/>
    <w:rsid w:val="005D4E04"/>
    <w:rsid w:val="005D5347"/>
    <w:rsid w:val="005D5CC5"/>
    <w:rsid w:val="005D5FE6"/>
    <w:rsid w:val="005D61EA"/>
    <w:rsid w:val="005D6922"/>
    <w:rsid w:val="005D76DF"/>
    <w:rsid w:val="005D787B"/>
    <w:rsid w:val="005E031D"/>
    <w:rsid w:val="005E03AC"/>
    <w:rsid w:val="005E04B5"/>
    <w:rsid w:val="005E12BE"/>
    <w:rsid w:val="005E1ABE"/>
    <w:rsid w:val="005E2694"/>
    <w:rsid w:val="005E2C81"/>
    <w:rsid w:val="005E38A2"/>
    <w:rsid w:val="005E3DCC"/>
    <w:rsid w:val="005E4D3C"/>
    <w:rsid w:val="005E7158"/>
    <w:rsid w:val="005E7ECB"/>
    <w:rsid w:val="005F0C00"/>
    <w:rsid w:val="005F1037"/>
    <w:rsid w:val="005F10B9"/>
    <w:rsid w:val="005F1713"/>
    <w:rsid w:val="005F2BF8"/>
    <w:rsid w:val="005F2EA8"/>
    <w:rsid w:val="005F5D1D"/>
    <w:rsid w:val="005F60C9"/>
    <w:rsid w:val="005F64C6"/>
    <w:rsid w:val="005F6877"/>
    <w:rsid w:val="005F7871"/>
    <w:rsid w:val="006008F1"/>
    <w:rsid w:val="0060114D"/>
    <w:rsid w:val="00601714"/>
    <w:rsid w:val="00601735"/>
    <w:rsid w:val="00602BD2"/>
    <w:rsid w:val="0060351D"/>
    <w:rsid w:val="00604980"/>
    <w:rsid w:val="00604A6F"/>
    <w:rsid w:val="0060614D"/>
    <w:rsid w:val="00606367"/>
    <w:rsid w:val="0060681A"/>
    <w:rsid w:val="006075C7"/>
    <w:rsid w:val="00610871"/>
    <w:rsid w:val="00610C0C"/>
    <w:rsid w:val="00610E48"/>
    <w:rsid w:val="00611A9E"/>
    <w:rsid w:val="00612C5C"/>
    <w:rsid w:val="00613C47"/>
    <w:rsid w:val="006142D4"/>
    <w:rsid w:val="00614B34"/>
    <w:rsid w:val="00615086"/>
    <w:rsid w:val="00615963"/>
    <w:rsid w:val="0061604A"/>
    <w:rsid w:val="00616161"/>
    <w:rsid w:val="00616201"/>
    <w:rsid w:val="00616225"/>
    <w:rsid w:val="0061705E"/>
    <w:rsid w:val="00617A8B"/>
    <w:rsid w:val="0062051E"/>
    <w:rsid w:val="00621904"/>
    <w:rsid w:val="00622248"/>
    <w:rsid w:val="00622FEA"/>
    <w:rsid w:val="00623131"/>
    <w:rsid w:val="00623CDF"/>
    <w:rsid w:val="00623DB1"/>
    <w:rsid w:val="006245F3"/>
    <w:rsid w:val="00624DBE"/>
    <w:rsid w:val="00625450"/>
    <w:rsid w:val="0062624F"/>
    <w:rsid w:val="0062767F"/>
    <w:rsid w:val="006279A4"/>
    <w:rsid w:val="00630055"/>
    <w:rsid w:val="0063008A"/>
    <w:rsid w:val="006319CA"/>
    <w:rsid w:val="006339D6"/>
    <w:rsid w:val="00633B3E"/>
    <w:rsid w:val="00634AAE"/>
    <w:rsid w:val="00634EC0"/>
    <w:rsid w:val="0063627F"/>
    <w:rsid w:val="006368EF"/>
    <w:rsid w:val="006376C4"/>
    <w:rsid w:val="0063773C"/>
    <w:rsid w:val="006403E7"/>
    <w:rsid w:val="00641844"/>
    <w:rsid w:val="00642D72"/>
    <w:rsid w:val="006443CB"/>
    <w:rsid w:val="006448B8"/>
    <w:rsid w:val="00644A8C"/>
    <w:rsid w:val="00644F80"/>
    <w:rsid w:val="00645874"/>
    <w:rsid w:val="00647380"/>
    <w:rsid w:val="00650F81"/>
    <w:rsid w:val="00650FC7"/>
    <w:rsid w:val="006515E9"/>
    <w:rsid w:val="00652A6C"/>
    <w:rsid w:val="00653C24"/>
    <w:rsid w:val="00653D68"/>
    <w:rsid w:val="00653E4E"/>
    <w:rsid w:val="00654275"/>
    <w:rsid w:val="0065433F"/>
    <w:rsid w:val="006543A0"/>
    <w:rsid w:val="0065446D"/>
    <w:rsid w:val="00654891"/>
    <w:rsid w:val="00654894"/>
    <w:rsid w:val="00655104"/>
    <w:rsid w:val="00655B0C"/>
    <w:rsid w:val="00656067"/>
    <w:rsid w:val="00656FDE"/>
    <w:rsid w:val="0065765F"/>
    <w:rsid w:val="00660693"/>
    <w:rsid w:val="00660BE3"/>
    <w:rsid w:val="006611D6"/>
    <w:rsid w:val="00661918"/>
    <w:rsid w:val="00662A5A"/>
    <w:rsid w:val="006636D0"/>
    <w:rsid w:val="00663834"/>
    <w:rsid w:val="006647D7"/>
    <w:rsid w:val="00664F1B"/>
    <w:rsid w:val="006653D7"/>
    <w:rsid w:val="00665BFF"/>
    <w:rsid w:val="006665BA"/>
    <w:rsid w:val="00666A4F"/>
    <w:rsid w:val="00666E8E"/>
    <w:rsid w:val="00667477"/>
    <w:rsid w:val="006703D9"/>
    <w:rsid w:val="00672DFC"/>
    <w:rsid w:val="00672F5B"/>
    <w:rsid w:val="00673DEE"/>
    <w:rsid w:val="00674E69"/>
    <w:rsid w:val="00675FAD"/>
    <w:rsid w:val="00676883"/>
    <w:rsid w:val="0067738E"/>
    <w:rsid w:val="006778FD"/>
    <w:rsid w:val="00677F23"/>
    <w:rsid w:val="00680936"/>
    <w:rsid w:val="00680D8C"/>
    <w:rsid w:val="00680D99"/>
    <w:rsid w:val="006821B2"/>
    <w:rsid w:val="00682725"/>
    <w:rsid w:val="00682A1B"/>
    <w:rsid w:val="00682D73"/>
    <w:rsid w:val="00682ED3"/>
    <w:rsid w:val="006838C7"/>
    <w:rsid w:val="006846E8"/>
    <w:rsid w:val="00685C4D"/>
    <w:rsid w:val="00685EBD"/>
    <w:rsid w:val="006861C3"/>
    <w:rsid w:val="00686AF3"/>
    <w:rsid w:val="00686CCF"/>
    <w:rsid w:val="006878FA"/>
    <w:rsid w:val="00687A17"/>
    <w:rsid w:val="00690976"/>
    <w:rsid w:val="00690F1F"/>
    <w:rsid w:val="006915BD"/>
    <w:rsid w:val="00691FD1"/>
    <w:rsid w:val="00692582"/>
    <w:rsid w:val="00692592"/>
    <w:rsid w:val="006929B8"/>
    <w:rsid w:val="00692A2F"/>
    <w:rsid w:val="0069322C"/>
    <w:rsid w:val="00693652"/>
    <w:rsid w:val="006939E7"/>
    <w:rsid w:val="00693D3E"/>
    <w:rsid w:val="006942F7"/>
    <w:rsid w:val="006956FB"/>
    <w:rsid w:val="00695C63"/>
    <w:rsid w:val="006A147E"/>
    <w:rsid w:val="006A1D3D"/>
    <w:rsid w:val="006A2150"/>
    <w:rsid w:val="006A2216"/>
    <w:rsid w:val="006A241D"/>
    <w:rsid w:val="006A3288"/>
    <w:rsid w:val="006A43E6"/>
    <w:rsid w:val="006A4AEE"/>
    <w:rsid w:val="006A621F"/>
    <w:rsid w:val="006A62D9"/>
    <w:rsid w:val="006A70BE"/>
    <w:rsid w:val="006A7934"/>
    <w:rsid w:val="006B0001"/>
    <w:rsid w:val="006B059F"/>
    <w:rsid w:val="006B06F3"/>
    <w:rsid w:val="006B1062"/>
    <w:rsid w:val="006B2048"/>
    <w:rsid w:val="006B342E"/>
    <w:rsid w:val="006B3812"/>
    <w:rsid w:val="006B3B80"/>
    <w:rsid w:val="006B5F7C"/>
    <w:rsid w:val="006B6F32"/>
    <w:rsid w:val="006B7130"/>
    <w:rsid w:val="006B73CC"/>
    <w:rsid w:val="006B7695"/>
    <w:rsid w:val="006C0176"/>
    <w:rsid w:val="006C2994"/>
    <w:rsid w:val="006C34AF"/>
    <w:rsid w:val="006C35EC"/>
    <w:rsid w:val="006C4150"/>
    <w:rsid w:val="006C4382"/>
    <w:rsid w:val="006C4CE8"/>
    <w:rsid w:val="006C5683"/>
    <w:rsid w:val="006C5E33"/>
    <w:rsid w:val="006C5E48"/>
    <w:rsid w:val="006C6434"/>
    <w:rsid w:val="006C69EF"/>
    <w:rsid w:val="006C6CD8"/>
    <w:rsid w:val="006C70BB"/>
    <w:rsid w:val="006C7EB1"/>
    <w:rsid w:val="006D013F"/>
    <w:rsid w:val="006D017F"/>
    <w:rsid w:val="006D08BD"/>
    <w:rsid w:val="006D0F8E"/>
    <w:rsid w:val="006D1416"/>
    <w:rsid w:val="006D1D3F"/>
    <w:rsid w:val="006D1E87"/>
    <w:rsid w:val="006D253B"/>
    <w:rsid w:val="006D325A"/>
    <w:rsid w:val="006D327D"/>
    <w:rsid w:val="006D3BBA"/>
    <w:rsid w:val="006D4242"/>
    <w:rsid w:val="006D4297"/>
    <w:rsid w:val="006D45D5"/>
    <w:rsid w:val="006D45F0"/>
    <w:rsid w:val="006D4C8F"/>
    <w:rsid w:val="006D52A0"/>
    <w:rsid w:val="006D54ED"/>
    <w:rsid w:val="006D57CB"/>
    <w:rsid w:val="006D5819"/>
    <w:rsid w:val="006D5E6F"/>
    <w:rsid w:val="006D67FE"/>
    <w:rsid w:val="006D693F"/>
    <w:rsid w:val="006D6CDD"/>
    <w:rsid w:val="006D7604"/>
    <w:rsid w:val="006D765E"/>
    <w:rsid w:val="006E0455"/>
    <w:rsid w:val="006E0FD0"/>
    <w:rsid w:val="006E36E9"/>
    <w:rsid w:val="006E381D"/>
    <w:rsid w:val="006E3D13"/>
    <w:rsid w:val="006E4238"/>
    <w:rsid w:val="006E461F"/>
    <w:rsid w:val="006E5F01"/>
    <w:rsid w:val="006E71BE"/>
    <w:rsid w:val="006E7404"/>
    <w:rsid w:val="006E74D0"/>
    <w:rsid w:val="006E7B97"/>
    <w:rsid w:val="006F0068"/>
    <w:rsid w:val="006F1EA3"/>
    <w:rsid w:val="006F2627"/>
    <w:rsid w:val="006F3568"/>
    <w:rsid w:val="006F40AD"/>
    <w:rsid w:val="006F4165"/>
    <w:rsid w:val="006F5CA0"/>
    <w:rsid w:val="006F6360"/>
    <w:rsid w:val="006F6436"/>
    <w:rsid w:val="006F65C5"/>
    <w:rsid w:val="006F687A"/>
    <w:rsid w:val="006F68EF"/>
    <w:rsid w:val="006F6D4C"/>
    <w:rsid w:val="006F6E67"/>
    <w:rsid w:val="006F7157"/>
    <w:rsid w:val="006F78E0"/>
    <w:rsid w:val="00702B1B"/>
    <w:rsid w:val="00703191"/>
    <w:rsid w:val="007032B3"/>
    <w:rsid w:val="007034FC"/>
    <w:rsid w:val="00704164"/>
    <w:rsid w:val="00705ADA"/>
    <w:rsid w:val="007063BD"/>
    <w:rsid w:val="00706A58"/>
    <w:rsid w:val="00707517"/>
    <w:rsid w:val="007078ED"/>
    <w:rsid w:val="00710187"/>
    <w:rsid w:val="007110E1"/>
    <w:rsid w:val="00711B18"/>
    <w:rsid w:val="00711BC4"/>
    <w:rsid w:val="00711FF2"/>
    <w:rsid w:val="007136A8"/>
    <w:rsid w:val="00714394"/>
    <w:rsid w:val="00714ED6"/>
    <w:rsid w:val="00715E8D"/>
    <w:rsid w:val="00721C26"/>
    <w:rsid w:val="00721F7E"/>
    <w:rsid w:val="0072262B"/>
    <w:rsid w:val="00722E29"/>
    <w:rsid w:val="00723ECB"/>
    <w:rsid w:val="0072419D"/>
    <w:rsid w:val="00724606"/>
    <w:rsid w:val="00724A36"/>
    <w:rsid w:val="00724A60"/>
    <w:rsid w:val="00724E85"/>
    <w:rsid w:val="0072525D"/>
    <w:rsid w:val="00726C2F"/>
    <w:rsid w:val="00726E8A"/>
    <w:rsid w:val="00727047"/>
    <w:rsid w:val="007310F4"/>
    <w:rsid w:val="007330A1"/>
    <w:rsid w:val="00734510"/>
    <w:rsid w:val="00734887"/>
    <w:rsid w:val="00734DDC"/>
    <w:rsid w:val="00734F37"/>
    <w:rsid w:val="0073508F"/>
    <w:rsid w:val="007365B6"/>
    <w:rsid w:val="007401E2"/>
    <w:rsid w:val="00740205"/>
    <w:rsid w:val="007411E5"/>
    <w:rsid w:val="00741605"/>
    <w:rsid w:val="007432B9"/>
    <w:rsid w:val="007436F2"/>
    <w:rsid w:val="0074436D"/>
    <w:rsid w:val="00746951"/>
    <w:rsid w:val="00746F65"/>
    <w:rsid w:val="007472C3"/>
    <w:rsid w:val="0074791E"/>
    <w:rsid w:val="00750948"/>
    <w:rsid w:val="00750998"/>
    <w:rsid w:val="0075115D"/>
    <w:rsid w:val="007519BE"/>
    <w:rsid w:val="00751A33"/>
    <w:rsid w:val="00752568"/>
    <w:rsid w:val="00753890"/>
    <w:rsid w:val="007555DF"/>
    <w:rsid w:val="0075651C"/>
    <w:rsid w:val="007569DC"/>
    <w:rsid w:val="0075711E"/>
    <w:rsid w:val="007579F2"/>
    <w:rsid w:val="00761434"/>
    <w:rsid w:val="00761763"/>
    <w:rsid w:val="00761FD5"/>
    <w:rsid w:val="00762B39"/>
    <w:rsid w:val="00762BB6"/>
    <w:rsid w:val="0076341D"/>
    <w:rsid w:val="0076446D"/>
    <w:rsid w:val="007647EF"/>
    <w:rsid w:val="00765006"/>
    <w:rsid w:val="00765D8F"/>
    <w:rsid w:val="00765DD8"/>
    <w:rsid w:val="00766B33"/>
    <w:rsid w:val="00766D36"/>
    <w:rsid w:val="00767607"/>
    <w:rsid w:val="00767ACD"/>
    <w:rsid w:val="007705B5"/>
    <w:rsid w:val="00771C6E"/>
    <w:rsid w:val="0077270D"/>
    <w:rsid w:val="00773874"/>
    <w:rsid w:val="00774637"/>
    <w:rsid w:val="00775D3B"/>
    <w:rsid w:val="0077615A"/>
    <w:rsid w:val="007803BB"/>
    <w:rsid w:val="007806A0"/>
    <w:rsid w:val="00781FF6"/>
    <w:rsid w:val="00782346"/>
    <w:rsid w:val="007838CD"/>
    <w:rsid w:val="007840F3"/>
    <w:rsid w:val="007849C9"/>
    <w:rsid w:val="00785491"/>
    <w:rsid w:val="007858C0"/>
    <w:rsid w:val="0078679A"/>
    <w:rsid w:val="007871FE"/>
    <w:rsid w:val="00787C89"/>
    <w:rsid w:val="00787C95"/>
    <w:rsid w:val="007908ED"/>
    <w:rsid w:val="00790F74"/>
    <w:rsid w:val="00791ECE"/>
    <w:rsid w:val="00792288"/>
    <w:rsid w:val="00792447"/>
    <w:rsid w:val="007928C6"/>
    <w:rsid w:val="00793193"/>
    <w:rsid w:val="00793318"/>
    <w:rsid w:val="0079694C"/>
    <w:rsid w:val="007A0187"/>
    <w:rsid w:val="007A19AC"/>
    <w:rsid w:val="007A268F"/>
    <w:rsid w:val="007A29EC"/>
    <w:rsid w:val="007A3304"/>
    <w:rsid w:val="007A3439"/>
    <w:rsid w:val="007A4A53"/>
    <w:rsid w:val="007A4C93"/>
    <w:rsid w:val="007A4E17"/>
    <w:rsid w:val="007A6555"/>
    <w:rsid w:val="007A656C"/>
    <w:rsid w:val="007A7F6D"/>
    <w:rsid w:val="007B0FBD"/>
    <w:rsid w:val="007B1BAF"/>
    <w:rsid w:val="007B2FE8"/>
    <w:rsid w:val="007B35F7"/>
    <w:rsid w:val="007B4DD5"/>
    <w:rsid w:val="007B4F72"/>
    <w:rsid w:val="007B5148"/>
    <w:rsid w:val="007B5A16"/>
    <w:rsid w:val="007B605E"/>
    <w:rsid w:val="007B6121"/>
    <w:rsid w:val="007B7BF3"/>
    <w:rsid w:val="007C03FE"/>
    <w:rsid w:val="007C0E04"/>
    <w:rsid w:val="007C1423"/>
    <w:rsid w:val="007C17D3"/>
    <w:rsid w:val="007C1FA2"/>
    <w:rsid w:val="007C2827"/>
    <w:rsid w:val="007C3A26"/>
    <w:rsid w:val="007C3F64"/>
    <w:rsid w:val="007C4032"/>
    <w:rsid w:val="007C4CE1"/>
    <w:rsid w:val="007C537A"/>
    <w:rsid w:val="007C57D1"/>
    <w:rsid w:val="007C6B3E"/>
    <w:rsid w:val="007C7130"/>
    <w:rsid w:val="007C74E5"/>
    <w:rsid w:val="007C7823"/>
    <w:rsid w:val="007C7F57"/>
    <w:rsid w:val="007D0348"/>
    <w:rsid w:val="007D092A"/>
    <w:rsid w:val="007D0CA1"/>
    <w:rsid w:val="007D0E43"/>
    <w:rsid w:val="007D0ED4"/>
    <w:rsid w:val="007D13E7"/>
    <w:rsid w:val="007D1E37"/>
    <w:rsid w:val="007D358B"/>
    <w:rsid w:val="007D385C"/>
    <w:rsid w:val="007D4624"/>
    <w:rsid w:val="007D4C31"/>
    <w:rsid w:val="007D563E"/>
    <w:rsid w:val="007D5A49"/>
    <w:rsid w:val="007D5E6D"/>
    <w:rsid w:val="007D5FC1"/>
    <w:rsid w:val="007D6EB6"/>
    <w:rsid w:val="007D715A"/>
    <w:rsid w:val="007E08DB"/>
    <w:rsid w:val="007E0B17"/>
    <w:rsid w:val="007E0D90"/>
    <w:rsid w:val="007E0E9E"/>
    <w:rsid w:val="007E12DC"/>
    <w:rsid w:val="007E1760"/>
    <w:rsid w:val="007E21FB"/>
    <w:rsid w:val="007E3B9D"/>
    <w:rsid w:val="007E3C8B"/>
    <w:rsid w:val="007E3DB3"/>
    <w:rsid w:val="007E420B"/>
    <w:rsid w:val="007E474E"/>
    <w:rsid w:val="007E4932"/>
    <w:rsid w:val="007E4CAD"/>
    <w:rsid w:val="007E502C"/>
    <w:rsid w:val="007E516A"/>
    <w:rsid w:val="007E5BD7"/>
    <w:rsid w:val="007E6761"/>
    <w:rsid w:val="007E6E5D"/>
    <w:rsid w:val="007E75F0"/>
    <w:rsid w:val="007E7968"/>
    <w:rsid w:val="007E79AC"/>
    <w:rsid w:val="007E79C4"/>
    <w:rsid w:val="007F00A2"/>
    <w:rsid w:val="007F013A"/>
    <w:rsid w:val="007F016A"/>
    <w:rsid w:val="007F0730"/>
    <w:rsid w:val="007F0ABC"/>
    <w:rsid w:val="007F1490"/>
    <w:rsid w:val="007F18B3"/>
    <w:rsid w:val="007F1D54"/>
    <w:rsid w:val="007F2078"/>
    <w:rsid w:val="007F2D90"/>
    <w:rsid w:val="007F346E"/>
    <w:rsid w:val="007F3F6F"/>
    <w:rsid w:val="007F48A9"/>
    <w:rsid w:val="007F4D4C"/>
    <w:rsid w:val="007F4E28"/>
    <w:rsid w:val="007F4F82"/>
    <w:rsid w:val="007F5A20"/>
    <w:rsid w:val="007F6D96"/>
    <w:rsid w:val="00800563"/>
    <w:rsid w:val="00801D7A"/>
    <w:rsid w:val="008020F2"/>
    <w:rsid w:val="00803F74"/>
    <w:rsid w:val="00804653"/>
    <w:rsid w:val="00804C48"/>
    <w:rsid w:val="0080505A"/>
    <w:rsid w:val="00806639"/>
    <w:rsid w:val="00806A84"/>
    <w:rsid w:val="00806F29"/>
    <w:rsid w:val="008073A4"/>
    <w:rsid w:val="008073F1"/>
    <w:rsid w:val="00807C6C"/>
    <w:rsid w:val="00807DD0"/>
    <w:rsid w:val="00810F93"/>
    <w:rsid w:val="008115ED"/>
    <w:rsid w:val="0081254B"/>
    <w:rsid w:val="0081340B"/>
    <w:rsid w:val="00815822"/>
    <w:rsid w:val="00815B93"/>
    <w:rsid w:val="00816585"/>
    <w:rsid w:val="00816C91"/>
    <w:rsid w:val="0081716E"/>
    <w:rsid w:val="0081760E"/>
    <w:rsid w:val="00817BB4"/>
    <w:rsid w:val="00817E4F"/>
    <w:rsid w:val="0082053B"/>
    <w:rsid w:val="00820F5B"/>
    <w:rsid w:val="00821021"/>
    <w:rsid w:val="008214BB"/>
    <w:rsid w:val="00821715"/>
    <w:rsid w:val="00821B58"/>
    <w:rsid w:val="00821F91"/>
    <w:rsid w:val="00822087"/>
    <w:rsid w:val="00822D4E"/>
    <w:rsid w:val="00822FBA"/>
    <w:rsid w:val="0082398C"/>
    <w:rsid w:val="00824CE7"/>
    <w:rsid w:val="00824FF1"/>
    <w:rsid w:val="00825196"/>
    <w:rsid w:val="00826F4C"/>
    <w:rsid w:val="00827772"/>
    <w:rsid w:val="00831573"/>
    <w:rsid w:val="008324C6"/>
    <w:rsid w:val="00833C51"/>
    <w:rsid w:val="00834550"/>
    <w:rsid w:val="008349A6"/>
    <w:rsid w:val="00835271"/>
    <w:rsid w:val="00835679"/>
    <w:rsid w:val="008377DA"/>
    <w:rsid w:val="008379C5"/>
    <w:rsid w:val="00840953"/>
    <w:rsid w:val="00841F21"/>
    <w:rsid w:val="00842991"/>
    <w:rsid w:val="008429B0"/>
    <w:rsid w:val="00842DC4"/>
    <w:rsid w:val="00843900"/>
    <w:rsid w:val="008442FB"/>
    <w:rsid w:val="00844565"/>
    <w:rsid w:val="00844C5B"/>
    <w:rsid w:val="00845A15"/>
    <w:rsid w:val="0084632F"/>
    <w:rsid w:val="00846924"/>
    <w:rsid w:val="00852528"/>
    <w:rsid w:val="00852EBE"/>
    <w:rsid w:val="008543F7"/>
    <w:rsid w:val="008545DC"/>
    <w:rsid w:val="00854A7E"/>
    <w:rsid w:val="00855B06"/>
    <w:rsid w:val="00855F01"/>
    <w:rsid w:val="008563CE"/>
    <w:rsid w:val="00856B95"/>
    <w:rsid w:val="00856D1A"/>
    <w:rsid w:val="00857D29"/>
    <w:rsid w:val="008608CF"/>
    <w:rsid w:val="0086161C"/>
    <w:rsid w:val="00861DB0"/>
    <w:rsid w:val="0086225C"/>
    <w:rsid w:val="008629A8"/>
    <w:rsid w:val="00863225"/>
    <w:rsid w:val="00863ADA"/>
    <w:rsid w:val="008655FD"/>
    <w:rsid w:val="00865BAA"/>
    <w:rsid w:val="00865EC9"/>
    <w:rsid w:val="008671B1"/>
    <w:rsid w:val="008671FC"/>
    <w:rsid w:val="008677CB"/>
    <w:rsid w:val="0087056E"/>
    <w:rsid w:val="00870AF2"/>
    <w:rsid w:val="00870CB6"/>
    <w:rsid w:val="00871877"/>
    <w:rsid w:val="008737AE"/>
    <w:rsid w:val="00873AB5"/>
    <w:rsid w:val="00873FEA"/>
    <w:rsid w:val="0087419B"/>
    <w:rsid w:val="008744CC"/>
    <w:rsid w:val="00874592"/>
    <w:rsid w:val="008751C1"/>
    <w:rsid w:val="00875D37"/>
    <w:rsid w:val="00876C1B"/>
    <w:rsid w:val="00876E70"/>
    <w:rsid w:val="008804E1"/>
    <w:rsid w:val="00880DFD"/>
    <w:rsid w:val="008815B6"/>
    <w:rsid w:val="008818F6"/>
    <w:rsid w:val="00881D45"/>
    <w:rsid w:val="0088398E"/>
    <w:rsid w:val="00885182"/>
    <w:rsid w:val="0088647E"/>
    <w:rsid w:val="00887E02"/>
    <w:rsid w:val="00890250"/>
    <w:rsid w:val="00890382"/>
    <w:rsid w:val="0089046A"/>
    <w:rsid w:val="00890B0A"/>
    <w:rsid w:val="00891106"/>
    <w:rsid w:val="00892833"/>
    <w:rsid w:val="008933A5"/>
    <w:rsid w:val="00893479"/>
    <w:rsid w:val="0089375D"/>
    <w:rsid w:val="008943CB"/>
    <w:rsid w:val="008946B9"/>
    <w:rsid w:val="008956DE"/>
    <w:rsid w:val="00896FCF"/>
    <w:rsid w:val="00897467"/>
    <w:rsid w:val="008A0882"/>
    <w:rsid w:val="008A10C1"/>
    <w:rsid w:val="008A114B"/>
    <w:rsid w:val="008A181A"/>
    <w:rsid w:val="008A1C47"/>
    <w:rsid w:val="008A2289"/>
    <w:rsid w:val="008A3346"/>
    <w:rsid w:val="008A3529"/>
    <w:rsid w:val="008A3766"/>
    <w:rsid w:val="008A4F66"/>
    <w:rsid w:val="008A5290"/>
    <w:rsid w:val="008A593A"/>
    <w:rsid w:val="008A69F1"/>
    <w:rsid w:val="008A6A60"/>
    <w:rsid w:val="008A6C5A"/>
    <w:rsid w:val="008A6CCA"/>
    <w:rsid w:val="008B1B8C"/>
    <w:rsid w:val="008B2C59"/>
    <w:rsid w:val="008B2DF3"/>
    <w:rsid w:val="008B376A"/>
    <w:rsid w:val="008B391C"/>
    <w:rsid w:val="008B444E"/>
    <w:rsid w:val="008B569F"/>
    <w:rsid w:val="008B6D75"/>
    <w:rsid w:val="008B7220"/>
    <w:rsid w:val="008C0669"/>
    <w:rsid w:val="008C08A5"/>
    <w:rsid w:val="008C1DD7"/>
    <w:rsid w:val="008C26FA"/>
    <w:rsid w:val="008C4566"/>
    <w:rsid w:val="008C46B6"/>
    <w:rsid w:val="008C4D40"/>
    <w:rsid w:val="008C522A"/>
    <w:rsid w:val="008C5C6A"/>
    <w:rsid w:val="008C5E71"/>
    <w:rsid w:val="008C64E3"/>
    <w:rsid w:val="008C6A8B"/>
    <w:rsid w:val="008C77F7"/>
    <w:rsid w:val="008D00EA"/>
    <w:rsid w:val="008D0D1E"/>
    <w:rsid w:val="008D1175"/>
    <w:rsid w:val="008D1627"/>
    <w:rsid w:val="008D1DA0"/>
    <w:rsid w:val="008D284E"/>
    <w:rsid w:val="008D4BB4"/>
    <w:rsid w:val="008D4ED3"/>
    <w:rsid w:val="008D54BF"/>
    <w:rsid w:val="008D56FA"/>
    <w:rsid w:val="008D5DC6"/>
    <w:rsid w:val="008D6182"/>
    <w:rsid w:val="008D6A11"/>
    <w:rsid w:val="008D7270"/>
    <w:rsid w:val="008E0D4B"/>
    <w:rsid w:val="008E1C27"/>
    <w:rsid w:val="008E1E54"/>
    <w:rsid w:val="008E2057"/>
    <w:rsid w:val="008E31EC"/>
    <w:rsid w:val="008E3C88"/>
    <w:rsid w:val="008E4313"/>
    <w:rsid w:val="008E453C"/>
    <w:rsid w:val="008E4E17"/>
    <w:rsid w:val="008E5337"/>
    <w:rsid w:val="008E610D"/>
    <w:rsid w:val="008E6E90"/>
    <w:rsid w:val="008E78F2"/>
    <w:rsid w:val="008E7B12"/>
    <w:rsid w:val="008F022C"/>
    <w:rsid w:val="008F10AC"/>
    <w:rsid w:val="008F2A60"/>
    <w:rsid w:val="008F310D"/>
    <w:rsid w:val="008F3888"/>
    <w:rsid w:val="008F3B22"/>
    <w:rsid w:val="008F43C7"/>
    <w:rsid w:val="008F4823"/>
    <w:rsid w:val="008F4958"/>
    <w:rsid w:val="008F5431"/>
    <w:rsid w:val="008F606D"/>
    <w:rsid w:val="008F7150"/>
    <w:rsid w:val="008F71CC"/>
    <w:rsid w:val="008F721C"/>
    <w:rsid w:val="008F7712"/>
    <w:rsid w:val="00900662"/>
    <w:rsid w:val="00900728"/>
    <w:rsid w:val="009017C5"/>
    <w:rsid w:val="00901953"/>
    <w:rsid w:val="00901E55"/>
    <w:rsid w:val="00902166"/>
    <w:rsid w:val="00902CD8"/>
    <w:rsid w:val="009040A1"/>
    <w:rsid w:val="0090473B"/>
    <w:rsid w:val="0090487F"/>
    <w:rsid w:val="00905282"/>
    <w:rsid w:val="00905908"/>
    <w:rsid w:val="009075A4"/>
    <w:rsid w:val="00907957"/>
    <w:rsid w:val="00907E2A"/>
    <w:rsid w:val="009101AF"/>
    <w:rsid w:val="0091104F"/>
    <w:rsid w:val="00911808"/>
    <w:rsid w:val="009145FB"/>
    <w:rsid w:val="00914B1C"/>
    <w:rsid w:val="00914ED0"/>
    <w:rsid w:val="00915786"/>
    <w:rsid w:val="00916250"/>
    <w:rsid w:val="00916BE4"/>
    <w:rsid w:val="0091746C"/>
    <w:rsid w:val="009179C2"/>
    <w:rsid w:val="00917D06"/>
    <w:rsid w:val="009207DB"/>
    <w:rsid w:val="00920BD8"/>
    <w:rsid w:val="0092107A"/>
    <w:rsid w:val="00921FD8"/>
    <w:rsid w:val="00922024"/>
    <w:rsid w:val="00924853"/>
    <w:rsid w:val="009252E0"/>
    <w:rsid w:val="00925501"/>
    <w:rsid w:val="00926352"/>
    <w:rsid w:val="009265B2"/>
    <w:rsid w:val="00926982"/>
    <w:rsid w:val="00926D4C"/>
    <w:rsid w:val="009270C4"/>
    <w:rsid w:val="009314A6"/>
    <w:rsid w:val="00931D46"/>
    <w:rsid w:val="009325F7"/>
    <w:rsid w:val="00932AA5"/>
    <w:rsid w:val="00932BCF"/>
    <w:rsid w:val="00933396"/>
    <w:rsid w:val="0093471A"/>
    <w:rsid w:val="00934D73"/>
    <w:rsid w:val="00935042"/>
    <w:rsid w:val="0093740F"/>
    <w:rsid w:val="00937B4A"/>
    <w:rsid w:val="00937BE9"/>
    <w:rsid w:val="00937C1D"/>
    <w:rsid w:val="00940804"/>
    <w:rsid w:val="00940E9B"/>
    <w:rsid w:val="00940FC3"/>
    <w:rsid w:val="009410B3"/>
    <w:rsid w:val="0094131D"/>
    <w:rsid w:val="0094166C"/>
    <w:rsid w:val="00942120"/>
    <w:rsid w:val="0094245E"/>
    <w:rsid w:val="009425F7"/>
    <w:rsid w:val="0094303A"/>
    <w:rsid w:val="0094336D"/>
    <w:rsid w:val="00943BC0"/>
    <w:rsid w:val="00944BF0"/>
    <w:rsid w:val="009459DB"/>
    <w:rsid w:val="00946136"/>
    <w:rsid w:val="00946644"/>
    <w:rsid w:val="00946CD9"/>
    <w:rsid w:val="00947046"/>
    <w:rsid w:val="009505F4"/>
    <w:rsid w:val="00951216"/>
    <w:rsid w:val="0095279B"/>
    <w:rsid w:val="00952CFC"/>
    <w:rsid w:val="00954282"/>
    <w:rsid w:val="00954427"/>
    <w:rsid w:val="009564ED"/>
    <w:rsid w:val="00956CA2"/>
    <w:rsid w:val="0096079B"/>
    <w:rsid w:val="00961892"/>
    <w:rsid w:val="0096218D"/>
    <w:rsid w:val="00962832"/>
    <w:rsid w:val="00964509"/>
    <w:rsid w:val="00964D7B"/>
    <w:rsid w:val="0096501B"/>
    <w:rsid w:val="009653E0"/>
    <w:rsid w:val="00966567"/>
    <w:rsid w:val="0096662B"/>
    <w:rsid w:val="009666AF"/>
    <w:rsid w:val="00967180"/>
    <w:rsid w:val="0096797D"/>
    <w:rsid w:val="00970362"/>
    <w:rsid w:val="00970704"/>
    <w:rsid w:val="0097090E"/>
    <w:rsid w:val="00970B65"/>
    <w:rsid w:val="00971127"/>
    <w:rsid w:val="0097119E"/>
    <w:rsid w:val="009726DD"/>
    <w:rsid w:val="009734B8"/>
    <w:rsid w:val="00973514"/>
    <w:rsid w:val="009741E7"/>
    <w:rsid w:val="00974599"/>
    <w:rsid w:val="00975152"/>
    <w:rsid w:val="00975C75"/>
    <w:rsid w:val="00977506"/>
    <w:rsid w:val="0098177A"/>
    <w:rsid w:val="009822C0"/>
    <w:rsid w:val="00982C3C"/>
    <w:rsid w:val="009834F4"/>
    <w:rsid w:val="00983583"/>
    <w:rsid w:val="00983EFD"/>
    <w:rsid w:val="009841A0"/>
    <w:rsid w:val="009855B0"/>
    <w:rsid w:val="009858BD"/>
    <w:rsid w:val="009859A8"/>
    <w:rsid w:val="00985CB7"/>
    <w:rsid w:val="00986257"/>
    <w:rsid w:val="0098658A"/>
    <w:rsid w:val="00986861"/>
    <w:rsid w:val="00987CBC"/>
    <w:rsid w:val="00991EB0"/>
    <w:rsid w:val="0099212B"/>
    <w:rsid w:val="0099245F"/>
    <w:rsid w:val="00993410"/>
    <w:rsid w:val="00993B69"/>
    <w:rsid w:val="00995768"/>
    <w:rsid w:val="00995837"/>
    <w:rsid w:val="00996326"/>
    <w:rsid w:val="00996714"/>
    <w:rsid w:val="00996F95"/>
    <w:rsid w:val="00997451"/>
    <w:rsid w:val="00997DDD"/>
    <w:rsid w:val="00997EA5"/>
    <w:rsid w:val="009A07D5"/>
    <w:rsid w:val="009A170D"/>
    <w:rsid w:val="009A1FE7"/>
    <w:rsid w:val="009A2967"/>
    <w:rsid w:val="009A36B7"/>
    <w:rsid w:val="009A3720"/>
    <w:rsid w:val="009A3990"/>
    <w:rsid w:val="009A3EB6"/>
    <w:rsid w:val="009A42CF"/>
    <w:rsid w:val="009A44E8"/>
    <w:rsid w:val="009A4613"/>
    <w:rsid w:val="009A581E"/>
    <w:rsid w:val="009B1989"/>
    <w:rsid w:val="009B1DA5"/>
    <w:rsid w:val="009B1E1D"/>
    <w:rsid w:val="009B1E39"/>
    <w:rsid w:val="009B2567"/>
    <w:rsid w:val="009B28FD"/>
    <w:rsid w:val="009B2AD6"/>
    <w:rsid w:val="009B3172"/>
    <w:rsid w:val="009B31EB"/>
    <w:rsid w:val="009B461D"/>
    <w:rsid w:val="009B5594"/>
    <w:rsid w:val="009B59ED"/>
    <w:rsid w:val="009B6405"/>
    <w:rsid w:val="009B729E"/>
    <w:rsid w:val="009B7498"/>
    <w:rsid w:val="009B785C"/>
    <w:rsid w:val="009C06AD"/>
    <w:rsid w:val="009C264B"/>
    <w:rsid w:val="009C34F1"/>
    <w:rsid w:val="009C3B80"/>
    <w:rsid w:val="009C3D84"/>
    <w:rsid w:val="009C48C6"/>
    <w:rsid w:val="009C5565"/>
    <w:rsid w:val="009C5D76"/>
    <w:rsid w:val="009C5DFB"/>
    <w:rsid w:val="009C5FDE"/>
    <w:rsid w:val="009C63B8"/>
    <w:rsid w:val="009C69B3"/>
    <w:rsid w:val="009C7B1D"/>
    <w:rsid w:val="009C7E7B"/>
    <w:rsid w:val="009C7F10"/>
    <w:rsid w:val="009C7FF8"/>
    <w:rsid w:val="009D03F1"/>
    <w:rsid w:val="009D0921"/>
    <w:rsid w:val="009D0EEE"/>
    <w:rsid w:val="009D101B"/>
    <w:rsid w:val="009D118E"/>
    <w:rsid w:val="009D1CF4"/>
    <w:rsid w:val="009D1E4E"/>
    <w:rsid w:val="009D380F"/>
    <w:rsid w:val="009D3997"/>
    <w:rsid w:val="009D57A7"/>
    <w:rsid w:val="009D605C"/>
    <w:rsid w:val="009D65EE"/>
    <w:rsid w:val="009D707F"/>
    <w:rsid w:val="009E0525"/>
    <w:rsid w:val="009E0C53"/>
    <w:rsid w:val="009E1D1C"/>
    <w:rsid w:val="009E20A6"/>
    <w:rsid w:val="009E233F"/>
    <w:rsid w:val="009E323A"/>
    <w:rsid w:val="009E328B"/>
    <w:rsid w:val="009E459B"/>
    <w:rsid w:val="009E67C1"/>
    <w:rsid w:val="009E67C3"/>
    <w:rsid w:val="009E6ACC"/>
    <w:rsid w:val="009E6DD0"/>
    <w:rsid w:val="009E6DEE"/>
    <w:rsid w:val="009E700C"/>
    <w:rsid w:val="009F05E4"/>
    <w:rsid w:val="009F082A"/>
    <w:rsid w:val="009F0BD9"/>
    <w:rsid w:val="009F0E6D"/>
    <w:rsid w:val="009F12B4"/>
    <w:rsid w:val="009F1F30"/>
    <w:rsid w:val="009F28E6"/>
    <w:rsid w:val="009F2E7B"/>
    <w:rsid w:val="009F33FA"/>
    <w:rsid w:val="009F347C"/>
    <w:rsid w:val="009F4301"/>
    <w:rsid w:val="009F54D7"/>
    <w:rsid w:val="009F557F"/>
    <w:rsid w:val="009F6619"/>
    <w:rsid w:val="009F68FF"/>
    <w:rsid w:val="00A00E77"/>
    <w:rsid w:val="00A01A4C"/>
    <w:rsid w:val="00A01C1F"/>
    <w:rsid w:val="00A01C98"/>
    <w:rsid w:val="00A020F7"/>
    <w:rsid w:val="00A03C2C"/>
    <w:rsid w:val="00A054CB"/>
    <w:rsid w:val="00A05979"/>
    <w:rsid w:val="00A05E8F"/>
    <w:rsid w:val="00A05FEA"/>
    <w:rsid w:val="00A06A54"/>
    <w:rsid w:val="00A06B90"/>
    <w:rsid w:val="00A10423"/>
    <w:rsid w:val="00A10A6F"/>
    <w:rsid w:val="00A11126"/>
    <w:rsid w:val="00A115B1"/>
    <w:rsid w:val="00A118B4"/>
    <w:rsid w:val="00A129C6"/>
    <w:rsid w:val="00A14BDD"/>
    <w:rsid w:val="00A14EF8"/>
    <w:rsid w:val="00A15A52"/>
    <w:rsid w:val="00A1706F"/>
    <w:rsid w:val="00A1721D"/>
    <w:rsid w:val="00A173F8"/>
    <w:rsid w:val="00A210DB"/>
    <w:rsid w:val="00A21667"/>
    <w:rsid w:val="00A21C7B"/>
    <w:rsid w:val="00A220FB"/>
    <w:rsid w:val="00A223A5"/>
    <w:rsid w:val="00A23437"/>
    <w:rsid w:val="00A24A39"/>
    <w:rsid w:val="00A24BC5"/>
    <w:rsid w:val="00A2504C"/>
    <w:rsid w:val="00A253D5"/>
    <w:rsid w:val="00A25AA1"/>
    <w:rsid w:val="00A25DC9"/>
    <w:rsid w:val="00A266EC"/>
    <w:rsid w:val="00A26E5D"/>
    <w:rsid w:val="00A276A6"/>
    <w:rsid w:val="00A276FF"/>
    <w:rsid w:val="00A30C82"/>
    <w:rsid w:val="00A316CA"/>
    <w:rsid w:val="00A31A01"/>
    <w:rsid w:val="00A32211"/>
    <w:rsid w:val="00A338FB"/>
    <w:rsid w:val="00A33DEE"/>
    <w:rsid w:val="00A33FDC"/>
    <w:rsid w:val="00A34114"/>
    <w:rsid w:val="00A34C81"/>
    <w:rsid w:val="00A34E19"/>
    <w:rsid w:val="00A35448"/>
    <w:rsid w:val="00A35C90"/>
    <w:rsid w:val="00A362F9"/>
    <w:rsid w:val="00A36AE6"/>
    <w:rsid w:val="00A36F35"/>
    <w:rsid w:val="00A373CC"/>
    <w:rsid w:val="00A3760C"/>
    <w:rsid w:val="00A37704"/>
    <w:rsid w:val="00A37E59"/>
    <w:rsid w:val="00A40108"/>
    <w:rsid w:val="00A40A49"/>
    <w:rsid w:val="00A40D0C"/>
    <w:rsid w:val="00A41302"/>
    <w:rsid w:val="00A41C59"/>
    <w:rsid w:val="00A4291F"/>
    <w:rsid w:val="00A431B6"/>
    <w:rsid w:val="00A4350C"/>
    <w:rsid w:val="00A43644"/>
    <w:rsid w:val="00A4383B"/>
    <w:rsid w:val="00A44BB6"/>
    <w:rsid w:val="00A45734"/>
    <w:rsid w:val="00A45B90"/>
    <w:rsid w:val="00A462F7"/>
    <w:rsid w:val="00A46659"/>
    <w:rsid w:val="00A46F1A"/>
    <w:rsid w:val="00A47029"/>
    <w:rsid w:val="00A477C3"/>
    <w:rsid w:val="00A50299"/>
    <w:rsid w:val="00A5067A"/>
    <w:rsid w:val="00A533D5"/>
    <w:rsid w:val="00A5344D"/>
    <w:rsid w:val="00A5347B"/>
    <w:rsid w:val="00A54DE7"/>
    <w:rsid w:val="00A5510E"/>
    <w:rsid w:val="00A559F4"/>
    <w:rsid w:val="00A56547"/>
    <w:rsid w:val="00A57079"/>
    <w:rsid w:val="00A570E0"/>
    <w:rsid w:val="00A57F25"/>
    <w:rsid w:val="00A606A0"/>
    <w:rsid w:val="00A60A60"/>
    <w:rsid w:val="00A61263"/>
    <w:rsid w:val="00A614AD"/>
    <w:rsid w:val="00A61886"/>
    <w:rsid w:val="00A61E92"/>
    <w:rsid w:val="00A6296A"/>
    <w:rsid w:val="00A632CB"/>
    <w:rsid w:val="00A63D89"/>
    <w:rsid w:val="00A650F1"/>
    <w:rsid w:val="00A6526E"/>
    <w:rsid w:val="00A655AC"/>
    <w:rsid w:val="00A65DA4"/>
    <w:rsid w:val="00A66E04"/>
    <w:rsid w:val="00A67194"/>
    <w:rsid w:val="00A671B3"/>
    <w:rsid w:val="00A7040E"/>
    <w:rsid w:val="00A722EA"/>
    <w:rsid w:val="00A725AF"/>
    <w:rsid w:val="00A72686"/>
    <w:rsid w:val="00A72764"/>
    <w:rsid w:val="00A734F2"/>
    <w:rsid w:val="00A73DEE"/>
    <w:rsid w:val="00A74678"/>
    <w:rsid w:val="00A74FAD"/>
    <w:rsid w:val="00A75AEA"/>
    <w:rsid w:val="00A76063"/>
    <w:rsid w:val="00A767EB"/>
    <w:rsid w:val="00A771BF"/>
    <w:rsid w:val="00A77299"/>
    <w:rsid w:val="00A7744E"/>
    <w:rsid w:val="00A803C1"/>
    <w:rsid w:val="00A80A09"/>
    <w:rsid w:val="00A815B6"/>
    <w:rsid w:val="00A81953"/>
    <w:rsid w:val="00A81BBB"/>
    <w:rsid w:val="00A81BFD"/>
    <w:rsid w:val="00A827C9"/>
    <w:rsid w:val="00A82A03"/>
    <w:rsid w:val="00A83911"/>
    <w:rsid w:val="00A841F4"/>
    <w:rsid w:val="00A859F0"/>
    <w:rsid w:val="00A85B31"/>
    <w:rsid w:val="00A861F3"/>
    <w:rsid w:val="00A86B02"/>
    <w:rsid w:val="00A86C48"/>
    <w:rsid w:val="00A90065"/>
    <w:rsid w:val="00A902FB"/>
    <w:rsid w:val="00A90DB1"/>
    <w:rsid w:val="00A9147B"/>
    <w:rsid w:val="00A91BA8"/>
    <w:rsid w:val="00A91C6A"/>
    <w:rsid w:val="00A91EF1"/>
    <w:rsid w:val="00A91EF2"/>
    <w:rsid w:val="00A92509"/>
    <w:rsid w:val="00A92780"/>
    <w:rsid w:val="00A92C68"/>
    <w:rsid w:val="00A9325C"/>
    <w:rsid w:val="00A93419"/>
    <w:rsid w:val="00A93680"/>
    <w:rsid w:val="00A93999"/>
    <w:rsid w:val="00A9430B"/>
    <w:rsid w:val="00A94483"/>
    <w:rsid w:val="00A959CA"/>
    <w:rsid w:val="00A95FC0"/>
    <w:rsid w:val="00A961B6"/>
    <w:rsid w:val="00A96B12"/>
    <w:rsid w:val="00A96FC6"/>
    <w:rsid w:val="00A97A16"/>
    <w:rsid w:val="00A97B61"/>
    <w:rsid w:val="00A97C2E"/>
    <w:rsid w:val="00A97CE3"/>
    <w:rsid w:val="00A97E0C"/>
    <w:rsid w:val="00AA00F7"/>
    <w:rsid w:val="00AA01DA"/>
    <w:rsid w:val="00AA0F2F"/>
    <w:rsid w:val="00AA11BA"/>
    <w:rsid w:val="00AA128C"/>
    <w:rsid w:val="00AA2D62"/>
    <w:rsid w:val="00AA2E2C"/>
    <w:rsid w:val="00AA2E90"/>
    <w:rsid w:val="00AA3077"/>
    <w:rsid w:val="00AA375B"/>
    <w:rsid w:val="00AA38AF"/>
    <w:rsid w:val="00AA450C"/>
    <w:rsid w:val="00AA4B62"/>
    <w:rsid w:val="00AA4D5B"/>
    <w:rsid w:val="00AA5EB3"/>
    <w:rsid w:val="00AA62B1"/>
    <w:rsid w:val="00AA6916"/>
    <w:rsid w:val="00AA6CB3"/>
    <w:rsid w:val="00AA79EF"/>
    <w:rsid w:val="00AA7E89"/>
    <w:rsid w:val="00AB110E"/>
    <w:rsid w:val="00AB11CF"/>
    <w:rsid w:val="00AB1287"/>
    <w:rsid w:val="00AB1CE8"/>
    <w:rsid w:val="00AB2D8B"/>
    <w:rsid w:val="00AB3307"/>
    <w:rsid w:val="00AB4E71"/>
    <w:rsid w:val="00AB4F72"/>
    <w:rsid w:val="00AB5190"/>
    <w:rsid w:val="00AB5513"/>
    <w:rsid w:val="00AB6DFC"/>
    <w:rsid w:val="00AB7354"/>
    <w:rsid w:val="00AB7C46"/>
    <w:rsid w:val="00AC317E"/>
    <w:rsid w:val="00AC3637"/>
    <w:rsid w:val="00AC3D4F"/>
    <w:rsid w:val="00AC3DB7"/>
    <w:rsid w:val="00AC4699"/>
    <w:rsid w:val="00AC4A30"/>
    <w:rsid w:val="00AC59DF"/>
    <w:rsid w:val="00AC72C7"/>
    <w:rsid w:val="00AC7899"/>
    <w:rsid w:val="00AD0617"/>
    <w:rsid w:val="00AD0D92"/>
    <w:rsid w:val="00AD13D6"/>
    <w:rsid w:val="00AD4087"/>
    <w:rsid w:val="00AD6A21"/>
    <w:rsid w:val="00AD6BE0"/>
    <w:rsid w:val="00AD6C14"/>
    <w:rsid w:val="00AD752F"/>
    <w:rsid w:val="00AD78AB"/>
    <w:rsid w:val="00AE0C8D"/>
    <w:rsid w:val="00AE0E2A"/>
    <w:rsid w:val="00AE1411"/>
    <w:rsid w:val="00AE2330"/>
    <w:rsid w:val="00AE45BF"/>
    <w:rsid w:val="00AE51FC"/>
    <w:rsid w:val="00AE55BC"/>
    <w:rsid w:val="00AE5BFC"/>
    <w:rsid w:val="00AE5E51"/>
    <w:rsid w:val="00AE62E7"/>
    <w:rsid w:val="00AE686D"/>
    <w:rsid w:val="00AE6B27"/>
    <w:rsid w:val="00AE6C42"/>
    <w:rsid w:val="00AF0289"/>
    <w:rsid w:val="00AF0DC0"/>
    <w:rsid w:val="00AF0F96"/>
    <w:rsid w:val="00AF21D7"/>
    <w:rsid w:val="00AF28EB"/>
    <w:rsid w:val="00AF2961"/>
    <w:rsid w:val="00AF31BA"/>
    <w:rsid w:val="00AF36B6"/>
    <w:rsid w:val="00AF4803"/>
    <w:rsid w:val="00AF4847"/>
    <w:rsid w:val="00AF4D10"/>
    <w:rsid w:val="00AF58CB"/>
    <w:rsid w:val="00AF726F"/>
    <w:rsid w:val="00B00506"/>
    <w:rsid w:val="00B00ED5"/>
    <w:rsid w:val="00B020A3"/>
    <w:rsid w:val="00B02315"/>
    <w:rsid w:val="00B0272F"/>
    <w:rsid w:val="00B02B21"/>
    <w:rsid w:val="00B02BF0"/>
    <w:rsid w:val="00B034DD"/>
    <w:rsid w:val="00B034FF"/>
    <w:rsid w:val="00B03AB4"/>
    <w:rsid w:val="00B05B91"/>
    <w:rsid w:val="00B06ED4"/>
    <w:rsid w:val="00B07639"/>
    <w:rsid w:val="00B077CC"/>
    <w:rsid w:val="00B079B3"/>
    <w:rsid w:val="00B07A28"/>
    <w:rsid w:val="00B12A7A"/>
    <w:rsid w:val="00B13397"/>
    <w:rsid w:val="00B1400D"/>
    <w:rsid w:val="00B147C9"/>
    <w:rsid w:val="00B14880"/>
    <w:rsid w:val="00B1531E"/>
    <w:rsid w:val="00B15BB2"/>
    <w:rsid w:val="00B15C46"/>
    <w:rsid w:val="00B166D7"/>
    <w:rsid w:val="00B16EBE"/>
    <w:rsid w:val="00B21085"/>
    <w:rsid w:val="00B21D0E"/>
    <w:rsid w:val="00B22C57"/>
    <w:rsid w:val="00B23C76"/>
    <w:rsid w:val="00B23EEE"/>
    <w:rsid w:val="00B25FC8"/>
    <w:rsid w:val="00B26C04"/>
    <w:rsid w:val="00B27298"/>
    <w:rsid w:val="00B27384"/>
    <w:rsid w:val="00B276E4"/>
    <w:rsid w:val="00B27A6D"/>
    <w:rsid w:val="00B309F9"/>
    <w:rsid w:val="00B30DAD"/>
    <w:rsid w:val="00B31782"/>
    <w:rsid w:val="00B332D7"/>
    <w:rsid w:val="00B347F6"/>
    <w:rsid w:val="00B34940"/>
    <w:rsid w:val="00B36928"/>
    <w:rsid w:val="00B37293"/>
    <w:rsid w:val="00B4076A"/>
    <w:rsid w:val="00B40C50"/>
    <w:rsid w:val="00B413EB"/>
    <w:rsid w:val="00B4224A"/>
    <w:rsid w:val="00B42C20"/>
    <w:rsid w:val="00B433FF"/>
    <w:rsid w:val="00B43AD9"/>
    <w:rsid w:val="00B43BE2"/>
    <w:rsid w:val="00B443D5"/>
    <w:rsid w:val="00B44482"/>
    <w:rsid w:val="00B450D9"/>
    <w:rsid w:val="00B465AF"/>
    <w:rsid w:val="00B46FF2"/>
    <w:rsid w:val="00B50AB8"/>
    <w:rsid w:val="00B539EB"/>
    <w:rsid w:val="00B53CB7"/>
    <w:rsid w:val="00B547E9"/>
    <w:rsid w:val="00B54B76"/>
    <w:rsid w:val="00B55ECC"/>
    <w:rsid w:val="00B560E5"/>
    <w:rsid w:val="00B576E1"/>
    <w:rsid w:val="00B6088D"/>
    <w:rsid w:val="00B608F1"/>
    <w:rsid w:val="00B60D5D"/>
    <w:rsid w:val="00B60F79"/>
    <w:rsid w:val="00B61EFF"/>
    <w:rsid w:val="00B61FFB"/>
    <w:rsid w:val="00B6252C"/>
    <w:rsid w:val="00B62CBE"/>
    <w:rsid w:val="00B62EFD"/>
    <w:rsid w:val="00B63999"/>
    <w:rsid w:val="00B63B4A"/>
    <w:rsid w:val="00B64F8D"/>
    <w:rsid w:val="00B6533C"/>
    <w:rsid w:val="00B6731A"/>
    <w:rsid w:val="00B673CA"/>
    <w:rsid w:val="00B6763D"/>
    <w:rsid w:val="00B705BF"/>
    <w:rsid w:val="00B70903"/>
    <w:rsid w:val="00B7108D"/>
    <w:rsid w:val="00B7117A"/>
    <w:rsid w:val="00B7126A"/>
    <w:rsid w:val="00B712B0"/>
    <w:rsid w:val="00B713F0"/>
    <w:rsid w:val="00B71CCD"/>
    <w:rsid w:val="00B72053"/>
    <w:rsid w:val="00B7245A"/>
    <w:rsid w:val="00B7269D"/>
    <w:rsid w:val="00B74530"/>
    <w:rsid w:val="00B74E4D"/>
    <w:rsid w:val="00B75D3F"/>
    <w:rsid w:val="00B75D4C"/>
    <w:rsid w:val="00B76494"/>
    <w:rsid w:val="00B765D6"/>
    <w:rsid w:val="00B76F2C"/>
    <w:rsid w:val="00B77723"/>
    <w:rsid w:val="00B77863"/>
    <w:rsid w:val="00B801AC"/>
    <w:rsid w:val="00B80789"/>
    <w:rsid w:val="00B815D3"/>
    <w:rsid w:val="00B8270D"/>
    <w:rsid w:val="00B82B33"/>
    <w:rsid w:val="00B83014"/>
    <w:rsid w:val="00B8384C"/>
    <w:rsid w:val="00B843A1"/>
    <w:rsid w:val="00B854BE"/>
    <w:rsid w:val="00B85704"/>
    <w:rsid w:val="00B865D5"/>
    <w:rsid w:val="00B868D6"/>
    <w:rsid w:val="00B86D0A"/>
    <w:rsid w:val="00B8748B"/>
    <w:rsid w:val="00B87B3F"/>
    <w:rsid w:val="00B90864"/>
    <w:rsid w:val="00B91818"/>
    <w:rsid w:val="00B922D6"/>
    <w:rsid w:val="00B937C9"/>
    <w:rsid w:val="00B93E18"/>
    <w:rsid w:val="00B93E2C"/>
    <w:rsid w:val="00B94BE5"/>
    <w:rsid w:val="00B956D6"/>
    <w:rsid w:val="00B96069"/>
    <w:rsid w:val="00BA07EB"/>
    <w:rsid w:val="00BA0A76"/>
    <w:rsid w:val="00BA0C0C"/>
    <w:rsid w:val="00BA11A9"/>
    <w:rsid w:val="00BA22D5"/>
    <w:rsid w:val="00BA30C2"/>
    <w:rsid w:val="00BA31C6"/>
    <w:rsid w:val="00BA3896"/>
    <w:rsid w:val="00BA3FA0"/>
    <w:rsid w:val="00BA4B0A"/>
    <w:rsid w:val="00BA4E23"/>
    <w:rsid w:val="00BA5FC3"/>
    <w:rsid w:val="00BA699B"/>
    <w:rsid w:val="00BA76AB"/>
    <w:rsid w:val="00BB0225"/>
    <w:rsid w:val="00BB0423"/>
    <w:rsid w:val="00BB1D73"/>
    <w:rsid w:val="00BB2CE4"/>
    <w:rsid w:val="00BB3A53"/>
    <w:rsid w:val="00BB42D2"/>
    <w:rsid w:val="00BB6ECF"/>
    <w:rsid w:val="00BB74B3"/>
    <w:rsid w:val="00BB777A"/>
    <w:rsid w:val="00BC01C0"/>
    <w:rsid w:val="00BC06FE"/>
    <w:rsid w:val="00BC1765"/>
    <w:rsid w:val="00BC1FD6"/>
    <w:rsid w:val="00BC25D7"/>
    <w:rsid w:val="00BC2B44"/>
    <w:rsid w:val="00BC320C"/>
    <w:rsid w:val="00BC3AAC"/>
    <w:rsid w:val="00BC416A"/>
    <w:rsid w:val="00BC4883"/>
    <w:rsid w:val="00BC5454"/>
    <w:rsid w:val="00BC5C82"/>
    <w:rsid w:val="00BC5F7F"/>
    <w:rsid w:val="00BC6ED6"/>
    <w:rsid w:val="00BC74EE"/>
    <w:rsid w:val="00BC777E"/>
    <w:rsid w:val="00BC7851"/>
    <w:rsid w:val="00BC7C1A"/>
    <w:rsid w:val="00BC7DFA"/>
    <w:rsid w:val="00BD219A"/>
    <w:rsid w:val="00BD2C42"/>
    <w:rsid w:val="00BD2EF9"/>
    <w:rsid w:val="00BD2F1D"/>
    <w:rsid w:val="00BD3997"/>
    <w:rsid w:val="00BD4CD3"/>
    <w:rsid w:val="00BD5D7E"/>
    <w:rsid w:val="00BD633B"/>
    <w:rsid w:val="00BD6EF9"/>
    <w:rsid w:val="00BD754C"/>
    <w:rsid w:val="00BD78C6"/>
    <w:rsid w:val="00BE01E1"/>
    <w:rsid w:val="00BE0B17"/>
    <w:rsid w:val="00BE1308"/>
    <w:rsid w:val="00BE14BF"/>
    <w:rsid w:val="00BE15DA"/>
    <w:rsid w:val="00BE19AD"/>
    <w:rsid w:val="00BE33B9"/>
    <w:rsid w:val="00BE369C"/>
    <w:rsid w:val="00BE3E84"/>
    <w:rsid w:val="00BE468E"/>
    <w:rsid w:val="00BE4FBC"/>
    <w:rsid w:val="00BE5B7C"/>
    <w:rsid w:val="00BE72FD"/>
    <w:rsid w:val="00BE733C"/>
    <w:rsid w:val="00BE73D4"/>
    <w:rsid w:val="00BE7AF2"/>
    <w:rsid w:val="00BF0EA2"/>
    <w:rsid w:val="00BF1B1F"/>
    <w:rsid w:val="00BF1EF8"/>
    <w:rsid w:val="00BF25A9"/>
    <w:rsid w:val="00BF2DE5"/>
    <w:rsid w:val="00BF4132"/>
    <w:rsid w:val="00BF4C49"/>
    <w:rsid w:val="00BF4D1A"/>
    <w:rsid w:val="00BF5168"/>
    <w:rsid w:val="00BF5A5B"/>
    <w:rsid w:val="00BF6338"/>
    <w:rsid w:val="00BF6C4B"/>
    <w:rsid w:val="00BF6D56"/>
    <w:rsid w:val="00BF71A4"/>
    <w:rsid w:val="00BF7866"/>
    <w:rsid w:val="00C00D03"/>
    <w:rsid w:val="00C00D9C"/>
    <w:rsid w:val="00C01DFC"/>
    <w:rsid w:val="00C0270E"/>
    <w:rsid w:val="00C0282B"/>
    <w:rsid w:val="00C047A4"/>
    <w:rsid w:val="00C05013"/>
    <w:rsid w:val="00C056F4"/>
    <w:rsid w:val="00C067E0"/>
    <w:rsid w:val="00C0773D"/>
    <w:rsid w:val="00C07AF1"/>
    <w:rsid w:val="00C07F7C"/>
    <w:rsid w:val="00C1025D"/>
    <w:rsid w:val="00C11733"/>
    <w:rsid w:val="00C125B1"/>
    <w:rsid w:val="00C12CC1"/>
    <w:rsid w:val="00C12D93"/>
    <w:rsid w:val="00C12EE2"/>
    <w:rsid w:val="00C139DE"/>
    <w:rsid w:val="00C13B55"/>
    <w:rsid w:val="00C13CB8"/>
    <w:rsid w:val="00C14152"/>
    <w:rsid w:val="00C14EED"/>
    <w:rsid w:val="00C151CE"/>
    <w:rsid w:val="00C15BBB"/>
    <w:rsid w:val="00C17201"/>
    <w:rsid w:val="00C17487"/>
    <w:rsid w:val="00C205A4"/>
    <w:rsid w:val="00C208A7"/>
    <w:rsid w:val="00C2092E"/>
    <w:rsid w:val="00C20F37"/>
    <w:rsid w:val="00C213FD"/>
    <w:rsid w:val="00C21C42"/>
    <w:rsid w:val="00C23520"/>
    <w:rsid w:val="00C243D8"/>
    <w:rsid w:val="00C24AE3"/>
    <w:rsid w:val="00C25082"/>
    <w:rsid w:val="00C2570A"/>
    <w:rsid w:val="00C261DE"/>
    <w:rsid w:val="00C265D4"/>
    <w:rsid w:val="00C26859"/>
    <w:rsid w:val="00C26DC6"/>
    <w:rsid w:val="00C27447"/>
    <w:rsid w:val="00C275FC"/>
    <w:rsid w:val="00C27ADE"/>
    <w:rsid w:val="00C30615"/>
    <w:rsid w:val="00C30715"/>
    <w:rsid w:val="00C30D84"/>
    <w:rsid w:val="00C3131B"/>
    <w:rsid w:val="00C317A7"/>
    <w:rsid w:val="00C31BDF"/>
    <w:rsid w:val="00C321CD"/>
    <w:rsid w:val="00C33614"/>
    <w:rsid w:val="00C33AEC"/>
    <w:rsid w:val="00C34FA1"/>
    <w:rsid w:val="00C351F9"/>
    <w:rsid w:val="00C35BB1"/>
    <w:rsid w:val="00C35C8E"/>
    <w:rsid w:val="00C3691B"/>
    <w:rsid w:val="00C36B1D"/>
    <w:rsid w:val="00C3742C"/>
    <w:rsid w:val="00C410D2"/>
    <w:rsid w:val="00C41363"/>
    <w:rsid w:val="00C42A78"/>
    <w:rsid w:val="00C437D6"/>
    <w:rsid w:val="00C43C85"/>
    <w:rsid w:val="00C45DAE"/>
    <w:rsid w:val="00C4601D"/>
    <w:rsid w:val="00C509D2"/>
    <w:rsid w:val="00C5115B"/>
    <w:rsid w:val="00C51CCA"/>
    <w:rsid w:val="00C52718"/>
    <w:rsid w:val="00C53131"/>
    <w:rsid w:val="00C54473"/>
    <w:rsid w:val="00C552D3"/>
    <w:rsid w:val="00C55945"/>
    <w:rsid w:val="00C55D94"/>
    <w:rsid w:val="00C55DCB"/>
    <w:rsid w:val="00C55FBB"/>
    <w:rsid w:val="00C56C35"/>
    <w:rsid w:val="00C56DC4"/>
    <w:rsid w:val="00C57582"/>
    <w:rsid w:val="00C608EF"/>
    <w:rsid w:val="00C612BB"/>
    <w:rsid w:val="00C612BF"/>
    <w:rsid w:val="00C61338"/>
    <w:rsid w:val="00C6207E"/>
    <w:rsid w:val="00C62848"/>
    <w:rsid w:val="00C6324D"/>
    <w:rsid w:val="00C6350E"/>
    <w:rsid w:val="00C637A7"/>
    <w:rsid w:val="00C64FAE"/>
    <w:rsid w:val="00C64FD6"/>
    <w:rsid w:val="00C66344"/>
    <w:rsid w:val="00C66EDC"/>
    <w:rsid w:val="00C674F7"/>
    <w:rsid w:val="00C67C0F"/>
    <w:rsid w:val="00C67D05"/>
    <w:rsid w:val="00C7020A"/>
    <w:rsid w:val="00C70C70"/>
    <w:rsid w:val="00C71148"/>
    <w:rsid w:val="00C714EE"/>
    <w:rsid w:val="00C731E1"/>
    <w:rsid w:val="00C73259"/>
    <w:rsid w:val="00C74021"/>
    <w:rsid w:val="00C745D7"/>
    <w:rsid w:val="00C768B7"/>
    <w:rsid w:val="00C7702A"/>
    <w:rsid w:val="00C773C8"/>
    <w:rsid w:val="00C776E6"/>
    <w:rsid w:val="00C80A25"/>
    <w:rsid w:val="00C80E5E"/>
    <w:rsid w:val="00C82930"/>
    <w:rsid w:val="00C82C9E"/>
    <w:rsid w:val="00C83471"/>
    <w:rsid w:val="00C83538"/>
    <w:rsid w:val="00C841BF"/>
    <w:rsid w:val="00C84695"/>
    <w:rsid w:val="00C8531E"/>
    <w:rsid w:val="00C85560"/>
    <w:rsid w:val="00C85A50"/>
    <w:rsid w:val="00C85B6C"/>
    <w:rsid w:val="00C85ECE"/>
    <w:rsid w:val="00C86870"/>
    <w:rsid w:val="00C86BFE"/>
    <w:rsid w:val="00C86D8A"/>
    <w:rsid w:val="00C86FF3"/>
    <w:rsid w:val="00C87E2F"/>
    <w:rsid w:val="00C900B0"/>
    <w:rsid w:val="00C9080B"/>
    <w:rsid w:val="00C90EA7"/>
    <w:rsid w:val="00C90EF9"/>
    <w:rsid w:val="00C9146C"/>
    <w:rsid w:val="00C92931"/>
    <w:rsid w:val="00C92949"/>
    <w:rsid w:val="00C9312F"/>
    <w:rsid w:val="00C94499"/>
    <w:rsid w:val="00C9491A"/>
    <w:rsid w:val="00C94BE9"/>
    <w:rsid w:val="00C9595B"/>
    <w:rsid w:val="00C95DD7"/>
    <w:rsid w:val="00C95DDD"/>
    <w:rsid w:val="00C95ED6"/>
    <w:rsid w:val="00C96BBB"/>
    <w:rsid w:val="00CA04D5"/>
    <w:rsid w:val="00CA1908"/>
    <w:rsid w:val="00CA1AC8"/>
    <w:rsid w:val="00CA1FB0"/>
    <w:rsid w:val="00CA24D1"/>
    <w:rsid w:val="00CA29EC"/>
    <w:rsid w:val="00CA39CC"/>
    <w:rsid w:val="00CA403D"/>
    <w:rsid w:val="00CA4743"/>
    <w:rsid w:val="00CA57FE"/>
    <w:rsid w:val="00CA584F"/>
    <w:rsid w:val="00CA5FF6"/>
    <w:rsid w:val="00CA6F32"/>
    <w:rsid w:val="00CA735E"/>
    <w:rsid w:val="00CA7C9B"/>
    <w:rsid w:val="00CB01B1"/>
    <w:rsid w:val="00CB138F"/>
    <w:rsid w:val="00CB13CF"/>
    <w:rsid w:val="00CB13E0"/>
    <w:rsid w:val="00CB1444"/>
    <w:rsid w:val="00CB2BFB"/>
    <w:rsid w:val="00CB2F02"/>
    <w:rsid w:val="00CB44CC"/>
    <w:rsid w:val="00CB4522"/>
    <w:rsid w:val="00CB568E"/>
    <w:rsid w:val="00CB6A17"/>
    <w:rsid w:val="00CB76B8"/>
    <w:rsid w:val="00CB7703"/>
    <w:rsid w:val="00CB77EE"/>
    <w:rsid w:val="00CB783B"/>
    <w:rsid w:val="00CB7AE2"/>
    <w:rsid w:val="00CC1C1E"/>
    <w:rsid w:val="00CC2611"/>
    <w:rsid w:val="00CC2803"/>
    <w:rsid w:val="00CC295E"/>
    <w:rsid w:val="00CC48D6"/>
    <w:rsid w:val="00CC544C"/>
    <w:rsid w:val="00CC559E"/>
    <w:rsid w:val="00CC707F"/>
    <w:rsid w:val="00CC708A"/>
    <w:rsid w:val="00CC79CD"/>
    <w:rsid w:val="00CC7A97"/>
    <w:rsid w:val="00CD0037"/>
    <w:rsid w:val="00CD1841"/>
    <w:rsid w:val="00CD1BF1"/>
    <w:rsid w:val="00CD27CD"/>
    <w:rsid w:val="00CD376E"/>
    <w:rsid w:val="00CD4BF8"/>
    <w:rsid w:val="00CD52CD"/>
    <w:rsid w:val="00CD5617"/>
    <w:rsid w:val="00CD5DB6"/>
    <w:rsid w:val="00CD652E"/>
    <w:rsid w:val="00CD68DD"/>
    <w:rsid w:val="00CD7B8B"/>
    <w:rsid w:val="00CE01F8"/>
    <w:rsid w:val="00CE0A4D"/>
    <w:rsid w:val="00CE24B9"/>
    <w:rsid w:val="00CE271E"/>
    <w:rsid w:val="00CE2B04"/>
    <w:rsid w:val="00CE332F"/>
    <w:rsid w:val="00CE3E8B"/>
    <w:rsid w:val="00CE3EAC"/>
    <w:rsid w:val="00CE47DC"/>
    <w:rsid w:val="00CE5298"/>
    <w:rsid w:val="00CE5322"/>
    <w:rsid w:val="00CE58EB"/>
    <w:rsid w:val="00CE5F14"/>
    <w:rsid w:val="00CE7BB6"/>
    <w:rsid w:val="00CF0041"/>
    <w:rsid w:val="00CF0D4B"/>
    <w:rsid w:val="00CF2605"/>
    <w:rsid w:val="00CF2804"/>
    <w:rsid w:val="00CF35B2"/>
    <w:rsid w:val="00CF37DF"/>
    <w:rsid w:val="00CF38D4"/>
    <w:rsid w:val="00CF51D7"/>
    <w:rsid w:val="00CF5C07"/>
    <w:rsid w:val="00CF5CFC"/>
    <w:rsid w:val="00CF7B1C"/>
    <w:rsid w:val="00CF7C63"/>
    <w:rsid w:val="00D000FD"/>
    <w:rsid w:val="00D00AF5"/>
    <w:rsid w:val="00D00D67"/>
    <w:rsid w:val="00D00E75"/>
    <w:rsid w:val="00D01917"/>
    <w:rsid w:val="00D01EBC"/>
    <w:rsid w:val="00D02BCB"/>
    <w:rsid w:val="00D037B2"/>
    <w:rsid w:val="00D03DE1"/>
    <w:rsid w:val="00D03EDD"/>
    <w:rsid w:val="00D03EEF"/>
    <w:rsid w:val="00D04A0C"/>
    <w:rsid w:val="00D04EFA"/>
    <w:rsid w:val="00D04F08"/>
    <w:rsid w:val="00D050BB"/>
    <w:rsid w:val="00D05C89"/>
    <w:rsid w:val="00D06CE9"/>
    <w:rsid w:val="00D07087"/>
    <w:rsid w:val="00D07A1B"/>
    <w:rsid w:val="00D07E2A"/>
    <w:rsid w:val="00D10C92"/>
    <w:rsid w:val="00D10F08"/>
    <w:rsid w:val="00D11666"/>
    <w:rsid w:val="00D11D07"/>
    <w:rsid w:val="00D12384"/>
    <w:rsid w:val="00D1311E"/>
    <w:rsid w:val="00D138F2"/>
    <w:rsid w:val="00D1489F"/>
    <w:rsid w:val="00D151DE"/>
    <w:rsid w:val="00D159F8"/>
    <w:rsid w:val="00D15DD2"/>
    <w:rsid w:val="00D16887"/>
    <w:rsid w:val="00D16E55"/>
    <w:rsid w:val="00D16ECF"/>
    <w:rsid w:val="00D17C04"/>
    <w:rsid w:val="00D17CFB"/>
    <w:rsid w:val="00D17E3E"/>
    <w:rsid w:val="00D2046D"/>
    <w:rsid w:val="00D212EA"/>
    <w:rsid w:val="00D21820"/>
    <w:rsid w:val="00D21E07"/>
    <w:rsid w:val="00D2255E"/>
    <w:rsid w:val="00D226B9"/>
    <w:rsid w:val="00D228E0"/>
    <w:rsid w:val="00D22BD4"/>
    <w:rsid w:val="00D23437"/>
    <w:rsid w:val="00D2372E"/>
    <w:rsid w:val="00D2373E"/>
    <w:rsid w:val="00D239F4"/>
    <w:rsid w:val="00D2459A"/>
    <w:rsid w:val="00D248D9"/>
    <w:rsid w:val="00D24CD7"/>
    <w:rsid w:val="00D25286"/>
    <w:rsid w:val="00D27131"/>
    <w:rsid w:val="00D315B5"/>
    <w:rsid w:val="00D31AD0"/>
    <w:rsid w:val="00D31BBD"/>
    <w:rsid w:val="00D3237B"/>
    <w:rsid w:val="00D32A61"/>
    <w:rsid w:val="00D32D6E"/>
    <w:rsid w:val="00D332D7"/>
    <w:rsid w:val="00D34A58"/>
    <w:rsid w:val="00D34E83"/>
    <w:rsid w:val="00D35189"/>
    <w:rsid w:val="00D352D0"/>
    <w:rsid w:val="00D35D01"/>
    <w:rsid w:val="00D37354"/>
    <w:rsid w:val="00D404B1"/>
    <w:rsid w:val="00D4104F"/>
    <w:rsid w:val="00D41A27"/>
    <w:rsid w:val="00D43626"/>
    <w:rsid w:val="00D43988"/>
    <w:rsid w:val="00D441B6"/>
    <w:rsid w:val="00D458B7"/>
    <w:rsid w:val="00D46189"/>
    <w:rsid w:val="00D4707E"/>
    <w:rsid w:val="00D47238"/>
    <w:rsid w:val="00D4762C"/>
    <w:rsid w:val="00D47867"/>
    <w:rsid w:val="00D47EAF"/>
    <w:rsid w:val="00D50663"/>
    <w:rsid w:val="00D50B2A"/>
    <w:rsid w:val="00D51517"/>
    <w:rsid w:val="00D52D7F"/>
    <w:rsid w:val="00D53034"/>
    <w:rsid w:val="00D541A8"/>
    <w:rsid w:val="00D551EE"/>
    <w:rsid w:val="00D5549B"/>
    <w:rsid w:val="00D55573"/>
    <w:rsid w:val="00D55A05"/>
    <w:rsid w:val="00D562A8"/>
    <w:rsid w:val="00D61A9F"/>
    <w:rsid w:val="00D61EDD"/>
    <w:rsid w:val="00D628AF"/>
    <w:rsid w:val="00D6294B"/>
    <w:rsid w:val="00D639D3"/>
    <w:rsid w:val="00D654F8"/>
    <w:rsid w:val="00D66697"/>
    <w:rsid w:val="00D676B3"/>
    <w:rsid w:val="00D6787A"/>
    <w:rsid w:val="00D67ACA"/>
    <w:rsid w:val="00D67F69"/>
    <w:rsid w:val="00D71103"/>
    <w:rsid w:val="00D71213"/>
    <w:rsid w:val="00D713E4"/>
    <w:rsid w:val="00D7152B"/>
    <w:rsid w:val="00D72980"/>
    <w:rsid w:val="00D72FAD"/>
    <w:rsid w:val="00D7314F"/>
    <w:rsid w:val="00D73259"/>
    <w:rsid w:val="00D73AF1"/>
    <w:rsid w:val="00D73E64"/>
    <w:rsid w:val="00D74504"/>
    <w:rsid w:val="00D74639"/>
    <w:rsid w:val="00D74926"/>
    <w:rsid w:val="00D752F1"/>
    <w:rsid w:val="00D75449"/>
    <w:rsid w:val="00D76848"/>
    <w:rsid w:val="00D770D5"/>
    <w:rsid w:val="00D806A9"/>
    <w:rsid w:val="00D809B7"/>
    <w:rsid w:val="00D812A9"/>
    <w:rsid w:val="00D813B0"/>
    <w:rsid w:val="00D8141C"/>
    <w:rsid w:val="00D81A57"/>
    <w:rsid w:val="00D8269A"/>
    <w:rsid w:val="00D82962"/>
    <w:rsid w:val="00D82A4C"/>
    <w:rsid w:val="00D83A65"/>
    <w:rsid w:val="00D846CF"/>
    <w:rsid w:val="00D84999"/>
    <w:rsid w:val="00D84BFF"/>
    <w:rsid w:val="00D85683"/>
    <w:rsid w:val="00D860B3"/>
    <w:rsid w:val="00D86D21"/>
    <w:rsid w:val="00D8772B"/>
    <w:rsid w:val="00D906FF"/>
    <w:rsid w:val="00D90F8A"/>
    <w:rsid w:val="00D91621"/>
    <w:rsid w:val="00D9180B"/>
    <w:rsid w:val="00D922A9"/>
    <w:rsid w:val="00D925BC"/>
    <w:rsid w:val="00D92982"/>
    <w:rsid w:val="00D94EB6"/>
    <w:rsid w:val="00D95111"/>
    <w:rsid w:val="00D954B6"/>
    <w:rsid w:val="00D9553A"/>
    <w:rsid w:val="00D958D2"/>
    <w:rsid w:val="00D95C5C"/>
    <w:rsid w:val="00D96B91"/>
    <w:rsid w:val="00D9740F"/>
    <w:rsid w:val="00D97545"/>
    <w:rsid w:val="00D9787B"/>
    <w:rsid w:val="00D97BA1"/>
    <w:rsid w:val="00D97EA0"/>
    <w:rsid w:val="00DA09FC"/>
    <w:rsid w:val="00DA28A7"/>
    <w:rsid w:val="00DA2BB0"/>
    <w:rsid w:val="00DA2FCA"/>
    <w:rsid w:val="00DA348E"/>
    <w:rsid w:val="00DA373A"/>
    <w:rsid w:val="00DA5476"/>
    <w:rsid w:val="00DA59D2"/>
    <w:rsid w:val="00DA5A9C"/>
    <w:rsid w:val="00DA5F60"/>
    <w:rsid w:val="00DA6E9D"/>
    <w:rsid w:val="00DA6FF3"/>
    <w:rsid w:val="00DA7A50"/>
    <w:rsid w:val="00DB0A97"/>
    <w:rsid w:val="00DB1595"/>
    <w:rsid w:val="00DB19B3"/>
    <w:rsid w:val="00DB1E00"/>
    <w:rsid w:val="00DB297D"/>
    <w:rsid w:val="00DB2B7E"/>
    <w:rsid w:val="00DB2BA7"/>
    <w:rsid w:val="00DB2F6C"/>
    <w:rsid w:val="00DB3388"/>
    <w:rsid w:val="00DB345D"/>
    <w:rsid w:val="00DB392E"/>
    <w:rsid w:val="00DB5719"/>
    <w:rsid w:val="00DB624E"/>
    <w:rsid w:val="00DB65AD"/>
    <w:rsid w:val="00DB7C6B"/>
    <w:rsid w:val="00DC022D"/>
    <w:rsid w:val="00DC02EA"/>
    <w:rsid w:val="00DC1309"/>
    <w:rsid w:val="00DC16F9"/>
    <w:rsid w:val="00DC1C79"/>
    <w:rsid w:val="00DC1CA6"/>
    <w:rsid w:val="00DC20CF"/>
    <w:rsid w:val="00DC32CB"/>
    <w:rsid w:val="00DC3472"/>
    <w:rsid w:val="00DC40B6"/>
    <w:rsid w:val="00DC4B44"/>
    <w:rsid w:val="00DC5C38"/>
    <w:rsid w:val="00DC61A3"/>
    <w:rsid w:val="00DC62A6"/>
    <w:rsid w:val="00DC7E69"/>
    <w:rsid w:val="00DD0467"/>
    <w:rsid w:val="00DD15EF"/>
    <w:rsid w:val="00DD1738"/>
    <w:rsid w:val="00DD190E"/>
    <w:rsid w:val="00DD1BEF"/>
    <w:rsid w:val="00DD2A0C"/>
    <w:rsid w:val="00DD3316"/>
    <w:rsid w:val="00DD3E02"/>
    <w:rsid w:val="00DD3F4D"/>
    <w:rsid w:val="00DD5654"/>
    <w:rsid w:val="00DD5E57"/>
    <w:rsid w:val="00DD60E3"/>
    <w:rsid w:val="00DD7C55"/>
    <w:rsid w:val="00DD7F9B"/>
    <w:rsid w:val="00DE0F68"/>
    <w:rsid w:val="00DE28B6"/>
    <w:rsid w:val="00DE2B74"/>
    <w:rsid w:val="00DE3385"/>
    <w:rsid w:val="00DE3CA1"/>
    <w:rsid w:val="00DE4007"/>
    <w:rsid w:val="00DE4638"/>
    <w:rsid w:val="00DE4651"/>
    <w:rsid w:val="00DE534A"/>
    <w:rsid w:val="00DE55FD"/>
    <w:rsid w:val="00DE674A"/>
    <w:rsid w:val="00DE7265"/>
    <w:rsid w:val="00DE74EC"/>
    <w:rsid w:val="00DE7525"/>
    <w:rsid w:val="00DE7596"/>
    <w:rsid w:val="00DF00B4"/>
    <w:rsid w:val="00DF061B"/>
    <w:rsid w:val="00DF09EC"/>
    <w:rsid w:val="00DF19EE"/>
    <w:rsid w:val="00DF2247"/>
    <w:rsid w:val="00DF2353"/>
    <w:rsid w:val="00DF2820"/>
    <w:rsid w:val="00DF3AB2"/>
    <w:rsid w:val="00DF5784"/>
    <w:rsid w:val="00DF58B8"/>
    <w:rsid w:val="00DF5FF8"/>
    <w:rsid w:val="00DF6CF1"/>
    <w:rsid w:val="00DF6EE5"/>
    <w:rsid w:val="00DF6F0A"/>
    <w:rsid w:val="00E0077B"/>
    <w:rsid w:val="00E00898"/>
    <w:rsid w:val="00E02E5B"/>
    <w:rsid w:val="00E03634"/>
    <w:rsid w:val="00E042BB"/>
    <w:rsid w:val="00E04C59"/>
    <w:rsid w:val="00E05067"/>
    <w:rsid w:val="00E050B6"/>
    <w:rsid w:val="00E0557E"/>
    <w:rsid w:val="00E05D14"/>
    <w:rsid w:val="00E0628E"/>
    <w:rsid w:val="00E06460"/>
    <w:rsid w:val="00E06C84"/>
    <w:rsid w:val="00E06E01"/>
    <w:rsid w:val="00E073CF"/>
    <w:rsid w:val="00E07997"/>
    <w:rsid w:val="00E07A6A"/>
    <w:rsid w:val="00E07EB8"/>
    <w:rsid w:val="00E107B2"/>
    <w:rsid w:val="00E10EB1"/>
    <w:rsid w:val="00E1144D"/>
    <w:rsid w:val="00E114CF"/>
    <w:rsid w:val="00E120E4"/>
    <w:rsid w:val="00E13460"/>
    <w:rsid w:val="00E13636"/>
    <w:rsid w:val="00E149F4"/>
    <w:rsid w:val="00E14A78"/>
    <w:rsid w:val="00E16ED5"/>
    <w:rsid w:val="00E17F53"/>
    <w:rsid w:val="00E20354"/>
    <w:rsid w:val="00E207DB"/>
    <w:rsid w:val="00E21F5A"/>
    <w:rsid w:val="00E2302F"/>
    <w:rsid w:val="00E25124"/>
    <w:rsid w:val="00E25F45"/>
    <w:rsid w:val="00E261F8"/>
    <w:rsid w:val="00E26E25"/>
    <w:rsid w:val="00E2789B"/>
    <w:rsid w:val="00E27BAD"/>
    <w:rsid w:val="00E27DF3"/>
    <w:rsid w:val="00E3110A"/>
    <w:rsid w:val="00E3121A"/>
    <w:rsid w:val="00E31611"/>
    <w:rsid w:val="00E319DC"/>
    <w:rsid w:val="00E324AD"/>
    <w:rsid w:val="00E3342D"/>
    <w:rsid w:val="00E33683"/>
    <w:rsid w:val="00E336AF"/>
    <w:rsid w:val="00E33734"/>
    <w:rsid w:val="00E34AA9"/>
    <w:rsid w:val="00E35CBD"/>
    <w:rsid w:val="00E36A4F"/>
    <w:rsid w:val="00E37D5F"/>
    <w:rsid w:val="00E41C51"/>
    <w:rsid w:val="00E429A0"/>
    <w:rsid w:val="00E42D39"/>
    <w:rsid w:val="00E43C6F"/>
    <w:rsid w:val="00E44CD4"/>
    <w:rsid w:val="00E45B91"/>
    <w:rsid w:val="00E45D89"/>
    <w:rsid w:val="00E46804"/>
    <w:rsid w:val="00E46C57"/>
    <w:rsid w:val="00E513EE"/>
    <w:rsid w:val="00E5176B"/>
    <w:rsid w:val="00E527C9"/>
    <w:rsid w:val="00E528BA"/>
    <w:rsid w:val="00E52CDB"/>
    <w:rsid w:val="00E53497"/>
    <w:rsid w:val="00E534DF"/>
    <w:rsid w:val="00E54893"/>
    <w:rsid w:val="00E54F12"/>
    <w:rsid w:val="00E55A50"/>
    <w:rsid w:val="00E561B5"/>
    <w:rsid w:val="00E56467"/>
    <w:rsid w:val="00E565C2"/>
    <w:rsid w:val="00E60269"/>
    <w:rsid w:val="00E605AF"/>
    <w:rsid w:val="00E60887"/>
    <w:rsid w:val="00E60C32"/>
    <w:rsid w:val="00E61619"/>
    <w:rsid w:val="00E61B95"/>
    <w:rsid w:val="00E61E25"/>
    <w:rsid w:val="00E6272B"/>
    <w:rsid w:val="00E627F6"/>
    <w:rsid w:val="00E629C7"/>
    <w:rsid w:val="00E62F1A"/>
    <w:rsid w:val="00E62FD2"/>
    <w:rsid w:val="00E631E3"/>
    <w:rsid w:val="00E63DD3"/>
    <w:rsid w:val="00E63F1D"/>
    <w:rsid w:val="00E646D5"/>
    <w:rsid w:val="00E64EEE"/>
    <w:rsid w:val="00E661AA"/>
    <w:rsid w:val="00E66F49"/>
    <w:rsid w:val="00E67537"/>
    <w:rsid w:val="00E716CE"/>
    <w:rsid w:val="00E721A9"/>
    <w:rsid w:val="00E73549"/>
    <w:rsid w:val="00E74861"/>
    <w:rsid w:val="00E74EC9"/>
    <w:rsid w:val="00E75733"/>
    <w:rsid w:val="00E75A9D"/>
    <w:rsid w:val="00E75F08"/>
    <w:rsid w:val="00E80CF7"/>
    <w:rsid w:val="00E81B8E"/>
    <w:rsid w:val="00E81ED7"/>
    <w:rsid w:val="00E8369B"/>
    <w:rsid w:val="00E8377F"/>
    <w:rsid w:val="00E83850"/>
    <w:rsid w:val="00E85244"/>
    <w:rsid w:val="00E86159"/>
    <w:rsid w:val="00E86741"/>
    <w:rsid w:val="00E87566"/>
    <w:rsid w:val="00E87AE4"/>
    <w:rsid w:val="00E90C1F"/>
    <w:rsid w:val="00E9124A"/>
    <w:rsid w:val="00E9222C"/>
    <w:rsid w:val="00E9267F"/>
    <w:rsid w:val="00E9269C"/>
    <w:rsid w:val="00E92AA5"/>
    <w:rsid w:val="00E9558B"/>
    <w:rsid w:val="00E95D1B"/>
    <w:rsid w:val="00E9735C"/>
    <w:rsid w:val="00EA1CD0"/>
    <w:rsid w:val="00EA234B"/>
    <w:rsid w:val="00EA274B"/>
    <w:rsid w:val="00EA2EFA"/>
    <w:rsid w:val="00EA3184"/>
    <w:rsid w:val="00EA3732"/>
    <w:rsid w:val="00EA3CDD"/>
    <w:rsid w:val="00EA446E"/>
    <w:rsid w:val="00EA4719"/>
    <w:rsid w:val="00EA4BB8"/>
    <w:rsid w:val="00EA5028"/>
    <w:rsid w:val="00EA50D6"/>
    <w:rsid w:val="00EA5714"/>
    <w:rsid w:val="00EA5A27"/>
    <w:rsid w:val="00EA60EF"/>
    <w:rsid w:val="00EA6A30"/>
    <w:rsid w:val="00EA6A41"/>
    <w:rsid w:val="00EA738D"/>
    <w:rsid w:val="00EA7662"/>
    <w:rsid w:val="00EA7889"/>
    <w:rsid w:val="00EA7CC3"/>
    <w:rsid w:val="00EB016F"/>
    <w:rsid w:val="00EB04F4"/>
    <w:rsid w:val="00EB0CE3"/>
    <w:rsid w:val="00EB2216"/>
    <w:rsid w:val="00EB27D1"/>
    <w:rsid w:val="00EB33F4"/>
    <w:rsid w:val="00EB3B9C"/>
    <w:rsid w:val="00EB4C04"/>
    <w:rsid w:val="00EB523B"/>
    <w:rsid w:val="00EB6502"/>
    <w:rsid w:val="00EB676B"/>
    <w:rsid w:val="00EB7ABA"/>
    <w:rsid w:val="00EB7D9C"/>
    <w:rsid w:val="00EC0B5F"/>
    <w:rsid w:val="00EC1406"/>
    <w:rsid w:val="00EC14BE"/>
    <w:rsid w:val="00EC1526"/>
    <w:rsid w:val="00EC23F3"/>
    <w:rsid w:val="00EC2677"/>
    <w:rsid w:val="00EC2AB5"/>
    <w:rsid w:val="00EC2C28"/>
    <w:rsid w:val="00EC36F2"/>
    <w:rsid w:val="00EC4B79"/>
    <w:rsid w:val="00EC4F33"/>
    <w:rsid w:val="00EC57D9"/>
    <w:rsid w:val="00EC62D1"/>
    <w:rsid w:val="00EC6A59"/>
    <w:rsid w:val="00EC7E82"/>
    <w:rsid w:val="00ED0B81"/>
    <w:rsid w:val="00ED1770"/>
    <w:rsid w:val="00ED1A64"/>
    <w:rsid w:val="00ED28DD"/>
    <w:rsid w:val="00ED34F1"/>
    <w:rsid w:val="00ED43A6"/>
    <w:rsid w:val="00ED4D9F"/>
    <w:rsid w:val="00ED69B3"/>
    <w:rsid w:val="00ED6A75"/>
    <w:rsid w:val="00ED6FB9"/>
    <w:rsid w:val="00ED7371"/>
    <w:rsid w:val="00ED7E2F"/>
    <w:rsid w:val="00ED7EA8"/>
    <w:rsid w:val="00EE000F"/>
    <w:rsid w:val="00EE1313"/>
    <w:rsid w:val="00EE17E9"/>
    <w:rsid w:val="00EE2126"/>
    <w:rsid w:val="00EE2DF4"/>
    <w:rsid w:val="00EE3363"/>
    <w:rsid w:val="00EE4C7E"/>
    <w:rsid w:val="00EE556D"/>
    <w:rsid w:val="00EE6184"/>
    <w:rsid w:val="00EE7852"/>
    <w:rsid w:val="00EE7A2C"/>
    <w:rsid w:val="00EF02EE"/>
    <w:rsid w:val="00EF09D3"/>
    <w:rsid w:val="00EF108A"/>
    <w:rsid w:val="00EF1240"/>
    <w:rsid w:val="00EF1F75"/>
    <w:rsid w:val="00EF2240"/>
    <w:rsid w:val="00EF3069"/>
    <w:rsid w:val="00EF31A5"/>
    <w:rsid w:val="00EF3DF0"/>
    <w:rsid w:val="00EF3EB5"/>
    <w:rsid w:val="00EF4050"/>
    <w:rsid w:val="00EF472C"/>
    <w:rsid w:val="00EF57B9"/>
    <w:rsid w:val="00EF57DF"/>
    <w:rsid w:val="00EF6092"/>
    <w:rsid w:val="00EF6303"/>
    <w:rsid w:val="00EF6556"/>
    <w:rsid w:val="00EF7453"/>
    <w:rsid w:val="00F02BAD"/>
    <w:rsid w:val="00F0319D"/>
    <w:rsid w:val="00F044EC"/>
    <w:rsid w:val="00F10A9A"/>
    <w:rsid w:val="00F11635"/>
    <w:rsid w:val="00F12BD1"/>
    <w:rsid w:val="00F12D86"/>
    <w:rsid w:val="00F12FCA"/>
    <w:rsid w:val="00F131AA"/>
    <w:rsid w:val="00F131FD"/>
    <w:rsid w:val="00F1350B"/>
    <w:rsid w:val="00F13B05"/>
    <w:rsid w:val="00F13B5A"/>
    <w:rsid w:val="00F13EED"/>
    <w:rsid w:val="00F15AF2"/>
    <w:rsid w:val="00F16401"/>
    <w:rsid w:val="00F17C1E"/>
    <w:rsid w:val="00F210BC"/>
    <w:rsid w:val="00F21290"/>
    <w:rsid w:val="00F2299F"/>
    <w:rsid w:val="00F229A0"/>
    <w:rsid w:val="00F231F0"/>
    <w:rsid w:val="00F231FD"/>
    <w:rsid w:val="00F24787"/>
    <w:rsid w:val="00F24CE6"/>
    <w:rsid w:val="00F259A5"/>
    <w:rsid w:val="00F263E5"/>
    <w:rsid w:val="00F26460"/>
    <w:rsid w:val="00F301E0"/>
    <w:rsid w:val="00F307CC"/>
    <w:rsid w:val="00F30BBA"/>
    <w:rsid w:val="00F31630"/>
    <w:rsid w:val="00F31A8F"/>
    <w:rsid w:val="00F320C0"/>
    <w:rsid w:val="00F32D63"/>
    <w:rsid w:val="00F34012"/>
    <w:rsid w:val="00F343A3"/>
    <w:rsid w:val="00F34C99"/>
    <w:rsid w:val="00F3514F"/>
    <w:rsid w:val="00F3531A"/>
    <w:rsid w:val="00F40F02"/>
    <w:rsid w:val="00F41DB0"/>
    <w:rsid w:val="00F431D8"/>
    <w:rsid w:val="00F4370F"/>
    <w:rsid w:val="00F439BB"/>
    <w:rsid w:val="00F43CEB"/>
    <w:rsid w:val="00F43E0F"/>
    <w:rsid w:val="00F449D7"/>
    <w:rsid w:val="00F461AE"/>
    <w:rsid w:val="00F467F9"/>
    <w:rsid w:val="00F513A2"/>
    <w:rsid w:val="00F5184D"/>
    <w:rsid w:val="00F51B88"/>
    <w:rsid w:val="00F51CB2"/>
    <w:rsid w:val="00F534D3"/>
    <w:rsid w:val="00F5421D"/>
    <w:rsid w:val="00F55022"/>
    <w:rsid w:val="00F55184"/>
    <w:rsid w:val="00F5704A"/>
    <w:rsid w:val="00F57A8B"/>
    <w:rsid w:val="00F60DF3"/>
    <w:rsid w:val="00F61228"/>
    <w:rsid w:val="00F62057"/>
    <w:rsid w:val="00F6264B"/>
    <w:rsid w:val="00F6290C"/>
    <w:rsid w:val="00F646C8"/>
    <w:rsid w:val="00F65BD0"/>
    <w:rsid w:val="00F66E87"/>
    <w:rsid w:val="00F67988"/>
    <w:rsid w:val="00F67C01"/>
    <w:rsid w:val="00F70909"/>
    <w:rsid w:val="00F70DDF"/>
    <w:rsid w:val="00F7114B"/>
    <w:rsid w:val="00F721EF"/>
    <w:rsid w:val="00F72AC2"/>
    <w:rsid w:val="00F72F17"/>
    <w:rsid w:val="00F733C0"/>
    <w:rsid w:val="00F73CD5"/>
    <w:rsid w:val="00F74168"/>
    <w:rsid w:val="00F742F1"/>
    <w:rsid w:val="00F7470C"/>
    <w:rsid w:val="00F74942"/>
    <w:rsid w:val="00F76037"/>
    <w:rsid w:val="00F761E0"/>
    <w:rsid w:val="00F76832"/>
    <w:rsid w:val="00F76B53"/>
    <w:rsid w:val="00F7761D"/>
    <w:rsid w:val="00F77724"/>
    <w:rsid w:val="00F77839"/>
    <w:rsid w:val="00F77AF3"/>
    <w:rsid w:val="00F77CE6"/>
    <w:rsid w:val="00F77DD1"/>
    <w:rsid w:val="00F8023F"/>
    <w:rsid w:val="00F8111A"/>
    <w:rsid w:val="00F82021"/>
    <w:rsid w:val="00F82080"/>
    <w:rsid w:val="00F824EF"/>
    <w:rsid w:val="00F82A7B"/>
    <w:rsid w:val="00F8393F"/>
    <w:rsid w:val="00F839C9"/>
    <w:rsid w:val="00F8476C"/>
    <w:rsid w:val="00F850A1"/>
    <w:rsid w:val="00F85CBD"/>
    <w:rsid w:val="00F905B8"/>
    <w:rsid w:val="00F91164"/>
    <w:rsid w:val="00F91D47"/>
    <w:rsid w:val="00F92B0F"/>
    <w:rsid w:val="00F9354E"/>
    <w:rsid w:val="00F941FC"/>
    <w:rsid w:val="00F94C51"/>
    <w:rsid w:val="00F96D24"/>
    <w:rsid w:val="00F97093"/>
    <w:rsid w:val="00F97FF3"/>
    <w:rsid w:val="00FA0091"/>
    <w:rsid w:val="00FA194F"/>
    <w:rsid w:val="00FA1AA9"/>
    <w:rsid w:val="00FA2B89"/>
    <w:rsid w:val="00FA2C8B"/>
    <w:rsid w:val="00FA3E0C"/>
    <w:rsid w:val="00FA4FBA"/>
    <w:rsid w:val="00FA5580"/>
    <w:rsid w:val="00FA55C1"/>
    <w:rsid w:val="00FA621A"/>
    <w:rsid w:val="00FA655A"/>
    <w:rsid w:val="00FA69C3"/>
    <w:rsid w:val="00FA6AAC"/>
    <w:rsid w:val="00FA6CBC"/>
    <w:rsid w:val="00FA6D48"/>
    <w:rsid w:val="00FA6F29"/>
    <w:rsid w:val="00FA7027"/>
    <w:rsid w:val="00FA7EC0"/>
    <w:rsid w:val="00FB1729"/>
    <w:rsid w:val="00FB30A2"/>
    <w:rsid w:val="00FB56A8"/>
    <w:rsid w:val="00FB5B62"/>
    <w:rsid w:val="00FB6C88"/>
    <w:rsid w:val="00FB7C57"/>
    <w:rsid w:val="00FC072E"/>
    <w:rsid w:val="00FC2DDA"/>
    <w:rsid w:val="00FC3AF1"/>
    <w:rsid w:val="00FC3FE2"/>
    <w:rsid w:val="00FC4323"/>
    <w:rsid w:val="00FC51AE"/>
    <w:rsid w:val="00FC550A"/>
    <w:rsid w:val="00FC551E"/>
    <w:rsid w:val="00FC5790"/>
    <w:rsid w:val="00FC579D"/>
    <w:rsid w:val="00FC6275"/>
    <w:rsid w:val="00FC7AC9"/>
    <w:rsid w:val="00FC7C14"/>
    <w:rsid w:val="00FD027A"/>
    <w:rsid w:val="00FD039F"/>
    <w:rsid w:val="00FD053B"/>
    <w:rsid w:val="00FD0AF0"/>
    <w:rsid w:val="00FD1234"/>
    <w:rsid w:val="00FD1865"/>
    <w:rsid w:val="00FD18F3"/>
    <w:rsid w:val="00FD194F"/>
    <w:rsid w:val="00FD1995"/>
    <w:rsid w:val="00FD2333"/>
    <w:rsid w:val="00FD25E1"/>
    <w:rsid w:val="00FD360A"/>
    <w:rsid w:val="00FD5688"/>
    <w:rsid w:val="00FD5725"/>
    <w:rsid w:val="00FD5740"/>
    <w:rsid w:val="00FD5E1C"/>
    <w:rsid w:val="00FD5F36"/>
    <w:rsid w:val="00FD73C6"/>
    <w:rsid w:val="00FD7F6B"/>
    <w:rsid w:val="00FE08CE"/>
    <w:rsid w:val="00FE0948"/>
    <w:rsid w:val="00FE0A49"/>
    <w:rsid w:val="00FE1880"/>
    <w:rsid w:val="00FE194A"/>
    <w:rsid w:val="00FE3256"/>
    <w:rsid w:val="00FE3F36"/>
    <w:rsid w:val="00FE3F8E"/>
    <w:rsid w:val="00FE44A1"/>
    <w:rsid w:val="00FE47ED"/>
    <w:rsid w:val="00FE4CE4"/>
    <w:rsid w:val="00FE5101"/>
    <w:rsid w:val="00FE52F1"/>
    <w:rsid w:val="00FE61DC"/>
    <w:rsid w:val="00FE67D0"/>
    <w:rsid w:val="00FE689B"/>
    <w:rsid w:val="00FE79CE"/>
    <w:rsid w:val="00FF081E"/>
    <w:rsid w:val="00FF145C"/>
    <w:rsid w:val="00FF26EE"/>
    <w:rsid w:val="00FF28EC"/>
    <w:rsid w:val="00FF47A3"/>
    <w:rsid w:val="00FF4B3F"/>
    <w:rsid w:val="00FF4B43"/>
    <w:rsid w:val="00FF4D7F"/>
    <w:rsid w:val="00FF574F"/>
    <w:rsid w:val="00FF61A6"/>
    <w:rsid w:val="0622792F"/>
    <w:rsid w:val="079F16AD"/>
    <w:rsid w:val="0B2A427A"/>
    <w:rsid w:val="0C0D7E1A"/>
    <w:rsid w:val="0D066B91"/>
    <w:rsid w:val="0D352B8F"/>
    <w:rsid w:val="0DE905FA"/>
    <w:rsid w:val="10773DD9"/>
    <w:rsid w:val="1108799F"/>
    <w:rsid w:val="13445454"/>
    <w:rsid w:val="1494398C"/>
    <w:rsid w:val="1A7B21D2"/>
    <w:rsid w:val="1EFEE754"/>
    <w:rsid w:val="1F29751A"/>
    <w:rsid w:val="22B61C24"/>
    <w:rsid w:val="27076EF2"/>
    <w:rsid w:val="2D6706EB"/>
    <w:rsid w:val="34B30699"/>
    <w:rsid w:val="36EB37A5"/>
    <w:rsid w:val="37B125F5"/>
    <w:rsid w:val="39A94C05"/>
    <w:rsid w:val="3C7864C5"/>
    <w:rsid w:val="3D23700F"/>
    <w:rsid w:val="3FA23805"/>
    <w:rsid w:val="43B12268"/>
    <w:rsid w:val="458405A8"/>
    <w:rsid w:val="4A646C03"/>
    <w:rsid w:val="512E35E8"/>
    <w:rsid w:val="5B728D8A"/>
    <w:rsid w:val="5D953FAB"/>
    <w:rsid w:val="5E1A6F8C"/>
    <w:rsid w:val="630359E4"/>
    <w:rsid w:val="64324FA2"/>
    <w:rsid w:val="64AA15F2"/>
    <w:rsid w:val="662F7591"/>
    <w:rsid w:val="67A334A4"/>
    <w:rsid w:val="68F90F06"/>
    <w:rsid w:val="6CD2071C"/>
    <w:rsid w:val="7048322B"/>
    <w:rsid w:val="75DC55D0"/>
    <w:rsid w:val="7CBFC142"/>
    <w:rsid w:val="7FC5546D"/>
    <w:rsid w:val="7FCEF8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5"/>
    <w:next w:val="1"/>
    <w:link w:val="62"/>
    <w:qFormat/>
    <w:uiPriority w:val="9"/>
    <w:pPr>
      <w:spacing w:before="340" w:after="330" w:line="360" w:lineRule="auto"/>
      <w:jc w:val="center"/>
      <w:outlineLvl w:val="0"/>
    </w:pPr>
    <w:rPr>
      <w:rFonts w:eastAsia="黑体"/>
      <w:kern w:val="44"/>
      <w:szCs w:val="44"/>
    </w:rPr>
  </w:style>
  <w:style w:type="paragraph" w:styleId="7">
    <w:name w:val="heading 2"/>
    <w:basedOn w:val="5"/>
    <w:next w:val="6"/>
    <w:link w:val="77"/>
    <w:qFormat/>
    <w:uiPriority w:val="0"/>
    <w:pPr>
      <w:adjustRightInd w:val="0"/>
      <w:jc w:val="center"/>
      <w:textAlignment w:val="baseline"/>
      <w:outlineLvl w:val="1"/>
    </w:pPr>
    <w:rPr>
      <w:kern w:val="0"/>
      <w:sz w:val="24"/>
      <w:szCs w:val="20"/>
    </w:rPr>
  </w:style>
  <w:style w:type="paragraph" w:styleId="5">
    <w:name w:val="heading 3"/>
    <w:basedOn w:val="6"/>
    <w:next w:val="1"/>
    <w:link w:val="61"/>
    <w:qFormat/>
    <w:uiPriority w:val="0"/>
    <w:pPr>
      <w:spacing w:before="260" w:after="260" w:line="240" w:lineRule="auto"/>
      <w:outlineLvl w:val="2"/>
    </w:pPr>
    <w:rPr>
      <w:rFonts w:ascii="宋体" w:hAnsi="宋体" w:eastAsia="宋体"/>
      <w:szCs w:val="32"/>
    </w:rPr>
  </w:style>
  <w:style w:type="paragraph" w:styleId="6">
    <w:name w:val="heading 4"/>
    <w:basedOn w:val="1"/>
    <w:next w:val="1"/>
    <w:link w:val="59"/>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9"/>
    <w:link w:val="86"/>
    <w:qFormat/>
    <w:uiPriority w:val="0"/>
    <w:pPr>
      <w:keepNext/>
      <w:keepLines/>
      <w:spacing w:before="280" w:after="290" w:line="376" w:lineRule="auto"/>
      <w:outlineLvl w:val="4"/>
    </w:pPr>
    <w:rPr>
      <w:b/>
      <w:sz w:val="28"/>
      <w:szCs w:val="20"/>
    </w:rPr>
  </w:style>
  <w:style w:type="paragraph" w:styleId="10">
    <w:name w:val="heading 6"/>
    <w:basedOn w:val="1"/>
    <w:next w:val="9"/>
    <w:link w:val="89"/>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9"/>
    <w:link w:val="90"/>
    <w:qFormat/>
    <w:uiPriority w:val="0"/>
    <w:pPr>
      <w:keepNext/>
      <w:keepLines/>
      <w:spacing w:before="240" w:after="64" w:line="320" w:lineRule="auto"/>
      <w:outlineLvl w:val="6"/>
    </w:pPr>
    <w:rPr>
      <w:b/>
      <w:sz w:val="24"/>
      <w:szCs w:val="20"/>
    </w:rPr>
  </w:style>
  <w:style w:type="paragraph" w:styleId="12">
    <w:name w:val="heading 8"/>
    <w:basedOn w:val="1"/>
    <w:next w:val="9"/>
    <w:link w:val="91"/>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9"/>
    <w:link w:val="92"/>
    <w:qFormat/>
    <w:uiPriority w:val="0"/>
    <w:pPr>
      <w:keepNext/>
      <w:keepLines/>
      <w:spacing w:before="240" w:after="64" w:line="320" w:lineRule="auto"/>
      <w:outlineLvl w:val="8"/>
    </w:pPr>
    <w:rPr>
      <w:rFonts w:ascii="Arial" w:hAnsi="Arial" w:eastAsia="黑体"/>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8"/>
    <w:qFormat/>
    <w:uiPriority w:val="0"/>
    <w:pPr>
      <w:spacing w:line="360" w:lineRule="auto"/>
    </w:pPr>
    <w:rPr>
      <w:b/>
      <w:bCs/>
      <w:sz w:val="24"/>
    </w:rPr>
  </w:style>
  <w:style w:type="paragraph" w:styleId="3">
    <w:name w:val="Body Text 2"/>
    <w:basedOn w:val="1"/>
    <w:link w:val="102"/>
    <w:qFormat/>
    <w:uiPriority w:val="0"/>
    <w:pPr>
      <w:spacing w:line="360" w:lineRule="auto"/>
    </w:pPr>
    <w:rPr>
      <w:sz w:val="24"/>
    </w:rPr>
  </w:style>
  <w:style w:type="paragraph" w:styleId="9">
    <w:name w:val="Normal Indent"/>
    <w:basedOn w:val="1"/>
    <w:link w:val="63"/>
    <w:qFormat/>
    <w:uiPriority w:val="0"/>
    <w:pPr>
      <w:ind w:firstLine="420"/>
    </w:pPr>
    <w:rPr>
      <w:szCs w:val="20"/>
    </w:rPr>
  </w:style>
  <w:style w:type="paragraph" w:styleId="14">
    <w:name w:val="toc 7"/>
    <w:basedOn w:val="1"/>
    <w:next w:val="1"/>
    <w:semiHidden/>
    <w:qFormat/>
    <w:uiPriority w:val="0"/>
    <w:pPr>
      <w:ind w:left="1260"/>
      <w:jc w:val="left"/>
    </w:pPr>
    <w:rPr>
      <w:szCs w:val="21"/>
    </w:rPr>
  </w:style>
  <w:style w:type="paragraph" w:styleId="15">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6">
    <w:name w:val="List Bullet"/>
    <w:basedOn w:val="1"/>
    <w:qFormat/>
    <w:uiPriority w:val="0"/>
    <w:pPr>
      <w:numPr>
        <w:ilvl w:val="0"/>
        <w:numId w:val="1"/>
      </w:numPr>
    </w:pPr>
    <w:rPr>
      <w:szCs w:val="20"/>
    </w:rPr>
  </w:style>
  <w:style w:type="paragraph" w:styleId="17">
    <w:name w:val="Document Map"/>
    <w:basedOn w:val="1"/>
    <w:semiHidden/>
    <w:qFormat/>
    <w:uiPriority w:val="0"/>
    <w:pPr>
      <w:shd w:val="clear" w:color="auto" w:fill="000080"/>
    </w:pPr>
  </w:style>
  <w:style w:type="paragraph" w:styleId="18">
    <w:name w:val="annotation text"/>
    <w:basedOn w:val="1"/>
    <w:link w:val="190"/>
    <w:semiHidden/>
    <w:qFormat/>
    <w:uiPriority w:val="0"/>
    <w:pPr>
      <w:autoSpaceDE w:val="0"/>
      <w:autoSpaceDN w:val="0"/>
      <w:adjustRightInd w:val="0"/>
      <w:jc w:val="left"/>
      <w:textAlignment w:val="baseline"/>
    </w:pPr>
    <w:rPr>
      <w:rFonts w:ascii="宋体"/>
      <w:kern w:val="0"/>
      <w:sz w:val="34"/>
      <w:szCs w:val="20"/>
    </w:rPr>
  </w:style>
  <w:style w:type="paragraph" w:styleId="19">
    <w:name w:val="Body Text 3"/>
    <w:basedOn w:val="1"/>
    <w:link w:val="104"/>
    <w:qFormat/>
    <w:uiPriority w:val="0"/>
    <w:pPr>
      <w:spacing w:after="120"/>
    </w:pPr>
    <w:rPr>
      <w:sz w:val="16"/>
      <w:szCs w:val="16"/>
    </w:rPr>
  </w:style>
  <w:style w:type="paragraph" w:styleId="20">
    <w:name w:val="Body Text Indent"/>
    <w:basedOn w:val="1"/>
    <w:link w:val="85"/>
    <w:qFormat/>
    <w:uiPriority w:val="0"/>
    <w:pPr>
      <w:spacing w:line="360" w:lineRule="auto"/>
      <w:ind w:firstLine="420" w:firstLineChars="200"/>
    </w:pPr>
  </w:style>
  <w:style w:type="paragraph" w:styleId="21">
    <w:name w:val="toc 5"/>
    <w:basedOn w:val="1"/>
    <w:next w:val="1"/>
    <w:semiHidden/>
    <w:qFormat/>
    <w:uiPriority w:val="0"/>
    <w:pPr>
      <w:ind w:left="840"/>
      <w:jc w:val="left"/>
    </w:pPr>
    <w:rPr>
      <w:szCs w:val="21"/>
    </w:rPr>
  </w:style>
  <w:style w:type="paragraph" w:styleId="22">
    <w:name w:val="toc 3"/>
    <w:basedOn w:val="1"/>
    <w:next w:val="1"/>
    <w:semiHidden/>
    <w:qFormat/>
    <w:uiPriority w:val="0"/>
    <w:pPr>
      <w:ind w:left="420"/>
      <w:jc w:val="left"/>
    </w:pPr>
    <w:rPr>
      <w:i/>
      <w:iCs/>
    </w:rPr>
  </w:style>
  <w:style w:type="paragraph" w:styleId="23">
    <w:name w:val="Plain Text"/>
    <w:basedOn w:val="1"/>
    <w:link w:val="96"/>
    <w:qFormat/>
    <w:uiPriority w:val="0"/>
    <w:rPr>
      <w:rFonts w:ascii="宋体" w:hAnsi="Courier New"/>
      <w:szCs w:val="20"/>
    </w:rPr>
  </w:style>
  <w:style w:type="paragraph" w:styleId="24">
    <w:name w:val="toc 8"/>
    <w:basedOn w:val="1"/>
    <w:next w:val="1"/>
    <w:semiHidden/>
    <w:qFormat/>
    <w:uiPriority w:val="0"/>
    <w:pPr>
      <w:ind w:left="1470"/>
      <w:jc w:val="left"/>
    </w:pPr>
    <w:rPr>
      <w:szCs w:val="21"/>
    </w:rPr>
  </w:style>
  <w:style w:type="paragraph" w:styleId="25">
    <w:name w:val="Date"/>
    <w:basedOn w:val="1"/>
    <w:next w:val="1"/>
    <w:link w:val="94"/>
    <w:qFormat/>
    <w:uiPriority w:val="0"/>
    <w:rPr>
      <w:rFonts w:ascii="宋体" w:hAnsi="Courier New"/>
      <w:sz w:val="32"/>
      <w:szCs w:val="20"/>
    </w:rPr>
  </w:style>
  <w:style w:type="paragraph" w:styleId="26">
    <w:name w:val="Body Text Indent 2"/>
    <w:basedOn w:val="1"/>
    <w:link w:val="99"/>
    <w:qFormat/>
    <w:uiPriority w:val="0"/>
    <w:pPr>
      <w:spacing w:beforeLines="50" w:afterLines="50" w:line="120" w:lineRule="auto"/>
      <w:ind w:firstLine="840" w:firstLineChars="400"/>
      <w:jc w:val="left"/>
    </w:pPr>
    <w:rPr>
      <w:rFonts w:ascii="宋体" w:hAnsi="宋体"/>
    </w:rPr>
  </w:style>
  <w:style w:type="paragraph" w:styleId="27">
    <w:name w:val="Balloon Text"/>
    <w:basedOn w:val="1"/>
    <w:link w:val="105"/>
    <w:semiHidden/>
    <w:qFormat/>
    <w:uiPriority w:val="0"/>
    <w:rPr>
      <w:sz w:val="18"/>
      <w:szCs w:val="18"/>
    </w:rPr>
  </w:style>
  <w:style w:type="paragraph" w:styleId="28">
    <w:name w:val="footer"/>
    <w:basedOn w:val="1"/>
    <w:link w:val="103"/>
    <w:qFormat/>
    <w:uiPriority w:val="99"/>
    <w:pPr>
      <w:tabs>
        <w:tab w:val="center" w:pos="4153"/>
        <w:tab w:val="right" w:pos="8306"/>
      </w:tabs>
      <w:snapToGrid w:val="0"/>
      <w:jc w:val="left"/>
    </w:pPr>
    <w:rPr>
      <w:sz w:val="18"/>
      <w:szCs w:val="18"/>
    </w:rPr>
  </w:style>
  <w:style w:type="paragraph" w:styleId="29">
    <w:name w:val="header"/>
    <w:basedOn w:val="1"/>
    <w:link w:val="100"/>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semiHidden/>
    <w:qFormat/>
    <w:uiPriority w:val="0"/>
    <w:pPr>
      <w:spacing w:before="120" w:after="120"/>
      <w:jc w:val="left"/>
    </w:pPr>
    <w:rPr>
      <w:b/>
      <w:bCs/>
      <w:caps/>
    </w:rPr>
  </w:style>
  <w:style w:type="paragraph" w:styleId="31">
    <w:name w:val="toc 4"/>
    <w:basedOn w:val="1"/>
    <w:next w:val="1"/>
    <w:semiHidden/>
    <w:qFormat/>
    <w:uiPriority w:val="0"/>
    <w:pPr>
      <w:ind w:left="630"/>
      <w:jc w:val="left"/>
    </w:pPr>
    <w:rPr>
      <w:szCs w:val="21"/>
    </w:rPr>
  </w:style>
  <w:style w:type="paragraph" w:styleId="32">
    <w:name w:val="toc 6"/>
    <w:basedOn w:val="1"/>
    <w:next w:val="1"/>
    <w:semiHidden/>
    <w:qFormat/>
    <w:uiPriority w:val="0"/>
    <w:pPr>
      <w:ind w:left="1050"/>
      <w:jc w:val="left"/>
    </w:pPr>
    <w:rPr>
      <w:szCs w:val="21"/>
    </w:rPr>
  </w:style>
  <w:style w:type="paragraph" w:styleId="33">
    <w:name w:val="Body Text Indent 3"/>
    <w:basedOn w:val="1"/>
    <w:link w:val="101"/>
    <w:qFormat/>
    <w:uiPriority w:val="0"/>
    <w:pPr>
      <w:spacing w:line="360" w:lineRule="auto"/>
      <w:ind w:firstLine="482" w:firstLineChars="200"/>
    </w:pPr>
    <w:rPr>
      <w:rFonts w:ascii="宋体"/>
      <w:b/>
      <w:bCs/>
      <w:sz w:val="24"/>
    </w:rPr>
  </w:style>
  <w:style w:type="paragraph" w:styleId="34">
    <w:name w:val="toc 2"/>
    <w:basedOn w:val="1"/>
    <w:next w:val="1"/>
    <w:semiHidden/>
    <w:qFormat/>
    <w:uiPriority w:val="0"/>
    <w:pPr>
      <w:tabs>
        <w:tab w:val="right" w:leader="dot" w:pos="8296"/>
      </w:tabs>
      <w:ind w:left="210"/>
      <w:jc w:val="left"/>
    </w:pPr>
    <w:rPr>
      <w:smallCaps/>
    </w:rPr>
  </w:style>
  <w:style w:type="paragraph" w:styleId="35">
    <w:name w:val="toc 9"/>
    <w:basedOn w:val="1"/>
    <w:next w:val="1"/>
    <w:semiHidden/>
    <w:qFormat/>
    <w:uiPriority w:val="0"/>
    <w:pPr>
      <w:ind w:left="1680"/>
      <w:jc w:val="left"/>
    </w:pPr>
    <w:rPr>
      <w:szCs w:val="21"/>
    </w:rPr>
  </w:style>
  <w:style w:type="paragraph" w:styleId="36">
    <w:name w:val="HTML Preformatted"/>
    <w:basedOn w:val="1"/>
    <w:link w:val="9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7">
    <w:name w:val="Normal (Web)"/>
    <w:basedOn w:val="1"/>
    <w:qFormat/>
    <w:uiPriority w:val="99"/>
    <w:rPr>
      <w:sz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39">
    <w:name w:val="Title"/>
    <w:basedOn w:val="1"/>
    <w:link w:val="93"/>
    <w:qFormat/>
    <w:uiPriority w:val="0"/>
    <w:pPr>
      <w:spacing w:before="240" w:after="60"/>
      <w:jc w:val="center"/>
      <w:outlineLvl w:val="0"/>
    </w:pPr>
    <w:rPr>
      <w:rFonts w:ascii="Arial" w:hAnsi="Arial" w:eastAsia="隶书" w:cs="Arial"/>
      <w:b/>
      <w:bCs/>
      <w:sz w:val="32"/>
      <w:szCs w:val="32"/>
    </w:rPr>
  </w:style>
  <w:style w:type="paragraph" w:styleId="40">
    <w:name w:val="annotation subject"/>
    <w:basedOn w:val="18"/>
    <w:next w:val="18"/>
    <w:link w:val="191"/>
    <w:qFormat/>
    <w:uiPriority w:val="0"/>
    <w:pPr>
      <w:autoSpaceDE/>
      <w:autoSpaceDN/>
      <w:adjustRightInd/>
      <w:textAlignment w:val="auto"/>
    </w:pPr>
    <w:rPr>
      <w:rFonts w:ascii="Times New Roman"/>
      <w:b/>
      <w:bCs/>
      <w:kern w:val="2"/>
      <w:sz w:val="21"/>
      <w:szCs w:val="24"/>
    </w:rPr>
  </w:style>
  <w:style w:type="paragraph" w:styleId="41">
    <w:name w:val="Body Text First Indent"/>
    <w:basedOn w:val="2"/>
    <w:link w:val="136"/>
    <w:qFormat/>
    <w:uiPriority w:val="0"/>
    <w:pPr>
      <w:spacing w:after="120" w:line="240" w:lineRule="auto"/>
      <w:ind w:firstLine="420" w:firstLineChars="100"/>
    </w:pPr>
    <w:rPr>
      <w:sz w:val="21"/>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22"/>
    <w:rPr>
      <w:b/>
      <w:bCs/>
    </w:rPr>
  </w:style>
  <w:style w:type="character" w:styleId="46">
    <w:name w:val="page number"/>
    <w:basedOn w:val="44"/>
    <w:qFormat/>
    <w:uiPriority w:val="0"/>
  </w:style>
  <w:style w:type="character" w:styleId="47">
    <w:name w:val="FollowedHyperlink"/>
    <w:basedOn w:val="44"/>
    <w:qFormat/>
    <w:uiPriority w:val="0"/>
    <w:rPr>
      <w:color w:val="5C5C5C"/>
      <w:u w:val="none"/>
    </w:rPr>
  </w:style>
  <w:style w:type="character" w:styleId="48">
    <w:name w:val="Emphasis"/>
    <w:basedOn w:val="44"/>
    <w:qFormat/>
    <w:uiPriority w:val="0"/>
    <w:rPr>
      <w:b/>
      <w:bCs/>
    </w:rPr>
  </w:style>
  <w:style w:type="character" w:styleId="49">
    <w:name w:val="HTML Definition"/>
    <w:basedOn w:val="44"/>
    <w:semiHidden/>
    <w:unhideWhenUsed/>
    <w:qFormat/>
    <w:uiPriority w:val="0"/>
  </w:style>
  <w:style w:type="character" w:styleId="50">
    <w:name w:val="HTML Typewriter"/>
    <w:basedOn w:val="44"/>
    <w:semiHidden/>
    <w:unhideWhenUsed/>
    <w:qFormat/>
    <w:uiPriority w:val="0"/>
    <w:rPr>
      <w:rFonts w:hint="default" w:ascii="monospace" w:hAnsi="monospace" w:eastAsia="monospace" w:cs="monospace"/>
      <w:sz w:val="20"/>
    </w:rPr>
  </w:style>
  <w:style w:type="character" w:styleId="51">
    <w:name w:val="HTML Acronym"/>
    <w:basedOn w:val="44"/>
    <w:semiHidden/>
    <w:unhideWhenUsed/>
    <w:qFormat/>
    <w:uiPriority w:val="0"/>
  </w:style>
  <w:style w:type="character" w:styleId="52">
    <w:name w:val="HTML Variable"/>
    <w:basedOn w:val="44"/>
    <w:semiHidden/>
    <w:unhideWhenUsed/>
    <w:qFormat/>
    <w:uiPriority w:val="0"/>
  </w:style>
  <w:style w:type="character" w:styleId="53">
    <w:name w:val="Hyperlink"/>
    <w:basedOn w:val="44"/>
    <w:qFormat/>
    <w:uiPriority w:val="0"/>
    <w:rPr>
      <w:color w:val="5C5C5C"/>
      <w:u w:val="none"/>
    </w:rPr>
  </w:style>
  <w:style w:type="character" w:styleId="54">
    <w:name w:val="HTML Code"/>
    <w:basedOn w:val="44"/>
    <w:semiHidden/>
    <w:unhideWhenUsed/>
    <w:qFormat/>
    <w:uiPriority w:val="0"/>
    <w:rPr>
      <w:rFonts w:hint="default" w:ascii="monospace" w:hAnsi="monospace" w:eastAsia="monospace" w:cs="monospace"/>
      <w:sz w:val="20"/>
    </w:rPr>
  </w:style>
  <w:style w:type="character" w:styleId="55">
    <w:name w:val="annotation reference"/>
    <w:basedOn w:val="44"/>
    <w:qFormat/>
    <w:uiPriority w:val="0"/>
    <w:rPr>
      <w:sz w:val="21"/>
      <w:szCs w:val="21"/>
    </w:rPr>
  </w:style>
  <w:style w:type="character" w:styleId="56">
    <w:name w:val="HTML Cite"/>
    <w:basedOn w:val="44"/>
    <w:semiHidden/>
    <w:unhideWhenUsed/>
    <w:qFormat/>
    <w:uiPriority w:val="0"/>
  </w:style>
  <w:style w:type="character" w:styleId="57">
    <w:name w:val="HTML Keyboard"/>
    <w:basedOn w:val="44"/>
    <w:semiHidden/>
    <w:unhideWhenUsed/>
    <w:qFormat/>
    <w:uiPriority w:val="0"/>
    <w:rPr>
      <w:rFonts w:hint="default" w:ascii="monospace" w:hAnsi="monospace" w:eastAsia="monospace" w:cs="monospace"/>
      <w:sz w:val="20"/>
    </w:rPr>
  </w:style>
  <w:style w:type="character" w:styleId="58">
    <w:name w:val="HTML Sample"/>
    <w:basedOn w:val="44"/>
    <w:semiHidden/>
    <w:unhideWhenUsed/>
    <w:qFormat/>
    <w:uiPriority w:val="0"/>
    <w:rPr>
      <w:rFonts w:ascii="monospace" w:hAnsi="monospace" w:eastAsia="monospace" w:cs="monospace"/>
    </w:rPr>
  </w:style>
  <w:style w:type="character" w:customStyle="1" w:styleId="59">
    <w:name w:val="标题 4 字符"/>
    <w:link w:val="6"/>
    <w:qFormat/>
    <w:uiPriority w:val="0"/>
    <w:rPr>
      <w:rFonts w:ascii="Arial" w:hAnsi="Arial" w:eastAsia="黑体"/>
      <w:b/>
      <w:bCs/>
      <w:kern w:val="2"/>
      <w:sz w:val="28"/>
      <w:szCs w:val="28"/>
      <w:lang w:val="en-US" w:eastAsia="zh-CN" w:bidi="ar-SA"/>
    </w:rPr>
  </w:style>
  <w:style w:type="paragraph" w:customStyle="1" w:styleId="6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61">
    <w:name w:val="标题 3 字符"/>
    <w:link w:val="5"/>
    <w:qFormat/>
    <w:uiPriority w:val="0"/>
    <w:rPr>
      <w:rFonts w:ascii="宋体" w:hAnsi="宋体" w:eastAsia="宋体"/>
      <w:b/>
      <w:bCs/>
      <w:kern w:val="2"/>
      <w:sz w:val="28"/>
      <w:szCs w:val="32"/>
      <w:lang w:val="en-US" w:eastAsia="zh-CN" w:bidi="ar-SA"/>
    </w:rPr>
  </w:style>
  <w:style w:type="character" w:customStyle="1" w:styleId="62">
    <w:name w:val="标题 1 字符"/>
    <w:link w:val="4"/>
    <w:qFormat/>
    <w:uiPriority w:val="9"/>
    <w:rPr>
      <w:rFonts w:ascii="宋体" w:hAnsi="宋体" w:eastAsia="黑体"/>
      <w:b/>
      <w:bCs/>
      <w:kern w:val="44"/>
      <w:sz w:val="28"/>
      <w:szCs w:val="44"/>
      <w:lang w:val="en-US" w:eastAsia="zh-CN" w:bidi="ar-SA"/>
    </w:rPr>
  </w:style>
  <w:style w:type="character" w:customStyle="1" w:styleId="63">
    <w:name w:val="正文缩进 字符"/>
    <w:link w:val="9"/>
    <w:qFormat/>
    <w:uiPriority w:val="0"/>
    <w:rPr>
      <w:rFonts w:eastAsia="宋体"/>
      <w:kern w:val="2"/>
      <w:sz w:val="21"/>
      <w:lang w:val="en-US" w:eastAsia="zh-CN" w:bidi="ar-SA"/>
    </w:rPr>
  </w:style>
  <w:style w:type="character" w:customStyle="1" w:styleId="64">
    <w:name w:val="标题 3 Char"/>
    <w:qFormat/>
    <w:uiPriority w:val="9"/>
    <w:rPr>
      <w:rFonts w:ascii="黑体" w:eastAsia="黑体"/>
      <w:bCs/>
      <w:sz w:val="30"/>
    </w:rPr>
  </w:style>
  <w:style w:type="paragraph" w:customStyle="1" w:styleId="65">
    <w:name w:val="样式41"/>
    <w:basedOn w:val="1"/>
    <w:qFormat/>
    <w:uiPriority w:val="0"/>
    <w:pPr>
      <w:numPr>
        <w:ilvl w:val="0"/>
        <w:numId w:val="2"/>
      </w:numPr>
      <w:tabs>
        <w:tab w:val="left" w:pos="945"/>
      </w:tabs>
      <w:spacing w:line="360" w:lineRule="auto"/>
    </w:pPr>
    <w:rPr>
      <w:b/>
      <w:color w:val="000000"/>
      <w:sz w:val="24"/>
      <w:szCs w:val="20"/>
    </w:rPr>
  </w:style>
  <w:style w:type="paragraph" w:customStyle="1" w:styleId="66">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67">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68">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9">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0">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2">
    <w:name w:val="自定义正文"/>
    <w:basedOn w:val="1"/>
    <w:qFormat/>
    <w:uiPriority w:val="0"/>
    <w:pPr>
      <w:spacing w:afterLines="50"/>
      <w:ind w:left="600" w:leftChars="600"/>
    </w:pPr>
  </w:style>
  <w:style w:type="paragraph" w:customStyle="1" w:styleId="73">
    <w:name w:val="Char Char Char Char Char"/>
    <w:basedOn w:val="1"/>
    <w:qFormat/>
    <w:uiPriority w:val="0"/>
    <w:rPr>
      <w:rFonts w:ascii="Tahoma" w:hAnsi="Tahoma"/>
      <w:sz w:val="24"/>
      <w:szCs w:val="20"/>
    </w:rPr>
  </w:style>
  <w:style w:type="paragraph" w:customStyle="1" w:styleId="74">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75">
    <w:name w:val="Char Char"/>
    <w:basedOn w:val="1"/>
    <w:qFormat/>
    <w:uiPriority w:val="0"/>
    <w:rPr>
      <w:rFonts w:ascii="Tahoma" w:hAnsi="Tahoma"/>
      <w:sz w:val="24"/>
      <w:szCs w:val="20"/>
    </w:rPr>
  </w:style>
  <w:style w:type="paragraph" w:customStyle="1" w:styleId="76">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77">
    <w:name w:val="标题 2 字符"/>
    <w:link w:val="7"/>
    <w:qFormat/>
    <w:uiPriority w:val="0"/>
    <w:rPr>
      <w:rFonts w:ascii="宋体" w:hAnsi="宋体" w:eastAsia="宋体"/>
      <w:b/>
      <w:bCs/>
      <w:sz w:val="24"/>
      <w:lang w:val="en-US" w:eastAsia="zh-CN" w:bidi="ar-SA"/>
    </w:rPr>
  </w:style>
  <w:style w:type="paragraph" w:customStyle="1" w:styleId="7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styleId="79">
    <w:name w:val="List Paragraph"/>
    <w:basedOn w:val="1"/>
    <w:qFormat/>
    <w:uiPriority w:val="0"/>
    <w:pPr>
      <w:ind w:firstLine="420" w:firstLineChars="200"/>
    </w:pPr>
    <w:rPr>
      <w:rFonts w:ascii="Calibri" w:hAnsi="Calibri"/>
      <w:szCs w:val="22"/>
    </w:rPr>
  </w:style>
  <w:style w:type="paragraph" w:customStyle="1" w:styleId="80">
    <w:name w:val="USE 1"/>
    <w:basedOn w:val="1"/>
    <w:qFormat/>
    <w:uiPriority w:val="0"/>
    <w:pPr>
      <w:spacing w:line="200" w:lineRule="atLeast"/>
      <w:jc w:val="left"/>
    </w:pPr>
    <w:rPr>
      <w:rFonts w:ascii="宋体" w:hAnsi="宋体"/>
      <w:b/>
      <w:sz w:val="24"/>
      <w:szCs w:val="28"/>
    </w:rPr>
  </w:style>
  <w:style w:type="paragraph" w:customStyle="1" w:styleId="81">
    <w:name w:val="RFI text from 3rd Level"/>
    <w:basedOn w:val="1"/>
    <w:qFormat/>
    <w:uiPriority w:val="0"/>
    <w:pPr>
      <w:widowControl/>
      <w:numPr>
        <w:ilvl w:val="0"/>
        <w:numId w:val="3"/>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82">
    <w:name w:val="正文文字缩进项目"/>
    <w:basedOn w:val="20"/>
    <w:qFormat/>
    <w:uiPriority w:val="0"/>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83">
    <w:name w:val="样式 标题 2 + 段前: 13 磅 段后: 13 磅 行距: 单倍行距"/>
    <w:basedOn w:val="7"/>
    <w:qFormat/>
    <w:uiPriority w:val="0"/>
    <w:pPr>
      <w:adjustRightInd/>
      <w:spacing w:before="0" w:after="0"/>
      <w:jc w:val="both"/>
      <w:textAlignment w:val="auto"/>
    </w:pPr>
    <w:rPr>
      <w:rFonts w:ascii="Cambria" w:hAnsi="Cambria" w:cs="宋体"/>
      <w:kern w:val="2"/>
      <w:sz w:val="32"/>
    </w:rPr>
  </w:style>
  <w:style w:type="character" w:customStyle="1" w:styleId="84">
    <w:name w:val="H4 Char2"/>
    <w:qFormat/>
    <w:uiPriority w:val="0"/>
    <w:rPr>
      <w:rFonts w:ascii="Arial" w:hAnsi="Arial" w:eastAsia="黑体"/>
      <w:b/>
      <w:bCs/>
      <w:kern w:val="2"/>
      <w:sz w:val="28"/>
      <w:szCs w:val="28"/>
      <w:lang w:val="en-US" w:eastAsia="zh-CN" w:bidi="ar-SA"/>
    </w:rPr>
  </w:style>
  <w:style w:type="character" w:customStyle="1" w:styleId="85">
    <w:name w:val="正文文本缩进 字符"/>
    <w:link w:val="20"/>
    <w:qFormat/>
    <w:uiPriority w:val="0"/>
    <w:rPr>
      <w:rFonts w:eastAsia="宋体"/>
      <w:kern w:val="2"/>
      <w:sz w:val="21"/>
      <w:szCs w:val="24"/>
      <w:lang w:val="en-US" w:eastAsia="zh-CN" w:bidi="ar-SA"/>
    </w:rPr>
  </w:style>
  <w:style w:type="character" w:customStyle="1" w:styleId="86">
    <w:name w:val="标题 5 字符"/>
    <w:link w:val="8"/>
    <w:qFormat/>
    <w:uiPriority w:val="0"/>
    <w:rPr>
      <w:rFonts w:eastAsia="宋体"/>
      <w:b/>
      <w:kern w:val="2"/>
      <w:sz w:val="28"/>
      <w:lang w:val="en-US" w:eastAsia="zh-CN" w:bidi="ar-SA"/>
    </w:rPr>
  </w:style>
  <w:style w:type="character" w:customStyle="1" w:styleId="87">
    <w:name w:val="第*章 Char"/>
    <w:qFormat/>
    <w:uiPriority w:val="0"/>
    <w:rPr>
      <w:rFonts w:ascii="Arial" w:hAnsi="Arial" w:eastAsia="黑体"/>
      <w:b/>
      <w:bCs/>
      <w:kern w:val="2"/>
      <w:sz w:val="32"/>
      <w:szCs w:val="32"/>
    </w:rPr>
  </w:style>
  <w:style w:type="character" w:customStyle="1" w:styleId="88">
    <w:name w:val="章标题1 Char"/>
    <w:qFormat/>
    <w:uiPriority w:val="0"/>
    <w:rPr>
      <w:rFonts w:eastAsia="宋体"/>
      <w:b/>
      <w:bCs/>
      <w:kern w:val="2"/>
      <w:sz w:val="32"/>
      <w:szCs w:val="32"/>
      <w:lang w:val="en-US" w:eastAsia="zh-CN" w:bidi="ar-SA"/>
    </w:rPr>
  </w:style>
  <w:style w:type="character" w:customStyle="1" w:styleId="89">
    <w:name w:val="标题 6 字符"/>
    <w:link w:val="10"/>
    <w:qFormat/>
    <w:uiPriority w:val="0"/>
    <w:rPr>
      <w:rFonts w:ascii="Arial" w:hAnsi="Arial" w:eastAsia="黑体"/>
      <w:b/>
      <w:kern w:val="2"/>
      <w:sz w:val="24"/>
      <w:lang w:val="en-US" w:eastAsia="zh-CN" w:bidi="ar-SA"/>
    </w:rPr>
  </w:style>
  <w:style w:type="character" w:customStyle="1" w:styleId="90">
    <w:name w:val="标题 7 字符"/>
    <w:link w:val="11"/>
    <w:qFormat/>
    <w:uiPriority w:val="0"/>
    <w:rPr>
      <w:rFonts w:eastAsia="宋体"/>
      <w:b/>
      <w:kern w:val="2"/>
      <w:sz w:val="24"/>
      <w:lang w:val="en-US" w:eastAsia="zh-CN" w:bidi="ar-SA"/>
    </w:rPr>
  </w:style>
  <w:style w:type="character" w:customStyle="1" w:styleId="91">
    <w:name w:val="标题 8 字符"/>
    <w:link w:val="12"/>
    <w:qFormat/>
    <w:uiPriority w:val="0"/>
    <w:rPr>
      <w:rFonts w:ascii="Arial" w:hAnsi="Arial" w:eastAsia="黑体"/>
      <w:kern w:val="2"/>
      <w:sz w:val="24"/>
      <w:lang w:val="en-US" w:eastAsia="zh-CN" w:bidi="ar-SA"/>
    </w:rPr>
  </w:style>
  <w:style w:type="character" w:customStyle="1" w:styleId="92">
    <w:name w:val="标题 9 字符"/>
    <w:link w:val="13"/>
    <w:qFormat/>
    <w:uiPriority w:val="0"/>
    <w:rPr>
      <w:rFonts w:ascii="Arial" w:hAnsi="Arial" w:eastAsia="黑体"/>
      <w:kern w:val="2"/>
      <w:sz w:val="21"/>
      <w:lang w:val="en-US" w:eastAsia="zh-CN" w:bidi="ar-SA"/>
    </w:rPr>
  </w:style>
  <w:style w:type="character" w:customStyle="1" w:styleId="93">
    <w:name w:val="标题 字符"/>
    <w:link w:val="39"/>
    <w:qFormat/>
    <w:uiPriority w:val="0"/>
    <w:rPr>
      <w:rFonts w:ascii="Arial" w:hAnsi="Arial" w:eastAsia="隶书" w:cs="Arial"/>
      <w:b/>
      <w:bCs/>
      <w:kern w:val="2"/>
      <w:sz w:val="32"/>
      <w:szCs w:val="32"/>
      <w:lang w:val="en-US" w:eastAsia="zh-CN" w:bidi="ar-SA"/>
    </w:rPr>
  </w:style>
  <w:style w:type="character" w:customStyle="1" w:styleId="94">
    <w:name w:val="日期 字符"/>
    <w:link w:val="25"/>
    <w:qFormat/>
    <w:uiPriority w:val="0"/>
    <w:rPr>
      <w:rFonts w:ascii="宋体" w:hAnsi="Courier New" w:eastAsia="宋体"/>
      <w:kern w:val="2"/>
      <w:sz w:val="32"/>
      <w:lang w:val="en-US" w:eastAsia="zh-CN" w:bidi="ar-SA"/>
    </w:rPr>
  </w:style>
  <w:style w:type="character" w:customStyle="1" w:styleId="95">
    <w:name w:val="HTML 预设格式 字符"/>
    <w:link w:val="36"/>
    <w:qFormat/>
    <w:uiPriority w:val="0"/>
    <w:rPr>
      <w:rFonts w:ascii="Arial Unicode MS" w:hAnsi="Arial Unicode MS" w:eastAsia="Arial Unicode MS"/>
      <w:color w:val="000000"/>
      <w:lang w:val="en-US" w:eastAsia="zh-CN" w:bidi="ar-SA"/>
    </w:rPr>
  </w:style>
  <w:style w:type="character" w:customStyle="1" w:styleId="96">
    <w:name w:val="纯文本 字符"/>
    <w:link w:val="23"/>
    <w:qFormat/>
    <w:uiPriority w:val="0"/>
    <w:rPr>
      <w:rFonts w:ascii="宋体" w:hAnsi="Courier New" w:eastAsia="宋体"/>
      <w:kern w:val="2"/>
      <w:sz w:val="21"/>
      <w:lang w:val="en-US" w:eastAsia="zh-CN" w:bidi="ar-SA"/>
    </w:rPr>
  </w:style>
  <w:style w:type="character" w:customStyle="1" w:styleId="97">
    <w:name w:val="正文文字首行缩进 Char"/>
    <w:qFormat/>
    <w:uiPriority w:val="0"/>
    <w:rPr>
      <w:kern w:val="2"/>
      <w:sz w:val="21"/>
      <w:szCs w:val="24"/>
    </w:rPr>
  </w:style>
  <w:style w:type="character" w:customStyle="1" w:styleId="98">
    <w:name w:val="正文文本 字符"/>
    <w:link w:val="2"/>
    <w:qFormat/>
    <w:uiPriority w:val="99"/>
    <w:rPr>
      <w:rFonts w:eastAsia="宋体"/>
      <w:b/>
      <w:bCs/>
      <w:kern w:val="2"/>
      <w:sz w:val="24"/>
      <w:szCs w:val="24"/>
      <w:lang w:val="en-US" w:eastAsia="zh-CN" w:bidi="ar-SA"/>
    </w:rPr>
  </w:style>
  <w:style w:type="character" w:customStyle="1" w:styleId="99">
    <w:name w:val="正文文本缩进 2 字符"/>
    <w:link w:val="26"/>
    <w:qFormat/>
    <w:uiPriority w:val="0"/>
    <w:rPr>
      <w:rFonts w:ascii="宋体" w:hAnsi="宋体" w:eastAsia="宋体"/>
      <w:kern w:val="2"/>
      <w:sz w:val="21"/>
      <w:szCs w:val="24"/>
      <w:lang w:val="en-US" w:eastAsia="zh-CN" w:bidi="ar-SA"/>
    </w:rPr>
  </w:style>
  <w:style w:type="character" w:customStyle="1" w:styleId="100">
    <w:name w:val="页眉 字符"/>
    <w:link w:val="29"/>
    <w:qFormat/>
    <w:uiPriority w:val="99"/>
    <w:rPr>
      <w:rFonts w:eastAsia="宋体"/>
      <w:kern w:val="2"/>
      <w:sz w:val="18"/>
      <w:szCs w:val="18"/>
      <w:lang w:val="en-US" w:eastAsia="zh-CN" w:bidi="ar-SA"/>
    </w:rPr>
  </w:style>
  <w:style w:type="character" w:customStyle="1" w:styleId="101">
    <w:name w:val="正文文本缩进 3 字符"/>
    <w:link w:val="33"/>
    <w:qFormat/>
    <w:uiPriority w:val="0"/>
    <w:rPr>
      <w:rFonts w:ascii="宋体" w:eastAsia="宋体"/>
      <w:b/>
      <w:bCs/>
      <w:kern w:val="2"/>
      <w:sz w:val="24"/>
      <w:szCs w:val="24"/>
      <w:lang w:val="en-US" w:eastAsia="zh-CN" w:bidi="ar-SA"/>
    </w:rPr>
  </w:style>
  <w:style w:type="character" w:customStyle="1" w:styleId="102">
    <w:name w:val="正文文本 2 字符"/>
    <w:link w:val="3"/>
    <w:qFormat/>
    <w:uiPriority w:val="0"/>
    <w:rPr>
      <w:rFonts w:eastAsia="宋体"/>
      <w:kern w:val="2"/>
      <w:sz w:val="24"/>
      <w:szCs w:val="24"/>
      <w:lang w:val="en-US" w:eastAsia="zh-CN" w:bidi="ar-SA"/>
    </w:rPr>
  </w:style>
  <w:style w:type="character" w:customStyle="1" w:styleId="103">
    <w:name w:val="页脚 字符"/>
    <w:link w:val="28"/>
    <w:qFormat/>
    <w:uiPriority w:val="99"/>
    <w:rPr>
      <w:rFonts w:eastAsia="宋体"/>
      <w:kern w:val="2"/>
      <w:sz w:val="18"/>
      <w:szCs w:val="18"/>
      <w:lang w:val="en-US" w:eastAsia="zh-CN" w:bidi="ar-SA"/>
    </w:rPr>
  </w:style>
  <w:style w:type="character" w:customStyle="1" w:styleId="104">
    <w:name w:val="正文文本 3 字符"/>
    <w:link w:val="19"/>
    <w:qFormat/>
    <w:uiPriority w:val="0"/>
    <w:rPr>
      <w:rFonts w:eastAsia="宋体"/>
      <w:kern w:val="2"/>
      <w:sz w:val="16"/>
      <w:szCs w:val="16"/>
      <w:lang w:val="en-US" w:eastAsia="zh-CN" w:bidi="ar-SA"/>
    </w:rPr>
  </w:style>
  <w:style w:type="character" w:customStyle="1" w:styleId="105">
    <w:name w:val="批注框文本 字符"/>
    <w:link w:val="27"/>
    <w:semiHidden/>
    <w:qFormat/>
    <w:uiPriority w:val="0"/>
    <w:rPr>
      <w:rFonts w:eastAsia="宋体"/>
      <w:kern w:val="2"/>
      <w:sz w:val="18"/>
      <w:szCs w:val="18"/>
      <w:lang w:val="en-US" w:eastAsia="zh-CN" w:bidi="ar-SA"/>
    </w:rPr>
  </w:style>
  <w:style w:type="paragraph" w:customStyle="1" w:styleId="106">
    <w:name w:val="样式1"/>
    <w:basedOn w:val="39"/>
    <w:qFormat/>
    <w:uiPriority w:val="0"/>
    <w:pPr>
      <w:spacing w:before="120" w:after="120"/>
    </w:pPr>
    <w:rPr>
      <w:rFonts w:eastAsia="黑体"/>
      <w:b w:val="0"/>
      <w:sz w:val="30"/>
      <w:szCs w:val="21"/>
    </w:rPr>
  </w:style>
  <w:style w:type="paragraph" w:customStyle="1" w:styleId="107">
    <w:name w:val="样式2"/>
    <w:basedOn w:val="39"/>
    <w:next w:val="106"/>
    <w:qFormat/>
    <w:uiPriority w:val="0"/>
    <w:pPr>
      <w:spacing w:before="120" w:after="120"/>
    </w:pPr>
    <w:rPr>
      <w:rFonts w:eastAsia="黑体"/>
      <w:b w:val="0"/>
      <w:sz w:val="30"/>
      <w:szCs w:val="30"/>
    </w:rPr>
  </w:style>
  <w:style w:type="character" w:customStyle="1" w:styleId="108">
    <w:name w:val="标题 3 Char Char"/>
    <w:qFormat/>
    <w:uiPriority w:val="0"/>
    <w:rPr>
      <w:rFonts w:eastAsia="宋体"/>
      <w:b/>
      <w:bCs/>
      <w:kern w:val="2"/>
      <w:sz w:val="32"/>
      <w:szCs w:val="32"/>
      <w:lang w:val="en-US" w:eastAsia="zh-CN" w:bidi="ar-SA"/>
    </w:rPr>
  </w:style>
  <w:style w:type="paragraph" w:customStyle="1" w:styleId="109">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10">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11">
    <w:name w:val="--规划正文"/>
    <w:basedOn w:val="1"/>
    <w:qFormat/>
    <w:uiPriority w:val="0"/>
    <w:pPr>
      <w:spacing w:line="360" w:lineRule="auto"/>
      <w:ind w:firstLine="200" w:firstLineChars="200"/>
    </w:pPr>
    <w:rPr>
      <w:szCs w:val="20"/>
    </w:rPr>
  </w:style>
  <w:style w:type="paragraph" w:customStyle="1" w:styleId="112">
    <w:name w:val="设计依据"/>
    <w:basedOn w:val="2"/>
    <w:qFormat/>
    <w:uiPriority w:val="0"/>
    <w:pPr>
      <w:numPr>
        <w:ilvl w:val="1"/>
        <w:numId w:val="4"/>
      </w:numPr>
      <w:tabs>
        <w:tab w:val="left" w:pos="1440"/>
        <w:tab w:val="clear" w:pos="840"/>
      </w:tabs>
      <w:adjustRightInd w:val="0"/>
      <w:ind w:left="1440"/>
      <w:textAlignment w:val="baseline"/>
    </w:pPr>
    <w:rPr>
      <w:rFonts w:ascii="宋体" w:hAnsi="宋体"/>
      <w:b w:val="0"/>
      <w:kern w:val="0"/>
      <w:sz w:val="28"/>
      <w:szCs w:val="18"/>
    </w:rPr>
  </w:style>
  <w:style w:type="paragraph" w:customStyle="1" w:styleId="113">
    <w:name w:val="方案要点"/>
    <w:basedOn w:val="1"/>
    <w:qFormat/>
    <w:uiPriority w:val="0"/>
    <w:pPr>
      <w:numPr>
        <w:ilvl w:val="0"/>
        <w:numId w:val="4"/>
      </w:numPr>
      <w:spacing w:line="360" w:lineRule="auto"/>
    </w:pPr>
    <w:rPr>
      <w:rFonts w:ascii="仿宋_GB2312" w:hAnsi="宋体" w:eastAsia="仿宋_GB2312"/>
      <w:color w:val="000000"/>
      <w:sz w:val="28"/>
      <w:szCs w:val="28"/>
    </w:rPr>
  </w:style>
  <w:style w:type="paragraph" w:customStyle="1" w:styleId="114">
    <w:name w:val="样式4"/>
    <w:basedOn w:val="1"/>
    <w:qFormat/>
    <w:uiPriority w:val="0"/>
    <w:pPr>
      <w:tabs>
        <w:tab w:val="left" w:pos="842"/>
      </w:tabs>
      <w:spacing w:line="360" w:lineRule="auto"/>
      <w:ind w:left="842" w:hanging="420"/>
    </w:pPr>
    <w:rPr>
      <w:sz w:val="24"/>
    </w:rPr>
  </w:style>
  <w:style w:type="paragraph" w:customStyle="1" w:styleId="115">
    <w:name w:val="文字"/>
    <w:basedOn w:val="1"/>
    <w:qFormat/>
    <w:uiPriority w:val="0"/>
    <w:pPr>
      <w:tabs>
        <w:tab w:val="left" w:pos="8520"/>
      </w:tabs>
      <w:spacing w:line="312" w:lineRule="auto"/>
      <w:ind w:right="-210" w:firstLine="556"/>
    </w:pPr>
    <w:rPr>
      <w:rFonts w:ascii="宋体"/>
      <w:sz w:val="28"/>
      <w:szCs w:val="20"/>
    </w:rPr>
  </w:style>
  <w:style w:type="paragraph" w:customStyle="1" w:styleId="116">
    <w:name w:val="--规划-表格-居左"/>
    <w:basedOn w:val="111"/>
    <w:qFormat/>
    <w:uiPriority w:val="0"/>
    <w:pPr>
      <w:spacing w:line="240" w:lineRule="auto"/>
      <w:ind w:firstLine="0" w:firstLineChars="0"/>
    </w:pPr>
    <w:rPr>
      <w:sz w:val="20"/>
    </w:rPr>
  </w:style>
  <w:style w:type="paragraph" w:customStyle="1" w:styleId="117">
    <w:name w:val="--规划-表格-居中"/>
    <w:basedOn w:val="111"/>
    <w:qFormat/>
    <w:uiPriority w:val="0"/>
    <w:pPr>
      <w:spacing w:line="240" w:lineRule="auto"/>
      <w:ind w:firstLine="0" w:firstLineChars="0"/>
      <w:jc w:val="center"/>
    </w:pPr>
    <w:rPr>
      <w:sz w:val="20"/>
    </w:rPr>
  </w:style>
  <w:style w:type="paragraph" w:customStyle="1" w:styleId="118">
    <w:name w:val="--编号内缩进"/>
    <w:basedOn w:val="1"/>
    <w:qFormat/>
    <w:uiPriority w:val="0"/>
    <w:pPr>
      <w:spacing w:line="360" w:lineRule="auto"/>
      <w:ind w:left="420" w:firstLine="200" w:firstLineChars="200"/>
    </w:pPr>
    <w:rPr>
      <w:szCs w:val="21"/>
    </w:rPr>
  </w:style>
  <w:style w:type="paragraph" w:customStyle="1" w:styleId="119">
    <w:name w:val="--规划-题注"/>
    <w:basedOn w:val="1"/>
    <w:next w:val="111"/>
    <w:qFormat/>
    <w:uiPriority w:val="0"/>
    <w:pPr>
      <w:spacing w:line="360" w:lineRule="auto"/>
      <w:jc w:val="center"/>
    </w:pPr>
    <w:rPr>
      <w:rFonts w:eastAsia="黑体"/>
    </w:rPr>
  </w:style>
  <w:style w:type="paragraph" w:customStyle="1" w:styleId="120">
    <w:name w:val="--规划-图和表"/>
    <w:next w:val="111"/>
    <w:qFormat/>
    <w:uiPriority w:val="0"/>
    <w:pPr>
      <w:jc w:val="center"/>
    </w:pPr>
    <w:rPr>
      <w:rFonts w:ascii="Times New Roman" w:hAnsi="Times New Roman" w:eastAsia="宋体" w:cs="Times New Roman"/>
      <w:kern w:val="2"/>
      <w:sz w:val="21"/>
      <w:lang w:val="en-US" w:eastAsia="zh-CN" w:bidi="ar-SA"/>
    </w:rPr>
  </w:style>
  <w:style w:type="paragraph" w:customStyle="1" w:styleId="121">
    <w:name w:val="--规划-小标题"/>
    <w:basedOn w:val="1"/>
    <w:next w:val="111"/>
    <w:qFormat/>
    <w:uiPriority w:val="0"/>
    <w:pPr>
      <w:keepNext/>
      <w:keepLines/>
      <w:spacing w:line="360" w:lineRule="auto"/>
      <w:outlineLvl w:val="4"/>
    </w:pPr>
    <w:rPr>
      <w:rFonts w:eastAsia="黑体"/>
    </w:rPr>
  </w:style>
  <w:style w:type="paragraph" w:customStyle="1" w:styleId="122">
    <w:name w:val="--规划正文 Char"/>
    <w:basedOn w:val="1"/>
    <w:qFormat/>
    <w:uiPriority w:val="0"/>
    <w:pPr>
      <w:spacing w:line="360" w:lineRule="auto"/>
      <w:ind w:firstLine="200" w:firstLineChars="200"/>
    </w:pPr>
    <w:rPr>
      <w:sz w:val="24"/>
    </w:rPr>
  </w:style>
  <w:style w:type="paragraph" w:customStyle="1" w:styleId="123">
    <w:name w:val="缺省文本"/>
    <w:basedOn w:val="1"/>
    <w:qFormat/>
    <w:uiPriority w:val="0"/>
    <w:pPr>
      <w:autoSpaceDE w:val="0"/>
      <w:autoSpaceDN w:val="0"/>
      <w:adjustRightInd w:val="0"/>
      <w:jc w:val="left"/>
    </w:pPr>
    <w:rPr>
      <w:kern w:val="0"/>
    </w:rPr>
  </w:style>
  <w:style w:type="paragraph" w:customStyle="1" w:styleId="124">
    <w:name w:val="封面文档标题"/>
    <w:basedOn w:val="1"/>
    <w:qFormat/>
    <w:uiPriority w:val="0"/>
    <w:pPr>
      <w:autoSpaceDE w:val="0"/>
      <w:autoSpaceDN w:val="0"/>
      <w:adjustRightInd w:val="0"/>
      <w:spacing w:line="360" w:lineRule="auto"/>
      <w:jc w:val="center"/>
    </w:pPr>
    <w:rPr>
      <w:rFonts w:ascii="Arial" w:hAnsi="Arial"/>
      <w:b/>
      <w:kern w:val="0"/>
      <w:sz w:val="56"/>
    </w:rPr>
  </w:style>
  <w:style w:type="character" w:customStyle="1" w:styleId="125">
    <w:name w:val="--规划正文 Char Char"/>
    <w:qFormat/>
    <w:uiPriority w:val="0"/>
    <w:rPr>
      <w:rFonts w:eastAsia="宋体"/>
      <w:kern w:val="2"/>
      <w:sz w:val="24"/>
      <w:szCs w:val="24"/>
      <w:lang w:val="en-US" w:eastAsia="zh-CN" w:bidi="ar-SA"/>
    </w:rPr>
  </w:style>
  <w:style w:type="paragraph" w:customStyle="1" w:styleId="126">
    <w:name w:val="样式3"/>
    <w:basedOn w:val="4"/>
    <w:qFormat/>
    <w:uiPriority w:val="0"/>
    <w:pPr>
      <w:numPr>
        <w:ilvl w:val="0"/>
        <w:numId w:val="5"/>
      </w:numPr>
      <w:spacing w:before="240" w:after="240" w:line="480" w:lineRule="auto"/>
      <w:ind w:right="210" w:rightChars="100"/>
      <w:jc w:val="left"/>
    </w:pPr>
    <w:rPr>
      <w:rFonts w:ascii="Times New Roman" w:hAnsi="Times New Roman"/>
      <w:sz w:val="32"/>
    </w:rPr>
  </w:style>
  <w:style w:type="character" w:customStyle="1" w:styleId="127">
    <w:name w:val="--规划正文 Char1"/>
    <w:qFormat/>
    <w:uiPriority w:val="0"/>
    <w:rPr>
      <w:rFonts w:eastAsia="宋体"/>
      <w:kern w:val="2"/>
      <w:sz w:val="21"/>
      <w:lang w:val="en-US" w:eastAsia="zh-CN" w:bidi="ar-SA"/>
    </w:rPr>
  </w:style>
  <w:style w:type="paragraph" w:customStyle="1" w:styleId="128">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9">
    <w:name w:val="列表项目"/>
    <w:basedOn w:val="1"/>
    <w:qFormat/>
    <w:uiPriority w:val="0"/>
    <w:pPr>
      <w:tabs>
        <w:tab w:val="left" w:pos="420"/>
        <w:tab w:val="left" w:pos="1080"/>
      </w:tabs>
      <w:spacing w:line="288" w:lineRule="auto"/>
      <w:ind w:left="1080" w:hanging="360"/>
    </w:pPr>
    <w:rPr>
      <w:sz w:val="24"/>
      <w:szCs w:val="20"/>
    </w:rPr>
  </w:style>
  <w:style w:type="character" w:customStyle="1" w:styleId="130">
    <w:name w:val="content1"/>
    <w:qFormat/>
    <w:uiPriority w:val="0"/>
    <w:rPr>
      <w:rFonts w:hint="default" w:ascii="??" w:hAnsi="??"/>
      <w:sz w:val="16"/>
      <w:szCs w:val="16"/>
      <w:u w:val="none"/>
    </w:rPr>
  </w:style>
  <w:style w:type="character" w:customStyle="1" w:styleId="131">
    <w:name w:val="unnamed4"/>
    <w:basedOn w:val="44"/>
    <w:qFormat/>
    <w:uiPriority w:val="0"/>
  </w:style>
  <w:style w:type="character" w:customStyle="1" w:styleId="132">
    <w:name w:val="font2"/>
    <w:basedOn w:val="44"/>
    <w:qFormat/>
    <w:uiPriority w:val="0"/>
  </w:style>
  <w:style w:type="character" w:customStyle="1" w:styleId="133">
    <w:name w:val="font41"/>
    <w:qFormat/>
    <w:uiPriority w:val="0"/>
    <w:rPr>
      <w:color w:val="000000"/>
      <w:spacing w:val="260"/>
      <w:sz w:val="18"/>
      <w:szCs w:val="18"/>
      <w:u w:val="none"/>
    </w:rPr>
  </w:style>
  <w:style w:type="paragraph" w:customStyle="1" w:styleId="134">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35">
    <w:name w:val="xl72"/>
    <w:basedOn w:val="1"/>
    <w:qFormat/>
    <w:uiPriority w:val="0"/>
    <w:pPr>
      <w:widowControl/>
      <w:spacing w:before="100" w:beforeAutospacing="1" w:after="100" w:afterAutospacing="1"/>
      <w:jc w:val="left"/>
    </w:pPr>
    <w:rPr>
      <w:rFonts w:ascii="宋体" w:hAnsi="宋体"/>
      <w:b/>
      <w:bCs/>
      <w:kern w:val="0"/>
      <w:sz w:val="28"/>
      <w:szCs w:val="28"/>
    </w:rPr>
  </w:style>
  <w:style w:type="character" w:customStyle="1" w:styleId="136">
    <w:name w:val="正文文本首行缩进 字符"/>
    <w:link w:val="41"/>
    <w:qFormat/>
    <w:uiPriority w:val="0"/>
    <w:rPr>
      <w:rFonts w:eastAsia="宋体"/>
      <w:b/>
      <w:bCs/>
      <w:kern w:val="2"/>
      <w:sz w:val="21"/>
      <w:szCs w:val="24"/>
      <w:lang w:val="en-US" w:eastAsia="zh-CN" w:bidi="ar-SA"/>
    </w:rPr>
  </w:style>
  <w:style w:type="paragraph" w:customStyle="1" w:styleId="137">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38">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39">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character" w:customStyle="1" w:styleId="140">
    <w:name w:val="mode"/>
    <w:basedOn w:val="44"/>
    <w:qFormat/>
    <w:uiPriority w:val="0"/>
  </w:style>
  <w:style w:type="paragraph" w:customStyle="1" w:styleId="141">
    <w:name w:val="9"/>
    <w:basedOn w:val="1"/>
    <w:next w:val="9"/>
    <w:qFormat/>
    <w:uiPriority w:val="0"/>
    <w:pPr>
      <w:autoSpaceDE w:val="0"/>
      <w:autoSpaceDN w:val="0"/>
      <w:adjustRightInd w:val="0"/>
      <w:ind w:firstLine="420"/>
      <w:jc w:val="left"/>
      <w:textAlignment w:val="baseline"/>
    </w:pPr>
    <w:rPr>
      <w:rFonts w:ascii="宋体"/>
      <w:kern w:val="0"/>
      <w:sz w:val="34"/>
      <w:szCs w:val="20"/>
    </w:rPr>
  </w:style>
  <w:style w:type="character" w:customStyle="1" w:styleId="142">
    <w:name w:val="unnamed3"/>
    <w:basedOn w:val="44"/>
    <w:qFormat/>
    <w:uiPriority w:val="0"/>
  </w:style>
  <w:style w:type="paragraph" w:customStyle="1" w:styleId="143">
    <w:name w:val="8"/>
    <w:basedOn w:val="1"/>
    <w:next w:val="20"/>
    <w:qFormat/>
    <w:uiPriority w:val="0"/>
    <w:pPr>
      <w:spacing w:after="120"/>
      <w:ind w:left="420" w:leftChars="200"/>
    </w:pPr>
  </w:style>
  <w:style w:type="paragraph" w:customStyle="1" w:styleId="144">
    <w:name w:val="7"/>
    <w:basedOn w:val="1"/>
    <w:qFormat/>
    <w:uiPriority w:val="0"/>
    <w:pPr>
      <w:autoSpaceDE w:val="0"/>
      <w:autoSpaceDN w:val="0"/>
      <w:adjustRightInd w:val="0"/>
      <w:spacing w:line="270" w:lineRule="atLeast"/>
      <w:jc w:val="left"/>
    </w:pPr>
    <w:rPr>
      <w:rFonts w:ascii="宋体"/>
      <w:kern w:val="0"/>
      <w:sz w:val="18"/>
      <w:szCs w:val="18"/>
    </w:rPr>
  </w:style>
  <w:style w:type="paragraph" w:customStyle="1" w:styleId="145">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146">
    <w:name w:val="5"/>
    <w:basedOn w:val="1"/>
    <w:qFormat/>
    <w:uiPriority w:val="0"/>
    <w:pPr>
      <w:autoSpaceDE w:val="0"/>
      <w:autoSpaceDN w:val="0"/>
      <w:adjustRightInd w:val="0"/>
      <w:jc w:val="left"/>
    </w:pPr>
    <w:rPr>
      <w:rFonts w:ascii="宋体"/>
      <w:b/>
      <w:bCs/>
      <w:kern w:val="0"/>
      <w:sz w:val="18"/>
      <w:szCs w:val="18"/>
    </w:rPr>
  </w:style>
  <w:style w:type="paragraph" w:customStyle="1" w:styleId="147">
    <w:name w:val="6"/>
    <w:basedOn w:val="146"/>
    <w:qFormat/>
    <w:uiPriority w:val="0"/>
    <w:pPr>
      <w:spacing w:line="270" w:lineRule="atLeast"/>
      <w:jc w:val="both"/>
    </w:pPr>
    <w:rPr>
      <w:b w:val="0"/>
      <w:bCs w:val="0"/>
    </w:rPr>
  </w:style>
  <w:style w:type="paragraph" w:customStyle="1" w:styleId="148">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49">
    <w:name w:val="姜文清定义的正文"/>
    <w:basedOn w:val="1"/>
    <w:qFormat/>
    <w:uiPriority w:val="0"/>
    <w:pPr>
      <w:spacing w:line="240" w:lineRule="atLeast"/>
      <w:ind w:firstLine="567"/>
    </w:pPr>
    <w:rPr>
      <w:szCs w:val="20"/>
    </w:rPr>
  </w:style>
  <w:style w:type="paragraph" w:customStyle="1" w:styleId="150">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51">
    <w:name w:val="CM2"/>
    <w:basedOn w:val="150"/>
    <w:next w:val="150"/>
    <w:qFormat/>
    <w:uiPriority w:val="0"/>
    <w:pPr>
      <w:spacing w:line="200" w:lineRule="atLeast"/>
    </w:pPr>
    <w:rPr>
      <w:rFonts w:ascii="Arial" w:hAnsi="Arial" w:eastAsia="宋体" w:cs="Times New Roman"/>
      <w:color w:val="auto"/>
    </w:rPr>
  </w:style>
  <w:style w:type="paragraph" w:customStyle="1" w:styleId="152">
    <w:name w:val="Normal Paragraph"/>
    <w:basedOn w:val="1"/>
    <w:qFormat/>
    <w:uiPriority w:val="0"/>
    <w:pPr>
      <w:widowControl/>
      <w:spacing w:before="120" w:line="360" w:lineRule="auto"/>
      <w:ind w:firstLine="425"/>
    </w:pPr>
    <w:rPr>
      <w:kern w:val="0"/>
      <w:sz w:val="24"/>
    </w:rPr>
  </w:style>
  <w:style w:type="character" w:customStyle="1" w:styleId="153">
    <w:name w:val="blue"/>
    <w:basedOn w:val="44"/>
    <w:qFormat/>
    <w:uiPriority w:val="0"/>
  </w:style>
  <w:style w:type="paragraph" w:customStyle="1" w:styleId="154">
    <w:name w:val="blue1"/>
    <w:basedOn w:val="1"/>
    <w:qFormat/>
    <w:uiPriority w:val="0"/>
    <w:pPr>
      <w:widowControl/>
      <w:spacing w:before="100" w:beforeAutospacing="1" w:after="100" w:afterAutospacing="1"/>
      <w:jc w:val="left"/>
    </w:pPr>
    <w:rPr>
      <w:rFonts w:ascii="宋体" w:hAnsi="宋体" w:cs="宋体"/>
      <w:kern w:val="0"/>
      <w:sz w:val="24"/>
    </w:rPr>
  </w:style>
  <w:style w:type="character" w:customStyle="1" w:styleId="155">
    <w:name w:val="font"/>
    <w:basedOn w:val="44"/>
    <w:qFormat/>
    <w:uiPriority w:val="0"/>
  </w:style>
  <w:style w:type="character" w:customStyle="1" w:styleId="156">
    <w:name w:val="font11"/>
    <w:qFormat/>
    <w:uiPriority w:val="0"/>
    <w:rPr>
      <w:rFonts w:hint="default" w:ascii="ˎ̥" w:hAnsi="ˎ̥"/>
    </w:rPr>
  </w:style>
  <w:style w:type="paragraph" w:customStyle="1" w:styleId="157">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158">
    <w:name w:val="proddescription"/>
    <w:basedOn w:val="44"/>
    <w:qFormat/>
    <w:uiPriority w:val="0"/>
  </w:style>
  <w:style w:type="character" w:customStyle="1" w:styleId="159">
    <w:name w:val="prodheadlines"/>
    <w:basedOn w:val="44"/>
    <w:qFormat/>
    <w:uiPriority w:val="0"/>
  </w:style>
  <w:style w:type="character" w:customStyle="1" w:styleId="160">
    <w:name w:val="text"/>
    <w:basedOn w:val="44"/>
    <w:qFormat/>
    <w:uiPriority w:val="0"/>
  </w:style>
  <w:style w:type="paragraph" w:customStyle="1" w:styleId="161">
    <w:name w:val="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2">
    <w:name w:val="z-窗体顶端1"/>
    <w:basedOn w:val="1"/>
    <w:next w:val="1"/>
    <w:link w:val="197"/>
    <w:qFormat/>
    <w:uiPriority w:val="0"/>
    <w:pPr>
      <w:widowControl/>
      <w:pBdr>
        <w:bottom w:val="single" w:color="auto" w:sz="6" w:space="1"/>
      </w:pBdr>
      <w:jc w:val="center"/>
    </w:pPr>
    <w:rPr>
      <w:rFonts w:ascii="Arial" w:hAnsi="Arial" w:cs="Arial"/>
      <w:vanish/>
      <w:kern w:val="0"/>
      <w:sz w:val="16"/>
      <w:szCs w:val="16"/>
    </w:rPr>
  </w:style>
  <w:style w:type="paragraph" w:customStyle="1" w:styleId="163">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64">
    <w:name w:val="正文样式"/>
    <w:basedOn w:val="1"/>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65">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66">
    <w:name w:val="段落正文"/>
    <w:basedOn w:val="23"/>
    <w:qFormat/>
    <w:uiPriority w:val="0"/>
    <w:pPr>
      <w:ind w:firstLine="560" w:firstLineChars="200"/>
    </w:pPr>
    <w:rPr>
      <w:sz w:val="28"/>
    </w:rPr>
  </w:style>
  <w:style w:type="character" w:customStyle="1" w:styleId="167">
    <w:name w:val="gray6"/>
    <w:basedOn w:val="44"/>
    <w:qFormat/>
    <w:uiPriority w:val="0"/>
  </w:style>
  <w:style w:type="character" w:customStyle="1" w:styleId="168">
    <w:name w:val="style9"/>
    <w:basedOn w:val="44"/>
    <w:qFormat/>
    <w:uiPriority w:val="0"/>
  </w:style>
  <w:style w:type="paragraph" w:customStyle="1" w:styleId="169">
    <w:name w:val="2册标题4"/>
    <w:basedOn w:val="1"/>
    <w:next w:val="1"/>
    <w:qFormat/>
    <w:uiPriority w:val="0"/>
    <w:pPr>
      <w:spacing w:beforeLines="50" w:afterLines="50" w:line="300" w:lineRule="auto"/>
      <w:ind w:left="420" w:leftChars="200"/>
      <w:outlineLvl w:val="3"/>
    </w:pPr>
    <w:rPr>
      <w:rFonts w:ascii="Arial" w:hAnsi="Arial" w:eastAsia="幼圆" w:cs="Arial"/>
      <w:b/>
      <w:sz w:val="24"/>
    </w:rPr>
  </w:style>
  <w:style w:type="character" w:customStyle="1" w:styleId="170">
    <w:name w:val="grame"/>
    <w:basedOn w:val="44"/>
    <w:qFormat/>
    <w:uiPriority w:val="0"/>
  </w:style>
  <w:style w:type="paragraph" w:customStyle="1" w:styleId="171">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2">
    <w:name w:val="Char1"/>
    <w:basedOn w:val="1"/>
    <w:qFormat/>
    <w:uiPriority w:val="0"/>
    <w:pPr>
      <w:jc w:val="left"/>
    </w:pPr>
    <w:rPr>
      <w:rFonts w:ascii="Tahoma" w:hAnsi="Tahoma"/>
      <w:sz w:val="24"/>
      <w:szCs w:val="20"/>
    </w:rPr>
  </w:style>
  <w:style w:type="paragraph" w:customStyle="1" w:styleId="173">
    <w:name w:val="编号1"/>
    <w:basedOn w:val="1"/>
    <w:qFormat/>
    <w:uiPriority w:val="0"/>
    <w:pPr>
      <w:numPr>
        <w:ilvl w:val="0"/>
        <w:numId w:val="6"/>
      </w:numPr>
      <w:adjustRightInd w:val="0"/>
      <w:spacing w:line="300" w:lineRule="auto"/>
      <w:ind w:right="210"/>
      <w:textAlignment w:val="center"/>
    </w:pPr>
    <w:rPr>
      <w:rFonts w:ascii="宋体" w:hAnsi="宋体"/>
      <w:snapToGrid w:val="0"/>
      <w:spacing w:val="10"/>
      <w:kern w:val="24"/>
    </w:rPr>
  </w:style>
  <w:style w:type="paragraph" w:customStyle="1" w:styleId="174">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75">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7">
    <w:name w:val="font6"/>
    <w:basedOn w:val="1"/>
    <w:qFormat/>
    <w:uiPriority w:val="0"/>
    <w:pPr>
      <w:widowControl/>
      <w:spacing w:before="100" w:beforeAutospacing="1" w:after="100" w:afterAutospacing="1"/>
      <w:jc w:val="left"/>
    </w:pPr>
    <w:rPr>
      <w:kern w:val="0"/>
      <w:sz w:val="24"/>
    </w:rPr>
  </w:style>
  <w:style w:type="paragraph" w:customStyle="1" w:styleId="17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80">
    <w:name w:val="表格字"/>
    <w:basedOn w:val="1"/>
    <w:qFormat/>
    <w:uiPriority w:val="0"/>
    <w:pPr>
      <w:adjustRightInd w:val="0"/>
      <w:jc w:val="center"/>
    </w:pPr>
    <w:rPr>
      <w:rFonts w:ascii="宋体"/>
      <w:sz w:val="24"/>
      <w:szCs w:val="20"/>
    </w:rPr>
  </w:style>
  <w:style w:type="character" w:customStyle="1" w:styleId="181">
    <w:name w:val="样式 小三 加粗"/>
    <w:qFormat/>
    <w:uiPriority w:val="0"/>
    <w:rPr>
      <w:rFonts w:eastAsia="宋体"/>
      <w:b/>
      <w:bCs/>
      <w:sz w:val="32"/>
    </w:rPr>
  </w:style>
  <w:style w:type="paragraph" w:customStyle="1" w:styleId="18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3">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84">
    <w:name w:val="Char Char Char"/>
    <w:basedOn w:val="1"/>
    <w:qFormat/>
    <w:uiPriority w:val="0"/>
    <w:rPr>
      <w:rFonts w:ascii="Tahoma" w:hAnsi="Tahoma"/>
      <w:sz w:val="24"/>
      <w:szCs w:val="20"/>
    </w:rPr>
  </w:style>
  <w:style w:type="paragraph" w:customStyle="1" w:styleId="185">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6">
    <w:name w:val="info4"/>
    <w:basedOn w:val="44"/>
    <w:qFormat/>
    <w:uiPriority w:val="0"/>
  </w:style>
  <w:style w:type="paragraph" w:customStyle="1" w:styleId="187">
    <w:name w:val="缩进正文"/>
    <w:basedOn w:val="1"/>
    <w:link w:val="188"/>
    <w:qFormat/>
    <w:uiPriority w:val="0"/>
    <w:pPr>
      <w:ind w:firstLine="560" w:firstLineChars="200"/>
    </w:pPr>
    <w:rPr>
      <w:rFonts w:eastAsia="仿宋_GB2312" w:cs="宋体"/>
      <w:sz w:val="28"/>
      <w:szCs w:val="20"/>
    </w:rPr>
  </w:style>
  <w:style w:type="character" w:customStyle="1" w:styleId="188">
    <w:name w:val="缩进正文 Char"/>
    <w:link w:val="187"/>
    <w:qFormat/>
    <w:uiPriority w:val="0"/>
    <w:rPr>
      <w:rFonts w:eastAsia="仿宋_GB2312" w:cs="宋体"/>
      <w:kern w:val="2"/>
      <w:sz w:val="28"/>
      <w:lang w:val="en-US" w:eastAsia="zh-CN" w:bidi="ar-SA"/>
    </w:rPr>
  </w:style>
  <w:style w:type="paragraph" w:customStyle="1" w:styleId="189">
    <w:name w:val="列出段落1"/>
    <w:basedOn w:val="1"/>
    <w:link w:val="196"/>
    <w:qFormat/>
    <w:uiPriority w:val="0"/>
    <w:pPr>
      <w:ind w:firstLine="420" w:firstLineChars="200"/>
    </w:pPr>
    <w:rPr>
      <w:rFonts w:ascii="Calibri" w:hAnsi="Calibri" w:cs="Calibri"/>
      <w:szCs w:val="21"/>
    </w:rPr>
  </w:style>
  <w:style w:type="character" w:customStyle="1" w:styleId="190">
    <w:name w:val="批注文字 字符"/>
    <w:basedOn w:val="44"/>
    <w:link w:val="18"/>
    <w:semiHidden/>
    <w:qFormat/>
    <w:uiPriority w:val="0"/>
    <w:rPr>
      <w:rFonts w:ascii="宋体"/>
      <w:sz w:val="34"/>
    </w:rPr>
  </w:style>
  <w:style w:type="character" w:customStyle="1" w:styleId="191">
    <w:name w:val="批注主题 字符"/>
    <w:basedOn w:val="190"/>
    <w:link w:val="40"/>
    <w:qFormat/>
    <w:uiPriority w:val="0"/>
    <w:rPr>
      <w:rFonts w:ascii="宋体"/>
      <w:sz w:val="34"/>
    </w:rPr>
  </w:style>
  <w:style w:type="paragraph" w:customStyle="1" w:styleId="192">
    <w:name w:val="评价"/>
    <w:basedOn w:val="1"/>
    <w:qFormat/>
    <w:uiPriority w:val="0"/>
    <w:pPr>
      <w:spacing w:afterLines="20"/>
      <w:ind w:firstLine="1446" w:firstLineChars="200"/>
    </w:pPr>
    <w:rPr>
      <w:rFonts w:ascii="Calibri" w:hAnsi="Calibri"/>
      <w:sz w:val="24"/>
    </w:rPr>
  </w:style>
  <w:style w:type="paragraph" w:customStyle="1" w:styleId="19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94">
    <w:name w:val="alt-edited1"/>
    <w:qFormat/>
    <w:uiPriority w:val="0"/>
    <w:rPr>
      <w:color w:val="4D90F0"/>
    </w:rPr>
  </w:style>
  <w:style w:type="paragraph" w:customStyle="1" w:styleId="195">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196">
    <w:name w:val="列表段落 字符"/>
    <w:link w:val="189"/>
    <w:qFormat/>
    <w:uiPriority w:val="0"/>
    <w:rPr>
      <w:rFonts w:ascii="Calibri" w:hAnsi="Calibri" w:cs="Calibri"/>
      <w:kern w:val="2"/>
      <w:sz w:val="21"/>
      <w:szCs w:val="21"/>
    </w:rPr>
  </w:style>
  <w:style w:type="character" w:customStyle="1" w:styleId="197">
    <w:name w:val="z-窗体顶端 Char1"/>
    <w:basedOn w:val="44"/>
    <w:link w:val="162"/>
    <w:qFormat/>
    <w:uiPriority w:val="0"/>
    <w:rPr>
      <w:rFonts w:ascii="Arial" w:hAnsi="Arial" w:cs="Arial"/>
      <w:vanish/>
      <w:sz w:val="16"/>
      <w:szCs w:val="16"/>
    </w:rPr>
  </w:style>
  <w:style w:type="character" w:customStyle="1" w:styleId="198">
    <w:name w:val="hover"/>
    <w:basedOn w:val="44"/>
    <w:qFormat/>
    <w:uiPriority w:val="0"/>
  </w:style>
  <w:style w:type="character" w:customStyle="1" w:styleId="199">
    <w:name w:val="hover1"/>
    <w:basedOn w:val="44"/>
    <w:qFormat/>
    <w:uiPriority w:val="0"/>
    <w:rPr>
      <w:color w:val="2590EB"/>
    </w:rPr>
  </w:style>
  <w:style w:type="character" w:customStyle="1" w:styleId="200">
    <w:name w:val="hover2"/>
    <w:basedOn w:val="44"/>
    <w:qFormat/>
    <w:uiPriority w:val="0"/>
    <w:rPr>
      <w:color w:val="2590EB"/>
    </w:rPr>
  </w:style>
  <w:style w:type="character" w:customStyle="1" w:styleId="201">
    <w:name w:val="hover3"/>
    <w:basedOn w:val="44"/>
    <w:qFormat/>
    <w:uiPriority w:val="0"/>
    <w:rPr>
      <w:color w:val="2590EB"/>
      <w:shd w:val="clear" w:color="auto" w:fill="E9F4FD"/>
    </w:rPr>
  </w:style>
  <w:style w:type="character" w:customStyle="1" w:styleId="202">
    <w:name w:val="hover4"/>
    <w:basedOn w:val="44"/>
    <w:qFormat/>
    <w:uiPriority w:val="0"/>
    <w:rPr>
      <w:color w:val="2590EB"/>
      <w:shd w:val="clear" w:color="auto" w:fill="E9F4FD"/>
    </w:rPr>
  </w:style>
  <w:style w:type="character" w:customStyle="1" w:styleId="203">
    <w:name w:val="mini-outputtext1"/>
    <w:basedOn w:val="44"/>
    <w:qFormat/>
    <w:uiPriority w:val="0"/>
  </w:style>
  <w:style w:type="paragraph" w:customStyle="1" w:styleId="20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73</Pages>
  <Words>53987</Words>
  <Characters>57700</Characters>
  <Lines>443</Lines>
  <Paragraphs>124</Paragraphs>
  <TotalTime>131</TotalTime>
  <ScaleCrop>false</ScaleCrop>
  <LinksUpToDate>false</LinksUpToDate>
  <CharactersWithSpaces>60109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2023-06-08T13:43:00Z</dcterms:created>
  <dc:creator>thsware</dc:creator>
  <cp:lastModifiedBy>是创不是灿</cp:lastModifiedBy>
  <cp:lastPrinted>2023-06-09T01:02:00Z</cp:lastPrinted>
  <dcterms:modified xsi:type="dcterms:W3CDTF">2023-06-09T10:35:14Z</dcterms:modified>
  <dc:title>招  标　文　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05199E28708E402F9E13850709E9C162_13</vt:lpwstr>
  </property>
</Properties>
</file>