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60288;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深圳市学校校园安保服务项目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90"/>
        </w:rPr>
      </w:pPr>
      <w:r>
        <w:rPr>
          <w:rFonts w:hint="eastAsia" w:ascii="经典标宋简" w:eastAsia="经典标宋简"/>
          <w:b/>
          <w:snapToGrid w:val="0"/>
          <w:kern w:val="0"/>
          <w:sz w:val="90"/>
        </w:rPr>
        <w:t>招　标　文　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FTDL2021182919</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
    <w:p/>
    <w:p>
      <w:pPr>
        <w:pStyle w:val="28"/>
        <w:adjustRightInd w:val="0"/>
        <w:snapToGrid w:val="0"/>
        <w:spacing w:line="300" w:lineRule="auto"/>
        <w:ind w:hanging="835"/>
        <w:jc w:val="center"/>
        <w:rPr>
          <w:b/>
          <w:snapToGrid w:val="0"/>
          <w:sz w:val="30"/>
        </w:rPr>
      </w:pPr>
      <w:r>
        <w:rPr>
          <w:rFonts w:hint="eastAsia"/>
          <w:b/>
          <w:snapToGrid w:val="0"/>
          <w:sz w:val="30"/>
        </w:rPr>
        <w:t>二〇二一年</w:t>
      </w:r>
      <w:r>
        <w:rPr>
          <w:rFonts w:hint="eastAsia"/>
          <w:b/>
          <w:snapToGrid w:val="0"/>
          <w:sz w:val="30"/>
          <w:lang w:eastAsia="zh-CN"/>
        </w:rPr>
        <w:t>三</w:t>
      </w:r>
      <w:r>
        <w:rPr>
          <w:rFonts w:hint="eastAsia"/>
          <w:b/>
          <w:snapToGrid w:val="0"/>
          <w:sz w:val="30"/>
        </w:rPr>
        <w:t>月</w:t>
      </w:r>
    </w:p>
    <w:p/>
    <w:p>
      <w:pPr>
        <w:widowControl/>
        <w:jc w:val="left"/>
        <w:rPr>
          <w:b/>
          <w:kern w:val="0"/>
          <w:sz w:val="28"/>
          <w:szCs w:val="28"/>
        </w:rPr>
      </w:pPr>
      <w:r>
        <w:rPr>
          <w:b/>
          <w:kern w:val="0"/>
          <w:sz w:val="28"/>
          <w:szCs w:val="28"/>
        </w:rPr>
        <w:br w:type="page"/>
      </w:r>
    </w:p>
    <w:p>
      <w:pPr>
        <w:adjustRightInd w:val="0"/>
        <w:snapToGrid w:val="0"/>
        <w:spacing w:line="300" w:lineRule="auto"/>
        <w:jc w:val="left"/>
        <w:rPr>
          <w:b/>
          <w:kern w:val="0"/>
          <w:sz w:val="28"/>
          <w:szCs w:val="28"/>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警示条款</w:t>
      </w:r>
    </w:p>
    <w:p>
      <w:pPr>
        <w:spacing w:line="360" w:lineRule="auto"/>
        <w:ind w:firstLine="480" w:firstLineChars="200"/>
        <w:rPr>
          <w:rFonts w:ascii="宋体" w:hAnsi="宋体"/>
          <w:sz w:val="24"/>
        </w:rPr>
      </w:pPr>
    </w:p>
    <w:p>
      <w:pPr>
        <w:spacing w:line="360" w:lineRule="auto"/>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360" w:lineRule="auto"/>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360" w:lineRule="auto"/>
        <w:ind w:firstLine="480" w:firstLineChars="200"/>
        <w:rPr>
          <w:rFonts w:ascii="仿宋" w:hAnsi="仿宋" w:eastAsia="仿宋"/>
          <w:sz w:val="24"/>
        </w:rPr>
      </w:pPr>
      <w:r>
        <w:rPr>
          <w:rFonts w:hint="eastAsia" w:ascii="仿宋" w:hAnsi="仿宋" w:eastAsia="仿宋"/>
          <w:sz w:val="24"/>
        </w:rPr>
        <w:t>（三）隐瞒真实情况，提供虚假资料的；</w:t>
      </w:r>
    </w:p>
    <w:p>
      <w:pPr>
        <w:spacing w:line="360" w:lineRule="auto"/>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360" w:lineRule="auto"/>
        <w:ind w:firstLine="480" w:firstLineChars="200"/>
        <w:rPr>
          <w:rFonts w:ascii="仿宋" w:hAnsi="仿宋" w:eastAsia="仿宋"/>
          <w:sz w:val="24"/>
        </w:rPr>
      </w:pPr>
      <w:r>
        <w:rPr>
          <w:rFonts w:hint="eastAsia" w:ascii="仿宋" w:hAnsi="仿宋" w:eastAsia="仿宋"/>
          <w:sz w:val="24"/>
        </w:rPr>
        <w:t>（五）与其他采购参加人串通投标的；</w:t>
      </w:r>
    </w:p>
    <w:p>
      <w:pPr>
        <w:spacing w:line="360" w:lineRule="auto"/>
        <w:ind w:firstLine="480" w:firstLineChars="200"/>
        <w:rPr>
          <w:rFonts w:ascii="仿宋" w:hAnsi="仿宋" w:eastAsia="仿宋"/>
          <w:sz w:val="24"/>
        </w:rPr>
      </w:pPr>
      <w:r>
        <w:rPr>
          <w:rFonts w:hint="eastAsia" w:ascii="仿宋" w:hAnsi="仿宋" w:eastAsia="仿宋"/>
          <w:sz w:val="24"/>
        </w:rPr>
        <w:t>（六）恶意投诉的；</w:t>
      </w:r>
    </w:p>
    <w:p>
      <w:pPr>
        <w:spacing w:line="360" w:lineRule="auto"/>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360" w:lineRule="auto"/>
        <w:ind w:firstLine="480" w:firstLineChars="200"/>
        <w:rPr>
          <w:rFonts w:ascii="仿宋" w:hAnsi="仿宋" w:eastAsia="仿宋"/>
          <w:sz w:val="24"/>
        </w:rPr>
      </w:pPr>
      <w:r>
        <w:rPr>
          <w:rFonts w:hint="eastAsia" w:ascii="仿宋" w:hAnsi="仿宋" w:eastAsia="仿宋"/>
          <w:sz w:val="24"/>
        </w:rPr>
        <w:t>（八）阻碍、抗拒主管部门监督检查的；</w:t>
      </w:r>
    </w:p>
    <w:p>
      <w:pPr>
        <w:spacing w:line="360" w:lineRule="auto"/>
        <w:ind w:firstLine="480" w:firstLineChars="200"/>
        <w:rPr>
          <w:rFonts w:ascii="仿宋" w:hAnsi="仿宋" w:eastAsia="仿宋"/>
          <w:sz w:val="24"/>
        </w:rPr>
      </w:pPr>
      <w:r>
        <w:rPr>
          <w:rFonts w:hint="eastAsia" w:ascii="仿宋" w:hAnsi="仿宋" w:eastAsia="仿宋"/>
          <w:sz w:val="24"/>
        </w:rPr>
        <w:t>（九）其他违反本条例规定的行为。</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二、根据《深圳市财政局关于明确政府采购保证金管理工作的通知》（深财购</w:t>
      </w:r>
      <w:r>
        <w:rPr>
          <w:rFonts w:ascii="仿宋" w:hAnsi="仿宋" w:eastAsia="仿宋"/>
          <w:sz w:val="24"/>
        </w:rPr>
        <w:t>[2019]42</w:t>
      </w:r>
      <w:r>
        <w:rPr>
          <w:rFonts w:hint="eastAsia" w:ascii="仿宋" w:hAnsi="仿宋" w:eastAsia="仿宋"/>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pPr>
        <w:spacing w:line="360" w:lineRule="auto"/>
        <w:ind w:firstLine="480" w:firstLineChars="200"/>
        <w:rPr>
          <w:rFonts w:ascii="仿宋" w:hAnsi="仿宋" w:eastAsia="仿宋"/>
          <w:sz w:val="24"/>
        </w:rPr>
      </w:pPr>
      <w:r>
        <w:rPr>
          <w:rFonts w:hint="eastAsia" w:ascii="仿宋" w:hAnsi="仿宋" w:eastAsia="仿宋"/>
          <w:sz w:val="24"/>
        </w:rPr>
        <w:t>（一）投标截止后，撤销投标的；</w:t>
      </w:r>
    </w:p>
    <w:p>
      <w:pPr>
        <w:spacing w:line="360" w:lineRule="auto"/>
        <w:ind w:firstLine="480" w:firstLineChars="200"/>
        <w:rPr>
          <w:rFonts w:ascii="仿宋" w:hAnsi="仿宋" w:eastAsia="仿宋"/>
          <w:sz w:val="24"/>
        </w:rPr>
      </w:pPr>
      <w:r>
        <w:rPr>
          <w:rFonts w:hint="eastAsia" w:ascii="仿宋" w:hAnsi="仿宋" w:eastAsia="仿宋"/>
          <w:sz w:val="24"/>
        </w:rPr>
        <w:t>（二）中标后无正当理由未在规定期限内签订合同的；</w:t>
      </w:r>
    </w:p>
    <w:p>
      <w:pPr>
        <w:spacing w:line="360" w:lineRule="auto"/>
        <w:ind w:firstLine="480" w:firstLineChars="200"/>
        <w:rPr>
          <w:rFonts w:ascii="仿宋" w:hAnsi="仿宋" w:eastAsia="仿宋"/>
          <w:sz w:val="24"/>
        </w:rPr>
      </w:pPr>
      <w:r>
        <w:rPr>
          <w:rFonts w:hint="eastAsia" w:ascii="仿宋" w:hAnsi="仿宋" w:eastAsia="仿宋"/>
          <w:sz w:val="24"/>
        </w:rPr>
        <w:t>（三）将中标项目转让给他人、或者在投标文件中未说明且未经采购人、采购招标机构同意，将中标项目分包给他人的；</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（四）拒绝履行合同义务的。</w:t>
      </w:r>
    </w:p>
    <w:p>
      <w:pPr>
        <w:widowControl/>
        <w:spacing w:line="360" w:lineRule="auto"/>
        <w:ind w:firstLine="480" w:firstLineChars="200"/>
        <w:jc w:val="left"/>
        <w:rPr>
          <w:rFonts w:ascii="宋体" w:hAnsi="宋体"/>
          <w:sz w:val="24"/>
        </w:rPr>
      </w:pPr>
    </w:p>
    <w:p>
      <w:pPr>
        <w:widowControl/>
        <w:spacing w:line="360" w:lineRule="auto"/>
        <w:ind w:firstLine="480" w:firstLineChars="200"/>
        <w:jc w:val="left"/>
        <w:rPr>
          <w:rFonts w:ascii="宋体" w:hAnsi="宋体"/>
          <w:sz w:val="24"/>
        </w:rPr>
      </w:pPr>
    </w:p>
    <w:p>
      <w:pPr>
        <w:widowControl/>
        <w:jc w:val="left"/>
      </w:pPr>
      <w:r>
        <w:br w:type="page"/>
      </w:r>
    </w:p>
    <w:p/>
    <w:sdt>
      <w:sdtPr>
        <w:rPr>
          <w:rFonts w:ascii="Times New Roman" w:hAnsi="Times New Roman" w:eastAsia="宋体" w:cs="Times New Roman"/>
          <w:b w:val="0"/>
          <w:bCs w:val="0"/>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504"/>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rPr>
              <w:lang w:val="zh-CN"/>
            </w:rPr>
          </w:pP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TOC \o "1-3" \h \z \u </w:instrText>
          </w:r>
          <w:r>
            <w:fldChar w:fldCharType="separate"/>
          </w:r>
          <w:r>
            <w:fldChar w:fldCharType="begin"/>
          </w:r>
          <w:r>
            <w:instrText xml:space="preserve"> HYPERLINK \l "_Toc45030741" </w:instrText>
          </w:r>
          <w:r>
            <w:fldChar w:fldCharType="separate"/>
          </w:r>
          <w:r>
            <w:rPr>
              <w:rStyle w:val="57"/>
              <w:rFonts w:hint="eastAsia" w:ascii="仿宋" w:hAnsi="仿宋" w:eastAsia="仿宋"/>
              <w:sz w:val="24"/>
            </w:rPr>
            <w:t>第一章</w:t>
          </w:r>
          <w:r>
            <w:rPr>
              <w:rStyle w:val="57"/>
              <w:rFonts w:ascii="仿宋" w:hAnsi="仿宋" w:eastAsia="仿宋"/>
              <w:sz w:val="24"/>
            </w:rPr>
            <w:t xml:space="preserve">  </w:t>
          </w:r>
          <w:r>
            <w:rPr>
              <w:rStyle w:val="57"/>
              <w:rFonts w:hint="eastAsia" w:ascii="仿宋" w:hAnsi="仿宋" w:eastAsia="仿宋"/>
              <w:sz w:val="24"/>
            </w:rPr>
            <w:t>投标邀请</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_Toc45030741 \h </w:instrText>
          </w:r>
          <w:r>
            <w:rPr>
              <w:rFonts w:ascii="仿宋" w:hAnsi="仿宋" w:eastAsia="仿宋"/>
              <w:sz w:val="24"/>
            </w:rPr>
            <w:fldChar w:fldCharType="separate"/>
          </w:r>
          <w:r>
            <w:rPr>
              <w:rFonts w:ascii="仿宋" w:hAnsi="仿宋" w:eastAsia="仿宋"/>
              <w:sz w:val="24"/>
            </w:rPr>
            <w:t>4</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"_Toc45030742" </w:instrText>
          </w:r>
          <w:r>
            <w:fldChar w:fldCharType="separate"/>
          </w:r>
          <w:r>
            <w:rPr>
              <w:rStyle w:val="57"/>
              <w:rFonts w:hint="eastAsia" w:ascii="仿宋" w:hAnsi="仿宋" w:eastAsia="仿宋"/>
              <w:sz w:val="24"/>
            </w:rPr>
            <w:t>第二章</w:t>
          </w:r>
          <w:r>
            <w:rPr>
              <w:rStyle w:val="57"/>
              <w:rFonts w:ascii="仿宋" w:hAnsi="仿宋" w:eastAsia="仿宋"/>
              <w:sz w:val="24"/>
            </w:rPr>
            <w:t xml:space="preserve">  </w:t>
          </w:r>
          <w:r>
            <w:rPr>
              <w:rStyle w:val="57"/>
              <w:rFonts w:hint="eastAsia" w:ascii="仿宋" w:hAnsi="仿宋" w:eastAsia="仿宋"/>
              <w:sz w:val="24"/>
            </w:rPr>
            <w:t>项目需求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_Toc45030742 \h </w:instrText>
          </w:r>
          <w:r>
            <w:rPr>
              <w:rFonts w:ascii="仿宋" w:hAnsi="仿宋" w:eastAsia="仿宋"/>
              <w:sz w:val="24"/>
            </w:rPr>
            <w:fldChar w:fldCharType="separate"/>
          </w:r>
          <w:r>
            <w:rPr>
              <w:rFonts w:ascii="仿宋" w:hAnsi="仿宋" w:eastAsia="仿宋"/>
              <w:sz w:val="24"/>
            </w:rPr>
            <w:t>7</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"_Toc45030743" </w:instrText>
          </w:r>
          <w:r>
            <w:fldChar w:fldCharType="separate"/>
          </w:r>
          <w:r>
            <w:rPr>
              <w:rStyle w:val="57"/>
              <w:rFonts w:hint="eastAsia" w:ascii="仿宋" w:hAnsi="仿宋" w:eastAsia="仿宋"/>
              <w:sz w:val="24"/>
            </w:rPr>
            <w:t>第三章</w:t>
          </w:r>
          <w:r>
            <w:rPr>
              <w:rStyle w:val="57"/>
              <w:rFonts w:ascii="仿宋" w:hAnsi="仿宋" w:eastAsia="仿宋"/>
              <w:sz w:val="24"/>
            </w:rPr>
            <w:t xml:space="preserve">  </w:t>
          </w:r>
          <w:r>
            <w:rPr>
              <w:rStyle w:val="57"/>
              <w:rFonts w:hint="eastAsia" w:ascii="仿宋" w:hAnsi="仿宋" w:eastAsia="仿宋"/>
              <w:sz w:val="24"/>
            </w:rPr>
            <w:t>投标文件初审</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_Toc45030743 \h </w:instrText>
          </w:r>
          <w:r>
            <w:rPr>
              <w:rFonts w:ascii="仿宋" w:hAnsi="仿宋" w:eastAsia="仿宋"/>
              <w:sz w:val="24"/>
            </w:rPr>
            <w:fldChar w:fldCharType="separate"/>
          </w:r>
          <w:r>
            <w:rPr>
              <w:rFonts w:ascii="仿宋" w:hAnsi="仿宋" w:eastAsia="仿宋"/>
              <w:sz w:val="24"/>
            </w:rPr>
            <w:t>8</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"_Toc45030744" </w:instrText>
          </w:r>
          <w:r>
            <w:fldChar w:fldCharType="separate"/>
          </w:r>
          <w:r>
            <w:rPr>
              <w:rStyle w:val="57"/>
              <w:rFonts w:hint="eastAsia" w:ascii="仿宋" w:hAnsi="仿宋" w:eastAsia="仿宋"/>
              <w:sz w:val="24"/>
            </w:rPr>
            <w:t>第四章</w:t>
          </w:r>
          <w:r>
            <w:rPr>
              <w:rStyle w:val="57"/>
              <w:rFonts w:ascii="仿宋" w:hAnsi="仿宋" w:eastAsia="仿宋"/>
              <w:sz w:val="24"/>
            </w:rPr>
            <w:t xml:space="preserve">  </w:t>
          </w:r>
          <w:r>
            <w:rPr>
              <w:rStyle w:val="57"/>
              <w:rFonts w:hint="eastAsia" w:ascii="仿宋" w:hAnsi="仿宋" w:eastAsia="仿宋"/>
              <w:sz w:val="24"/>
            </w:rPr>
            <w:t>评标方法和标准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_Toc45030744 \h </w:instrText>
          </w:r>
          <w:r>
            <w:rPr>
              <w:rFonts w:ascii="仿宋" w:hAnsi="仿宋" w:eastAsia="仿宋"/>
              <w:sz w:val="24"/>
            </w:rPr>
            <w:fldChar w:fldCharType="separate"/>
          </w:r>
          <w:r>
            <w:rPr>
              <w:rFonts w:ascii="仿宋" w:hAnsi="仿宋" w:eastAsia="仿宋"/>
              <w:sz w:val="24"/>
            </w:rPr>
            <w:t>9</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"_Toc45030745" </w:instrText>
          </w:r>
          <w:r>
            <w:fldChar w:fldCharType="separate"/>
          </w:r>
          <w:r>
            <w:rPr>
              <w:rStyle w:val="57"/>
              <w:rFonts w:hint="eastAsia" w:ascii="仿宋" w:hAnsi="仿宋" w:eastAsia="仿宋"/>
              <w:sz w:val="24"/>
            </w:rPr>
            <w:t>一、评标方法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_Toc45030745 \h </w:instrText>
          </w:r>
          <w:r>
            <w:rPr>
              <w:rFonts w:ascii="仿宋" w:hAnsi="仿宋" w:eastAsia="仿宋"/>
              <w:sz w:val="24"/>
            </w:rPr>
            <w:fldChar w:fldCharType="separate"/>
          </w:r>
          <w:r>
            <w:rPr>
              <w:rFonts w:ascii="仿宋" w:hAnsi="仿宋" w:eastAsia="仿宋"/>
              <w:sz w:val="24"/>
            </w:rPr>
            <w:t>9</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"_Toc45030746" </w:instrText>
          </w:r>
          <w:r>
            <w:fldChar w:fldCharType="separate"/>
          </w:r>
          <w:r>
            <w:rPr>
              <w:rStyle w:val="57"/>
              <w:rFonts w:hint="eastAsia" w:ascii="仿宋" w:hAnsi="仿宋" w:eastAsia="仿宋"/>
              <w:sz w:val="24"/>
            </w:rPr>
            <w:t>二、评标标准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_Toc45030746 \h </w:instrText>
          </w:r>
          <w:r>
            <w:rPr>
              <w:rFonts w:ascii="仿宋" w:hAnsi="仿宋" w:eastAsia="仿宋"/>
              <w:sz w:val="24"/>
            </w:rPr>
            <w:fldChar w:fldCharType="separate"/>
          </w:r>
          <w:r>
            <w:rPr>
              <w:rFonts w:ascii="仿宋" w:hAnsi="仿宋" w:eastAsia="仿宋"/>
              <w:sz w:val="24"/>
            </w:rPr>
            <w:t>9</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"_Toc45030747" </w:instrText>
          </w:r>
          <w:r>
            <w:fldChar w:fldCharType="separate"/>
          </w:r>
          <w:r>
            <w:rPr>
              <w:rStyle w:val="57"/>
              <w:rFonts w:hint="eastAsia" w:ascii="仿宋" w:hAnsi="仿宋" w:eastAsia="仿宋"/>
              <w:sz w:val="24"/>
            </w:rPr>
            <w:t>备注：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_Toc45030747 \h </w:instrText>
          </w:r>
          <w:r>
            <w:rPr>
              <w:rFonts w:ascii="仿宋" w:hAnsi="仿宋" w:eastAsia="仿宋"/>
              <w:sz w:val="24"/>
            </w:rPr>
            <w:fldChar w:fldCharType="separate"/>
          </w:r>
          <w:r>
            <w:rPr>
              <w:rFonts w:ascii="仿宋" w:hAnsi="仿宋" w:eastAsia="仿宋"/>
              <w:sz w:val="24"/>
            </w:rPr>
            <w:t>13</w:t>
          </w:r>
          <w:r>
            <w:rPr>
              <w:rFonts w:ascii="仿宋" w:hAnsi="仿宋" w:eastAsia="仿宋"/>
              <w:sz w:val="24"/>
            </w:rPr>
            <w:fldChar w:fldCharType="end"/>
          </w:r>
          <w:r>
            <w:rPr>
              <w:rFonts w:ascii="仿宋" w:hAnsi="仿宋" w:eastAsia="仿宋"/>
              <w:sz w:val="24"/>
            </w:rPr>
            <w:fldChar w:fldCharType="end"/>
          </w:r>
        </w:p>
        <w:p>
          <w:pPr>
            <w:pStyle w:val="25"/>
            <w:tabs>
              <w:tab w:val="right" w:leader="dot" w:pos="9628"/>
            </w:tabs>
            <w:spacing w:line="360" w:lineRule="auto"/>
            <w:rPr>
              <w:rFonts w:ascii="仿宋" w:hAnsi="仿宋" w:eastAsia="仿宋" w:cstheme="minorBidi"/>
              <w:iCs w:val="0"/>
              <w:sz w:val="24"/>
            </w:rPr>
          </w:pPr>
          <w:r>
            <w:fldChar w:fldCharType="begin"/>
          </w:r>
          <w:r>
            <w:instrText xml:space="preserve"> HYPERLINK \l "_Toc45030748" </w:instrText>
          </w:r>
          <w:r>
            <w:fldChar w:fldCharType="separate"/>
          </w:r>
          <w:r>
            <w:rPr>
              <w:rStyle w:val="57"/>
              <w:rFonts w:ascii="仿宋" w:hAnsi="仿宋" w:eastAsia="仿宋"/>
              <w:sz w:val="24"/>
            </w:rPr>
            <w:t>1</w:t>
          </w:r>
          <w:r>
            <w:rPr>
              <w:rStyle w:val="57"/>
              <w:rFonts w:hint="eastAsia" w:ascii="仿宋" w:hAnsi="仿宋" w:eastAsia="仿宋"/>
              <w:sz w:val="24"/>
            </w:rPr>
            <w:t>、资质证书有效期</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_Toc45030748 \h </w:instrText>
          </w:r>
          <w:r>
            <w:rPr>
              <w:rFonts w:ascii="仿宋" w:hAnsi="仿宋" w:eastAsia="仿宋"/>
              <w:sz w:val="24"/>
            </w:rPr>
            <w:fldChar w:fldCharType="separate"/>
          </w:r>
          <w:r>
            <w:rPr>
              <w:rFonts w:ascii="仿宋" w:hAnsi="仿宋" w:eastAsia="仿宋"/>
              <w:sz w:val="24"/>
            </w:rPr>
            <w:t>13</w:t>
          </w:r>
          <w:r>
            <w:rPr>
              <w:rFonts w:ascii="仿宋" w:hAnsi="仿宋" w:eastAsia="仿宋"/>
              <w:sz w:val="24"/>
            </w:rPr>
            <w:fldChar w:fldCharType="end"/>
          </w:r>
          <w:r>
            <w:rPr>
              <w:rFonts w:ascii="仿宋" w:hAnsi="仿宋" w:eastAsia="仿宋"/>
              <w:sz w:val="24"/>
            </w:rPr>
            <w:fldChar w:fldCharType="end"/>
          </w:r>
        </w:p>
        <w:p>
          <w:pPr>
            <w:pStyle w:val="25"/>
            <w:tabs>
              <w:tab w:val="right" w:leader="dot" w:pos="9628"/>
            </w:tabs>
            <w:spacing w:line="360" w:lineRule="auto"/>
            <w:rPr>
              <w:rFonts w:ascii="仿宋" w:hAnsi="仿宋" w:eastAsia="仿宋" w:cstheme="minorBidi"/>
              <w:iCs w:val="0"/>
              <w:sz w:val="24"/>
            </w:rPr>
          </w:pPr>
          <w:r>
            <w:fldChar w:fldCharType="begin"/>
          </w:r>
          <w:r>
            <w:instrText xml:space="preserve"> HYPERLINK \l "_Toc45030749" </w:instrText>
          </w:r>
          <w:r>
            <w:fldChar w:fldCharType="separate"/>
          </w:r>
          <w:r>
            <w:rPr>
              <w:rStyle w:val="57"/>
              <w:rFonts w:ascii="仿宋" w:hAnsi="仿宋" w:eastAsia="仿宋"/>
              <w:sz w:val="24"/>
            </w:rPr>
            <w:t>2</w:t>
          </w:r>
          <w:r>
            <w:rPr>
              <w:rStyle w:val="57"/>
              <w:rFonts w:hint="eastAsia" w:ascii="仿宋" w:hAnsi="仿宋" w:eastAsia="仿宋"/>
              <w:sz w:val="24"/>
            </w:rPr>
            <w:t>、政府采购优惠政策</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_Toc45030749 \h </w:instrText>
          </w:r>
          <w:r>
            <w:rPr>
              <w:rFonts w:ascii="仿宋" w:hAnsi="仿宋" w:eastAsia="仿宋"/>
              <w:sz w:val="24"/>
            </w:rPr>
            <w:fldChar w:fldCharType="separate"/>
          </w:r>
          <w:r>
            <w:rPr>
              <w:rFonts w:ascii="仿宋" w:hAnsi="仿宋" w:eastAsia="仿宋"/>
              <w:sz w:val="24"/>
            </w:rPr>
            <w:t>14</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"_Toc45030750" </w:instrText>
          </w:r>
          <w:r>
            <w:fldChar w:fldCharType="separate"/>
          </w:r>
          <w:r>
            <w:rPr>
              <w:rStyle w:val="57"/>
              <w:rFonts w:hint="eastAsia" w:ascii="仿宋" w:hAnsi="仿宋" w:eastAsia="仿宋"/>
              <w:sz w:val="24"/>
            </w:rPr>
            <w:t>第五章</w:t>
          </w:r>
          <w:r>
            <w:rPr>
              <w:rStyle w:val="57"/>
              <w:rFonts w:ascii="仿宋" w:hAnsi="仿宋" w:eastAsia="仿宋"/>
              <w:sz w:val="24"/>
            </w:rPr>
            <w:t xml:space="preserve">  </w:t>
          </w:r>
          <w:r>
            <w:rPr>
              <w:rStyle w:val="57"/>
              <w:rFonts w:hint="eastAsia" w:ascii="仿宋" w:hAnsi="仿宋" w:eastAsia="仿宋"/>
              <w:sz w:val="24"/>
            </w:rPr>
            <w:t>投标人须知前附表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_Toc45030750 \h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"_Toc45030751" </w:instrText>
          </w:r>
          <w:r>
            <w:fldChar w:fldCharType="separate"/>
          </w:r>
          <w:r>
            <w:rPr>
              <w:rStyle w:val="57"/>
              <w:rFonts w:hint="eastAsia" w:ascii="仿宋" w:hAnsi="仿宋" w:eastAsia="仿宋"/>
              <w:sz w:val="24"/>
            </w:rPr>
            <w:t>第六章</w:t>
          </w:r>
          <w:r>
            <w:rPr>
              <w:rStyle w:val="57"/>
              <w:rFonts w:ascii="仿宋" w:hAnsi="仿宋" w:eastAsia="仿宋"/>
              <w:sz w:val="24"/>
            </w:rPr>
            <w:t xml:space="preserve">  </w:t>
          </w:r>
          <w:r>
            <w:rPr>
              <w:rStyle w:val="57"/>
              <w:rFonts w:hint="eastAsia" w:ascii="仿宋" w:hAnsi="仿宋" w:eastAsia="仿宋"/>
              <w:sz w:val="24"/>
            </w:rPr>
            <w:t>投标人须知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_Toc45030751 \h </w:instrText>
          </w:r>
          <w:r>
            <w:rPr>
              <w:rFonts w:ascii="仿宋" w:hAnsi="仿宋" w:eastAsia="仿宋"/>
              <w:sz w:val="24"/>
            </w:rPr>
            <w:fldChar w:fldCharType="separate"/>
          </w:r>
          <w:r>
            <w:rPr>
              <w:rFonts w:ascii="仿宋" w:hAnsi="仿宋" w:eastAsia="仿宋"/>
              <w:sz w:val="24"/>
            </w:rPr>
            <w:t>16</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"_Toc45030752" </w:instrText>
          </w:r>
          <w:r>
            <w:fldChar w:fldCharType="separate"/>
          </w:r>
          <w:r>
            <w:rPr>
              <w:rStyle w:val="57"/>
              <w:rFonts w:hint="eastAsia" w:ascii="仿宋" w:hAnsi="仿宋" w:eastAsia="仿宋"/>
              <w:sz w:val="24"/>
            </w:rPr>
            <w:t>一、说</w:t>
          </w:r>
          <w:r>
            <w:rPr>
              <w:rStyle w:val="57"/>
              <w:rFonts w:ascii="仿宋" w:hAnsi="仿宋" w:eastAsia="仿宋"/>
              <w:sz w:val="24"/>
            </w:rPr>
            <w:t xml:space="preserve">  </w:t>
          </w:r>
          <w:r>
            <w:rPr>
              <w:rStyle w:val="57"/>
              <w:rFonts w:hint="eastAsia" w:ascii="仿宋" w:hAnsi="仿宋" w:eastAsia="仿宋"/>
              <w:sz w:val="24"/>
            </w:rPr>
            <w:t>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_Toc45030752 \h </w:instrText>
          </w:r>
          <w:r>
            <w:rPr>
              <w:rFonts w:ascii="仿宋" w:hAnsi="仿宋" w:eastAsia="仿宋"/>
              <w:sz w:val="24"/>
            </w:rPr>
            <w:fldChar w:fldCharType="separate"/>
          </w:r>
          <w:r>
            <w:rPr>
              <w:rFonts w:ascii="仿宋" w:hAnsi="仿宋" w:eastAsia="仿宋"/>
              <w:sz w:val="24"/>
            </w:rPr>
            <w:t>16</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"_Toc45030753" </w:instrText>
          </w:r>
          <w:r>
            <w:fldChar w:fldCharType="separate"/>
          </w:r>
          <w:r>
            <w:rPr>
              <w:rStyle w:val="57"/>
              <w:rFonts w:hint="eastAsia" w:ascii="仿宋" w:hAnsi="仿宋" w:eastAsia="仿宋"/>
              <w:sz w:val="24"/>
            </w:rPr>
            <w:t>二、招标文件说明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_Toc45030753 \h </w:instrText>
          </w:r>
          <w:r>
            <w:rPr>
              <w:rFonts w:ascii="仿宋" w:hAnsi="仿宋" w:eastAsia="仿宋"/>
              <w:sz w:val="24"/>
            </w:rPr>
            <w:fldChar w:fldCharType="separate"/>
          </w:r>
          <w:r>
            <w:rPr>
              <w:rFonts w:ascii="仿宋" w:hAnsi="仿宋" w:eastAsia="仿宋"/>
              <w:sz w:val="24"/>
            </w:rPr>
            <w:t>18</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"_Toc45030754" </w:instrText>
          </w:r>
          <w:r>
            <w:fldChar w:fldCharType="separate"/>
          </w:r>
          <w:r>
            <w:rPr>
              <w:rStyle w:val="57"/>
              <w:rFonts w:hint="eastAsia" w:ascii="仿宋" w:hAnsi="仿宋" w:eastAsia="仿宋"/>
              <w:sz w:val="24"/>
            </w:rPr>
            <w:t>三、投标文件的编写</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_Toc45030754 \h </w:instrText>
          </w:r>
          <w:r>
            <w:rPr>
              <w:rFonts w:ascii="仿宋" w:hAnsi="仿宋" w:eastAsia="仿宋"/>
              <w:sz w:val="24"/>
            </w:rPr>
            <w:fldChar w:fldCharType="separate"/>
          </w:r>
          <w:r>
            <w:rPr>
              <w:rFonts w:ascii="仿宋" w:hAnsi="仿宋" w:eastAsia="仿宋"/>
              <w:sz w:val="24"/>
            </w:rPr>
            <w:t>19</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"_Toc45030755" </w:instrText>
          </w:r>
          <w:r>
            <w:fldChar w:fldCharType="separate"/>
          </w:r>
          <w:r>
            <w:rPr>
              <w:rStyle w:val="57"/>
              <w:rFonts w:hint="eastAsia" w:ascii="仿宋" w:hAnsi="仿宋" w:eastAsia="仿宋"/>
              <w:sz w:val="24"/>
            </w:rPr>
            <w:t>四、投标文件的递交</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_Toc45030755 \h </w:instrText>
          </w:r>
          <w:r>
            <w:rPr>
              <w:rFonts w:ascii="仿宋" w:hAnsi="仿宋" w:eastAsia="仿宋"/>
              <w:sz w:val="24"/>
            </w:rPr>
            <w:fldChar w:fldCharType="separate"/>
          </w:r>
          <w:r>
            <w:rPr>
              <w:rFonts w:ascii="仿宋" w:hAnsi="仿宋" w:eastAsia="仿宋"/>
              <w:sz w:val="24"/>
            </w:rPr>
            <w:t>21</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"_Toc45030756" </w:instrText>
          </w:r>
          <w:r>
            <w:fldChar w:fldCharType="separate"/>
          </w:r>
          <w:r>
            <w:rPr>
              <w:rStyle w:val="57"/>
              <w:rFonts w:hint="eastAsia" w:ascii="仿宋" w:hAnsi="仿宋" w:eastAsia="仿宋"/>
              <w:sz w:val="24"/>
            </w:rPr>
            <w:t>五、开标和评标</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_Toc45030756 \h </w:instrText>
          </w:r>
          <w:r>
            <w:rPr>
              <w:rFonts w:ascii="仿宋" w:hAnsi="仿宋" w:eastAsia="仿宋"/>
              <w:sz w:val="24"/>
            </w:rPr>
            <w:fldChar w:fldCharType="separate"/>
          </w:r>
          <w:r>
            <w:rPr>
              <w:rFonts w:ascii="仿宋" w:hAnsi="仿宋" w:eastAsia="仿宋"/>
              <w:sz w:val="24"/>
            </w:rPr>
            <w:t>23</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"_Toc45030757" </w:instrText>
          </w:r>
          <w:r>
            <w:fldChar w:fldCharType="separate"/>
          </w:r>
          <w:r>
            <w:rPr>
              <w:rStyle w:val="57"/>
              <w:rFonts w:hint="eastAsia" w:ascii="仿宋" w:hAnsi="仿宋" w:eastAsia="仿宋"/>
              <w:sz w:val="24"/>
            </w:rPr>
            <w:t>六、授予合同</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_Toc45030757 \h </w:instrText>
          </w:r>
          <w:r>
            <w:rPr>
              <w:rFonts w:ascii="仿宋" w:hAnsi="仿宋" w:eastAsia="仿宋"/>
              <w:sz w:val="24"/>
            </w:rPr>
            <w:fldChar w:fldCharType="separate"/>
          </w:r>
          <w:r>
            <w:rPr>
              <w:rFonts w:ascii="仿宋" w:hAnsi="仿宋" w:eastAsia="仿宋"/>
              <w:sz w:val="24"/>
            </w:rPr>
            <w:t>25</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"_Toc45030758" </w:instrText>
          </w:r>
          <w:r>
            <w:fldChar w:fldCharType="separate"/>
          </w:r>
          <w:r>
            <w:rPr>
              <w:rStyle w:val="57"/>
              <w:rFonts w:hint="eastAsia" w:ascii="仿宋" w:hAnsi="仿宋" w:eastAsia="仿宋"/>
              <w:sz w:val="24"/>
            </w:rPr>
            <w:t>第七章</w:t>
          </w:r>
          <w:r>
            <w:rPr>
              <w:rStyle w:val="57"/>
              <w:rFonts w:ascii="仿宋" w:hAnsi="仿宋" w:eastAsia="仿宋"/>
              <w:sz w:val="24"/>
            </w:rPr>
            <w:t xml:space="preserve">  </w:t>
          </w:r>
          <w:r>
            <w:rPr>
              <w:rStyle w:val="57"/>
              <w:rFonts w:hint="eastAsia" w:ascii="仿宋" w:hAnsi="仿宋" w:eastAsia="仿宋"/>
              <w:sz w:val="24"/>
            </w:rPr>
            <w:t>投标文件格式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_Toc45030758 \h </w:instrText>
          </w:r>
          <w:r>
            <w:rPr>
              <w:rFonts w:ascii="仿宋" w:hAnsi="仿宋" w:eastAsia="仿宋"/>
              <w:sz w:val="24"/>
            </w:rPr>
            <w:fldChar w:fldCharType="separate"/>
          </w:r>
          <w:r>
            <w:rPr>
              <w:rFonts w:ascii="仿宋" w:hAnsi="仿宋" w:eastAsia="仿宋"/>
              <w:sz w:val="24"/>
            </w:rPr>
            <w:t>27</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"_Toc45030759" </w:instrText>
          </w:r>
          <w:r>
            <w:fldChar w:fldCharType="separate"/>
          </w:r>
          <w:r>
            <w:rPr>
              <w:rStyle w:val="57"/>
              <w:rFonts w:hint="eastAsia" w:ascii="仿宋" w:hAnsi="仿宋" w:eastAsia="仿宋"/>
              <w:sz w:val="24"/>
            </w:rPr>
            <w:t>投标文件编制说明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_Toc45030759 \h </w:instrText>
          </w:r>
          <w:r>
            <w:rPr>
              <w:rFonts w:ascii="仿宋" w:hAnsi="仿宋" w:eastAsia="仿宋"/>
              <w:sz w:val="24"/>
            </w:rPr>
            <w:fldChar w:fldCharType="separate"/>
          </w:r>
          <w:r>
            <w:rPr>
              <w:rFonts w:ascii="仿宋" w:hAnsi="仿宋" w:eastAsia="仿宋"/>
              <w:sz w:val="24"/>
            </w:rPr>
            <w:t>27</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"_Toc45030760" </w:instrText>
          </w:r>
          <w:r>
            <w:fldChar w:fldCharType="separate"/>
          </w:r>
          <w:r>
            <w:rPr>
              <w:rStyle w:val="57"/>
              <w:rFonts w:hint="eastAsia" w:ascii="仿宋" w:hAnsi="仿宋" w:eastAsia="仿宋"/>
              <w:sz w:val="24"/>
            </w:rPr>
            <w:t>投标文件格式目录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_Toc45030760 \h </w:instrText>
          </w:r>
          <w:r>
            <w:rPr>
              <w:rFonts w:ascii="仿宋" w:hAnsi="仿宋" w:eastAsia="仿宋"/>
              <w:sz w:val="24"/>
            </w:rPr>
            <w:fldChar w:fldCharType="separate"/>
          </w:r>
          <w:r>
            <w:rPr>
              <w:rFonts w:ascii="仿宋" w:hAnsi="仿宋" w:eastAsia="仿宋"/>
              <w:sz w:val="24"/>
            </w:rPr>
            <w:t>29</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"_Toc45030761" </w:instrText>
          </w:r>
          <w:r>
            <w:fldChar w:fldCharType="separate"/>
          </w:r>
          <w:r>
            <w:rPr>
              <w:rStyle w:val="57"/>
              <w:rFonts w:hint="eastAsia" w:ascii="仿宋" w:hAnsi="仿宋" w:eastAsia="仿宋"/>
              <w:sz w:val="24"/>
            </w:rPr>
            <w:t>评标指引表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_Toc45030761 \h </w:instrText>
          </w:r>
          <w:r>
            <w:rPr>
              <w:rFonts w:ascii="仿宋" w:hAnsi="仿宋" w:eastAsia="仿宋"/>
              <w:sz w:val="24"/>
            </w:rPr>
            <w:fldChar w:fldCharType="separate"/>
          </w:r>
          <w:r>
            <w:rPr>
              <w:rFonts w:ascii="仿宋" w:hAnsi="仿宋" w:eastAsia="仿宋"/>
              <w:sz w:val="24"/>
            </w:rPr>
            <w:t>30</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Theme="minorHAnsi" w:hAnsiTheme="minorHAnsi" w:eastAsiaTheme="minorEastAsia" w:cstheme="minorBidi"/>
              <w:b w:val="0"/>
              <w:bCs w:val="0"/>
              <w:caps w:val="0"/>
              <w:szCs w:val="22"/>
            </w:rPr>
          </w:pPr>
          <w:r>
            <w:fldChar w:fldCharType="begin"/>
          </w:r>
          <w:r>
            <w:instrText xml:space="preserve"> HYPERLINK \l "_Toc45030762" </w:instrText>
          </w:r>
          <w:r>
            <w:fldChar w:fldCharType="separate"/>
          </w:r>
          <w:r>
            <w:rPr>
              <w:rStyle w:val="57"/>
              <w:rFonts w:hint="eastAsia" w:ascii="仿宋" w:hAnsi="仿宋" w:eastAsia="仿宋"/>
              <w:sz w:val="24"/>
            </w:rPr>
            <w:t>第八章</w:t>
          </w:r>
          <w:r>
            <w:rPr>
              <w:rStyle w:val="57"/>
              <w:rFonts w:ascii="仿宋" w:hAnsi="仿宋" w:eastAsia="仿宋"/>
              <w:sz w:val="24"/>
            </w:rPr>
            <w:t xml:space="preserve">  </w:t>
          </w:r>
          <w:r>
            <w:rPr>
              <w:rStyle w:val="57"/>
              <w:rFonts w:hint="eastAsia" w:ascii="仿宋" w:hAnsi="仿宋" w:eastAsia="仿宋"/>
              <w:sz w:val="24"/>
            </w:rPr>
            <w:t>合同条款</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_Toc45030762 \h </w:instrText>
          </w:r>
          <w:r>
            <w:rPr>
              <w:rFonts w:ascii="仿宋" w:hAnsi="仿宋" w:eastAsia="仿宋"/>
              <w:sz w:val="24"/>
            </w:rPr>
            <w:fldChar w:fldCharType="separate"/>
          </w:r>
          <w:r>
            <w:rPr>
              <w:rFonts w:ascii="仿宋" w:hAnsi="仿宋" w:eastAsia="仿宋"/>
              <w:sz w:val="24"/>
            </w:rPr>
            <w:t>49</w:t>
          </w:r>
          <w:r>
            <w:rPr>
              <w:rFonts w:ascii="仿宋" w:hAnsi="仿宋" w:eastAsia="仿宋"/>
              <w:sz w:val="24"/>
            </w:rPr>
            <w:fldChar w:fldCharType="end"/>
          </w:r>
          <w:r>
            <w:rPr>
              <w:rFonts w:ascii="仿宋" w:hAnsi="仿宋" w:eastAsia="仿宋"/>
              <w:sz w:val="24"/>
            </w:rPr>
            <w:fldChar w:fldCharType="end"/>
          </w:r>
        </w:p>
        <w:p>
          <w:r>
            <w:fldChar w:fldCharType="end"/>
          </w:r>
        </w:p>
      </w:sdtContent>
    </w:sdt>
    <w:p>
      <w:pPr>
        <w:widowControl/>
        <w:jc w:val="left"/>
      </w:pPr>
      <w:r>
        <w:br w:type="page"/>
      </w:r>
    </w:p>
    <w:p/>
    <w:p>
      <w:pPr>
        <w:pStyle w:val="3"/>
      </w:pPr>
      <w:bookmarkStart w:id="0" w:name="_Toc45030741"/>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深圳市学校校园安保服务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2021年</w:t>
      </w:r>
      <w:r>
        <w:rPr>
          <w:rFonts w:hint="eastAsia" w:ascii="宋体" w:hAnsi="宋体" w:cs="Arial Unicode MS"/>
          <w:snapToGrid w:val="0"/>
          <w:kern w:val="0"/>
          <w:szCs w:val="21"/>
          <w:u w:val="single"/>
          <w:lang w:val="en-US" w:eastAsia="zh-CN"/>
        </w:rPr>
        <w:t>03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26</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FTDL2021182919</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2、项目名称：深圳市学校校园安保服务项目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lang w:val="en-US" w:eastAsia="zh-CN"/>
        </w:rPr>
        <w:t>104.5</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lang w:val="en-US" w:eastAsia="zh-CN"/>
        </w:rPr>
        <w:t>104.5</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8788" w:type="dxa"/>
        <w:tblInd w:w="486"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708"/>
        <w:gridCol w:w="3261"/>
        <w:gridCol w:w="708"/>
        <w:gridCol w:w="709"/>
        <w:gridCol w:w="2552"/>
        <w:gridCol w:w="850"/>
      </w:tblGrid>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pPr>
              <w:pStyle w:val="45"/>
              <w:spacing w:line="360" w:lineRule="auto"/>
              <w:jc w:val="center"/>
              <w:rPr>
                <w:sz w:val="21"/>
              </w:rPr>
            </w:pPr>
            <w:r>
              <w:rPr>
                <w:sz w:val="21"/>
              </w:rPr>
              <w:t>标的名称</w:t>
            </w:r>
          </w:p>
        </w:tc>
        <w:tc>
          <w:tcPr>
            <w:tcW w:w="708" w:type="dxa"/>
            <w:tcBorders>
              <w:top w:val="outset" w:color="AAAAAA" w:sz="6" w:space="0"/>
              <w:left w:val="outset" w:color="AAAAAA" w:sz="6" w:space="0"/>
              <w:bottom w:val="outset" w:color="AAAAAA" w:sz="6" w:space="0"/>
              <w:right w:val="outset" w:color="AAAAAA" w:sz="6" w:space="0"/>
            </w:tcBorders>
            <w:shd w:val="clear" w:color="auto" w:fill="ABCDEF"/>
            <w:vAlign w:val="center"/>
          </w:tcPr>
          <w:p>
            <w:pPr>
              <w:pStyle w:val="45"/>
              <w:spacing w:before="0" w:beforeAutospacing="0" w:after="0" w:afterAutospacing="0" w:line="360" w:lineRule="auto"/>
              <w:jc w:val="center"/>
              <w:rPr>
                <w:sz w:val="21"/>
              </w:rPr>
            </w:pPr>
            <w:r>
              <w:rPr>
                <w:sz w:val="21"/>
              </w:rPr>
              <w:t>数量</w:t>
            </w:r>
          </w:p>
        </w:tc>
        <w:tc>
          <w:tcPr>
            <w:tcW w:w="709" w:type="dxa"/>
            <w:tcBorders>
              <w:top w:val="outset" w:color="AAAAAA" w:sz="6" w:space="0"/>
              <w:left w:val="outset" w:color="AAAAAA" w:sz="6" w:space="0"/>
              <w:bottom w:val="outset" w:color="AAAAAA" w:sz="6" w:space="0"/>
              <w:right w:val="outset" w:color="AAAAAA" w:sz="6" w:space="0"/>
            </w:tcBorders>
            <w:shd w:val="clear" w:color="auto" w:fill="ABCDEF"/>
            <w:vAlign w:val="center"/>
          </w:tcPr>
          <w:p>
            <w:pPr>
              <w:pStyle w:val="45"/>
              <w:spacing w:before="0" w:beforeAutospacing="0" w:after="0" w:afterAutospacing="0" w:line="360" w:lineRule="auto"/>
              <w:jc w:val="center"/>
              <w:rPr>
                <w:sz w:val="21"/>
              </w:rPr>
            </w:pPr>
            <w:r>
              <w:rPr>
                <w:sz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lang w:eastAsia="zh-CN"/>
              </w:rPr>
              <w:t>深圳市学校校园安保服务项目</w:t>
            </w:r>
          </w:p>
        </w:tc>
        <w:tc>
          <w:tcPr>
            <w:tcW w:w="708" w:type="dxa"/>
            <w:tcBorders>
              <w:top w:val="outset" w:color="AAAAAA" w:sz="6" w:space="0"/>
              <w:left w:val="outset" w:color="AAAAAA" w:sz="6" w:space="0"/>
              <w:bottom w:val="outset" w:color="AAAAAA" w:sz="6" w:space="0"/>
              <w:right w:val="outset" w:color="AAAAAA" w:sz="6" w:space="0"/>
            </w:tcBorders>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709" w:type="dxa"/>
            <w:tcBorders>
              <w:top w:val="outset" w:color="AAAAAA" w:sz="6" w:space="0"/>
              <w:left w:val="outset" w:color="AAAAAA" w:sz="6" w:space="0"/>
              <w:bottom w:val="outset" w:color="AAAAAA" w:sz="6" w:space="0"/>
              <w:right w:val="outset" w:color="AAAAAA" w:sz="6" w:space="0"/>
            </w:tcBorders>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7、合同履行期限：1年。合同期满后可根据供应商履约情况，根据双方协商可延长合同期，最长不超过3年。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8、本项目不接受联合体投标，不允许分包或转包。</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（1）近三年内（投标人成立不足三年的从成立之日起算）无行贿犯罪记录（须按本项目投标文件格式要求提供《政府采购投标承诺函》加盖投标人公章）；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须按本项目投标文件格式要求提供《政府采购投标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pPr>
        <w:pStyle w:val="453"/>
        <w:adjustRightInd w:val="0"/>
        <w:snapToGrid w:val="0"/>
        <w:spacing w:before="0" w:beforeAutospacing="0" w:after="0" w:afterAutospacing="0" w:line="360" w:lineRule="auto"/>
        <w:ind w:firstLine="420" w:firstLineChars="200"/>
        <w:rPr>
          <w:rFonts w:ascii="宋体" w:hAnsi="宋体" w:eastAsia="宋体"/>
          <w:snapToGrid w:val="0"/>
          <w:color w:val="auto"/>
          <w:sz w:val="21"/>
          <w:szCs w:val="21"/>
        </w:rPr>
      </w:pP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4</w:t>
      </w:r>
      <w:r>
        <w:rPr>
          <w:rFonts w:hint="eastAsia" w:ascii="宋体" w:hAnsi="宋体" w:eastAsia="宋体"/>
          <w:snapToGrid w:val="0"/>
          <w:color w:val="auto"/>
          <w:sz w:val="21"/>
          <w:szCs w:val="21"/>
        </w:rPr>
        <w:t>）投标人具有省级或以上公安部门核发的《保安服务许可证》（投标时须提供保安服务许可证复印件或扫描件并加盖投标人公章, 非深圳市登记注册投标人应同时提供《保安服务许可证》和深圳市公安部门出具的保安服务公司设立分支机构登记备案证明复印件或扫描件并加盖投标人公章，原件备查）</w:t>
      </w: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2021年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日至2021年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（2）线上获取：投标人通过邮件报名及获取招标文件，报名时间以我司邮箱收件时间为准（我司邮箱：ztzszzzt@163.com），逾期不予受理。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购买招标文件费用的银行转帐凭证。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2021年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1、凡参与深圳市政府采购活动的供应商，须自行在深圳公共资源交易中心网站上办理注册（注册网址：</w:t>
      </w:r>
      <w:r>
        <w:rPr>
          <w:rFonts w:asciiTheme="minorEastAsia" w:hAnsiTheme="minorEastAsia" w:eastAsiaTheme="minorEastAsia"/>
          <w:b/>
          <w:snapToGrid w:val="0"/>
          <w:color w:val="auto"/>
          <w:sz w:val="21"/>
        </w:rPr>
        <w:t>www.szzfcg.cn</w:t>
      </w:r>
      <w:r>
        <w:rPr>
          <w:rFonts w:hint="eastAsia" w:ascii="宋体" w:hAnsi="宋体" w:eastAsia="宋体"/>
          <w:b/>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2、本项目需要落实的政府采购政策：《财政部 工业和信息化部关于印发《政府采购促进中小企业发展管理办法》的通知》(财库〔2020〕46号)、《关于政府采购支持监狱企业发展有关问题的通知》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本项目所属行业为</w:t>
      </w:r>
      <w:r>
        <w:rPr>
          <w:rFonts w:hint="eastAsia" w:ascii="宋体" w:hAnsi="宋体" w:eastAsia="宋体"/>
          <w:b/>
          <w:snapToGrid w:val="0"/>
          <w:color w:val="auto"/>
          <w:sz w:val="21"/>
          <w:szCs w:val="21"/>
          <w:u w:val="single"/>
        </w:rPr>
        <w:t>其他未列明行业</w:t>
      </w:r>
      <w:r>
        <w:rPr>
          <w:rFonts w:hint="eastAsia" w:ascii="宋体" w:hAnsi="宋体" w:eastAsia="宋体"/>
          <w:b/>
          <w:snapToGrid w:val="0"/>
          <w:color w:val="auto"/>
          <w:sz w:val="21"/>
          <w:szCs w:val="21"/>
        </w:rPr>
        <w:t>，投标人应根据《工业和信息化部、国家统计局、国家发展和改革委员会、财政部关于印发中小企业划型标准规定的通知》(工信部联企业〔2011〕300号)规定的中小企业划型标准填写《中小企业声明函》。</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3、本项目相关公告在以下媒体发布：</w:t>
      </w:r>
      <w:bookmarkStart w:id="79" w:name="_GoBack"/>
      <w:bookmarkEnd w:id="79"/>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1.采购人信息 </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名称：深圳市福田区翰林实验学校 </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地址：广东省深圳市福田区梅林街道翰岭社区梅东三路4号 </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联系方式：王老师，(0755) 8839 5369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2、招标代理机构信息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罗</w:t>
      </w:r>
      <w:r>
        <w:rPr>
          <w:rFonts w:hint="eastAsia" w:ascii="宋体" w:hAnsi="宋体" w:eastAsia="宋体"/>
          <w:snapToGrid w:val="0"/>
          <w:color w:val="auto"/>
          <w:sz w:val="21"/>
          <w:szCs w:val="21"/>
        </w:rPr>
        <w:t>先生，0755-83026699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eastAsia="zh-CN"/>
        </w:rPr>
        <w:t>罗</w:t>
      </w:r>
      <w:r>
        <w:rPr>
          <w:rFonts w:hint="eastAsia" w:ascii="宋体" w:hAnsi="宋体" w:eastAsia="宋体"/>
          <w:snapToGrid w:val="0"/>
          <w:color w:val="auto"/>
          <w:sz w:val="21"/>
          <w:szCs w:val="21"/>
        </w:rPr>
        <w:t>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联系电话：0755-83026699</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八、附件</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r>
        <w:rPr>
          <w:rFonts w:hint="eastAsia" w:ascii="宋体" w:hAnsi="宋体" w:eastAsia="宋体"/>
          <w:snapToGrid w:val="0"/>
          <w:color w:val="auto"/>
          <w:sz w:val="21"/>
          <w:szCs w:val="21"/>
        </w:rPr>
        <w:t>招标文件</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r>
        <w:rPr>
          <w:rFonts w:hint="eastAsia" w:ascii="宋体" w:hAnsi="宋体" w:eastAsia="宋体"/>
          <w:snapToGrid w:val="0"/>
          <w:color w:val="auto"/>
          <w:sz w:val="21"/>
          <w:szCs w:val="21"/>
        </w:rPr>
        <w:t>（附件内容请在深圳市中正招标网相关公告中下载查阅）</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w:t>
      </w:r>
      <w:r>
        <w:rPr>
          <w:rFonts w:hint="eastAsia" w:ascii="宋体" w:hAnsi="宋体"/>
          <w:snapToGrid w:val="0"/>
          <w:kern w:val="0"/>
          <w:sz w:val="24"/>
        </w:rPr>
        <w:t>1</w:t>
      </w:r>
      <w:r>
        <w:rPr>
          <w:rFonts w:ascii="宋体" w:hAnsi="宋体"/>
          <w:snapToGrid w:val="0"/>
          <w:kern w:val="0"/>
          <w:sz w:val="24"/>
        </w:rPr>
        <w:t>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15</w:t>
      </w:r>
      <w:r>
        <w:rPr>
          <w:rFonts w:hint="eastAsia" w:ascii="宋体" w:hAnsi="宋体"/>
          <w:snapToGrid w:val="0"/>
          <w:kern w:val="0"/>
          <w:sz w:val="24"/>
        </w:rPr>
        <w:t>日</w:t>
      </w:r>
    </w:p>
    <w:p/>
    <w:p>
      <w:pPr>
        <w:pStyle w:val="3"/>
      </w:pPr>
      <w:bookmarkStart w:id="1" w:name="_Toc45030742"/>
      <w:r>
        <w:rPr>
          <w:rFonts w:hint="eastAsia"/>
        </w:rPr>
        <w:t>第二章  项目需求</w:t>
      </w:r>
      <w:bookmarkEnd w:id="1"/>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采购控制金额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深圳市学校校园安保服务项目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1,045,000.00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pPr>
        <w:spacing w:line="360" w:lineRule="auto"/>
        <w:ind w:firstLine="422" w:firstLineChars="201"/>
        <w:rPr>
          <w:rFonts w:hint="eastAsia" w:ascii="宋体" w:hAnsi="宋体"/>
          <w:szCs w:val="21"/>
        </w:rPr>
      </w:pPr>
      <w:r>
        <w:rPr>
          <w:rFonts w:hint="eastAsia" w:ascii="宋体" w:hAnsi="宋体"/>
          <w:szCs w:val="21"/>
        </w:rPr>
        <w:t>1、项目目的及建设目标</w:t>
      </w:r>
    </w:p>
    <w:p>
      <w:pPr>
        <w:spacing w:line="360" w:lineRule="auto"/>
        <w:ind w:firstLine="422" w:firstLineChars="201"/>
        <w:rPr>
          <w:rFonts w:cs="仿宋_GB2312"/>
          <w:sz w:val="21"/>
          <w:szCs w:val="21"/>
        </w:rPr>
      </w:pPr>
      <w:r>
        <w:rPr>
          <w:sz w:val="21"/>
          <w:szCs w:val="21"/>
        </w:rPr>
        <w:t>为了保障学校安全，给学校营造一个良好的安全环境，现面向社会公开招标，选择一家保安服务供应商承接学校的安全保卫工作。重点开展校区巡逻防范、门卫、学生上下学期间的值班守护以及加强校区的防火、防盗、防事故、防破坏等工作，保障校园内的设备财产安全及师生员工人身与财产的安全，维护校园内良好的公共秩序。</w:t>
      </w:r>
    </w:p>
    <w:p>
      <w:pPr>
        <w:pStyle w:val="321"/>
        <w:ind w:firstLine="0" w:firstLineChars="0"/>
        <w:rPr>
          <w:b/>
        </w:rPr>
      </w:pPr>
      <w:r>
        <w:rPr>
          <w:rFonts w:hint="eastAsia"/>
          <w:b/>
        </w:rPr>
        <w:t>二、项目服务要求</w:t>
      </w:r>
    </w:p>
    <w:p>
      <w:pPr>
        <w:numPr>
          <w:ilvl w:val="0"/>
          <w:numId w:val="4"/>
        </w:numPr>
        <w:ind w:left="0" w:firstLine="420"/>
        <w:textAlignment w:val="auto"/>
        <w:rPr>
          <w:rFonts w:ascii="Calibri" w:hAnsi="Calibri" w:eastAsia="宋体" w:cs="Times New Roman"/>
          <w:b/>
          <w:bCs/>
          <w:szCs w:val="22"/>
        </w:rPr>
      </w:pPr>
      <w:r>
        <w:rPr>
          <w:rFonts w:ascii="Calibri" w:hAnsi="Calibri" w:eastAsia="宋体" w:cs="Times New Roman"/>
          <w:b/>
          <w:bCs/>
          <w:szCs w:val="22"/>
        </w:rPr>
        <w:t>服务内容</w:t>
      </w:r>
    </w:p>
    <w:p>
      <w:pPr>
        <w:ind w:firstLine="420" w:firstLineChars="200"/>
        <w:rPr>
          <w:rFonts w:ascii="Calibri" w:hAnsi="Calibri" w:eastAsia="宋体" w:cs="Times New Roman"/>
          <w:szCs w:val="22"/>
        </w:rPr>
      </w:pPr>
      <w:r>
        <w:rPr>
          <w:rFonts w:ascii="Calibri" w:hAnsi="Calibri" w:eastAsia="宋体" w:cs="Times New Roman"/>
          <w:szCs w:val="22"/>
        </w:rPr>
        <w:t>由中标人负责采购人区域内（指学校红线内区域）的安全护卫工作及周边区域（指国家和地方规定的应当保持的安全距离，没有规定的指距离学校一百米以内的区域）的综合治理。</w:t>
      </w:r>
    </w:p>
    <w:p>
      <w:pPr>
        <w:numPr>
          <w:ilvl w:val="0"/>
          <w:numId w:val="4"/>
        </w:numPr>
        <w:ind w:left="0" w:firstLine="420"/>
        <w:textAlignment w:val="auto"/>
        <w:rPr>
          <w:rFonts w:ascii="Calibri" w:hAnsi="Calibri" w:eastAsia="宋体" w:cs="Times New Roman"/>
          <w:b/>
          <w:bCs/>
          <w:szCs w:val="22"/>
        </w:rPr>
      </w:pPr>
      <w:r>
        <w:rPr>
          <w:rFonts w:ascii="Calibri" w:hAnsi="Calibri" w:eastAsia="宋体" w:cs="Times New Roman"/>
          <w:b/>
          <w:bCs/>
          <w:szCs w:val="22"/>
        </w:rPr>
        <w:t>人员和设备要求</w:t>
      </w:r>
    </w:p>
    <w:p>
      <w:pPr>
        <w:numPr>
          <w:ilvl w:val="0"/>
          <w:numId w:val="5"/>
        </w:numPr>
        <w:ind w:left="210" w:leftChars="100" w:firstLine="0"/>
        <w:textAlignment w:val="auto"/>
        <w:rPr>
          <w:rFonts w:ascii="Calibri" w:hAnsi="Calibri" w:eastAsia="宋体" w:cs="Times New Roman"/>
          <w:szCs w:val="22"/>
        </w:rPr>
      </w:pPr>
      <w:r>
        <w:rPr>
          <w:rFonts w:ascii="Calibri" w:hAnsi="Calibri" w:eastAsia="宋体" w:cs="Times New Roman"/>
          <w:szCs w:val="22"/>
        </w:rPr>
        <w:t>人员配备及工作时间要求</w:t>
      </w:r>
    </w:p>
    <w:p>
      <w:pPr>
        <w:numPr>
          <w:numId w:val="0"/>
        </w:numPr>
        <w:ind w:leftChars="0" w:firstLine="420" w:firstLineChars="20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1</w:t>
      </w:r>
      <w:r>
        <w:rPr>
          <w:rFonts w:hint="eastAsia" w:ascii="Calibri" w:hAnsi="Calibri" w:eastAsia="宋体" w:cs="Times New Roman"/>
          <w:szCs w:val="22"/>
          <w:lang w:eastAsia="zh-CN"/>
        </w:rPr>
        <w:t>）</w:t>
      </w:r>
      <w:r>
        <w:rPr>
          <w:rFonts w:ascii="Calibri" w:hAnsi="Calibri" w:eastAsia="宋体" w:cs="Times New Roman"/>
          <w:szCs w:val="22"/>
        </w:rPr>
        <w:t>结合本</w:t>
      </w:r>
      <w:r>
        <w:rPr>
          <w:rFonts w:hint="eastAsia" w:ascii="Calibri" w:hAnsi="Calibri" w:eastAsia="宋体" w:cs="Times New Roman"/>
          <w:szCs w:val="22"/>
        </w:rPr>
        <w:t>采购</w:t>
      </w:r>
      <w:r>
        <w:rPr>
          <w:rFonts w:ascii="Calibri" w:hAnsi="Calibri" w:eastAsia="宋体" w:cs="Times New Roman"/>
          <w:szCs w:val="22"/>
        </w:rPr>
        <w:t>单位实际情况，保安员的配备不低于《关于印发深圳市中小学校和幼儿园配备专业保安员工作实施方案的通知》（深公（治）字[2010]273号）文件的配备标准，</w:t>
      </w:r>
      <w:r>
        <w:rPr>
          <w:rFonts w:hint="eastAsia" w:ascii="Calibri" w:hAnsi="Calibri" w:eastAsia="宋体" w:cs="Times New Roman"/>
          <w:szCs w:val="22"/>
        </w:rPr>
        <w:t>中标供应商应为采购人，配备保安人员共16名，其中，中学部10名，小学部6名</w:t>
      </w:r>
      <w:r>
        <w:rPr>
          <w:rFonts w:ascii="Calibri" w:hAnsi="Calibri" w:eastAsia="宋体" w:cs="Times New Roman"/>
          <w:szCs w:val="22"/>
        </w:rPr>
        <w:t>。</w:t>
      </w:r>
    </w:p>
    <w:p>
      <w:pPr>
        <w:numPr>
          <w:numId w:val="0"/>
        </w:numPr>
        <w:ind w:leftChars="0" w:firstLine="420" w:firstLineChars="20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2</w:t>
      </w:r>
      <w:r>
        <w:rPr>
          <w:rFonts w:hint="eastAsia" w:ascii="Calibri" w:hAnsi="Calibri" w:eastAsia="宋体" w:cs="Times New Roman"/>
          <w:szCs w:val="22"/>
          <w:lang w:eastAsia="zh-CN"/>
        </w:rPr>
        <w:t>）</w:t>
      </w:r>
      <w:r>
        <w:rPr>
          <w:rFonts w:ascii="Calibri" w:hAnsi="Calibri" w:eastAsia="宋体" w:cs="Times New Roman"/>
          <w:szCs w:val="22"/>
        </w:rPr>
        <w:t>保安员的工作时间实行24小时轮班制。</w:t>
      </w:r>
    </w:p>
    <w:p>
      <w:pPr>
        <w:numPr>
          <w:numId w:val="0"/>
        </w:numPr>
        <w:ind w:leftChars="0" w:firstLine="420" w:firstLineChars="200"/>
        <w:textAlignment w:val="baseline"/>
        <w:rPr>
          <w:rFonts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3</w:t>
      </w:r>
      <w:r>
        <w:rPr>
          <w:rFonts w:hint="eastAsia" w:ascii="Calibri" w:hAnsi="Calibri" w:eastAsia="宋体" w:cs="Times New Roman"/>
          <w:szCs w:val="22"/>
          <w:lang w:eastAsia="zh-CN"/>
        </w:rPr>
        <w:t>）</w:t>
      </w:r>
      <w:r>
        <w:rPr>
          <w:rFonts w:ascii="Calibri" w:hAnsi="Calibri" w:eastAsia="宋体" w:cs="Times New Roman"/>
          <w:szCs w:val="22"/>
        </w:rPr>
        <w:t>根据采购人保安工作的实际情况，在重要时段必须做到一岗双人，岗位具体班次、保安员调休由采购人安排。</w:t>
      </w:r>
    </w:p>
    <w:p>
      <w:pPr>
        <w:numPr>
          <w:ilvl w:val="0"/>
          <w:numId w:val="5"/>
        </w:numPr>
        <w:ind w:left="210" w:leftChars="100" w:firstLine="0"/>
        <w:textAlignment w:val="auto"/>
        <w:rPr>
          <w:rFonts w:ascii="Calibri" w:hAnsi="Calibri" w:eastAsia="宋体" w:cs="Times New Roman"/>
          <w:szCs w:val="22"/>
        </w:rPr>
      </w:pPr>
      <w:r>
        <w:rPr>
          <w:rFonts w:ascii="Calibri" w:hAnsi="Calibri" w:eastAsia="宋体" w:cs="Times New Roman"/>
          <w:szCs w:val="22"/>
        </w:rPr>
        <w:t>保安员资质要求</w:t>
      </w:r>
    </w:p>
    <w:p>
      <w:pPr>
        <w:numPr>
          <w:numId w:val="0"/>
        </w:numPr>
        <w:ind w:left="709"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1</w:t>
      </w:r>
      <w:r>
        <w:rPr>
          <w:rFonts w:hint="eastAsia" w:ascii="Calibri" w:hAnsi="Calibri" w:eastAsia="宋体" w:cs="Times New Roman"/>
          <w:szCs w:val="22"/>
          <w:lang w:eastAsia="zh-CN"/>
        </w:rPr>
        <w:t>）</w:t>
      </w:r>
      <w:r>
        <w:rPr>
          <w:rFonts w:ascii="Calibri" w:hAnsi="Calibri" w:eastAsia="宋体" w:cs="Times New Roman"/>
          <w:szCs w:val="22"/>
        </w:rPr>
        <w:t>要求年龄18—45周岁，男性身高1.68米或以上，女性1.60米或以上，视力1.0或以上，体检合格，具有较强的责任感和服务意识；</w:t>
      </w:r>
    </w:p>
    <w:p>
      <w:pPr>
        <w:numPr>
          <w:numId w:val="0"/>
        </w:numPr>
        <w:ind w:left="709"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2</w:t>
      </w:r>
      <w:r>
        <w:rPr>
          <w:rFonts w:hint="eastAsia" w:ascii="Calibri" w:hAnsi="Calibri" w:eastAsia="宋体" w:cs="Times New Roman"/>
          <w:szCs w:val="22"/>
          <w:lang w:eastAsia="zh-CN"/>
        </w:rPr>
        <w:t>）</w:t>
      </w:r>
      <w:r>
        <w:rPr>
          <w:rFonts w:ascii="Calibri" w:hAnsi="Calibri" w:eastAsia="宋体" w:cs="Times New Roman"/>
          <w:szCs w:val="22"/>
        </w:rPr>
        <w:t>高中或以上文化程度；</w:t>
      </w:r>
    </w:p>
    <w:p>
      <w:pPr>
        <w:numPr>
          <w:numId w:val="0"/>
        </w:numPr>
        <w:ind w:left="709"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3</w:t>
      </w:r>
      <w:r>
        <w:rPr>
          <w:rFonts w:hint="eastAsia" w:ascii="Calibri" w:hAnsi="Calibri" w:eastAsia="宋体" w:cs="Times New Roman"/>
          <w:szCs w:val="22"/>
          <w:lang w:eastAsia="zh-CN"/>
        </w:rPr>
        <w:t>）</w:t>
      </w:r>
      <w:r>
        <w:rPr>
          <w:rFonts w:ascii="Calibri" w:hAnsi="Calibri" w:eastAsia="宋体" w:cs="Times New Roman"/>
          <w:szCs w:val="22"/>
        </w:rPr>
        <w:t>政审合格，品行良好，无违法犯罪前科；</w:t>
      </w:r>
    </w:p>
    <w:p>
      <w:pPr>
        <w:numPr>
          <w:numId w:val="0"/>
        </w:numPr>
        <w:ind w:left="709"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4</w:t>
      </w:r>
      <w:r>
        <w:rPr>
          <w:rFonts w:hint="eastAsia" w:ascii="Calibri" w:hAnsi="Calibri" w:eastAsia="宋体" w:cs="Times New Roman"/>
          <w:szCs w:val="22"/>
          <w:lang w:eastAsia="zh-CN"/>
        </w:rPr>
        <w:t>）</w:t>
      </w:r>
      <w:r>
        <w:rPr>
          <w:rFonts w:ascii="Calibri" w:hAnsi="Calibri" w:eastAsia="宋体" w:cs="Times New Roman"/>
          <w:szCs w:val="22"/>
        </w:rPr>
        <w:t>所有保安人员均经公安机关批准设立的培训机构培训合格，取得由市</w:t>
      </w:r>
      <w:r>
        <w:rPr>
          <w:rFonts w:hint="eastAsia" w:ascii="Calibri" w:hAnsi="Calibri" w:eastAsia="宋体" w:cs="Times New Roman"/>
          <w:szCs w:val="22"/>
          <w:lang w:eastAsia="zh-CN"/>
        </w:rPr>
        <w:t>级</w:t>
      </w:r>
      <w:r>
        <w:rPr>
          <w:rFonts w:ascii="Calibri" w:hAnsi="Calibri" w:eastAsia="宋体" w:cs="Times New Roman"/>
          <w:szCs w:val="22"/>
        </w:rPr>
        <w:t>公安局颁发的省</w:t>
      </w:r>
      <w:r>
        <w:rPr>
          <w:rFonts w:hint="eastAsia" w:ascii="Calibri" w:hAnsi="Calibri" w:eastAsia="宋体" w:cs="Times New Roman"/>
          <w:szCs w:val="22"/>
          <w:lang w:eastAsia="zh-CN"/>
        </w:rPr>
        <w:t>级</w:t>
      </w:r>
      <w:r>
        <w:rPr>
          <w:rFonts w:ascii="Calibri" w:hAnsi="Calibri" w:eastAsia="宋体" w:cs="Times New Roman"/>
          <w:szCs w:val="22"/>
        </w:rPr>
        <w:t>公安</w:t>
      </w:r>
      <w:r>
        <w:rPr>
          <w:rFonts w:hint="eastAsia" w:ascii="Calibri" w:hAnsi="Calibri" w:eastAsia="宋体" w:cs="Times New Roman"/>
          <w:szCs w:val="22"/>
          <w:lang w:eastAsia="zh-CN"/>
        </w:rPr>
        <w:t>部门</w:t>
      </w:r>
      <w:r>
        <w:rPr>
          <w:rFonts w:ascii="Calibri" w:hAnsi="Calibri" w:eastAsia="宋体" w:cs="Times New Roman"/>
          <w:szCs w:val="22"/>
        </w:rPr>
        <w:t>监制的《保安员证》；</w:t>
      </w:r>
    </w:p>
    <w:p>
      <w:pPr>
        <w:numPr>
          <w:numId w:val="0"/>
        </w:numPr>
        <w:ind w:left="709"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5</w:t>
      </w:r>
      <w:r>
        <w:rPr>
          <w:rFonts w:hint="eastAsia" w:ascii="Calibri" w:hAnsi="Calibri" w:eastAsia="宋体" w:cs="Times New Roman"/>
          <w:szCs w:val="22"/>
          <w:lang w:eastAsia="zh-CN"/>
        </w:rPr>
        <w:t>）</w:t>
      </w:r>
      <w:r>
        <w:rPr>
          <w:rFonts w:ascii="Calibri" w:hAnsi="Calibri" w:eastAsia="宋体" w:cs="Times New Roman"/>
          <w:szCs w:val="22"/>
        </w:rPr>
        <w:t>所有保安人员均经过专业培训，考试合格，并掌握一定的保安、消防、交通指挥、医疗救护等专业知识；</w:t>
      </w:r>
    </w:p>
    <w:p>
      <w:pPr>
        <w:numPr>
          <w:numId w:val="0"/>
        </w:numPr>
        <w:ind w:left="709" w:leftChars="0"/>
        <w:textAlignment w:val="baseline"/>
        <w:rPr>
          <w:rFonts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6</w:t>
      </w:r>
      <w:r>
        <w:rPr>
          <w:rFonts w:hint="eastAsia" w:ascii="Calibri" w:hAnsi="Calibri" w:eastAsia="宋体" w:cs="Times New Roman"/>
          <w:szCs w:val="22"/>
          <w:lang w:eastAsia="zh-CN"/>
        </w:rPr>
        <w:t>）</w:t>
      </w:r>
      <w:r>
        <w:rPr>
          <w:rFonts w:ascii="Calibri" w:hAnsi="Calibri" w:eastAsia="宋体" w:cs="Times New Roman"/>
          <w:szCs w:val="22"/>
        </w:rPr>
        <w:t>团队中有退伍军人或警校毕业生。</w:t>
      </w:r>
    </w:p>
    <w:p>
      <w:pPr>
        <w:numPr>
          <w:ilvl w:val="0"/>
          <w:numId w:val="5"/>
        </w:numPr>
        <w:ind w:left="210" w:leftChars="100" w:firstLine="0"/>
        <w:textAlignment w:val="auto"/>
        <w:rPr>
          <w:rFonts w:ascii="Calibri" w:hAnsi="Calibri" w:eastAsia="宋体" w:cs="Times New Roman"/>
          <w:szCs w:val="22"/>
        </w:rPr>
      </w:pPr>
      <w:r>
        <w:rPr>
          <w:rFonts w:ascii="Calibri" w:hAnsi="Calibri" w:eastAsia="宋体" w:cs="Times New Roman"/>
          <w:szCs w:val="22"/>
        </w:rPr>
        <w:t>保安员职责要求</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1</w:t>
      </w:r>
      <w:r>
        <w:rPr>
          <w:rFonts w:hint="eastAsia" w:ascii="Calibri" w:hAnsi="Calibri" w:eastAsia="宋体" w:cs="Times New Roman"/>
          <w:szCs w:val="22"/>
          <w:lang w:eastAsia="zh-CN"/>
        </w:rPr>
        <w:t>）</w:t>
      </w:r>
      <w:r>
        <w:rPr>
          <w:rFonts w:ascii="Calibri" w:hAnsi="Calibri" w:eastAsia="宋体" w:cs="Times New Roman"/>
          <w:szCs w:val="22"/>
        </w:rPr>
        <w:t>认真学习并坚决贯彻执行学校安全法律、法规和规章；</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2</w:t>
      </w:r>
      <w:r>
        <w:rPr>
          <w:rFonts w:hint="eastAsia" w:ascii="Calibri" w:hAnsi="Calibri" w:eastAsia="宋体" w:cs="Times New Roman"/>
          <w:szCs w:val="22"/>
          <w:lang w:eastAsia="zh-CN"/>
        </w:rPr>
        <w:t>）</w:t>
      </w:r>
      <w:r>
        <w:rPr>
          <w:rFonts w:ascii="Calibri" w:hAnsi="Calibri" w:eastAsia="宋体" w:cs="Times New Roman"/>
          <w:szCs w:val="22"/>
        </w:rPr>
        <w:t>明荣知耻，忠于职守、文明执勤、优质服务，严格执行学校的各项规章制度，接受采购人领导及主管人员的管理，服从采购人领导的工作安排；</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3</w:t>
      </w:r>
      <w:r>
        <w:rPr>
          <w:rFonts w:hint="eastAsia" w:ascii="Calibri" w:hAnsi="Calibri" w:eastAsia="宋体" w:cs="Times New Roman"/>
          <w:szCs w:val="22"/>
          <w:lang w:eastAsia="zh-CN"/>
        </w:rPr>
        <w:t>）</w:t>
      </w:r>
      <w:r>
        <w:rPr>
          <w:rFonts w:ascii="Calibri" w:hAnsi="Calibri" w:eastAsia="宋体" w:cs="Times New Roman"/>
          <w:szCs w:val="22"/>
        </w:rPr>
        <w:t>定时开关学校大门并执行清校制度。在学生上学、放学及集体进出校门时应在门前规定地点及时放置警示牌、隔离墩、疏导交通；</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4</w:t>
      </w:r>
      <w:r>
        <w:rPr>
          <w:rFonts w:hint="eastAsia" w:ascii="Calibri" w:hAnsi="Calibri" w:eastAsia="宋体" w:cs="Times New Roman"/>
          <w:szCs w:val="22"/>
          <w:lang w:eastAsia="zh-CN"/>
        </w:rPr>
        <w:t>）</w:t>
      </w:r>
      <w:r>
        <w:rPr>
          <w:rFonts w:ascii="Calibri" w:hAnsi="Calibri" w:eastAsia="宋体" w:cs="Times New Roman"/>
          <w:szCs w:val="22"/>
        </w:rPr>
        <w:t>对来访人员及车辆进行登记、联系、发卡、检查，做好上传下达及收发、失物招领工作；</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5</w:t>
      </w:r>
      <w:r>
        <w:rPr>
          <w:rFonts w:hint="eastAsia" w:ascii="Calibri" w:hAnsi="Calibri" w:eastAsia="宋体" w:cs="Times New Roman"/>
          <w:szCs w:val="22"/>
          <w:lang w:eastAsia="zh-CN"/>
        </w:rPr>
        <w:t>）</w:t>
      </w:r>
      <w:r>
        <w:rPr>
          <w:rFonts w:ascii="Calibri" w:hAnsi="Calibri" w:eastAsia="宋体" w:cs="Times New Roman"/>
          <w:szCs w:val="22"/>
        </w:rPr>
        <w:t>掌握学生行为动态，对擅自在课间离开学校的学生，予以劝阻，没有校（园）方开据的许可证一律不得放行，并及时上报班主任及校（园）德育处，并做好书面记录；</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6</w:t>
      </w:r>
      <w:r>
        <w:rPr>
          <w:rFonts w:hint="eastAsia" w:ascii="Calibri" w:hAnsi="Calibri" w:eastAsia="宋体" w:cs="Times New Roman"/>
          <w:szCs w:val="22"/>
          <w:lang w:eastAsia="zh-CN"/>
        </w:rPr>
        <w:t>）</w:t>
      </w:r>
      <w:r>
        <w:rPr>
          <w:rFonts w:ascii="Calibri" w:hAnsi="Calibri" w:eastAsia="宋体" w:cs="Times New Roman"/>
          <w:szCs w:val="22"/>
        </w:rPr>
        <w:t>配合学校对住校学生的宿舍进行管理，维护住校师生正常秩序；</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7</w:t>
      </w:r>
      <w:r>
        <w:rPr>
          <w:rFonts w:hint="eastAsia" w:ascii="Calibri" w:hAnsi="Calibri" w:eastAsia="宋体" w:cs="Times New Roman"/>
          <w:szCs w:val="22"/>
          <w:lang w:eastAsia="zh-CN"/>
        </w:rPr>
        <w:t>）</w:t>
      </w:r>
      <w:r>
        <w:rPr>
          <w:rFonts w:ascii="Calibri" w:hAnsi="Calibri" w:eastAsia="宋体" w:cs="Times New Roman"/>
          <w:szCs w:val="22"/>
        </w:rPr>
        <w:t>对学校区域实行24小时值班护卫制度，禁止无关人员进入校园，维护校园秩序；坚决制止校园暴力，尤其要确保校（园）大门前无外来人员聚众敲诈勒索本校（园）学生，坚决打击“法轮功、黄、赌、毒”等违法活动对校园的侵害；</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8</w:t>
      </w:r>
      <w:r>
        <w:rPr>
          <w:rFonts w:hint="eastAsia" w:ascii="Calibri" w:hAnsi="Calibri" w:eastAsia="宋体" w:cs="Times New Roman"/>
          <w:szCs w:val="22"/>
          <w:lang w:eastAsia="zh-CN"/>
        </w:rPr>
        <w:t>）</w:t>
      </w:r>
      <w:r>
        <w:rPr>
          <w:rFonts w:ascii="Calibri" w:hAnsi="Calibri" w:eastAsia="宋体" w:cs="Times New Roman"/>
          <w:szCs w:val="22"/>
        </w:rPr>
        <w:t>对进出物品严格检查，携带学校公物外出必须由主管领导签字后方能予以放行，并作好登记；</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9</w:t>
      </w:r>
      <w:r>
        <w:rPr>
          <w:rFonts w:hint="eastAsia" w:ascii="Calibri" w:hAnsi="Calibri" w:eastAsia="宋体" w:cs="Times New Roman"/>
          <w:szCs w:val="22"/>
          <w:lang w:eastAsia="zh-CN"/>
        </w:rPr>
        <w:t>）</w:t>
      </w:r>
      <w:r>
        <w:rPr>
          <w:rFonts w:ascii="Calibri" w:hAnsi="Calibri" w:eastAsia="宋体" w:cs="Times New Roman"/>
          <w:szCs w:val="22"/>
        </w:rPr>
        <w:t>加强对校园区域的安全巡视，尤其是晚上，值班人员要加强对校园重要防护点的巡查，切实保障学校正常秩序和人员财产安全。做好消防、防盗安全工作，发现重大安全隐患时，应及时向保安公司和学校书面报告并提出自己的整改意见。</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10</w:t>
      </w:r>
      <w:r>
        <w:rPr>
          <w:rFonts w:hint="eastAsia" w:ascii="Calibri" w:hAnsi="Calibri" w:eastAsia="宋体" w:cs="Times New Roman"/>
          <w:szCs w:val="22"/>
          <w:lang w:eastAsia="zh-CN"/>
        </w:rPr>
        <w:t>）</w:t>
      </w:r>
      <w:r>
        <w:rPr>
          <w:rFonts w:ascii="Calibri" w:hAnsi="Calibri" w:eastAsia="宋体" w:cs="Times New Roman"/>
          <w:szCs w:val="22"/>
        </w:rPr>
        <w:t>保护校园区域内发生的刑事、治安案件或灾害事故现场，维护现场秩序，并做好记录，事发时的当班保安应在事发后6小时内向学校相关领导书面报告事发前后保安值班的真实、详细的情况；</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11</w:t>
      </w:r>
      <w:r>
        <w:rPr>
          <w:rFonts w:hint="eastAsia" w:ascii="Calibri" w:hAnsi="Calibri" w:eastAsia="宋体" w:cs="Times New Roman"/>
          <w:szCs w:val="22"/>
          <w:lang w:eastAsia="zh-CN"/>
        </w:rPr>
        <w:t>）</w:t>
      </w:r>
      <w:r>
        <w:rPr>
          <w:rFonts w:ascii="Calibri" w:hAnsi="Calibri" w:eastAsia="宋体" w:cs="Times New Roman"/>
          <w:szCs w:val="22"/>
        </w:rPr>
        <w:t>与学校辖区派出所密切协作，对校园周边环境进行综合治理，一旦发现带黑性质团伙敲诈、抢劫师生事件时，要立即拨打110报警，并阻止犯罪。建立校与校以及中标人派驻学校就近岗位之间快速反应的队伍，及时处理突发事件；</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12</w:t>
      </w:r>
      <w:r>
        <w:rPr>
          <w:rFonts w:hint="eastAsia" w:ascii="Calibri" w:hAnsi="Calibri" w:eastAsia="宋体" w:cs="Times New Roman"/>
          <w:szCs w:val="22"/>
          <w:lang w:eastAsia="zh-CN"/>
        </w:rPr>
        <w:t>）</w:t>
      </w:r>
      <w:r>
        <w:rPr>
          <w:rFonts w:ascii="Calibri" w:hAnsi="Calibri" w:eastAsia="宋体" w:cs="Times New Roman"/>
          <w:szCs w:val="22"/>
        </w:rPr>
        <w:t>做好每个班次的交接班制度，即交卫生、交情况、交装备；</w:t>
      </w:r>
    </w:p>
    <w:p>
      <w:pPr>
        <w:numPr>
          <w:numId w:val="0"/>
        </w:numPr>
        <w:ind w:left="735" w:leftChars="0"/>
        <w:textAlignment w:val="baseline"/>
        <w:rPr>
          <w:rFonts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13</w:t>
      </w:r>
      <w:r>
        <w:rPr>
          <w:rFonts w:hint="eastAsia" w:ascii="Calibri" w:hAnsi="Calibri" w:eastAsia="宋体" w:cs="Times New Roman"/>
          <w:szCs w:val="22"/>
          <w:lang w:eastAsia="zh-CN"/>
        </w:rPr>
        <w:t>）</w:t>
      </w:r>
      <w:r>
        <w:rPr>
          <w:rFonts w:ascii="Calibri" w:hAnsi="Calibri" w:eastAsia="宋体" w:cs="Times New Roman"/>
          <w:szCs w:val="22"/>
        </w:rPr>
        <w:t>依照国家法律法规和采购人有关规章制度及要求，做好其它相关工作。</w:t>
      </w:r>
    </w:p>
    <w:p>
      <w:pPr>
        <w:numPr>
          <w:ilvl w:val="0"/>
          <w:numId w:val="5"/>
        </w:numPr>
        <w:ind w:left="210" w:leftChars="100" w:firstLine="0"/>
        <w:textAlignment w:val="auto"/>
        <w:rPr>
          <w:rFonts w:ascii="Calibri" w:hAnsi="Calibri" w:eastAsia="宋体" w:cs="Times New Roman"/>
          <w:szCs w:val="22"/>
        </w:rPr>
      </w:pPr>
      <w:r>
        <w:rPr>
          <w:rFonts w:ascii="Calibri" w:hAnsi="Calibri" w:eastAsia="宋体" w:cs="Times New Roman"/>
          <w:szCs w:val="22"/>
        </w:rPr>
        <w:t>保安员严禁从事的行为</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1</w:t>
      </w:r>
      <w:r>
        <w:rPr>
          <w:rFonts w:hint="eastAsia" w:ascii="Calibri" w:hAnsi="Calibri" w:eastAsia="宋体" w:cs="Times New Roman"/>
          <w:szCs w:val="22"/>
          <w:lang w:eastAsia="zh-CN"/>
        </w:rPr>
        <w:t>）</w:t>
      </w:r>
      <w:r>
        <w:rPr>
          <w:rFonts w:ascii="Calibri" w:hAnsi="Calibri" w:eastAsia="宋体" w:cs="Times New Roman"/>
          <w:szCs w:val="22"/>
        </w:rPr>
        <w:t>严禁阻碍国家机关工作人员依法执行公务；</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2</w:t>
      </w:r>
      <w:r>
        <w:rPr>
          <w:rFonts w:hint="eastAsia" w:ascii="Calibri" w:hAnsi="Calibri" w:eastAsia="宋体" w:cs="Times New Roman"/>
          <w:szCs w:val="22"/>
          <w:lang w:eastAsia="zh-CN"/>
        </w:rPr>
        <w:t>）</w:t>
      </w:r>
      <w:r>
        <w:rPr>
          <w:rFonts w:ascii="Calibri" w:hAnsi="Calibri" w:eastAsia="宋体" w:cs="Times New Roman"/>
          <w:szCs w:val="22"/>
        </w:rPr>
        <w:t>严禁非法剥夺、限制他人人身自由；</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3</w:t>
      </w:r>
      <w:r>
        <w:rPr>
          <w:rFonts w:hint="eastAsia" w:ascii="Calibri" w:hAnsi="Calibri" w:eastAsia="宋体" w:cs="Times New Roman"/>
          <w:szCs w:val="22"/>
          <w:lang w:eastAsia="zh-CN"/>
        </w:rPr>
        <w:t>）</w:t>
      </w:r>
      <w:r>
        <w:rPr>
          <w:rFonts w:ascii="Calibri" w:hAnsi="Calibri" w:eastAsia="宋体" w:cs="Times New Roman"/>
          <w:szCs w:val="22"/>
        </w:rPr>
        <w:t>严禁乱罚和没收他人财物；</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4</w:t>
      </w:r>
      <w:r>
        <w:rPr>
          <w:rFonts w:hint="eastAsia" w:ascii="Calibri" w:hAnsi="Calibri" w:eastAsia="宋体" w:cs="Times New Roman"/>
          <w:szCs w:val="22"/>
          <w:lang w:eastAsia="zh-CN"/>
        </w:rPr>
        <w:t>）</w:t>
      </w:r>
      <w:r>
        <w:rPr>
          <w:rFonts w:ascii="Calibri" w:hAnsi="Calibri" w:eastAsia="宋体" w:cs="Times New Roman"/>
          <w:szCs w:val="22"/>
        </w:rPr>
        <w:t>严禁扣押他人证件和财物；</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5</w:t>
      </w:r>
      <w:r>
        <w:rPr>
          <w:rFonts w:hint="eastAsia" w:ascii="Calibri" w:hAnsi="Calibri" w:eastAsia="宋体" w:cs="Times New Roman"/>
          <w:szCs w:val="22"/>
          <w:lang w:eastAsia="zh-CN"/>
        </w:rPr>
        <w:t>）</w:t>
      </w:r>
      <w:r>
        <w:rPr>
          <w:rFonts w:ascii="Calibri" w:hAnsi="Calibri" w:eastAsia="宋体" w:cs="Times New Roman"/>
          <w:szCs w:val="22"/>
        </w:rPr>
        <w:t>严禁辱骂、殴打老师或学生及学校其他工作人员；</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6</w:t>
      </w:r>
      <w:r>
        <w:rPr>
          <w:rFonts w:hint="eastAsia" w:ascii="Calibri" w:hAnsi="Calibri" w:eastAsia="宋体" w:cs="Times New Roman"/>
          <w:szCs w:val="22"/>
          <w:lang w:eastAsia="zh-CN"/>
        </w:rPr>
        <w:t>）</w:t>
      </w:r>
      <w:r>
        <w:rPr>
          <w:rFonts w:ascii="Calibri" w:hAnsi="Calibri" w:eastAsia="宋体" w:cs="Times New Roman"/>
          <w:szCs w:val="22"/>
        </w:rPr>
        <w:t>严禁刁难学生家长及其他办事人员；</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7</w:t>
      </w:r>
      <w:r>
        <w:rPr>
          <w:rFonts w:hint="eastAsia" w:ascii="Calibri" w:hAnsi="Calibri" w:eastAsia="宋体" w:cs="Times New Roman"/>
          <w:szCs w:val="22"/>
          <w:lang w:eastAsia="zh-CN"/>
        </w:rPr>
        <w:t>）</w:t>
      </w:r>
      <w:r>
        <w:rPr>
          <w:rFonts w:ascii="Calibri" w:hAnsi="Calibri" w:eastAsia="宋体" w:cs="Times New Roman"/>
          <w:szCs w:val="22"/>
        </w:rPr>
        <w:t>严禁擅离岗位，从事与保卫工作无关之事；</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8</w:t>
      </w:r>
      <w:r>
        <w:rPr>
          <w:rFonts w:hint="eastAsia" w:ascii="Calibri" w:hAnsi="Calibri" w:eastAsia="宋体" w:cs="Times New Roman"/>
          <w:szCs w:val="22"/>
          <w:lang w:eastAsia="zh-CN"/>
        </w:rPr>
        <w:t>）</w:t>
      </w:r>
      <w:r>
        <w:rPr>
          <w:rFonts w:ascii="Calibri" w:hAnsi="Calibri" w:eastAsia="宋体" w:cs="Times New Roman"/>
          <w:szCs w:val="22"/>
        </w:rPr>
        <w:t>严禁未经允许擅自留宿外来人员或擅自同意在校园内存放货物和停放车辆；</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9</w:t>
      </w:r>
      <w:r>
        <w:rPr>
          <w:rFonts w:hint="eastAsia" w:ascii="Calibri" w:hAnsi="Calibri" w:eastAsia="宋体" w:cs="Times New Roman"/>
          <w:szCs w:val="22"/>
          <w:lang w:eastAsia="zh-CN"/>
        </w:rPr>
        <w:t>）</w:t>
      </w:r>
      <w:r>
        <w:rPr>
          <w:rFonts w:ascii="Calibri" w:hAnsi="Calibri" w:eastAsia="宋体" w:cs="Times New Roman"/>
          <w:szCs w:val="22"/>
        </w:rPr>
        <w:t>严禁酗酒、嫖娼（或在校园内乱搞两性关系）斗殴；</w:t>
      </w:r>
    </w:p>
    <w:p>
      <w:pPr>
        <w:numPr>
          <w:numId w:val="0"/>
        </w:numPr>
        <w:ind w:left="735" w:leftChars="0"/>
        <w:textAlignment w:val="baseline"/>
        <w:rPr>
          <w:rFonts w:hint="eastAsia" w:ascii="Calibri" w:hAnsi="Calibri" w:eastAsia="宋体" w:cs="Times New Roman"/>
          <w:szCs w:val="22"/>
        </w:rPr>
      </w:pPr>
      <w:r>
        <w:rPr>
          <w:rFonts w:hint="eastAsia" w:ascii="Calibri" w:hAnsi="Calibri" w:eastAsia="宋体" w:cs="Times New Roman"/>
          <w:szCs w:val="22"/>
          <w:lang w:eastAsia="zh-CN"/>
        </w:rPr>
        <w:t>（</w:t>
      </w:r>
      <w:r>
        <w:rPr>
          <w:rFonts w:hint="eastAsia" w:ascii="Calibri" w:hAnsi="Calibri" w:eastAsia="宋体" w:cs="Times New Roman"/>
          <w:szCs w:val="22"/>
          <w:lang w:val="en-US" w:eastAsia="zh-CN"/>
        </w:rPr>
        <w:t>10</w:t>
      </w:r>
      <w:r>
        <w:rPr>
          <w:rFonts w:hint="eastAsia" w:ascii="Calibri" w:hAnsi="Calibri" w:eastAsia="宋体" w:cs="Times New Roman"/>
          <w:szCs w:val="22"/>
          <w:lang w:eastAsia="zh-CN"/>
        </w:rPr>
        <w:t>）</w:t>
      </w:r>
      <w:r>
        <w:rPr>
          <w:rFonts w:ascii="Calibri" w:hAnsi="Calibri" w:eastAsia="宋体" w:cs="Times New Roman"/>
          <w:szCs w:val="22"/>
        </w:rPr>
        <w:t>严禁其它违反法律法规或甲方（学校）规定的行为。</w:t>
      </w:r>
    </w:p>
    <w:p>
      <w:pPr>
        <w:pStyle w:val="506"/>
        <w:wordWrap/>
        <w:spacing w:afterLines="0" w:line="360" w:lineRule="auto"/>
        <w:ind w:firstLine="436"/>
        <w:rPr>
          <w:bCs/>
          <w:sz w:val="21"/>
          <w:szCs w:val="21"/>
        </w:rPr>
      </w:pPr>
    </w:p>
    <w:p>
      <w:pPr>
        <w:pStyle w:val="321"/>
        <w:ind w:firstLine="0" w:firstLineChars="0"/>
        <w:rPr>
          <w:b/>
        </w:rPr>
      </w:pPr>
      <w:r>
        <w:rPr>
          <w:rFonts w:hint="eastAsia"/>
          <w:b/>
        </w:rPr>
        <w:t>三、项目商务要求</w:t>
      </w:r>
    </w:p>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（一）服务期限：</w:t>
      </w:r>
      <w:r>
        <w:rPr>
          <w:rFonts w:hint="eastAsia" w:asciiTheme="minorEastAsia" w:hAnsiTheme="minorEastAsia" w:eastAsiaTheme="minorEastAsia"/>
        </w:rPr>
        <w:t>自合同签订之日起一年。本项目为长期服务项目，合同履行期限最长不得超过三十六个月。服务期满后采购方可根据履约情况续签合同，最多续签两次，合同一年一签。如采购方对履约情况不满意或者中标方在合同履行期间因违法行为被禁止参与政府采购活动或者存在其他重大违法行为的，采购方不再续约。</w:t>
      </w:r>
    </w:p>
    <w:p>
      <w:pPr>
        <w:pStyle w:val="255"/>
        <w:spacing w:before="156" w:line="360" w:lineRule="auto"/>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rPr>
        <w:t>（</w:t>
      </w:r>
      <w:r>
        <w:rPr>
          <w:rFonts w:hint="eastAsia" w:asciiTheme="minorEastAsia" w:hAnsiTheme="minorEastAsia" w:eastAsiaTheme="minorEastAsia"/>
          <w:b/>
          <w:lang w:eastAsia="zh-CN"/>
        </w:rPr>
        <w:t>二</w:t>
      </w:r>
      <w:r>
        <w:rPr>
          <w:rFonts w:hint="eastAsia" w:asciiTheme="minorEastAsia" w:hAnsiTheme="minorEastAsia" w:eastAsiaTheme="minorEastAsia"/>
          <w:b/>
        </w:rPr>
        <w:t>）报价要求：</w:t>
      </w:r>
      <w:r>
        <w:rPr>
          <w:rFonts w:hint="eastAsia" w:asciiTheme="minorEastAsia" w:hAnsiTheme="minorEastAsia" w:eastAsiaTheme="minorEastAsia"/>
          <w:b w:val="0"/>
          <w:bCs/>
        </w:rPr>
        <w:t>本项目服务费采用包干制，应包括服务成本、法定税费和利润。由各投标人按招标文件的服务内容、要求自主报价。以人民币为结算单位，报价应包含但不限于以下全部费用：劳务服务费（服务人员工资、福利、医疗保险费、社保费、公积金、补贴、加班费、安全意外保险等，报告编制费用、设备仪器费、交通费、税金、风险金、利润等本采购项目所发生的一切费用）。一经中标，投标报价作为中标人与采购人签定的合同金额，合同期限内不做调整</w:t>
      </w:r>
      <w:r>
        <w:rPr>
          <w:rFonts w:hint="eastAsia" w:asciiTheme="minorEastAsia" w:hAnsiTheme="minorEastAsia" w:eastAsiaTheme="minorEastAsia"/>
          <w:b w:val="0"/>
          <w:bCs/>
          <w:lang w:eastAsia="zh-CN"/>
        </w:rPr>
        <w:t>。</w:t>
      </w:r>
    </w:p>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eastAsia="zh-CN"/>
        </w:rPr>
        <w:t>三</w:t>
      </w:r>
      <w:r>
        <w:rPr>
          <w:rFonts w:hint="eastAsia" w:asciiTheme="minorEastAsia" w:hAnsiTheme="minorEastAsia" w:eastAsiaTheme="minorEastAsia"/>
          <w:b/>
        </w:rPr>
        <w:t>）付款方式：</w:t>
      </w:r>
      <w:r>
        <w:rPr>
          <w:rFonts w:hint="eastAsia" w:asciiTheme="minorEastAsia" w:hAnsiTheme="minorEastAsia" w:eastAsiaTheme="minorEastAsia"/>
          <w:b w:val="0"/>
          <w:bCs/>
        </w:rPr>
        <w:t>按照深圳市福田区财政局相关规定进行支付。</w:t>
      </w:r>
    </w:p>
    <w:p>
      <w:pPr>
        <w:pStyle w:val="255"/>
        <w:spacing w:before="156" w:line="360" w:lineRule="auto"/>
        <w:ind w:firstLine="0" w:firstLineChars="0"/>
        <w:rPr>
          <w:rFonts w:ascii="宋体" w:hAnsi="宋体" w:cs="宋体"/>
          <w:kern w:val="0"/>
          <w:szCs w:val="21"/>
        </w:rPr>
      </w:pPr>
      <w:r>
        <w:rPr>
          <w:szCs w:val="21"/>
        </w:rPr>
        <w:br w:type="page"/>
      </w:r>
    </w:p>
    <w:p>
      <w:pPr>
        <w:pStyle w:val="456"/>
        <w:spacing w:before="0" w:beforeAutospacing="0" w:after="0" w:afterAutospacing="0" w:line="360" w:lineRule="auto"/>
        <w:rPr>
          <w:sz w:val="21"/>
          <w:szCs w:val="21"/>
        </w:rPr>
      </w:pPr>
    </w:p>
    <w:p>
      <w:pPr>
        <w:pStyle w:val="3"/>
      </w:pPr>
      <w:bookmarkStart w:id="2" w:name="_Toc45030743"/>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3、未按招标文件要求提供法定代表人证明书和法定代表人授权委托证明书。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5、招标项目完成期或服务期未满足招标文件要求的。</w:t>
      </w:r>
    </w:p>
    <w:p>
      <w:pPr>
        <w:adjustRightInd w:val="0"/>
        <w:spacing w:line="360" w:lineRule="auto"/>
        <w:rPr>
          <w:rFonts w:ascii="宋体" w:hAnsi="宋体"/>
          <w:snapToGrid w:val="0"/>
          <w:kern w:val="0"/>
        </w:rPr>
      </w:pPr>
      <w:r>
        <w:rPr>
          <w:rFonts w:hint="eastAsia" w:ascii="宋体" w:hAnsi="宋体"/>
          <w:snapToGrid w:val="0"/>
          <w:kern w:val="0"/>
        </w:rPr>
        <w:t>6、投标文件的关键内容字迹模糊、无法辨认的。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7、投标报价有严重缺漏项的。</w:t>
      </w:r>
    </w:p>
    <w:p>
      <w:pPr>
        <w:adjustRightInd w:val="0"/>
        <w:spacing w:line="360" w:lineRule="auto"/>
        <w:rPr>
          <w:rFonts w:ascii="宋体" w:hAnsi="宋体"/>
          <w:snapToGrid w:val="0"/>
          <w:kern w:val="0"/>
        </w:rPr>
      </w:pPr>
      <w:r>
        <w:rPr>
          <w:rFonts w:hint="eastAsia" w:ascii="宋体" w:hAnsi="宋体"/>
          <w:snapToGrid w:val="0"/>
          <w:kern w:val="0"/>
        </w:rPr>
        <w:t>8、未按招标文件所提供的样式填写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9、任一项带★的指标未响应或不满足要求（如有带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10、将一个项目包拆分投标，对同一货物及服务投标时，同时提供两套或以上的投标方案。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11、投标文件附有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12、投标违规行为：如以他人名义竞标、串通投标或者以其他弄虚作假方式投标的。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13、</w:t>
      </w:r>
      <w:r>
        <w:rPr>
          <w:rFonts w:hint="eastAsia" w:ascii="宋体" w:hAnsi="宋体"/>
          <w:bCs/>
          <w:szCs w:val="21"/>
        </w:rPr>
        <w:t>投标人的投标总价超过采购控制金额（最高投标限价）的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14、法律法规规定的其它情形。</w:t>
      </w:r>
    </w:p>
    <w:p/>
    <w:p/>
    <w:p/>
    <w:p>
      <w:pPr>
        <w:widowControl/>
        <w:jc w:val="left"/>
      </w:pPr>
      <w:r>
        <w:br w:type="page"/>
      </w:r>
    </w:p>
    <w:p/>
    <w:p>
      <w:pPr>
        <w:pStyle w:val="3"/>
        <w:spacing w:after="0"/>
      </w:pPr>
      <w:bookmarkStart w:id="3" w:name="_Toc45030744"/>
      <w:r>
        <w:rPr>
          <w:rFonts w:hint="eastAsia"/>
        </w:rPr>
        <w:t>第四章  评标方法和标准</w:t>
      </w:r>
      <w:bookmarkEnd w:id="3"/>
    </w:p>
    <w:p/>
    <w:p>
      <w:pPr>
        <w:pStyle w:val="5"/>
        <w:spacing w:before="0" w:after="0"/>
      </w:pPr>
      <w:bookmarkStart w:id="4" w:name="_Toc44690429"/>
      <w:bookmarkStart w:id="5" w:name="_Toc44691393"/>
      <w:bookmarkStart w:id="6" w:name="_Toc44690702"/>
      <w:bookmarkStart w:id="7" w:name="_Toc44691161"/>
      <w:bookmarkStart w:id="8" w:name="_Toc45030745"/>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5"/>
        <w:spacing w:before="0" w:after="0"/>
      </w:pPr>
      <w:bookmarkStart w:id="9" w:name="_Toc45030746"/>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一、价格标</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×20</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政府采购优惠政策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二、技术标</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en-US" w:eastAsia="zh-CN"/>
              </w:rPr>
              <w:t>4</w:t>
            </w:r>
            <w:r>
              <w:rPr>
                <w:rFonts w:hint="eastAsia" w:ascii="宋体" w:hAnsi="宋体" w:cs="仿宋"/>
                <w:b/>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adjustRightInd w:val="0"/>
              <w:spacing w:line="360" w:lineRule="auto"/>
              <w:jc w:val="center"/>
              <w:rPr>
                <w:rFonts w:ascii="宋体" w:hAnsi="宋体"/>
                <w:kern w:val="0"/>
                <w:szCs w:val="21"/>
              </w:rPr>
            </w:pPr>
            <w:r>
              <w:rPr>
                <w:rFonts w:hint="eastAsia" w:ascii="宋体" w:hAnsi="宋体" w:eastAsia="宋体" w:cs="宋体"/>
                <w:kern w:val="0"/>
                <w:sz w:val="21"/>
                <w:szCs w:val="21"/>
              </w:rPr>
              <w:t>安保服务总体方案</w:t>
            </w:r>
          </w:p>
        </w:tc>
        <w:tc>
          <w:tcPr>
            <w:tcW w:w="709" w:type="dxa"/>
            <w:vAlign w:val="center"/>
          </w:tcPr>
          <w:p>
            <w:pPr>
              <w:spacing w:line="360" w:lineRule="auto"/>
              <w:jc w:val="center"/>
              <w:rPr>
                <w:rFonts w:ascii="宋体" w:hAnsi="宋体"/>
                <w:kern w:val="0"/>
                <w:szCs w:val="21"/>
              </w:rPr>
            </w:pPr>
            <w:r>
              <w:rPr>
                <w:rFonts w:hint="eastAsia" w:ascii="宋体" w:hAnsi="宋体" w:eastAsia="宋体" w:cs="宋体"/>
                <w:kern w:val="0"/>
                <w:sz w:val="21"/>
                <w:szCs w:val="21"/>
                <w:lang w:val="en-US" w:eastAsia="zh-CN"/>
              </w:rPr>
              <w:t>10</w:t>
            </w:r>
          </w:p>
        </w:tc>
        <w:tc>
          <w:tcPr>
            <w:tcW w:w="5953" w:type="dxa"/>
            <w:vAlign w:val="center"/>
          </w:tcPr>
          <w:p>
            <w:pPr>
              <w:pStyle w:val="19"/>
              <w:rPr>
                <w:rFonts w:hint="eastAsia" w:ascii="宋体" w:hAnsi="宋体" w:eastAsia="宋体" w:cs="宋体"/>
                <w:kern w:val="0"/>
                <w:sz w:val="21"/>
                <w:szCs w:val="21"/>
              </w:rPr>
            </w:pPr>
            <w:r>
              <w:rPr>
                <w:rFonts w:hint="eastAsia" w:ascii="宋体" w:hAnsi="宋体" w:eastAsia="宋体" w:cs="宋体"/>
                <w:kern w:val="0"/>
                <w:sz w:val="21"/>
                <w:szCs w:val="21"/>
              </w:rPr>
              <w:t>由评标委员会根据响应情况进行评价给分。</w:t>
            </w:r>
          </w:p>
          <w:p>
            <w:pPr>
              <w:pStyle w:val="19"/>
              <w:rPr>
                <w:rFonts w:hint="eastAsia" w:hAnsi="宋体" w:cs="宋体"/>
                <w:kern w:val="0"/>
                <w:sz w:val="21"/>
                <w:szCs w:val="21"/>
                <w:lang w:eastAsia="zh-CN"/>
              </w:rPr>
            </w:pPr>
            <w:r>
              <w:rPr>
                <w:rFonts w:hint="eastAsia" w:hAnsi="宋体" w:cs="宋体"/>
                <w:kern w:val="0"/>
                <w:sz w:val="21"/>
                <w:szCs w:val="21"/>
                <w:lang w:eastAsia="zh-CN"/>
              </w:rPr>
              <w:t>（</w:t>
            </w:r>
            <w:r>
              <w:rPr>
                <w:rFonts w:hint="eastAsia" w:hAnsi="宋体" w:cs="宋体"/>
                <w:kern w:val="0"/>
                <w:sz w:val="21"/>
                <w:szCs w:val="21"/>
                <w:lang w:val="en-US" w:eastAsia="zh-CN"/>
              </w:rPr>
              <w:t>1</w:t>
            </w:r>
            <w:r>
              <w:rPr>
                <w:rFonts w:hint="eastAsia" w:hAnsi="宋体" w:cs="宋体"/>
                <w:kern w:val="0"/>
                <w:sz w:val="21"/>
                <w:szCs w:val="21"/>
                <w:lang w:eastAsia="zh-CN"/>
              </w:rPr>
              <w:t>）方案满足以上三点，</w:t>
            </w:r>
            <w:r>
              <w:rPr>
                <w:rFonts w:hint="eastAsia" w:ascii="宋体" w:hAnsi="宋体" w:eastAsia="宋体" w:cs="宋体"/>
                <w:kern w:val="0"/>
                <w:sz w:val="21"/>
                <w:szCs w:val="21"/>
              </w:rPr>
              <w:t>评价为优得</w:t>
            </w:r>
            <w:r>
              <w:rPr>
                <w:rFonts w:hint="eastAsia" w:ascii="宋体" w:hAnsi="宋体" w:eastAsia="宋体" w:cs="宋体"/>
                <w:kern w:val="0"/>
                <w:sz w:val="21"/>
                <w:szCs w:val="21"/>
                <w:lang w:val="en-US" w:eastAsia="zh-CN"/>
              </w:rPr>
              <w:t>100%</w:t>
            </w:r>
            <w:r>
              <w:rPr>
                <w:rFonts w:hint="eastAsia" w:hAnsi="宋体" w:cs="宋体"/>
                <w:kern w:val="0"/>
                <w:sz w:val="21"/>
                <w:szCs w:val="21"/>
                <w:lang w:eastAsia="zh-CN"/>
              </w:rPr>
              <w:t>；</w:t>
            </w:r>
          </w:p>
          <w:p>
            <w:pPr>
              <w:pStyle w:val="19"/>
              <w:numPr>
                <w:ilvl w:val="0"/>
                <w:numId w:val="6"/>
              </w:numPr>
              <w:rPr>
                <w:rFonts w:hint="eastAsia" w:hAnsi="宋体" w:cs="宋体"/>
                <w:kern w:val="0"/>
                <w:sz w:val="21"/>
                <w:szCs w:val="21"/>
                <w:lang w:eastAsia="zh-CN"/>
              </w:rPr>
            </w:pPr>
            <w:r>
              <w:rPr>
                <w:rFonts w:hint="eastAsia" w:hAnsi="宋体" w:cs="宋体"/>
                <w:kern w:val="0"/>
                <w:sz w:val="21"/>
                <w:szCs w:val="21"/>
                <w:lang w:eastAsia="zh-CN"/>
              </w:rPr>
              <w:t>方案满足以上两点，</w:t>
            </w:r>
            <w:r>
              <w:rPr>
                <w:rFonts w:hint="eastAsia" w:ascii="宋体" w:hAnsi="宋体" w:eastAsia="宋体" w:cs="宋体"/>
                <w:kern w:val="0"/>
                <w:sz w:val="21"/>
                <w:szCs w:val="21"/>
              </w:rPr>
              <w:t>评价为良得</w:t>
            </w:r>
            <w:r>
              <w:rPr>
                <w:rFonts w:hint="eastAsia" w:ascii="宋体" w:hAnsi="宋体" w:eastAsia="宋体" w:cs="宋体"/>
                <w:kern w:val="0"/>
                <w:sz w:val="21"/>
                <w:szCs w:val="21"/>
                <w:lang w:val="en-US" w:eastAsia="zh-CN"/>
              </w:rPr>
              <w:t>75%</w:t>
            </w:r>
            <w:r>
              <w:rPr>
                <w:rFonts w:hint="eastAsia" w:hAnsi="宋体" w:cs="宋体"/>
                <w:kern w:val="0"/>
                <w:sz w:val="21"/>
                <w:szCs w:val="21"/>
                <w:lang w:eastAsia="zh-CN"/>
              </w:rPr>
              <w:t>；</w:t>
            </w:r>
          </w:p>
          <w:p>
            <w:pPr>
              <w:pStyle w:val="19"/>
              <w:numPr>
                <w:ilvl w:val="0"/>
                <w:numId w:val="6"/>
              </w:numPr>
              <w:ind w:left="0" w:leftChars="0" w:firstLine="0" w:firstLineChars="0"/>
              <w:rPr>
                <w:rFonts w:hint="eastAsia" w:hAnsi="宋体" w:cs="宋体"/>
                <w:kern w:val="0"/>
                <w:sz w:val="21"/>
                <w:szCs w:val="21"/>
                <w:lang w:eastAsia="zh-CN"/>
              </w:rPr>
            </w:pPr>
            <w:r>
              <w:rPr>
                <w:rFonts w:hint="eastAsia" w:hAnsi="宋体" w:cs="宋体"/>
                <w:kern w:val="0"/>
                <w:sz w:val="21"/>
                <w:szCs w:val="21"/>
                <w:lang w:eastAsia="zh-CN"/>
              </w:rPr>
              <w:t>方案满足以上一点，</w:t>
            </w:r>
            <w:r>
              <w:rPr>
                <w:rFonts w:hint="eastAsia" w:ascii="宋体" w:hAnsi="宋体" w:eastAsia="宋体" w:cs="宋体"/>
                <w:kern w:val="0"/>
                <w:sz w:val="21"/>
                <w:szCs w:val="21"/>
              </w:rPr>
              <w:t>评价为中得</w:t>
            </w:r>
            <w:r>
              <w:rPr>
                <w:rFonts w:hint="eastAsia" w:ascii="宋体" w:hAnsi="宋体" w:eastAsia="宋体" w:cs="宋体"/>
                <w:kern w:val="0"/>
                <w:sz w:val="21"/>
                <w:szCs w:val="21"/>
                <w:lang w:val="en-US" w:eastAsia="zh-CN"/>
              </w:rPr>
              <w:t>50%</w:t>
            </w:r>
            <w:r>
              <w:rPr>
                <w:rFonts w:hint="eastAsia" w:hAnsi="宋体" w:cs="宋体"/>
                <w:kern w:val="0"/>
                <w:sz w:val="21"/>
                <w:szCs w:val="21"/>
                <w:lang w:eastAsia="zh-CN"/>
              </w:rPr>
              <w:t>；</w:t>
            </w:r>
          </w:p>
          <w:p>
            <w:pPr>
              <w:pStyle w:val="19"/>
              <w:numPr>
                <w:ilvl w:val="0"/>
                <w:numId w:val="6"/>
              </w:numPr>
              <w:ind w:left="0" w:leftChars="0" w:firstLine="0" w:firstLineChars="0"/>
              <w:rPr>
                <w:rFonts w:ascii="宋体" w:hAnsi="宋体"/>
                <w:kern w:val="0"/>
                <w:szCs w:val="21"/>
              </w:rPr>
            </w:pPr>
            <w:r>
              <w:rPr>
                <w:rFonts w:hint="eastAsia" w:hAnsi="宋体" w:cs="宋体"/>
                <w:kern w:val="0"/>
                <w:sz w:val="21"/>
                <w:szCs w:val="21"/>
                <w:lang w:eastAsia="zh-CN"/>
              </w:rPr>
              <w:t>方案满足以上一点</w:t>
            </w:r>
            <w:r>
              <w:rPr>
                <w:rFonts w:hint="eastAsia" w:ascii="宋体" w:hAnsi="宋体" w:eastAsia="宋体" w:cs="宋体"/>
                <w:kern w:val="0"/>
                <w:sz w:val="21"/>
                <w:szCs w:val="21"/>
              </w:rPr>
              <w:t xml:space="preserve">评价为差得 </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，未提供不得分。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9"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adjustRightInd w:val="0"/>
              <w:spacing w:line="360" w:lineRule="auto"/>
              <w:jc w:val="center"/>
              <w:rPr>
                <w:rFonts w:ascii="宋体" w:hAnsi="宋体"/>
                <w:kern w:val="0"/>
                <w:szCs w:val="21"/>
              </w:rPr>
            </w:pPr>
            <w:r>
              <w:rPr>
                <w:rFonts w:hint="eastAsia" w:ascii="宋体" w:hAnsi="宋体" w:eastAsia="宋体" w:cs="宋体"/>
                <w:kern w:val="0"/>
                <w:sz w:val="21"/>
                <w:szCs w:val="21"/>
              </w:rPr>
              <w:t>项目人员的培训与管理方案</w:t>
            </w:r>
          </w:p>
        </w:tc>
        <w:tc>
          <w:tcPr>
            <w:tcW w:w="709" w:type="dxa"/>
            <w:vAlign w:val="center"/>
          </w:tcPr>
          <w:p>
            <w:pPr>
              <w:spacing w:line="360" w:lineRule="auto"/>
              <w:jc w:val="center"/>
              <w:rPr>
                <w:rFonts w:ascii="宋体" w:hAnsi="宋体"/>
                <w:kern w:val="0"/>
                <w:szCs w:val="21"/>
              </w:rPr>
            </w:pPr>
            <w:r>
              <w:rPr>
                <w:rFonts w:hint="eastAsia" w:ascii="宋体" w:hAnsi="宋体" w:eastAsia="宋体" w:cs="宋体"/>
                <w:kern w:val="0"/>
                <w:sz w:val="21"/>
                <w:szCs w:val="21"/>
                <w:lang w:val="en-US" w:eastAsia="zh-CN"/>
              </w:rPr>
              <w:t>10</w:t>
            </w:r>
          </w:p>
        </w:tc>
        <w:tc>
          <w:tcPr>
            <w:tcW w:w="5953" w:type="dxa"/>
            <w:vAlign w:val="center"/>
          </w:tcPr>
          <w:p>
            <w:pPr>
              <w:pStyle w:val="19"/>
              <w:rPr>
                <w:rFonts w:hint="eastAsia" w:ascii="宋体" w:hAnsi="宋体" w:eastAsia="宋体" w:cs="宋体"/>
                <w:kern w:val="0"/>
                <w:sz w:val="21"/>
                <w:szCs w:val="21"/>
              </w:rPr>
            </w:pPr>
            <w:r>
              <w:rPr>
                <w:rFonts w:hint="eastAsia" w:ascii="宋体" w:hAnsi="宋体" w:eastAsia="宋体" w:cs="宋体"/>
                <w:kern w:val="0"/>
                <w:sz w:val="21"/>
                <w:szCs w:val="21"/>
              </w:rPr>
              <w:t>由评标委员会根据响应情况进行评价给分。</w:t>
            </w:r>
          </w:p>
          <w:p>
            <w:pPr>
              <w:pStyle w:val="19"/>
              <w:rPr>
                <w:rFonts w:hint="eastAsia" w:hAnsi="宋体" w:cs="宋体"/>
                <w:kern w:val="0"/>
                <w:sz w:val="21"/>
                <w:szCs w:val="21"/>
                <w:lang w:eastAsia="zh-CN"/>
              </w:rPr>
            </w:pPr>
            <w:r>
              <w:rPr>
                <w:rFonts w:hint="eastAsia" w:hAnsi="宋体" w:cs="宋体"/>
                <w:kern w:val="0"/>
                <w:sz w:val="21"/>
                <w:szCs w:val="21"/>
                <w:lang w:eastAsia="zh-CN"/>
              </w:rPr>
              <w:t>（</w:t>
            </w:r>
            <w:r>
              <w:rPr>
                <w:rFonts w:hint="eastAsia" w:hAnsi="宋体" w:cs="宋体"/>
                <w:kern w:val="0"/>
                <w:sz w:val="21"/>
                <w:szCs w:val="21"/>
                <w:lang w:val="en-US" w:eastAsia="zh-CN"/>
              </w:rPr>
              <w:t>1</w:t>
            </w:r>
            <w:r>
              <w:rPr>
                <w:rFonts w:hint="eastAsia" w:hAnsi="宋体" w:cs="宋体"/>
                <w:kern w:val="0"/>
                <w:sz w:val="21"/>
                <w:szCs w:val="21"/>
                <w:lang w:eastAsia="zh-CN"/>
              </w:rPr>
              <w:t>）方案满足以上三点，</w:t>
            </w:r>
            <w:r>
              <w:rPr>
                <w:rFonts w:hint="eastAsia" w:ascii="宋体" w:hAnsi="宋体" w:eastAsia="宋体" w:cs="宋体"/>
                <w:kern w:val="0"/>
                <w:sz w:val="21"/>
                <w:szCs w:val="21"/>
              </w:rPr>
              <w:t>评价为优得</w:t>
            </w:r>
            <w:r>
              <w:rPr>
                <w:rFonts w:hint="eastAsia" w:ascii="宋体" w:hAnsi="宋体" w:eastAsia="宋体" w:cs="宋体"/>
                <w:kern w:val="0"/>
                <w:sz w:val="21"/>
                <w:szCs w:val="21"/>
                <w:lang w:val="en-US" w:eastAsia="zh-CN"/>
              </w:rPr>
              <w:t>100%</w:t>
            </w:r>
            <w:r>
              <w:rPr>
                <w:rFonts w:hint="eastAsia" w:hAnsi="宋体" w:cs="宋体"/>
                <w:kern w:val="0"/>
                <w:sz w:val="21"/>
                <w:szCs w:val="21"/>
                <w:lang w:eastAsia="zh-CN"/>
              </w:rPr>
              <w:t>；</w:t>
            </w:r>
          </w:p>
          <w:p>
            <w:pPr>
              <w:pStyle w:val="19"/>
              <w:numPr>
                <w:ilvl w:val="0"/>
                <w:numId w:val="0"/>
              </w:numPr>
              <w:rPr>
                <w:rFonts w:hint="eastAsia" w:hAnsi="宋体" w:cs="宋体"/>
                <w:kern w:val="0"/>
                <w:sz w:val="21"/>
                <w:szCs w:val="21"/>
                <w:lang w:eastAsia="zh-CN"/>
              </w:rPr>
            </w:pPr>
            <w:r>
              <w:rPr>
                <w:rFonts w:hint="eastAsia" w:hAnsi="宋体" w:cs="宋体"/>
                <w:kern w:val="0"/>
                <w:sz w:val="21"/>
                <w:szCs w:val="21"/>
                <w:lang w:eastAsia="zh-CN"/>
              </w:rPr>
              <w:t>（</w:t>
            </w:r>
            <w:r>
              <w:rPr>
                <w:rFonts w:hint="eastAsia" w:hAnsi="宋体" w:cs="宋体"/>
                <w:kern w:val="0"/>
                <w:sz w:val="21"/>
                <w:szCs w:val="21"/>
                <w:lang w:val="en-US" w:eastAsia="zh-CN"/>
              </w:rPr>
              <w:t>2</w:t>
            </w:r>
            <w:r>
              <w:rPr>
                <w:rFonts w:hint="eastAsia" w:hAnsi="宋体" w:cs="宋体"/>
                <w:kern w:val="0"/>
                <w:sz w:val="21"/>
                <w:szCs w:val="21"/>
                <w:lang w:eastAsia="zh-CN"/>
              </w:rPr>
              <w:t>）方案满足以上两点，</w:t>
            </w:r>
            <w:r>
              <w:rPr>
                <w:rFonts w:hint="eastAsia" w:ascii="宋体" w:hAnsi="宋体" w:eastAsia="宋体" w:cs="宋体"/>
                <w:kern w:val="0"/>
                <w:sz w:val="21"/>
                <w:szCs w:val="21"/>
              </w:rPr>
              <w:t>评价为良得</w:t>
            </w:r>
            <w:r>
              <w:rPr>
                <w:rFonts w:hint="eastAsia" w:ascii="宋体" w:hAnsi="宋体" w:eastAsia="宋体" w:cs="宋体"/>
                <w:kern w:val="0"/>
                <w:sz w:val="21"/>
                <w:szCs w:val="21"/>
                <w:lang w:val="en-US" w:eastAsia="zh-CN"/>
              </w:rPr>
              <w:t>75%</w:t>
            </w:r>
            <w:r>
              <w:rPr>
                <w:rFonts w:hint="eastAsia" w:hAnsi="宋体" w:cs="宋体"/>
                <w:kern w:val="0"/>
                <w:sz w:val="21"/>
                <w:szCs w:val="21"/>
                <w:lang w:eastAsia="zh-CN"/>
              </w:rPr>
              <w:t>；</w:t>
            </w:r>
          </w:p>
          <w:p>
            <w:pPr>
              <w:pStyle w:val="19"/>
              <w:numPr>
                <w:ilvl w:val="0"/>
                <w:numId w:val="0"/>
              </w:numPr>
              <w:ind w:leftChars="0"/>
              <w:rPr>
                <w:rFonts w:hint="eastAsia" w:hAnsi="宋体" w:cs="宋体"/>
                <w:kern w:val="0"/>
                <w:sz w:val="21"/>
                <w:szCs w:val="21"/>
                <w:lang w:eastAsia="zh-CN"/>
              </w:rPr>
            </w:pPr>
            <w:r>
              <w:rPr>
                <w:rFonts w:hint="eastAsia" w:hAnsi="宋体" w:cs="宋体"/>
                <w:kern w:val="0"/>
                <w:sz w:val="21"/>
                <w:szCs w:val="21"/>
                <w:lang w:eastAsia="zh-CN"/>
              </w:rPr>
              <w:t>（</w:t>
            </w:r>
            <w:r>
              <w:rPr>
                <w:rFonts w:hint="eastAsia" w:hAnsi="宋体" w:cs="宋体"/>
                <w:kern w:val="0"/>
                <w:sz w:val="21"/>
                <w:szCs w:val="21"/>
                <w:lang w:val="en-US" w:eastAsia="zh-CN"/>
              </w:rPr>
              <w:t>3</w:t>
            </w:r>
            <w:r>
              <w:rPr>
                <w:rFonts w:hint="eastAsia" w:hAnsi="宋体" w:cs="宋体"/>
                <w:kern w:val="0"/>
                <w:sz w:val="21"/>
                <w:szCs w:val="21"/>
                <w:lang w:eastAsia="zh-CN"/>
              </w:rPr>
              <w:t>）方案满足以上一点，</w:t>
            </w:r>
            <w:r>
              <w:rPr>
                <w:rFonts w:hint="eastAsia" w:ascii="宋体" w:hAnsi="宋体" w:eastAsia="宋体" w:cs="宋体"/>
                <w:kern w:val="0"/>
                <w:sz w:val="21"/>
                <w:szCs w:val="21"/>
              </w:rPr>
              <w:t>评价为中得</w:t>
            </w:r>
            <w:r>
              <w:rPr>
                <w:rFonts w:hint="eastAsia" w:ascii="宋体" w:hAnsi="宋体" w:eastAsia="宋体" w:cs="宋体"/>
                <w:kern w:val="0"/>
                <w:sz w:val="21"/>
                <w:szCs w:val="21"/>
                <w:lang w:val="en-US" w:eastAsia="zh-CN"/>
              </w:rPr>
              <w:t>50%</w:t>
            </w:r>
            <w:r>
              <w:rPr>
                <w:rFonts w:hint="eastAsia" w:hAnsi="宋体" w:cs="宋体"/>
                <w:kern w:val="0"/>
                <w:sz w:val="21"/>
                <w:szCs w:val="21"/>
                <w:lang w:eastAsia="zh-CN"/>
              </w:rPr>
              <w:t>；</w:t>
            </w:r>
          </w:p>
          <w:p>
            <w:pPr>
              <w:pStyle w:val="19"/>
              <w:numPr>
                <w:ilvl w:val="0"/>
                <w:numId w:val="0"/>
              </w:numPr>
              <w:ind w:left="0" w:leftChars="0" w:firstLine="0" w:firstLineChars="0"/>
              <w:rPr>
                <w:rFonts w:ascii="宋体" w:hAnsi="宋体" w:cs="宋体"/>
                <w:szCs w:val="21"/>
              </w:rPr>
            </w:pPr>
            <w:r>
              <w:rPr>
                <w:rFonts w:hint="eastAsia" w:hAnsi="宋体" w:cs="宋体"/>
                <w:kern w:val="0"/>
                <w:sz w:val="21"/>
                <w:szCs w:val="21"/>
                <w:lang w:eastAsia="zh-CN"/>
              </w:rPr>
              <w:t>（</w:t>
            </w:r>
            <w:r>
              <w:rPr>
                <w:rFonts w:hint="eastAsia" w:hAnsi="宋体" w:cs="宋体"/>
                <w:kern w:val="0"/>
                <w:sz w:val="21"/>
                <w:szCs w:val="21"/>
                <w:lang w:val="en-US" w:eastAsia="zh-CN"/>
              </w:rPr>
              <w:t>4</w:t>
            </w:r>
            <w:r>
              <w:rPr>
                <w:rFonts w:hint="eastAsia" w:hAnsi="宋体" w:cs="宋体"/>
                <w:kern w:val="0"/>
                <w:sz w:val="21"/>
                <w:szCs w:val="21"/>
                <w:lang w:eastAsia="zh-CN"/>
              </w:rPr>
              <w:t>）方案满足以上一点</w:t>
            </w:r>
            <w:r>
              <w:rPr>
                <w:rFonts w:hint="eastAsia" w:ascii="宋体" w:hAnsi="宋体" w:eastAsia="宋体" w:cs="宋体"/>
                <w:kern w:val="0"/>
                <w:sz w:val="21"/>
                <w:szCs w:val="21"/>
              </w:rPr>
              <w:t xml:space="preserve">评价为差得 </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，未提供不得分。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7"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adjustRightInd w:val="0"/>
              <w:spacing w:line="360" w:lineRule="auto"/>
              <w:jc w:val="center"/>
              <w:rPr>
                <w:rFonts w:ascii="宋体" w:hAnsi="宋体"/>
                <w:kern w:val="0"/>
                <w:szCs w:val="21"/>
              </w:rPr>
            </w:pP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质量保障措施</w:t>
            </w:r>
          </w:p>
        </w:tc>
        <w:tc>
          <w:tcPr>
            <w:tcW w:w="709" w:type="dxa"/>
            <w:vAlign w:val="center"/>
          </w:tcPr>
          <w:p>
            <w:pPr>
              <w:spacing w:line="360" w:lineRule="auto"/>
              <w:jc w:val="center"/>
              <w:rPr>
                <w:rFonts w:ascii="宋体" w:hAnsi="宋体"/>
                <w:kern w:val="0"/>
                <w:szCs w:val="21"/>
              </w:rPr>
            </w:pPr>
            <w:r>
              <w:rPr>
                <w:rFonts w:hint="eastAsia" w:ascii="宋体" w:hAnsi="宋体" w:eastAsia="宋体" w:cs="宋体"/>
                <w:kern w:val="0"/>
                <w:sz w:val="21"/>
                <w:szCs w:val="21"/>
                <w:lang w:val="en-US" w:eastAsia="zh-CN"/>
              </w:rPr>
              <w:t>10</w:t>
            </w:r>
          </w:p>
        </w:tc>
        <w:tc>
          <w:tcPr>
            <w:tcW w:w="5953" w:type="dxa"/>
            <w:vAlign w:val="center"/>
          </w:tcPr>
          <w:p>
            <w:pPr>
              <w:adjustRightInd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评标委员会根据招标文件要求对投标人提供的</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质量保障措施进行评分：</w:t>
            </w:r>
          </w:p>
          <w:p>
            <w:pPr>
              <w:adjustRightInd w:val="0"/>
              <w:spacing w:line="360" w:lineRule="auto"/>
              <w:jc w:val="both"/>
              <w:rPr>
                <w:rFonts w:hint="eastAsia" w:ascii="宋体" w:hAnsi="宋体" w:eastAsia="宋体" w:cs="宋体"/>
                <w:kern w:val="0"/>
                <w:sz w:val="21"/>
                <w:szCs w:val="21"/>
                <w:lang w:val="en-US"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w:t>
            </w:r>
            <w:r>
              <w:rPr>
                <w:rFonts w:hint="eastAsia" w:ascii="宋体" w:hAnsi="宋体" w:eastAsia="宋体" w:cs="宋体"/>
                <w:kern w:val="0"/>
                <w:sz w:val="21"/>
                <w:szCs w:val="21"/>
              </w:rPr>
              <w:t>措施有针对性，且详细、可行的评价为优得</w:t>
            </w:r>
            <w:r>
              <w:rPr>
                <w:rFonts w:hint="eastAsia" w:ascii="宋体" w:hAnsi="宋体" w:eastAsia="宋体" w:cs="宋体"/>
                <w:kern w:val="0"/>
                <w:sz w:val="21"/>
                <w:szCs w:val="21"/>
                <w:lang w:val="en-US" w:eastAsia="zh-CN"/>
              </w:rPr>
              <w:t>100%；</w:t>
            </w:r>
          </w:p>
          <w:p>
            <w:pPr>
              <w:adjustRightInd w:val="0"/>
              <w:spacing w:line="360" w:lineRule="auto"/>
              <w:jc w:val="both"/>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eastAsia="宋体" w:cs="宋体"/>
                <w:kern w:val="0"/>
                <w:sz w:val="21"/>
                <w:szCs w:val="21"/>
              </w:rPr>
              <w:t>措施较有针对性，较为详细及可行的评价为良得</w:t>
            </w:r>
            <w:r>
              <w:rPr>
                <w:rFonts w:hint="eastAsia" w:ascii="宋体" w:hAnsi="宋体" w:eastAsia="宋体" w:cs="宋体"/>
                <w:kern w:val="0"/>
                <w:sz w:val="21"/>
                <w:szCs w:val="21"/>
                <w:lang w:val="en-US" w:eastAsia="zh-CN"/>
              </w:rPr>
              <w:t>75%</w:t>
            </w:r>
            <w:r>
              <w:rPr>
                <w:rFonts w:hint="eastAsia" w:ascii="宋体" w:hAnsi="宋体" w:eastAsia="宋体" w:cs="宋体"/>
                <w:kern w:val="0"/>
                <w:sz w:val="21"/>
                <w:szCs w:val="21"/>
              </w:rPr>
              <w:t>；</w:t>
            </w:r>
          </w:p>
          <w:p>
            <w:pPr>
              <w:adjustRightInd w:val="0"/>
              <w:spacing w:line="360" w:lineRule="auto"/>
              <w:jc w:val="both"/>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3</w:t>
            </w:r>
            <w:r>
              <w:rPr>
                <w:rFonts w:hint="eastAsia" w:ascii="宋体" w:hAnsi="宋体" w:cs="宋体"/>
                <w:kern w:val="0"/>
                <w:sz w:val="21"/>
                <w:szCs w:val="21"/>
                <w:lang w:eastAsia="zh-CN"/>
              </w:rPr>
              <w:t>）</w:t>
            </w:r>
            <w:r>
              <w:rPr>
                <w:rFonts w:hint="eastAsia" w:ascii="宋体" w:hAnsi="宋体" w:eastAsia="宋体" w:cs="宋体"/>
                <w:kern w:val="0"/>
                <w:sz w:val="21"/>
                <w:szCs w:val="21"/>
              </w:rPr>
              <w:t>措施针对性一般、详细及可行性一般的评价为中得</w:t>
            </w:r>
            <w:r>
              <w:rPr>
                <w:rFonts w:hint="eastAsia" w:ascii="宋体" w:hAnsi="宋体" w:eastAsia="宋体" w:cs="宋体"/>
                <w:kern w:val="0"/>
                <w:sz w:val="21"/>
                <w:szCs w:val="21"/>
                <w:lang w:val="en-US" w:eastAsia="zh-CN"/>
              </w:rPr>
              <w:t>50%</w:t>
            </w:r>
            <w:r>
              <w:rPr>
                <w:rFonts w:hint="eastAsia" w:ascii="宋体" w:hAnsi="宋体" w:eastAsia="宋体" w:cs="宋体"/>
                <w:kern w:val="0"/>
                <w:sz w:val="21"/>
                <w:szCs w:val="21"/>
              </w:rPr>
              <w:t>；</w:t>
            </w:r>
          </w:p>
          <w:p>
            <w:pPr>
              <w:adjustRightInd w:val="0"/>
              <w:spacing w:line="360" w:lineRule="auto"/>
              <w:jc w:val="both"/>
              <w:rPr>
                <w:rFonts w:ascii="宋体" w:hAnsi="宋体"/>
                <w:kern w:val="0"/>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w:t>
            </w:r>
            <w:r>
              <w:rPr>
                <w:rFonts w:hint="eastAsia" w:ascii="宋体" w:hAnsi="宋体" w:eastAsia="宋体" w:cs="宋体"/>
                <w:kern w:val="0"/>
                <w:sz w:val="21"/>
                <w:szCs w:val="21"/>
              </w:rPr>
              <w:t>措施没有针对性、不详细且不可行的评价为差得</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；未提供不得分。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9"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ascii="宋体" w:hAnsi="宋体"/>
                <w:kern w:val="0"/>
                <w:szCs w:val="21"/>
              </w:rPr>
              <w:t>4</w:t>
            </w:r>
          </w:p>
        </w:tc>
        <w:tc>
          <w:tcPr>
            <w:tcW w:w="1143" w:type="dxa"/>
            <w:vAlign w:val="center"/>
          </w:tcPr>
          <w:p>
            <w:pPr>
              <w:adjustRightInd w:val="0"/>
              <w:spacing w:line="360" w:lineRule="auto"/>
              <w:jc w:val="center"/>
              <w:rPr>
                <w:rFonts w:ascii="宋体" w:hAnsi="宋体" w:cs="宋体"/>
                <w:szCs w:val="21"/>
              </w:rPr>
            </w:pPr>
            <w:r>
              <w:rPr>
                <w:rFonts w:hint="eastAsia" w:ascii="宋体" w:hAnsi="宋体" w:eastAsia="宋体" w:cs="宋体"/>
                <w:kern w:val="0"/>
                <w:sz w:val="21"/>
                <w:szCs w:val="21"/>
                <w:lang w:val="en-US" w:eastAsia="zh-CN"/>
              </w:rPr>
              <w:t>应急处理预案</w:t>
            </w:r>
          </w:p>
        </w:tc>
        <w:tc>
          <w:tcPr>
            <w:tcW w:w="709" w:type="dxa"/>
            <w:vAlign w:val="center"/>
          </w:tcPr>
          <w:p>
            <w:pPr>
              <w:spacing w:line="360" w:lineRule="auto"/>
              <w:jc w:val="center"/>
              <w:rPr>
                <w:rFonts w:ascii="宋体" w:hAnsi="宋体" w:cs="宋体"/>
                <w:kern w:val="0"/>
                <w:szCs w:val="21"/>
              </w:rPr>
            </w:pPr>
            <w:r>
              <w:rPr>
                <w:rFonts w:hint="eastAsia" w:ascii="宋体" w:hAnsi="宋体" w:eastAsia="宋体" w:cs="宋体"/>
                <w:kern w:val="0"/>
                <w:sz w:val="21"/>
                <w:szCs w:val="21"/>
                <w:lang w:val="en-US" w:eastAsia="zh-CN"/>
              </w:rPr>
              <w:t>10</w:t>
            </w:r>
          </w:p>
        </w:tc>
        <w:tc>
          <w:tcPr>
            <w:tcW w:w="5953" w:type="dxa"/>
            <w:vAlign w:val="center"/>
          </w:tcPr>
          <w:p>
            <w:pPr>
              <w:adjustRightInd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1、评审内容：</w:t>
            </w:r>
          </w:p>
          <w:p>
            <w:pPr>
              <w:adjustRightInd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针对本项目的特点制定应对突发事件应急处理预案。</w:t>
            </w:r>
          </w:p>
          <w:p>
            <w:pPr>
              <w:adjustRightInd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2、评审标准：</w:t>
            </w:r>
          </w:p>
          <w:p>
            <w:pPr>
              <w:adjustRightInd w:val="0"/>
              <w:spacing w:line="360" w:lineRule="auto"/>
              <w:jc w:val="both"/>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w:t>
            </w:r>
            <w:r>
              <w:rPr>
                <w:rFonts w:hint="eastAsia" w:ascii="宋体" w:hAnsi="宋体" w:eastAsia="宋体" w:cs="宋体"/>
                <w:kern w:val="0"/>
                <w:sz w:val="21"/>
                <w:szCs w:val="21"/>
              </w:rPr>
              <w:t>投标人须提供应对突发事件切实可行的应急处理预案，预案内容充实有针对性，且详细及可行性的评价为优得</w:t>
            </w: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w:t>
            </w:r>
          </w:p>
          <w:p>
            <w:pPr>
              <w:adjustRightInd w:val="0"/>
              <w:spacing w:line="360" w:lineRule="auto"/>
              <w:jc w:val="both"/>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eastAsia="宋体" w:cs="宋体"/>
                <w:kern w:val="0"/>
                <w:sz w:val="21"/>
                <w:szCs w:val="21"/>
              </w:rPr>
              <w:t>方案内容较为充实，较为详细及可行性的评价为良得</w:t>
            </w:r>
            <w:r>
              <w:rPr>
                <w:rFonts w:hint="eastAsia" w:ascii="宋体" w:hAnsi="宋体" w:eastAsia="宋体" w:cs="宋体"/>
                <w:kern w:val="0"/>
                <w:sz w:val="21"/>
                <w:szCs w:val="21"/>
                <w:lang w:val="en-US" w:eastAsia="zh-CN"/>
              </w:rPr>
              <w:t>75%</w:t>
            </w:r>
            <w:r>
              <w:rPr>
                <w:rFonts w:hint="eastAsia" w:ascii="宋体" w:hAnsi="宋体" w:eastAsia="宋体" w:cs="宋体"/>
                <w:kern w:val="0"/>
                <w:sz w:val="21"/>
                <w:szCs w:val="21"/>
              </w:rPr>
              <w:t>；</w:t>
            </w:r>
            <w:r>
              <w:rPr>
                <w:rFonts w:hint="eastAsia" w:ascii="宋体" w:hAnsi="宋体" w:cs="宋体"/>
                <w:kern w:val="0"/>
                <w:sz w:val="21"/>
                <w:szCs w:val="21"/>
                <w:lang w:eastAsia="zh-CN"/>
              </w:rPr>
              <w:t>（</w:t>
            </w:r>
            <w:r>
              <w:rPr>
                <w:rFonts w:hint="eastAsia" w:ascii="宋体" w:hAnsi="宋体" w:cs="宋体"/>
                <w:kern w:val="0"/>
                <w:sz w:val="21"/>
                <w:szCs w:val="21"/>
                <w:lang w:val="en-US" w:eastAsia="zh-CN"/>
              </w:rPr>
              <w:t>3</w:t>
            </w:r>
            <w:r>
              <w:rPr>
                <w:rFonts w:hint="eastAsia" w:ascii="宋体" w:hAnsi="宋体" w:cs="宋体"/>
                <w:kern w:val="0"/>
                <w:sz w:val="21"/>
                <w:szCs w:val="21"/>
                <w:lang w:eastAsia="zh-CN"/>
              </w:rPr>
              <w:t>）</w:t>
            </w:r>
            <w:r>
              <w:rPr>
                <w:rFonts w:hint="eastAsia" w:ascii="宋体" w:hAnsi="宋体" w:eastAsia="宋体" w:cs="宋体"/>
                <w:kern w:val="0"/>
                <w:sz w:val="21"/>
                <w:szCs w:val="21"/>
              </w:rPr>
              <w:t>方案内容一般，详细及可行性一般的评价为中得</w:t>
            </w:r>
            <w:r>
              <w:rPr>
                <w:rFonts w:hint="eastAsia" w:ascii="宋体" w:hAnsi="宋体" w:eastAsia="宋体" w:cs="宋体"/>
                <w:kern w:val="0"/>
                <w:sz w:val="21"/>
                <w:szCs w:val="21"/>
                <w:lang w:val="en-US" w:eastAsia="zh-CN"/>
              </w:rPr>
              <w:t>50%</w:t>
            </w:r>
            <w:r>
              <w:rPr>
                <w:rFonts w:hint="eastAsia" w:ascii="宋体" w:hAnsi="宋体" w:eastAsia="宋体" w:cs="宋体"/>
                <w:kern w:val="0"/>
                <w:sz w:val="21"/>
                <w:szCs w:val="21"/>
              </w:rPr>
              <w:t>；</w:t>
            </w:r>
          </w:p>
          <w:p>
            <w:pPr>
              <w:adjustRightInd w:val="0"/>
              <w:spacing w:line="360" w:lineRule="auto"/>
              <w:jc w:val="both"/>
              <w:rPr>
                <w:rFonts w:ascii="宋体" w:hAnsi="宋体" w:cs="宋体"/>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w:t>
            </w:r>
            <w:r>
              <w:rPr>
                <w:rFonts w:hint="eastAsia" w:ascii="宋体" w:hAnsi="宋体" w:eastAsia="宋体" w:cs="宋体"/>
                <w:kern w:val="0"/>
                <w:sz w:val="21"/>
                <w:szCs w:val="21"/>
              </w:rPr>
              <w:t>方案内容没针对性，不详细且不可行的评价为差得</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；未提供不得分。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三、商务标</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en-US" w:eastAsia="zh-CN"/>
              </w:rPr>
              <w:t>4</w:t>
            </w:r>
            <w:r>
              <w:rPr>
                <w:rFonts w:hint="eastAsia" w:ascii="宋体" w:hAnsi="宋体" w:cs="仿宋"/>
                <w:b/>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widowControl/>
              <w:spacing w:before="100" w:beforeAutospacing="1" w:line="360" w:lineRule="auto"/>
              <w:jc w:val="center"/>
              <w:textAlignment w:val="center"/>
              <w:rPr>
                <w:rFonts w:ascii="宋体" w:hAnsi="宋体"/>
                <w:kern w:val="0"/>
                <w:szCs w:val="21"/>
              </w:rPr>
            </w:pPr>
            <w:r>
              <w:rPr>
                <w:rFonts w:hint="eastAsia" w:ascii="宋体" w:hAnsi="宋体" w:eastAsia="宋体" w:cs="宋体"/>
                <w:sz w:val="21"/>
                <w:szCs w:val="21"/>
              </w:rPr>
              <w:t>同类业绩</w:t>
            </w:r>
          </w:p>
        </w:tc>
        <w:tc>
          <w:tcPr>
            <w:tcW w:w="709" w:type="dxa"/>
            <w:vAlign w:val="center"/>
          </w:tcPr>
          <w:p>
            <w:pPr>
              <w:widowControl/>
              <w:spacing w:line="360" w:lineRule="auto"/>
              <w:jc w:val="center"/>
              <w:rPr>
                <w:rFonts w:ascii="宋体" w:hAnsi="宋体"/>
                <w:kern w:val="0"/>
                <w:szCs w:val="21"/>
              </w:rPr>
            </w:pPr>
            <w:r>
              <w:rPr>
                <w:rFonts w:hint="eastAsia" w:ascii="宋体" w:hAnsi="宋体" w:eastAsia="宋体" w:cs="宋体"/>
                <w:snapToGrid w:val="0"/>
                <w:kern w:val="0"/>
                <w:sz w:val="21"/>
                <w:szCs w:val="21"/>
                <w:lang w:val="en-US" w:eastAsia="zh-CN"/>
              </w:rPr>
              <w:t>10</w:t>
            </w:r>
          </w:p>
        </w:tc>
        <w:tc>
          <w:tcPr>
            <w:tcW w:w="5953" w:type="dxa"/>
            <w:vAlign w:val="center"/>
          </w:tcPr>
          <w:p>
            <w:pPr>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投标人近三年相关同类业绩（以合同签订时间签订为准,从2017年1月1日开始，截止日为本项目发布招标公告之日），每提供一个有效业绩得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，本项得分最高得</w:t>
            </w: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w:t>
            </w:r>
          </w:p>
          <w:p>
            <w:pPr>
              <w:snapToGrid w:val="0"/>
              <w:spacing w:line="360" w:lineRule="auto"/>
              <w:jc w:val="left"/>
              <w:rPr>
                <w:rFonts w:ascii="宋体" w:hAnsi="宋体" w:cs="仿宋"/>
                <w:szCs w:val="21"/>
                <w:lang w:val="zh-CN"/>
              </w:rPr>
            </w:pPr>
            <w:r>
              <w:rPr>
                <w:rFonts w:hint="eastAsia" w:ascii="宋体" w:hAnsi="宋体" w:eastAsia="宋体" w:cs="宋体"/>
                <w:kern w:val="0"/>
                <w:sz w:val="21"/>
                <w:szCs w:val="21"/>
              </w:rPr>
              <w:t>【提供签订合同扫描件并加盖投标人公章，原件备查。合同须表明关键信息(通过合同关键信息无法判断是否得分的)，未按要求提供或提供不清晰导致专家无法有效判断的不得分】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pPr>
              <w:widowControl/>
              <w:spacing w:before="100" w:beforeAutospacing="1" w:after="100" w:afterAutospacing="1" w:line="360" w:lineRule="auto"/>
              <w:jc w:val="center"/>
              <w:rPr>
                <w:rFonts w:ascii="宋体" w:hAnsi="宋体"/>
                <w:kern w:val="0"/>
                <w:szCs w:val="21"/>
              </w:rPr>
            </w:pPr>
            <w:r>
              <w:rPr>
                <w:rFonts w:hint="eastAsia" w:ascii="宋体" w:hAnsi="宋体" w:eastAsia="宋体" w:cs="宋体"/>
                <w:kern w:val="0"/>
                <w:sz w:val="21"/>
                <w:szCs w:val="21"/>
              </w:rPr>
              <w:t>拟安排本项目管理的项目经理资历评价(仅限一人)</w:t>
            </w:r>
          </w:p>
        </w:tc>
        <w:tc>
          <w:tcPr>
            <w:tcW w:w="709" w:type="dxa"/>
            <w:vAlign w:val="center"/>
          </w:tcPr>
          <w:p>
            <w:pPr>
              <w:widowControl/>
              <w:spacing w:before="100" w:beforeAutospacing="1" w:after="100" w:afterAutospacing="1" w:line="360" w:lineRule="auto"/>
              <w:jc w:val="center"/>
              <w:rPr>
                <w:rFonts w:ascii="宋体" w:hAnsi="宋体"/>
                <w:kern w:val="0"/>
                <w:szCs w:val="21"/>
              </w:rPr>
            </w:pPr>
            <w:r>
              <w:rPr>
                <w:rFonts w:hint="eastAsia" w:ascii="宋体" w:hAnsi="宋体" w:eastAsia="宋体" w:cs="宋体"/>
                <w:kern w:val="0"/>
                <w:sz w:val="21"/>
                <w:szCs w:val="21"/>
                <w:lang w:val="en-US" w:eastAsia="zh-CN"/>
              </w:rPr>
              <w:t>10</w:t>
            </w:r>
          </w:p>
        </w:tc>
        <w:tc>
          <w:tcPr>
            <w:tcW w:w="5953" w:type="dxa"/>
            <w:vAlign w:val="center"/>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1、评审标准：</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根据拟安排本项目经理情况进行评分：</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(1)具有保安员上岗证的得</w:t>
            </w:r>
            <w:r>
              <w:rPr>
                <w:rFonts w:hint="eastAsia" w:ascii="宋体" w:hAnsi="宋体" w:eastAsia="宋体" w:cs="宋体"/>
                <w:sz w:val="21"/>
                <w:szCs w:val="21"/>
                <w:lang w:val="en-US" w:eastAsia="zh-CN"/>
              </w:rPr>
              <w:t>25%</w:t>
            </w:r>
            <w:r>
              <w:rPr>
                <w:rFonts w:hint="eastAsia" w:ascii="宋体" w:hAnsi="宋体" w:eastAsia="宋体" w:cs="宋体"/>
                <w:sz w:val="21"/>
                <w:szCs w:val="21"/>
              </w:rPr>
              <w:t>；</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(2)具有本科或以上学历的得</w:t>
            </w:r>
            <w:r>
              <w:rPr>
                <w:rFonts w:hint="eastAsia" w:ascii="宋体" w:hAnsi="宋体" w:eastAsia="宋体" w:cs="宋体"/>
                <w:sz w:val="21"/>
                <w:szCs w:val="21"/>
                <w:lang w:val="en-US" w:eastAsia="zh-CN"/>
              </w:rPr>
              <w:t>25%</w:t>
            </w:r>
            <w:r>
              <w:rPr>
                <w:rFonts w:hint="eastAsia" w:ascii="宋体" w:hAnsi="宋体" w:eastAsia="宋体" w:cs="宋体"/>
                <w:sz w:val="21"/>
                <w:szCs w:val="21"/>
              </w:rPr>
              <w:t>；</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(3)具有退伍证的得</w:t>
            </w:r>
            <w:r>
              <w:rPr>
                <w:rFonts w:hint="eastAsia" w:ascii="宋体" w:hAnsi="宋体" w:eastAsia="宋体" w:cs="宋体"/>
                <w:sz w:val="21"/>
                <w:szCs w:val="21"/>
                <w:lang w:val="en-US" w:eastAsia="zh-CN"/>
              </w:rPr>
              <w:t>25%；</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(4)具有二级保安技师以上职称的得</w:t>
            </w:r>
            <w:r>
              <w:rPr>
                <w:rFonts w:hint="eastAsia" w:ascii="宋体" w:hAnsi="宋体" w:eastAsia="宋体" w:cs="宋体"/>
                <w:sz w:val="21"/>
                <w:szCs w:val="21"/>
                <w:lang w:val="en-US" w:eastAsia="zh-CN"/>
              </w:rPr>
              <w:t>25%</w:t>
            </w:r>
            <w:r>
              <w:rPr>
                <w:rFonts w:hint="eastAsia" w:ascii="宋体" w:hAnsi="宋体" w:eastAsia="宋体" w:cs="宋体"/>
                <w:sz w:val="21"/>
                <w:szCs w:val="21"/>
              </w:rPr>
              <w:t>；</w:t>
            </w:r>
          </w:p>
          <w:p>
            <w:pPr>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 (2) (3) (4)项累计得</w:t>
            </w:r>
            <w:r>
              <w:rPr>
                <w:rFonts w:hint="eastAsia" w:ascii="宋体" w:hAnsi="宋体" w:eastAsia="宋体" w:cs="宋体"/>
                <w:sz w:val="21"/>
                <w:szCs w:val="21"/>
                <w:lang w:val="en-US" w:eastAsia="zh-CN"/>
              </w:rPr>
              <w:t>100%</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2、证明文件：</w:t>
            </w:r>
          </w:p>
          <w:p>
            <w:pPr>
              <w:adjustRightInd w:val="0"/>
              <w:spacing w:line="360" w:lineRule="auto"/>
              <w:rPr>
                <w:rFonts w:ascii="宋体" w:hAnsi="宋体"/>
                <w:kern w:val="0"/>
                <w:szCs w:val="21"/>
              </w:rPr>
            </w:pPr>
            <w:r>
              <w:rPr>
                <w:rFonts w:hint="eastAsia" w:ascii="宋体" w:hAnsi="宋体" w:eastAsia="宋体" w:cs="宋体"/>
                <w:sz w:val="21"/>
                <w:szCs w:val="21"/>
              </w:rPr>
              <w:t>投标人须提供项目经理学历证书</w:t>
            </w:r>
            <w:r>
              <w:rPr>
                <w:rFonts w:hint="eastAsia" w:ascii="宋体" w:hAnsi="宋体" w:eastAsia="宋体" w:cs="宋体"/>
                <w:sz w:val="21"/>
                <w:szCs w:val="21"/>
                <w:lang w:eastAsia="zh-CN"/>
              </w:rPr>
              <w:t>、</w:t>
            </w:r>
            <w:r>
              <w:rPr>
                <w:rFonts w:hint="eastAsia" w:ascii="宋体" w:hAnsi="宋体" w:eastAsia="宋体" w:cs="宋体"/>
                <w:sz w:val="21"/>
                <w:szCs w:val="21"/>
              </w:rPr>
              <w:t>保安员上岗证</w:t>
            </w:r>
            <w:r>
              <w:rPr>
                <w:rFonts w:hint="eastAsia" w:ascii="宋体" w:hAnsi="宋体" w:eastAsia="宋体" w:cs="宋体"/>
                <w:sz w:val="21"/>
                <w:szCs w:val="21"/>
                <w:lang w:eastAsia="zh-CN"/>
              </w:rPr>
              <w:t>、</w:t>
            </w:r>
            <w:r>
              <w:rPr>
                <w:rFonts w:hint="eastAsia" w:ascii="宋体" w:hAnsi="宋体" w:eastAsia="宋体" w:cs="宋体"/>
                <w:sz w:val="21"/>
                <w:szCs w:val="21"/>
              </w:rPr>
              <w:t>退伍证</w:t>
            </w:r>
            <w:r>
              <w:rPr>
                <w:rFonts w:hint="eastAsia" w:ascii="宋体" w:hAnsi="宋体" w:eastAsia="宋体" w:cs="宋体"/>
                <w:sz w:val="21"/>
                <w:szCs w:val="21"/>
                <w:lang w:val="en-US" w:eastAsia="zh-CN"/>
              </w:rPr>
              <w:t>扫描件；以及</w:t>
            </w:r>
            <w:r>
              <w:rPr>
                <w:rFonts w:hint="eastAsia" w:ascii="宋体" w:hAnsi="宋体" w:eastAsia="宋体" w:cs="宋体"/>
                <w:sz w:val="21"/>
                <w:szCs w:val="21"/>
              </w:rPr>
              <w:t>二级保安师以上职称证书扫描件</w:t>
            </w:r>
            <w:r>
              <w:rPr>
                <w:rFonts w:hint="eastAsia" w:ascii="宋体" w:hAnsi="宋体" w:eastAsia="宋体" w:cs="宋体"/>
                <w:sz w:val="21"/>
                <w:szCs w:val="21"/>
                <w:lang w:val="en-US" w:eastAsia="zh-CN"/>
              </w:rPr>
              <w:t>与国网验证查询截图</w:t>
            </w:r>
            <w:r>
              <w:rPr>
                <w:rFonts w:hint="eastAsia" w:ascii="宋体" w:hAnsi="宋体" w:eastAsia="宋体" w:cs="宋体"/>
                <w:sz w:val="21"/>
                <w:szCs w:val="21"/>
              </w:rPr>
              <w:t>；原件备査。项目经理须为投标人自有员工，须提供项目经理在投标人公司近</w:t>
            </w:r>
            <w:r>
              <w:rPr>
                <w:rFonts w:hint="eastAsia" w:ascii="宋体" w:hAnsi="宋体" w:eastAsia="宋体" w:cs="宋体"/>
                <w:sz w:val="21"/>
                <w:szCs w:val="21"/>
                <w:lang w:val="en-US" w:eastAsia="zh-CN"/>
              </w:rPr>
              <w:t>六</w:t>
            </w:r>
            <w:r>
              <w:rPr>
                <w:rFonts w:hint="eastAsia" w:ascii="宋体" w:hAnsi="宋体" w:eastAsia="宋体" w:cs="宋体"/>
                <w:sz w:val="21"/>
                <w:szCs w:val="21"/>
              </w:rPr>
              <w:t>月</w:t>
            </w:r>
            <w:r>
              <w:rPr>
                <w:rFonts w:hint="eastAsia" w:ascii="宋体" w:hAnsi="宋体" w:cs="宋体"/>
                <w:sz w:val="21"/>
                <w:szCs w:val="21"/>
                <w:lang w:eastAsia="zh-CN"/>
              </w:rPr>
              <w:t>（</w:t>
            </w:r>
            <w:r>
              <w:rPr>
                <w:rFonts w:hint="eastAsia"/>
                <w:lang w:val="en-US" w:eastAsia="zh-CN"/>
              </w:rPr>
              <w:t>2020年09月至2021年02月</w:t>
            </w:r>
            <w:r>
              <w:rPr>
                <w:rFonts w:hint="eastAsia" w:ascii="宋体" w:hAnsi="宋体" w:cs="宋体"/>
                <w:sz w:val="21"/>
                <w:szCs w:val="21"/>
                <w:lang w:eastAsia="zh-CN"/>
              </w:rPr>
              <w:t>）</w:t>
            </w:r>
            <w:r>
              <w:rPr>
                <w:rFonts w:hint="eastAsia" w:ascii="宋体" w:hAnsi="宋体" w:eastAsia="宋体" w:cs="宋体"/>
                <w:sz w:val="21"/>
                <w:szCs w:val="21"/>
              </w:rPr>
              <w:t>社保缴纳记录。若项目经理不是投标人自有员工，得0分。未提供证明材料或者提供的证明材料不符合要求或提供的证明材料不清晰评审专家无法辨认的，不得分。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adjustRightInd w:val="0"/>
              <w:spacing w:line="360" w:lineRule="auto"/>
              <w:jc w:val="center"/>
              <w:rPr>
                <w:rFonts w:ascii="宋体" w:hAnsi="宋体"/>
                <w:snapToGrid w:val="0"/>
                <w:kern w:val="0"/>
                <w:szCs w:val="21"/>
              </w:rPr>
            </w:pPr>
            <w:r>
              <w:rPr>
                <w:rFonts w:hint="eastAsia" w:ascii="宋体" w:hAnsi="宋体" w:eastAsia="宋体" w:cs="宋体"/>
                <w:kern w:val="0"/>
                <w:sz w:val="21"/>
                <w:szCs w:val="21"/>
              </w:rPr>
              <w:t>体系认证</w:t>
            </w:r>
            <w:r>
              <w:rPr>
                <w:rFonts w:hint="eastAsia" w:ascii="宋体" w:hAnsi="宋体" w:eastAsia="宋体" w:cs="宋体"/>
                <w:kern w:val="0"/>
                <w:sz w:val="21"/>
                <w:szCs w:val="21"/>
                <w:lang w:val="en-US" w:eastAsia="zh-CN"/>
              </w:rPr>
              <w:t>情况</w:t>
            </w:r>
          </w:p>
        </w:tc>
        <w:tc>
          <w:tcPr>
            <w:tcW w:w="709" w:type="dxa"/>
            <w:vAlign w:val="center"/>
          </w:tcPr>
          <w:p>
            <w:pPr>
              <w:adjustRightInd w:val="0"/>
              <w:spacing w:line="360" w:lineRule="auto"/>
              <w:jc w:val="center"/>
              <w:rPr>
                <w:rFonts w:ascii="宋体" w:hAnsi="宋体"/>
                <w:snapToGrid w:val="0"/>
                <w:kern w:val="0"/>
                <w:szCs w:val="21"/>
              </w:rPr>
            </w:pPr>
            <w:r>
              <w:rPr>
                <w:rFonts w:hint="eastAsia" w:ascii="宋体" w:hAnsi="宋体" w:eastAsia="宋体" w:cs="宋体"/>
                <w:kern w:val="0"/>
                <w:sz w:val="21"/>
                <w:szCs w:val="21"/>
                <w:lang w:val="en-US" w:eastAsia="zh-CN"/>
              </w:rPr>
              <w:t>5</w:t>
            </w:r>
          </w:p>
        </w:tc>
        <w:tc>
          <w:tcPr>
            <w:tcW w:w="5953" w:type="dxa"/>
            <w:vAlign w:val="center"/>
          </w:tcPr>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rPr>
              <w:tab/>
            </w:r>
            <w:r>
              <w:rPr>
                <w:rFonts w:hint="eastAsia" w:ascii="宋体" w:hAnsi="宋体" w:eastAsia="宋体" w:cs="宋体"/>
                <w:kern w:val="0"/>
                <w:sz w:val="21"/>
                <w:szCs w:val="21"/>
              </w:rPr>
              <w:t>评审标准：</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（1）具有有效的质量管理体系认证证书的得</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（2）具有有效的职业健康安全管理体系认证证书的得</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（3）具有有效的环境管理体系认证证书的得</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（4）具有有效的保安服务管理体系认证证书的得</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同时具有</w:t>
            </w:r>
            <w:r>
              <w:rPr>
                <w:rFonts w:hint="eastAsia" w:ascii="宋体" w:hAnsi="宋体" w:eastAsia="宋体" w:cs="宋体"/>
                <w:kern w:val="0"/>
                <w:sz w:val="21"/>
                <w:szCs w:val="21"/>
              </w:rPr>
              <w:t>（1）（2）（3）（4）项</w:t>
            </w:r>
            <w:r>
              <w:rPr>
                <w:rFonts w:hint="eastAsia" w:ascii="宋体" w:hAnsi="宋体" w:eastAsia="宋体" w:cs="宋体"/>
                <w:kern w:val="0"/>
                <w:sz w:val="21"/>
                <w:szCs w:val="21"/>
                <w:lang w:val="en-US" w:eastAsia="zh-CN"/>
              </w:rPr>
              <w:t>的</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w:t>
            </w:r>
          </w:p>
          <w:p>
            <w:pPr>
              <w:adjustRightInd w:val="0"/>
              <w:spacing w:line="360" w:lineRule="auto"/>
              <w:rPr>
                <w:rFonts w:ascii="宋体" w:hAnsi="宋体"/>
                <w:b/>
                <w:bCs/>
                <w:kern w:val="0"/>
                <w:szCs w:val="21"/>
              </w:rPr>
            </w:pPr>
            <w:r>
              <w:rPr>
                <w:rFonts w:hint="eastAsia" w:ascii="宋体" w:hAnsi="宋体" w:eastAsia="宋体" w:cs="宋体"/>
                <w:kern w:val="0"/>
                <w:sz w:val="21"/>
                <w:szCs w:val="21"/>
              </w:rPr>
              <w:t>2、证明文件：投标人须提供有效期内的认证证书。未提供证明材料或者提供的证明材料不符合要求或提供的证明材料不清晰评审专家无法辨认的，不得分。原件备查。</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7"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pPr>
              <w:adjustRightInd w:val="0"/>
              <w:spacing w:line="360" w:lineRule="auto"/>
              <w:rPr>
                <w:rFonts w:ascii="宋体" w:hAnsi="宋体" w:cs="仿宋"/>
                <w:szCs w:val="21"/>
              </w:rPr>
            </w:pPr>
            <w:r>
              <w:rPr>
                <w:rFonts w:hint="eastAsia" w:ascii="宋体" w:hAnsi="宋体" w:eastAsia="宋体" w:cs="宋体"/>
                <w:kern w:val="0"/>
                <w:sz w:val="21"/>
                <w:szCs w:val="21"/>
              </w:rPr>
              <w:t>企业荣誉</w:t>
            </w:r>
          </w:p>
        </w:tc>
        <w:tc>
          <w:tcPr>
            <w:tcW w:w="709" w:type="dxa"/>
            <w:vAlign w:val="center"/>
          </w:tcPr>
          <w:p>
            <w:pPr>
              <w:adjustRightInd w:val="0"/>
              <w:spacing w:line="360" w:lineRule="auto"/>
              <w:jc w:val="center"/>
              <w:rPr>
                <w:rFonts w:ascii="宋体" w:hAnsi="宋体" w:cs="仿宋"/>
                <w:szCs w:val="21"/>
              </w:rPr>
            </w:pPr>
            <w:r>
              <w:rPr>
                <w:rFonts w:hint="eastAsia" w:ascii="宋体" w:hAnsi="宋体" w:eastAsia="宋体" w:cs="宋体"/>
                <w:kern w:val="0"/>
                <w:sz w:val="21"/>
                <w:szCs w:val="21"/>
                <w:lang w:val="en-US" w:eastAsia="zh-CN"/>
              </w:rPr>
              <w:t>5</w:t>
            </w:r>
          </w:p>
        </w:tc>
        <w:tc>
          <w:tcPr>
            <w:tcW w:w="5953" w:type="dxa"/>
            <w:vAlign w:val="center"/>
          </w:tcPr>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 评审标准：</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投标人获得行政主管部门颁发的保安组织荣誉。</w:t>
            </w:r>
          </w:p>
          <w:p>
            <w:pPr>
              <w:adjustRightInd w:val="0"/>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获得国家级荣誉的，每提供一项得40%；</w:t>
            </w:r>
          </w:p>
          <w:p>
            <w:pPr>
              <w:adjustRightInd w:val="0"/>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获得省级（含副省级）荣誉的，每提供一项得30%；</w:t>
            </w:r>
          </w:p>
          <w:p>
            <w:pPr>
              <w:adjustRightInd w:val="0"/>
              <w:spacing w:line="360" w:lineRule="auto"/>
              <w:rPr>
                <w:rFonts w:hint="eastAsia" w:ascii="宋体" w:hAnsi="宋体" w:eastAsia="宋体" w:cs="宋体"/>
                <w:kern w:val="0"/>
                <w:sz w:val="21"/>
                <w:szCs w:val="21"/>
                <w:lang w:val="en-US"/>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获得市级荣誉的，每提供一项得20%；</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获得县区级荣誉的，每提供一项得10%；</w:t>
            </w:r>
            <w:r>
              <w:rPr>
                <w:rFonts w:hint="eastAsia" w:ascii="宋体" w:hAnsi="宋体" w:eastAsia="宋体" w:cs="宋体"/>
                <w:kern w:val="0"/>
                <w:sz w:val="21"/>
                <w:szCs w:val="21"/>
              </w:rPr>
              <w:t>其他情况不得分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本项可累计得分，</w:t>
            </w:r>
            <w:r>
              <w:rPr>
                <w:rFonts w:hint="eastAsia" w:ascii="宋体" w:hAnsi="宋体" w:eastAsia="宋体" w:cs="宋体"/>
                <w:kern w:val="0"/>
                <w:sz w:val="21"/>
                <w:szCs w:val="21"/>
              </w:rPr>
              <w:t>最高得</w:t>
            </w:r>
            <w:r>
              <w:rPr>
                <w:rFonts w:hint="eastAsia" w:ascii="宋体" w:hAnsi="宋体" w:eastAsia="宋体" w:cs="宋体"/>
                <w:kern w:val="0"/>
                <w:sz w:val="21"/>
                <w:szCs w:val="21"/>
                <w:lang w:val="en-US" w:eastAsia="zh-CN"/>
              </w:rPr>
              <w:t>100%。</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2、证明文件：</w:t>
            </w:r>
          </w:p>
          <w:p>
            <w:pPr>
              <w:adjustRightInd w:val="0"/>
              <w:spacing w:line="360" w:lineRule="auto"/>
              <w:rPr>
                <w:rFonts w:ascii="宋体" w:hAnsi="宋体" w:cs="仿宋"/>
                <w:szCs w:val="21"/>
              </w:rPr>
            </w:pPr>
            <w:r>
              <w:rPr>
                <w:rFonts w:hint="eastAsia" w:ascii="宋体" w:hAnsi="宋体" w:eastAsia="宋体" w:cs="宋体"/>
                <w:kern w:val="0"/>
                <w:sz w:val="21"/>
                <w:szCs w:val="21"/>
              </w:rPr>
              <w:t>投标人须提供相关获奖证书（须颁发部门盖章且能体现投标人信息，否则须附相关证明文件），未提供证明材料或者提供的证明材 料不符合要求或提供的证明材料不清晰评审专家无法辨认的，不得分，原件备査。</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7"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5</w:t>
            </w:r>
          </w:p>
        </w:tc>
        <w:tc>
          <w:tcPr>
            <w:tcW w:w="1143" w:type="dxa"/>
            <w:vAlign w:val="center"/>
          </w:tcPr>
          <w:p>
            <w:pPr>
              <w:adjustRightInd w:val="0"/>
              <w:spacing w:line="360" w:lineRule="auto"/>
              <w:jc w:val="center"/>
              <w:rPr>
                <w:rFonts w:ascii="宋体" w:hAnsi="宋体" w:cs="仿宋"/>
                <w:szCs w:val="21"/>
              </w:rPr>
            </w:pPr>
            <w:r>
              <w:rPr>
                <w:rFonts w:hint="eastAsia" w:ascii="宋体" w:hAnsi="宋体" w:eastAsia="宋体" w:cs="宋体"/>
                <w:kern w:val="0"/>
                <w:sz w:val="21"/>
                <w:szCs w:val="21"/>
              </w:rPr>
              <w:t>诚信评价</w:t>
            </w:r>
          </w:p>
        </w:tc>
        <w:tc>
          <w:tcPr>
            <w:tcW w:w="709" w:type="dxa"/>
            <w:vAlign w:val="center"/>
          </w:tcPr>
          <w:p>
            <w:pPr>
              <w:adjustRightInd w:val="0"/>
              <w:spacing w:line="360" w:lineRule="auto"/>
              <w:jc w:val="center"/>
              <w:rPr>
                <w:rFonts w:ascii="宋体" w:hAnsi="宋体" w:cs="仿宋"/>
                <w:szCs w:val="21"/>
              </w:rPr>
            </w:pPr>
            <w:r>
              <w:rPr>
                <w:rFonts w:hint="eastAsia" w:ascii="宋体" w:hAnsi="宋体" w:eastAsia="宋体" w:cs="宋体"/>
                <w:kern w:val="0"/>
                <w:sz w:val="21"/>
                <w:szCs w:val="21"/>
                <w:lang w:val="en-US" w:eastAsia="zh-CN"/>
              </w:rPr>
              <w:t>5</w:t>
            </w:r>
          </w:p>
        </w:tc>
        <w:tc>
          <w:tcPr>
            <w:tcW w:w="5953" w:type="dxa"/>
            <w:vAlign w:val="center"/>
          </w:tcPr>
          <w:p>
            <w:pPr>
              <w:adjustRightInd w:val="0"/>
              <w:spacing w:line="360" w:lineRule="auto"/>
              <w:rPr>
                <w:rFonts w:ascii="宋体" w:hAnsi="宋体"/>
                <w:szCs w:val="21"/>
              </w:rPr>
            </w:pPr>
            <w:r>
              <w:rPr>
                <w:rFonts w:hint="eastAsia" w:ascii="宋体" w:hAnsi="宋体" w:eastAsia="宋体" w:cs="宋体"/>
                <w:kern w:val="0"/>
                <w:sz w:val="21"/>
                <w:szCs w:val="21"/>
              </w:rPr>
              <w:t>根据《深圳市财政委员会关于加强招投标评审环节诚信管理的通知》（深财购[2013]27号）相关规定，投标人在参与政府采购活动中出现诚信相关问题且在相关主管部门处理措施实施期限内的本项不得分，否则得满分。投标人无需提供任何证明材料，由评标委员会根据采购系统的查询结果评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6</w:t>
            </w:r>
          </w:p>
        </w:tc>
        <w:tc>
          <w:tcPr>
            <w:tcW w:w="1143" w:type="dxa"/>
            <w:vAlign w:val="center"/>
          </w:tcPr>
          <w:p>
            <w:pPr>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疫情防控</w:t>
            </w:r>
          </w:p>
        </w:tc>
        <w:tc>
          <w:tcPr>
            <w:tcW w:w="709" w:type="dxa"/>
            <w:vAlign w:val="center"/>
          </w:tcPr>
          <w:p>
            <w:pPr>
              <w:adjustRightIn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953" w:type="dxa"/>
            <w:vAlign w:val="center"/>
          </w:tcPr>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1.评审标准：</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（1）投标人为纳入全国性名单或地方性名单的“疫情防控重点保障企业”的，得</w:t>
            </w:r>
            <w:r>
              <w:rPr>
                <w:rFonts w:hint="eastAsia" w:ascii="宋体" w:hAnsi="宋体" w:eastAsia="宋体" w:cs="宋体"/>
                <w:kern w:val="0"/>
                <w:sz w:val="21"/>
                <w:szCs w:val="21"/>
                <w:lang w:val="en-US" w:eastAsia="zh-CN"/>
              </w:rPr>
              <w:t>40%</w:t>
            </w:r>
            <w:r>
              <w:rPr>
                <w:rFonts w:hint="eastAsia" w:ascii="宋体" w:hAnsi="宋体" w:eastAsia="宋体" w:cs="宋体"/>
                <w:kern w:val="0"/>
                <w:sz w:val="21"/>
                <w:szCs w:val="21"/>
              </w:rPr>
              <w:t>；</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（2）投标人为“稳岗企业：指未栽员或裁员率低于20%的企业，即投标前一个月实际参加社会保险（至少包括养老保险）的员工人 数（含免缴或延期缴纳社会保险人数）不低 于2019年12月同口径人数80% （含）的企 业，得</w:t>
            </w:r>
            <w:r>
              <w:rPr>
                <w:rFonts w:hint="eastAsia" w:ascii="宋体" w:hAnsi="宋体" w:eastAsia="宋体" w:cs="宋体"/>
                <w:kern w:val="0"/>
                <w:sz w:val="21"/>
                <w:szCs w:val="21"/>
                <w:lang w:val="en-US" w:eastAsia="zh-CN"/>
              </w:rPr>
              <w:t>60%</w:t>
            </w:r>
            <w:r>
              <w:rPr>
                <w:rFonts w:hint="eastAsia" w:ascii="宋体" w:hAnsi="宋体" w:eastAsia="宋体" w:cs="宋体"/>
                <w:kern w:val="0"/>
                <w:sz w:val="21"/>
                <w:szCs w:val="21"/>
              </w:rPr>
              <w:t>。</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（1）（2）项累计得分，满分为</w:t>
            </w: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2.证明文件：</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（1）须提供以下至少一项自身属于重点保障企业的证明文件（名单查询网页链接、名单网页截图、政府部门岀具的文件或者企业 享受重点保障企业优惠政策的其他证明文件皆可）；</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（2）须提供符合“稳岗企业”条件的承诺函</w:t>
            </w:r>
          </w:p>
          <w:p>
            <w:pPr>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（格式自拟），并加盖投标人公章。投标人提供承诺须真实有效，提供虚假承诺的，将做无效投标处理，涉嫌存在违法违规行为 的，将依法报主管部门处理处罚</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未提供证明材料或者提供的证明材料不符合耍求或提供的证明材料不清晰评审专家 无法辨认的，不得分。</w:t>
            </w:r>
          </w:p>
        </w:tc>
        <w:tc>
          <w:tcPr>
            <w:tcW w:w="1187" w:type="dxa"/>
            <w:vAlign w:val="center"/>
          </w:tcPr>
          <w:p>
            <w:pPr>
              <w:spacing w:line="360" w:lineRule="exact"/>
              <w:jc w:val="center"/>
              <w:rPr>
                <w:rFonts w:hint="eastAsia" w:ascii="宋体" w:hAnsi="宋体" w:cs="仿宋"/>
                <w:szCs w:val="21"/>
                <w:lang w:val="zh-CN"/>
              </w:rPr>
            </w:pPr>
            <w:r>
              <w:rPr>
                <w:rFonts w:hint="eastAsia" w:ascii="宋体" w:hAnsi="宋体" w:cs="仿宋"/>
                <w:szCs w:val="21"/>
                <w:lang w:val="zh-CN"/>
              </w:rPr>
              <w:t>专家打分</w:t>
            </w:r>
          </w:p>
        </w:tc>
      </w:tr>
    </w:tbl>
    <w:p>
      <w:pPr>
        <w:pStyle w:val="5"/>
        <w:spacing w:before="0" w:after="0"/>
        <w:jc w:val="left"/>
        <w:rPr>
          <w:rFonts w:asciiTheme="minorEastAsia" w:hAnsiTheme="minorEastAsia"/>
          <w:bCs w:val="0"/>
          <w:sz w:val="21"/>
          <w:szCs w:val="21"/>
        </w:rPr>
      </w:pPr>
      <w:bookmarkStart w:id="10" w:name="_Toc45030747"/>
      <w:bookmarkStart w:id="11" w:name="_Toc44691394"/>
      <w:bookmarkStart w:id="12" w:name="_Toc44690430"/>
      <w:bookmarkStart w:id="13" w:name="_Toc44691162"/>
      <w:bookmarkStart w:id="14" w:name="_Toc44690703"/>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pPr>
      <w:bookmarkStart w:id="15" w:name="_Toc45030748"/>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6" w:name="_Toc45030749"/>
      <w:r>
        <w:rPr>
          <w:rFonts w:hint="eastAsia" w:asciiTheme="minorEastAsia" w:hAnsiTheme="minorEastAsia" w:eastAsiaTheme="minorEastAsia"/>
        </w:rPr>
        <w:t>2、政府采购优惠政策</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6 </w:t>
      </w:r>
      <w:r>
        <w:rPr>
          <w:rFonts w:hint="eastAsia" w:asciiTheme="minorEastAsia" w:hAnsiTheme="minorEastAsia" w:eastAsiaTheme="minorEastAsia"/>
          <w:b/>
        </w:rPr>
        <w:t>%（请在6%-10%范围内选择）后参与评审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（请在2</w:t>
      </w:r>
      <w:r>
        <w:rPr>
          <w:rFonts w:asciiTheme="minorEastAsia" w:hAnsiTheme="minorEastAsia" w:eastAsiaTheme="minorEastAsia"/>
          <w:b/>
        </w:rPr>
        <w:t>%-</w:t>
      </w:r>
      <w:r>
        <w:rPr>
          <w:rFonts w:hint="eastAsia" w:asciiTheme="minorEastAsia" w:hAnsiTheme="minorEastAsia" w:eastAsiaTheme="minorEastAsia"/>
          <w:b/>
        </w:rPr>
        <w:t>3</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政府采购优惠政策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rPr>
          <w:rFonts w:ascii="宋体" w:hAnsi="宋体"/>
          <w:snapToGrid w:val="0"/>
          <w:szCs w:val="21"/>
        </w:rPr>
      </w:pPr>
      <w:r>
        <w:rPr>
          <w:rFonts w:hint="eastAsia" w:ascii="宋体" w:hAnsi="宋体"/>
          <w:snapToGrid w:val="0"/>
          <w:szCs w:val="21"/>
        </w:rPr>
        <w:t>（4）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p/>
    <w:p>
      <w:pPr>
        <w:widowControl/>
        <w:jc w:val="left"/>
      </w:pPr>
      <w:r>
        <w:br w:type="page"/>
      </w:r>
    </w:p>
    <w:p/>
    <w:p/>
    <w:p>
      <w:pPr>
        <w:pStyle w:val="3"/>
        <w:spacing w:before="0"/>
      </w:pPr>
      <w:bookmarkStart w:id="17" w:name="_Toc45030750"/>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rPr>
              <w:t>深圳市学校校园安保服务项目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int="eastAsia" w:hAnsi="宋体" w:eastAsia="宋体"/>
                <w:szCs w:val="24"/>
                <w:lang w:eastAsia="zh-CN"/>
              </w:rPr>
            </w:pPr>
            <w:r>
              <w:rPr>
                <w:rFonts w:hint="eastAsia" w:hAnsi="宋体" w:eastAsia="宋体"/>
                <w:szCs w:val="24"/>
                <w:lang w:eastAsia="zh-CN"/>
              </w:rPr>
              <w:fldChar w:fldCharType="begin"/>
            </w:r>
            <w:r>
              <w:rPr>
                <w:rFonts w:hint="eastAsia" w:hAnsi="宋体" w:eastAsia="宋体"/>
                <w:szCs w:val="24"/>
                <w:lang w:eastAsia="zh-CN"/>
              </w:rPr>
              <w:instrText xml:space="preserve"> HYPERLINK "http://www.szzfcg.cn/stock/javascript:Admin.buyerView('308961')" </w:instrText>
            </w:r>
            <w:r>
              <w:rPr>
                <w:rFonts w:hint="eastAsia" w:hAnsi="宋体" w:eastAsia="宋体"/>
                <w:szCs w:val="24"/>
                <w:lang w:eastAsia="zh-CN"/>
              </w:rPr>
              <w:fldChar w:fldCharType="separate"/>
            </w:r>
            <w:r>
              <w:rPr>
                <w:rFonts w:hint="eastAsia" w:hAnsi="宋体" w:eastAsia="宋体"/>
                <w:szCs w:val="24"/>
                <w:lang w:eastAsia="zh-CN"/>
              </w:rPr>
              <w:t>深圳市福田区翰林实验学校</w:t>
            </w:r>
            <w:r>
              <w:rPr>
                <w:rFonts w:hint="eastAsia" w:hAnsi="宋体" w:eastAsia="宋体"/>
                <w:szCs w:val="24"/>
                <w:lang w:eastAsia="zh-CN"/>
              </w:rPr>
              <w:fldChar w:fldCharType="end"/>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招标代理机构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预算内资金/□预算外资金/□自筹资金/□其它资金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与《第一章 投标邀请》“申请人的资格要求”一致</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不要求向招标代理机构提交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 4 份，</w:t>
            </w:r>
            <w:r>
              <w:rPr>
                <w:rFonts w:hint="eastAsia" w:asciiTheme="minorEastAsia" w:hAnsiTheme="minorEastAsia" w:eastAsiaTheme="minorEastAsia"/>
              </w:rPr>
              <w:t>电子</w:t>
            </w:r>
            <w:r>
              <w:rPr>
                <w:rFonts w:asciiTheme="minorEastAsia" w:hAnsiTheme="minorEastAsia" w:eastAsiaTheme="minorEastAsia"/>
              </w:rPr>
              <w:t>备份光盘1份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2021年</w:t>
            </w:r>
            <w:r>
              <w:rPr>
                <w:rFonts w:hint="eastAsia" w:hAnsi="宋体"/>
                <w:b/>
                <w:snapToGrid w:val="0"/>
                <w:szCs w:val="18"/>
                <w:lang w:val="en-US" w:eastAsia="zh-CN"/>
              </w:rPr>
              <w:t>03</w:t>
            </w:r>
            <w:r>
              <w:rPr>
                <w:rFonts w:hint="eastAsia" w:hAnsi="宋体"/>
                <w:b/>
                <w:snapToGrid w:val="0"/>
                <w:szCs w:val="18"/>
              </w:rPr>
              <w:t>月</w:t>
            </w:r>
            <w:r>
              <w:rPr>
                <w:rFonts w:hint="eastAsia" w:hAnsi="宋体"/>
                <w:b/>
                <w:snapToGrid w:val="0"/>
                <w:szCs w:val="18"/>
                <w:lang w:val="en-US" w:eastAsia="zh-CN"/>
              </w:rPr>
              <w:t>26</w:t>
            </w:r>
            <w:r>
              <w:rPr>
                <w:rFonts w:hint="eastAsia" w:hAnsi="宋体"/>
                <w:b/>
                <w:snapToGrid w:val="0"/>
                <w:szCs w:val="18"/>
              </w:rPr>
              <w:t>日14点30分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2021年</w:t>
            </w:r>
            <w:r>
              <w:rPr>
                <w:rFonts w:hint="eastAsia" w:hAnsi="宋体"/>
                <w:b/>
                <w:snapToGrid w:val="0"/>
                <w:szCs w:val="18"/>
                <w:lang w:val="en-US" w:eastAsia="zh-CN"/>
              </w:rPr>
              <w:t>03</w:t>
            </w:r>
            <w:r>
              <w:rPr>
                <w:rFonts w:hint="eastAsia" w:hAnsi="宋体"/>
                <w:b/>
                <w:snapToGrid w:val="0"/>
                <w:szCs w:val="18"/>
              </w:rPr>
              <w:t>月</w:t>
            </w:r>
            <w:r>
              <w:rPr>
                <w:rFonts w:hint="eastAsia" w:hAnsi="宋体"/>
                <w:b/>
                <w:snapToGrid w:val="0"/>
                <w:szCs w:val="18"/>
                <w:lang w:val="en-US" w:eastAsia="zh-CN"/>
              </w:rPr>
              <w:t>26</w:t>
            </w:r>
            <w:r>
              <w:rPr>
                <w:rFonts w:hint="eastAsia" w:hAnsi="宋体"/>
                <w:b/>
                <w:snapToGrid w:val="0"/>
                <w:szCs w:val="18"/>
              </w:rPr>
              <w:t>日14点30分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4</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32</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33</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，最低收取人民币5000元。</w:t>
            </w:r>
          </w:p>
        </w:tc>
      </w:tr>
    </w:tbl>
    <w:p>
      <w:pPr>
        <w:pStyle w:val="3"/>
        <w:spacing w:before="0" w:after="0"/>
        <w:rPr>
          <w:sz w:val="21"/>
          <w:szCs w:val="21"/>
        </w:rPr>
      </w:pPr>
    </w:p>
    <w:p>
      <w:pPr>
        <w:rPr>
          <w:rFonts w:eastAsiaTheme="minorEastAsia"/>
          <w:kern w:val="44"/>
        </w:rPr>
      </w:pPr>
      <w:r>
        <w:rPr>
          <w:szCs w:val="21"/>
        </w:rPr>
        <w:br w:type="page"/>
      </w:r>
    </w:p>
    <w:p>
      <w:pPr>
        <w:pStyle w:val="3"/>
        <w:spacing w:before="0" w:after="0"/>
        <w:rPr>
          <w:sz w:val="21"/>
          <w:szCs w:val="21"/>
        </w:rPr>
      </w:pPr>
    </w:p>
    <w:p>
      <w:pPr>
        <w:pStyle w:val="3"/>
      </w:pPr>
      <w:bookmarkStart w:id="18" w:name="_Toc45030751"/>
      <w:r>
        <w:rPr>
          <w:rFonts w:hint="eastAsia"/>
        </w:rPr>
        <w:t>第六章  投标人须知</w:t>
      </w:r>
      <w:bookmarkEnd w:id="18"/>
    </w:p>
    <w:p>
      <w:pPr>
        <w:pStyle w:val="5"/>
        <w:spacing w:before="0" w:after="0"/>
      </w:pPr>
      <w:bookmarkStart w:id="19" w:name="_Toc45030752"/>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”系前附表第3项所述。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“投标人”系指向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5"/>
        <w:spacing w:before="0" w:after="0"/>
      </w:pPr>
      <w:bookmarkStart w:id="21" w:name="_Toc45030753"/>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5"/>
        <w:spacing w:before="0" w:after="0"/>
      </w:pPr>
      <w:bookmarkStart w:id="22" w:name="q6"/>
      <w:bookmarkEnd w:id="22"/>
      <w:bookmarkStart w:id="23" w:name="_Toc45030754"/>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（4）投标函（投标文件格式2）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（6）报价表（投标文件格式5）</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snapToGrid w:val="0"/>
          <w:kern w:val="0"/>
        </w:rPr>
        <w:t>服务方案</w:t>
      </w:r>
      <w:r>
        <w:rPr>
          <w:rFonts w:hint="eastAsia" w:asciiTheme="minorEastAsia" w:hAnsiTheme="minorEastAsia" w:eastAsiaTheme="minorEastAsia"/>
          <w:snapToGrid w:val="0"/>
          <w:kern w:val="0"/>
        </w:rPr>
        <w:t>（投标文件格式6）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声明 （投标文件格式7）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（9）偏离表（投标文件格式8）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（10）招标文件要求的其他资料或投标人认为需要补充的资料（投标文件格式9）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（11）装有“法定代表人证明书、法定代表人授权书”和“开标一览表”单独密封的信封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（12）装有</w:t>
      </w:r>
      <w:r>
        <w:rPr>
          <w:rFonts w:hint="eastAsia" w:asciiTheme="minorEastAsia" w:hAnsiTheme="minorEastAsia" w:eastAsiaTheme="minorEastAsia"/>
        </w:rPr>
        <w:t>电子</w:t>
      </w:r>
      <w:r>
        <w:rPr>
          <w:rFonts w:asciiTheme="minorEastAsia" w:hAnsiTheme="minorEastAsia" w:eastAsiaTheme="minorEastAsia"/>
        </w:rPr>
        <w:t>备份光盘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。投标人对每种项目只允许有一个报价，招标代理机构不接受有任何选择的报价。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投标人必须提交证明其有资格进行投标，和中标后有能力履行合同的证明文件（投标文件格式1与格式7），作为投标文件的一部分。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中标方的投标保证金，招标代理机构将在中标方签订合同并支付中标服务费后5个工作日内退还。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5"/>
        <w:spacing w:before="0" w:after="0"/>
      </w:pPr>
      <w:bookmarkStart w:id="24" w:name="q7"/>
      <w:bookmarkEnd w:id="24"/>
      <w:bookmarkStart w:id="25" w:name="_Toc45030755"/>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“备份光盘”一起封装在同一个外层包封中，同时还应在封套上载明以下信息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备份光盘</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投标人应将“法定代表人证明书、法定代表人授权委托证明书”和“开标一览表”单独密封于一信封，在递交投标文件时单独交与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注明：“开标一览表”和“法定代表人证明书、法定代表人授权委托证明书”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投标文件需由专人送交。投标人应按18.1～18.7中的规定进行密封和标记后，将投标文件按照前附表第12项中注明的地址送至招标代理机构。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5"/>
        <w:spacing w:before="0" w:after="0"/>
      </w:pPr>
      <w:bookmarkStart w:id="27" w:name="q8"/>
      <w:bookmarkEnd w:id="27"/>
      <w:bookmarkStart w:id="28" w:name="_Toc45030756"/>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所有投标人法定代表人或授权代表都须按时参加开标会，否则不接受其投标。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核对法定代表人或其授权代表身份证明，若不能提供相应的身份证明或不相符，则视为无效投标。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3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专家组成。评标委员会对投标文件进行审查、质疑、评估和比较。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5"/>
        <w:spacing w:before="0" w:after="0"/>
      </w:pPr>
      <w:bookmarkStart w:id="30" w:name="_Toc45030757"/>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29.3  中标方向招标代理机构支付中标服务费后，领取《中标通知书》。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pict>
                <v:shape id="__TH_B3733" o:spid="_x0000_s3091" o:spt="202" type="#_x0000_t202" style="position:absolute;left:0pt;margin-left:56.4pt;margin-top:43.5pt;height:9.4pt;width:4.3pt;z-index:25167667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Theme="minorEastAsia" w:hAnsiTheme="minorEastAsia" w:eastAsiaTheme="minorEastAsia"/>
              </w:rPr>
              <w:pict>
                <v:shape id="__TH_B3632" o:spid="_x0000_s3090" o:spt="202" type="#_x0000_t202" style="position:absolute;left:0pt;margin-left:44.55pt;margin-top:42.35pt;height:9.4pt;width:9.85pt;z-index:25167564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Theme="minorEastAsia" w:hAnsiTheme="minorEastAsia" w:eastAsiaTheme="minorEastAsia"/>
              </w:rPr>
              <w:pict>
                <v:shape id="__TH_B3531" o:spid="_x0000_s3089" o:spt="202" type="#_x0000_t202" style="position:absolute;left:0pt;margin-left:38.45pt;margin-top:41.2pt;height:9.4pt;width:3.9pt;z-index:251674624;mso-width-relative:page;mso-height-relative:page;" filled="f" stroked="f" coordsize="21600,21600">
                  <v:path/>
                  <v:fill on="f" focussize="0,0"/>
                  <v:stroke on="f" joinstyle="miter"/>
                  <v:imagedata o:title=""/>
                  <o:lock v:ext="edit"/>
                  <v:textbox inset="0mm,0mm,0mm,0mm">
                    <w:txbxContent>
                      <w:p>
                        <w:pPr>
                          <w:snapToGrid w:val="0"/>
                          <w:rPr>
                            <w:sz w:val="15"/>
                          </w:rPr>
                        </w:pPr>
                        <w:r>
                          <w:rPr>
                            <w:sz w:val="15"/>
                          </w:rPr>
                          <w:t>(</w:t>
                        </w:r>
                      </w:p>
                    </w:txbxContent>
                  </v:textbox>
                </v:shape>
              </w:pict>
            </w:r>
            <w:r>
              <w:rPr>
                <w:rFonts w:asciiTheme="minorEastAsia" w:hAnsiTheme="minorEastAsia" w:eastAsiaTheme="minorEastAsia"/>
              </w:rPr>
              <w:pict>
                <v:shape id="__TH_B3430" o:spid="_x0000_s3088" o:spt="202" type="#_x0000_t202" style="position:absolute;left:0pt;margin-left:26.35pt;margin-top:40.05pt;height:9.4pt;width:9.9pt;z-index:25167360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Theme="minorEastAsia" w:hAnsiTheme="minorEastAsia" w:eastAsiaTheme="minorEastAsia"/>
              </w:rPr>
              <w:pict>
                <v:shape id="__TH_B3329" o:spid="_x0000_s3087" o:spt="202" type="#_x0000_t202" style="position:absolute;left:0pt;margin-left:17.3pt;margin-top:38.9pt;height:9.4pt;width:9.85pt;z-index:25167257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Theme="minorEastAsia" w:hAnsiTheme="minorEastAsia" w:eastAsiaTheme="minorEastAsia"/>
              </w:rPr>
              <w:pict>
                <v:shape id="__TH_B3228" o:spid="_x0000_s3086" o:spt="202" type="#_x0000_t202" style="position:absolute;left:0pt;margin-left:8.2pt;margin-top:37.75pt;height:9.4pt;width:9.9pt;z-index:25167155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Theme="minorEastAsia" w:hAnsiTheme="minorEastAsia" w:eastAsiaTheme="minorEastAsia"/>
              </w:rPr>
              <w:pict>
                <v:shape id="__TH_B3127" o:spid="_x0000_s3085" o:spt="202" type="#_x0000_t202" style="position:absolute;left:0pt;margin-left:-0.85pt;margin-top:36.6pt;height:9.4pt;width:9.85pt;z-index:25167052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Theme="minorEastAsia" w:hAnsiTheme="minorEastAsia" w:eastAsiaTheme="minorEastAsia"/>
              </w:rPr>
              <w:pict>
                <v:shape id="__TH_B2226" o:spid="_x0000_s3084" o:spt="202" type="#_x0000_t202" style="position:absolute;left:0pt;margin-left:63.4pt;margin-top:32.05pt;height:9.35pt;width:9.85pt;z-index:25166950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Theme="minorEastAsia" w:hAnsiTheme="minorEastAsia" w:eastAsiaTheme="minorEastAsia"/>
              </w:rPr>
              <w:pict>
                <v:shape id="__TH_B2125" o:spid="_x0000_s3083" o:spt="202" type="#_x0000_t202" style="position:absolute;left:0pt;margin-left:19.95pt;margin-top:10.05pt;height:9.4pt;width:9.9pt;z-index:25166848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Theme="minorEastAsia" w:hAnsiTheme="minorEastAsia" w:eastAsiaTheme="minorEastAsia"/>
              </w:rPr>
              <w:pict>
                <v:shape id="__TH_B1424" o:spid="_x0000_s3082" o:spt="202" type="#_x0000_t202" style="position:absolute;left:0pt;margin-left:88.65pt;margin-top:32.35pt;height:9.35pt;width:9.85pt;z-index:25166745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Theme="minorEastAsia" w:hAnsiTheme="minorEastAsia" w:eastAsiaTheme="minorEastAsia"/>
              </w:rPr>
              <w:pict>
                <v:shape id="__TH_B1323" o:spid="_x0000_s3081" o:spt="202" type="#_x0000_t202" style="position:absolute;left:0pt;margin-left:83.95pt;margin-top:22.8pt;height:9.4pt;width:9.85pt;z-index:25166643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Theme="minorEastAsia" w:hAnsiTheme="minorEastAsia" w:eastAsiaTheme="minorEastAsia"/>
              </w:rPr>
              <w:pict>
                <v:shape id="__TH_B1222" o:spid="_x0000_s3080" o:spt="202" type="#_x0000_t202" style="position:absolute;left:0pt;margin-left:79.25pt;margin-top:13.3pt;height:9.4pt;width:9.85pt;z-index:25166540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Theme="minorEastAsia" w:hAnsiTheme="minorEastAsia" w:eastAsiaTheme="minorEastAsia"/>
              </w:rPr>
              <w:pict>
                <v:shape id="__TH_B1121" o:spid="_x0000_s3079" o:spt="202" type="#_x0000_t202" style="position:absolute;left:0pt;margin-left:74.55pt;margin-top:3.8pt;height:9.4pt;width:9.85pt;z-index:25166438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Theme="minorEastAsia" w:hAnsiTheme="minorEastAsia" w:eastAsiaTheme="minorEastAsia"/>
              </w:rPr>
              <w:pict>
                <v:line id="__TH_L20" o:spid="_x0000_s3078" o:spt="20" style="position:absolute;left:0pt;margin-left:-5.15pt;margin-top:26.85pt;height:26.8pt;width:106pt;z-index:251663360;mso-width-relative:page;mso-height-relative:page;" coordsize="21600,21600">
                  <v:path arrowok="t"/>
                  <v:fill focussize="0,0"/>
                  <v:stroke weight="0.5pt"/>
                  <v:imagedata o:title=""/>
                  <o:lock v:ext="edit"/>
                </v:line>
              </w:pict>
            </w:r>
            <w:r>
              <w:rPr>
                <w:rFonts w:asciiTheme="minorEastAsia" w:hAnsiTheme="minorEastAsia" w:eastAsiaTheme="minorEastAsia"/>
              </w:rPr>
              <w:pict>
                <v:line id="__TH_L19" o:spid="_x0000_s3077" o:spt="20" style="position:absolute;left:0pt;margin-left:47.85pt;margin-top:0pt;height:53.65pt;width:53pt;z-index:251662336;mso-width-relative:page;mso-height-relative:page;" coordsize="21600,21600">
                  <v:path arrowok="t"/>
                  <v:fill focussize="0,0"/>
                  <v:stroke weight="0.5pt"/>
                  <v:imagedata o:title=""/>
                  <o:lock v:ext="edit"/>
                </v:line>
              </w:pic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adjustRightInd w:val="0"/>
        <w:snapToGrid w:val="0"/>
        <w:spacing w:line="300" w:lineRule="auto"/>
        <w:ind w:left="424" w:leftChars="202"/>
        <w:rPr>
          <w:rFonts w:asciiTheme="minorEastAsia" w:hAnsiTheme="minorEastAsia" w:eastAsiaTheme="minorEastAsia"/>
          <w:snapToGrid w:val="0"/>
          <w:kern w:val="0"/>
          <w:sz w:val="24"/>
        </w:rPr>
      </w:pPr>
      <w:r>
        <w:rPr>
          <w:rFonts w:hint="eastAsia" w:asciiTheme="minorEastAsia" w:hAnsiTheme="minorEastAsia" w:eastAsiaTheme="minorEastAsia"/>
        </w:rPr>
        <w:t>合计收费=1.5+3.2+2.25＝6.95（万元）</w:t>
      </w:r>
    </w:p>
    <w:p>
      <w:pPr>
        <w:jc w:val="center"/>
        <w:rPr>
          <w:b/>
          <w:sz w:val="52"/>
          <w:szCs w:val="52"/>
        </w:rPr>
      </w:pPr>
    </w:p>
    <w:p/>
    <w:p/>
    <w:p/>
    <w:p/>
    <w:p/>
    <w:p/>
    <w:p/>
    <w:p/>
    <w:p/>
    <w:p/>
    <w:p/>
    <w:p/>
    <w:p/>
    <w:p/>
    <w:p/>
    <w:p>
      <w:pPr>
        <w:widowControl/>
        <w:jc w:val="left"/>
      </w:pPr>
      <w:r>
        <w:br w:type="page"/>
      </w:r>
    </w:p>
    <w:p/>
    <w:p>
      <w:pPr>
        <w:pStyle w:val="3"/>
      </w:pPr>
      <w:bookmarkStart w:id="31" w:name="_Toc45030758"/>
      <w:r>
        <w:rPr>
          <w:rFonts w:hint="eastAsia"/>
        </w:rPr>
        <w:t>第七章  投标文件格式</w:t>
      </w:r>
      <w:bookmarkEnd w:id="31"/>
    </w:p>
    <w:p>
      <w:pPr>
        <w:jc w:val="center"/>
        <w:rPr>
          <w:b/>
          <w:sz w:val="52"/>
          <w:szCs w:val="52"/>
        </w:rPr>
      </w:pPr>
    </w:p>
    <w:p>
      <w:pPr>
        <w:pStyle w:val="5"/>
        <w:spacing w:line="400" w:lineRule="exact"/>
        <w:rPr>
          <w:rFonts w:ascii="仿宋" w:hAnsi="仿宋" w:eastAsia="仿宋"/>
        </w:rPr>
      </w:pPr>
      <w:bookmarkStart w:id="32" w:name="_Toc44691395"/>
      <w:bookmarkStart w:id="33" w:name="_Toc45030759"/>
      <w:bookmarkStart w:id="34" w:name="_Toc44690704"/>
      <w:bookmarkStart w:id="35" w:name="_Toc44691163"/>
      <w:bookmarkStart w:id="36" w:name="_Toc44690431"/>
      <w:bookmarkStart w:id="37" w:name="_Toc11772"/>
      <w:bookmarkStart w:id="38" w:name="_Toc14934"/>
      <w:bookmarkStart w:id="39" w:name="_Toc31468"/>
      <w:bookmarkStart w:id="40" w:name="_Toc25194"/>
      <w:r>
        <w:rPr>
          <w:rFonts w:hint="eastAsia" w:ascii="仿宋" w:hAnsi="仿宋" w:eastAsia="仿宋"/>
        </w:rPr>
        <w:t>投标文件编制说明</w:t>
      </w:r>
      <w:bookmarkEnd w:id="32"/>
      <w:bookmarkEnd w:id="33"/>
      <w:bookmarkEnd w:id="34"/>
      <w:bookmarkEnd w:id="35"/>
      <w:bookmarkEnd w:id="36"/>
      <w:bookmarkEnd w:id="37"/>
      <w:bookmarkEnd w:id="38"/>
      <w:bookmarkEnd w:id="39"/>
      <w:bookmarkEnd w:id="40"/>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法定代表人证明书、法定代表人授权委托证明书和开标一览表（封包2）。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bookmarkStart w:id="41" w:name="_投标文件格式（第一册）"/>
      <w:bookmarkEnd w:id="41"/>
      <w:bookmarkStart w:id="42" w:name="q0"/>
      <w:r>
        <w:rPr>
          <w:rFonts w:ascii="仿宋" w:hAnsi="仿宋" w:eastAsia="仿宋"/>
        </w:rPr>
        <w:br w:type="page"/>
      </w:r>
    </w:p>
    <w:p>
      <w:pPr>
        <w:pStyle w:val="5"/>
        <w:spacing w:line="400" w:lineRule="exact"/>
        <w:rPr>
          <w:rFonts w:ascii="仿宋" w:hAnsi="仿宋" w:eastAsia="仿宋"/>
        </w:rPr>
      </w:pPr>
    </w:p>
    <w:p>
      <w:pPr>
        <w:pStyle w:val="5"/>
        <w:spacing w:line="400" w:lineRule="exact"/>
        <w:rPr>
          <w:rFonts w:ascii="仿宋" w:hAnsi="仿宋" w:eastAsia="仿宋"/>
        </w:rPr>
      </w:pPr>
      <w:bookmarkStart w:id="43" w:name="_Toc45030760"/>
      <w:r>
        <w:rPr>
          <w:rFonts w:hint="eastAsia" w:ascii="仿宋" w:hAnsi="仿宋" w:eastAsia="仿宋"/>
        </w:rPr>
        <w:t>投标文件格式</w:t>
      </w:r>
      <w:bookmarkEnd w:id="43"/>
    </w:p>
    <w:bookmarkEnd w:id="42"/>
    <w:p>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投标函（格式2）</w:t>
      </w:r>
    </w:p>
    <w:p>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评分中涉及的承诺及声明函（格式3）</w:t>
      </w:r>
    </w:p>
    <w:p>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开标一览表（格式4）</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注：此表应与“法定代表人证明书、法定代表人授权委托证明书”一起密封于一信封，在递交投标文件时单独交与</w:t>
      </w:r>
      <w:r>
        <w:rPr>
          <w:rFonts w:hint="eastAsia" w:asciiTheme="minorEastAsia" w:hAnsiTheme="minorEastAsia" w:eastAsiaTheme="minorEastAsia"/>
          <w:b/>
          <w:bCs/>
          <w:snapToGrid w:val="0"/>
          <w:kern w:val="0"/>
          <w:szCs w:val="21"/>
        </w:rPr>
        <w:t>招标代理机构。</w:t>
      </w:r>
    </w:p>
    <w:p>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报价表（格式5）</w:t>
      </w:r>
    </w:p>
    <w:p>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6</w:t>
      </w:r>
      <w:r>
        <w:rPr>
          <w:rFonts w:asciiTheme="minorEastAsia" w:hAnsiTheme="minorEastAsia" w:eastAsiaTheme="minorEastAsia"/>
          <w:snapToGrid w:val="0"/>
          <w:kern w:val="0"/>
          <w:szCs w:val="21"/>
        </w:rPr>
        <w:t>）</w:t>
      </w:r>
    </w:p>
    <w:p>
      <w:pPr>
        <w:pStyle w:val="455"/>
        <w:numPr>
          <w:ilvl w:val="0"/>
          <w:numId w:val="7"/>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w:t>
      </w:r>
      <w:r>
        <w:rPr>
          <w:rFonts w:asciiTheme="minorEastAsia" w:hAnsiTheme="minorEastAsia" w:eastAsiaTheme="minorEastAsia"/>
          <w:snapToGrid w:val="0"/>
          <w:kern w:val="0"/>
        </w:rPr>
        <w:t>明</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w:t>
      </w:r>
    </w:p>
    <w:p>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8</w:t>
      </w:r>
      <w:r>
        <w:rPr>
          <w:rFonts w:asciiTheme="minorEastAsia" w:hAnsiTheme="minorEastAsia" w:eastAsiaTheme="minorEastAsia"/>
          <w:snapToGrid w:val="0"/>
          <w:kern w:val="0"/>
          <w:szCs w:val="21"/>
        </w:rPr>
        <w:t>）</w:t>
      </w:r>
    </w:p>
    <w:p>
      <w:pPr>
        <w:pStyle w:val="455"/>
        <w:adjustRightInd w:val="0"/>
        <w:spacing w:line="360" w:lineRule="auto"/>
        <w:ind w:firstLine="0"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十一、招标文件要求的其他资料或投标人认为需要补充的资料</w:t>
      </w:r>
      <w:r>
        <w:rPr>
          <w:rFonts w:hint="eastAsia" w:asciiTheme="minorEastAsia" w:hAnsiTheme="minorEastAsia" w:eastAsiaTheme="minorEastAsia"/>
          <w:snapToGrid w:val="0"/>
          <w:kern w:val="0"/>
          <w:szCs w:val="21"/>
        </w:rPr>
        <w:t>（格式9）</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4" w:name="_格式1__投标人资格证明文件"/>
      <w:bookmarkEnd w:id="44"/>
      <w:r>
        <w:br w:type="page"/>
      </w:r>
    </w:p>
    <w:p>
      <w:pPr>
        <w:adjustRightInd w:val="0"/>
        <w:snapToGrid w:val="0"/>
        <w:spacing w:line="300" w:lineRule="auto"/>
        <w:jc w:val="center"/>
      </w:pPr>
    </w:p>
    <w:p>
      <w:pPr>
        <w:pStyle w:val="5"/>
        <w:spacing w:line="400" w:lineRule="exact"/>
        <w:rPr>
          <w:rFonts w:ascii="仿宋" w:hAnsi="仿宋" w:eastAsia="仿宋"/>
        </w:rPr>
      </w:pPr>
      <w:bookmarkStart w:id="45" w:name="_Toc45030761"/>
      <w:r>
        <w:rPr>
          <w:rFonts w:hint="eastAsia" w:ascii="仿宋" w:hAnsi="仿宋" w:eastAsia="仿宋"/>
        </w:rPr>
        <w:t>评标指引表</w:t>
      </w:r>
      <w:bookmarkEnd w:id="45"/>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价格标</w:t>
            </w:r>
          </w:p>
        </w:tc>
        <w:tc>
          <w:tcPr>
            <w:tcW w:w="4188"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w:t>
            </w:r>
            <w:r>
              <w:rPr>
                <w:rFonts w:hint="eastAsia" w:asciiTheme="minorEastAsia" w:hAnsiTheme="minorEastAsia" w:eastAsiaTheme="minorEastAsia"/>
                <w:bCs/>
                <w:szCs w:val="21"/>
              </w:rPr>
              <w:t>优惠政策。</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技术标</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商务标</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4"/>
        <w:jc w:val="center"/>
      </w:pPr>
    </w:p>
    <w:p/>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46" w:name="_Toc44690432"/>
      <w:bookmarkStart w:id="47" w:name="_Toc44690705"/>
      <w:bookmarkStart w:id="48" w:name="_Toc44691164"/>
      <w:bookmarkStart w:id="49" w:name="_Toc44691396"/>
      <w:r>
        <w:rPr>
          <w:rFonts w:hint="eastAsia" w:asciiTheme="minorEastAsia" w:hAnsiTheme="minorEastAsia" w:eastAsiaTheme="minorEastAsia"/>
          <w:sz w:val="24"/>
        </w:rPr>
        <w:t>格式1  投标人资格证明文件</w:t>
      </w:r>
      <w:bookmarkEnd w:id="46"/>
      <w:bookmarkEnd w:id="47"/>
      <w:bookmarkEnd w:id="48"/>
      <w:bookmarkEnd w:id="49"/>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政府采购投标承诺函</w:t>
      </w:r>
      <w:r>
        <w:rPr>
          <w:rFonts w:hint="eastAsia" w:ascii="宋体" w:hAnsi="宋体"/>
        </w:rPr>
        <w:t>（详见格式《政府采购投标承诺函》）</w:t>
      </w:r>
    </w:p>
    <w:p>
      <w:pPr>
        <w:adjustRightInd w:val="0"/>
        <w:snapToGrid w:val="0"/>
        <w:spacing w:line="360" w:lineRule="auto"/>
        <w:ind w:firstLine="424" w:firstLineChars="202"/>
        <w:rPr>
          <w:rFonts w:ascii="宋体" w:hAnsi="宋体"/>
        </w:rPr>
      </w:pPr>
      <w:r>
        <w:rPr>
          <w:rFonts w:hint="eastAsia" w:ascii="宋体" w:hAnsi="宋体"/>
        </w:rPr>
        <w:t>3、其它资格证明材料（按第一章投标邀请“申请人的资格要求”提供）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pPr>
      <w:r>
        <w:rPr>
          <w:rFonts w:hint="eastAsia"/>
          <w:b/>
          <w:snapToGrid w:val="0"/>
          <w:kern w:val="0"/>
          <w:sz w:val="28"/>
        </w:rPr>
        <w:t>政府采购投标承诺函</w:t>
      </w:r>
    </w:p>
    <w:p>
      <w:pPr>
        <w:spacing w:line="360" w:lineRule="auto"/>
        <w:rPr>
          <w:rFonts w:ascii="宋体" w:hAnsi="宋体" w:cs="Courier New"/>
          <w:snapToGrid w:val="0"/>
          <w:szCs w:val="18"/>
        </w:rPr>
      </w:pPr>
    </w:p>
    <w:p>
      <w:pPr>
        <w:spacing w:line="360" w:lineRule="auto"/>
        <w:rPr>
          <w:rFonts w:ascii="宋体" w:hAnsi="宋体" w:cs="Courier New"/>
          <w:snapToGrid w:val="0"/>
          <w:szCs w:val="18"/>
        </w:rPr>
      </w:pPr>
      <w:r>
        <w:rPr>
          <w:rFonts w:hint="eastAsia" w:ascii="宋体" w:hAnsi="宋体" w:cs="Courier New"/>
          <w:snapToGrid w:val="0"/>
          <w:szCs w:val="18"/>
        </w:rPr>
        <w:t>深圳市中正招标有限公司：</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1、近三年内(成立不足三年的从成立之日起算)无行贿犯罪记录。</w:t>
      </w:r>
    </w:p>
    <w:p>
      <w:pPr>
        <w:spacing w:line="360" w:lineRule="auto"/>
        <w:ind w:firstLine="420" w:firstLineChars="200"/>
        <w:rPr>
          <w:rFonts w:ascii="宋体" w:hAnsi="宋体"/>
          <w:szCs w:val="21"/>
        </w:rPr>
      </w:pPr>
      <w:r>
        <w:rPr>
          <w:rFonts w:hint="eastAsia" w:ascii="宋体" w:hAnsi="宋体" w:cs="Courier New"/>
          <w:snapToGrid w:val="0"/>
          <w:szCs w:val="18"/>
        </w:rPr>
        <w:t>2、符合《中华人民共和国政府采购法》第二十二条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pPr>
        <w:spacing w:line="360" w:lineRule="auto"/>
        <w:ind w:firstLine="420" w:firstLineChars="200"/>
        <w:rPr>
          <w:rFonts w:ascii="宋体" w:hAnsi="宋体"/>
          <w:szCs w:val="21"/>
        </w:rPr>
      </w:pPr>
      <w:r>
        <w:rPr>
          <w:rFonts w:hint="eastAsia" w:ascii="宋体" w:hAnsi="宋体" w:cs="宋体"/>
          <w:kern w:val="0"/>
          <w:szCs w:val="21"/>
        </w:rPr>
        <w:t>3、我单位本次投标非联合体投标，且不将本项目非法</w:t>
      </w:r>
      <w:r>
        <w:rPr>
          <w:rFonts w:hint="eastAsia" w:ascii="宋体" w:hAnsi="宋体"/>
          <w:szCs w:val="21"/>
        </w:rPr>
        <w:t>转包或分包。</w:t>
      </w:r>
    </w:p>
    <w:p>
      <w:pPr>
        <w:spacing w:line="360" w:lineRule="auto"/>
        <w:ind w:firstLine="420" w:firstLineChars="200"/>
        <w:rPr>
          <w:rFonts w:ascii="宋体" w:hAnsi="宋体" w:cs="宋体"/>
          <w:kern w:val="0"/>
          <w:szCs w:val="21"/>
        </w:rPr>
      </w:pPr>
      <w:r>
        <w:rPr>
          <w:rFonts w:hint="eastAsia" w:ascii="宋体" w:hAnsi="宋体"/>
          <w:szCs w:val="21"/>
        </w:rPr>
        <w:t>4、</w:t>
      </w:r>
      <w:r>
        <w:rPr>
          <w:rFonts w:hint="eastAsia" w:ascii="宋体" w:hAnsi="宋体" w:cs="宋体"/>
          <w:kern w:val="0"/>
          <w:szCs w:val="21"/>
        </w:rPr>
        <w:t>我单位为</w:t>
      </w:r>
      <w:r>
        <w:rPr>
          <w:rFonts w:hint="eastAsia" w:ascii="宋体" w:hAnsi="宋体"/>
          <w:szCs w:val="21"/>
        </w:rPr>
        <w:t>本招标项目所提供的货物或服务未侵犯知识产权。</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6、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360" w:lineRule="auto"/>
        <w:ind w:firstLine="420" w:firstLineChars="200"/>
        <w:rPr>
          <w:rFonts w:ascii="宋体" w:hAnsi="宋体" w:cs="Courier New"/>
          <w:snapToGrid w:val="0"/>
          <w:szCs w:val="18"/>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b/>
          <w:sz w:val="30"/>
          <w:szCs w:val="30"/>
        </w:rPr>
      </w:pPr>
      <w:r>
        <w:rPr>
          <w:rFonts w:hint="eastAsia"/>
        </w:rPr>
        <w:t>年     月    日</w:t>
      </w:r>
    </w:p>
    <w:p>
      <w:pPr>
        <w:tabs>
          <w:tab w:val="left" w:pos="450"/>
        </w:tabs>
        <w:jc w:val="center"/>
        <w:rPr>
          <w:rFonts w:ascii="宋体" w:hAnsi="宋体"/>
          <w:b/>
          <w:sz w:val="30"/>
          <w:szCs w:val="30"/>
        </w:rPr>
      </w:pPr>
    </w:p>
    <w:p>
      <w:pPr>
        <w:tabs>
          <w:tab w:val="left" w:pos="450"/>
        </w:tabs>
        <w:jc w:val="center"/>
        <w:rPr>
          <w:rFonts w:ascii="宋体" w:hAnsi="宋体"/>
          <w:b/>
          <w:sz w:val="30"/>
          <w:szCs w:val="30"/>
        </w:rPr>
      </w:pPr>
    </w:p>
    <w:p>
      <w:pPr>
        <w:tabs>
          <w:tab w:val="left" w:pos="450"/>
        </w:tabs>
        <w:jc w:val="center"/>
        <w:rPr>
          <w:rFonts w:ascii="宋体" w:hAnsi="宋体"/>
          <w:b/>
          <w:sz w:val="30"/>
          <w:szCs w:val="30"/>
        </w:rPr>
      </w:pPr>
    </w:p>
    <w:p>
      <w:pPr>
        <w:tabs>
          <w:tab w:val="left" w:pos="450"/>
        </w:tabs>
        <w:jc w:val="center"/>
        <w:rPr>
          <w:rFonts w:ascii="宋体" w:hAnsi="宋体"/>
          <w:b/>
          <w:sz w:val="30"/>
          <w:szCs w:val="30"/>
        </w:rPr>
      </w:pPr>
      <w:r>
        <w:rPr>
          <w:rFonts w:hint="eastAsia" w:ascii="宋体" w:hAnsi="宋体"/>
          <w:b/>
          <w:sz w:val="30"/>
          <w:szCs w:val="30"/>
        </w:rPr>
        <w:t>法定代表人证明书（参考）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81792;mso-width-relative:page;mso-height-relative:page;" coordsize="21600,21600">
            <v:path/>
            <v:fill focussize="0,0"/>
            <v:stroke/>
            <v:imagedata o:title=""/>
            <o:lock v:ext="edit"/>
            <v:textbox>
              <w:txbxContent>
                <w:p>
                  <w:pPr>
                    <w:ind w:firstLine="1260" w:firstLineChars="600"/>
                  </w:pPr>
                  <w:r>
                    <w:rPr>
                      <w:rFonts w:hint="eastAsia"/>
                    </w:rPr>
                    <w:t xml:space="preserve">     法定代表人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80768;mso-width-relative:page;mso-height-relative:page;" coordsize="21600,21600">
            <v:path/>
            <v:fill focussize="0,0"/>
            <v:stroke/>
            <v:imagedata o:title=""/>
            <o:lock v:ext="edit"/>
            <v:textbox>
              <w:txbxContent>
                <w:p>
                  <w:pPr>
                    <w:ind w:firstLine="1260" w:firstLineChars="600"/>
                    <w:jc w:val="left"/>
                  </w:pPr>
                  <w:r>
                    <w:rPr>
                      <w:rFonts w:hint="eastAsia"/>
                    </w:rPr>
                    <w:t xml:space="preserve">     法定代表人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spacing w:line="900" w:lineRule="exact"/>
        <w:ind w:firstLine="2249" w:firstLineChars="800"/>
        <w:rPr>
          <w:b/>
          <w:bCs/>
          <w:sz w:val="28"/>
        </w:rPr>
      </w:pPr>
    </w:p>
    <w:p>
      <w:pPr>
        <w:spacing w:line="900" w:lineRule="exact"/>
        <w:ind w:firstLine="2249" w:firstLineChars="800"/>
        <w:rPr>
          <w:b/>
          <w:bCs/>
          <w:sz w:val="28"/>
        </w:rPr>
      </w:pP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法定代表人授权委托证明书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0" w:name="_Toc226217114"/>
      <w:r>
        <w:rPr>
          <w:rFonts w:ascii="宋体"/>
        </w:rPr>
        <w:pict>
          <v:rect id="Rectangle 2" o:spid="_x0000_s3093" o:spt="1" style="position:absolute;left:0pt;margin-left:-10.35pt;margin-top:5.6pt;height:156pt;width:243pt;z-index:251678720;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79744;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0"/>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注：法定代表人证明书和法定代表人授权委托证明书除装订于投标文件中外，还须另置一份按“投标人须知”18.4项要求单独密封。</w:t>
      </w:r>
    </w:p>
    <w:p/>
    <w:p>
      <w:pPr>
        <w:widowControl/>
        <w:jc w:val="left"/>
      </w:pPr>
      <w:r>
        <w:br w:type="page"/>
      </w:r>
    </w:p>
    <w:p>
      <w:pPr>
        <w:tabs>
          <w:tab w:val="left" w:pos="720"/>
        </w:tabs>
        <w:adjustRightInd w:val="0"/>
        <w:snapToGrid w:val="0"/>
        <w:spacing w:line="300" w:lineRule="auto"/>
        <w:rPr>
          <w:b/>
          <w:snapToGrid w:val="0"/>
          <w:kern w:val="0"/>
          <w:sz w:val="28"/>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格式2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2．我单位提交的投标文件为：投标书正本一份，副本四份，电子备份光盘一份（内容为投标文件正本盖章扫描件）。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6．我单位愿按《中华人民共和国合同法》履行自己的全部责任。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r>
        <w:rPr>
          <w:rFonts w:hint="eastAsia"/>
          <w:b/>
          <w:snapToGrid w:val="0"/>
          <w:kern w:val="0"/>
          <w:sz w:val="28"/>
        </w:rPr>
        <w:t>履约承诺函</w:t>
      </w:r>
    </w:p>
    <w:p>
      <w:pPr>
        <w:rPr>
          <w:rFonts w:ascii="宋体" w:hAnsi="宋体"/>
          <w:szCs w:val="21"/>
        </w:rPr>
      </w:pPr>
    </w:p>
    <w:p>
      <w:pPr>
        <w:rPr>
          <w:rFonts w:ascii="宋体" w:hAnsi="宋体"/>
          <w:szCs w:val="21"/>
        </w:rPr>
      </w:pPr>
      <w:r>
        <w:rPr>
          <w:rFonts w:hint="eastAsia" w:ascii="宋体" w:hAnsi="宋体"/>
          <w:szCs w:val="21"/>
        </w:rPr>
        <w:t>深圳市中正招标有限公司：</w:t>
      </w:r>
    </w:p>
    <w:p>
      <w:pPr>
        <w:spacing w:line="360" w:lineRule="auto"/>
        <w:ind w:firstLine="420" w:firstLineChars="200"/>
        <w:rPr>
          <w:rFonts w:ascii="宋体" w:hAnsi="宋体"/>
          <w:szCs w:val="21"/>
        </w:rPr>
      </w:pPr>
      <w:r>
        <w:rPr>
          <w:rFonts w:hint="eastAsia" w:ascii="宋体" w:hAnsi="宋体"/>
          <w:szCs w:val="21"/>
        </w:rPr>
        <w:t>我单位承诺：在本项目</w:t>
      </w:r>
      <w:r>
        <w:rPr>
          <w:rFonts w:hint="eastAsia" w:ascii="宋体" w:hAnsi="宋体"/>
          <w:color w:val="000000"/>
          <w:szCs w:val="21"/>
        </w:rPr>
        <w:t>投标截止日前近三年内，我</w:t>
      </w:r>
      <w:r>
        <w:rPr>
          <w:rFonts w:hint="eastAsia" w:ascii="宋体" w:hAnsi="宋体"/>
          <w:szCs w:val="21"/>
        </w:rPr>
        <w:t>单位</w:t>
      </w:r>
      <w:r>
        <w:rPr>
          <w:rFonts w:hint="eastAsia" w:ascii="宋体" w:hAnsi="宋体"/>
          <w:color w:val="000000"/>
          <w:szCs w:val="21"/>
        </w:rPr>
        <w:t>在深圳市范围内政府采购招标投标活动中不存在履约评价为差的记录，</w:t>
      </w:r>
      <w:r>
        <w:rPr>
          <w:rFonts w:hint="eastAsia" w:ascii="宋体" w:hAnsi="宋体"/>
          <w:szCs w:val="21"/>
        </w:rPr>
        <w:t>如若投标文件与实际情况不符，我单位自愿承担“隐瞒真实情况，提供虚假资料”以及其他一切不利的法律后果。</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right="480" w:firstLine="3360" w:firstLineChars="1600"/>
        <w:rPr>
          <w:rFonts w:ascii="宋体" w:hAnsi="宋体"/>
          <w:szCs w:val="21"/>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pStyle w:val="6"/>
        <w:tabs>
          <w:tab w:val="left" w:pos="0"/>
        </w:tabs>
        <w:jc w:val="center"/>
        <w:rPr>
          <w:rFonts w:ascii="宋体" w:hAnsi="宋体" w:eastAsia="宋体"/>
        </w:rPr>
      </w:pPr>
      <w:r>
        <w:rPr>
          <w:rFonts w:hint="eastAsia" w:ascii="宋体" w:hAnsi="宋体" w:eastAsia="宋体"/>
        </w:rPr>
        <w:t>中小企业声明函</w:t>
      </w:r>
    </w:p>
    <w:p>
      <w:pPr>
        <w:pStyle w:val="2"/>
        <w:spacing w:line="302" w:lineRule="auto"/>
        <w:ind w:right="415"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
        <w:spacing w:line="302" w:lineRule="auto"/>
        <w:ind w:right="415"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line="302" w:lineRule="auto"/>
        <w:ind w:right="415"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before="11"/>
        <w:ind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
        <w:spacing w:before="108" w:line="304" w:lineRule="auto"/>
        <w:ind w:right="417"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r>
        <w:t xml:space="preserve">                                          </w:t>
      </w:r>
      <w:r>
        <w:rPr>
          <w:b/>
          <w:bCs/>
        </w:rPr>
        <w:t xml:space="preserve">  </w:t>
      </w:r>
    </w:p>
    <w:p>
      <w:pPr>
        <w:adjustRightInd w:val="0"/>
        <w:snapToGrid w:val="0"/>
        <w:spacing w:line="360" w:lineRule="auto"/>
        <w:ind w:firstLine="600"/>
        <w:jc w:val="right"/>
      </w:pPr>
    </w:p>
    <w:p>
      <w:pPr>
        <w:widowControl/>
        <w:jc w:val="left"/>
      </w:pPr>
      <w:r>
        <w:br w:type="page"/>
      </w:r>
    </w:p>
    <w:p>
      <w:pPr>
        <w:adjustRightInd w:val="0"/>
        <w:snapToGrid w:val="0"/>
        <w:spacing w:line="360" w:lineRule="auto"/>
        <w:ind w:firstLine="600"/>
        <w:jc w:val="left"/>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1" w:name="_Toc44690433"/>
      <w:bookmarkStart w:id="52" w:name="_Toc44690706"/>
      <w:bookmarkStart w:id="53" w:name="_Toc44691165"/>
      <w:bookmarkStart w:id="54" w:name="_Toc44691397"/>
      <w:r>
        <w:rPr>
          <w:rFonts w:hint="eastAsia" w:asciiTheme="minorEastAsia" w:hAnsiTheme="minorEastAsia" w:eastAsiaTheme="minorEastAsia"/>
          <w:sz w:val="24"/>
        </w:rPr>
        <w:t>格式4  开标一览表</w:t>
      </w:r>
      <w:bookmarkEnd w:id="51"/>
      <w:bookmarkEnd w:id="52"/>
      <w:bookmarkEnd w:id="53"/>
      <w:bookmarkEnd w:id="54"/>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3291"/>
        <w:gridCol w:w="2479"/>
        <w:gridCol w:w="12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687"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329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479"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服务期限</w:t>
            </w:r>
          </w:p>
        </w:tc>
        <w:tc>
          <w:tcPr>
            <w:tcW w:w="1228"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687" w:type="dxa"/>
            <w:tcBorders>
              <w:top w:val="single" w:color="auto" w:sz="4" w:space="0"/>
            </w:tcBorders>
            <w:vAlign w:val="center"/>
          </w:tcPr>
          <w:p>
            <w:pPr>
              <w:adjustRightInd w:val="0"/>
              <w:snapToGrid w:val="0"/>
              <w:spacing w:line="360" w:lineRule="auto"/>
              <w:jc w:val="center"/>
            </w:pPr>
          </w:p>
        </w:tc>
        <w:tc>
          <w:tcPr>
            <w:tcW w:w="3291"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p>
        </w:tc>
        <w:tc>
          <w:tcPr>
            <w:tcW w:w="2479" w:type="dxa"/>
            <w:tcBorders>
              <w:top w:val="single" w:color="auto" w:sz="4" w:space="0"/>
            </w:tcBorders>
            <w:vAlign w:val="center"/>
          </w:tcPr>
          <w:p>
            <w:pPr>
              <w:adjustRightInd w:val="0"/>
              <w:snapToGrid w:val="0"/>
              <w:spacing w:line="360" w:lineRule="auto"/>
              <w:jc w:val="left"/>
              <w:rPr>
                <w:snapToGrid w:val="0"/>
                <w:kern w:val="0"/>
              </w:rPr>
            </w:pPr>
          </w:p>
        </w:tc>
        <w:tc>
          <w:tcPr>
            <w:tcW w:w="1228"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5" w:name="_Toc44690434"/>
      <w:bookmarkStart w:id="56" w:name="_Toc44690707"/>
      <w:bookmarkStart w:id="57" w:name="_Toc44691166"/>
      <w:bookmarkStart w:id="58" w:name="_Toc44691398"/>
      <w:r>
        <w:rPr>
          <w:rFonts w:hint="eastAsia" w:asciiTheme="minorEastAsia" w:hAnsiTheme="minorEastAsia" w:eastAsiaTheme="minorEastAsia"/>
          <w:sz w:val="24"/>
        </w:rPr>
        <w:t>格式5  报价表</w:t>
      </w:r>
      <w:bookmarkEnd w:id="55"/>
      <w:bookmarkEnd w:id="56"/>
      <w:bookmarkEnd w:id="57"/>
      <w:bookmarkEnd w:id="58"/>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8"/>
        <w:adjustRightInd w:val="0"/>
        <w:snapToGrid w:val="0"/>
        <w:spacing w:line="312" w:lineRule="auto"/>
        <w:jc w:val="center"/>
        <w:rPr>
          <w:rFonts w:ascii="Times New Roman" w:hAnsi="Times New Roman"/>
          <w:b/>
          <w:sz w:val="28"/>
        </w:rPr>
      </w:pPr>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9" w:name="_Toc44690708"/>
      <w:bookmarkStart w:id="60" w:name="_Toc44690435"/>
      <w:bookmarkStart w:id="61" w:name="_Toc44691399"/>
      <w:bookmarkStart w:id="62" w:name="_Toc44691167"/>
      <w:r>
        <w:rPr>
          <w:rFonts w:hint="eastAsia" w:asciiTheme="minorEastAsia" w:hAnsiTheme="minorEastAsia" w:eastAsiaTheme="minorEastAsia"/>
          <w:sz w:val="24"/>
        </w:rPr>
        <w:t>格式6  服务方案</w:t>
      </w:r>
      <w:bookmarkEnd w:id="59"/>
      <w:bookmarkEnd w:id="60"/>
      <w:bookmarkEnd w:id="61"/>
      <w:bookmarkEnd w:id="62"/>
    </w:p>
    <w:p>
      <w:pPr>
        <w:pStyle w:val="8"/>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szCs w:val="21"/>
        </w:rPr>
        <w:t>项目重点难点分析、应对措施及相关的合理化建议</w:t>
      </w:r>
    </w:p>
    <w:p>
      <w:pPr>
        <w:spacing w:line="360" w:lineRule="auto"/>
        <w:ind w:firstLine="420" w:firstLineChars="200"/>
        <w:rPr>
          <w:rFonts w:ascii="宋体" w:hAnsi="宋体" w:cs="宋体"/>
          <w:szCs w:val="21"/>
        </w:rPr>
      </w:pPr>
      <w:r>
        <w:rPr>
          <w:rFonts w:hint="eastAsia" w:ascii="宋体" w:hAnsi="宋体" w:cs="宋体"/>
          <w:szCs w:val="21"/>
        </w:rPr>
        <w:t>3、质量（完成时间、安全、环保）保障措施及方案</w:t>
      </w:r>
    </w:p>
    <w:p>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ascii="宋体" w:hAnsi="宋体"/>
          <w:bCs/>
        </w:rPr>
      </w:pPr>
      <w:r>
        <w:rPr>
          <w:rFonts w:hint="eastAsia" w:ascii="宋体" w:hAnsi="宋体"/>
          <w:bCs/>
        </w:rPr>
        <w:t>6、投标人认为必要的其他方案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snapToGrid w:val="0"/>
          <w:kern w:val="0"/>
        </w:rPr>
      </w:pPr>
      <w:r>
        <w:rPr>
          <w:snapToGrid w:val="0"/>
          <w:kern w:val="0"/>
        </w:rPr>
        <w:br w:type="page"/>
      </w: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7</w:t>
      </w:r>
      <w:r>
        <w:rPr>
          <w:rFonts w:asciiTheme="minorEastAsia" w:hAnsiTheme="minorEastAsia" w:eastAsiaTheme="minorEastAsia"/>
          <w:sz w:val="24"/>
        </w:rPr>
        <w:t xml:space="preserve">  </w:t>
      </w:r>
      <w:r>
        <w:rPr>
          <w:rFonts w:hint="eastAsia" w:asciiTheme="minorEastAsia" w:hAnsiTheme="minorEastAsia" w:eastAsiaTheme="minorEastAsia"/>
          <w:sz w:val="24"/>
        </w:rPr>
        <w:t>投标人资格声明</w:t>
      </w:r>
    </w:p>
    <w:p/>
    <w:p>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4"/>
        <w:spacing w:before="0"/>
        <w:rPr>
          <w:rFonts w:ascii="宋体" w:hAnsi="宋体"/>
          <w:sz w:val="28"/>
        </w:rPr>
      </w:pPr>
    </w:p>
    <w:p/>
    <w:p/>
    <w:p/>
    <w:p/>
    <w:p/>
    <w:p/>
    <w:p/>
    <w:p/>
    <w:p/>
    <w:p/>
    <w:p/>
    <w:p/>
    <w:p/>
    <w:p/>
    <w:p/>
    <w:p/>
    <w:p/>
    <w:p/>
    <w:p/>
    <w:p/>
    <w:p/>
    <w:p/>
    <w:p/>
    <w:p/>
    <w:p/>
    <w:p/>
    <w:p/>
    <w:p/>
    <w:p/>
    <w:p/>
    <w:p/>
    <w:p>
      <w:pPr>
        <w:widowControl/>
        <w:jc w:val="left"/>
      </w:pPr>
      <w:r>
        <w:br w:type="page"/>
      </w:r>
    </w:p>
    <w:p/>
    <w:p>
      <w:pPr>
        <w:jc w:val="center"/>
        <w:rPr>
          <w:b/>
          <w:bCs/>
          <w:sz w:val="28"/>
        </w:rPr>
      </w:pPr>
      <w:r>
        <w:rPr>
          <w:rFonts w:hint="eastAsia"/>
          <w:b/>
          <w:bCs/>
          <w:sz w:val="28"/>
        </w:rPr>
        <w:t>投标人资格声明</w:t>
      </w:r>
    </w:p>
    <w:p>
      <w:pPr>
        <w:snapToGrid w:val="0"/>
        <w:spacing w:line="300" w:lineRule="auto"/>
        <w:rPr>
          <w:rFonts w:ascii="宋体" w:hAnsi="宋体"/>
        </w:rPr>
      </w:pPr>
    </w:p>
    <w:p>
      <w:pPr>
        <w:snapToGrid w:val="0"/>
        <w:spacing w:line="300" w:lineRule="auto"/>
        <w:rPr>
          <w:rFonts w:ascii="宋体" w:hAnsi="宋体"/>
        </w:rPr>
      </w:pPr>
      <w:r>
        <w:rPr>
          <w:rFonts w:hint="eastAsia" w:ascii="宋体" w:hAnsi="宋体"/>
        </w:rPr>
        <w:t>1、名称及其它情况：</w:t>
      </w:r>
    </w:p>
    <w:p>
      <w:pPr>
        <w:snapToGrid w:val="0"/>
        <w:spacing w:line="300" w:lineRule="auto"/>
        <w:ind w:left="420"/>
        <w:rPr>
          <w:rFonts w:ascii="宋体" w:hAnsi="宋体"/>
          <w:u w:val="single"/>
        </w:rPr>
      </w:pPr>
      <w:r>
        <w:rPr>
          <w:rFonts w:hint="eastAsia" w:ascii="宋体" w:hAnsi="宋体"/>
        </w:rPr>
        <w:t>⑴、名称：</w:t>
      </w:r>
      <w:r>
        <w:rPr>
          <w:rFonts w:hint="eastAsia" w:ascii="宋体" w:hAnsi="宋体"/>
          <w:u w:val="single"/>
        </w:rPr>
        <w:t xml:space="preserve">                                 </w:t>
      </w:r>
    </w:p>
    <w:p>
      <w:pPr>
        <w:snapToGrid w:val="0"/>
        <w:spacing w:line="300" w:lineRule="auto"/>
        <w:ind w:left="420"/>
        <w:rPr>
          <w:rFonts w:ascii="宋体" w:hAnsi="宋体"/>
          <w:bCs/>
        </w:rPr>
      </w:pPr>
      <w:r>
        <w:rPr>
          <w:rFonts w:hint="eastAsia" w:ascii="宋体" w:hAnsi="宋体"/>
          <w:bCs/>
        </w:rPr>
        <w:t>⑵、地址：</w:t>
      </w:r>
      <w:r>
        <w:rPr>
          <w:rFonts w:hint="eastAsia" w:ascii="宋体" w:hAnsi="宋体"/>
          <w:b/>
          <w:u w:val="single"/>
        </w:rPr>
        <w:t xml:space="preserve">                                        </w:t>
      </w:r>
      <w:r>
        <w:rPr>
          <w:rFonts w:hint="eastAsia" w:ascii="宋体" w:hAnsi="宋体"/>
          <w:bCs/>
          <w:u w:val="single"/>
        </w:rPr>
        <w:t xml:space="preserve"> </w:t>
      </w:r>
    </w:p>
    <w:p>
      <w:pPr>
        <w:snapToGrid w:val="0"/>
        <w:spacing w:line="300" w:lineRule="auto"/>
        <w:ind w:left="420"/>
        <w:rPr>
          <w:rFonts w:ascii="宋体" w:hAnsi="宋体"/>
          <w:b/>
          <w:u w:val="single"/>
        </w:rPr>
      </w:pPr>
      <w:r>
        <w:rPr>
          <w:rFonts w:hint="eastAsia" w:ascii="宋体" w:hAnsi="宋体"/>
          <w:bCs/>
        </w:rPr>
        <w:t>⑶、成立和/或注册日期：</w:t>
      </w:r>
      <w:r>
        <w:rPr>
          <w:rFonts w:hint="eastAsia" w:ascii="宋体" w:hAnsi="宋体"/>
          <w:b/>
          <w:u w:val="single"/>
        </w:rPr>
        <w:t xml:space="preserve">                            </w:t>
      </w:r>
    </w:p>
    <w:p>
      <w:pPr>
        <w:snapToGrid w:val="0"/>
        <w:spacing w:line="300" w:lineRule="auto"/>
        <w:ind w:firstLine="420" w:firstLineChars="200"/>
        <w:rPr>
          <w:rFonts w:ascii="宋体" w:hAnsi="宋体"/>
          <w:b/>
          <w:u w:val="single"/>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4 \* GB2</w:instrText>
      </w:r>
      <w:r>
        <w:rPr>
          <w:rFonts w:ascii="宋体" w:hAnsi="宋体"/>
          <w:bCs/>
        </w:rPr>
        <w:instrText xml:space="preserve">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r>
        <w:rPr>
          <w:rFonts w:hint="eastAsia" w:ascii="宋体" w:hAnsi="宋体"/>
          <w:b/>
          <w:u w:val="single"/>
        </w:rPr>
        <w:t xml:space="preserve">                                     </w:t>
      </w:r>
    </w:p>
    <w:p>
      <w:pPr>
        <w:snapToGrid w:val="0"/>
        <w:spacing w:line="300" w:lineRule="auto"/>
        <w:ind w:left="708" w:hanging="707" w:hangingChars="337"/>
        <w:rPr>
          <w:rFonts w:ascii="宋体" w:hAnsi="宋体"/>
          <w:bCs/>
        </w:rPr>
      </w:pPr>
      <w:r>
        <w:rPr>
          <w:rFonts w:hint="eastAsia" w:ascii="宋体" w:hAnsi="宋体"/>
          <w:bCs/>
        </w:rPr>
        <w:t>2、近三年主要客户的名称和地址：</w:t>
      </w:r>
    </w:p>
    <w:p>
      <w:pPr>
        <w:snapToGrid w:val="0"/>
        <w:spacing w:line="300" w:lineRule="auto"/>
        <w:ind w:left="990"/>
        <w:rPr>
          <w:rFonts w:ascii="宋体" w:hAnsi="宋体"/>
          <w:bCs/>
        </w:rPr>
      </w:pPr>
      <w:r>
        <w:rPr>
          <w:rFonts w:hint="eastAsia" w:ascii="宋体" w:hAnsi="宋体"/>
          <w:bCs/>
        </w:rPr>
        <w:t>名称和地址                           项目名称</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rPr>
        <w:t xml:space="preserve">   </w:t>
      </w:r>
      <w:r>
        <w:rPr>
          <w:rFonts w:hint="eastAsia" w:ascii="宋体" w:hAnsi="宋体"/>
          <w:b/>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3、近三年的营业额：</w:t>
      </w:r>
    </w:p>
    <w:p>
      <w:pPr>
        <w:snapToGrid w:val="0"/>
        <w:spacing w:line="300" w:lineRule="auto"/>
        <w:ind w:firstLine="420" w:firstLineChars="200"/>
        <w:rPr>
          <w:rFonts w:ascii="宋体" w:hAnsi="宋体"/>
          <w:bCs/>
        </w:rPr>
      </w:pPr>
      <w:r>
        <w:rPr>
          <w:rFonts w:hint="eastAsia" w:ascii="宋体" w:hAnsi="宋体"/>
          <w:bCs/>
        </w:rPr>
        <w:t>年份                国内                    国外                  总额</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4、有关开户银行的名称和地址：</w:t>
      </w:r>
      <w:r>
        <w:rPr>
          <w:rFonts w:hint="eastAsia" w:ascii="宋体" w:hAnsi="宋体"/>
          <w:bCs/>
          <w:u w:val="single"/>
        </w:rPr>
        <w:t xml:space="preserve">                                                    </w:t>
      </w:r>
      <w:r>
        <w:rPr>
          <w:rFonts w:hint="eastAsia" w:ascii="宋体" w:hAnsi="宋体"/>
          <w:bCs/>
        </w:rPr>
        <w:t xml:space="preserve"> </w:t>
      </w:r>
    </w:p>
    <w:p>
      <w:pPr>
        <w:snapToGrid w:val="0"/>
        <w:spacing w:line="300" w:lineRule="auto"/>
        <w:rPr>
          <w:rFonts w:ascii="宋体" w:hAnsi="宋体"/>
          <w:b/>
          <w:u w:val="single"/>
        </w:rPr>
      </w:pPr>
      <w:r>
        <w:rPr>
          <w:rFonts w:hint="eastAsia" w:ascii="宋体" w:hAnsi="宋体"/>
          <w:bCs/>
        </w:rPr>
        <w:t>5、其他情况：</w:t>
      </w:r>
      <w:r>
        <w:rPr>
          <w:rFonts w:hint="eastAsia" w:ascii="宋体" w:hAnsi="宋体"/>
          <w:bCs/>
          <w:u w:val="single"/>
        </w:rPr>
        <w:t xml:space="preserve">                                                                    </w:t>
      </w:r>
    </w:p>
    <w:p>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pPr>
        <w:snapToGrid w:val="0"/>
        <w:spacing w:line="300" w:lineRule="auto"/>
        <w:ind w:left="560"/>
        <w:rPr>
          <w:rFonts w:ascii="宋体" w:hAnsi="宋体"/>
          <w:bCs/>
        </w:rPr>
      </w:pPr>
    </w:p>
    <w:p>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名称（加盖公章）：</w:t>
      </w:r>
      <w:r>
        <w:rPr>
          <w:rFonts w:hint="eastAsia" w:ascii="宋体" w:hAnsi="宋体"/>
          <w:b/>
          <w:u w:val="single"/>
        </w:rPr>
        <w:t xml:space="preserve">                     </w:t>
      </w:r>
    </w:p>
    <w:p>
      <w:pPr>
        <w:snapToGrid w:val="0"/>
        <w:spacing w:line="300" w:lineRule="auto"/>
        <w:ind w:left="560"/>
        <w:rPr>
          <w:rFonts w:ascii="宋体" w:hAnsi="宋体"/>
          <w:bCs/>
          <w:u w:val="single"/>
        </w:rPr>
      </w:pPr>
      <w:r>
        <w:rPr>
          <w:rFonts w:hint="eastAsia" w:ascii="宋体" w:hAnsi="宋体"/>
          <w:bCs/>
        </w:rPr>
        <w:t>授权代表或法定代表人签字：</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授权代表的职务：</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电话：</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传真：</w:t>
      </w:r>
      <w:r>
        <w:rPr>
          <w:rFonts w:hint="eastAsia" w:ascii="宋体" w:hAnsi="宋体"/>
          <w:bCs/>
          <w:u w:val="single"/>
        </w:rPr>
        <w:t xml:space="preserve">                             </w:t>
      </w:r>
    </w:p>
    <w:p>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r>
        <w:rPr>
          <w:rFonts w:hint="eastAsia" w:ascii="宋体" w:hAnsi="宋体"/>
          <w:bCs/>
        </w:rPr>
        <w:t xml:space="preserve"> </w:t>
      </w:r>
    </w:p>
    <w:p/>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3" w:name="_Toc44690436"/>
      <w:bookmarkStart w:id="64" w:name="_Toc44691400"/>
      <w:bookmarkStart w:id="65" w:name="_Toc44691168"/>
      <w:bookmarkStart w:id="66" w:name="_Toc44690709"/>
      <w:r>
        <w:rPr>
          <w:rFonts w:hint="eastAsia" w:asciiTheme="minorEastAsia" w:hAnsiTheme="minorEastAsia" w:eastAsiaTheme="minorEastAsia"/>
          <w:sz w:val="24"/>
        </w:rPr>
        <w:t>格式8  偏离表</w:t>
      </w:r>
      <w:bookmarkEnd w:id="63"/>
      <w:bookmarkEnd w:id="64"/>
      <w:bookmarkEnd w:id="65"/>
      <w:bookmarkEnd w:id="66"/>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如需附证明文件，应在此栏填写证明文件对应名称和页码。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如需附证明文件，应在此栏填写证明文件对应名称和页码。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内容不符合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”栏中对偏离表中相关条款作出响应情况描述，“偏离情况”栏中根据响应情况填写，没有达到要求的填“负偏离”，达到要求的填“无偏离”，优于要求的填“正偏离”</w:t>
      </w:r>
      <w:r>
        <w:rPr>
          <w:rFonts w:hint="eastAsia" w:cs="Arial" w:asciiTheme="minorEastAsia" w:hAnsiTheme="minorEastAsia" w:eastAsiaTheme="minorEastAsia"/>
          <w:bCs/>
          <w:szCs w:val="21"/>
        </w:rPr>
        <w:t>。</w:t>
      </w:r>
    </w:p>
    <w:p>
      <w:pPr>
        <w:snapToGrid w:val="0"/>
        <w:spacing w:line="360" w:lineRule="auto"/>
        <w:jc w:val="center"/>
      </w:pP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widowControl/>
        <w:jc w:val="left"/>
        <w:rPr>
          <w:snapToGrid w:val="0"/>
          <w:kern w:val="0"/>
        </w:rPr>
      </w:pPr>
      <w:r>
        <w:rPr>
          <w:snapToGrid w:val="0"/>
          <w:kern w:val="0"/>
        </w:rPr>
        <w:br w:type="page"/>
      </w:r>
    </w:p>
    <w:p>
      <w:pPr>
        <w:adjustRightInd w:val="0"/>
        <w:snapToGrid w:val="0"/>
        <w:spacing w:line="300" w:lineRule="auto"/>
        <w:jc w:val="left"/>
        <w:rPr>
          <w:snapToGrid w:val="0"/>
          <w:kern w:val="0"/>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7" w:name="q17"/>
      <w:bookmarkEnd w:id="67"/>
      <w:bookmarkStart w:id="68" w:name="q16"/>
      <w:bookmarkEnd w:id="68"/>
      <w:bookmarkStart w:id="69" w:name="_格式5__"/>
      <w:bookmarkEnd w:id="69"/>
      <w:bookmarkStart w:id="70" w:name="q15"/>
      <w:bookmarkEnd w:id="70"/>
      <w:bookmarkStart w:id="71" w:name="_格式2__投标保证金凭证"/>
      <w:bookmarkEnd w:id="71"/>
      <w:bookmarkStart w:id="72" w:name="_格式4__"/>
      <w:bookmarkEnd w:id="72"/>
      <w:bookmarkStart w:id="73" w:name="_格式3__"/>
      <w:bookmarkEnd w:id="73"/>
      <w:r>
        <w:rPr>
          <w:rFonts w:asciiTheme="minorEastAsia" w:hAnsiTheme="minorEastAsia" w:eastAsiaTheme="minorEastAsia"/>
          <w:sz w:val="24"/>
        </w:rPr>
        <w:tab/>
      </w:r>
      <w:bookmarkStart w:id="74" w:name="_Toc44691401"/>
      <w:bookmarkStart w:id="75" w:name="_Toc44691169"/>
      <w:bookmarkStart w:id="76" w:name="_Toc44690437"/>
      <w:bookmarkStart w:id="77" w:name="_Toc44690710"/>
      <w:r>
        <w:rPr>
          <w:rFonts w:hint="eastAsia" w:asciiTheme="minorEastAsia" w:hAnsiTheme="minorEastAsia" w:eastAsiaTheme="minorEastAsia"/>
          <w:sz w:val="24"/>
        </w:rPr>
        <w:t xml:space="preserve">格式9  </w:t>
      </w:r>
      <w:bookmarkEnd w:id="74"/>
      <w:bookmarkEnd w:id="75"/>
      <w:bookmarkEnd w:id="76"/>
      <w:bookmarkEnd w:id="77"/>
      <w:r>
        <w:rPr>
          <w:rFonts w:hint="eastAsia" w:asciiTheme="minorEastAsia" w:hAnsiTheme="minorEastAsia" w:eastAsiaTheme="minorEastAsia"/>
          <w:sz w:val="24"/>
        </w:rPr>
        <w:t>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3"/>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pStyle w:val="3"/>
      </w:pPr>
      <w:bookmarkStart w:id="78" w:name="_Toc45030762"/>
      <w:r>
        <w:rPr>
          <w:rFonts w:hint="eastAsia"/>
        </w:rPr>
        <w:t>第八章  合同条款</w:t>
      </w:r>
      <w:bookmarkEnd w:id="78"/>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根据《中华人民共和国政府采购法》、《深圳经济特区政府采购条例》、《中华人民共和国合同法》之规定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1、《中标/成交通知书》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modern"/>
    <w:pitch w:val="default"/>
    <w:sig w:usb0="00000000" w:usb1="00000000" w:usb2="0000001E" w:usb3="00000000" w:csb0="00040000" w:csb1="0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13</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u w:val="single"/>
      </w:rPr>
    </w:pPr>
    <w:r>
      <w:tab/>
    </w:r>
    <w:r>
      <w:rPr>
        <w:rFonts w:hint="eastAsia"/>
      </w:rPr>
      <w:t xml:space="preserve">项目名称：深圳市学校校园安保服务项目                  </w:t>
    </w:r>
    <w:r>
      <w:rPr>
        <w:rFonts w:hint="eastAsia"/>
        <w:lang w:val="en-US" w:eastAsia="zh-CN"/>
      </w:rPr>
      <w:t xml:space="preserve">                           </w:t>
    </w:r>
    <w:r>
      <w:rPr>
        <w:rFonts w:hint="eastAsia"/>
      </w:rPr>
      <w:t>项目编号：FTDL2021182919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9B422"/>
    <w:multiLevelType w:val="singleLevel"/>
    <w:tmpl w:val="BD79B422"/>
    <w:lvl w:ilvl="0" w:tentative="0">
      <w:start w:val="1"/>
      <w:numFmt w:val="decimal"/>
      <w:lvlText w:val="%1."/>
      <w:lvlJc w:val="left"/>
      <w:pPr>
        <w:ind w:left="425" w:hanging="425"/>
      </w:pPr>
    </w:lvl>
  </w:abstractNum>
  <w:abstractNum w:abstractNumId="1">
    <w:nsid w:val="D589DEC5"/>
    <w:multiLevelType w:val="singleLevel"/>
    <w:tmpl w:val="D589DEC5"/>
    <w:lvl w:ilvl="0" w:tentative="0">
      <w:start w:val="2"/>
      <w:numFmt w:val="decimal"/>
      <w:suff w:val="nothing"/>
      <w:lvlText w:val="（%1）"/>
      <w:lvlJc w:val="left"/>
    </w:lvl>
  </w:abstractNum>
  <w:abstractNum w:abstractNumId="2">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57A028E8"/>
    <w:multiLevelType w:val="singleLevel"/>
    <w:tmpl w:val="57A028E8"/>
    <w:lvl w:ilvl="0" w:tentative="0">
      <w:start w:val="1"/>
      <w:numFmt w:val="chineseCounting"/>
      <w:suff w:val="nothing"/>
      <w:lvlText w:val="（%1）"/>
      <w:lvlJc w:val="left"/>
      <w:pPr>
        <w:ind w:left="0" w:firstLine="42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34D"/>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B8D"/>
    <w:rsid w:val="00010DC3"/>
    <w:rsid w:val="00011A45"/>
    <w:rsid w:val="00011AAF"/>
    <w:rsid w:val="00012A6E"/>
    <w:rsid w:val="00012BC4"/>
    <w:rsid w:val="00012F81"/>
    <w:rsid w:val="00014515"/>
    <w:rsid w:val="000145C2"/>
    <w:rsid w:val="00014625"/>
    <w:rsid w:val="00015940"/>
    <w:rsid w:val="00015AF5"/>
    <w:rsid w:val="00016458"/>
    <w:rsid w:val="000165EF"/>
    <w:rsid w:val="00016FC3"/>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60526"/>
    <w:rsid w:val="00061C10"/>
    <w:rsid w:val="000621B0"/>
    <w:rsid w:val="00062570"/>
    <w:rsid w:val="0006264D"/>
    <w:rsid w:val="0006301D"/>
    <w:rsid w:val="00064787"/>
    <w:rsid w:val="00064A61"/>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80168"/>
    <w:rsid w:val="00080188"/>
    <w:rsid w:val="00080A90"/>
    <w:rsid w:val="00081B06"/>
    <w:rsid w:val="000820E6"/>
    <w:rsid w:val="000825F6"/>
    <w:rsid w:val="00082956"/>
    <w:rsid w:val="00082ABE"/>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87B"/>
    <w:rsid w:val="00091CAC"/>
    <w:rsid w:val="00092BD5"/>
    <w:rsid w:val="00095198"/>
    <w:rsid w:val="00095806"/>
    <w:rsid w:val="00095F61"/>
    <w:rsid w:val="00096CE6"/>
    <w:rsid w:val="00097B04"/>
    <w:rsid w:val="000A0ABE"/>
    <w:rsid w:val="000A0DC0"/>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1B95"/>
    <w:rsid w:val="000C299D"/>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2030F"/>
    <w:rsid w:val="00120AB4"/>
    <w:rsid w:val="00120BE1"/>
    <w:rsid w:val="0012174B"/>
    <w:rsid w:val="00121A55"/>
    <w:rsid w:val="00121C20"/>
    <w:rsid w:val="00121DE5"/>
    <w:rsid w:val="00123367"/>
    <w:rsid w:val="00123AC2"/>
    <w:rsid w:val="00123EA6"/>
    <w:rsid w:val="00124206"/>
    <w:rsid w:val="0012537B"/>
    <w:rsid w:val="0012558C"/>
    <w:rsid w:val="0012714F"/>
    <w:rsid w:val="00127915"/>
    <w:rsid w:val="00130693"/>
    <w:rsid w:val="00130801"/>
    <w:rsid w:val="00130A8C"/>
    <w:rsid w:val="001310AA"/>
    <w:rsid w:val="00132670"/>
    <w:rsid w:val="001328E9"/>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50A4"/>
    <w:rsid w:val="001864FF"/>
    <w:rsid w:val="00187B3E"/>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A31"/>
    <w:rsid w:val="001B2D49"/>
    <w:rsid w:val="001B5B42"/>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E14"/>
    <w:rsid w:val="001F37E0"/>
    <w:rsid w:val="001F3A0C"/>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5C71"/>
    <w:rsid w:val="002070C1"/>
    <w:rsid w:val="0020717B"/>
    <w:rsid w:val="00207262"/>
    <w:rsid w:val="00207468"/>
    <w:rsid w:val="00207844"/>
    <w:rsid w:val="00210436"/>
    <w:rsid w:val="0021043B"/>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316C"/>
    <w:rsid w:val="00233EA8"/>
    <w:rsid w:val="00233EE9"/>
    <w:rsid w:val="00235237"/>
    <w:rsid w:val="00235CCD"/>
    <w:rsid w:val="0023602F"/>
    <w:rsid w:val="00236048"/>
    <w:rsid w:val="002362ED"/>
    <w:rsid w:val="00237036"/>
    <w:rsid w:val="002372AC"/>
    <w:rsid w:val="00237A33"/>
    <w:rsid w:val="00237F7F"/>
    <w:rsid w:val="00240B0F"/>
    <w:rsid w:val="00240E54"/>
    <w:rsid w:val="00241314"/>
    <w:rsid w:val="00241BD9"/>
    <w:rsid w:val="00242B67"/>
    <w:rsid w:val="00243381"/>
    <w:rsid w:val="00243EFD"/>
    <w:rsid w:val="002442A5"/>
    <w:rsid w:val="00244AF3"/>
    <w:rsid w:val="00244EFB"/>
    <w:rsid w:val="00245008"/>
    <w:rsid w:val="002451ED"/>
    <w:rsid w:val="002458E4"/>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935"/>
    <w:rsid w:val="00270B8F"/>
    <w:rsid w:val="00271B39"/>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B63"/>
    <w:rsid w:val="002F3765"/>
    <w:rsid w:val="002F3F28"/>
    <w:rsid w:val="002F44A0"/>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4CB"/>
    <w:rsid w:val="00337D7C"/>
    <w:rsid w:val="00340445"/>
    <w:rsid w:val="00342A4E"/>
    <w:rsid w:val="00342BAE"/>
    <w:rsid w:val="003431F0"/>
    <w:rsid w:val="00344388"/>
    <w:rsid w:val="00345AD6"/>
    <w:rsid w:val="00345E2A"/>
    <w:rsid w:val="00345F25"/>
    <w:rsid w:val="00346772"/>
    <w:rsid w:val="00346E05"/>
    <w:rsid w:val="00351F42"/>
    <w:rsid w:val="00352BC1"/>
    <w:rsid w:val="00352F19"/>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EC"/>
    <w:rsid w:val="003847A5"/>
    <w:rsid w:val="00385229"/>
    <w:rsid w:val="003853E7"/>
    <w:rsid w:val="00385433"/>
    <w:rsid w:val="00387884"/>
    <w:rsid w:val="00387F66"/>
    <w:rsid w:val="0039022F"/>
    <w:rsid w:val="0039048F"/>
    <w:rsid w:val="003909DB"/>
    <w:rsid w:val="00391591"/>
    <w:rsid w:val="00392999"/>
    <w:rsid w:val="00392B88"/>
    <w:rsid w:val="00392CF1"/>
    <w:rsid w:val="00393028"/>
    <w:rsid w:val="0039313E"/>
    <w:rsid w:val="003934F9"/>
    <w:rsid w:val="00394848"/>
    <w:rsid w:val="00394A73"/>
    <w:rsid w:val="00394CBF"/>
    <w:rsid w:val="00394D1B"/>
    <w:rsid w:val="00394EA1"/>
    <w:rsid w:val="00395AE1"/>
    <w:rsid w:val="003960EC"/>
    <w:rsid w:val="00396A2D"/>
    <w:rsid w:val="0039729C"/>
    <w:rsid w:val="00397BFA"/>
    <w:rsid w:val="003A03CE"/>
    <w:rsid w:val="003A0BE4"/>
    <w:rsid w:val="003A1771"/>
    <w:rsid w:val="003A1D06"/>
    <w:rsid w:val="003A1F30"/>
    <w:rsid w:val="003A236B"/>
    <w:rsid w:val="003A268D"/>
    <w:rsid w:val="003A2908"/>
    <w:rsid w:val="003A3C39"/>
    <w:rsid w:val="003A3CAC"/>
    <w:rsid w:val="003A407A"/>
    <w:rsid w:val="003A44F3"/>
    <w:rsid w:val="003A505C"/>
    <w:rsid w:val="003A574F"/>
    <w:rsid w:val="003A58D0"/>
    <w:rsid w:val="003A6FDB"/>
    <w:rsid w:val="003B016F"/>
    <w:rsid w:val="003B01FA"/>
    <w:rsid w:val="003B0A1B"/>
    <w:rsid w:val="003B1B85"/>
    <w:rsid w:val="003B2926"/>
    <w:rsid w:val="003B3713"/>
    <w:rsid w:val="003B3AA5"/>
    <w:rsid w:val="003B445F"/>
    <w:rsid w:val="003B4982"/>
    <w:rsid w:val="003B4B46"/>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61A4"/>
    <w:rsid w:val="004061E0"/>
    <w:rsid w:val="0040632D"/>
    <w:rsid w:val="00407B04"/>
    <w:rsid w:val="00407BC7"/>
    <w:rsid w:val="00410BE7"/>
    <w:rsid w:val="00410D26"/>
    <w:rsid w:val="0041105B"/>
    <w:rsid w:val="004124E8"/>
    <w:rsid w:val="00413625"/>
    <w:rsid w:val="00413998"/>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BF1"/>
    <w:rsid w:val="004304D3"/>
    <w:rsid w:val="00430640"/>
    <w:rsid w:val="00430E30"/>
    <w:rsid w:val="00431315"/>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365F"/>
    <w:rsid w:val="00474CD6"/>
    <w:rsid w:val="004751E7"/>
    <w:rsid w:val="0047562B"/>
    <w:rsid w:val="00475D1D"/>
    <w:rsid w:val="00477276"/>
    <w:rsid w:val="004776B9"/>
    <w:rsid w:val="00477C17"/>
    <w:rsid w:val="004813C6"/>
    <w:rsid w:val="00481B7C"/>
    <w:rsid w:val="00482DF6"/>
    <w:rsid w:val="0048578C"/>
    <w:rsid w:val="00485872"/>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65E"/>
    <w:rsid w:val="004A59A4"/>
    <w:rsid w:val="004A6727"/>
    <w:rsid w:val="004A6981"/>
    <w:rsid w:val="004A6E06"/>
    <w:rsid w:val="004A73C9"/>
    <w:rsid w:val="004A7475"/>
    <w:rsid w:val="004A7F95"/>
    <w:rsid w:val="004B261D"/>
    <w:rsid w:val="004B35DD"/>
    <w:rsid w:val="004B4608"/>
    <w:rsid w:val="004C1447"/>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76E"/>
    <w:rsid w:val="004D241E"/>
    <w:rsid w:val="004D411E"/>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345A"/>
    <w:rsid w:val="004E3F06"/>
    <w:rsid w:val="004E4394"/>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40796"/>
    <w:rsid w:val="005408EA"/>
    <w:rsid w:val="00540B90"/>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2D6"/>
    <w:rsid w:val="00562AD4"/>
    <w:rsid w:val="00563583"/>
    <w:rsid w:val="005635DB"/>
    <w:rsid w:val="00563722"/>
    <w:rsid w:val="00565126"/>
    <w:rsid w:val="0056605B"/>
    <w:rsid w:val="005664D0"/>
    <w:rsid w:val="00566509"/>
    <w:rsid w:val="00566C96"/>
    <w:rsid w:val="0056736F"/>
    <w:rsid w:val="005705DB"/>
    <w:rsid w:val="005709EF"/>
    <w:rsid w:val="0057109F"/>
    <w:rsid w:val="00571971"/>
    <w:rsid w:val="005721D9"/>
    <w:rsid w:val="00572770"/>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5C02"/>
    <w:rsid w:val="005A6614"/>
    <w:rsid w:val="005A66D1"/>
    <w:rsid w:val="005A708D"/>
    <w:rsid w:val="005A7559"/>
    <w:rsid w:val="005A7587"/>
    <w:rsid w:val="005B1ADB"/>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CAD"/>
    <w:rsid w:val="00634E82"/>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B2F"/>
    <w:rsid w:val="00646FF5"/>
    <w:rsid w:val="00647CD3"/>
    <w:rsid w:val="0065022E"/>
    <w:rsid w:val="00650398"/>
    <w:rsid w:val="0065047A"/>
    <w:rsid w:val="006510E7"/>
    <w:rsid w:val="00651D1E"/>
    <w:rsid w:val="006524CF"/>
    <w:rsid w:val="00652AB2"/>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6955"/>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1022"/>
    <w:rsid w:val="00701092"/>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6559"/>
    <w:rsid w:val="00716C9E"/>
    <w:rsid w:val="007205F0"/>
    <w:rsid w:val="0072127E"/>
    <w:rsid w:val="007215B3"/>
    <w:rsid w:val="0072271B"/>
    <w:rsid w:val="00722DF7"/>
    <w:rsid w:val="00723C90"/>
    <w:rsid w:val="0072460F"/>
    <w:rsid w:val="00724702"/>
    <w:rsid w:val="007247CF"/>
    <w:rsid w:val="00724AD9"/>
    <w:rsid w:val="007258FF"/>
    <w:rsid w:val="00725EFC"/>
    <w:rsid w:val="00725FAB"/>
    <w:rsid w:val="007264FB"/>
    <w:rsid w:val="00727237"/>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3F"/>
    <w:rsid w:val="00755E79"/>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850"/>
    <w:rsid w:val="00775910"/>
    <w:rsid w:val="00776534"/>
    <w:rsid w:val="007768AE"/>
    <w:rsid w:val="00776F7B"/>
    <w:rsid w:val="00777322"/>
    <w:rsid w:val="00777C1D"/>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41F"/>
    <w:rsid w:val="007A26FB"/>
    <w:rsid w:val="007A3506"/>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2CAB"/>
    <w:rsid w:val="00813405"/>
    <w:rsid w:val="0081357E"/>
    <w:rsid w:val="00813C9D"/>
    <w:rsid w:val="00814F99"/>
    <w:rsid w:val="008155EC"/>
    <w:rsid w:val="00815C51"/>
    <w:rsid w:val="00816BEF"/>
    <w:rsid w:val="00816D29"/>
    <w:rsid w:val="008179EA"/>
    <w:rsid w:val="00817F99"/>
    <w:rsid w:val="0082025A"/>
    <w:rsid w:val="0082096A"/>
    <w:rsid w:val="00820DEF"/>
    <w:rsid w:val="008210EA"/>
    <w:rsid w:val="00821B46"/>
    <w:rsid w:val="008222AD"/>
    <w:rsid w:val="00822512"/>
    <w:rsid w:val="00822561"/>
    <w:rsid w:val="008225F9"/>
    <w:rsid w:val="00822D3C"/>
    <w:rsid w:val="00822FFE"/>
    <w:rsid w:val="00823691"/>
    <w:rsid w:val="008239AF"/>
    <w:rsid w:val="0082530D"/>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54F"/>
    <w:rsid w:val="00852846"/>
    <w:rsid w:val="008538E8"/>
    <w:rsid w:val="00854CBF"/>
    <w:rsid w:val="00855CB8"/>
    <w:rsid w:val="00856618"/>
    <w:rsid w:val="008566CA"/>
    <w:rsid w:val="008568C5"/>
    <w:rsid w:val="00856B2E"/>
    <w:rsid w:val="008576E8"/>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7272"/>
    <w:rsid w:val="00887AA2"/>
    <w:rsid w:val="008900AB"/>
    <w:rsid w:val="0089018B"/>
    <w:rsid w:val="008916E6"/>
    <w:rsid w:val="00891B0F"/>
    <w:rsid w:val="00892147"/>
    <w:rsid w:val="0089263D"/>
    <w:rsid w:val="008926B9"/>
    <w:rsid w:val="00892BD6"/>
    <w:rsid w:val="008935B1"/>
    <w:rsid w:val="00894579"/>
    <w:rsid w:val="00894649"/>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E6B"/>
    <w:rsid w:val="008B5768"/>
    <w:rsid w:val="008B591C"/>
    <w:rsid w:val="008B5B1F"/>
    <w:rsid w:val="008B5F93"/>
    <w:rsid w:val="008B5FD5"/>
    <w:rsid w:val="008B63BB"/>
    <w:rsid w:val="008B6948"/>
    <w:rsid w:val="008B6DA0"/>
    <w:rsid w:val="008B6E0E"/>
    <w:rsid w:val="008B6E85"/>
    <w:rsid w:val="008B761D"/>
    <w:rsid w:val="008C0190"/>
    <w:rsid w:val="008C01FF"/>
    <w:rsid w:val="008C0A9D"/>
    <w:rsid w:val="008C17E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2745"/>
    <w:rsid w:val="008D2A84"/>
    <w:rsid w:val="008D4D1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8B9"/>
    <w:rsid w:val="00906C94"/>
    <w:rsid w:val="00911100"/>
    <w:rsid w:val="009130F8"/>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59C1"/>
    <w:rsid w:val="009C6134"/>
    <w:rsid w:val="009C69CD"/>
    <w:rsid w:val="009C6D2B"/>
    <w:rsid w:val="009C7301"/>
    <w:rsid w:val="009C788F"/>
    <w:rsid w:val="009C79AB"/>
    <w:rsid w:val="009C7ACB"/>
    <w:rsid w:val="009C7EF2"/>
    <w:rsid w:val="009D135A"/>
    <w:rsid w:val="009D1A50"/>
    <w:rsid w:val="009D2F15"/>
    <w:rsid w:val="009D321C"/>
    <w:rsid w:val="009D3F25"/>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7E8"/>
    <w:rsid w:val="009E59F4"/>
    <w:rsid w:val="009E5D79"/>
    <w:rsid w:val="009E7266"/>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7BA4"/>
    <w:rsid w:val="00A207DC"/>
    <w:rsid w:val="00A20CEB"/>
    <w:rsid w:val="00A21118"/>
    <w:rsid w:val="00A22977"/>
    <w:rsid w:val="00A23A82"/>
    <w:rsid w:val="00A241F9"/>
    <w:rsid w:val="00A24437"/>
    <w:rsid w:val="00A252B6"/>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220"/>
    <w:rsid w:val="00AA4239"/>
    <w:rsid w:val="00AA4D46"/>
    <w:rsid w:val="00AA54AE"/>
    <w:rsid w:val="00AA6816"/>
    <w:rsid w:val="00AA69E5"/>
    <w:rsid w:val="00AA6D4E"/>
    <w:rsid w:val="00AA75CE"/>
    <w:rsid w:val="00AB023A"/>
    <w:rsid w:val="00AB0C43"/>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20364"/>
    <w:rsid w:val="00B211F2"/>
    <w:rsid w:val="00B2130C"/>
    <w:rsid w:val="00B215D0"/>
    <w:rsid w:val="00B21EDE"/>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7E3B"/>
    <w:rsid w:val="00B50892"/>
    <w:rsid w:val="00B51057"/>
    <w:rsid w:val="00B511ED"/>
    <w:rsid w:val="00B51602"/>
    <w:rsid w:val="00B51F21"/>
    <w:rsid w:val="00B52273"/>
    <w:rsid w:val="00B52540"/>
    <w:rsid w:val="00B53C34"/>
    <w:rsid w:val="00B53F0D"/>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638"/>
    <w:rsid w:val="00B839BC"/>
    <w:rsid w:val="00B84738"/>
    <w:rsid w:val="00B84B83"/>
    <w:rsid w:val="00B85087"/>
    <w:rsid w:val="00B853F9"/>
    <w:rsid w:val="00B860D7"/>
    <w:rsid w:val="00B868DC"/>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A7A"/>
    <w:rsid w:val="00C56BC5"/>
    <w:rsid w:val="00C572FF"/>
    <w:rsid w:val="00C57991"/>
    <w:rsid w:val="00C60B64"/>
    <w:rsid w:val="00C60D23"/>
    <w:rsid w:val="00C615B8"/>
    <w:rsid w:val="00C61AFD"/>
    <w:rsid w:val="00C62D67"/>
    <w:rsid w:val="00C6356B"/>
    <w:rsid w:val="00C652E2"/>
    <w:rsid w:val="00C653FB"/>
    <w:rsid w:val="00C65CBF"/>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F2D"/>
    <w:rsid w:val="00C83260"/>
    <w:rsid w:val="00C836F0"/>
    <w:rsid w:val="00C8398B"/>
    <w:rsid w:val="00C84318"/>
    <w:rsid w:val="00C856BE"/>
    <w:rsid w:val="00C85F2C"/>
    <w:rsid w:val="00C8734C"/>
    <w:rsid w:val="00C87A9E"/>
    <w:rsid w:val="00C904E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D7A"/>
    <w:rsid w:val="00CA3CDB"/>
    <w:rsid w:val="00CA47F5"/>
    <w:rsid w:val="00CA4CA2"/>
    <w:rsid w:val="00CA5368"/>
    <w:rsid w:val="00CA6310"/>
    <w:rsid w:val="00CB0113"/>
    <w:rsid w:val="00CB058C"/>
    <w:rsid w:val="00CB0939"/>
    <w:rsid w:val="00CB0BE4"/>
    <w:rsid w:val="00CB121D"/>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AD4"/>
    <w:rsid w:val="00D52DBB"/>
    <w:rsid w:val="00D54B76"/>
    <w:rsid w:val="00D54E08"/>
    <w:rsid w:val="00D5508A"/>
    <w:rsid w:val="00D55828"/>
    <w:rsid w:val="00D55C1D"/>
    <w:rsid w:val="00D55FD4"/>
    <w:rsid w:val="00D56305"/>
    <w:rsid w:val="00D566F1"/>
    <w:rsid w:val="00D57388"/>
    <w:rsid w:val="00D61A0D"/>
    <w:rsid w:val="00D63F0E"/>
    <w:rsid w:val="00D63F45"/>
    <w:rsid w:val="00D64048"/>
    <w:rsid w:val="00D645A6"/>
    <w:rsid w:val="00D64E9D"/>
    <w:rsid w:val="00D65A11"/>
    <w:rsid w:val="00D65B91"/>
    <w:rsid w:val="00D66CD5"/>
    <w:rsid w:val="00D6707F"/>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7FE"/>
    <w:rsid w:val="00D86F69"/>
    <w:rsid w:val="00D86F82"/>
    <w:rsid w:val="00D87458"/>
    <w:rsid w:val="00D87A7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6B3"/>
    <w:rsid w:val="00DA2FCF"/>
    <w:rsid w:val="00DA3113"/>
    <w:rsid w:val="00DA3199"/>
    <w:rsid w:val="00DA38EC"/>
    <w:rsid w:val="00DA3AAC"/>
    <w:rsid w:val="00DA43EB"/>
    <w:rsid w:val="00DA445E"/>
    <w:rsid w:val="00DA465F"/>
    <w:rsid w:val="00DA4823"/>
    <w:rsid w:val="00DA4E2E"/>
    <w:rsid w:val="00DA4E74"/>
    <w:rsid w:val="00DA518C"/>
    <w:rsid w:val="00DA5A21"/>
    <w:rsid w:val="00DA5B16"/>
    <w:rsid w:val="00DA6B9A"/>
    <w:rsid w:val="00DA6CF1"/>
    <w:rsid w:val="00DA77DE"/>
    <w:rsid w:val="00DB2AEF"/>
    <w:rsid w:val="00DB2B51"/>
    <w:rsid w:val="00DB341C"/>
    <w:rsid w:val="00DB382B"/>
    <w:rsid w:val="00DB4525"/>
    <w:rsid w:val="00DB47A5"/>
    <w:rsid w:val="00DB4D17"/>
    <w:rsid w:val="00DB6DD3"/>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3272"/>
    <w:rsid w:val="00DD3467"/>
    <w:rsid w:val="00DD45B5"/>
    <w:rsid w:val="00DD474F"/>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6FAA"/>
    <w:rsid w:val="00E07AA2"/>
    <w:rsid w:val="00E1015B"/>
    <w:rsid w:val="00E106AE"/>
    <w:rsid w:val="00E10723"/>
    <w:rsid w:val="00E11236"/>
    <w:rsid w:val="00E1164D"/>
    <w:rsid w:val="00E11A5C"/>
    <w:rsid w:val="00E1223A"/>
    <w:rsid w:val="00E122A9"/>
    <w:rsid w:val="00E12447"/>
    <w:rsid w:val="00E12ABE"/>
    <w:rsid w:val="00E1415F"/>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7BD5"/>
    <w:rsid w:val="00E87C5D"/>
    <w:rsid w:val="00E90B12"/>
    <w:rsid w:val="00E912B1"/>
    <w:rsid w:val="00E921EF"/>
    <w:rsid w:val="00E927FD"/>
    <w:rsid w:val="00E92BF5"/>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835"/>
    <w:rsid w:val="00ED05EB"/>
    <w:rsid w:val="00ED0D53"/>
    <w:rsid w:val="00ED0ED2"/>
    <w:rsid w:val="00ED25BD"/>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85A"/>
    <w:rsid w:val="00F2227C"/>
    <w:rsid w:val="00F23548"/>
    <w:rsid w:val="00F2359A"/>
    <w:rsid w:val="00F2404C"/>
    <w:rsid w:val="00F2429E"/>
    <w:rsid w:val="00F25371"/>
    <w:rsid w:val="00F25545"/>
    <w:rsid w:val="00F265B9"/>
    <w:rsid w:val="00F266AA"/>
    <w:rsid w:val="00F2685A"/>
    <w:rsid w:val="00F2701E"/>
    <w:rsid w:val="00F27661"/>
    <w:rsid w:val="00F27FFD"/>
    <w:rsid w:val="00F3079C"/>
    <w:rsid w:val="00F3223F"/>
    <w:rsid w:val="00F3267F"/>
    <w:rsid w:val="00F33779"/>
    <w:rsid w:val="00F33B9C"/>
    <w:rsid w:val="00F34050"/>
    <w:rsid w:val="00F340F6"/>
    <w:rsid w:val="00F34129"/>
    <w:rsid w:val="00F3424C"/>
    <w:rsid w:val="00F354AA"/>
    <w:rsid w:val="00F35F09"/>
    <w:rsid w:val="00F37037"/>
    <w:rsid w:val="00F3771F"/>
    <w:rsid w:val="00F37869"/>
    <w:rsid w:val="00F37A08"/>
    <w:rsid w:val="00F37BB9"/>
    <w:rsid w:val="00F40B80"/>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1269"/>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75"/>
    <w:rsid w:val="00F87F99"/>
    <w:rsid w:val="00F87FCA"/>
    <w:rsid w:val="00F902E6"/>
    <w:rsid w:val="00F9196A"/>
    <w:rsid w:val="00F92790"/>
    <w:rsid w:val="00F92920"/>
    <w:rsid w:val="00F92A63"/>
    <w:rsid w:val="00F92ACA"/>
    <w:rsid w:val="00F92E7C"/>
    <w:rsid w:val="00F92EAB"/>
    <w:rsid w:val="00F93083"/>
    <w:rsid w:val="00F930D9"/>
    <w:rsid w:val="00F9322C"/>
    <w:rsid w:val="00F93EEE"/>
    <w:rsid w:val="00F954CA"/>
    <w:rsid w:val="00F96280"/>
    <w:rsid w:val="00F96E84"/>
    <w:rsid w:val="00F97914"/>
    <w:rsid w:val="00FA01D4"/>
    <w:rsid w:val="00FA2BD7"/>
    <w:rsid w:val="00FA3BAD"/>
    <w:rsid w:val="00FA3F06"/>
    <w:rsid w:val="00FA4744"/>
    <w:rsid w:val="00FA6DE6"/>
    <w:rsid w:val="00FA6F37"/>
    <w:rsid w:val="00FA6FA7"/>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C80313B"/>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nhideWhenUsed="0" w:uiPriority="0" w:semiHidden="0" w:name="List Bullet 2"/>
    <w:lsdException w:uiPriority="0" w:name="List Bullet 3"/>
    <w:lsdException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99"/>
    <w:pPr>
      <w:jc w:val="left"/>
    </w:pPr>
  </w:style>
  <w:style w:type="paragraph" w:styleId="20">
    <w:name w:val="Body Text 3"/>
    <w:basedOn w:val="1"/>
    <w:link w:val="458"/>
    <w:unhideWhenUsed/>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basedOn w:val="52"/>
    <w:unhideWhenUsed/>
    <w:qFormat/>
    <w:uiPriority w:val="0"/>
    <w:rPr>
      <w:rFonts w:hint="eastAsia" w:ascii="宋体" w:hAnsi="宋体" w:eastAsia="宋体" w:cs="宋体"/>
      <w:color w:val="0031C1"/>
      <w:sz w:val="18"/>
      <w:szCs w:val="18"/>
      <w:u w:val="none"/>
    </w:rPr>
  </w:style>
  <w:style w:type="character" w:styleId="56">
    <w:name w:val="Emphasis"/>
    <w:qFormat/>
    <w:uiPriority w:val="20"/>
    <w:rPr>
      <w:i/>
      <w:iCs/>
    </w:rPr>
  </w:style>
  <w:style w:type="character" w:styleId="57">
    <w:name w:val="Hyperlink"/>
    <w:basedOn w:val="52"/>
    <w:qFormat/>
    <w:uiPriority w:val="99"/>
    <w:rPr>
      <w:rFonts w:hint="eastAsia" w:ascii="宋体" w:hAnsi="宋体" w:eastAsia="宋体" w:cs="宋体"/>
      <w:color w:val="0031C1"/>
      <w:sz w:val="18"/>
      <w:szCs w:val="18"/>
      <w:u w:val="none"/>
    </w:rPr>
  </w:style>
  <w:style w:type="character" w:styleId="58">
    <w:name w:val="annotation reference"/>
    <w:qFormat/>
    <w:uiPriority w:val="99"/>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uiPriority w:val="0"/>
    <w:rPr>
      <w:kern w:val="2"/>
      <w:sz w:val="28"/>
    </w:rPr>
  </w:style>
  <w:style w:type="character" w:customStyle="1" w:styleId="309">
    <w:name w:val="Char Char6"/>
    <w:uiPriority w:val="0"/>
    <w:rPr>
      <w:rFonts w:ascii="宋体" w:hAnsi="宋体" w:eastAsia="宋体"/>
      <w:szCs w:val="24"/>
      <w:lang w:bidi="ar-SA"/>
    </w:rPr>
  </w:style>
  <w:style w:type="character" w:customStyle="1" w:styleId="310">
    <w:name w:val="Char Char15"/>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uiPriority w:val="0"/>
    <w:rPr>
      <w:kern w:val="2"/>
      <w:sz w:val="16"/>
      <w:szCs w:val="16"/>
    </w:rPr>
  </w:style>
  <w:style w:type="character" w:customStyle="1" w:styleId="459">
    <w:name w:val="content"/>
    <w:basedOn w:val="52"/>
    <w:uiPriority w:val="0"/>
  </w:style>
  <w:style w:type="character" w:customStyle="1" w:styleId="460">
    <w:name w:val="ca-3"/>
    <w:basedOn w:val="52"/>
    <w:uiPriority w:val="0"/>
  </w:style>
  <w:style w:type="character" w:customStyle="1" w:styleId="461">
    <w:name w:val="textcontents1"/>
    <w:uiPriority w:val="0"/>
    <w:rPr>
      <w:rFonts w:hint="default" w:ascii="ˎ̥" w:hAnsi="ˎ̥"/>
      <w:sz w:val="21"/>
      <w:szCs w:val="21"/>
    </w:rPr>
  </w:style>
  <w:style w:type="character" w:customStyle="1" w:styleId="462">
    <w:name w:val="脚注文本 Char1"/>
    <w:uiPriority w:val="0"/>
    <w:rPr>
      <w:kern w:val="2"/>
      <w:sz w:val="18"/>
      <w:szCs w:val="18"/>
    </w:rPr>
  </w:style>
  <w:style w:type="character" w:customStyle="1" w:styleId="463">
    <w:name w:val="脚注文本 Char"/>
    <w:link w:val="38"/>
    <w:uiPriority w:val="0"/>
    <w:rPr>
      <w:kern w:val="2"/>
      <w:sz w:val="18"/>
      <w:szCs w:val="18"/>
    </w:rPr>
  </w:style>
  <w:style w:type="character" w:customStyle="1" w:styleId="464">
    <w:name w:val="正文首行缩进（绿盟科技） Char"/>
    <w:link w:val="465"/>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uiPriority w:val="0"/>
  </w:style>
  <w:style w:type="character" w:customStyle="1" w:styleId="467">
    <w:name w:val="Char Char21"/>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uiPriority w:val="0"/>
  </w:style>
  <w:style w:type="character" w:customStyle="1" w:styleId="470">
    <w:name w:val="apple-style-span"/>
    <w:basedOn w:val="52"/>
    <w:uiPriority w:val="0"/>
  </w:style>
  <w:style w:type="paragraph" w:customStyle="1" w:styleId="471">
    <w:name w:val="缺省文本"/>
    <w:basedOn w:val="1"/>
    <w:uiPriority w:val="0"/>
    <w:pPr>
      <w:autoSpaceDE w:val="0"/>
      <w:autoSpaceDN w:val="0"/>
      <w:adjustRightInd w:val="0"/>
      <w:jc w:val="left"/>
    </w:pPr>
    <w:rPr>
      <w:kern w:val="0"/>
      <w:sz w:val="24"/>
    </w:rPr>
  </w:style>
  <w:style w:type="paragraph" w:customStyle="1" w:styleId="472">
    <w:name w:val="xl6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uiPriority w:val="0"/>
    <w:rPr>
      <w:rFonts w:ascii="宋体" w:hAnsi="Courier New"/>
      <w:szCs w:val="20"/>
    </w:rPr>
  </w:style>
  <w:style w:type="paragraph" w:customStyle="1" w:styleId="474">
    <w:name w:val="xl5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uiPriority w:val="0"/>
    <w:pPr>
      <w:widowControl/>
      <w:spacing w:after="160" w:line="240" w:lineRule="exact"/>
      <w:jc w:val="left"/>
    </w:pPr>
  </w:style>
  <w:style w:type="paragraph" w:customStyle="1" w:styleId="476">
    <w:name w:val="USE 1"/>
    <w:basedOn w:val="1"/>
    <w:uiPriority w:val="0"/>
    <w:pPr>
      <w:spacing w:line="200" w:lineRule="atLeast"/>
      <w:jc w:val="left"/>
    </w:pPr>
    <w:rPr>
      <w:rFonts w:ascii="宋体" w:hAnsi="宋体"/>
      <w:b/>
      <w:sz w:val="24"/>
      <w:szCs w:val="28"/>
    </w:rPr>
  </w:style>
  <w:style w:type="paragraph" w:customStyle="1" w:styleId="477">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uiPriority w:val="0"/>
    <w:rPr>
      <w:rFonts w:ascii="宋体" w:hAnsi="Courier New"/>
      <w:szCs w:val="20"/>
    </w:rPr>
  </w:style>
  <w:style w:type="character" w:customStyle="1" w:styleId="481">
    <w:name w:val="脚注文本 Char2"/>
    <w:basedOn w:val="52"/>
    <w:link w:val="38"/>
    <w:semiHidden/>
    <w:uiPriority w:val="0"/>
    <w:rPr>
      <w:kern w:val="2"/>
      <w:sz w:val="18"/>
      <w:szCs w:val="18"/>
    </w:rPr>
  </w:style>
  <w:style w:type="paragraph" w:customStyle="1" w:styleId="482">
    <w:name w:val="_Style 56"/>
    <w:basedOn w:val="1"/>
    <w:next w:val="26"/>
    <w:uiPriority w:val="0"/>
    <w:rPr>
      <w:rFonts w:ascii="宋体" w:hAnsi="Courier New"/>
      <w:szCs w:val="20"/>
    </w:rPr>
  </w:style>
  <w:style w:type="paragraph" w:customStyle="1" w:styleId="483">
    <w:name w:val="Char Char Char Char2"/>
    <w:basedOn w:val="1"/>
    <w:uiPriority w:val="0"/>
    <w:pPr>
      <w:widowControl/>
      <w:spacing w:after="160" w:line="240" w:lineRule="exact"/>
      <w:jc w:val="center"/>
    </w:pPr>
  </w:style>
  <w:style w:type="paragraph" w:customStyle="1" w:styleId="484">
    <w:name w:val="font10"/>
    <w:basedOn w:val="1"/>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uiPriority w:val="0"/>
    <w:pPr>
      <w:widowControl/>
      <w:spacing w:after="160" w:line="240" w:lineRule="exact"/>
      <w:jc w:val="left"/>
    </w:pPr>
  </w:style>
  <w:style w:type="paragraph" w:customStyle="1" w:styleId="490">
    <w:name w:val="_Style 50"/>
    <w:basedOn w:val="1"/>
    <w:next w:val="29"/>
    <w:uiPriority w:val="0"/>
    <w:pPr>
      <w:adjustRightInd w:val="0"/>
      <w:snapToGrid w:val="0"/>
      <w:spacing w:line="300" w:lineRule="auto"/>
      <w:ind w:firstLine="630" w:firstLineChars="300"/>
    </w:pPr>
    <w:rPr>
      <w:snapToGrid w:val="0"/>
      <w:kern w:val="0"/>
    </w:rPr>
  </w:style>
  <w:style w:type="paragraph" w:customStyle="1" w:styleId="491">
    <w:name w:val="Revision"/>
    <w:semiHidden/>
    <w:uiPriority w:val="99"/>
    <w:rPr>
      <w:rFonts w:ascii="Times New Roman" w:hAnsi="Times New Roman" w:eastAsia="宋体" w:cs="Times New Roman"/>
      <w:kern w:val="2"/>
      <w:sz w:val="21"/>
      <w:szCs w:val="24"/>
      <w:lang w:val="en-US" w:eastAsia="zh-CN" w:bidi="ar-SA"/>
    </w:rPr>
  </w:style>
  <w:style w:type="paragraph" w:customStyle="1" w:styleId="492">
    <w:name w:val="xl5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uiPriority w:val="0"/>
    <w:rPr>
      <w:rFonts w:ascii="宋体" w:hAnsi="Courier New"/>
      <w:szCs w:val="20"/>
    </w:rPr>
  </w:style>
  <w:style w:type="paragraph" w:customStyle="1" w:styleId="495">
    <w:name w:val="Char Char Char"/>
    <w:basedOn w:val="1"/>
    <w:uiPriority w:val="0"/>
    <w:rPr>
      <w:szCs w:val="20"/>
    </w:rPr>
  </w:style>
  <w:style w:type="paragraph" w:customStyle="1" w:styleId="496">
    <w:name w:val="Char2"/>
    <w:basedOn w:val="1"/>
    <w:uiPriority w:val="0"/>
    <w:rPr>
      <w:rFonts w:ascii="Tahoma" w:hAnsi="Tahoma"/>
      <w:sz w:val="24"/>
      <w:szCs w:val="20"/>
    </w:rPr>
  </w:style>
  <w:style w:type="paragraph" w:customStyle="1" w:styleId="497">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uiPriority w:val="0"/>
    <w:rPr>
      <w:rFonts w:ascii="宋体" w:hAnsi="Courier New"/>
      <w:szCs w:val="20"/>
    </w:rPr>
  </w:style>
  <w:style w:type="paragraph" w:customStyle="1" w:styleId="501">
    <w:name w:val="2"/>
    <w:basedOn w:val="1"/>
    <w:next w:val="45"/>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uiPriority w:val="0"/>
    <w:pPr>
      <w:adjustRightInd w:val="0"/>
      <w:snapToGrid w:val="0"/>
      <w:spacing w:line="300" w:lineRule="auto"/>
      <w:ind w:firstLine="630" w:firstLineChars="300"/>
    </w:pPr>
    <w:rPr>
      <w:snapToGrid w:val="0"/>
      <w:kern w:val="0"/>
    </w:rPr>
  </w:style>
  <w:style w:type="paragraph" w:customStyle="1" w:styleId="503">
    <w:name w:val="xl5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character" w:customStyle="1" w:styleId="509">
    <w:name w:val="fielderror"/>
    <w:basedOn w:val="52"/>
    <w:uiPriority w:val="0"/>
    <w:rPr>
      <w:color w:val="800000"/>
    </w:rPr>
  </w:style>
  <w:style w:type="character" w:customStyle="1" w:styleId="510">
    <w:name w:val="active6"/>
    <w:basedOn w:val="52"/>
    <w:uiPriority w:val="0"/>
    <w:rPr>
      <w:color w:val="FFFFFF"/>
    </w:rPr>
  </w:style>
  <w:style w:type="character" w:customStyle="1" w:styleId="511">
    <w:name w:val="hilite5"/>
    <w:basedOn w:val="52"/>
    <w:uiPriority w:val="0"/>
    <w:rPr>
      <w:color w:val="000000"/>
    </w:rPr>
  </w:style>
  <w:style w:type="character" w:customStyle="1" w:styleId="512">
    <w:name w:val="hilite"/>
    <w:basedOn w:val="52"/>
    <w:uiPriority w:val="0"/>
    <w:rPr>
      <w:color w:val="000000"/>
    </w:rPr>
  </w:style>
  <w:style w:type="character" w:customStyle="1" w:styleId="513">
    <w:name w:val="hilite6"/>
    <w:basedOn w:val="52"/>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F1272-988B-4DD1-BFCD-AE31785B1685}">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51</Pages>
  <Words>4633</Words>
  <Characters>26412</Characters>
  <Lines>220</Lines>
  <Paragraphs>61</Paragraphs>
  <TotalTime>1</TotalTime>
  <ScaleCrop>false</ScaleCrop>
  <LinksUpToDate>false</LinksUpToDate>
  <CharactersWithSpaces>30984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-ToMato</cp:lastModifiedBy>
  <cp:lastPrinted>2020-05-26T01:03:00Z</cp:lastPrinted>
  <dcterms:modified xsi:type="dcterms:W3CDTF">2021-03-15T06:32:43Z</dcterms:modified>
  <dc:title>招标编号：UHO2010-G0029</dc:title>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