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107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fill on="t" focussize="0,0"/>
                <v:stroke color="#FFFFFF" joinstyle="miter"/>
                <v:imagedata o:title=""/>
                <o:lock v:ext="edit" aspectratio="f"/>
                <v:textbo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ind w:left="682" w:leftChars="-203" w:hanging="1108" w:hangingChars="154"/>
        <w:rPr>
          <w:sz w:val="72"/>
          <w:szCs w:val="72"/>
        </w:rPr>
      </w:pPr>
    </w:p>
    <w:p>
      <w:pPr>
        <w:ind w:left="682" w:leftChars="-203" w:hanging="1108" w:hangingChars="154"/>
        <w:rPr>
          <w:sz w:val="72"/>
          <w:szCs w:val="72"/>
        </w:rPr>
      </w:pPr>
    </w:p>
    <w:p>
      <w:pPr>
        <w:adjustRightInd w:val="0"/>
        <w:snapToGrid w:val="0"/>
        <w:spacing w:line="300" w:lineRule="auto"/>
        <w:jc w:val="left"/>
        <w:rPr>
          <w:b/>
          <w:bCs/>
          <w:snapToGrid w:val="0"/>
          <w:kern w:val="0"/>
          <w:sz w:val="28"/>
          <w:szCs w:val="28"/>
        </w:rPr>
      </w:pPr>
    </w:p>
    <w:p>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注册服务领域经营主体获得感跟踪提升服务项目</w:t>
      </w:r>
    </w:p>
    <w:p>
      <w:pPr>
        <w:adjustRightInd w:val="0"/>
        <w:snapToGrid w:val="0"/>
        <w:spacing w:line="300" w:lineRule="auto"/>
        <w:jc w:val="center"/>
        <w:rPr>
          <w:rFonts w:ascii="经典标宋简" w:eastAsia="经典标宋简"/>
          <w:b/>
          <w:snapToGrid w:val="0"/>
          <w:kern w:val="0"/>
          <w:sz w:val="44"/>
          <w:szCs w:val="44"/>
        </w:rPr>
      </w:pPr>
    </w:p>
    <w:p>
      <w:pPr>
        <w:adjustRightInd w:val="0"/>
        <w:snapToGrid w:val="0"/>
        <w:spacing w:line="300" w:lineRule="auto"/>
        <w:rPr>
          <w:rFonts w:ascii="经典标宋简" w:eastAsia="经典标宋简"/>
          <w:b/>
          <w:snapToGrid w:val="0"/>
          <w:kern w:val="0"/>
          <w:sz w:val="44"/>
          <w:szCs w:val="44"/>
        </w:rPr>
      </w:pPr>
    </w:p>
    <w:p>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pPr>
        <w:adjustRightInd w:val="0"/>
        <w:snapToGrid w:val="0"/>
        <w:spacing w:line="300" w:lineRule="auto"/>
        <w:jc w:val="center"/>
        <w:rPr>
          <w:rFonts w:ascii="经典等线简" w:eastAsia="经典等线简"/>
          <w:b/>
          <w:snapToGrid w:val="0"/>
          <w:kern w:val="0"/>
          <w:sz w:val="32"/>
        </w:rPr>
      </w:pPr>
    </w:p>
    <w:p>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项目编号：SZZZ2024-QC0256</w:t>
      </w:r>
    </w:p>
    <w:p>
      <w:pPr>
        <w:adjustRightInd w:val="0"/>
        <w:snapToGrid w:val="0"/>
        <w:spacing w:line="300" w:lineRule="auto"/>
        <w:jc w:val="center"/>
        <w:rPr>
          <w:rFonts w:ascii="经典等线简" w:eastAsia="经典等线简"/>
          <w:b/>
          <w:snapToGrid w:val="0"/>
          <w:kern w:val="0"/>
          <w:sz w:val="18"/>
          <w:szCs w:val="18"/>
        </w:rPr>
      </w:pPr>
    </w:p>
    <w:p>
      <w:pPr>
        <w:adjustRightInd w:val="0"/>
        <w:snapToGrid w:val="0"/>
        <w:spacing w:line="300" w:lineRule="auto"/>
        <w:jc w:val="center"/>
        <w:rPr>
          <w:rFonts w:eastAsia="经典标宋简"/>
          <w:b/>
          <w:snapToGrid w:val="0"/>
          <w:kern w:val="0"/>
          <w:sz w:val="44"/>
        </w:rPr>
      </w:pPr>
    </w:p>
    <w:p>
      <w:pPr>
        <w:adjustRightInd w:val="0"/>
        <w:snapToGrid w:val="0"/>
        <w:spacing w:line="300" w:lineRule="auto"/>
        <w:jc w:val="center"/>
      </w:pPr>
      <w:r>
        <w:rPr>
          <w:rFonts w:eastAsia="经典标宋简"/>
          <w:b/>
          <w:snapToGrid w:val="0"/>
          <w:kern w:val="0"/>
          <w:sz w:val="44"/>
        </w:rPr>
        <w:t xml:space="preserve"> </w:t>
      </w:r>
    </w:p>
    <w:p/>
    <w:p/>
    <w:p/>
    <w:p/>
    <w:p/>
    <w:p/>
    <w:p>
      <w:pPr>
        <w:pStyle w:val="28"/>
        <w:adjustRightInd w:val="0"/>
        <w:snapToGrid w:val="0"/>
        <w:spacing w:line="300" w:lineRule="auto"/>
        <w:ind w:hanging="835"/>
        <w:jc w:val="center"/>
        <w:rPr>
          <w:b/>
          <w:kern w:val="0"/>
          <w:sz w:val="28"/>
          <w:szCs w:val="28"/>
        </w:rPr>
      </w:pPr>
      <w:r>
        <w:rPr>
          <w:rFonts w:hint="eastAsia"/>
          <w:b/>
          <w:snapToGrid w:val="0"/>
          <w:sz w:val="30"/>
        </w:rPr>
        <w:t>二〇二四年六月</w:t>
      </w:r>
    </w:p>
    <w:p/>
    <w:p/>
    <w:p>
      <w:pPr>
        <w:jc w:val="center"/>
        <w:rPr>
          <w:rFonts w:asciiTheme="minorEastAsia" w:hAnsiTheme="minorEastAsia" w:eastAsiaTheme="minorEastAsia"/>
          <w:b/>
          <w:bCs/>
          <w:szCs w:val="21"/>
        </w:rPr>
      </w:pPr>
    </w:p>
    <w:p>
      <w:pPr>
        <w:jc w:val="center"/>
        <w:rPr>
          <w:rFonts w:asciiTheme="minorEastAsia" w:hAnsiTheme="minorEastAsia" w:eastAsiaTheme="minorEastAsia"/>
          <w:b/>
          <w:bCs/>
          <w:szCs w:val="21"/>
        </w:rPr>
      </w:pPr>
    </w:p>
    <w:p>
      <w:pPr>
        <w:jc w:val="center"/>
        <w:rPr>
          <w:rFonts w:asciiTheme="minorEastAsia" w:hAnsiTheme="minorEastAsia" w:eastAsiaTheme="minorEastAsia"/>
          <w:b/>
          <w:bCs/>
          <w:szCs w:val="21"/>
        </w:rPr>
      </w:pPr>
    </w:p>
    <w:p>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pPr>
        <w:spacing w:line="360" w:lineRule="auto"/>
        <w:ind w:firstLine="480" w:firstLineChars="200"/>
        <w:rPr>
          <w:rFonts w:ascii="宋体" w:hAnsi="宋体"/>
          <w:sz w:val="24"/>
        </w:rPr>
      </w:pPr>
    </w:p>
    <w:p>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pPr>
        <w:spacing w:line="440" w:lineRule="exact"/>
        <w:ind w:firstLine="480" w:firstLineChars="200"/>
        <w:rPr>
          <w:rFonts w:ascii="仿宋" w:hAnsi="仿宋" w:eastAsia="仿宋"/>
          <w:sz w:val="24"/>
        </w:rPr>
      </w:pPr>
      <w:r>
        <w:rPr>
          <w:rFonts w:hint="eastAsia" w:ascii="仿宋" w:hAnsi="仿宋" w:eastAsia="仿宋"/>
          <w:sz w:val="24"/>
        </w:rPr>
        <w:t>（六）恶意投诉的；</w:t>
      </w:r>
    </w:p>
    <w:p>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pPr>
        <w:spacing w:line="440" w:lineRule="exact"/>
        <w:ind w:firstLine="480" w:firstLineChars="200"/>
        <w:rPr>
          <w:rFonts w:ascii="仿宋" w:hAnsi="仿宋" w:eastAsia="仿宋"/>
          <w:sz w:val="24"/>
        </w:rPr>
      </w:pPr>
    </w:p>
    <w:p>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pPr>
        <w:spacing w:line="440" w:lineRule="exact"/>
        <w:ind w:firstLine="480" w:firstLineChars="200"/>
        <w:rPr>
          <w:rFonts w:ascii="仿宋" w:hAnsi="仿宋" w:eastAsia="仿宋"/>
          <w:sz w:val="24"/>
        </w:rPr>
      </w:pPr>
    </w:p>
    <w:p>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投标供应商涉嫌存在串通投标等违法行为的，将书面报告财政主管部门依法处理。</w:t>
      </w: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pPr>
            <w:pStyle w:val="504"/>
            <w:jc w:val="center"/>
            <w:rPr>
              <w:rFonts w:hint="eastAsia" w:ascii="Times New Roman" w:hAnsi="Times New Roman" w:eastAsia="宋体" w:cs="Times New Roman"/>
              <w:b w:val="0"/>
              <w:bCs w:val="0"/>
              <w:iCs/>
              <w:smallCaps/>
              <w:color w:val="auto"/>
              <w:kern w:val="2"/>
              <w:sz w:val="21"/>
              <w:szCs w:val="24"/>
              <w:lang w:val="zh-CN"/>
            </w:rPr>
          </w:pPr>
          <w:bookmarkStart w:id="110" w:name="_GoBack"/>
          <w:bookmarkEnd w:id="110"/>
        </w:p>
        <w:p>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14:textFill>
                <w14:solidFill>
                  <w14:schemeClr w14:val="tx1"/>
                </w14:solidFill>
              </w14:textFill>
            </w:rPr>
            <w:t>目</w:t>
          </w:r>
          <w:r>
            <w:rPr>
              <w:rFonts w:hint="eastAsia"/>
              <w:color w:val="000000" w:themeColor="text1"/>
              <w:lang w:val="zh-CN"/>
              <w14:textFill>
                <w14:solidFill>
                  <w14:schemeClr w14:val="tx1"/>
                </w14:solidFill>
              </w14:textFill>
            </w:rPr>
            <w:t xml:space="preserve">  </w:t>
          </w:r>
          <w:r>
            <w:rPr>
              <w:color w:val="000000" w:themeColor="text1"/>
              <w:lang w:val="zh-CN"/>
              <w14:textFill>
                <w14:solidFill>
                  <w14:schemeClr w14:val="tx1"/>
                </w14:solidFill>
              </w14:textFill>
            </w:rPr>
            <w:t>录</w:t>
          </w:r>
        </w:p>
        <w:p>
          <w:pPr>
            <w:pStyle w:val="34"/>
            <w:tabs>
              <w:tab w:val="right" w:leader="dot" w:pos="9628"/>
            </w:tabs>
            <w:rPr>
              <w:rFonts w:ascii="仿宋_GB2312" w:eastAsia="仿宋_GB2312"/>
              <w:sz w:val="24"/>
            </w:rPr>
          </w:pPr>
        </w:p>
        <w:p>
          <w:pPr>
            <w:pStyle w:val="34"/>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33</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59</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62</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62</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66</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69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72</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74</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pPr>
          <w:r>
            <w:rPr>
              <w:rFonts w:hint="eastAsia" w:ascii="仿宋_GB2312" w:eastAsia="仿宋_GB2312"/>
              <w:sz w:val="24"/>
            </w:rPr>
            <w:fldChar w:fldCharType="end"/>
          </w:r>
        </w:p>
      </w:sdtContent>
    </w:sdt>
    <w:p/>
    <w:p/>
    <w:p/>
    <w:p>
      <w:pPr>
        <w:pStyle w:val="3"/>
      </w:pPr>
      <w:bookmarkStart w:id="0" w:name="_Toc135293159"/>
      <w:r>
        <w:rPr>
          <w:rFonts w:hint="eastAsia"/>
        </w:rPr>
        <w:t>第一章  投标邀请</w:t>
      </w:r>
      <w:bookmarkEnd w:id="0"/>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注册服务领域经营主体获得感跟踪提升服务项目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rPr>
        <w:t>2024年</w:t>
      </w:r>
      <w:r>
        <w:rPr>
          <w:rFonts w:hint="eastAsia" w:ascii="宋体" w:hAnsi="宋体" w:cs="Arial Unicode MS"/>
          <w:snapToGrid w:val="0"/>
          <w:kern w:val="0"/>
          <w:szCs w:val="21"/>
          <w:u w:val="single"/>
          <w:lang w:val="en-US" w:eastAsia="zh-CN"/>
        </w:rPr>
        <w:t>06</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19</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pPr>
        <w:adjustRightInd w:val="0"/>
        <w:snapToGrid w:val="0"/>
        <w:spacing w:line="360" w:lineRule="auto"/>
        <w:ind w:firstLine="420" w:firstLineChars="200"/>
        <w:jc w:val="left"/>
        <w:rPr>
          <w:rFonts w:ascii="宋体" w:hAnsi="宋体" w:cs="Arial Unicode MS"/>
          <w:snapToGrid w:val="0"/>
          <w:kern w:val="0"/>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rPr>
        <w:t>SZZZ2024-QC0256</w:t>
      </w:r>
    </w:p>
    <w:p>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注册服务领域经营主体获得感跟踪提升服务项目</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4、预算金额：人民币380,000.00元</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5、最高限价：人民币380,000.00元</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pPr>
              <w:pStyle w:val="45"/>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pPr>
              <w:pStyle w:val="45"/>
              <w:spacing w:line="360" w:lineRule="auto"/>
              <w:jc w:val="center"/>
              <w:rPr>
                <w:sz w:val="21"/>
              </w:rPr>
            </w:pPr>
            <w:r>
              <w:rPr>
                <w:sz w:val="21"/>
              </w:rPr>
              <w:t>标的名称</w:t>
            </w:r>
          </w:p>
        </w:tc>
        <w:tc>
          <w:tcPr>
            <w:tcW w:w="921" w:type="dxa"/>
            <w:shd w:val="clear" w:color="auto" w:fill="ABCDEF"/>
            <w:vAlign w:val="center"/>
          </w:tcPr>
          <w:p>
            <w:pPr>
              <w:pStyle w:val="45"/>
              <w:spacing w:before="0" w:beforeAutospacing="0" w:after="0" w:afterAutospacing="0" w:line="360" w:lineRule="auto"/>
              <w:jc w:val="center"/>
              <w:rPr>
                <w:sz w:val="21"/>
              </w:rPr>
            </w:pPr>
            <w:r>
              <w:rPr>
                <w:sz w:val="21"/>
              </w:rPr>
              <w:t>数量</w:t>
            </w:r>
          </w:p>
        </w:tc>
        <w:tc>
          <w:tcPr>
            <w:tcW w:w="922" w:type="dxa"/>
            <w:shd w:val="clear" w:color="auto" w:fill="ABCDEF"/>
            <w:vAlign w:val="center"/>
          </w:tcPr>
          <w:p>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pPr>
              <w:pStyle w:val="45"/>
              <w:spacing w:before="0" w:beforeAutospacing="0" w:after="0" w:afterAutospacing="0" w:line="360" w:lineRule="auto"/>
              <w:jc w:val="center"/>
              <w:rPr>
                <w:sz w:val="21"/>
              </w:rPr>
            </w:pPr>
            <w:r>
              <w:rPr>
                <w:sz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pPr>
              <w:pStyle w:val="45"/>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注册服务领域经营主体获得感跟踪提升服务项目</w:t>
            </w:r>
          </w:p>
        </w:tc>
        <w:tc>
          <w:tcPr>
            <w:tcW w:w="921"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的营业执照或法人证书等证明材料复印件或扫描件以及《政府采购投标及履约承诺函》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本项目属于专门面向小微企业采购的项目（提供符合要求的《中小企业声明函》，且供应商属于小型企业或微型企业；如供应商为残疾人福利性单位或监狱企业，视同小型、微型企业，提供《残疾人福利性单位声明函》或《监狱企业声明函》及监狱企业证明文件亦视为符合）。</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（7）本项目不接受联合体投标，不允许非法分包或转包。</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2024年</w:t>
      </w:r>
      <w:r>
        <w:rPr>
          <w:rFonts w:hint="eastAsia" w:ascii="宋体" w:hAnsi="宋体" w:eastAsia="宋体"/>
          <w:snapToGrid w:val="0"/>
          <w:color w:val="auto"/>
          <w:sz w:val="21"/>
          <w:szCs w:val="21"/>
          <w:u w:val="single"/>
          <w:lang w:val="en-US" w:eastAsia="zh-CN"/>
        </w:rPr>
        <w:t>06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07</w:t>
      </w:r>
      <w:r>
        <w:rPr>
          <w:rFonts w:hint="eastAsia" w:ascii="宋体" w:hAnsi="宋体" w:eastAsia="宋体"/>
          <w:snapToGrid w:val="0"/>
          <w:color w:val="auto"/>
          <w:sz w:val="21"/>
          <w:szCs w:val="21"/>
          <w:u w:val="single"/>
        </w:rPr>
        <w:t>日至2024年</w:t>
      </w:r>
      <w:r>
        <w:rPr>
          <w:rFonts w:hint="eastAsia" w:ascii="宋体" w:hAnsi="宋体" w:eastAsia="宋体"/>
          <w:snapToGrid w:val="0"/>
          <w:color w:val="auto"/>
          <w:sz w:val="21"/>
          <w:szCs w:val="21"/>
          <w:u w:val="single"/>
          <w:lang w:val="en-US" w:eastAsia="zh-CN"/>
        </w:rPr>
        <w:t>06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14</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（1）现场获取：投标人按以上时间和地点现场报名和获取招标文件，逾期不予受理。</w:t>
      </w:r>
    </w:p>
    <w:p>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2024年</w:t>
      </w:r>
      <w:r>
        <w:rPr>
          <w:rFonts w:hint="eastAsia" w:ascii="宋体" w:hAnsi="宋体" w:eastAsia="宋体"/>
          <w:snapToGrid w:val="0"/>
          <w:color w:val="auto"/>
          <w:sz w:val="21"/>
          <w:szCs w:val="21"/>
          <w:u w:val="single"/>
          <w:lang w:val="en-US" w:eastAsia="zh-CN"/>
        </w:rPr>
        <w:t>06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19</w:t>
      </w:r>
      <w:r>
        <w:rPr>
          <w:rFonts w:hint="eastAsia" w:ascii="宋体" w:hAnsi="宋体" w:eastAsia="宋体"/>
          <w:snapToGrid w:val="0"/>
          <w:color w:val="auto"/>
          <w:sz w:val="21"/>
          <w:szCs w:val="21"/>
          <w:u w:val="single"/>
        </w:rPr>
        <w:t>日14点30分（北京时间）</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1、本项目需要落实的政府采购政策：《关于印发&lt;政府采购促进中小企业发展管理办法&gt;的通知》(财库〔2020〕46号)、《关于政府采购支持监狱企业发展有关问题的通知》</w:t>
      </w:r>
      <w:r>
        <w:rPr>
          <w:rFonts w:ascii="宋体" w:hAnsi="宋体" w:eastAsia="宋体"/>
          <w:snapToGrid w:val="0"/>
          <w:color w:val="auto"/>
          <w:sz w:val="21"/>
          <w:szCs w:val="21"/>
        </w:rPr>
        <w:t>(</w:t>
      </w:r>
      <w:r>
        <w:rPr>
          <w:rFonts w:hint="eastAsia" w:ascii="宋体" w:hAnsi="宋体" w:eastAsia="宋体"/>
          <w:snapToGrid w:val="0"/>
          <w:color w:val="auto"/>
          <w:sz w:val="21"/>
          <w:szCs w:val="21"/>
        </w:rPr>
        <w:t>财库〔</w:t>
      </w:r>
      <w:r>
        <w:rPr>
          <w:rFonts w:ascii="宋体" w:hAnsi="宋体" w:eastAsia="宋体"/>
          <w:snapToGrid w:val="0"/>
          <w:color w:val="auto"/>
          <w:sz w:val="21"/>
          <w:szCs w:val="21"/>
        </w:rPr>
        <w:t>2014</w:t>
      </w:r>
      <w:r>
        <w:rPr>
          <w:rFonts w:hint="eastAsia" w:ascii="宋体" w:hAnsi="宋体" w:eastAsia="宋体"/>
          <w:snapToGrid w:val="0"/>
          <w:color w:val="auto"/>
          <w:sz w:val="21"/>
          <w:szCs w:val="21"/>
        </w:rPr>
        <w:t>〕</w:t>
      </w:r>
      <w:r>
        <w:rPr>
          <w:rFonts w:ascii="宋体" w:hAnsi="宋体" w:eastAsia="宋体"/>
          <w:snapToGrid w:val="0"/>
          <w:color w:val="auto"/>
          <w:sz w:val="21"/>
          <w:szCs w:val="21"/>
        </w:rPr>
        <w:t>68</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、《关于促进残疾人就业政府采购政策的通知》（财库〔</w:t>
      </w:r>
      <w:r>
        <w:rPr>
          <w:rFonts w:ascii="宋体" w:hAnsi="宋体" w:eastAsia="宋体"/>
          <w:snapToGrid w:val="0"/>
          <w:color w:val="auto"/>
          <w:sz w:val="21"/>
          <w:szCs w:val="21"/>
        </w:rPr>
        <w:t>2017</w:t>
      </w:r>
      <w:r>
        <w:rPr>
          <w:rFonts w:hint="eastAsia" w:ascii="宋体" w:hAnsi="宋体" w:eastAsia="宋体"/>
          <w:snapToGrid w:val="0"/>
          <w:color w:val="auto"/>
          <w:sz w:val="21"/>
          <w:szCs w:val="21"/>
        </w:rPr>
        <w:t>〕</w:t>
      </w:r>
      <w:r>
        <w:rPr>
          <w:rFonts w:ascii="宋体" w:hAnsi="宋体" w:eastAsia="宋体"/>
          <w:snapToGrid w:val="0"/>
          <w:color w:val="auto"/>
          <w:sz w:val="21"/>
          <w:szCs w:val="21"/>
        </w:rPr>
        <w:t>141</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2、本项目相关公告在以下媒体发布：</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1）中国政府采购网（www.ccgp.gov.cn）；</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2）深圳公共资源交易中心网站（www.szzfcg.cn）；</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3）深圳市中正招标网（</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pPr>
        <w:pStyle w:val="453"/>
        <w:adjustRightInd w:val="0"/>
        <w:snapToGrid w:val="0"/>
        <w:spacing w:before="0" w:beforeAutospacing="0" w:after="0" w:afterAutospacing="0" w:line="360" w:lineRule="auto"/>
        <w:ind w:firstLine="426" w:firstLineChars="202"/>
        <w:rPr>
          <w:rFonts w:ascii="宋体" w:hAnsi="宋体" w:eastAsia="宋体"/>
          <w:b/>
          <w:snapToGrid w:val="0"/>
          <w:color w:val="auto"/>
          <w:sz w:val="21"/>
          <w:szCs w:val="21"/>
        </w:rPr>
      </w:pPr>
      <w:r>
        <w:rPr>
          <w:rFonts w:hint="eastAsia" w:ascii="宋体" w:hAnsi="宋体" w:eastAsia="宋体"/>
          <w:b/>
          <w:snapToGrid w:val="0"/>
          <w:color w:val="auto"/>
          <w:sz w:val="21"/>
          <w:szCs w:val="21"/>
        </w:rPr>
        <w:t>3、本项目投标人可以通过快递方式在提交投标文件截止时间前将投标文件邮寄至我司（邮寄地址：深圳市福田区民田路171号新华保险大厦903中正招标），送达时间以我司工作人员签收时间为准。快递箱封面需用A4纸清晰标注项目名称、项目编号和投标人名称；投标人自行承担因寄错地址、逾期送达、未按照招标文件要求密封或者邮寄过程中出现包装密封破损等可能导致投标无效情形的责任与后果。投标人未参加开标会的，视同认可开标结果。</w:t>
      </w:r>
    </w:p>
    <w:p>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名称：深圳市企业注册局</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地址：深圳市福田区泰然九路海松大厦A座3A01</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 xml:space="preserve">联系方式：林小姐，0755-83257672 </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联系方式：庄先生，0755-83026699</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项目联系人：庄先生</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ascii="宋体" w:hAnsi="宋体"/>
          <w:snapToGrid w:val="0"/>
          <w:kern w:val="0"/>
          <w:sz w:val="24"/>
        </w:rPr>
        <w:t>2024年</w:t>
      </w:r>
      <w:r>
        <w:rPr>
          <w:rFonts w:hint="eastAsia" w:ascii="宋体" w:hAnsi="宋体"/>
          <w:snapToGrid w:val="0"/>
          <w:kern w:val="0"/>
          <w:sz w:val="24"/>
          <w:lang w:val="en-US" w:eastAsia="zh-CN"/>
        </w:rPr>
        <w:t>06</w:t>
      </w:r>
      <w:r>
        <w:rPr>
          <w:rFonts w:ascii="宋体" w:hAnsi="宋体"/>
          <w:snapToGrid w:val="0"/>
          <w:kern w:val="0"/>
          <w:sz w:val="24"/>
        </w:rPr>
        <w:t>月</w:t>
      </w:r>
      <w:r>
        <w:rPr>
          <w:rFonts w:hint="eastAsia" w:ascii="宋体" w:hAnsi="宋体"/>
          <w:snapToGrid w:val="0"/>
          <w:kern w:val="0"/>
          <w:sz w:val="24"/>
          <w:lang w:val="en-US" w:eastAsia="zh-CN"/>
        </w:rPr>
        <w:t>07</w:t>
      </w:r>
      <w:r>
        <w:rPr>
          <w:rFonts w:hint="eastAsia" w:ascii="宋体" w:hAnsi="宋体"/>
          <w:snapToGrid w:val="0"/>
          <w:kern w:val="0"/>
          <w:sz w:val="24"/>
        </w:rPr>
        <w:t>日</w:t>
      </w:r>
    </w:p>
    <w:p/>
    <w:p>
      <w:pPr>
        <w:pStyle w:val="3"/>
      </w:pPr>
      <w:bookmarkStart w:id="1" w:name="_Toc135293160"/>
      <w:r>
        <w:rPr>
          <w:rFonts w:hint="eastAsia"/>
        </w:rPr>
        <w:t>第二章  项目需求</w:t>
      </w:r>
      <w:bookmarkEnd w:id="1"/>
    </w:p>
    <w:p>
      <w:pPr>
        <w:spacing w:afterLines="50" w:line="360" w:lineRule="auto"/>
        <w:ind w:left="2"/>
        <w:jc w:val="center"/>
        <w:rPr>
          <w:rFonts w:ascii="宋体" w:hAnsi="宋体"/>
          <w:b/>
          <w:sz w:val="24"/>
        </w:rPr>
      </w:pPr>
      <w:r>
        <w:rPr>
          <w:rFonts w:hint="eastAsia" w:ascii="宋体" w:hAnsi="宋体"/>
          <w:b/>
          <w:sz w:val="24"/>
        </w:rPr>
        <w:t>特别说明</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5、加注★的条款为不可负偏离条款，任一项未响应或不满足要求的，将导致投标无效。</w:t>
      </w:r>
    </w:p>
    <w:p>
      <w:pPr>
        <w:pStyle w:val="321"/>
        <w:ind w:firstLine="0" w:firstLineChars="0"/>
        <w:rPr>
          <w:b/>
        </w:rPr>
      </w:pPr>
    </w:p>
    <w:p>
      <w:pPr>
        <w:pStyle w:val="321"/>
        <w:ind w:firstLine="0" w:firstLineChars="0"/>
        <w:rPr>
          <w:b/>
        </w:rPr>
      </w:pPr>
      <w:r>
        <w:rPr>
          <w:rFonts w:hint="eastAsia"/>
          <w:b/>
        </w:rPr>
        <w:t>一、项目概况</w:t>
      </w:r>
    </w:p>
    <w:p>
      <w:pPr>
        <w:pStyle w:val="255"/>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注册服务领域经营主体获得感跟踪提升服务项目</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380,000.00</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pPr>
        <w:pStyle w:val="255"/>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（二）项目概况</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经营主体的准入准营与退出一直以来是营商环境优化工作的重要组成部分，对激发市场活力具有重要作用。《深圳市优化市场化营商环境工作方案（2023—2025年）》提出要围绕市场准入领域创新政府管理和服务方式，面临新时代营商环境改革增量空间减小的困境，更需要以经营主体需求为导向，持续优化服务，开展服务质量跟踪评估，精准对接经营主体需求，推动服务模式的创新和提升。因此，</w:t>
      </w:r>
      <w:r>
        <w:rPr>
          <w:rFonts w:hint="eastAsia"/>
          <w:sz w:val="21"/>
          <w:szCs w:val="21"/>
        </w:rPr>
        <w:t>深圳市企业注册局</w:t>
      </w:r>
      <w:r>
        <w:rPr>
          <w:rFonts w:hint="eastAsia" w:cs="Times New Roman"/>
          <w:snapToGrid/>
          <w:spacing w:val="0"/>
          <w:sz w:val="21"/>
          <w:szCs w:val="21"/>
        </w:rPr>
        <w:t>拟委托第三方机构开展注册服务领域经营主体获得感跟踪提升服务。</w:t>
      </w:r>
    </w:p>
    <w:p>
      <w:pPr>
        <w:pStyle w:val="321"/>
        <w:ind w:firstLine="0" w:firstLineChars="0"/>
        <w:rPr>
          <w:b/>
        </w:rPr>
      </w:pPr>
      <w:r>
        <w:rPr>
          <w:rFonts w:hint="eastAsia"/>
          <w:b/>
        </w:rPr>
        <w:t>二、项目服务要求</w:t>
      </w:r>
    </w:p>
    <w:p>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（一）服务总体要求：</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中标人须根据本项目的实际情况，为本项目指定合格的项目负责人，并配备足够人员和技术力量的专门团队，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采购人监督，确保项目工作高质量完成。</w:t>
      </w:r>
    </w:p>
    <w:p>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（二）本项目具体服务要求：</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1.经营主体获得感调查。基于多种数据分析方式和数据模型，以“调查经营主体真实感受”为目标，编制调查问卷，开展2次获得感跟踪调研，并对采集到的所有结果数据进行清洗、整理及数据分析等。</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2.专家座谈研讨。与注册服务领域部门围绕深圳市创新改革方向开展1次研讨，并对研讨内容进行记录、整理。</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3.咨询解答专项服务。项目中安排专职人员1人，以一对一、不定时线上或线下答疑解惑形式跟进。</w:t>
      </w:r>
    </w:p>
    <w:p>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4.报告撰写。中标方基于经营主体需求、国内外经验启示、专家研究等，为深圳市提供有针对性、前瞻性的改革建议。项目主要交付成果为《深圳市注册服务领域经营主体获得感跟踪提升报告》。</w:t>
      </w:r>
    </w:p>
    <w:p>
      <w:pPr>
        <w:pStyle w:val="506"/>
        <w:wordWrap/>
        <w:spacing w:afterLines="0" w:line="360" w:lineRule="auto"/>
        <w:ind w:firstLine="420"/>
        <w:rPr>
          <w:rFonts w:cs="Times New Roman"/>
          <w:snapToGrid/>
          <w:spacing w:val="0"/>
          <w:sz w:val="21"/>
          <w:szCs w:val="21"/>
        </w:rPr>
      </w:pPr>
    </w:p>
    <w:p>
      <w:pPr>
        <w:pStyle w:val="321"/>
        <w:ind w:firstLine="0" w:firstLineChars="0"/>
        <w:rPr>
          <w:b/>
        </w:rPr>
      </w:pPr>
      <w:r>
        <w:rPr>
          <w:rFonts w:hint="eastAsia"/>
          <w:b/>
        </w:rPr>
        <w:t>三、项目商务要求</w:t>
      </w:r>
    </w:p>
    <w:p>
      <w:pPr>
        <w:pStyle w:val="255"/>
        <w:spacing w:beforeLines="0" w:line="360" w:lineRule="auto"/>
        <w:ind w:firstLine="0" w:firstLineChars="0"/>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（一）服务期限：</w:t>
      </w:r>
    </w:p>
    <w:p>
      <w:pPr>
        <w:pStyle w:val="255"/>
        <w:spacing w:beforeLines="0" w:line="360" w:lineRule="auto"/>
        <w:ind w:firstLine="422"/>
        <w:rPr>
          <w:rFonts w:asciiTheme="minorEastAsia" w:hAnsiTheme="minorEastAsia" w:eastAsiaTheme="minorEastAsia"/>
          <w:b/>
          <w:highlight w:val="yellow"/>
        </w:rPr>
      </w:pPr>
      <w:r>
        <w:rPr>
          <w:rFonts w:hint="eastAsia" w:asciiTheme="minorEastAsia" w:hAnsiTheme="minorEastAsia" w:eastAsiaTheme="minorEastAsia"/>
          <w:b/>
          <w:highlight w:val="yellow"/>
        </w:rPr>
        <w:t>合同签订之日起至2024年12月20日前完成。</w:t>
      </w:r>
    </w:p>
    <w:p>
      <w:pPr>
        <w:pStyle w:val="255"/>
        <w:spacing w:beforeLines="0" w:line="360" w:lineRule="auto"/>
        <w:ind w:firstLine="422"/>
        <w:rPr>
          <w:rFonts w:asciiTheme="minorEastAsia" w:hAnsiTheme="minorEastAsia" w:eastAsiaTheme="minorEastAsia"/>
          <w:b/>
          <w:highlight w:val="yellow"/>
        </w:rPr>
      </w:pPr>
      <w:r>
        <w:rPr>
          <w:rFonts w:hint="eastAsia" w:asciiTheme="minorEastAsia" w:hAnsiTheme="minorEastAsia" w:eastAsiaTheme="minorEastAsia"/>
          <w:b/>
          <w:highlight w:val="yellow"/>
        </w:rPr>
        <w:t>本项目属于长期服务项目。合同履行期限最长不得超过三十六个月，采购人可视中标供应商履约服务情况，决定是否续签。合同一年一签，最多续签两次。</w:t>
      </w:r>
    </w:p>
    <w:p>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（二）服务地点：</w:t>
      </w:r>
    </w:p>
    <w:p>
      <w:pPr>
        <w:pStyle w:val="255"/>
        <w:spacing w:beforeLines="0" w:line="360" w:lineRule="auto"/>
        <w:ind w:firstLine="424" w:firstLineChars="202"/>
        <w:rPr>
          <w:rFonts w:asciiTheme="minorEastAsia" w:hAnsiTheme="minorEastAsia" w:eastAsiaTheme="minorEastAsia"/>
          <w:b/>
        </w:rPr>
      </w:pPr>
      <w:r>
        <w:rPr>
          <w:rFonts w:hint="eastAsia" w:ascii="宋体" w:hAnsi="宋体" w:eastAsia="宋体"/>
          <w:szCs w:val="21"/>
        </w:rPr>
        <w:t>采购人指定地点。</w:t>
      </w:r>
    </w:p>
    <w:p>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（三）报价要求：</w:t>
      </w:r>
    </w:p>
    <w:p>
      <w:pPr>
        <w:spacing w:line="360" w:lineRule="auto"/>
        <w:ind w:firstLine="420" w:firstLineChars="200"/>
        <w:jc w:val="left"/>
        <w:rPr>
          <w:rFonts w:ascii="宋体" w:hAnsi="宋体"/>
          <w:szCs w:val="21"/>
        </w:rPr>
      </w:pPr>
      <w:r>
        <w:rPr>
          <w:rFonts w:hint="eastAsia" w:ascii="宋体" w:hAnsi="宋体"/>
          <w:szCs w:val="21"/>
        </w:rPr>
        <w:t>1.本项目服务费采用包干制，应包括服务成本、法定税费和利润。由投标人根据采购文件所提供的资料自行测算投标报价；一经中标，报价总价作为中标人与采购人签定的合同金额，合同期限内不做调整。</w:t>
      </w:r>
    </w:p>
    <w:p>
      <w:pPr>
        <w:spacing w:line="360" w:lineRule="auto"/>
        <w:ind w:firstLine="420" w:firstLineChars="200"/>
        <w:jc w:val="left"/>
        <w:rPr>
          <w:rFonts w:ascii="宋体" w:hAnsi="宋体"/>
          <w:szCs w:val="21"/>
        </w:rPr>
      </w:pPr>
      <w:r>
        <w:rPr>
          <w:rFonts w:hint="eastAsia" w:ascii="宋体" w:hAnsi="宋体"/>
          <w:szCs w:val="21"/>
        </w:rPr>
        <w:t>2.投标人应当根据本单位的成本、利润、税费等情况自行决定报价。</w:t>
      </w:r>
    </w:p>
    <w:p>
      <w:pPr>
        <w:spacing w:line="360" w:lineRule="auto"/>
        <w:ind w:firstLine="420" w:firstLineChars="200"/>
        <w:jc w:val="left"/>
        <w:rPr>
          <w:rFonts w:ascii="宋体" w:hAnsi="宋体"/>
          <w:szCs w:val="21"/>
        </w:rPr>
      </w:pPr>
      <w:r>
        <w:rPr>
          <w:rFonts w:hint="eastAsia" w:ascii="宋体" w:hAnsi="宋体"/>
          <w:szCs w:val="21"/>
        </w:rPr>
        <w:t>3.投标人的报价不得超过项目预算金额，否则作投标无效处理。</w:t>
      </w:r>
    </w:p>
    <w:p>
      <w:pPr>
        <w:spacing w:line="360" w:lineRule="auto"/>
        <w:ind w:firstLine="420" w:firstLineChars="200"/>
        <w:jc w:val="left"/>
        <w:rPr>
          <w:rFonts w:ascii="宋体" w:hAnsi="宋体"/>
          <w:szCs w:val="21"/>
        </w:rPr>
      </w:pPr>
      <w:r>
        <w:rPr>
          <w:rFonts w:hint="eastAsia" w:ascii="宋体" w:hAnsi="宋体"/>
          <w:szCs w:val="21"/>
        </w:rPr>
        <w:t>4.投标人的报价，应当是本项目采购范围和采购文件及合同条款上所列的各项内容中所述的全部，不得以任何理由予以重复。</w:t>
      </w:r>
    </w:p>
    <w:p>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（四）付款方式：</w:t>
      </w:r>
    </w:p>
    <w:p>
      <w:pPr>
        <w:pStyle w:val="456"/>
        <w:spacing w:before="0" w:beforeAutospacing="0" w:after="0" w:afterAutospacing="0" w:line="360" w:lineRule="auto"/>
        <w:ind w:firstLine="420" w:firstLineChars="200"/>
        <w:rPr>
          <w:sz w:val="21"/>
          <w:szCs w:val="21"/>
        </w:rPr>
      </w:pPr>
      <w:r>
        <w:rPr>
          <w:rFonts w:hint="eastAsia"/>
          <w:sz w:val="21"/>
          <w:szCs w:val="21"/>
        </w:rPr>
        <w:t>采购人在合同签订后，且收到中标人提供符合规定发票后10个工作日内支付合同总额的50%作为首期款，余款按进度验收通过后予以支付。</w:t>
      </w:r>
    </w:p>
    <w:p>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（五）知识产权：</w:t>
      </w:r>
    </w:p>
    <w:p>
      <w:pPr>
        <w:pStyle w:val="456"/>
        <w:spacing w:before="0" w:beforeAutospacing="0" w:after="0" w:afterAutospacing="0" w:line="360" w:lineRule="auto"/>
        <w:ind w:firstLine="420" w:firstLineChars="200"/>
        <w:rPr>
          <w:sz w:val="21"/>
          <w:szCs w:val="21"/>
        </w:rPr>
      </w:pPr>
      <w:r>
        <w:rPr>
          <w:rFonts w:hint="eastAsia"/>
          <w:sz w:val="21"/>
          <w:szCs w:val="21"/>
        </w:rPr>
        <w:t>1.中标人在项目实施过程中不得侵犯第三人知识产权以及其他权益。需要使用第三人知识产权的，中标人应取得权利人许可或者授权并由中标人承担费用。</w:t>
      </w:r>
    </w:p>
    <w:p>
      <w:pPr>
        <w:pStyle w:val="456"/>
        <w:spacing w:before="0" w:beforeAutospacing="0" w:after="0" w:afterAutospacing="0" w:line="360" w:lineRule="auto"/>
        <w:ind w:firstLine="420" w:firstLineChars="200"/>
        <w:rPr>
          <w:sz w:val="21"/>
          <w:szCs w:val="21"/>
        </w:rPr>
      </w:pPr>
      <w:r>
        <w:rPr>
          <w:rFonts w:hint="eastAsia"/>
          <w:sz w:val="21"/>
          <w:szCs w:val="21"/>
        </w:rPr>
        <w:t>2.除第三人依法享有知识产权的除外，中标人实施本项目所形成成果的知识产权归采购人所有，未经采购人许可，中标人不得随意使用。</w:t>
      </w:r>
    </w:p>
    <w:p>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（六）验收内容及标准：</w:t>
      </w:r>
    </w:p>
    <w:p>
      <w:pPr>
        <w:pStyle w:val="456"/>
        <w:spacing w:before="0" w:beforeAutospacing="0" w:after="0" w:afterAutospacing="0" w:line="360" w:lineRule="auto"/>
        <w:ind w:firstLine="420" w:firstLineChars="200"/>
        <w:rPr>
          <w:sz w:val="21"/>
          <w:szCs w:val="21"/>
        </w:rPr>
      </w:pPr>
      <w:r>
        <w:rPr>
          <w:rFonts w:hint="eastAsia"/>
          <w:sz w:val="21"/>
          <w:szCs w:val="21"/>
        </w:rPr>
        <w:t>1.采购人以采购项目的招标文件、投标文件、采购合同作为验收依据，按照采购合同的约定逐项核对技术、服务的履约情况并确认。</w:t>
      </w:r>
    </w:p>
    <w:p>
      <w:pPr>
        <w:pStyle w:val="456"/>
        <w:spacing w:before="0" w:beforeAutospacing="0" w:after="0" w:afterAutospacing="0" w:line="360" w:lineRule="auto"/>
        <w:ind w:firstLine="420" w:firstLineChars="200"/>
        <w:rPr>
          <w:sz w:val="21"/>
          <w:szCs w:val="21"/>
        </w:rPr>
      </w:pPr>
      <w:r>
        <w:rPr>
          <w:rFonts w:hint="eastAsia"/>
          <w:sz w:val="21"/>
          <w:szCs w:val="21"/>
        </w:rPr>
        <w:t>2.本项目具体验收内容及标准：提供工作完结报告纸质版1份、工作开展中各类材料电子档以及项目研究成果报告一份。</w:t>
      </w:r>
    </w:p>
    <w:p>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（七）违约责任：</w:t>
      </w:r>
    </w:p>
    <w:p>
      <w:pPr>
        <w:pStyle w:val="456"/>
        <w:spacing w:before="0" w:beforeAutospacing="0" w:after="0" w:afterAutospacing="0" w:line="360" w:lineRule="auto"/>
        <w:ind w:firstLine="420" w:firstLineChars="200"/>
        <w:rPr>
          <w:sz w:val="21"/>
          <w:szCs w:val="21"/>
        </w:rPr>
      </w:pPr>
      <w:r>
        <w:rPr>
          <w:rFonts w:hint="eastAsia"/>
          <w:sz w:val="21"/>
          <w:szCs w:val="21"/>
        </w:rPr>
        <w:t>1.中标供应商未在约定期限内完成项目内容并提交成果的，每延迟一日按照合同总金额千分之一的标准向采购人支付违约金。延迟超过十日的，采购人有权解除合同并要求中标供应商返还已经支付的款项，未支付的不再支付。</w:t>
      </w:r>
    </w:p>
    <w:p>
      <w:pPr>
        <w:pStyle w:val="456"/>
        <w:spacing w:before="0" w:beforeAutospacing="0" w:after="0" w:afterAutospacing="0" w:line="360" w:lineRule="auto"/>
        <w:ind w:firstLine="420" w:firstLineChars="200"/>
        <w:rPr>
          <w:sz w:val="21"/>
          <w:szCs w:val="21"/>
        </w:rPr>
      </w:pPr>
      <w:r>
        <w:rPr>
          <w:rFonts w:hint="eastAsia"/>
          <w:sz w:val="21"/>
          <w:szCs w:val="21"/>
        </w:rPr>
        <w:t>2.中标供应商交付的成果验收不合格的，经采购人要求整改再次验收仍不合格的或中标供应商提交的成果存在虚假、违法违规、重大错误的，采购人有权立即解除合同、要求中标供应商返还已经支付的款项并支付合同总额20%的违约金。</w:t>
      </w:r>
    </w:p>
    <w:p>
      <w:pPr>
        <w:pStyle w:val="456"/>
        <w:spacing w:before="0" w:beforeAutospacing="0" w:after="0" w:afterAutospacing="0" w:line="360" w:lineRule="auto"/>
        <w:ind w:firstLine="420" w:firstLineChars="200"/>
        <w:rPr>
          <w:sz w:val="21"/>
          <w:szCs w:val="21"/>
        </w:rPr>
      </w:pPr>
      <w:r>
        <w:rPr>
          <w:rFonts w:hint="eastAsia"/>
          <w:sz w:val="21"/>
          <w:szCs w:val="21"/>
        </w:rPr>
        <w:t>3.因中标供应商实施本项目过程中侵犯第三人合法权益或者违约导致采购人承担赔偿责任的，采购人有权向中标供应商追偿并有权解除合同、要求中标供应商返还已经支付的款项并支付合同总额20%的违约金。</w:t>
      </w:r>
    </w:p>
    <w:p>
      <w:pPr>
        <w:pStyle w:val="456"/>
        <w:spacing w:before="0" w:beforeAutospacing="0" w:after="0" w:afterAutospacing="0" w:line="360" w:lineRule="auto"/>
        <w:ind w:firstLine="420" w:firstLineChars="200"/>
        <w:rPr>
          <w:sz w:val="21"/>
          <w:szCs w:val="21"/>
        </w:rPr>
      </w:pPr>
      <w:r>
        <w:rPr>
          <w:rFonts w:hint="eastAsia"/>
          <w:sz w:val="21"/>
          <w:szCs w:val="21"/>
        </w:rPr>
        <w:t>4.中标供应商签订合同后，实际配备的工作人员与投标文件的承诺不一致的，或实施本项目时已不符合招标文件要求的，采购人有权解除合同，并要求中标供应商向采购人支付合同总额 20 %的违约金。</w:t>
      </w:r>
    </w:p>
    <w:p>
      <w:pPr>
        <w:pStyle w:val="456"/>
        <w:spacing w:before="0" w:beforeAutospacing="0" w:after="0" w:afterAutospacing="0" w:line="360" w:lineRule="auto"/>
        <w:ind w:firstLine="420" w:firstLineChars="200"/>
        <w:rPr>
          <w:sz w:val="21"/>
          <w:szCs w:val="21"/>
        </w:rPr>
      </w:pPr>
      <w:r>
        <w:rPr>
          <w:rFonts w:hint="eastAsia"/>
          <w:sz w:val="21"/>
          <w:szCs w:val="21"/>
        </w:rPr>
        <w:t>5.中标供应商无正当理由解除合同的，应向采购人支付合同总额20%的违约金。</w:t>
      </w:r>
    </w:p>
    <w:p>
      <w:pPr>
        <w:pStyle w:val="456"/>
        <w:spacing w:before="0" w:beforeAutospacing="0" w:after="0" w:afterAutospacing="0" w:line="360" w:lineRule="auto"/>
        <w:ind w:firstLine="420" w:firstLineChars="200"/>
        <w:rPr>
          <w:sz w:val="21"/>
          <w:szCs w:val="21"/>
        </w:rPr>
      </w:pPr>
      <w:r>
        <w:rPr>
          <w:rFonts w:hint="eastAsia"/>
          <w:sz w:val="21"/>
          <w:szCs w:val="21"/>
        </w:rPr>
        <w:t>6.中标供应商违反本需求知识产权相关内容的，应向采购人支付合同总额 20 %的违约金。</w:t>
      </w:r>
    </w:p>
    <w:p>
      <w:pPr>
        <w:pStyle w:val="456"/>
        <w:spacing w:before="0" w:beforeAutospacing="0" w:after="0" w:afterAutospacing="0" w:line="360" w:lineRule="auto"/>
        <w:ind w:firstLine="420" w:firstLineChars="200"/>
        <w:rPr>
          <w:sz w:val="21"/>
          <w:szCs w:val="21"/>
        </w:rPr>
      </w:pPr>
      <w:r>
        <w:rPr>
          <w:rFonts w:hint="eastAsia"/>
          <w:sz w:val="21"/>
          <w:szCs w:val="21"/>
        </w:rPr>
        <w:t>7.未经采购人同意，中标供应商将本合同项目的任务全部或者一部分转委托给第三人，采购人有权解除合同、要求中标供应商返还已经支付的款项并支付合同总额20%的违约金。</w:t>
      </w:r>
    </w:p>
    <w:p>
      <w:pPr>
        <w:pStyle w:val="456"/>
        <w:spacing w:before="0" w:beforeAutospacing="0" w:after="0" w:afterAutospacing="0" w:line="360" w:lineRule="auto"/>
        <w:ind w:firstLine="420" w:firstLineChars="200"/>
        <w:rPr>
          <w:sz w:val="21"/>
          <w:szCs w:val="21"/>
        </w:rPr>
      </w:pPr>
      <w:r>
        <w:rPr>
          <w:rFonts w:hint="eastAsia"/>
          <w:sz w:val="21"/>
          <w:szCs w:val="21"/>
        </w:rPr>
        <w:t>8.采购人违约的，应按照《民法典》有关规定承担违约责任。</w:t>
      </w:r>
    </w:p>
    <w:p>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（八）售后服务：</w:t>
      </w:r>
    </w:p>
    <w:p>
      <w:pPr>
        <w:pStyle w:val="456"/>
        <w:spacing w:before="0" w:beforeAutospacing="0" w:after="0" w:afterAutospacing="0" w:line="360" w:lineRule="auto"/>
        <w:ind w:firstLine="420" w:firstLineChars="200"/>
        <w:rPr>
          <w:sz w:val="21"/>
          <w:szCs w:val="21"/>
        </w:rPr>
      </w:pPr>
      <w:r>
        <w:rPr>
          <w:sz w:val="21"/>
          <w:szCs w:val="21"/>
        </w:rPr>
        <w:t>中标供应商在项目验收合格之日起提供售后服务一年，在售后服务期内，中标供应商应在接到采购人通知之日后2个自然日内派人处理。</w:t>
      </w:r>
    </w:p>
    <w:p>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（九）解决争议的方法：</w:t>
      </w:r>
    </w:p>
    <w:p>
      <w:pPr>
        <w:pStyle w:val="456"/>
        <w:spacing w:before="0" w:beforeAutospacing="0" w:after="0" w:afterAutospacing="0" w:line="360" w:lineRule="auto"/>
        <w:ind w:firstLine="420" w:firstLineChars="200"/>
        <w:rPr>
          <w:sz w:val="21"/>
          <w:szCs w:val="21"/>
        </w:rPr>
      </w:pPr>
      <w:r>
        <w:rPr>
          <w:rFonts w:hint="eastAsia"/>
          <w:sz w:val="21"/>
          <w:szCs w:val="21"/>
        </w:rPr>
        <w:t>1.双方因履行本项目发生争议的，可协商解决，无法协商解决的应向采购人住所地有管辖权的人民法院提起诉讼。</w:t>
      </w:r>
    </w:p>
    <w:p>
      <w:pPr>
        <w:pStyle w:val="456"/>
        <w:spacing w:before="0" w:beforeAutospacing="0" w:after="0" w:afterAutospacing="0" w:line="360" w:lineRule="auto"/>
        <w:ind w:firstLine="420" w:firstLineChars="200"/>
        <w:rPr>
          <w:sz w:val="21"/>
          <w:szCs w:val="21"/>
        </w:rPr>
      </w:pPr>
      <w:r>
        <w:rPr>
          <w:rFonts w:hint="eastAsia"/>
          <w:sz w:val="21"/>
          <w:szCs w:val="21"/>
        </w:rPr>
        <w:t>2.诉讼进行过程中，双方将继续履行本项目未涉诉讼的其它部分。</w:t>
      </w: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456"/>
        <w:spacing w:before="0" w:beforeAutospacing="0" w:after="0" w:afterAutospacing="0" w:line="360" w:lineRule="auto"/>
        <w:ind w:firstLine="420" w:firstLineChars="200"/>
        <w:rPr>
          <w:sz w:val="21"/>
          <w:szCs w:val="21"/>
        </w:rPr>
      </w:pPr>
    </w:p>
    <w:p>
      <w:pPr>
        <w:pStyle w:val="3"/>
      </w:pPr>
      <w:bookmarkStart w:id="2" w:name="_Toc135293161"/>
      <w:r>
        <w:rPr>
          <w:rFonts w:hint="eastAsia"/>
        </w:rPr>
        <w:t>第三章  投标文件初审</w:t>
      </w:r>
      <w:bookmarkEnd w:id="2"/>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本章是本招标文件中涉及的所有无效标和废标情形的摘要，除法律法规另有规定外，投标文件的其他任何情形均不得作无效标和废标处理。招标文件中有关无效标和废标与本章节不一致的，以本章节内容为准。</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请评委重点审查供应商是否存在《深圳经济特区政府采购条例实施细则》第七十五条规定的串通投标情形：</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（一）投标供应商之间相互约定给予未中标的供应商利益补偿；</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（二）不同投标供应商的法定代表人、主要经营负责人、项目投标授权代表人、项目负责人、主要技术人员为同一人、属同一单位或者在同一单位缴纳社会保险；</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（三）不同投标供应商的投标文件由同一单位或者同一人编制，或者由同一人分阶段参与编制的；</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（四）不同投标供应商的投标文件或部分投标文件相互混装；</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（五）不同投标供应商的投标文件内容存在非正常一致；</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（六）由同一单位工作人员为两家以上（含两家）供应商进行同一项投标活动的；</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（七）主管部门依照法律、法规认定的其他情形。</w:t>
      </w:r>
    </w:p>
    <w:p>
      <w:pPr>
        <w:adjustRightInd w:val="0"/>
        <w:spacing w:line="360" w:lineRule="auto"/>
        <w:rPr>
          <w:snapToGrid w:val="0"/>
          <w:kern w:val="0"/>
        </w:rPr>
      </w:pPr>
    </w:p>
    <w:p>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5、投标文件的关键内容字迹模糊、无法辨认的。</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11、投标违规行为：如以他人名义竞标、串通投标或者以其他弄虚作假方式投标的。</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投标人的投标总价超过采购预算金额或最高投标限价的</w:t>
      </w:r>
      <w:r>
        <w:rPr>
          <w:rFonts w:hint="eastAsia" w:ascii="宋体" w:hAnsi="宋体"/>
          <w:snapToGrid w:val="0"/>
          <w:kern w:val="0"/>
        </w:rPr>
        <w:t>。</w:t>
      </w:r>
    </w:p>
    <w:p>
      <w:pPr>
        <w:adjustRightInd w:val="0"/>
        <w:spacing w:line="360" w:lineRule="auto"/>
        <w:ind w:firstLine="422" w:firstLineChars="201"/>
        <w:rPr>
          <w:rFonts w:ascii="宋体" w:hAnsi="宋体"/>
          <w:snapToGrid w:val="0"/>
          <w:kern w:val="0"/>
        </w:rPr>
      </w:pPr>
      <w:r>
        <w:rPr>
          <w:rFonts w:hint="eastAsia" w:ascii="宋体" w:hAnsi="宋体"/>
          <w:snapToGrid w:val="0"/>
          <w:kern w:val="0"/>
        </w:rPr>
        <w:t>13、法律法规规定的其它情形。</w:t>
      </w:r>
    </w:p>
    <w:p/>
    <w:p/>
    <w:p/>
    <w:p/>
    <w:p/>
    <w:p/>
    <w:p/>
    <w:p/>
    <w:p/>
    <w:p/>
    <w:p/>
    <w:p/>
    <w:p/>
    <w:p/>
    <w:p/>
    <w:p/>
    <w:p/>
    <w:p/>
    <w:p/>
    <w:p/>
    <w:p/>
    <w:p/>
    <w:p/>
    <w:p/>
    <w:p/>
    <w:p/>
    <w:p/>
    <w:p/>
    <w:p/>
    <w:p/>
    <w:p/>
    <w:p/>
    <w:p/>
    <w:p/>
    <w:p/>
    <w:p/>
    <w:p/>
    <w:p/>
    <w:p/>
    <w:p>
      <w:pPr>
        <w:pStyle w:val="3"/>
        <w:spacing w:after="0"/>
      </w:pPr>
      <w:bookmarkStart w:id="3" w:name="_Toc135293162"/>
      <w:r>
        <w:rPr>
          <w:rFonts w:hint="eastAsia"/>
        </w:rPr>
        <w:t>第四章  评标方法和标准</w:t>
      </w:r>
      <w:bookmarkEnd w:id="3"/>
    </w:p>
    <w:p/>
    <w:p>
      <w:pPr>
        <w:pStyle w:val="2"/>
        <w:spacing w:before="0" w:after="0"/>
      </w:pPr>
      <w:bookmarkStart w:id="4" w:name="_Toc44690702"/>
      <w:bookmarkStart w:id="5" w:name="_Toc44691161"/>
      <w:bookmarkStart w:id="6" w:name="_Toc135293163"/>
      <w:bookmarkStart w:id="7" w:name="_Toc44691393"/>
      <w:bookmarkStart w:id="8" w:name="_Toc44690429"/>
      <w:r>
        <w:rPr>
          <w:rFonts w:hint="eastAsia"/>
        </w:rPr>
        <w:t>一、</w:t>
      </w:r>
      <w:r>
        <w:t>评标方法</w:t>
      </w:r>
      <w:bookmarkEnd w:id="4"/>
      <w:bookmarkEnd w:id="5"/>
      <w:bookmarkEnd w:id="6"/>
      <w:bookmarkEnd w:id="7"/>
      <w:bookmarkEnd w:id="8"/>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中标供应商数量：1名，候选中标供应商数量：3名。</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5、推荐候选中标供应商：</w:t>
      </w:r>
    </w:p>
    <w:p>
      <w:pPr>
        <w:pStyle w:val="45"/>
        <w:spacing w:before="0" w:beforeAutospacing="0" w:after="0" w:afterAutospacing="0" w:line="360" w:lineRule="exact"/>
        <w:ind w:firstLine="424" w:firstLineChars="177"/>
        <w:rPr>
          <w:rFonts w:cs="仿宋" w:asciiTheme="minorEastAsia" w:hAnsiTheme="minorEastAsia" w:eastAsiaTheme="minorEastAsia"/>
          <w:kern w:val="2"/>
          <w:sz w:val="21"/>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kern w:val="2"/>
          <w:sz w:val="21"/>
          <w:szCs w:val="21"/>
        </w:rPr>
        <w:t>非评定分离项目：由评标委员会推荐</w:t>
      </w:r>
      <w:r>
        <w:rPr>
          <w:rFonts w:hint="eastAsia" w:cs="仿宋" w:asciiTheme="minorEastAsia" w:hAnsiTheme="minorEastAsia" w:eastAsiaTheme="minorEastAsia"/>
          <w:b/>
          <w:kern w:val="2"/>
          <w:sz w:val="21"/>
          <w:szCs w:val="21"/>
        </w:rPr>
        <w:t>评标排名前三的投标人</w:t>
      </w:r>
      <w:r>
        <w:rPr>
          <w:rFonts w:hint="eastAsia" w:cs="仿宋" w:asciiTheme="minorEastAsia" w:hAnsiTheme="minorEastAsia" w:eastAsiaTheme="minorEastAsia"/>
          <w:kern w:val="2"/>
          <w:sz w:val="21"/>
          <w:szCs w:val="21"/>
        </w:rPr>
        <w:t>作为候选中标供应商。</w:t>
      </w:r>
    </w:p>
    <w:p>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评定分离项目：由评标委员会推荐</w:t>
      </w:r>
      <w:r>
        <w:rPr>
          <w:rFonts w:hint="eastAsia" w:cs="仿宋" w:asciiTheme="minorEastAsia" w:hAnsiTheme="minorEastAsia" w:eastAsiaTheme="minorEastAsia"/>
          <w:b/>
          <w:szCs w:val="21"/>
        </w:rPr>
        <w:t>评标排名前三的投标人（无排序）</w:t>
      </w:r>
      <w:r>
        <w:rPr>
          <w:rFonts w:hint="eastAsia" w:cs="仿宋" w:asciiTheme="minorEastAsia" w:hAnsiTheme="minorEastAsia" w:eastAsiaTheme="minorEastAsia"/>
          <w:szCs w:val="21"/>
        </w:rPr>
        <w:t>作为候选中标供应商。</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6、确定中标供应商：</w:t>
      </w:r>
    </w:p>
    <w:p>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pPr>
        <w:spacing w:line="360" w:lineRule="auto"/>
        <w:ind w:firstLine="424" w:firstLineChars="202"/>
        <w:rPr>
          <w:rFonts w:asciiTheme="minorEastAsia" w:hAnsiTheme="minorEastAsia" w:eastAsiaTheme="minorEastAsia"/>
        </w:rPr>
      </w:pPr>
    </w:p>
    <w:p>
      <w:pPr>
        <w:pStyle w:val="2"/>
        <w:spacing w:before="0" w:after="0"/>
      </w:pPr>
      <w:bookmarkStart w:id="9" w:name="_Toc135293164"/>
      <w:r>
        <w:rPr>
          <w:rFonts w:hint="eastAsia"/>
        </w:rPr>
        <w:t>二、评标标准</w:t>
      </w:r>
      <w:bookmarkEnd w:id="9"/>
    </w:p>
    <w:p>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评分项及评分规则</w:t>
            </w:r>
          </w:p>
        </w:tc>
        <w:tc>
          <w:tcPr>
            <w:tcW w:w="1187" w:type="dxa"/>
            <w:vAlign w:val="center"/>
          </w:tcPr>
          <w:p>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一、价格部分</w:t>
            </w:r>
          </w:p>
        </w:tc>
        <w:tc>
          <w:tcPr>
            <w:tcW w:w="1187" w:type="dxa"/>
            <w:vAlign w:val="center"/>
          </w:tcPr>
          <w:p>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价格分采用低价优先法计算，即满足招标文件要求且投标价格最低的投标报价为评标基准价，其价格分为满分。其他投标人的价格分统一按照下列公式计算：</w:t>
            </w:r>
          </w:p>
          <w:p>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投标报价得分=(评标基准价／投标报价)×权重</w:t>
            </w:r>
          </w:p>
          <w:p>
            <w:pPr>
              <w:adjustRightInd w:val="0"/>
              <w:snapToGrid w:val="0"/>
              <w:spacing w:line="360" w:lineRule="exact"/>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备注：</w:t>
            </w:r>
          </w:p>
          <w:p>
            <w:pPr>
              <w:adjustRightInd w:val="0"/>
              <w:snapToGrid w:val="0"/>
              <w:spacing w:line="360" w:lineRule="exact"/>
              <w:rPr>
                <w:rFonts w:asciiTheme="minorEastAsia" w:hAnsiTheme="minorEastAsia" w:eastAsiaTheme="minorEastAsia"/>
                <w:bCs/>
                <w:snapToGrid w:val="0"/>
                <w:kern w:val="0"/>
                <w:szCs w:val="21"/>
              </w:rPr>
            </w:pPr>
            <w:r>
              <w:rPr>
                <w:rFonts w:hint="eastAsia" w:asciiTheme="minorEastAsia" w:hAnsiTheme="minorEastAsia" w:eastAsiaTheme="minorEastAsia"/>
                <w:snapToGrid w:val="0"/>
                <w:kern w:val="0"/>
                <w:szCs w:val="21"/>
              </w:rPr>
              <w:t>1、因落实政府采购政策进行价格调整的，以调整后的价格计算评标基准价和投标报价</w:t>
            </w:r>
            <w:r>
              <w:rPr>
                <w:rFonts w:hint="eastAsia" w:asciiTheme="minorEastAsia" w:hAnsiTheme="minorEastAsia" w:eastAsiaTheme="minorEastAsia"/>
                <w:bCs/>
                <w:snapToGrid w:val="0"/>
                <w:kern w:val="0"/>
                <w:szCs w:val="21"/>
              </w:rPr>
              <w:t>；</w:t>
            </w:r>
          </w:p>
          <w:p>
            <w:pPr>
              <w:autoSpaceDE w:val="0"/>
              <w:autoSpaceDN w:val="0"/>
              <w:adjustRightInd w:val="0"/>
              <w:spacing w:line="360" w:lineRule="exact"/>
              <w:jc w:val="left"/>
              <w:rPr>
                <w:rFonts w:cs="仿宋" w:asciiTheme="minorEastAsia" w:hAnsiTheme="minorEastAsia" w:eastAsiaTheme="minorEastAsia"/>
                <w:szCs w:val="21"/>
              </w:rPr>
            </w:pPr>
            <w:r>
              <w:rPr>
                <w:rFonts w:hint="eastAsia" w:asciiTheme="minorEastAsia" w:hAnsiTheme="minorEastAsia" w:eastAsiaTheme="minorEastAsia"/>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按公式计算评分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二、技术部分</w:t>
            </w:r>
          </w:p>
        </w:tc>
        <w:tc>
          <w:tcPr>
            <w:tcW w:w="1187" w:type="dxa"/>
            <w:vAlign w:val="center"/>
          </w:tcPr>
          <w:p>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序号</w:t>
            </w:r>
          </w:p>
        </w:tc>
        <w:tc>
          <w:tcPr>
            <w:tcW w:w="1143" w:type="dxa"/>
            <w:vAlign w:val="center"/>
          </w:tcPr>
          <w:p>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内容</w:t>
            </w:r>
          </w:p>
        </w:tc>
        <w:tc>
          <w:tcPr>
            <w:tcW w:w="709" w:type="dxa"/>
            <w:vAlign w:val="center"/>
          </w:tcPr>
          <w:p>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权重</w:t>
            </w:r>
          </w:p>
        </w:tc>
        <w:tc>
          <w:tcPr>
            <w:tcW w:w="5953" w:type="dxa"/>
            <w:vAlign w:val="center"/>
          </w:tcPr>
          <w:p>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评分规则</w:t>
            </w:r>
          </w:p>
        </w:tc>
        <w:tc>
          <w:tcPr>
            <w:tcW w:w="1187" w:type="dxa"/>
            <w:vAlign w:val="center"/>
          </w:tcPr>
          <w:p>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07" w:hRule="atLeast"/>
          <w:jc w:val="center"/>
        </w:trPr>
        <w:tc>
          <w:tcPr>
            <w:tcW w:w="754" w:type="dxa"/>
            <w:vAlign w:val="center"/>
          </w:tcPr>
          <w:p>
            <w:pPr>
              <w:widowControl/>
              <w:snapToGrid w:val="0"/>
              <w:spacing w:line="3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w:t>
            </w:r>
          </w:p>
        </w:tc>
        <w:tc>
          <w:tcPr>
            <w:tcW w:w="1143" w:type="dxa"/>
            <w:vAlign w:val="center"/>
          </w:tcPr>
          <w:p>
            <w:pPr>
              <w:widowControl/>
              <w:spacing w:line="36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对项目的理解</w:t>
            </w:r>
          </w:p>
        </w:tc>
        <w:tc>
          <w:tcPr>
            <w:tcW w:w="709" w:type="dxa"/>
            <w:vAlign w:val="center"/>
          </w:tcPr>
          <w:p>
            <w:pPr>
              <w:widowControl/>
              <w:spacing w:line="3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6</w:t>
            </w:r>
          </w:p>
        </w:tc>
        <w:tc>
          <w:tcPr>
            <w:tcW w:w="5953" w:type="dxa"/>
            <w:vAlign w:val="center"/>
          </w:tcPr>
          <w:p>
            <w:pPr>
              <w:widowControl/>
              <w:snapToGrid w:val="0"/>
              <w:spacing w:line="560" w:lineRule="exact"/>
              <w:jc w:val="left"/>
              <w:rPr>
                <w:rFonts w:ascii="宋体" w:hAnsi="宋体" w:cs="宋体"/>
                <w:b/>
                <w:bCs/>
                <w:szCs w:val="21"/>
              </w:rPr>
            </w:pPr>
            <w:r>
              <w:rPr>
                <w:rFonts w:hint="eastAsia" w:ascii="宋体" w:hAnsi="宋体" w:cs="宋体"/>
                <w:b/>
                <w:bCs/>
                <w:szCs w:val="21"/>
              </w:rPr>
              <w:t>（一）评审内容：</w:t>
            </w:r>
          </w:p>
          <w:p>
            <w:pPr>
              <w:widowControl/>
              <w:autoSpaceDE w:val="0"/>
              <w:autoSpaceDN w:val="0"/>
              <w:adjustRightInd w:val="0"/>
              <w:spacing w:line="360" w:lineRule="exact"/>
              <w:jc w:val="left"/>
            </w:pPr>
            <w:r>
              <w:rPr>
                <w:rFonts w:hint="eastAsia"/>
              </w:rPr>
              <w:t>考察投标人对项目的理解，至少包括以下内容：</w:t>
            </w:r>
          </w:p>
          <w:p>
            <w:pPr>
              <w:widowControl/>
              <w:autoSpaceDE w:val="0"/>
              <w:autoSpaceDN w:val="0"/>
              <w:adjustRightInd w:val="0"/>
              <w:spacing w:line="360" w:lineRule="exact"/>
              <w:jc w:val="left"/>
            </w:pPr>
            <w:r>
              <w:rPr>
                <w:rFonts w:hint="eastAsia"/>
              </w:rPr>
              <w:t>1、项目背景；</w:t>
            </w:r>
          </w:p>
          <w:p>
            <w:pPr>
              <w:widowControl/>
              <w:autoSpaceDE w:val="0"/>
              <w:autoSpaceDN w:val="0"/>
              <w:adjustRightInd w:val="0"/>
              <w:spacing w:line="360" w:lineRule="exact"/>
              <w:jc w:val="left"/>
            </w:pPr>
            <w:r>
              <w:rPr>
                <w:rFonts w:hint="eastAsia"/>
              </w:rPr>
              <w:t>2、项目目标。</w:t>
            </w:r>
          </w:p>
          <w:p>
            <w:pPr>
              <w:widowControl/>
              <w:snapToGrid w:val="0"/>
              <w:spacing w:line="560" w:lineRule="exact"/>
              <w:jc w:val="left"/>
              <w:rPr>
                <w:rFonts w:ascii="宋体" w:hAnsi="宋体" w:cs="宋体"/>
                <w:b/>
                <w:bCs/>
                <w:szCs w:val="21"/>
              </w:rPr>
            </w:pPr>
            <w:r>
              <w:rPr>
                <w:rFonts w:hint="eastAsia" w:ascii="宋体" w:hAnsi="宋体" w:cs="宋体"/>
                <w:b/>
                <w:bCs/>
                <w:szCs w:val="21"/>
              </w:rPr>
              <w:t>（二）评审标准：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包含以上两项内容得2分，包含以上任意一项内容得1分，其他情况不得分。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在此基础上，根据方案响应情况进一步评审：</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1、对项目理解深刻、解读合理的，加4分；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2、</w:t>
            </w:r>
            <w:r>
              <w:rPr>
                <w:rFonts w:hint="eastAsia" w:ascii="宋体" w:hAnsi="宋体" w:cs="宋体"/>
                <w:szCs w:val="21"/>
              </w:rPr>
              <w:t>对项目理解比较深刻、解读比较合理的</w:t>
            </w:r>
            <w:r>
              <w:rPr>
                <w:rFonts w:hint="eastAsia" w:cs="宋体" w:asciiTheme="minorEastAsia" w:hAnsiTheme="minorEastAsia" w:eastAsiaTheme="minorEastAsia"/>
                <w:szCs w:val="21"/>
              </w:rPr>
              <w:t>，加2分；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3、</w:t>
            </w:r>
            <w:r>
              <w:rPr>
                <w:rFonts w:hint="eastAsia" w:ascii="宋体" w:hAnsi="宋体" w:cs="宋体"/>
                <w:szCs w:val="21"/>
              </w:rPr>
              <w:t>对项目理解不够深刻、解读不够合理的</w:t>
            </w:r>
            <w:r>
              <w:rPr>
                <w:rFonts w:hint="eastAsia" w:cs="宋体" w:asciiTheme="minorEastAsia" w:hAnsiTheme="minorEastAsia" w:eastAsiaTheme="minorEastAsia"/>
                <w:szCs w:val="21"/>
              </w:rPr>
              <w:t>，加1分；</w:t>
            </w:r>
          </w:p>
          <w:p>
            <w:pPr>
              <w:pStyle w:val="94"/>
              <w:spacing w:line="360" w:lineRule="exact"/>
              <w:ind w:firstLine="0" w:firstLineChars="0"/>
              <w:rPr>
                <w:rFonts w:cs="宋体" w:asciiTheme="minorEastAsia" w:hAnsiTheme="minorEastAsia" w:eastAsiaTheme="minorEastAsia"/>
                <w:szCs w:val="21"/>
              </w:rPr>
            </w:pPr>
            <w:r>
              <w:rPr>
                <w:rFonts w:hint="eastAsia" w:cs="宋体" w:asciiTheme="minorEastAsia" w:hAnsiTheme="minorEastAsia" w:eastAsiaTheme="minorEastAsia"/>
                <w:szCs w:val="21"/>
              </w:rPr>
              <w:t>4、</w:t>
            </w:r>
            <w:r>
              <w:rPr>
                <w:rFonts w:hint="eastAsia" w:ascii="宋体" w:hAnsi="宋体" w:cs="宋体"/>
                <w:szCs w:val="21"/>
              </w:rPr>
              <w:t>对项目理解不深刻、解读不合理的</w:t>
            </w:r>
            <w:r>
              <w:rPr>
                <w:rFonts w:hint="eastAsia" w:cs="宋体" w:asciiTheme="minorEastAsia" w:hAnsiTheme="minorEastAsia" w:eastAsiaTheme="minorEastAsia"/>
                <w:szCs w:val="21"/>
              </w:rPr>
              <w:t>，不加分。</w:t>
            </w:r>
          </w:p>
        </w:tc>
        <w:tc>
          <w:tcPr>
            <w:tcW w:w="1187" w:type="dxa"/>
            <w:vAlign w:val="center"/>
          </w:tcPr>
          <w:p>
            <w:pPr>
              <w:autoSpaceDE w:val="0"/>
              <w:autoSpaceDN w:val="0"/>
              <w:adjustRightInd w:val="0"/>
              <w:spacing w:line="36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07" w:hRule="atLeast"/>
          <w:jc w:val="center"/>
        </w:trPr>
        <w:tc>
          <w:tcPr>
            <w:tcW w:w="754" w:type="dxa"/>
            <w:vAlign w:val="center"/>
          </w:tcPr>
          <w:p>
            <w:pPr>
              <w:widowControl/>
              <w:snapToGrid w:val="0"/>
              <w:spacing w:line="3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w:t>
            </w:r>
          </w:p>
        </w:tc>
        <w:tc>
          <w:tcPr>
            <w:tcW w:w="1143" w:type="dxa"/>
            <w:vAlign w:val="center"/>
          </w:tcPr>
          <w:p>
            <w:pPr>
              <w:widowControl/>
              <w:spacing w:line="36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对营商环境的了解</w:t>
            </w:r>
          </w:p>
        </w:tc>
        <w:tc>
          <w:tcPr>
            <w:tcW w:w="709" w:type="dxa"/>
            <w:vAlign w:val="center"/>
          </w:tcPr>
          <w:p>
            <w:pPr>
              <w:widowControl/>
              <w:spacing w:line="3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9</w:t>
            </w:r>
          </w:p>
        </w:tc>
        <w:tc>
          <w:tcPr>
            <w:tcW w:w="5953" w:type="dxa"/>
            <w:vAlign w:val="center"/>
          </w:tcPr>
          <w:p>
            <w:pPr>
              <w:widowControl/>
              <w:snapToGrid w:val="0"/>
              <w:spacing w:line="560" w:lineRule="exact"/>
              <w:jc w:val="left"/>
              <w:rPr>
                <w:rFonts w:ascii="宋体" w:hAnsi="宋体" w:cs="宋体"/>
                <w:b/>
                <w:bCs/>
                <w:szCs w:val="21"/>
              </w:rPr>
            </w:pPr>
            <w:r>
              <w:rPr>
                <w:rFonts w:hint="eastAsia" w:ascii="宋体" w:hAnsi="宋体" w:cs="宋体"/>
                <w:b/>
                <w:bCs/>
                <w:szCs w:val="21"/>
              </w:rPr>
              <w:t>（一）评审内容：</w:t>
            </w:r>
          </w:p>
          <w:p>
            <w:pPr>
              <w:widowControl/>
              <w:autoSpaceDE w:val="0"/>
              <w:autoSpaceDN w:val="0"/>
              <w:adjustRightInd w:val="0"/>
              <w:spacing w:line="360" w:lineRule="exact"/>
              <w:jc w:val="left"/>
            </w:pPr>
            <w:r>
              <w:rPr>
                <w:rFonts w:hint="eastAsia"/>
              </w:rPr>
              <w:t>考察投标人对</w:t>
            </w:r>
            <w:r>
              <w:rPr>
                <w:rFonts w:hint="eastAsia" w:ascii="宋体" w:hAnsi="宋体" w:cs="宋体"/>
                <w:szCs w:val="21"/>
              </w:rPr>
              <w:t>营商环境优化工作的理解</w:t>
            </w:r>
            <w:r>
              <w:rPr>
                <w:rFonts w:hint="eastAsia"/>
              </w:rPr>
              <w:t>，至少包括以下内容：</w:t>
            </w:r>
          </w:p>
          <w:p>
            <w:pPr>
              <w:widowControl/>
              <w:autoSpaceDE w:val="0"/>
              <w:autoSpaceDN w:val="0"/>
              <w:adjustRightInd w:val="0"/>
              <w:spacing w:line="360" w:lineRule="exact"/>
              <w:jc w:val="left"/>
            </w:pPr>
            <w:r>
              <w:rPr>
                <w:rFonts w:hint="eastAsia"/>
              </w:rPr>
              <w:t>1、</w:t>
            </w:r>
            <w:r>
              <w:rPr>
                <w:rFonts w:hint="eastAsia" w:ascii="宋体" w:hAnsi="宋体" w:cs="宋体"/>
                <w:szCs w:val="21"/>
              </w:rPr>
              <w:t>优化营商环境工作的背景</w:t>
            </w:r>
            <w:r>
              <w:rPr>
                <w:rFonts w:hint="eastAsia"/>
              </w:rPr>
              <w:t>；</w:t>
            </w:r>
          </w:p>
          <w:p>
            <w:pPr>
              <w:widowControl/>
              <w:autoSpaceDE w:val="0"/>
              <w:autoSpaceDN w:val="0"/>
              <w:adjustRightInd w:val="0"/>
              <w:spacing w:line="360" w:lineRule="exact"/>
              <w:jc w:val="left"/>
              <w:rPr>
                <w:rFonts w:ascii="宋体" w:hAnsi="宋体" w:cs="宋体"/>
                <w:szCs w:val="21"/>
              </w:rPr>
            </w:pPr>
            <w:r>
              <w:rPr>
                <w:rFonts w:hint="eastAsia"/>
              </w:rPr>
              <w:t>2、</w:t>
            </w:r>
            <w:r>
              <w:rPr>
                <w:rFonts w:hint="eastAsia" w:ascii="宋体" w:hAnsi="宋体" w:cs="宋体"/>
                <w:szCs w:val="21"/>
              </w:rPr>
              <w:t>优化营商环境工作的意义；</w:t>
            </w:r>
          </w:p>
          <w:p>
            <w:pPr>
              <w:widowControl/>
              <w:autoSpaceDE w:val="0"/>
              <w:autoSpaceDN w:val="0"/>
              <w:adjustRightInd w:val="0"/>
              <w:spacing w:line="360" w:lineRule="exact"/>
              <w:jc w:val="left"/>
            </w:pPr>
            <w:r>
              <w:rPr>
                <w:rFonts w:hint="eastAsia" w:ascii="宋体" w:hAnsi="宋体" w:cs="宋体"/>
                <w:szCs w:val="21"/>
              </w:rPr>
              <w:t>3、优化营商环境工作的进程</w:t>
            </w:r>
            <w:r>
              <w:rPr>
                <w:rFonts w:hint="eastAsia"/>
              </w:rPr>
              <w:t>。</w:t>
            </w:r>
          </w:p>
          <w:p>
            <w:pPr>
              <w:widowControl/>
              <w:snapToGrid w:val="0"/>
              <w:spacing w:line="560" w:lineRule="exact"/>
              <w:jc w:val="left"/>
              <w:rPr>
                <w:rFonts w:ascii="宋体" w:hAnsi="宋体" w:cs="宋体"/>
                <w:b/>
                <w:bCs/>
                <w:szCs w:val="21"/>
              </w:rPr>
            </w:pPr>
            <w:r>
              <w:rPr>
                <w:rFonts w:hint="eastAsia" w:ascii="宋体" w:hAnsi="宋体" w:cs="宋体"/>
                <w:b/>
                <w:bCs/>
                <w:szCs w:val="21"/>
              </w:rPr>
              <w:t>（二）评审标准：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包含以上三项内容得3分，包含以上两项内容得2分，包含以上任意一项内容得1分，其他情况不得分。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在此基础上，根据方案响应情况进一步评审：</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1、对</w:t>
            </w:r>
            <w:r>
              <w:rPr>
                <w:rFonts w:hint="eastAsia" w:ascii="宋体" w:hAnsi="宋体" w:cs="宋体"/>
                <w:szCs w:val="21"/>
              </w:rPr>
              <w:t>优化营商环境工作</w:t>
            </w:r>
            <w:r>
              <w:rPr>
                <w:rFonts w:hint="eastAsia" w:cs="宋体" w:asciiTheme="minorEastAsia" w:hAnsiTheme="minorEastAsia" w:eastAsiaTheme="minorEastAsia"/>
                <w:szCs w:val="21"/>
              </w:rPr>
              <w:t>理解深刻、解读合理的，加6分；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2、</w:t>
            </w:r>
            <w:r>
              <w:rPr>
                <w:rFonts w:hint="eastAsia" w:ascii="宋体" w:hAnsi="宋体" w:cs="宋体"/>
                <w:szCs w:val="21"/>
              </w:rPr>
              <w:t>对优化营商环境工作理解比较深刻、解读比较合理的</w:t>
            </w:r>
            <w:r>
              <w:rPr>
                <w:rFonts w:hint="eastAsia" w:cs="宋体" w:asciiTheme="minorEastAsia" w:hAnsiTheme="minorEastAsia" w:eastAsiaTheme="minorEastAsia"/>
                <w:szCs w:val="21"/>
              </w:rPr>
              <w:t>，加3分；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3、</w:t>
            </w:r>
            <w:r>
              <w:rPr>
                <w:rFonts w:hint="eastAsia" w:ascii="宋体" w:hAnsi="宋体" w:cs="宋体"/>
                <w:szCs w:val="21"/>
              </w:rPr>
              <w:t>对优化营商环境工作理解不够深刻、解读不够合理的</w:t>
            </w:r>
            <w:r>
              <w:rPr>
                <w:rFonts w:hint="eastAsia" w:cs="宋体" w:asciiTheme="minorEastAsia" w:hAnsiTheme="minorEastAsia" w:eastAsiaTheme="minorEastAsia"/>
                <w:szCs w:val="21"/>
              </w:rPr>
              <w:t>，加1分；</w:t>
            </w:r>
          </w:p>
          <w:p>
            <w:pPr>
              <w:autoSpaceDE w:val="0"/>
              <w:autoSpaceDN w:val="0"/>
              <w:adjustRightInd w:val="0"/>
              <w:spacing w:line="360" w:lineRule="exact"/>
              <w:rPr>
                <w:rFonts w:cs="宋体" w:asciiTheme="minorEastAsia" w:hAnsiTheme="minorEastAsia" w:eastAsiaTheme="minorEastAsia"/>
                <w:szCs w:val="21"/>
              </w:rPr>
            </w:pPr>
            <w:r>
              <w:rPr>
                <w:rFonts w:hint="eastAsia" w:cs="宋体" w:asciiTheme="minorEastAsia" w:hAnsiTheme="minorEastAsia" w:eastAsiaTheme="minorEastAsia"/>
                <w:szCs w:val="21"/>
              </w:rPr>
              <w:t>4、</w:t>
            </w:r>
            <w:r>
              <w:rPr>
                <w:rFonts w:hint="eastAsia" w:ascii="宋体" w:hAnsi="宋体" w:cs="宋体"/>
                <w:szCs w:val="21"/>
              </w:rPr>
              <w:t>对优化营商环境工作理解不深刻、解读不合理的</w:t>
            </w:r>
            <w:r>
              <w:rPr>
                <w:rFonts w:hint="eastAsia" w:cs="宋体" w:asciiTheme="minorEastAsia" w:hAnsiTheme="minorEastAsia" w:eastAsiaTheme="minorEastAsia"/>
                <w:szCs w:val="21"/>
              </w:rPr>
              <w:t>，不加分。</w:t>
            </w:r>
          </w:p>
        </w:tc>
        <w:tc>
          <w:tcPr>
            <w:tcW w:w="1187" w:type="dxa"/>
            <w:vAlign w:val="center"/>
          </w:tcPr>
          <w:p>
            <w:pPr>
              <w:spacing w:line="36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评委</w:t>
            </w:r>
            <w:r>
              <w:rPr>
                <w:rFonts w:hint="eastAsia" w:cs="宋体" w:asciiTheme="minorEastAsia" w:hAnsiTheme="minorEastAsia" w:eastAsiaTheme="minorEastAsia"/>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07" w:hRule="atLeast"/>
          <w:jc w:val="center"/>
        </w:trPr>
        <w:tc>
          <w:tcPr>
            <w:tcW w:w="754" w:type="dxa"/>
            <w:vAlign w:val="center"/>
          </w:tcPr>
          <w:p>
            <w:pPr>
              <w:widowControl/>
              <w:snapToGrid w:val="0"/>
              <w:spacing w:line="3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w:t>
            </w:r>
          </w:p>
        </w:tc>
        <w:tc>
          <w:tcPr>
            <w:tcW w:w="1143" w:type="dxa"/>
            <w:vAlign w:val="center"/>
          </w:tcPr>
          <w:p>
            <w:pPr>
              <w:widowControl/>
              <w:spacing w:line="36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对深圳注册服务领域的了解</w:t>
            </w:r>
          </w:p>
        </w:tc>
        <w:tc>
          <w:tcPr>
            <w:tcW w:w="709" w:type="dxa"/>
            <w:vAlign w:val="center"/>
          </w:tcPr>
          <w:p>
            <w:pPr>
              <w:widowControl/>
              <w:spacing w:line="3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15</w:t>
            </w:r>
          </w:p>
        </w:tc>
        <w:tc>
          <w:tcPr>
            <w:tcW w:w="5953" w:type="dxa"/>
            <w:vAlign w:val="center"/>
          </w:tcPr>
          <w:p>
            <w:pPr>
              <w:widowControl/>
              <w:snapToGrid w:val="0"/>
              <w:spacing w:line="560" w:lineRule="exact"/>
              <w:jc w:val="left"/>
              <w:rPr>
                <w:rFonts w:ascii="宋体" w:hAnsi="宋体" w:cs="宋体"/>
                <w:b/>
                <w:bCs/>
                <w:szCs w:val="21"/>
              </w:rPr>
            </w:pPr>
            <w:r>
              <w:rPr>
                <w:rFonts w:hint="eastAsia" w:ascii="宋体" w:hAnsi="宋体" w:cs="宋体"/>
                <w:b/>
                <w:bCs/>
                <w:szCs w:val="21"/>
              </w:rPr>
              <w:t>（一）评审内容：</w:t>
            </w:r>
          </w:p>
          <w:p>
            <w:pPr>
              <w:widowControl/>
              <w:autoSpaceDE w:val="0"/>
              <w:autoSpaceDN w:val="0"/>
              <w:adjustRightInd w:val="0"/>
              <w:spacing w:line="360" w:lineRule="exact"/>
              <w:jc w:val="left"/>
            </w:pPr>
            <w:r>
              <w:rPr>
                <w:rFonts w:hint="eastAsia"/>
              </w:rPr>
              <w:t>考察投标人对</w:t>
            </w:r>
            <w:r>
              <w:rPr>
                <w:rFonts w:hint="eastAsia" w:ascii="宋体" w:hAnsi="宋体" w:cs="宋体"/>
                <w:szCs w:val="21"/>
              </w:rPr>
              <w:t>深圳市注册服务领域的改革和现状的理解</w:t>
            </w:r>
            <w:r>
              <w:rPr>
                <w:rFonts w:hint="eastAsia"/>
              </w:rPr>
              <w:t>，至少包括以下内容：</w:t>
            </w:r>
          </w:p>
          <w:p>
            <w:pPr>
              <w:widowControl/>
              <w:autoSpaceDE w:val="0"/>
              <w:autoSpaceDN w:val="0"/>
              <w:adjustRightInd w:val="0"/>
              <w:spacing w:line="360" w:lineRule="exact"/>
              <w:jc w:val="left"/>
            </w:pPr>
            <w:r>
              <w:rPr>
                <w:rFonts w:hint="eastAsia"/>
              </w:rPr>
              <w:t>1、</w:t>
            </w:r>
            <w:r>
              <w:rPr>
                <w:rFonts w:hint="eastAsia" w:ascii="宋体" w:hAnsi="宋体" w:cs="宋体"/>
                <w:szCs w:val="21"/>
              </w:rPr>
              <w:t>改革发展路径</w:t>
            </w:r>
            <w:r>
              <w:rPr>
                <w:rFonts w:hint="eastAsia"/>
              </w:rPr>
              <w:t>；</w:t>
            </w:r>
          </w:p>
          <w:p>
            <w:pPr>
              <w:widowControl/>
              <w:autoSpaceDE w:val="0"/>
              <w:autoSpaceDN w:val="0"/>
              <w:adjustRightInd w:val="0"/>
              <w:spacing w:line="360" w:lineRule="exact"/>
              <w:jc w:val="left"/>
              <w:rPr>
                <w:rFonts w:ascii="宋体" w:hAnsi="宋体" w:cs="宋体"/>
                <w:szCs w:val="21"/>
              </w:rPr>
            </w:pPr>
            <w:r>
              <w:rPr>
                <w:rFonts w:hint="eastAsia"/>
              </w:rPr>
              <w:t>2、</w:t>
            </w:r>
            <w:r>
              <w:rPr>
                <w:rFonts w:hint="eastAsia" w:ascii="宋体" w:hAnsi="宋体" w:cs="宋体"/>
                <w:szCs w:val="21"/>
              </w:rPr>
              <w:t>与其他先进地区对比情况；</w:t>
            </w:r>
          </w:p>
          <w:p>
            <w:pPr>
              <w:widowControl/>
              <w:autoSpaceDE w:val="0"/>
              <w:autoSpaceDN w:val="0"/>
              <w:adjustRightInd w:val="0"/>
              <w:spacing w:line="360" w:lineRule="exact"/>
              <w:jc w:val="left"/>
            </w:pPr>
            <w:r>
              <w:rPr>
                <w:rFonts w:hint="eastAsia" w:ascii="宋体" w:hAnsi="宋体" w:cs="宋体"/>
                <w:szCs w:val="21"/>
              </w:rPr>
              <w:t>3、深圳市注册服务领域现状</w:t>
            </w:r>
            <w:r>
              <w:rPr>
                <w:rFonts w:hint="eastAsia"/>
              </w:rPr>
              <w:t>。</w:t>
            </w:r>
          </w:p>
          <w:p>
            <w:pPr>
              <w:widowControl/>
              <w:snapToGrid w:val="0"/>
              <w:spacing w:line="560" w:lineRule="exact"/>
              <w:jc w:val="left"/>
              <w:rPr>
                <w:rFonts w:ascii="宋体" w:hAnsi="宋体" w:cs="宋体"/>
                <w:b/>
                <w:bCs/>
                <w:szCs w:val="21"/>
              </w:rPr>
            </w:pPr>
            <w:r>
              <w:rPr>
                <w:rFonts w:hint="eastAsia" w:ascii="宋体" w:hAnsi="宋体" w:cs="宋体"/>
                <w:b/>
                <w:bCs/>
                <w:szCs w:val="21"/>
              </w:rPr>
              <w:t>（二）评审标准：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包含以上三项内容得6分，包含以上两项内容得4分，包含以上任意一项内容得2分，其他情况不得分。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在此基础上，根据方案响应情况进一步评审：</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1、</w:t>
            </w:r>
            <w:r>
              <w:rPr>
                <w:rFonts w:hint="eastAsia" w:ascii="宋体" w:hAnsi="宋体" w:cs="宋体"/>
                <w:szCs w:val="21"/>
              </w:rPr>
              <w:t>深圳市注册服务领域的改革和现状的</w:t>
            </w:r>
            <w:r>
              <w:rPr>
                <w:rFonts w:hint="eastAsia" w:cs="宋体" w:asciiTheme="minorEastAsia" w:hAnsiTheme="minorEastAsia" w:eastAsiaTheme="minorEastAsia"/>
                <w:szCs w:val="21"/>
              </w:rPr>
              <w:t>理解深刻、解读合理的，加9分；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2、</w:t>
            </w:r>
            <w:r>
              <w:rPr>
                <w:rFonts w:hint="eastAsia" w:ascii="宋体" w:hAnsi="宋体" w:cs="宋体"/>
                <w:szCs w:val="21"/>
              </w:rPr>
              <w:t>深圳市注册服务领域的改革和现状的理解比较深刻、解读比较合理的</w:t>
            </w:r>
            <w:r>
              <w:rPr>
                <w:rFonts w:hint="eastAsia" w:cs="宋体" w:asciiTheme="minorEastAsia" w:hAnsiTheme="minorEastAsia" w:eastAsiaTheme="minorEastAsia"/>
                <w:szCs w:val="21"/>
              </w:rPr>
              <w:t>，加6分；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3、</w:t>
            </w:r>
            <w:r>
              <w:rPr>
                <w:rFonts w:hint="eastAsia" w:ascii="宋体" w:hAnsi="宋体" w:cs="宋体"/>
                <w:szCs w:val="21"/>
              </w:rPr>
              <w:t>深圳市注册服务领域的改革和现状的理解不够深刻、解读不够合理的</w:t>
            </w:r>
            <w:r>
              <w:rPr>
                <w:rFonts w:hint="eastAsia" w:cs="宋体" w:asciiTheme="minorEastAsia" w:hAnsiTheme="minorEastAsia" w:eastAsiaTheme="minorEastAsia"/>
                <w:szCs w:val="21"/>
              </w:rPr>
              <w:t>，加3分；</w:t>
            </w:r>
          </w:p>
          <w:p>
            <w:pPr>
              <w:widowControl/>
              <w:snapToGri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4、</w:t>
            </w:r>
            <w:r>
              <w:rPr>
                <w:rFonts w:hint="eastAsia" w:ascii="宋体" w:hAnsi="宋体" w:cs="宋体"/>
                <w:szCs w:val="21"/>
              </w:rPr>
              <w:t>深圳市注册服务领域的改革和现状的理解不深刻、解读不合理的</w:t>
            </w:r>
            <w:r>
              <w:rPr>
                <w:rFonts w:hint="eastAsia" w:cs="宋体" w:asciiTheme="minorEastAsia" w:hAnsiTheme="minorEastAsia" w:eastAsiaTheme="minorEastAsia"/>
                <w:szCs w:val="21"/>
              </w:rPr>
              <w:t>，不加分。</w:t>
            </w:r>
          </w:p>
        </w:tc>
        <w:tc>
          <w:tcPr>
            <w:tcW w:w="1187" w:type="dxa"/>
            <w:vAlign w:val="center"/>
          </w:tcPr>
          <w:p>
            <w:pPr>
              <w:autoSpaceDE w:val="0"/>
              <w:autoSpaceDN w:val="0"/>
              <w:adjustRightInd w:val="0"/>
              <w:spacing w:line="36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07" w:hRule="atLeast"/>
          <w:jc w:val="center"/>
        </w:trPr>
        <w:tc>
          <w:tcPr>
            <w:tcW w:w="754" w:type="dxa"/>
            <w:vAlign w:val="center"/>
          </w:tcPr>
          <w:p>
            <w:pPr>
              <w:widowControl/>
              <w:snapToGrid w:val="0"/>
              <w:spacing w:line="360" w:lineRule="exact"/>
              <w:jc w:val="center"/>
              <w:rPr>
                <w:rFonts w:cs="仿宋" w:asciiTheme="minorEastAsia" w:hAnsiTheme="minorEastAsia" w:eastAsiaTheme="minorEastAsia"/>
                <w:szCs w:val="21"/>
              </w:rPr>
            </w:pPr>
            <w:r>
              <w:rPr>
                <w:rFonts w:hint="eastAsia" w:cs="宋体" w:asciiTheme="minorEastAsia" w:hAnsiTheme="minorEastAsia" w:eastAsiaTheme="minorEastAsia"/>
                <w:kern w:val="0"/>
                <w:szCs w:val="21"/>
              </w:rPr>
              <w:t>4</w:t>
            </w:r>
          </w:p>
        </w:tc>
        <w:tc>
          <w:tcPr>
            <w:tcW w:w="1143" w:type="dxa"/>
            <w:vAlign w:val="center"/>
          </w:tcPr>
          <w:p>
            <w:pPr>
              <w:widowControl/>
              <w:spacing w:line="36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实施方案</w:t>
            </w:r>
          </w:p>
        </w:tc>
        <w:tc>
          <w:tcPr>
            <w:tcW w:w="709" w:type="dxa"/>
            <w:vAlign w:val="center"/>
          </w:tcPr>
          <w:p>
            <w:pPr>
              <w:widowControl/>
              <w:spacing w:line="3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15</w:t>
            </w:r>
          </w:p>
        </w:tc>
        <w:tc>
          <w:tcPr>
            <w:tcW w:w="5953" w:type="dxa"/>
            <w:vAlign w:val="center"/>
          </w:tcPr>
          <w:p>
            <w:pPr>
              <w:widowControl/>
              <w:snapToGrid w:val="0"/>
              <w:spacing w:line="560" w:lineRule="exact"/>
              <w:jc w:val="left"/>
              <w:rPr>
                <w:rFonts w:ascii="宋体" w:hAnsi="宋体" w:cs="宋体"/>
                <w:b/>
                <w:bCs/>
                <w:szCs w:val="21"/>
              </w:rPr>
            </w:pPr>
            <w:r>
              <w:rPr>
                <w:rFonts w:hint="eastAsia" w:ascii="宋体" w:hAnsi="宋体" w:cs="宋体"/>
                <w:b/>
                <w:bCs/>
                <w:szCs w:val="21"/>
              </w:rPr>
              <w:t>（一）评审内容：</w:t>
            </w:r>
          </w:p>
          <w:p>
            <w:pPr>
              <w:widowControl/>
              <w:autoSpaceDE w:val="0"/>
              <w:autoSpaceDN w:val="0"/>
              <w:adjustRightInd w:val="0"/>
              <w:spacing w:line="360" w:lineRule="exact"/>
              <w:jc w:val="left"/>
            </w:pPr>
            <w:r>
              <w:rPr>
                <w:rFonts w:hint="eastAsia"/>
              </w:rPr>
              <w:t>考察投标人提供的项目实施方案，至少包括以下内容：</w:t>
            </w:r>
          </w:p>
          <w:p>
            <w:pPr>
              <w:widowControl/>
              <w:autoSpaceDE w:val="0"/>
              <w:autoSpaceDN w:val="0"/>
              <w:adjustRightInd w:val="0"/>
              <w:spacing w:line="360" w:lineRule="exact"/>
              <w:jc w:val="left"/>
            </w:pPr>
            <w:r>
              <w:rPr>
                <w:rFonts w:hint="eastAsia"/>
              </w:rPr>
              <w:t>1、实施思路；</w:t>
            </w:r>
          </w:p>
          <w:p>
            <w:pPr>
              <w:widowControl/>
              <w:autoSpaceDE w:val="0"/>
              <w:autoSpaceDN w:val="0"/>
              <w:adjustRightInd w:val="0"/>
              <w:spacing w:line="360" w:lineRule="exact"/>
              <w:jc w:val="left"/>
            </w:pPr>
            <w:r>
              <w:rPr>
                <w:rFonts w:hint="eastAsia"/>
              </w:rPr>
              <w:t>2、实施流程和方法；</w:t>
            </w:r>
          </w:p>
          <w:p>
            <w:pPr>
              <w:widowControl/>
              <w:autoSpaceDE w:val="0"/>
              <w:autoSpaceDN w:val="0"/>
              <w:adjustRightInd w:val="0"/>
              <w:spacing w:line="360" w:lineRule="exact"/>
              <w:jc w:val="left"/>
            </w:pPr>
            <w:r>
              <w:rPr>
                <w:rFonts w:hint="eastAsia"/>
              </w:rPr>
              <w:t>3、工作进度安排；</w:t>
            </w:r>
          </w:p>
          <w:p>
            <w:pPr>
              <w:widowControl/>
              <w:autoSpaceDE w:val="0"/>
              <w:autoSpaceDN w:val="0"/>
              <w:adjustRightInd w:val="0"/>
              <w:spacing w:line="360" w:lineRule="exact"/>
              <w:jc w:val="left"/>
            </w:pPr>
            <w:r>
              <w:rPr>
                <w:rFonts w:hint="eastAsia"/>
              </w:rPr>
              <w:t>4、成果交付。</w:t>
            </w:r>
          </w:p>
          <w:p>
            <w:pPr>
              <w:widowControl/>
              <w:snapToGrid w:val="0"/>
              <w:spacing w:line="560" w:lineRule="exact"/>
              <w:jc w:val="left"/>
              <w:rPr>
                <w:rFonts w:ascii="宋体" w:hAnsi="宋体" w:cs="宋体"/>
                <w:b/>
                <w:bCs/>
                <w:szCs w:val="21"/>
              </w:rPr>
            </w:pPr>
            <w:r>
              <w:rPr>
                <w:rFonts w:hint="eastAsia" w:ascii="宋体" w:hAnsi="宋体" w:cs="宋体"/>
                <w:b/>
                <w:bCs/>
                <w:szCs w:val="21"/>
              </w:rPr>
              <w:t>（二）评审标准：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包含以上四项内容得6分，包含以上任意三项内容得4分，包含以上任意两项内容得2分，其他情况不得分。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在此基础上，根据方案响应情况进一步评审：</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1.实施思路清晰，实施流程和方法可行性高，工作进度安排科学合理，成果交付全面、具体的，加9分；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2.实施思路较清晰，实施流程和方法可行性较高，工作进度安排较合理，成果交付比较全面的，加6分；</w:t>
            </w:r>
          </w:p>
          <w:p>
            <w:pPr>
              <w:widowControl/>
              <w:autoSpaceDE w:val="0"/>
              <w:autoSpaceDN w:val="0"/>
              <w:adjustRightInd w:val="0"/>
              <w:spacing w:line="36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3.实施思路不够清晰，实施流程和方法可行性一般，工作进度安排不够合理，成果交付不够全面的，加3分；</w:t>
            </w:r>
          </w:p>
          <w:p>
            <w:pPr>
              <w:pStyle w:val="18"/>
            </w:pPr>
            <w:r>
              <w:rPr>
                <w:rFonts w:hint="eastAsia" w:cs="宋体" w:asciiTheme="minorEastAsia" w:hAnsiTheme="minorEastAsia" w:eastAsiaTheme="minorEastAsia"/>
                <w:szCs w:val="21"/>
              </w:rPr>
              <w:t>4.实施思路不清晰，实施流程和方法可行性低，工作进度安排不合理，成果交付不全面的，不加分。</w:t>
            </w:r>
          </w:p>
          <w:p>
            <w:pPr>
              <w:widowControl/>
              <w:snapToGrid w:val="0"/>
              <w:spacing w:line="360" w:lineRule="exact"/>
              <w:jc w:val="left"/>
              <w:rPr>
                <w:rFonts w:asciiTheme="minorEastAsia" w:hAnsiTheme="minorEastAsia" w:eastAsiaTheme="minorEastAsia"/>
                <w:szCs w:val="21"/>
              </w:rPr>
            </w:pPr>
          </w:p>
        </w:tc>
        <w:tc>
          <w:tcPr>
            <w:tcW w:w="1187" w:type="dxa"/>
            <w:vAlign w:val="center"/>
          </w:tcPr>
          <w:p>
            <w:pPr>
              <w:autoSpaceDE w:val="0"/>
              <w:autoSpaceDN w:val="0"/>
              <w:adjustRightInd w:val="0"/>
              <w:spacing w:line="360" w:lineRule="exact"/>
              <w:jc w:val="center"/>
              <w:rPr>
                <w:rFonts w:cs="仿宋" w:asciiTheme="minorEastAsia" w:hAnsiTheme="minorEastAsia" w:eastAsiaTheme="minorEastAsia"/>
                <w:szCs w:val="21"/>
              </w:rPr>
            </w:pPr>
            <w:r>
              <w:rPr>
                <w:rFonts w:hint="eastAsia" w:cs="宋体" w:asciiTheme="minorEastAsia" w:hAnsiTheme="minorEastAsia" w:eastAsiaTheme="minorEastAsia"/>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62" w:hRule="atLeast"/>
          <w:jc w:val="center"/>
        </w:trPr>
        <w:tc>
          <w:tcPr>
            <w:tcW w:w="754" w:type="dxa"/>
            <w:vAlign w:val="center"/>
          </w:tcPr>
          <w:p>
            <w:pPr>
              <w:widowControl/>
              <w:snapToGrid w:val="0"/>
              <w:spacing w:line="360" w:lineRule="exact"/>
              <w:jc w:val="center"/>
              <w:rPr>
                <w:rFonts w:cs="仿宋" w:asciiTheme="minorEastAsia" w:hAnsiTheme="minorEastAsia" w:eastAsiaTheme="minorEastAsia"/>
                <w:szCs w:val="21"/>
              </w:rPr>
            </w:pPr>
            <w:r>
              <w:rPr>
                <w:rFonts w:hint="eastAsia" w:cs="宋体" w:asciiTheme="minorEastAsia" w:hAnsiTheme="minorEastAsia" w:eastAsiaTheme="minorEastAsia"/>
                <w:kern w:val="0"/>
                <w:szCs w:val="21"/>
              </w:rPr>
              <w:t>5</w:t>
            </w:r>
          </w:p>
        </w:tc>
        <w:tc>
          <w:tcPr>
            <w:tcW w:w="1143" w:type="dxa"/>
            <w:vAlign w:val="center"/>
          </w:tcPr>
          <w:p>
            <w:pPr>
              <w:widowControl/>
              <w:spacing w:line="36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服务质量保障措施</w:t>
            </w:r>
          </w:p>
        </w:tc>
        <w:tc>
          <w:tcPr>
            <w:tcW w:w="709" w:type="dxa"/>
            <w:vAlign w:val="center"/>
          </w:tcPr>
          <w:p>
            <w:pPr>
              <w:widowControl/>
              <w:spacing w:line="3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15</w:t>
            </w:r>
          </w:p>
        </w:tc>
        <w:tc>
          <w:tcPr>
            <w:tcW w:w="5953" w:type="dxa"/>
            <w:vAlign w:val="center"/>
          </w:tcPr>
          <w:p>
            <w:pPr>
              <w:widowControl/>
              <w:snapToGrid w:val="0"/>
              <w:spacing w:line="560" w:lineRule="exact"/>
              <w:jc w:val="left"/>
              <w:rPr>
                <w:rFonts w:ascii="宋体" w:hAnsi="宋体" w:cs="宋体"/>
                <w:b/>
                <w:bCs/>
                <w:szCs w:val="21"/>
              </w:rPr>
            </w:pPr>
            <w:r>
              <w:rPr>
                <w:rFonts w:hint="eastAsia" w:ascii="宋体" w:hAnsi="宋体" w:cs="宋体"/>
                <w:b/>
                <w:bCs/>
                <w:szCs w:val="21"/>
              </w:rPr>
              <w:t>（一）评审内容：</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考察投标人提供的</w:t>
            </w:r>
            <w:r>
              <w:rPr>
                <w:rFonts w:hint="eastAsia" w:ascii="宋体" w:hAnsi="宋体"/>
                <w:szCs w:val="21"/>
              </w:rPr>
              <w:t>质量保障措施及方案</w:t>
            </w:r>
            <w:r>
              <w:rPr>
                <w:rFonts w:hint="eastAsia" w:asciiTheme="minorEastAsia" w:hAnsiTheme="minorEastAsia" w:eastAsiaTheme="minorEastAsia"/>
                <w:kern w:val="0"/>
                <w:szCs w:val="21"/>
              </w:rPr>
              <w:t>，至少包含以下内容：</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1、</w:t>
            </w:r>
            <w:r>
              <w:rPr>
                <w:rFonts w:hint="eastAsia" w:ascii="宋体" w:hAnsi="宋体" w:cs="宋体"/>
                <w:kern w:val="0"/>
                <w:szCs w:val="21"/>
              </w:rPr>
              <w:t>质量保障体系</w:t>
            </w:r>
            <w:r>
              <w:rPr>
                <w:rFonts w:hint="eastAsia" w:asciiTheme="minorEastAsia" w:hAnsiTheme="minorEastAsia" w:eastAsiaTheme="minorEastAsia"/>
                <w:kern w:val="0"/>
                <w:szCs w:val="21"/>
              </w:rPr>
              <w:t>；</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2、</w:t>
            </w:r>
            <w:r>
              <w:rPr>
                <w:rFonts w:hint="eastAsia" w:ascii="宋体" w:hAnsi="宋体" w:cs="宋体"/>
                <w:kern w:val="0"/>
                <w:szCs w:val="21"/>
              </w:rPr>
              <w:t>项目进度管控</w:t>
            </w:r>
            <w:r>
              <w:rPr>
                <w:rFonts w:hint="eastAsia" w:asciiTheme="minorEastAsia" w:hAnsiTheme="minorEastAsia" w:eastAsiaTheme="minorEastAsia"/>
                <w:kern w:val="0"/>
                <w:szCs w:val="21"/>
              </w:rPr>
              <w:t>；</w:t>
            </w:r>
          </w:p>
          <w:p>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宋体" w:hAnsi="宋体" w:cs="宋体"/>
                <w:kern w:val="0"/>
                <w:szCs w:val="21"/>
              </w:rPr>
              <w:t>项目安全保障</w:t>
            </w:r>
            <w:r>
              <w:rPr>
                <w:rFonts w:hint="eastAsia" w:asciiTheme="minorEastAsia" w:hAnsiTheme="minorEastAsia" w:eastAsiaTheme="minorEastAsia"/>
                <w:kern w:val="0"/>
                <w:szCs w:val="21"/>
              </w:rPr>
              <w:t>。</w:t>
            </w:r>
          </w:p>
          <w:p>
            <w:pPr>
              <w:widowControl/>
              <w:snapToGrid w:val="0"/>
              <w:spacing w:line="560" w:lineRule="exact"/>
              <w:jc w:val="left"/>
              <w:rPr>
                <w:rFonts w:ascii="宋体" w:hAnsi="宋体" w:cs="宋体"/>
                <w:b/>
                <w:bCs/>
                <w:szCs w:val="21"/>
              </w:rPr>
            </w:pPr>
            <w:r>
              <w:rPr>
                <w:rFonts w:hint="eastAsia" w:ascii="宋体" w:hAnsi="宋体" w:cs="宋体"/>
                <w:b/>
                <w:bCs/>
                <w:szCs w:val="21"/>
              </w:rPr>
              <w:t>（二）评分标准：</w:t>
            </w:r>
          </w:p>
          <w:p>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方案包含以上三项内容得6分；包含以上二项内容得4分；包含以上一项内容得2分；其他情况不得分。</w:t>
            </w:r>
          </w:p>
          <w:p>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在此基础上，根据方案响应情况进一步评审：</w:t>
            </w:r>
          </w:p>
          <w:p>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宋体" w:hAnsi="宋体" w:cs="宋体"/>
                <w:kern w:val="0"/>
                <w:szCs w:val="21"/>
              </w:rPr>
              <w:t>质量保障体系</w:t>
            </w:r>
            <w:r>
              <w:rPr>
                <w:rFonts w:hint="eastAsia" w:ascii="宋体" w:hAnsi="宋体"/>
                <w:kern w:val="0"/>
                <w:szCs w:val="21"/>
              </w:rPr>
              <w:t>科学完善，</w:t>
            </w:r>
            <w:r>
              <w:rPr>
                <w:rFonts w:hint="eastAsia" w:ascii="宋体" w:hAnsi="宋体" w:cs="宋体"/>
                <w:kern w:val="0"/>
                <w:szCs w:val="21"/>
              </w:rPr>
              <w:t>项目进度管控</w:t>
            </w:r>
            <w:r>
              <w:rPr>
                <w:rFonts w:hint="eastAsia" w:ascii="宋体" w:hAnsi="宋体"/>
                <w:kern w:val="0"/>
                <w:szCs w:val="21"/>
              </w:rPr>
              <w:t>方案和</w:t>
            </w:r>
            <w:r>
              <w:rPr>
                <w:rFonts w:hint="eastAsia" w:ascii="宋体" w:hAnsi="宋体" w:cs="宋体"/>
                <w:kern w:val="0"/>
                <w:szCs w:val="21"/>
              </w:rPr>
              <w:t>项目安全保障</w:t>
            </w:r>
            <w:r>
              <w:rPr>
                <w:rFonts w:hint="eastAsia" w:ascii="宋体" w:hAnsi="宋体"/>
                <w:kern w:val="0"/>
                <w:szCs w:val="21"/>
              </w:rPr>
              <w:t>措施可行性高的</w:t>
            </w:r>
            <w:r>
              <w:rPr>
                <w:rFonts w:hint="eastAsia" w:asciiTheme="minorEastAsia" w:hAnsiTheme="minorEastAsia" w:eastAsiaTheme="minorEastAsia"/>
                <w:szCs w:val="21"/>
              </w:rPr>
              <w:t>，加9分；</w:t>
            </w:r>
          </w:p>
          <w:p>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2.</w:t>
            </w:r>
            <w:r>
              <w:rPr>
                <w:rFonts w:hint="eastAsia" w:ascii="宋体" w:hAnsi="宋体" w:cs="宋体"/>
                <w:kern w:val="0"/>
                <w:szCs w:val="21"/>
              </w:rPr>
              <w:t>质量保障体系</w:t>
            </w:r>
            <w:r>
              <w:rPr>
                <w:rFonts w:hint="eastAsia" w:ascii="宋体" w:hAnsi="宋体"/>
                <w:kern w:val="0"/>
                <w:szCs w:val="21"/>
              </w:rPr>
              <w:t>比较完善，</w:t>
            </w:r>
            <w:r>
              <w:rPr>
                <w:rFonts w:hint="eastAsia" w:ascii="宋体" w:hAnsi="宋体" w:cs="宋体"/>
                <w:kern w:val="0"/>
                <w:szCs w:val="21"/>
              </w:rPr>
              <w:t>项目进度管控</w:t>
            </w:r>
            <w:r>
              <w:rPr>
                <w:rFonts w:hint="eastAsia" w:ascii="宋体" w:hAnsi="宋体"/>
                <w:kern w:val="0"/>
                <w:szCs w:val="21"/>
              </w:rPr>
              <w:t>方案和</w:t>
            </w:r>
            <w:r>
              <w:rPr>
                <w:rFonts w:hint="eastAsia" w:ascii="宋体" w:hAnsi="宋体" w:cs="宋体"/>
                <w:kern w:val="0"/>
                <w:szCs w:val="21"/>
              </w:rPr>
              <w:t>项目安全保障</w:t>
            </w:r>
            <w:r>
              <w:rPr>
                <w:rFonts w:hint="eastAsia" w:ascii="宋体" w:hAnsi="宋体"/>
                <w:kern w:val="0"/>
                <w:szCs w:val="21"/>
              </w:rPr>
              <w:t>措施可行性较高的</w:t>
            </w:r>
            <w:r>
              <w:rPr>
                <w:rFonts w:hint="eastAsia" w:asciiTheme="minorEastAsia" w:hAnsiTheme="minorEastAsia" w:eastAsiaTheme="minorEastAsia"/>
                <w:szCs w:val="21"/>
              </w:rPr>
              <w:t>，加6分；</w:t>
            </w:r>
          </w:p>
          <w:p>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3.</w:t>
            </w:r>
            <w:r>
              <w:rPr>
                <w:rFonts w:hint="eastAsia" w:ascii="宋体" w:hAnsi="宋体" w:cs="宋体"/>
                <w:kern w:val="0"/>
                <w:szCs w:val="21"/>
              </w:rPr>
              <w:t>质量保障体系</w:t>
            </w:r>
            <w:r>
              <w:rPr>
                <w:rFonts w:hint="eastAsia" w:ascii="宋体" w:hAnsi="宋体"/>
                <w:kern w:val="0"/>
                <w:szCs w:val="21"/>
              </w:rPr>
              <w:t>不够完善，</w:t>
            </w:r>
            <w:r>
              <w:rPr>
                <w:rFonts w:hint="eastAsia" w:ascii="宋体" w:hAnsi="宋体" w:cs="宋体"/>
                <w:kern w:val="0"/>
                <w:szCs w:val="21"/>
              </w:rPr>
              <w:t>项目进度管控</w:t>
            </w:r>
            <w:r>
              <w:rPr>
                <w:rFonts w:hint="eastAsia" w:ascii="宋体" w:hAnsi="宋体"/>
                <w:kern w:val="0"/>
                <w:szCs w:val="21"/>
              </w:rPr>
              <w:t>方案和</w:t>
            </w:r>
            <w:r>
              <w:rPr>
                <w:rFonts w:hint="eastAsia" w:ascii="宋体" w:hAnsi="宋体" w:cs="宋体"/>
                <w:kern w:val="0"/>
                <w:szCs w:val="21"/>
              </w:rPr>
              <w:t>项目安全保障</w:t>
            </w:r>
            <w:r>
              <w:rPr>
                <w:rFonts w:hint="eastAsia" w:ascii="宋体" w:hAnsi="宋体"/>
                <w:kern w:val="0"/>
                <w:szCs w:val="21"/>
              </w:rPr>
              <w:t>措施可行性一般的</w:t>
            </w:r>
            <w:r>
              <w:rPr>
                <w:rFonts w:hint="eastAsia" w:asciiTheme="minorEastAsia" w:hAnsiTheme="minorEastAsia" w:eastAsiaTheme="minorEastAsia"/>
                <w:szCs w:val="21"/>
              </w:rPr>
              <w:t>，加3分；</w:t>
            </w:r>
          </w:p>
          <w:p>
            <w:pPr>
              <w:pStyle w:val="18"/>
            </w:pPr>
            <w:r>
              <w:rPr>
                <w:rFonts w:hint="eastAsia" w:asciiTheme="minorEastAsia" w:hAnsiTheme="minorEastAsia" w:eastAsiaTheme="minorEastAsia"/>
                <w:szCs w:val="21"/>
              </w:rPr>
              <w:t>4.</w:t>
            </w:r>
            <w:r>
              <w:rPr>
                <w:rFonts w:hint="eastAsia" w:ascii="宋体" w:hAnsi="宋体" w:cs="宋体"/>
                <w:kern w:val="0"/>
                <w:szCs w:val="21"/>
              </w:rPr>
              <w:t>质量保障体系</w:t>
            </w:r>
            <w:r>
              <w:rPr>
                <w:rFonts w:hint="eastAsia" w:ascii="宋体" w:hAnsi="宋体"/>
                <w:kern w:val="0"/>
                <w:szCs w:val="21"/>
              </w:rPr>
              <w:t>不完善，</w:t>
            </w:r>
            <w:r>
              <w:rPr>
                <w:rFonts w:hint="eastAsia" w:ascii="宋体" w:hAnsi="宋体" w:cs="宋体"/>
                <w:kern w:val="0"/>
                <w:szCs w:val="21"/>
              </w:rPr>
              <w:t>项目进度管控</w:t>
            </w:r>
            <w:r>
              <w:rPr>
                <w:rFonts w:hint="eastAsia" w:ascii="宋体" w:hAnsi="宋体"/>
                <w:kern w:val="0"/>
                <w:szCs w:val="21"/>
              </w:rPr>
              <w:t>方案和</w:t>
            </w:r>
            <w:r>
              <w:rPr>
                <w:rFonts w:hint="eastAsia" w:ascii="宋体" w:hAnsi="宋体" w:cs="宋体"/>
                <w:kern w:val="0"/>
                <w:szCs w:val="21"/>
              </w:rPr>
              <w:t>项目安全保障</w:t>
            </w:r>
            <w:r>
              <w:rPr>
                <w:rFonts w:hint="eastAsia" w:ascii="宋体" w:hAnsi="宋体"/>
                <w:kern w:val="0"/>
                <w:szCs w:val="21"/>
              </w:rPr>
              <w:t>措施可行性低的</w:t>
            </w:r>
            <w:r>
              <w:rPr>
                <w:rFonts w:hint="eastAsia" w:asciiTheme="minorEastAsia" w:hAnsiTheme="minorEastAsia" w:eastAsiaTheme="minorEastAsia"/>
                <w:szCs w:val="21"/>
              </w:rPr>
              <w:t>，不加分。</w:t>
            </w:r>
          </w:p>
          <w:p>
            <w:pPr>
              <w:widowControl/>
              <w:snapToGrid w:val="0"/>
              <w:spacing w:line="360" w:lineRule="exact"/>
              <w:jc w:val="left"/>
              <w:rPr>
                <w:rFonts w:asciiTheme="minorEastAsia" w:hAnsiTheme="minorEastAsia" w:eastAsiaTheme="minorEastAsia"/>
                <w:szCs w:val="21"/>
              </w:rPr>
            </w:pPr>
          </w:p>
        </w:tc>
        <w:tc>
          <w:tcPr>
            <w:tcW w:w="1187" w:type="dxa"/>
            <w:vAlign w:val="center"/>
          </w:tcPr>
          <w:p>
            <w:pPr>
              <w:autoSpaceDE w:val="0"/>
              <w:autoSpaceDN w:val="0"/>
              <w:adjustRightInd w:val="0"/>
              <w:spacing w:line="360" w:lineRule="exact"/>
              <w:jc w:val="center"/>
              <w:rPr>
                <w:rFonts w:cs="仿宋" w:asciiTheme="minorEastAsia" w:hAnsiTheme="minorEastAsia" w:eastAsiaTheme="minorEastAsia"/>
                <w:szCs w:val="21"/>
              </w:rPr>
            </w:pPr>
            <w:r>
              <w:rPr>
                <w:rFonts w:hint="eastAsia" w:cs="宋体" w:asciiTheme="minorEastAsia" w:hAnsiTheme="minorEastAsia" w:eastAsiaTheme="minorEastAsia"/>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lang w:val="zh-CN"/>
              </w:rPr>
              <w:t>三、商务部分</w:t>
            </w:r>
          </w:p>
        </w:tc>
        <w:tc>
          <w:tcPr>
            <w:tcW w:w="1187" w:type="dxa"/>
            <w:vAlign w:val="center"/>
          </w:tcPr>
          <w:p>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序号</w:t>
            </w:r>
          </w:p>
        </w:tc>
        <w:tc>
          <w:tcPr>
            <w:tcW w:w="1143" w:type="dxa"/>
            <w:vAlign w:val="center"/>
          </w:tcPr>
          <w:p>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内容</w:t>
            </w:r>
          </w:p>
        </w:tc>
        <w:tc>
          <w:tcPr>
            <w:tcW w:w="709" w:type="dxa"/>
            <w:vAlign w:val="center"/>
          </w:tcPr>
          <w:p>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权重</w:t>
            </w:r>
          </w:p>
        </w:tc>
        <w:tc>
          <w:tcPr>
            <w:tcW w:w="5953" w:type="dxa"/>
            <w:vAlign w:val="center"/>
          </w:tcPr>
          <w:p>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评分规则</w:t>
            </w:r>
          </w:p>
        </w:tc>
        <w:tc>
          <w:tcPr>
            <w:tcW w:w="1187" w:type="dxa"/>
            <w:vAlign w:val="center"/>
          </w:tcPr>
          <w:p>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143" w:type="dxa"/>
            <w:vAlign w:val="center"/>
          </w:tcPr>
          <w:p>
            <w:pPr>
              <w:spacing w:line="360" w:lineRule="exact"/>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拟安排的项目负责人(仅限1人）情况</w:t>
            </w:r>
          </w:p>
        </w:tc>
        <w:tc>
          <w:tcPr>
            <w:tcW w:w="709" w:type="dxa"/>
            <w:vAlign w:val="center"/>
          </w:tcPr>
          <w:p>
            <w:pPr>
              <w:spacing w:line="36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lang w:val="en-US" w:eastAsia="zh-CN"/>
              </w:rPr>
              <w:t>8</w:t>
            </w:r>
          </w:p>
        </w:tc>
        <w:tc>
          <w:tcPr>
            <w:tcW w:w="5953" w:type="dxa"/>
            <w:vAlign w:val="center"/>
          </w:tcPr>
          <w:p>
            <w:pPr>
              <w:pStyle w:val="94"/>
              <w:spacing w:line="360" w:lineRule="exact"/>
              <w:ind w:firstLine="0" w:firstLineChars="0"/>
              <w:rPr>
                <w:rFonts w:cs="宋体" w:asciiTheme="minorEastAsia" w:hAnsiTheme="minorEastAsia" w:eastAsiaTheme="minorEastAsia"/>
                <w:b/>
                <w:bCs/>
                <w:szCs w:val="21"/>
              </w:rPr>
            </w:pPr>
            <w:r>
              <w:rPr>
                <w:rFonts w:hint="eastAsia" w:cs="宋体" w:asciiTheme="minorEastAsia" w:hAnsiTheme="minorEastAsia" w:eastAsiaTheme="minorEastAsia"/>
                <w:b/>
                <w:bCs/>
                <w:szCs w:val="21"/>
              </w:rPr>
              <w:t>（一）评审内容：</w:t>
            </w:r>
          </w:p>
          <w:p>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拟安排项目负责人</w:t>
            </w:r>
            <w:r>
              <w:rPr>
                <w:rFonts w:hint="eastAsia" w:cs="宋体" w:asciiTheme="minorEastAsia" w:hAnsiTheme="minorEastAsia" w:eastAsiaTheme="minorEastAsia"/>
                <w:color w:val="000000"/>
                <w:kern w:val="0"/>
                <w:szCs w:val="21"/>
              </w:rPr>
              <w:t>(仅限1人）</w:t>
            </w:r>
            <w:r>
              <w:rPr>
                <w:rFonts w:hint="eastAsia" w:asciiTheme="minorEastAsia" w:hAnsiTheme="minorEastAsia" w:eastAsiaTheme="minorEastAsia"/>
                <w:szCs w:val="21"/>
              </w:rPr>
              <w:t>为投标单位员工，否则本项不得分。</w:t>
            </w:r>
          </w:p>
          <w:p>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1.从事政府咨询</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服务</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课题研究工作年限3年</w:t>
            </w:r>
            <w:r>
              <w:rPr>
                <w:rFonts w:hint="eastAsia" w:asciiTheme="minorEastAsia" w:hAnsiTheme="minorEastAsia" w:eastAsiaTheme="minorEastAsia"/>
                <w:szCs w:val="21"/>
                <w:lang w:val="en-US" w:eastAsia="zh-CN"/>
              </w:rPr>
              <w:t>或以上</w:t>
            </w:r>
            <w:r>
              <w:rPr>
                <w:rFonts w:hint="eastAsia" w:asciiTheme="minorEastAsia" w:hAnsiTheme="minorEastAsia" w:eastAsiaTheme="minorEastAsia"/>
                <w:szCs w:val="21"/>
              </w:rPr>
              <w:t>，得</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2.具有硕士及以上学位，得</w:t>
            </w: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分。</w:t>
            </w:r>
          </w:p>
          <w:p>
            <w:pPr>
              <w:pStyle w:val="94"/>
              <w:spacing w:line="360" w:lineRule="exact"/>
              <w:ind w:firstLine="0" w:firstLineChars="0"/>
              <w:rPr>
                <w:rFonts w:cs="宋体" w:asciiTheme="minorEastAsia" w:hAnsiTheme="minorEastAsia" w:eastAsiaTheme="minorEastAsia"/>
                <w:b/>
                <w:bCs/>
                <w:szCs w:val="21"/>
              </w:rPr>
            </w:pPr>
            <w:r>
              <w:rPr>
                <w:rFonts w:hint="eastAsia" w:cs="宋体" w:asciiTheme="minorEastAsia" w:hAnsiTheme="minorEastAsia" w:eastAsiaTheme="minorEastAsia"/>
                <w:b/>
                <w:bCs/>
                <w:szCs w:val="21"/>
              </w:rPr>
              <w:t>（二）评审依据：</w:t>
            </w:r>
          </w:p>
          <w:p>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要求提供通过投标人缴纳的近三个月的任意一个月的社保证明作为本单位员工的证明依据。若投标人成立不足一个月的，需提供成立情况说明函（格式自拟），加盖投标人公章，无需提供相关人员社保，亦视为符合；若为退休返聘人员，需提供说明函（格式自拟），加盖投标人公章，无需提供相关人员社保，亦视为符合。</w:t>
            </w:r>
          </w:p>
          <w:p>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2.如涉及考察人员工作经验，要求提供项目合同关键信息（包含但不限于服务时间、服务内容、服务人员信息、双方盖章页等）作为得分依据，通过合同关键信息无法判断是否得分的，还须同时提供合同甲方出具的证明文件。</w:t>
            </w:r>
          </w:p>
          <w:p>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.如涉及考察人员学位，要求提供学位证书以及学信网查询记录，对于学信网无法查询的，还需提供毕业院校或人社部门或教育部门等颁发机构或监管机构出具的证明，否则无效。</w:t>
            </w:r>
          </w:p>
          <w:p>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以上资料均要求提供复印件或扫描件，原件备查。如涉及网站截图或照片等证明材料，需提供清晰图片，均要求加盖投标人公章，原件备查。评分中出现无证明资料或专家无法凭所提供资料判断是否得分的情况，一律作不得分处理。</w:t>
            </w:r>
          </w:p>
        </w:tc>
        <w:tc>
          <w:tcPr>
            <w:tcW w:w="1187" w:type="dxa"/>
            <w:vAlign w:val="center"/>
          </w:tcPr>
          <w:p>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pPr>
              <w:widowControl/>
              <w:snapToGrid w:val="0"/>
              <w:spacing w:line="360" w:lineRule="exact"/>
              <w:jc w:val="center"/>
              <w:rPr>
                <w:rFonts w:cs="仿宋" w:asciiTheme="minorEastAsia" w:hAnsiTheme="minorEastAsia" w:eastAsiaTheme="minorEastAsia"/>
                <w:szCs w:val="21"/>
                <w:lang w:val="zh-CN"/>
              </w:rPr>
            </w:pPr>
            <w:r>
              <w:rPr>
                <w:rFonts w:hint="eastAsia" w:cs="宋体" w:asciiTheme="minorEastAsia" w:hAnsiTheme="minorEastAsia" w:eastAsiaTheme="minorEastAsia"/>
                <w:kern w:val="0"/>
                <w:szCs w:val="21"/>
              </w:rPr>
              <w:t>2</w:t>
            </w:r>
          </w:p>
        </w:tc>
        <w:tc>
          <w:tcPr>
            <w:tcW w:w="1143" w:type="dxa"/>
            <w:vAlign w:val="center"/>
          </w:tcPr>
          <w:p>
            <w:pPr>
              <w:spacing w:line="360" w:lineRule="exact"/>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szCs w:val="21"/>
              </w:rPr>
              <w:t>拟安排的项目团队成员（项目负责人除外）情况</w:t>
            </w:r>
          </w:p>
        </w:tc>
        <w:tc>
          <w:tcPr>
            <w:tcW w:w="709" w:type="dxa"/>
            <w:vAlign w:val="center"/>
          </w:tcPr>
          <w:p>
            <w:pPr>
              <w:spacing w:line="36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lang w:val="en-US" w:eastAsia="zh-CN"/>
              </w:rPr>
              <w:t>4</w:t>
            </w:r>
          </w:p>
        </w:tc>
        <w:tc>
          <w:tcPr>
            <w:tcW w:w="5953" w:type="dxa"/>
            <w:vAlign w:val="center"/>
          </w:tcPr>
          <w:p>
            <w:pPr>
              <w:pStyle w:val="94"/>
              <w:spacing w:line="360" w:lineRule="exact"/>
              <w:ind w:firstLine="0" w:firstLineChars="0"/>
              <w:rPr>
                <w:rFonts w:cs="宋体" w:asciiTheme="minorEastAsia" w:hAnsiTheme="minorEastAsia" w:eastAsiaTheme="minorEastAsia"/>
                <w:b/>
                <w:bCs/>
                <w:szCs w:val="21"/>
              </w:rPr>
            </w:pPr>
            <w:r>
              <w:rPr>
                <w:rFonts w:hint="eastAsia" w:cs="宋体" w:asciiTheme="minorEastAsia" w:hAnsiTheme="minorEastAsia" w:eastAsiaTheme="minorEastAsia"/>
                <w:b/>
                <w:bCs/>
                <w:szCs w:val="21"/>
              </w:rPr>
              <w:t>（一）评审内容：</w:t>
            </w:r>
          </w:p>
          <w:p>
            <w:pPr>
              <w:pStyle w:val="94"/>
              <w:spacing w:line="360" w:lineRule="exact"/>
              <w:ind w:firstLine="0" w:firstLineChars="0"/>
              <w:rPr>
                <w:rFonts w:cs="宋体" w:asciiTheme="minorEastAsia" w:hAnsiTheme="minorEastAsia" w:eastAsiaTheme="minorEastAsia"/>
                <w:szCs w:val="21"/>
              </w:rPr>
            </w:pPr>
            <w:r>
              <w:rPr>
                <w:rFonts w:hint="eastAsia" w:cs="宋体" w:asciiTheme="minorEastAsia" w:hAnsiTheme="minorEastAsia" w:eastAsiaTheme="minorEastAsia"/>
                <w:szCs w:val="21"/>
              </w:rPr>
              <w:t>拟安排项目主要团队成员（项目负责人除外）为投标单位员工，否则该人员情况不得分。</w:t>
            </w:r>
          </w:p>
          <w:p>
            <w:pPr>
              <w:pStyle w:val="94"/>
              <w:spacing w:line="360" w:lineRule="exact"/>
              <w:ind w:firstLine="0" w:firstLineChars="0"/>
              <w:rPr>
                <w:rFonts w:cs="宋体" w:asciiTheme="minorEastAsia" w:hAnsiTheme="minorEastAsia" w:eastAsiaTheme="minorEastAsia"/>
                <w:szCs w:val="21"/>
              </w:rPr>
            </w:pPr>
            <w:r>
              <w:rPr>
                <w:rFonts w:hint="eastAsia" w:cs="宋体" w:asciiTheme="minorEastAsia" w:hAnsiTheme="minorEastAsia" w:eastAsiaTheme="minorEastAsia"/>
                <w:szCs w:val="21"/>
              </w:rPr>
              <w:t>1.拟派遣参与本项目的项目团队成员，除项目负责人以外，提供2名项目组成员信息，得</w:t>
            </w:r>
            <w:r>
              <w:rPr>
                <w:rFonts w:hint="eastAsia" w:cs="宋体" w:asciiTheme="minorEastAsia" w:hAnsiTheme="minorEastAsia" w:eastAsiaTheme="minorEastAsia"/>
                <w:szCs w:val="21"/>
                <w:lang w:val="en-US" w:eastAsia="zh-CN"/>
              </w:rPr>
              <w:t>4</w:t>
            </w:r>
            <w:r>
              <w:rPr>
                <w:rFonts w:hint="eastAsia" w:cs="宋体" w:asciiTheme="minorEastAsia" w:hAnsiTheme="minorEastAsia" w:eastAsiaTheme="minorEastAsia"/>
                <w:szCs w:val="21"/>
              </w:rPr>
              <w:t>分。</w:t>
            </w:r>
          </w:p>
          <w:p>
            <w:pPr>
              <w:pStyle w:val="94"/>
              <w:spacing w:line="360" w:lineRule="exact"/>
              <w:ind w:firstLine="0" w:firstLineChars="0"/>
              <w:rPr>
                <w:rFonts w:cs="宋体" w:asciiTheme="minorEastAsia" w:hAnsiTheme="minorEastAsia" w:eastAsiaTheme="minorEastAsia"/>
                <w:b/>
                <w:bCs/>
                <w:szCs w:val="21"/>
              </w:rPr>
            </w:pPr>
            <w:r>
              <w:rPr>
                <w:rFonts w:hint="eastAsia" w:cs="宋体" w:asciiTheme="minorEastAsia" w:hAnsiTheme="minorEastAsia" w:eastAsiaTheme="minorEastAsia"/>
                <w:b/>
                <w:bCs/>
                <w:szCs w:val="21"/>
              </w:rPr>
              <w:t>（二）评审依据：</w:t>
            </w:r>
          </w:p>
          <w:p>
            <w:pPr>
              <w:pStyle w:val="94"/>
              <w:spacing w:line="360" w:lineRule="exact"/>
              <w:ind w:firstLine="0" w:firstLineChars="0"/>
              <w:rPr>
                <w:rFonts w:cs="宋体" w:asciiTheme="minorEastAsia" w:hAnsiTheme="minorEastAsia" w:eastAsiaTheme="minorEastAsia"/>
                <w:szCs w:val="21"/>
              </w:rPr>
            </w:pPr>
            <w:r>
              <w:rPr>
                <w:rFonts w:hint="eastAsia" w:cs="宋体" w:asciiTheme="minorEastAsia" w:hAnsiTheme="minorEastAsia" w:eastAsiaTheme="minorEastAsia"/>
                <w:szCs w:val="21"/>
              </w:rPr>
              <w:t>1.要求提供通过投标人缴纳的近三个月的任意一个月的社保证明作为本单位员工的证明依据。若供应商成立不足一个月的，需提供成立情况说明函（格式自拟），加盖投标人公章，无需提供相关人员社保，亦视为符合；若为退休返聘人员，需提供说明函（格式自拟），加盖投标人公章，无需提供相关人员社保，亦视为符合。</w:t>
            </w:r>
          </w:p>
          <w:p>
            <w:pPr>
              <w:tabs>
                <w:tab w:val="left" w:pos="175"/>
              </w:tabs>
              <w:spacing w:line="360" w:lineRule="exact"/>
              <w:jc w:val="left"/>
              <w:rPr>
                <w:rFonts w:asciiTheme="minorEastAsia" w:hAnsiTheme="minorEastAsia" w:eastAsiaTheme="minorEastAsia"/>
                <w:kern w:val="0"/>
                <w:szCs w:val="21"/>
              </w:rPr>
            </w:pPr>
            <w:r>
              <w:rPr>
                <w:rFonts w:hint="eastAsia" w:cs="宋体" w:asciiTheme="minorEastAsia" w:hAnsiTheme="minorEastAsia" w:eastAsiaTheme="minorEastAsia"/>
                <w:szCs w:val="21"/>
              </w:rPr>
              <w:t>2.以上资料均要求提供扫描件，原件备查。评分中出现无证明资料或专家无法凭所提供资料判断是否得分的情况，一律作不得分处理。</w:t>
            </w:r>
          </w:p>
        </w:tc>
        <w:tc>
          <w:tcPr>
            <w:tcW w:w="1187" w:type="dxa"/>
            <w:vAlign w:val="center"/>
          </w:tcPr>
          <w:p>
            <w:pPr>
              <w:spacing w:line="360" w:lineRule="exact"/>
              <w:jc w:val="center"/>
              <w:rPr>
                <w:rFonts w:cs="仿宋" w:asciiTheme="minorEastAsia" w:hAnsiTheme="minorEastAsia" w:eastAsiaTheme="minorEastAsia"/>
                <w:szCs w:val="21"/>
              </w:rPr>
            </w:pPr>
            <w:r>
              <w:rPr>
                <w:rFonts w:hint="eastAsia" w:cs="宋体" w:asciiTheme="minorEastAsia" w:hAnsiTheme="minorEastAsia" w:eastAsiaTheme="minorEastAsia"/>
                <w:szCs w:val="21"/>
              </w:rPr>
              <w:t>评委</w:t>
            </w:r>
            <w:r>
              <w:rPr>
                <w:rFonts w:hint="eastAsia" w:cs="宋体" w:asciiTheme="minorEastAsia" w:hAnsiTheme="minorEastAsia" w:eastAsiaTheme="minorEastAsia"/>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3</w:t>
            </w:r>
          </w:p>
        </w:tc>
        <w:tc>
          <w:tcPr>
            <w:tcW w:w="1143" w:type="dxa"/>
            <w:vAlign w:val="center"/>
          </w:tcPr>
          <w:p>
            <w:pPr>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szCs w:val="21"/>
              </w:rPr>
              <w:t>投标人认证情况</w:t>
            </w:r>
          </w:p>
        </w:tc>
        <w:tc>
          <w:tcPr>
            <w:tcW w:w="709" w:type="dxa"/>
            <w:vAlign w:val="center"/>
          </w:tcPr>
          <w:p>
            <w:pPr>
              <w:spacing w:line="360" w:lineRule="exact"/>
              <w:jc w:val="center"/>
              <w:rPr>
                <w:rFonts w:asciiTheme="minorEastAsia" w:hAnsiTheme="minorEastAsia" w:eastAsiaTheme="minorEastAsia"/>
                <w:kern w:val="0"/>
                <w:szCs w:val="21"/>
              </w:rPr>
            </w:pPr>
            <w:r>
              <w:rPr>
                <w:rFonts w:hint="eastAsia" w:cs="宋体" w:asciiTheme="minorEastAsia" w:hAnsiTheme="minorEastAsia" w:eastAsiaTheme="minorEastAsia"/>
                <w:szCs w:val="21"/>
              </w:rPr>
              <w:t>3</w:t>
            </w:r>
          </w:p>
        </w:tc>
        <w:tc>
          <w:tcPr>
            <w:tcW w:w="5953" w:type="dxa"/>
            <w:vAlign w:val="center"/>
          </w:tcPr>
          <w:p>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（一）评分内容：</w:t>
            </w:r>
          </w:p>
          <w:p>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投标人具有</w:t>
            </w:r>
            <w:r>
              <w:rPr>
                <w:rFonts w:hint="eastAsia" w:asciiTheme="minorEastAsia" w:hAnsiTheme="minorEastAsia" w:eastAsiaTheme="minorEastAsia"/>
                <w:bCs/>
                <w:szCs w:val="21"/>
              </w:rPr>
              <w:t>ISO9001</w:t>
            </w:r>
            <w:r>
              <w:rPr>
                <w:rFonts w:hint="eastAsia" w:asciiTheme="minorEastAsia" w:hAnsiTheme="minorEastAsia" w:eastAsiaTheme="minorEastAsia"/>
                <w:kern w:val="0"/>
                <w:szCs w:val="21"/>
              </w:rPr>
              <w:t>质量管理体系认证证书、</w:t>
            </w:r>
            <w:r>
              <w:rPr>
                <w:rFonts w:asciiTheme="minorEastAsia" w:hAnsiTheme="minorEastAsia" w:eastAsiaTheme="minorEastAsia"/>
                <w:kern w:val="0"/>
                <w:szCs w:val="21"/>
              </w:rPr>
              <w:t>ISO14001</w:t>
            </w:r>
            <w:r>
              <w:rPr>
                <w:rFonts w:hint="eastAsia" w:asciiTheme="minorEastAsia" w:hAnsiTheme="minorEastAsia" w:eastAsiaTheme="minorEastAsia"/>
                <w:kern w:val="0"/>
                <w:szCs w:val="21"/>
              </w:rPr>
              <w:t>环境管理体系认证证书、ISO45001职业健康安全管理体系认证证书，每提供1个有效认证证书得1分，最高得3分。</w:t>
            </w:r>
          </w:p>
          <w:p>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（二）评分依据：</w:t>
            </w:r>
          </w:p>
          <w:p>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1. </w:t>
            </w:r>
            <w:r>
              <w:rPr>
                <w:rFonts w:hint="eastAsia" w:cs="宋体" w:asciiTheme="minorEastAsia" w:hAnsiTheme="minorEastAsia" w:eastAsiaTheme="minorEastAsia"/>
                <w:szCs w:val="21"/>
              </w:rPr>
              <w:t>要求提供有效的认证证书作为得分依据</w:t>
            </w:r>
            <w:r>
              <w:rPr>
                <w:rFonts w:hint="eastAsia" w:asciiTheme="minorEastAsia" w:hAnsiTheme="minorEastAsia" w:eastAsiaTheme="minorEastAsia"/>
                <w:kern w:val="0"/>
                <w:szCs w:val="21"/>
              </w:rPr>
              <w:t>（如认证证书注明年审要求的，必须按规定年审且证书在有效期内的方为有效；如未注明年审要求的，证书必须在有效期内的方为有效）；</w:t>
            </w:r>
          </w:p>
          <w:p>
            <w:pPr>
              <w:autoSpaceDE w:val="0"/>
              <w:autoSpaceDN w:val="0"/>
              <w:adjustRightInd w:val="0"/>
              <w:spacing w:line="360" w:lineRule="exact"/>
              <w:jc w:val="left"/>
              <w:rPr>
                <w:rFonts w:cs="仿宋" w:asciiTheme="minorEastAsia" w:hAnsiTheme="minorEastAsia" w:eastAsiaTheme="minorEastAsia"/>
                <w:szCs w:val="21"/>
                <w:lang w:val="zh-CN"/>
              </w:rPr>
            </w:pPr>
            <w:r>
              <w:rPr>
                <w:rFonts w:hint="eastAsia" w:asciiTheme="minorEastAsia" w:hAnsiTheme="minorEastAsia" w:eastAsiaTheme="minorEastAsia"/>
                <w:kern w:val="0"/>
                <w:szCs w:val="21"/>
              </w:rPr>
              <w:t>2. 提供证书官网或权威机构【如：全国认证认可信息公共服务平台（cx.cnca.cn）】认证信息查询截图（截图需显示证书状态为有效）。</w:t>
            </w:r>
            <w:r>
              <w:rPr>
                <w:rFonts w:hint="eastAsia" w:cs="仿宋" w:asciiTheme="minorEastAsia" w:hAnsiTheme="minorEastAsia" w:eastAsiaTheme="minorEastAsia"/>
                <w:szCs w:val="21"/>
                <w:lang w:val="zh-CN"/>
              </w:rPr>
              <w:t>相关证书在公开渠道无法查询的，投标人需提供颁发部门或者监管机构的证明材料，证明证书真实有效且为合法机构颁发；</w:t>
            </w:r>
          </w:p>
          <w:p>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szCs w:val="21"/>
              </w:rPr>
              <w:t>3. 证书由行业协会颁发的，需提供该行业协会在“中国社会组织政务服务平台”（网址：</w:t>
            </w:r>
            <w:r>
              <w:rPr>
                <w:rFonts w:asciiTheme="minorEastAsia" w:hAnsiTheme="minorEastAsia" w:eastAsiaTheme="minorEastAsia"/>
                <w:szCs w:val="21"/>
              </w:rPr>
              <w:t>https://chinanpo.mca.gov.cn/</w:t>
            </w:r>
            <w:r>
              <w:rPr>
                <w:rFonts w:hint="eastAsia" w:asciiTheme="minorEastAsia" w:hAnsiTheme="minorEastAsia" w:eastAsiaTheme="minorEastAsia"/>
                <w:szCs w:val="21"/>
              </w:rPr>
              <w:t>）查询的已合法登记且状态正常截图，否则不予认可，视为无效证书；</w:t>
            </w:r>
          </w:p>
          <w:p>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提供以上证明文件复印件或扫描件，如涉及网站截图或照片等证明材料,需提供清晰图片,均要求加盖投标人公章,原件备查。未按要求提供有效证明材料或提供不清晰导致评委无法识别的不计得分</w:t>
            </w:r>
            <w:r>
              <w:rPr>
                <w:rFonts w:hint="eastAsia" w:cs="仿宋" w:asciiTheme="minorEastAsia" w:hAnsiTheme="minorEastAsia" w:eastAsiaTheme="minorEastAsia"/>
                <w:szCs w:val="21"/>
                <w:lang w:val="zh-CN"/>
              </w:rPr>
              <w:t>。</w:t>
            </w:r>
          </w:p>
        </w:tc>
        <w:tc>
          <w:tcPr>
            <w:tcW w:w="1187" w:type="dxa"/>
            <w:vAlign w:val="center"/>
          </w:tcPr>
          <w:p>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8" w:hRule="atLeast"/>
          <w:jc w:val="center"/>
        </w:trPr>
        <w:tc>
          <w:tcPr>
            <w:tcW w:w="754" w:type="dxa"/>
            <w:vAlign w:val="center"/>
          </w:tcPr>
          <w:p>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4</w:t>
            </w:r>
          </w:p>
        </w:tc>
        <w:tc>
          <w:tcPr>
            <w:tcW w:w="1143" w:type="dxa"/>
            <w:vAlign w:val="center"/>
          </w:tcPr>
          <w:p>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诚信评审</w:t>
            </w:r>
          </w:p>
        </w:tc>
        <w:tc>
          <w:tcPr>
            <w:tcW w:w="709" w:type="dxa"/>
            <w:vAlign w:val="center"/>
          </w:tcPr>
          <w:p>
            <w:pPr>
              <w:spacing w:line="360" w:lineRule="exact"/>
              <w:jc w:val="center"/>
              <w:rPr>
                <w:rFonts w:cs="仿宋" w:asciiTheme="minorEastAsia" w:hAnsiTheme="minorEastAsia" w:eastAsiaTheme="minorEastAsia"/>
                <w:szCs w:val="21"/>
              </w:rPr>
            </w:pPr>
            <w:r>
              <w:rPr>
                <w:rFonts w:hint="eastAsia" w:asciiTheme="minorEastAsia" w:hAnsiTheme="minorEastAsia" w:eastAsiaTheme="minorEastAsia"/>
                <w:szCs w:val="21"/>
                <w:lang w:val="en-US" w:eastAsia="zh-CN"/>
              </w:rPr>
              <w:t>5</w:t>
            </w:r>
          </w:p>
        </w:tc>
        <w:tc>
          <w:tcPr>
            <w:tcW w:w="5953" w:type="dxa"/>
            <w:vAlign w:val="center"/>
          </w:tcPr>
          <w:p>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pPr>
              <w:tabs>
                <w:tab w:val="left" w:pos="175"/>
              </w:tabs>
              <w:spacing w:line="360" w:lineRule="exact"/>
              <w:ind w:left="33"/>
              <w:jc w:val="left"/>
              <w:rPr>
                <w:rFonts w:cs="仿宋"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bl>
    <w:p>
      <w:pPr>
        <w:pStyle w:val="2"/>
        <w:spacing w:before="0" w:after="0"/>
        <w:jc w:val="left"/>
        <w:rPr>
          <w:rFonts w:asciiTheme="minorEastAsia" w:hAnsiTheme="minorEastAsia"/>
          <w:bCs w:val="0"/>
          <w:sz w:val="21"/>
          <w:szCs w:val="21"/>
        </w:rPr>
      </w:pPr>
      <w:bookmarkStart w:id="10" w:name="_Toc44691394"/>
      <w:bookmarkStart w:id="11" w:name="_Toc44690703"/>
      <w:bookmarkStart w:id="12" w:name="_Toc44690430"/>
      <w:bookmarkStart w:id="13" w:name="_Toc135293165"/>
      <w:bookmarkStart w:id="14" w:name="_Toc44691162"/>
      <w:r>
        <w:rPr>
          <w:rFonts w:hint="eastAsia" w:asciiTheme="minorEastAsia" w:hAnsiTheme="minorEastAsia"/>
          <w:bCs w:val="0"/>
          <w:sz w:val="21"/>
          <w:szCs w:val="21"/>
        </w:rPr>
        <w:t>备注：</w:t>
      </w:r>
      <w:bookmarkEnd w:id="10"/>
      <w:bookmarkEnd w:id="11"/>
      <w:bookmarkEnd w:id="12"/>
      <w:bookmarkEnd w:id="13"/>
      <w:bookmarkEnd w:id="14"/>
    </w:p>
    <w:p>
      <w:pPr>
        <w:pStyle w:val="4"/>
        <w:spacing w:before="0" w:after="0"/>
      </w:pPr>
      <w:bookmarkStart w:id="15" w:name="_Toc135293166"/>
      <w:r>
        <w:rPr>
          <w:rFonts w:hint="eastAsia"/>
        </w:rPr>
        <w:t>1、资质证书有效期</w:t>
      </w:r>
      <w:bookmarkEnd w:id="15"/>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pPr>
        <w:adjustRightInd w:val="0"/>
        <w:spacing w:line="360" w:lineRule="exact"/>
        <w:rPr>
          <w:rFonts w:asciiTheme="minorEastAsia" w:hAnsiTheme="minorEastAsia" w:eastAsiaTheme="minorEastAsia"/>
          <w:b/>
        </w:rPr>
      </w:pPr>
    </w:p>
    <w:p>
      <w:pPr>
        <w:pStyle w:val="4"/>
        <w:spacing w:before="0" w:after="0"/>
        <w:rPr>
          <w:rFonts w:asciiTheme="minorEastAsia" w:hAnsiTheme="minorEastAsia" w:eastAsiaTheme="minorEastAsia"/>
        </w:rPr>
      </w:pPr>
      <w:bookmarkStart w:id="16" w:name="_Toc135293167"/>
      <w:r>
        <w:rPr>
          <w:rFonts w:hint="eastAsia" w:asciiTheme="minorEastAsia" w:hAnsiTheme="minorEastAsia" w:eastAsiaTheme="minorEastAsia"/>
        </w:rPr>
        <w:t>2、政府采购扶持政策</w:t>
      </w:r>
      <w:bookmarkEnd w:id="16"/>
    </w:p>
    <w:p>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pPr>
        <w:widowControl/>
        <w:spacing w:line="360" w:lineRule="auto"/>
        <w:ind w:firstLine="371" w:firstLineChars="177"/>
        <w:jc w:val="left"/>
        <w:rPr>
          <w:rFonts w:cs="仿宋" w:asciiTheme="minorEastAsia" w:hAnsiTheme="minorEastAsia" w:eastAsiaTheme="minorEastAsia"/>
          <w:szCs w:val="21"/>
        </w:rPr>
      </w:pPr>
      <w:r>
        <w:rPr>
          <w:rFonts w:hint="eastAsia" w:ascii="宋体"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pPr>
        <w:spacing w:line="360" w:lineRule="auto"/>
        <w:ind w:firstLine="422" w:firstLineChars="200"/>
        <w:rPr>
          <w:rFonts w:ascii="宋体" w:hAnsi="宋体"/>
          <w:b/>
          <w:szCs w:val="21"/>
        </w:rPr>
      </w:pPr>
      <w:r>
        <w:rPr>
          <w:rFonts w:hint="eastAsia" w:asciiTheme="minorEastAsia" w:hAnsiTheme="minorEastAsia" w:eastAsiaTheme="minorEastAsia"/>
          <w:b/>
          <w:szCs w:val="21"/>
        </w:rPr>
        <w:t>（四）</w:t>
      </w:r>
      <w:r>
        <w:rPr>
          <w:rFonts w:hint="eastAsia"/>
          <w:b/>
        </w:rPr>
        <w:t>其他说明</w:t>
      </w:r>
    </w:p>
    <w:p>
      <w:pPr>
        <w:spacing w:line="360" w:lineRule="auto"/>
        <w:ind w:firstLine="420" w:firstLineChars="200"/>
      </w:pPr>
      <w:r>
        <w:rPr>
          <w:rFonts w:hint="eastAsia" w:asciiTheme="minorEastAsia" w:hAnsiTheme="minorEastAsia" w:eastAsiaTheme="minorEastAsia"/>
        </w:rPr>
        <w:t>为缓解中小企业融资难题，深圳市推出政府采购订单融资改革举措。订单融资具体流程及试点金融机构订单融资服务承诺可参阅深圳市政府采购监管网（zfcg.sz.gov.cn）政府采购订单融资栏目。</w:t>
      </w:r>
    </w:p>
    <w:p>
      <w:pPr>
        <w:widowControl/>
        <w:jc w:val="left"/>
      </w:pPr>
    </w:p>
    <w:p>
      <w:pPr>
        <w:pStyle w:val="3"/>
      </w:pPr>
      <w:bookmarkStart w:id="17" w:name="_Toc135293168"/>
      <w:r>
        <w:rPr>
          <w:rFonts w:hint="eastAsia"/>
        </w:rPr>
        <w:t>第五章  投标人须知前附表</w:t>
      </w:r>
      <w:bookmarkEnd w:id="17"/>
    </w:p>
    <w:p>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项号</w:t>
            </w:r>
          </w:p>
        </w:tc>
        <w:tc>
          <w:tcPr>
            <w:tcW w:w="1038" w:type="dxa"/>
            <w:vAlign w:val="center"/>
          </w:tcPr>
          <w:p>
            <w:pPr>
              <w:pStyle w:val="26"/>
              <w:spacing w:line="360" w:lineRule="auto"/>
              <w:jc w:val="center"/>
              <w:rPr>
                <w:rFonts w:hAnsi="宋体"/>
              </w:rPr>
            </w:pPr>
            <w:r>
              <w:rPr>
                <w:rFonts w:hint="eastAsia" w:hAnsi="宋体"/>
              </w:rPr>
              <w:t>条款号</w:t>
            </w:r>
          </w:p>
        </w:tc>
        <w:tc>
          <w:tcPr>
            <w:tcW w:w="1843" w:type="dxa"/>
            <w:vAlign w:val="center"/>
          </w:tcPr>
          <w:p>
            <w:pPr>
              <w:pStyle w:val="26"/>
              <w:spacing w:line="360" w:lineRule="auto"/>
              <w:jc w:val="center"/>
              <w:rPr>
                <w:rFonts w:hAnsi="宋体"/>
              </w:rPr>
            </w:pPr>
            <w:r>
              <w:rPr>
                <w:rFonts w:hint="eastAsia" w:hAnsi="宋体"/>
              </w:rPr>
              <w:t>内容</w:t>
            </w:r>
          </w:p>
        </w:tc>
        <w:tc>
          <w:tcPr>
            <w:tcW w:w="6520" w:type="dxa"/>
          </w:tcPr>
          <w:p>
            <w:pPr>
              <w:pStyle w:val="26"/>
              <w:spacing w:line="360" w:lineRule="auto"/>
              <w:jc w:val="center"/>
              <w:rPr>
                <w:rFonts w:hAnsi="宋体"/>
              </w:rPr>
            </w:pPr>
            <w:r>
              <w:rPr>
                <w:rFonts w:hint="eastAsia" w:hAnsi="宋体"/>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Ansi="宋体"/>
              </w:rPr>
              <w:t>1</w:t>
            </w:r>
          </w:p>
        </w:tc>
        <w:tc>
          <w:tcPr>
            <w:tcW w:w="1038" w:type="dxa"/>
            <w:vAlign w:val="center"/>
          </w:tcPr>
          <w:p>
            <w:pPr>
              <w:pStyle w:val="26"/>
              <w:spacing w:line="360" w:lineRule="auto"/>
              <w:jc w:val="center"/>
              <w:rPr>
                <w:rFonts w:hAnsi="宋体"/>
              </w:rPr>
            </w:pPr>
            <w:r>
              <w:rPr>
                <w:rFonts w:hAnsi="宋体"/>
              </w:rPr>
              <w:t>1.1</w:t>
            </w:r>
          </w:p>
        </w:tc>
        <w:tc>
          <w:tcPr>
            <w:tcW w:w="1843" w:type="dxa"/>
            <w:vAlign w:val="center"/>
          </w:tcPr>
          <w:p>
            <w:pPr>
              <w:pStyle w:val="26"/>
              <w:spacing w:line="360" w:lineRule="exact"/>
              <w:jc w:val="center"/>
              <w:rPr>
                <w:rFonts w:hAnsi="宋体"/>
              </w:rPr>
            </w:pPr>
            <w:r>
              <w:rPr>
                <w:rFonts w:hint="eastAsia" w:hAnsi="宋体"/>
              </w:rPr>
              <w:t>项目名称</w:t>
            </w:r>
          </w:p>
        </w:tc>
        <w:tc>
          <w:tcPr>
            <w:tcW w:w="6520" w:type="dxa"/>
            <w:vAlign w:val="center"/>
          </w:tcPr>
          <w:p>
            <w:pPr>
              <w:pStyle w:val="26"/>
              <w:spacing w:line="360" w:lineRule="exact"/>
              <w:rPr>
                <w:rFonts w:hint="eastAsia" w:eastAsia="宋体"/>
                <w:lang w:eastAsia="zh-CN"/>
              </w:rPr>
            </w:pPr>
            <w:r>
              <w:rPr>
                <w:rFonts w:hint="eastAsia"/>
                <w:lang w:eastAsia="zh-CN"/>
              </w:rPr>
              <w:t>注册服务领域经营主体获得感跟踪提升服务项目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2</w:t>
            </w:r>
          </w:p>
        </w:tc>
        <w:tc>
          <w:tcPr>
            <w:tcW w:w="1038" w:type="dxa"/>
            <w:vAlign w:val="center"/>
          </w:tcPr>
          <w:p>
            <w:pPr>
              <w:pStyle w:val="26"/>
              <w:spacing w:line="360" w:lineRule="auto"/>
              <w:jc w:val="center"/>
              <w:rPr>
                <w:rFonts w:hAnsi="宋体"/>
              </w:rPr>
            </w:pPr>
            <w:r>
              <w:rPr>
                <w:rFonts w:hAnsi="宋体"/>
              </w:rPr>
              <w:t>2.1</w:t>
            </w:r>
          </w:p>
        </w:tc>
        <w:tc>
          <w:tcPr>
            <w:tcW w:w="1843" w:type="dxa"/>
            <w:vAlign w:val="center"/>
          </w:tcPr>
          <w:p>
            <w:pPr>
              <w:pStyle w:val="26"/>
              <w:spacing w:line="360" w:lineRule="exact"/>
              <w:jc w:val="center"/>
              <w:rPr>
                <w:rFonts w:hAnsi="宋体"/>
              </w:rPr>
            </w:pPr>
            <w:r>
              <w:rPr>
                <w:rFonts w:hint="eastAsia" w:hAnsi="宋体"/>
              </w:rPr>
              <w:t>采购人</w:t>
            </w:r>
          </w:p>
        </w:tc>
        <w:tc>
          <w:tcPr>
            <w:tcW w:w="6520" w:type="dxa"/>
            <w:vAlign w:val="center"/>
          </w:tcPr>
          <w:p>
            <w:pPr>
              <w:pStyle w:val="26"/>
              <w:spacing w:line="360" w:lineRule="exact"/>
              <w:rPr>
                <w:rFonts w:hAnsi="宋体"/>
                <w:szCs w:val="24"/>
              </w:rPr>
            </w:pPr>
            <w:r>
              <w:rPr>
                <w:rFonts w:hint="eastAsia" w:hAnsi="宋体"/>
                <w:snapToGrid w:val="0"/>
                <w:szCs w:val="21"/>
              </w:rPr>
              <w:t>深圳市企业注册局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3</w:t>
            </w:r>
          </w:p>
        </w:tc>
        <w:tc>
          <w:tcPr>
            <w:tcW w:w="1038" w:type="dxa"/>
            <w:vAlign w:val="center"/>
          </w:tcPr>
          <w:p>
            <w:pPr>
              <w:pStyle w:val="26"/>
              <w:spacing w:line="360" w:lineRule="auto"/>
              <w:jc w:val="center"/>
              <w:rPr>
                <w:rFonts w:hAnsi="宋体"/>
              </w:rPr>
            </w:pPr>
            <w:r>
              <w:rPr>
                <w:rFonts w:hAnsi="宋体"/>
              </w:rPr>
              <w:t>2.2</w:t>
            </w:r>
          </w:p>
        </w:tc>
        <w:tc>
          <w:tcPr>
            <w:tcW w:w="1843" w:type="dxa"/>
            <w:vAlign w:val="center"/>
          </w:tcPr>
          <w:p>
            <w:pPr>
              <w:pStyle w:val="26"/>
              <w:spacing w:line="360" w:lineRule="exact"/>
              <w:jc w:val="center"/>
              <w:rPr>
                <w:rFonts w:hAnsi="宋体"/>
              </w:rPr>
            </w:pPr>
            <w:r>
              <w:rPr>
                <w:rFonts w:hint="eastAsia" w:hAnsi="宋体"/>
              </w:rPr>
              <w:t>采购代理机构</w:t>
            </w:r>
          </w:p>
        </w:tc>
        <w:tc>
          <w:tcPr>
            <w:tcW w:w="6520" w:type="dxa"/>
            <w:vAlign w:val="center"/>
          </w:tcPr>
          <w:p>
            <w:pPr>
              <w:pStyle w:val="26"/>
              <w:spacing w:line="360" w:lineRule="exact"/>
              <w:rPr>
                <w:rFonts w:hAnsi="宋体"/>
              </w:rPr>
            </w:pPr>
            <w:r>
              <w:rPr>
                <w:rFonts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pPr>
              <w:pStyle w:val="26"/>
              <w:spacing w:line="360" w:lineRule="auto"/>
              <w:jc w:val="center"/>
              <w:rPr>
                <w:rFonts w:hAnsi="宋体"/>
              </w:rPr>
            </w:pPr>
            <w:r>
              <w:rPr>
                <w:rFonts w:hint="eastAsia" w:hAnsi="宋体"/>
              </w:rPr>
              <w:t>4</w:t>
            </w:r>
          </w:p>
        </w:tc>
        <w:tc>
          <w:tcPr>
            <w:tcW w:w="1038" w:type="dxa"/>
            <w:vAlign w:val="center"/>
          </w:tcPr>
          <w:p>
            <w:pPr>
              <w:pStyle w:val="26"/>
              <w:spacing w:line="360" w:lineRule="auto"/>
              <w:jc w:val="center"/>
              <w:rPr>
                <w:rFonts w:hAnsi="宋体"/>
              </w:rPr>
            </w:pPr>
            <w:r>
              <w:rPr>
                <w:rFonts w:hint="eastAsia" w:hAnsi="宋体"/>
              </w:rPr>
              <w:t>3.1</w:t>
            </w:r>
          </w:p>
        </w:tc>
        <w:tc>
          <w:tcPr>
            <w:tcW w:w="1843" w:type="dxa"/>
            <w:vAlign w:val="center"/>
          </w:tcPr>
          <w:p>
            <w:pPr>
              <w:pStyle w:val="26"/>
              <w:spacing w:line="360" w:lineRule="exact"/>
              <w:jc w:val="center"/>
              <w:rPr>
                <w:rFonts w:hAnsi="宋体"/>
              </w:rPr>
            </w:pPr>
            <w:r>
              <w:rPr>
                <w:rFonts w:hint="eastAsia" w:hAnsi="宋体"/>
              </w:rPr>
              <w:t>资金来源</w:t>
            </w:r>
          </w:p>
        </w:tc>
        <w:tc>
          <w:tcPr>
            <w:tcW w:w="6520" w:type="dxa"/>
            <w:vAlign w:val="center"/>
          </w:tcPr>
          <w:p>
            <w:pPr>
              <w:pStyle w:val="26"/>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pPr>
              <w:pStyle w:val="26"/>
              <w:spacing w:line="360" w:lineRule="auto"/>
              <w:jc w:val="center"/>
              <w:rPr>
                <w:rFonts w:hAnsi="宋体"/>
              </w:rPr>
            </w:pPr>
            <w:r>
              <w:rPr>
                <w:rFonts w:hint="eastAsia" w:hAnsi="宋体"/>
              </w:rPr>
              <w:t>5</w:t>
            </w:r>
          </w:p>
        </w:tc>
        <w:tc>
          <w:tcPr>
            <w:tcW w:w="1038" w:type="dxa"/>
            <w:vAlign w:val="center"/>
          </w:tcPr>
          <w:p>
            <w:pPr>
              <w:pStyle w:val="26"/>
              <w:spacing w:line="360" w:lineRule="auto"/>
              <w:jc w:val="center"/>
              <w:rPr>
                <w:rFonts w:hAnsi="宋体"/>
              </w:rPr>
            </w:pPr>
            <w:r>
              <w:rPr>
                <w:rFonts w:hint="eastAsia" w:hAnsi="宋体"/>
              </w:rPr>
              <w:t>4.7</w:t>
            </w:r>
          </w:p>
        </w:tc>
        <w:tc>
          <w:tcPr>
            <w:tcW w:w="1843" w:type="dxa"/>
            <w:vAlign w:val="center"/>
          </w:tcPr>
          <w:p>
            <w:pPr>
              <w:pStyle w:val="26"/>
              <w:spacing w:line="360" w:lineRule="auto"/>
              <w:jc w:val="center"/>
              <w:rPr>
                <w:rFonts w:hAnsi="宋体"/>
              </w:rPr>
            </w:pPr>
            <w:r>
              <w:rPr>
                <w:rFonts w:hint="eastAsia" w:hAnsi="宋体"/>
              </w:rPr>
              <w:t>投标人资格要求</w:t>
            </w:r>
          </w:p>
        </w:tc>
        <w:tc>
          <w:tcPr>
            <w:tcW w:w="6520" w:type="dxa"/>
            <w:vAlign w:val="center"/>
          </w:tcPr>
          <w:p>
            <w:pPr>
              <w:pStyle w:val="26"/>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pPr>
              <w:pStyle w:val="26"/>
              <w:spacing w:line="360" w:lineRule="auto"/>
              <w:rPr>
                <w:rFonts w:hAnsi="宋体"/>
                <w:b/>
                <w:bCs/>
                <w:szCs w:val="21"/>
              </w:rPr>
            </w:pPr>
            <w:r>
              <w:rPr>
                <w:rFonts w:hint="eastAsia" w:hAnsi="宋体"/>
                <w:b/>
                <w:bCs/>
                <w:szCs w:val="21"/>
              </w:rPr>
              <w:t>（投标人资格证明文件详见第七章 投标文件格式）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6</w:t>
            </w:r>
          </w:p>
        </w:tc>
        <w:tc>
          <w:tcPr>
            <w:tcW w:w="1038" w:type="dxa"/>
            <w:vAlign w:val="center"/>
          </w:tcPr>
          <w:p>
            <w:pPr>
              <w:pStyle w:val="26"/>
              <w:spacing w:line="360" w:lineRule="auto"/>
              <w:jc w:val="center"/>
              <w:rPr>
                <w:rFonts w:hAnsi="宋体"/>
              </w:rPr>
            </w:pPr>
            <w:r>
              <w:rPr>
                <w:rFonts w:hint="eastAsia" w:hAnsi="宋体"/>
              </w:rPr>
              <w:t>4.8</w:t>
            </w:r>
          </w:p>
        </w:tc>
        <w:tc>
          <w:tcPr>
            <w:tcW w:w="1843" w:type="dxa"/>
            <w:vAlign w:val="center"/>
          </w:tcPr>
          <w:p>
            <w:pPr>
              <w:pStyle w:val="26"/>
              <w:spacing w:line="360" w:lineRule="auto"/>
              <w:jc w:val="center"/>
              <w:rPr>
                <w:rFonts w:hAnsi="宋体"/>
              </w:rPr>
            </w:pPr>
            <w:r>
              <w:rPr>
                <w:rFonts w:hint="eastAsia" w:hAnsi="宋体"/>
              </w:rPr>
              <w:t>联合体投标</w:t>
            </w:r>
          </w:p>
        </w:tc>
        <w:tc>
          <w:tcPr>
            <w:tcW w:w="6520" w:type="dxa"/>
          </w:tcPr>
          <w:p>
            <w:pPr>
              <w:pStyle w:val="26"/>
              <w:spacing w:line="360" w:lineRule="auto"/>
              <w:rPr>
                <w:rFonts w:hAnsi="宋体"/>
              </w:rPr>
            </w:pPr>
            <w:r>
              <w:rPr>
                <w:rFonts w:hint="eastAsia" w:hAnsi="宋体"/>
              </w:rPr>
              <w:t>不接受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7</w:t>
            </w:r>
          </w:p>
        </w:tc>
        <w:tc>
          <w:tcPr>
            <w:tcW w:w="1038" w:type="dxa"/>
            <w:vAlign w:val="center"/>
          </w:tcPr>
          <w:p>
            <w:pPr>
              <w:pStyle w:val="26"/>
              <w:spacing w:line="360" w:lineRule="auto"/>
              <w:jc w:val="center"/>
              <w:rPr>
                <w:rFonts w:hAnsi="宋体"/>
              </w:rPr>
            </w:pPr>
            <w:r>
              <w:rPr>
                <w:rFonts w:hint="eastAsia" w:hAnsi="宋体"/>
              </w:rPr>
              <w:t>6.1</w:t>
            </w:r>
          </w:p>
        </w:tc>
        <w:tc>
          <w:tcPr>
            <w:tcW w:w="1843" w:type="dxa"/>
            <w:vAlign w:val="center"/>
          </w:tcPr>
          <w:p>
            <w:pPr>
              <w:pStyle w:val="26"/>
              <w:spacing w:line="360" w:lineRule="auto"/>
              <w:jc w:val="center"/>
              <w:rPr>
                <w:rFonts w:hAnsi="宋体"/>
              </w:rPr>
            </w:pPr>
            <w:r>
              <w:rPr>
                <w:rFonts w:hint="eastAsia" w:hAnsi="宋体"/>
              </w:rPr>
              <w:t>踏勘现场</w:t>
            </w:r>
          </w:p>
        </w:tc>
        <w:tc>
          <w:tcPr>
            <w:tcW w:w="6520" w:type="dxa"/>
          </w:tcPr>
          <w:p>
            <w:pPr>
              <w:pStyle w:val="26"/>
              <w:spacing w:line="360" w:lineRule="auto"/>
              <w:rPr>
                <w:rFonts w:hAnsi="宋体"/>
              </w:rPr>
            </w:pPr>
            <w:r>
              <w:rPr>
                <w:rFonts w:hint="eastAsia" w:hAnsi="宋体"/>
              </w:rPr>
              <w:t>不统一组织</w:t>
            </w:r>
            <w:r>
              <w:rPr>
                <w:rFonts w:hint="eastAsia"/>
                <w:snapToGrid w:val="0"/>
              </w:rPr>
              <w:t>，由各投标人自行查看现场。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8</w:t>
            </w:r>
          </w:p>
        </w:tc>
        <w:tc>
          <w:tcPr>
            <w:tcW w:w="1038" w:type="dxa"/>
            <w:vAlign w:val="center"/>
          </w:tcPr>
          <w:p>
            <w:pPr>
              <w:pStyle w:val="26"/>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pPr>
              <w:pStyle w:val="26"/>
              <w:spacing w:line="360" w:lineRule="auto"/>
              <w:jc w:val="center"/>
              <w:rPr>
                <w:rFonts w:hAnsi="宋体"/>
              </w:rPr>
            </w:pPr>
            <w:r>
              <w:rPr>
                <w:rFonts w:hint="eastAsia" w:hAnsi="宋体"/>
              </w:rPr>
              <w:t>投标有效期</w:t>
            </w:r>
          </w:p>
        </w:tc>
        <w:tc>
          <w:tcPr>
            <w:tcW w:w="6520" w:type="dxa"/>
          </w:tcPr>
          <w:p>
            <w:pPr>
              <w:pStyle w:val="26"/>
              <w:spacing w:line="360" w:lineRule="auto"/>
              <w:rPr>
                <w:rFonts w:hAnsi="宋体"/>
              </w:rPr>
            </w:pPr>
            <w:r>
              <w:rPr>
                <w:rFonts w:hint="eastAsia" w:hAnsi="宋体"/>
              </w:rPr>
              <w:t>90</w:t>
            </w:r>
            <w:r>
              <w:rPr>
                <w:rFonts w:hAnsi="宋体"/>
              </w:rPr>
              <w:t>日历天（从投标截止之日算起）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6"/>
              <w:spacing w:line="360" w:lineRule="auto"/>
              <w:jc w:val="center"/>
              <w:rPr>
                <w:rFonts w:hAnsi="宋体"/>
              </w:rPr>
            </w:pPr>
            <w:r>
              <w:rPr>
                <w:rFonts w:hint="eastAsia" w:hAnsi="宋体"/>
              </w:rPr>
              <w:t>9</w:t>
            </w:r>
          </w:p>
        </w:tc>
        <w:tc>
          <w:tcPr>
            <w:tcW w:w="1038" w:type="dxa"/>
            <w:vAlign w:val="center"/>
          </w:tcPr>
          <w:p>
            <w:pPr>
              <w:pStyle w:val="26"/>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pPr>
              <w:pStyle w:val="26"/>
              <w:spacing w:line="360" w:lineRule="auto"/>
              <w:jc w:val="center"/>
              <w:rPr>
                <w:rFonts w:hAnsi="宋体"/>
              </w:rPr>
            </w:pPr>
            <w:r>
              <w:rPr>
                <w:rFonts w:hint="eastAsia" w:hAnsi="宋体"/>
              </w:rPr>
              <w:t>投标保证金</w:t>
            </w:r>
          </w:p>
        </w:tc>
        <w:tc>
          <w:tcPr>
            <w:tcW w:w="6520" w:type="dxa"/>
            <w:vAlign w:val="center"/>
          </w:tcPr>
          <w:p>
            <w:pPr>
              <w:tabs>
                <w:tab w:val="left" w:pos="915"/>
              </w:tabs>
              <w:spacing w:line="360" w:lineRule="exact"/>
              <w:rPr>
                <w:rFonts w:hAnsi="宋体"/>
              </w:rPr>
            </w:pPr>
            <w:r>
              <w:rPr>
                <w:rFonts w:hint="eastAsia" w:hAnsi="宋体"/>
              </w:rPr>
              <w:t>不要求向采购代理机构提交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pPr>
              <w:pStyle w:val="26"/>
              <w:spacing w:line="360" w:lineRule="auto"/>
              <w:jc w:val="center"/>
              <w:rPr>
                <w:rFonts w:hAnsi="宋体"/>
              </w:rPr>
            </w:pPr>
            <w:r>
              <w:rPr>
                <w:rFonts w:hint="eastAsia" w:hAnsi="宋体"/>
              </w:rPr>
              <w:t>10</w:t>
            </w:r>
          </w:p>
        </w:tc>
        <w:tc>
          <w:tcPr>
            <w:tcW w:w="1038" w:type="dxa"/>
            <w:vAlign w:val="center"/>
          </w:tcPr>
          <w:p>
            <w:pPr>
              <w:pStyle w:val="26"/>
              <w:spacing w:line="360" w:lineRule="auto"/>
              <w:jc w:val="center"/>
              <w:rPr>
                <w:rFonts w:hAnsi="宋体"/>
              </w:rPr>
            </w:pPr>
            <w:r>
              <w:rPr>
                <w:rFonts w:hint="eastAsia" w:hAnsi="宋体"/>
              </w:rPr>
              <w:t>16.1</w:t>
            </w:r>
          </w:p>
        </w:tc>
        <w:tc>
          <w:tcPr>
            <w:tcW w:w="1843" w:type="dxa"/>
            <w:vAlign w:val="center"/>
          </w:tcPr>
          <w:p>
            <w:pPr>
              <w:pStyle w:val="26"/>
              <w:spacing w:line="360" w:lineRule="auto"/>
              <w:jc w:val="center"/>
              <w:rPr>
                <w:rFonts w:hAnsi="宋体"/>
              </w:rPr>
            </w:pPr>
            <w:r>
              <w:rPr>
                <w:rFonts w:hint="eastAsia" w:hAnsi="宋体"/>
              </w:rPr>
              <w:t>投标预备会</w:t>
            </w:r>
          </w:p>
          <w:p>
            <w:pPr>
              <w:pStyle w:val="26"/>
              <w:spacing w:line="360" w:lineRule="auto"/>
              <w:jc w:val="center"/>
              <w:rPr>
                <w:rFonts w:hAnsi="宋体"/>
              </w:rPr>
            </w:pPr>
            <w:r>
              <w:rPr>
                <w:rFonts w:hint="eastAsia" w:hAnsi="宋体"/>
              </w:rPr>
              <w:t>（答疑会）</w:t>
            </w:r>
          </w:p>
        </w:tc>
        <w:tc>
          <w:tcPr>
            <w:tcW w:w="6520" w:type="dxa"/>
            <w:vAlign w:val="center"/>
          </w:tcPr>
          <w:p>
            <w:pPr>
              <w:pStyle w:val="26"/>
              <w:spacing w:line="360" w:lineRule="auto"/>
              <w:rPr>
                <w:rFonts w:hAnsi="宋体"/>
              </w:rPr>
            </w:pPr>
            <w:r>
              <w:rPr>
                <w:rFonts w:hint="eastAsia" w:hAnsi="宋体"/>
              </w:rPr>
              <w:t>不召开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11</w:t>
            </w:r>
          </w:p>
        </w:tc>
        <w:tc>
          <w:tcPr>
            <w:tcW w:w="1038" w:type="dxa"/>
            <w:vAlign w:val="center"/>
          </w:tcPr>
          <w:p>
            <w:pPr>
              <w:pStyle w:val="26"/>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pPr>
              <w:pStyle w:val="26"/>
              <w:spacing w:line="360" w:lineRule="auto"/>
              <w:jc w:val="center"/>
              <w:rPr>
                <w:rFonts w:hAnsi="宋体"/>
              </w:rPr>
            </w:pPr>
            <w:r>
              <w:rPr>
                <w:rFonts w:hint="eastAsia" w:hAnsi="宋体"/>
              </w:rPr>
              <w:t>投标文件份数</w:t>
            </w:r>
          </w:p>
        </w:tc>
        <w:tc>
          <w:tcPr>
            <w:tcW w:w="6520" w:type="dxa"/>
          </w:tcPr>
          <w:p>
            <w:pPr>
              <w:pStyle w:val="26"/>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w:t>
            </w:r>
            <w:r>
              <w:rPr>
                <w:rFonts w:asciiTheme="minorEastAsia" w:hAnsiTheme="minorEastAsia" w:eastAsiaTheme="minorEastAsia"/>
              </w:rPr>
              <w:t>备份光盘（或U盘）1份</w:t>
            </w:r>
            <w:r>
              <w:rPr>
                <w:rFonts w:hint="eastAsia" w:asciiTheme="minorEastAsia" w:hAnsiTheme="minorEastAsia" w:eastAsiaTheme="minorEastAsia"/>
              </w:rPr>
              <w:t>（内容为投标文件正本盖章扫描件），</w:t>
            </w:r>
            <w:r>
              <w:rPr>
                <w:rFonts w:hint="eastAsia" w:asciiTheme="minorEastAsia" w:hAnsiTheme="minorEastAsia" w:eastAsiaTheme="minorEastAsia"/>
                <w:snapToGrid w:val="0"/>
                <w:kern w:val="0"/>
              </w:rPr>
              <w:t>投标文件必须标注页码并装订成册</w:t>
            </w:r>
            <w:r>
              <w:rPr>
                <w:rFonts w:hint="eastAsia" w:asciiTheme="minorEastAsia" w:hAnsiTheme="minorEastAsia" w:eastAsiaTheme="minorEastAsia"/>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12</w:t>
            </w:r>
          </w:p>
        </w:tc>
        <w:tc>
          <w:tcPr>
            <w:tcW w:w="1038" w:type="dxa"/>
            <w:vAlign w:val="center"/>
          </w:tcPr>
          <w:p>
            <w:pPr>
              <w:pStyle w:val="26"/>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pPr>
              <w:pStyle w:val="26"/>
              <w:spacing w:line="360" w:lineRule="auto"/>
              <w:jc w:val="center"/>
              <w:rPr>
                <w:rFonts w:hAnsi="宋体"/>
              </w:rPr>
            </w:pPr>
            <w:r>
              <w:rPr>
                <w:rFonts w:hint="eastAsia" w:hAnsi="宋体"/>
              </w:rPr>
              <w:t>开标</w:t>
            </w:r>
          </w:p>
        </w:tc>
        <w:tc>
          <w:tcPr>
            <w:tcW w:w="6520" w:type="dxa"/>
          </w:tcPr>
          <w:p>
            <w:pPr>
              <w:pStyle w:val="26"/>
              <w:spacing w:line="360" w:lineRule="auto"/>
              <w:rPr>
                <w:rFonts w:hAnsi="宋体"/>
              </w:rPr>
            </w:pPr>
            <w:r>
              <w:rPr>
                <w:rFonts w:hint="eastAsia" w:hAnsi="宋体"/>
                <w:szCs w:val="21"/>
              </w:rPr>
              <w:t>详见《第一章 投标邀请》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13</w:t>
            </w:r>
          </w:p>
        </w:tc>
        <w:tc>
          <w:tcPr>
            <w:tcW w:w="1038" w:type="dxa"/>
            <w:vAlign w:val="center"/>
          </w:tcPr>
          <w:p>
            <w:pPr>
              <w:pStyle w:val="26"/>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pPr>
              <w:pStyle w:val="26"/>
              <w:spacing w:line="360" w:lineRule="auto"/>
              <w:jc w:val="center"/>
              <w:rPr>
                <w:rFonts w:hAnsi="宋体"/>
              </w:rPr>
            </w:pPr>
            <w:r>
              <w:rPr>
                <w:rFonts w:hint="eastAsia" w:hAnsi="宋体"/>
              </w:rPr>
              <w:t>投标截止时间</w:t>
            </w:r>
          </w:p>
        </w:tc>
        <w:tc>
          <w:tcPr>
            <w:tcW w:w="6520" w:type="dxa"/>
          </w:tcPr>
          <w:p>
            <w:pPr>
              <w:pStyle w:val="26"/>
              <w:spacing w:line="360" w:lineRule="auto"/>
              <w:rPr>
                <w:rFonts w:hAnsi="宋体"/>
                <w:b/>
              </w:rPr>
            </w:pPr>
            <w:r>
              <w:rPr>
                <w:rFonts w:hint="eastAsia" w:hAnsi="宋体"/>
                <w:szCs w:val="21"/>
              </w:rPr>
              <w:t>详见《第一章 投标邀请》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14</w:t>
            </w:r>
          </w:p>
        </w:tc>
        <w:tc>
          <w:tcPr>
            <w:tcW w:w="1038" w:type="dxa"/>
            <w:vAlign w:val="center"/>
          </w:tcPr>
          <w:p>
            <w:pPr>
              <w:pStyle w:val="26"/>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pPr>
              <w:pStyle w:val="26"/>
              <w:spacing w:line="360" w:lineRule="auto"/>
              <w:jc w:val="center"/>
              <w:rPr>
                <w:rFonts w:hAnsi="宋体"/>
              </w:rPr>
            </w:pPr>
            <w:r>
              <w:rPr>
                <w:rFonts w:hint="eastAsia" w:hAnsi="宋体"/>
              </w:rPr>
              <w:t>评标办法</w:t>
            </w:r>
          </w:p>
        </w:tc>
        <w:tc>
          <w:tcPr>
            <w:tcW w:w="6520" w:type="dxa"/>
          </w:tcPr>
          <w:p>
            <w:pPr>
              <w:pStyle w:val="26"/>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15</w:t>
            </w:r>
          </w:p>
        </w:tc>
        <w:tc>
          <w:tcPr>
            <w:tcW w:w="1038" w:type="dxa"/>
            <w:vAlign w:val="center"/>
          </w:tcPr>
          <w:p>
            <w:pPr>
              <w:pStyle w:val="26"/>
              <w:spacing w:line="360" w:lineRule="auto"/>
              <w:jc w:val="center"/>
              <w:rPr>
                <w:rFonts w:hAnsi="宋体"/>
              </w:rPr>
            </w:pPr>
            <w:r>
              <w:rPr>
                <w:rFonts w:hint="eastAsia" w:hAnsi="宋体"/>
              </w:rPr>
              <w:t>33</w:t>
            </w:r>
            <w:r>
              <w:rPr>
                <w:rFonts w:hAnsi="宋体"/>
              </w:rPr>
              <w:t>.1</w:t>
            </w:r>
          </w:p>
        </w:tc>
        <w:tc>
          <w:tcPr>
            <w:tcW w:w="1843" w:type="dxa"/>
            <w:vAlign w:val="center"/>
          </w:tcPr>
          <w:p>
            <w:pPr>
              <w:pStyle w:val="26"/>
              <w:spacing w:line="360" w:lineRule="auto"/>
              <w:jc w:val="center"/>
              <w:rPr>
                <w:snapToGrid w:val="0"/>
                <w:kern w:val="0"/>
              </w:rPr>
            </w:pPr>
            <w:r>
              <w:rPr>
                <w:rFonts w:hint="eastAsia"/>
                <w:snapToGrid w:val="0"/>
                <w:kern w:val="0"/>
              </w:rPr>
              <w:t>履约保证金</w:t>
            </w:r>
          </w:p>
        </w:tc>
        <w:tc>
          <w:tcPr>
            <w:tcW w:w="6520" w:type="dxa"/>
          </w:tcPr>
          <w:p>
            <w:pPr>
              <w:pStyle w:val="26"/>
              <w:spacing w:line="360" w:lineRule="auto"/>
              <w:rPr>
                <w:rFonts w:hAnsi="宋体"/>
              </w:rPr>
            </w:pPr>
            <w:r>
              <w:rPr>
                <w:rFonts w:hint="eastAsia"/>
                <w:snapToGrid w:val="0"/>
                <w:kern w:val="0"/>
              </w:rPr>
              <w:t>按签订的合同条款执行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6"/>
              <w:spacing w:line="360" w:lineRule="auto"/>
              <w:jc w:val="center"/>
              <w:rPr>
                <w:rFonts w:hAnsi="宋体"/>
              </w:rPr>
            </w:pPr>
            <w:r>
              <w:rPr>
                <w:rFonts w:hint="eastAsia" w:hAnsi="宋体"/>
              </w:rPr>
              <w:t>16</w:t>
            </w:r>
          </w:p>
        </w:tc>
        <w:tc>
          <w:tcPr>
            <w:tcW w:w="1038" w:type="dxa"/>
            <w:vAlign w:val="center"/>
          </w:tcPr>
          <w:p>
            <w:pPr>
              <w:pStyle w:val="26"/>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pPr>
              <w:pStyle w:val="26"/>
              <w:spacing w:line="360" w:lineRule="auto"/>
              <w:jc w:val="center"/>
              <w:rPr>
                <w:rFonts w:hAnsi="宋体"/>
              </w:rPr>
            </w:pPr>
            <w:r>
              <w:rPr>
                <w:rFonts w:hint="eastAsia" w:hAnsi="宋体"/>
              </w:rPr>
              <w:t>中标服务费</w:t>
            </w:r>
          </w:p>
        </w:tc>
        <w:tc>
          <w:tcPr>
            <w:tcW w:w="6520" w:type="dxa"/>
          </w:tcPr>
          <w:p>
            <w:pPr>
              <w:pStyle w:val="26"/>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pPr>
              <w:pStyle w:val="26"/>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%，最低收取人民币5000元。</w:t>
            </w:r>
          </w:p>
          <w:p>
            <w:pPr>
              <w:pStyle w:val="26"/>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%，收取中标服务费：人民币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pPr>
        <w:rPr>
          <w:szCs w:val="21"/>
        </w:rPr>
      </w:pPr>
    </w:p>
    <w:p/>
    <w:p/>
    <w:p/>
    <w:p/>
    <w:p/>
    <w:p/>
    <w:p/>
    <w:p/>
    <w:p/>
    <w:p/>
    <w:p/>
    <w:p/>
    <w:p/>
    <w:p/>
    <w:p/>
    <w:p/>
    <w:p/>
    <w:p/>
    <w:p/>
    <w:p/>
    <w:p/>
    <w:p/>
    <w:p/>
    <w:p/>
    <w:p/>
    <w:p/>
    <w:p/>
    <w:p/>
    <w:p/>
    <w:p/>
    <w:p/>
    <w:p/>
    <w:p/>
    <w:p/>
    <w:p/>
    <w:p/>
    <w:p/>
    <w:p/>
    <w:p/>
    <w:p/>
    <w:p/>
    <w:p>
      <w:pPr>
        <w:pStyle w:val="3"/>
      </w:pPr>
      <w:bookmarkStart w:id="18" w:name="_Toc135293169"/>
      <w:r>
        <w:rPr>
          <w:rFonts w:hint="eastAsia"/>
        </w:rPr>
        <w:t>第六章  投标人须知</w:t>
      </w:r>
      <w:bookmarkEnd w:id="18"/>
    </w:p>
    <w:p>
      <w:pPr>
        <w:pStyle w:val="2"/>
        <w:spacing w:before="0" w:after="0"/>
      </w:pPr>
      <w:bookmarkStart w:id="19" w:name="_Toc135293170"/>
      <w:r>
        <w:rPr>
          <w:rFonts w:hint="eastAsia"/>
        </w:rPr>
        <w:t>一、说</w:t>
      </w:r>
      <w:r>
        <w:t xml:space="preserve">  </w:t>
      </w:r>
      <w:r>
        <w:rPr>
          <w:rFonts w:hint="eastAsia"/>
        </w:rPr>
        <w:t>明</w:t>
      </w:r>
      <w:bookmarkEnd w:id="19"/>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上述采购按照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及有关招投标法规、规章、规定，通过招标来择优选定供应商。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”是提前附表第3项所述。</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pPr>
        <w:adjustRightInd w:val="0"/>
        <w:spacing w:line="360" w:lineRule="auto"/>
        <w:jc w:val="center"/>
        <w:rPr>
          <w:rFonts w:asciiTheme="minorEastAsia" w:hAnsiTheme="minorEastAsia" w:eastAsiaTheme="minorEastAsia"/>
          <w:b/>
          <w:snapToGrid w:val="0"/>
          <w:kern w:val="0"/>
        </w:rPr>
      </w:pPr>
      <w:bookmarkStart w:id="20" w:name="q5"/>
      <w:bookmarkEnd w:id="20"/>
    </w:p>
    <w:p>
      <w:pPr>
        <w:pStyle w:val="2"/>
        <w:spacing w:before="0" w:after="0"/>
      </w:pPr>
      <w:bookmarkStart w:id="21" w:name="_Toc135293171"/>
      <w:r>
        <w:rPr>
          <w:rFonts w:hint="eastAsia"/>
        </w:rPr>
        <w:t>二、招标文件说明</w:t>
      </w:r>
      <w:bookmarkEnd w:id="21"/>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pPr>
        <w:adjustRightInd w:val="0"/>
        <w:spacing w:line="360" w:lineRule="auto"/>
        <w:ind w:firstLine="600"/>
        <w:jc w:val="center"/>
        <w:rPr>
          <w:rFonts w:asciiTheme="minorEastAsia" w:hAnsiTheme="minorEastAsia" w:eastAsiaTheme="minorEastAsia"/>
          <w:b/>
          <w:snapToGrid w:val="0"/>
          <w:kern w:val="0"/>
        </w:rPr>
      </w:pPr>
    </w:p>
    <w:p>
      <w:pPr>
        <w:pStyle w:val="2"/>
        <w:spacing w:before="0" w:after="0"/>
      </w:pPr>
      <w:bookmarkStart w:id="22" w:name="q6"/>
      <w:bookmarkEnd w:id="22"/>
      <w:bookmarkStart w:id="23" w:name="_Toc135293172"/>
      <w:r>
        <w:rPr>
          <w:rFonts w:hint="eastAsia"/>
        </w:rPr>
        <w:t>三、投标文件的编写</w:t>
      </w:r>
      <w:bookmarkEnd w:id="23"/>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（内容为投标文件正本盖章扫描件）</w:t>
      </w:r>
      <w:r>
        <w:rPr>
          <w:rFonts w:hint="eastAsia" w:asciiTheme="minorEastAsia" w:hAnsiTheme="minorEastAsia" w:eastAsiaTheme="minorEastAsia"/>
          <w:snapToGrid w:val="0"/>
          <w:kern w:val="0"/>
        </w:rPr>
        <w:t>单独密封的信封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投标报价应以人民币为结算单位。</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w:t>
      </w:r>
      <w:r>
        <w:rPr>
          <w:rFonts w:hint="eastAsia"/>
          <w:snapToGrid w:val="0"/>
          <w:kern w:val="0"/>
        </w:rPr>
        <w:t>投标单价和投标总价</w:t>
      </w:r>
      <w:r>
        <w:rPr>
          <w:rFonts w:hint="eastAsia" w:asciiTheme="minorEastAsia" w:hAnsiTheme="minorEastAsia" w:eastAsiaTheme="minorEastAsia"/>
          <w:snapToGrid w:val="0"/>
          <w:kern w:val="0"/>
        </w:rPr>
        <w:t>。投标人对每种项目只允许有一个报价，采购代理机构不接受有任何选择的报价。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中标方的投标保证金，采购代理机构将在中标方签订合同并支付中标服务费后5个工作日内退还。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按本须知第31条规定签订合同；或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按本须知第32条规定提供履约保证金；或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按本须知第33条规定缴纳中标服务费。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投标文件的份数和签署</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为了便于投标文件保存，需提交一份投标文件备份光盘（或U盘，内容为投标文件正本盖章扫描件）。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17.7  投标文件不符合上述规定的，为无效投标。</w:t>
      </w:r>
    </w:p>
    <w:p>
      <w:pPr>
        <w:adjustRightInd w:val="0"/>
        <w:spacing w:line="360" w:lineRule="auto"/>
        <w:rPr>
          <w:rFonts w:asciiTheme="minorEastAsia" w:hAnsiTheme="minorEastAsia" w:eastAsiaTheme="minorEastAsia"/>
          <w:snapToGrid w:val="0"/>
          <w:kern w:val="0"/>
        </w:rPr>
      </w:pPr>
    </w:p>
    <w:p>
      <w:pPr>
        <w:pStyle w:val="2"/>
        <w:spacing w:before="0" w:after="0"/>
      </w:pPr>
      <w:bookmarkStart w:id="24" w:name="q7"/>
      <w:bookmarkEnd w:id="24"/>
      <w:bookmarkStart w:id="25" w:name="_Toc135293173"/>
      <w:r>
        <w:rPr>
          <w:rFonts w:hint="eastAsia"/>
        </w:rPr>
        <w:t>四、投标文件的递交</w:t>
      </w:r>
      <w:bookmarkEnd w:id="25"/>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6" w:name="_Hlt35050056"/>
      <w:bookmarkEnd w:id="26"/>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在投标截止时间前30分钟开始接收投标文件。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pPr>
        <w:tabs>
          <w:tab w:val="left" w:pos="0"/>
        </w:tabs>
        <w:adjustRightInd w:val="0"/>
        <w:spacing w:line="360" w:lineRule="auto"/>
        <w:rPr>
          <w:rFonts w:asciiTheme="minorEastAsia" w:hAnsiTheme="minorEastAsia" w:eastAsiaTheme="minorEastAsia"/>
          <w:snapToGrid w:val="0"/>
          <w:kern w:val="0"/>
        </w:rPr>
      </w:pPr>
    </w:p>
    <w:p>
      <w:pPr>
        <w:pStyle w:val="2"/>
        <w:spacing w:before="0" w:after="0"/>
      </w:pPr>
      <w:bookmarkStart w:id="27" w:name="q8"/>
      <w:bookmarkEnd w:id="27"/>
      <w:bookmarkStart w:id="28" w:name="_Toc135293174"/>
      <w:r>
        <w:rPr>
          <w:rFonts w:hint="eastAsia"/>
        </w:rPr>
        <w:t>五、开标和评标</w:t>
      </w:r>
      <w:bookmarkEnd w:id="28"/>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pPr>
        <w:adjustRightInd w:val="0"/>
        <w:spacing w:line="360" w:lineRule="auto"/>
        <w:ind w:left="357"/>
        <w:jc w:val="center"/>
        <w:rPr>
          <w:rFonts w:asciiTheme="minorEastAsia" w:hAnsiTheme="minorEastAsia" w:eastAsiaTheme="minorEastAsia"/>
          <w:b/>
          <w:snapToGrid w:val="0"/>
          <w:kern w:val="0"/>
        </w:rPr>
      </w:pPr>
      <w:bookmarkStart w:id="29" w:name="q9"/>
      <w:bookmarkEnd w:id="29"/>
    </w:p>
    <w:p>
      <w:pPr>
        <w:pStyle w:val="2"/>
        <w:spacing w:before="0" w:after="0"/>
      </w:pPr>
      <w:bookmarkStart w:id="30" w:name="_Toc135293175"/>
      <w:r>
        <w:rPr>
          <w:rFonts w:hint="eastAsia"/>
        </w:rPr>
        <w:t>六、授予合同</w:t>
      </w:r>
      <w:bookmarkEnd w:id="30"/>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中标方向采购代理机构支付中标服务费后，领取《中标通知书》。</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6985" b="12700"/>
                      <wp:wrapNone/>
                      <wp:docPr id="8"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HUKKdj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1430" b="5715"/>
                      <wp:wrapNone/>
                      <wp:docPr id="9"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DwpdTX+wEAAAI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7"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FsU+8D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pPr>
              <w:ind w:firstLine="392" w:firstLineChars="186"/>
              <w:rPr>
                <w:rFonts w:ascii="宋体" w:hAnsi="宋体"/>
                <w:b/>
                <w:szCs w:val="21"/>
              </w:rPr>
            </w:pPr>
            <w:r>
              <w:rPr>
                <w:rFonts w:hint="eastAsia" w:ascii="宋体" w:hAnsi="宋体"/>
                <w:b/>
                <w:szCs w:val="21"/>
              </w:rPr>
              <w:t>费率　　　　　</w:t>
            </w:r>
          </w:p>
          <w:p>
            <w:pPr>
              <w:ind w:firstLine="1054"/>
              <w:rPr>
                <w:rFonts w:ascii="宋体" w:hAnsi="宋体"/>
                <w:b/>
                <w:szCs w:val="21"/>
              </w:rPr>
            </w:pPr>
            <w:r>
              <w:rPr>
                <w:rFonts w:hint="eastAsia" w:ascii="宋体" w:hAnsi="宋体"/>
                <w:b/>
                <w:szCs w:val="21"/>
              </w:rPr>
              <w:t>　　　</w:t>
            </w:r>
          </w:p>
          <w:p>
            <w:pPr>
              <w:rPr>
                <w:rFonts w:ascii="宋体" w:hAnsi="宋体"/>
                <w:b/>
                <w:szCs w:val="21"/>
              </w:rPr>
            </w:pPr>
            <w:r>
              <w:rPr>
                <w:rFonts w:hint="eastAsia" w:ascii="宋体" w:hAnsi="宋体"/>
                <w:b/>
                <w:szCs w:val="21"/>
              </w:rPr>
              <w:t>中标金额</w:t>
            </w:r>
          </w:p>
        </w:tc>
        <w:tc>
          <w:tcPr>
            <w:tcW w:w="2056" w:type="dxa"/>
            <w:vAlign w:val="center"/>
          </w:tcPr>
          <w:p>
            <w:pPr>
              <w:jc w:val="center"/>
              <w:rPr>
                <w:rFonts w:ascii="宋体" w:hAnsi="宋体"/>
                <w:b/>
                <w:szCs w:val="21"/>
              </w:rPr>
            </w:pPr>
            <w:r>
              <w:rPr>
                <w:rFonts w:hint="eastAsia" w:ascii="宋体" w:hAnsi="宋体"/>
                <w:b/>
                <w:szCs w:val="21"/>
              </w:rPr>
              <w:t>货物采购</w:t>
            </w:r>
          </w:p>
        </w:tc>
        <w:tc>
          <w:tcPr>
            <w:tcW w:w="2056" w:type="dxa"/>
            <w:vAlign w:val="center"/>
          </w:tcPr>
          <w:p>
            <w:pPr>
              <w:jc w:val="center"/>
              <w:rPr>
                <w:rFonts w:ascii="宋体" w:hAnsi="宋体"/>
                <w:b/>
                <w:szCs w:val="21"/>
              </w:rPr>
            </w:pPr>
            <w:r>
              <w:rPr>
                <w:rFonts w:hint="eastAsia" w:ascii="宋体" w:hAnsi="宋体"/>
                <w:b/>
                <w:szCs w:val="21"/>
              </w:rPr>
              <w:t>服务采购</w:t>
            </w:r>
          </w:p>
        </w:tc>
        <w:tc>
          <w:tcPr>
            <w:tcW w:w="2057" w:type="dxa"/>
            <w:vAlign w:val="center"/>
          </w:tcPr>
          <w:p>
            <w:pPr>
              <w:jc w:val="center"/>
              <w:rPr>
                <w:rFonts w:ascii="宋体" w:hAnsi="宋体"/>
                <w:b/>
                <w:szCs w:val="21"/>
              </w:rPr>
            </w:pPr>
            <w:r>
              <w:rPr>
                <w:rFonts w:hint="eastAsia" w:ascii="宋体" w:hAnsi="宋体"/>
                <w:b/>
                <w:szCs w:val="21"/>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pPr>
              <w:widowControl/>
              <w:jc w:val="center"/>
              <w:rPr>
                <w:rFonts w:ascii="宋体" w:hAnsi="宋体"/>
                <w:kern w:val="0"/>
                <w:szCs w:val="21"/>
              </w:rPr>
            </w:pPr>
            <w:r>
              <w:rPr>
                <w:rFonts w:hint="eastAsia" w:ascii="宋体" w:hAnsi="宋体"/>
                <w:kern w:val="0"/>
                <w:szCs w:val="21"/>
              </w:rPr>
              <w:t>1.100%</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6" w:type="dxa"/>
            <w:vAlign w:val="center"/>
          </w:tcPr>
          <w:p>
            <w:pPr>
              <w:widowControl/>
              <w:jc w:val="center"/>
              <w:rPr>
                <w:rFonts w:ascii="宋体" w:hAnsi="宋体"/>
                <w:kern w:val="0"/>
                <w:szCs w:val="21"/>
              </w:rPr>
            </w:pPr>
            <w:r>
              <w:rPr>
                <w:rFonts w:hint="eastAsia" w:ascii="宋体" w:hAnsi="宋体"/>
                <w:kern w:val="0"/>
                <w:szCs w:val="21"/>
              </w:rPr>
              <w:t>0.450%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pPr>
              <w:widowControl/>
              <w:jc w:val="center"/>
              <w:rPr>
                <w:rFonts w:ascii="宋体" w:hAnsi="宋体"/>
                <w:kern w:val="0"/>
                <w:szCs w:val="21"/>
              </w:rPr>
            </w:pPr>
            <w:r>
              <w:rPr>
                <w:rFonts w:hint="eastAsia" w:ascii="宋体" w:hAnsi="宋体"/>
                <w:kern w:val="0"/>
                <w:szCs w:val="21"/>
              </w:rPr>
              <w:t>0.500%</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6" w:type="dxa"/>
            <w:vAlign w:val="center"/>
          </w:tcPr>
          <w:p>
            <w:pPr>
              <w:widowControl/>
              <w:jc w:val="center"/>
              <w:rPr>
                <w:rFonts w:ascii="宋体" w:hAnsi="宋体"/>
                <w:kern w:val="0"/>
                <w:szCs w:val="21"/>
              </w:rPr>
            </w:pPr>
            <w:r>
              <w:rPr>
                <w:rFonts w:hint="eastAsia" w:ascii="宋体" w:hAnsi="宋体"/>
                <w:kern w:val="0"/>
                <w:szCs w:val="21"/>
              </w:rPr>
              <w:t>0.100%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0.004%</w:t>
            </w:r>
          </w:p>
        </w:tc>
      </w:tr>
    </w:tbl>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注：1、中标服务费按差额定率累进法计算。例如：某服务类项目中标金额为1000万元，计算中标服务费如下：</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pPr>
        <w:spacing w:line="360" w:lineRule="auto"/>
        <w:ind w:firstLine="1044" w:firstLineChars="200"/>
        <w:rPr>
          <w:b/>
          <w:sz w:val="52"/>
          <w:szCs w:val="52"/>
        </w:rPr>
      </w:pPr>
    </w:p>
    <w:p>
      <w:pPr>
        <w:pStyle w:val="2"/>
        <w:spacing w:before="0" w:after="0"/>
      </w:pPr>
      <w:bookmarkStart w:id="31" w:name="_Toc135293176"/>
      <w:r>
        <w:rPr>
          <w:rFonts w:hint="eastAsia"/>
        </w:rPr>
        <w:t>七、质疑处理</w:t>
      </w:r>
      <w:bookmarkEnd w:id="31"/>
    </w:p>
    <w:p>
      <w:pPr>
        <w:spacing w:line="360" w:lineRule="auto"/>
        <w:rPr>
          <w:rFonts w:asciiTheme="majorEastAsia" w:hAnsiTheme="majorEastAsia" w:eastAsiaTheme="majorEastAsia"/>
          <w:b/>
          <w:bCs/>
          <w:szCs w:val="21"/>
        </w:rPr>
      </w:pPr>
      <w:bookmarkStart w:id="32" w:name="_Hlk72439706"/>
      <w:r>
        <w:rPr>
          <w:rFonts w:hint="eastAsia" w:asciiTheme="majorEastAsia" w:hAnsiTheme="majorEastAsia" w:eastAsiaTheme="majorEastAsia"/>
          <w:b/>
          <w:bCs/>
          <w:szCs w:val="21"/>
        </w:rPr>
        <w:t>35.质疑提出与答复</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3" w:name="_Hlk75374941"/>
      <w:r>
        <w:rPr>
          <w:rFonts w:hint="eastAsia" w:asciiTheme="majorEastAsia" w:hAnsiTheme="majorEastAsia" w:eastAsiaTheme="majorEastAsia"/>
          <w:szCs w:val="21"/>
        </w:rPr>
        <w:t>以联合体形式参与的，质疑应当由组成联合体的所有成员共同提出</w:t>
      </w:r>
      <w:bookmarkEnd w:id="33"/>
      <w:r>
        <w:rPr>
          <w:rFonts w:hint="eastAsia" w:asciiTheme="majorEastAsia" w:hAnsiTheme="majorEastAsia" w:eastAsiaTheme="majorEastAsia"/>
          <w:szCs w:val="21"/>
        </w:rPr>
        <w:t>；</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2"/>
    </w:p>
    <w:p/>
    <w:p/>
    <w:p/>
    <w:p/>
    <w:p/>
    <w:p/>
    <w:p/>
    <w:p/>
    <w:p/>
    <w:p/>
    <w:p/>
    <w:p/>
    <w:p/>
    <w:p/>
    <w:p/>
    <w:p/>
    <w:p/>
    <w:p>
      <w:pPr>
        <w:pStyle w:val="3"/>
      </w:pPr>
      <w:bookmarkStart w:id="34" w:name="_Toc135293177"/>
      <w:r>
        <w:rPr>
          <w:rFonts w:hint="eastAsia"/>
        </w:rPr>
        <w:t>第七章  投标文件格式</w:t>
      </w:r>
      <w:bookmarkEnd w:id="34"/>
    </w:p>
    <w:p>
      <w:pPr>
        <w:jc w:val="center"/>
        <w:rPr>
          <w:b/>
          <w:sz w:val="52"/>
          <w:szCs w:val="52"/>
        </w:rPr>
      </w:pPr>
    </w:p>
    <w:p>
      <w:pPr>
        <w:pStyle w:val="2"/>
        <w:spacing w:line="400" w:lineRule="exact"/>
        <w:rPr>
          <w:rFonts w:ascii="仿宋" w:hAnsi="仿宋" w:eastAsia="仿宋"/>
        </w:rPr>
      </w:pPr>
      <w:bookmarkStart w:id="35" w:name="_Toc11772"/>
      <w:bookmarkStart w:id="36" w:name="_Toc14934"/>
      <w:bookmarkStart w:id="37" w:name="_Toc44690704"/>
      <w:bookmarkStart w:id="38" w:name="_Toc44690431"/>
      <w:bookmarkStart w:id="39" w:name="_Toc44691163"/>
      <w:bookmarkStart w:id="40" w:name="_Toc44691395"/>
      <w:bookmarkStart w:id="41" w:name="_Toc135293178"/>
      <w:bookmarkStart w:id="42" w:name="_Toc31468"/>
      <w:bookmarkStart w:id="43" w:name="_Toc25194"/>
      <w:r>
        <w:rPr>
          <w:rFonts w:hint="eastAsia" w:ascii="仿宋" w:hAnsi="仿宋" w:eastAsia="仿宋"/>
        </w:rPr>
        <w:t>投标文件编制说明</w:t>
      </w:r>
      <w:bookmarkEnd w:id="35"/>
      <w:bookmarkEnd w:id="36"/>
      <w:bookmarkEnd w:id="37"/>
      <w:bookmarkEnd w:id="38"/>
      <w:bookmarkEnd w:id="39"/>
      <w:bookmarkEnd w:id="40"/>
      <w:bookmarkEnd w:id="41"/>
      <w:bookmarkEnd w:id="42"/>
      <w:bookmarkEnd w:id="43"/>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pPr>
        <w:spacing w:line="360" w:lineRule="auto"/>
        <w:ind w:firstLine="420" w:firstLineChars="200"/>
        <w:rPr>
          <w:rFonts w:asciiTheme="minorEastAsia" w:hAnsiTheme="minorEastAsia" w:eastAsiaTheme="minorEastAsia"/>
        </w:rPr>
      </w:pPr>
    </w:p>
    <w:p>
      <w:pPr>
        <w:spacing w:line="360" w:lineRule="auto"/>
        <w:ind w:firstLine="420" w:firstLineChars="200"/>
        <w:rPr>
          <w:rFonts w:asciiTheme="minorEastAsia" w:hAnsiTheme="minorEastAsia" w:eastAsiaTheme="minorEastAsia"/>
        </w:rPr>
      </w:pPr>
    </w:p>
    <w:p>
      <w:pPr>
        <w:jc w:val="center"/>
        <w:rPr>
          <w:b/>
          <w:sz w:val="52"/>
          <w:szCs w:val="52"/>
        </w:rPr>
      </w:pPr>
    </w:p>
    <w:p/>
    <w:p/>
    <w:p/>
    <w:p/>
    <w:p>
      <w:pPr>
        <w:jc w:val="center"/>
        <w:rPr>
          <w:b/>
          <w:bCs/>
          <w:sz w:val="52"/>
        </w:rPr>
      </w:pPr>
    </w:p>
    <w:p>
      <w:pPr>
        <w:jc w:val="center"/>
        <w:rPr>
          <w:b/>
          <w:bCs/>
          <w:sz w:val="52"/>
        </w:rPr>
      </w:pPr>
      <w:r>
        <w:rPr>
          <w:rFonts w:hint="eastAsia"/>
          <w:b/>
          <w:bCs/>
          <w:sz w:val="52"/>
        </w:rPr>
        <w:t>投 标 文 件</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rFonts w:ascii="宋体" w:hAnsi="宋体"/>
          <w:b/>
          <w:bCs/>
          <w:sz w:val="30"/>
          <w:szCs w:val="30"/>
        </w:rPr>
      </w:pPr>
      <w:r>
        <w:rPr>
          <w:rFonts w:hint="eastAsia" w:ascii="宋体" w:hAnsi="宋体"/>
          <w:b/>
          <w:bCs/>
          <w:sz w:val="30"/>
          <w:szCs w:val="30"/>
        </w:rPr>
        <w:t>（正本/副本）</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pPr>
        <w:spacing w:line="480" w:lineRule="auto"/>
        <w:ind w:firstLine="1275" w:firstLineChars="529"/>
        <w:rPr>
          <w:b/>
          <w:bCs/>
          <w:sz w:val="24"/>
        </w:rPr>
      </w:pPr>
      <w:r>
        <w:rPr>
          <w:rFonts w:hint="eastAsia"/>
          <w:b/>
          <w:bCs/>
          <w:sz w:val="24"/>
        </w:rPr>
        <w:t>法定代表人或</w:t>
      </w:r>
    </w:p>
    <w:p>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pPr>
        <w:rPr>
          <w:b/>
          <w:bCs/>
        </w:rPr>
      </w:pPr>
    </w:p>
    <w:p>
      <w:pPr>
        <w:spacing w:line="400" w:lineRule="exact"/>
        <w:rPr>
          <w:rFonts w:ascii="仿宋" w:hAnsi="仿宋" w:eastAsia="仿宋"/>
        </w:rPr>
      </w:pPr>
      <w:bookmarkStart w:id="44" w:name="_投标文件格式（第一册）"/>
      <w:bookmarkEnd w:id="44"/>
      <w:bookmarkStart w:id="45" w:name="q0"/>
    </w:p>
    <w:p>
      <w:pPr>
        <w:spacing w:line="400" w:lineRule="exact"/>
        <w:rPr>
          <w:rFonts w:ascii="仿宋" w:hAnsi="仿宋" w:eastAsia="仿宋"/>
        </w:rPr>
      </w:pPr>
    </w:p>
    <w:p>
      <w:pPr>
        <w:spacing w:line="400" w:lineRule="exact"/>
        <w:rPr>
          <w:rFonts w:ascii="仿宋" w:hAnsi="仿宋" w:eastAsia="仿宋"/>
        </w:rPr>
      </w:pPr>
    </w:p>
    <w:p>
      <w:pPr>
        <w:pStyle w:val="2"/>
        <w:spacing w:line="400" w:lineRule="exact"/>
        <w:rPr>
          <w:rFonts w:ascii="仿宋" w:hAnsi="仿宋" w:eastAsia="仿宋"/>
        </w:rPr>
      </w:pPr>
      <w:bookmarkStart w:id="46" w:name="_Toc135293179"/>
      <w:r>
        <w:rPr>
          <w:rFonts w:hint="eastAsia" w:ascii="仿宋" w:hAnsi="仿宋" w:eastAsia="仿宋"/>
        </w:rPr>
        <w:t>投标文件格式</w:t>
      </w:r>
      <w:bookmarkEnd w:id="46"/>
    </w:p>
    <w:bookmarkEnd w:id="45"/>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评标指引表</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评分中涉及的承诺及声明函（格式4）</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pPr>
        <w:pStyle w:val="455"/>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ind w:hanging="2"/>
        <w:rPr>
          <w:b/>
          <w:bCs/>
          <w:sz w:val="28"/>
        </w:rPr>
      </w:pPr>
    </w:p>
    <w:p>
      <w:pPr>
        <w:adjustRightInd w:val="0"/>
        <w:snapToGrid w:val="0"/>
        <w:spacing w:line="300" w:lineRule="auto"/>
        <w:jc w:val="center"/>
      </w:pPr>
      <w:bookmarkStart w:id="47" w:name="_格式1__投标人资格证明文件"/>
      <w:bookmarkEnd w:id="47"/>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pStyle w:val="2"/>
        <w:spacing w:line="400" w:lineRule="exact"/>
        <w:rPr>
          <w:rFonts w:ascii="仿宋" w:hAnsi="仿宋" w:eastAsia="仿宋"/>
        </w:rPr>
      </w:pPr>
      <w:bookmarkStart w:id="48" w:name="_Toc135293180"/>
      <w:bookmarkStart w:id="49" w:name="_Toc73613640"/>
      <w:r>
        <w:rPr>
          <w:rFonts w:hint="eastAsia" w:ascii="仿宋" w:hAnsi="仿宋" w:eastAsia="仿宋"/>
        </w:rPr>
        <w:t>政府采购违法行为风险知悉确认书</w:t>
      </w:r>
      <w:bookmarkEnd w:id="48"/>
    </w:p>
    <w:p>
      <w:pPr>
        <w:spacing w:line="360" w:lineRule="auto"/>
        <w:ind w:firstLine="420" w:firstLineChars="200"/>
        <w:rPr>
          <w:rFonts w:ascii="宋体" w:hAnsi="宋体"/>
          <w:szCs w:val="21"/>
        </w:rPr>
      </w:pPr>
      <w:r>
        <w:rPr>
          <w:rFonts w:hint="eastAsia" w:ascii="宋体" w:hAnsi="宋体"/>
          <w:szCs w:val="21"/>
        </w:rPr>
        <w:t>本公司在投标前已充分知悉以下情形为参与政府采购活动时的重大风险事项，并承诺已对下述风险提示事项重点排查，做到严谨、诚信、依法依规参与政府采购活动。</w:t>
      </w:r>
    </w:p>
    <w:p>
      <w:pPr>
        <w:spacing w:line="360" w:lineRule="auto"/>
        <w:ind w:firstLine="422" w:firstLineChars="200"/>
        <w:rPr>
          <w:rFonts w:ascii="宋体" w:hAnsi="宋体"/>
          <w:b/>
          <w:szCs w:val="21"/>
        </w:rPr>
      </w:pPr>
      <w:r>
        <w:rPr>
          <w:rFonts w:hint="eastAsia" w:ascii="宋体" w:hAnsi="宋体"/>
          <w:b/>
          <w:szCs w:val="21"/>
        </w:rPr>
        <w:t>一、本公司已充分知悉“隐瞒真实情况，提供虚假资料”的法定情形，相关情形包括但不限于：</w:t>
      </w:r>
    </w:p>
    <w:p>
      <w:pPr>
        <w:spacing w:line="360" w:lineRule="auto"/>
        <w:ind w:firstLine="420" w:firstLineChars="200"/>
        <w:rPr>
          <w:rFonts w:ascii="宋体" w:hAnsi="宋体"/>
          <w:szCs w:val="21"/>
        </w:rPr>
      </w:pPr>
      <w:r>
        <w:rPr>
          <w:rFonts w:hint="eastAsia" w:ascii="宋体" w:hAnsi="宋体"/>
          <w:szCs w:val="21"/>
        </w:rPr>
        <w:t>（一）通过转让或者租借等方式从其他单位获取资格或者资质证书投标的。</w:t>
      </w:r>
    </w:p>
    <w:p>
      <w:pPr>
        <w:spacing w:line="360" w:lineRule="auto"/>
        <w:ind w:firstLine="420" w:firstLineChars="200"/>
        <w:rPr>
          <w:rFonts w:ascii="宋体" w:hAnsi="宋体"/>
          <w:szCs w:val="21"/>
        </w:rPr>
      </w:pPr>
      <w:r>
        <w:rPr>
          <w:rFonts w:hint="eastAsia" w:ascii="宋体" w:hAnsi="宋体"/>
          <w:szCs w:val="21"/>
        </w:rPr>
        <w:t>（二）由其他单位或者其他单位负责人在投标供应商编制的投标文件上加盖印章或者签字的。</w:t>
      </w:r>
    </w:p>
    <w:p>
      <w:pPr>
        <w:spacing w:line="360" w:lineRule="auto"/>
        <w:ind w:firstLine="420" w:firstLineChars="200"/>
        <w:rPr>
          <w:rFonts w:ascii="宋体" w:hAnsi="宋体"/>
          <w:szCs w:val="21"/>
        </w:rPr>
      </w:pPr>
      <w:r>
        <w:rPr>
          <w:rFonts w:hint="eastAsia" w:ascii="宋体" w:hAnsi="宋体"/>
          <w:szCs w:val="21"/>
        </w:rPr>
        <w:t>（三）项目负责人或者主要技术人员不是本单位人员的。</w:t>
      </w:r>
    </w:p>
    <w:p>
      <w:pPr>
        <w:spacing w:line="360" w:lineRule="auto"/>
        <w:ind w:firstLine="420" w:firstLineChars="200"/>
        <w:rPr>
          <w:rFonts w:ascii="宋体" w:hAnsi="宋体"/>
          <w:szCs w:val="21"/>
        </w:rPr>
      </w:pPr>
      <w:r>
        <w:rPr>
          <w:rFonts w:hint="eastAsia" w:ascii="宋体" w:hAnsi="宋体"/>
          <w:szCs w:val="21"/>
        </w:rPr>
        <w:t>（四）投标保证金不是从投标供应商基本账户转出的。</w:t>
      </w:r>
    </w:p>
    <w:p>
      <w:pPr>
        <w:spacing w:line="360" w:lineRule="auto"/>
        <w:ind w:firstLine="420" w:firstLineChars="200"/>
        <w:rPr>
          <w:rFonts w:ascii="宋体" w:hAnsi="宋体"/>
          <w:szCs w:val="21"/>
        </w:rPr>
      </w:pPr>
      <w:r>
        <w:rPr>
          <w:rFonts w:hint="eastAsia" w:ascii="宋体" w:hAnsi="宋体"/>
          <w:szCs w:val="21"/>
        </w:rPr>
        <w:t>（五）其他隐瞒真实情况、提供虚假资料的行为。</w:t>
      </w:r>
    </w:p>
    <w:p>
      <w:pPr>
        <w:spacing w:line="360" w:lineRule="auto"/>
        <w:ind w:firstLine="422" w:firstLineChars="200"/>
        <w:rPr>
          <w:rFonts w:ascii="宋体" w:hAnsi="宋体"/>
          <w:b/>
          <w:szCs w:val="21"/>
        </w:rPr>
      </w:pPr>
      <w:r>
        <w:rPr>
          <w:rFonts w:hint="eastAsia" w:ascii="宋体" w:hAnsi="宋体"/>
          <w:b/>
          <w:szCs w:val="21"/>
        </w:rPr>
        <w:t>二、本公司已充分知悉“与其他采购参加人串通投标”的法定情形，相关情形包括但不限于：</w:t>
      </w:r>
    </w:p>
    <w:p>
      <w:pPr>
        <w:spacing w:line="360" w:lineRule="auto"/>
        <w:ind w:firstLine="420" w:firstLineChars="200"/>
        <w:rPr>
          <w:rFonts w:ascii="宋体" w:hAnsi="宋体"/>
          <w:szCs w:val="21"/>
        </w:rPr>
      </w:pPr>
      <w:r>
        <w:rPr>
          <w:rFonts w:hint="eastAsia" w:ascii="宋体" w:hAnsi="宋体"/>
          <w:szCs w:val="21"/>
        </w:rPr>
        <w:t>（一）投标供应商之间相互约定给予未中标的供应商利益补偿。</w:t>
      </w:r>
    </w:p>
    <w:p>
      <w:pPr>
        <w:spacing w:line="360" w:lineRule="auto"/>
        <w:ind w:firstLine="420" w:firstLineChars="200"/>
        <w:rPr>
          <w:rFonts w:ascii="宋体" w:hAnsi="宋体"/>
          <w:szCs w:val="21"/>
        </w:rPr>
      </w:pPr>
      <w:r>
        <w:rPr>
          <w:rFonts w:hint="eastAsia" w:ascii="宋体" w:hAnsi="宋体"/>
          <w:szCs w:val="21"/>
        </w:rPr>
        <w:t>（二）不同投标供应商的法定代表人、主要经营负责人、项目投标授权代表人、项目负责人、主要技术人员为同一人、属同一单位或者在同一单位缴纳社会保险。</w:t>
      </w:r>
    </w:p>
    <w:p>
      <w:pPr>
        <w:spacing w:line="360" w:lineRule="auto"/>
        <w:ind w:firstLine="420" w:firstLineChars="200"/>
        <w:rPr>
          <w:rFonts w:ascii="宋体" w:hAnsi="宋体"/>
          <w:szCs w:val="21"/>
        </w:rPr>
      </w:pPr>
      <w:r>
        <w:rPr>
          <w:rFonts w:hint="eastAsia" w:ascii="宋体" w:hAnsi="宋体"/>
          <w:szCs w:val="21"/>
        </w:rPr>
        <w:t>（三）不同投标供应商的投标文件由同一单位或者同一人编制，或者由同一人分阶段参与编制的。</w:t>
      </w:r>
    </w:p>
    <w:p>
      <w:pPr>
        <w:spacing w:line="360" w:lineRule="auto"/>
        <w:ind w:firstLine="420" w:firstLineChars="200"/>
        <w:rPr>
          <w:rFonts w:ascii="宋体" w:hAnsi="宋体"/>
          <w:szCs w:val="21"/>
        </w:rPr>
      </w:pPr>
      <w:r>
        <w:rPr>
          <w:rFonts w:hint="eastAsia" w:ascii="宋体" w:hAnsi="宋体"/>
          <w:szCs w:val="21"/>
        </w:rPr>
        <w:t>（四）不同投标供应商的投标文件或部分投标文件相互混装。</w:t>
      </w:r>
    </w:p>
    <w:p>
      <w:pPr>
        <w:spacing w:line="360" w:lineRule="auto"/>
        <w:ind w:firstLine="420" w:firstLineChars="200"/>
        <w:rPr>
          <w:rFonts w:ascii="宋体" w:hAnsi="宋体"/>
          <w:szCs w:val="21"/>
        </w:rPr>
      </w:pPr>
      <w:r>
        <w:rPr>
          <w:rFonts w:hint="eastAsia" w:ascii="宋体" w:hAnsi="宋体"/>
          <w:szCs w:val="21"/>
        </w:rPr>
        <w:t>（五）不同投标供应商的投标文件内容存在非正常一致。</w:t>
      </w:r>
    </w:p>
    <w:p>
      <w:pPr>
        <w:spacing w:line="360" w:lineRule="auto"/>
        <w:ind w:firstLine="420" w:firstLineChars="200"/>
        <w:rPr>
          <w:rFonts w:ascii="宋体" w:hAnsi="宋体"/>
          <w:szCs w:val="21"/>
        </w:rPr>
      </w:pPr>
      <w:r>
        <w:rPr>
          <w:rFonts w:hint="eastAsia" w:ascii="宋体" w:hAnsi="宋体"/>
          <w:szCs w:val="21"/>
        </w:rPr>
        <w:t>（六）由同一单位工作人员为两家以上（含两家）供应商进行同一项投标活动的。</w:t>
      </w:r>
    </w:p>
    <w:p>
      <w:pPr>
        <w:spacing w:line="360" w:lineRule="auto"/>
        <w:ind w:firstLine="420" w:firstLineChars="200"/>
        <w:rPr>
          <w:rFonts w:ascii="宋体" w:hAnsi="宋体"/>
          <w:szCs w:val="21"/>
        </w:rPr>
      </w:pPr>
      <w:r>
        <w:rPr>
          <w:rFonts w:hint="eastAsia" w:ascii="宋体" w:hAnsi="宋体"/>
          <w:szCs w:val="21"/>
        </w:rPr>
        <w:t>（七）不同投标人的投标报价呈规律性差异。</w:t>
      </w:r>
    </w:p>
    <w:p>
      <w:pPr>
        <w:spacing w:line="360" w:lineRule="auto"/>
        <w:ind w:firstLine="420" w:firstLineChars="200"/>
        <w:rPr>
          <w:rFonts w:ascii="宋体" w:hAnsi="宋体"/>
          <w:szCs w:val="21"/>
        </w:rPr>
      </w:pPr>
      <w:r>
        <w:rPr>
          <w:rFonts w:hint="eastAsia" w:ascii="宋体" w:hAnsi="宋体"/>
          <w:szCs w:val="21"/>
        </w:rPr>
        <w:t>（八）不同投标人的投标保证金从同一单位或者个人的账户转出。</w:t>
      </w:r>
    </w:p>
    <w:p>
      <w:pPr>
        <w:spacing w:line="360" w:lineRule="auto"/>
        <w:ind w:firstLine="420" w:firstLineChars="200"/>
        <w:rPr>
          <w:rFonts w:ascii="宋体" w:hAnsi="宋体"/>
          <w:szCs w:val="21"/>
        </w:rPr>
      </w:pPr>
      <w:r>
        <w:rPr>
          <w:rFonts w:hint="eastAsia" w:ascii="宋体" w:hAnsi="宋体"/>
          <w:szCs w:val="21"/>
        </w:rPr>
        <w:t>（九）主管部门依照法律、法规认定的其他情形。</w:t>
      </w:r>
    </w:p>
    <w:p>
      <w:pPr>
        <w:spacing w:line="360" w:lineRule="auto"/>
        <w:ind w:firstLine="422" w:firstLineChars="200"/>
        <w:rPr>
          <w:rFonts w:ascii="宋体" w:hAnsi="宋体"/>
          <w:b/>
          <w:szCs w:val="21"/>
        </w:rPr>
      </w:pPr>
      <w:r>
        <w:rPr>
          <w:rFonts w:hint="eastAsia" w:ascii="宋体" w:hAnsi="宋体"/>
          <w:b/>
          <w:szCs w:val="21"/>
        </w:rPr>
        <w:t>三、本公司已充分知悉下列情形所对应的法律风险，并在投标前已对相关风险事项进行排查。</w:t>
      </w:r>
    </w:p>
    <w:p>
      <w:pPr>
        <w:spacing w:line="360" w:lineRule="auto"/>
        <w:ind w:firstLine="420" w:firstLineChars="200"/>
        <w:rPr>
          <w:rFonts w:ascii="宋体" w:hAnsi="宋体"/>
          <w:b/>
          <w:szCs w:val="21"/>
        </w:rPr>
      </w:pPr>
      <w:r>
        <w:rPr>
          <w:rFonts w:hint="eastAsia" w:ascii="宋体" w:hAnsi="宋体"/>
          <w:szCs w:val="21"/>
        </w:rPr>
        <w:t>（一）对于从其他主体获取的投标资料，供应商应审慎核查，确保投标资料的真实性。</w:t>
      </w:r>
      <w:r>
        <w:rPr>
          <w:rFonts w:hint="eastAsia" w:ascii="宋体" w:hAnsi="宋体"/>
          <w:b/>
          <w:szCs w:val="21"/>
        </w:rPr>
        <w:t>如主管部门查实投标文件中存在虚假资料的，无论相关资料是否由第三方或本公司员工提供，均不影响主管部门对供应商存在“隐瞒真实情况，提供虚假资料”违法行为的认定。</w:t>
      </w:r>
    </w:p>
    <w:p>
      <w:pPr>
        <w:spacing w:line="360" w:lineRule="auto"/>
        <w:ind w:firstLine="420" w:firstLineChars="200"/>
        <w:rPr>
          <w:rFonts w:ascii="宋体" w:hAnsi="宋体"/>
          <w:szCs w:val="21"/>
        </w:rPr>
      </w:pPr>
      <w:r>
        <w:rPr>
          <w:rFonts w:hint="eastAsia" w:ascii="宋体" w:hAnsi="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pPr>
        <w:spacing w:line="360" w:lineRule="auto"/>
        <w:ind w:firstLine="420" w:firstLineChars="200"/>
        <w:rPr>
          <w:rFonts w:ascii="宋体" w:hAnsi="宋体"/>
          <w:szCs w:val="21"/>
        </w:rPr>
      </w:pPr>
      <w:r>
        <w:rPr>
          <w:rFonts w:hint="eastAsia" w:ascii="宋体" w:hAnsi="宋体"/>
          <w:szCs w:val="21"/>
        </w:rPr>
        <w:t>（三）对于涉及安全生产、特种作业、抢险救灾、防疫等政府采购项目，供应商实施提供虚假资料、串通投标等违法行为的，主管部门将依法从严处理。</w:t>
      </w:r>
    </w:p>
    <w:p>
      <w:pPr>
        <w:spacing w:line="360" w:lineRule="auto"/>
        <w:ind w:firstLine="420" w:firstLineChars="200"/>
        <w:rPr>
          <w:rFonts w:ascii="宋体" w:hAnsi="宋体"/>
          <w:szCs w:val="21"/>
        </w:rPr>
      </w:pPr>
      <w:r>
        <w:rPr>
          <w:rFonts w:hint="eastAsia" w:ascii="宋体" w:hAnsi="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pPr>
        <w:spacing w:line="360" w:lineRule="auto"/>
        <w:ind w:firstLine="420" w:firstLineChars="200"/>
        <w:rPr>
          <w:rFonts w:ascii="宋体" w:hAnsi="宋体"/>
          <w:szCs w:val="21"/>
        </w:rPr>
      </w:pPr>
      <w:r>
        <w:rPr>
          <w:rFonts w:hint="eastAsia" w:ascii="宋体" w:hAnsi="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spacing w:line="360" w:lineRule="auto"/>
        <w:ind w:firstLine="420" w:firstLineChars="200"/>
        <w:rPr>
          <w:rFonts w:ascii="宋体" w:hAnsi="宋体"/>
          <w:szCs w:val="21"/>
        </w:rPr>
      </w:pPr>
      <w:r>
        <w:rPr>
          <w:rFonts w:hint="eastAsia" w:ascii="宋体" w:hAnsi="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pPr>
        <w:spacing w:line="360" w:lineRule="auto"/>
        <w:ind w:firstLine="422" w:firstLineChars="200"/>
        <w:rPr>
          <w:rFonts w:ascii="宋体" w:hAnsi="宋体"/>
          <w:szCs w:val="21"/>
        </w:rPr>
      </w:pPr>
      <w:r>
        <w:rPr>
          <w:rFonts w:hint="eastAsia" w:ascii="宋体" w:hAnsi="宋体"/>
          <w:b/>
          <w:szCs w:val="21"/>
        </w:rPr>
        <w:t>四、本公司已充分知悉政府采购违法、违规行为的法律后果。</w:t>
      </w:r>
      <w:r>
        <w:rPr>
          <w:rFonts w:hint="eastAsia" w:ascii="宋体" w:hAnsi="宋体"/>
          <w:szCs w:val="21"/>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pPr>
        <w:spacing w:line="360" w:lineRule="auto"/>
        <w:ind w:firstLine="422" w:firstLineChars="200"/>
        <w:rPr>
          <w:rFonts w:ascii="宋体" w:hAnsi="宋体"/>
          <w:b/>
          <w:szCs w:val="21"/>
        </w:rPr>
      </w:pPr>
      <w:r>
        <w:rPr>
          <w:rFonts w:hint="eastAsia" w:ascii="宋体" w:hAnsi="宋体"/>
          <w:b/>
          <w:szCs w:val="21"/>
        </w:rPr>
        <w:t>以下文字请投标供应商抄写并确认：“本公司已仔细阅读《政府采购违法行为风险知悉确认书》，充分知悉违法行为的法律后果，并承诺将严谨、诚信、依法依规参与政府采购活动”。</w:t>
      </w:r>
    </w:p>
    <w:p>
      <w:pPr>
        <w:spacing w:line="360" w:lineRule="auto"/>
        <w:ind w:firstLine="420" w:firstLineChars="200"/>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ind w:firstLine="420" w:firstLineChars="200"/>
        <w:rPr>
          <w:rFonts w:ascii="宋体" w:hAnsi="宋体"/>
          <w:szCs w:val="21"/>
          <w:u w:val="single"/>
        </w:rPr>
      </w:pPr>
    </w:p>
    <w:p>
      <w:pPr>
        <w:spacing w:line="360" w:lineRule="auto"/>
        <w:ind w:firstLine="420" w:firstLineChars="200"/>
        <w:rPr>
          <w:rFonts w:ascii="宋体" w:hAnsi="宋体"/>
          <w:szCs w:val="21"/>
        </w:rPr>
      </w:pPr>
      <w:r>
        <w:rPr>
          <w:rFonts w:hint="eastAsia" w:ascii="宋体" w:hAnsi="宋体"/>
          <w:szCs w:val="21"/>
        </w:rPr>
        <w:t>负责人</w:t>
      </w:r>
      <w:r>
        <w:rPr>
          <w:rFonts w:ascii="宋体" w:hAnsi="宋体"/>
          <w:szCs w:val="21"/>
        </w:rPr>
        <w:t>/</w:t>
      </w:r>
      <w:r>
        <w:rPr>
          <w:rFonts w:hint="eastAsia" w:ascii="宋体" w:hAnsi="宋体"/>
          <w:szCs w:val="21"/>
        </w:rPr>
        <w:t>投标授权代表签名：</w:t>
      </w:r>
    </w:p>
    <w:p>
      <w:pPr>
        <w:spacing w:line="360" w:lineRule="auto"/>
        <w:ind w:firstLine="420" w:firstLineChars="200"/>
        <w:rPr>
          <w:rFonts w:ascii="宋体" w:hAnsi="宋体"/>
          <w:szCs w:val="21"/>
        </w:rPr>
      </w:pPr>
      <w:r>
        <w:rPr>
          <w:rFonts w:hint="eastAsia" w:ascii="宋体" w:hAnsi="宋体"/>
          <w:szCs w:val="21"/>
        </w:rPr>
        <w:t>知悉人（公章）：</w:t>
      </w:r>
    </w:p>
    <w:p>
      <w:pPr>
        <w:spacing w:line="360" w:lineRule="auto"/>
        <w:ind w:firstLine="420" w:firstLineChars="200"/>
        <w:rPr>
          <w:rFonts w:ascii="宋体" w:hAnsi="宋体"/>
          <w:szCs w:val="21"/>
        </w:rPr>
      </w:pPr>
      <w:r>
        <w:rPr>
          <w:rFonts w:hint="eastAsia" w:ascii="宋体" w:hAnsi="宋体"/>
          <w:szCs w:val="21"/>
        </w:rPr>
        <w:t>日期：</w:t>
      </w:r>
    </w:p>
    <w:p>
      <w:pPr>
        <w:spacing w:line="360" w:lineRule="auto"/>
        <w:ind w:firstLine="420" w:firstLineChars="200"/>
        <w:rPr>
          <w:szCs w:val="21"/>
        </w:rPr>
      </w:pPr>
    </w:p>
    <w:p/>
    <w:p/>
    <w:p/>
    <w:p/>
    <w:p/>
    <w:p/>
    <w:p/>
    <w:p/>
    <w:p/>
    <w:p/>
    <w:p/>
    <w:p/>
    <w:p>
      <w:pPr>
        <w:pStyle w:val="2"/>
        <w:spacing w:line="400" w:lineRule="exact"/>
        <w:rPr>
          <w:rFonts w:ascii="仿宋" w:hAnsi="仿宋" w:eastAsia="仿宋"/>
        </w:rPr>
      </w:pPr>
      <w:bookmarkStart w:id="50" w:name="_Toc135293181"/>
      <w:r>
        <w:rPr>
          <w:rFonts w:hint="eastAsia" w:ascii="仿宋" w:hAnsi="仿宋" w:eastAsia="仿宋"/>
        </w:rPr>
        <w:t>评标指引表</w:t>
      </w:r>
      <w:bookmarkEnd w:id="49"/>
      <w:bookmarkEnd w:id="50"/>
    </w:p>
    <w:p>
      <w:pPr>
        <w:jc w:val="center"/>
        <w:rPr>
          <w:b/>
          <w:szCs w:val="21"/>
        </w:rPr>
      </w:pPr>
    </w:p>
    <w:p>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评分类别</w:t>
            </w:r>
          </w:p>
        </w:tc>
        <w:tc>
          <w:tcPr>
            <w:tcW w:w="4854" w:type="dxa"/>
            <w:vAlign w:val="center"/>
          </w:tcPr>
          <w:p>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pPr>
              <w:spacing w:line="360" w:lineRule="exact"/>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价格部分</w:t>
            </w:r>
          </w:p>
        </w:tc>
        <w:tc>
          <w:tcPr>
            <w:tcW w:w="4854" w:type="dxa"/>
            <w:vAlign w:val="center"/>
          </w:tcPr>
          <w:p>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技术部分</w:t>
            </w:r>
          </w:p>
        </w:tc>
        <w:tc>
          <w:tcPr>
            <w:tcW w:w="4854" w:type="dxa"/>
          </w:tcPr>
          <w:p>
            <w:pPr>
              <w:spacing w:line="360" w:lineRule="exact"/>
              <w:jc w:val="center"/>
              <w:rPr>
                <w:rFonts w:ascii="宋体" w:hAnsi="宋体"/>
                <w:szCs w:val="21"/>
              </w:rPr>
            </w:pPr>
            <w:r>
              <w:rPr>
                <w:rFonts w:hint="eastAsia" w:ascii="宋体" w:hAnsi="宋体"/>
                <w:szCs w:val="21"/>
              </w:rPr>
              <w:t>1.……</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2.……</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商务部分</w:t>
            </w:r>
          </w:p>
        </w:tc>
        <w:tc>
          <w:tcPr>
            <w:tcW w:w="4854" w:type="dxa"/>
          </w:tcPr>
          <w:p>
            <w:pPr>
              <w:spacing w:line="360" w:lineRule="exact"/>
              <w:jc w:val="center"/>
              <w:rPr>
                <w:rFonts w:ascii="宋体" w:hAnsi="宋体"/>
                <w:szCs w:val="21"/>
              </w:rPr>
            </w:pPr>
            <w:r>
              <w:rPr>
                <w:rFonts w:hint="eastAsia" w:ascii="宋体" w:hAnsi="宋体"/>
                <w:szCs w:val="21"/>
              </w:rPr>
              <w:t>1.……</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2.……</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二、其他评标指引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其他资料</w:t>
            </w:r>
          </w:p>
        </w:tc>
        <w:tc>
          <w:tcPr>
            <w:tcW w:w="4854" w:type="dxa"/>
            <w:vAlign w:val="center"/>
          </w:tcPr>
          <w:p>
            <w:pPr>
              <w:rPr>
                <w:rFonts w:asciiTheme="minorEastAsia" w:hAnsiTheme="minorEastAsia" w:eastAsiaTheme="minorEastAsia"/>
              </w:rPr>
            </w:pPr>
            <w:r>
              <w:rPr>
                <w:rFonts w:hint="eastAsia" w:asciiTheme="minorEastAsia" w:hAnsiTheme="minorEastAsia" w:eastAsiaTheme="minorEastAsia"/>
                <w:color w:val="FF0000"/>
                <w:kern w:val="0"/>
                <w:szCs w:val="21"/>
              </w:rPr>
              <w:t>投标单位法定代表人、主要经营负责人、项目投标授权代表人、项目负责人及主要技术人员近一年社保缴纳查询记录（包含在投标单位及其他缴纳社保单位的记录）；社保缴纳不满一年的按实际缴纳情况提供。</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bl>
    <w:p>
      <w:pPr>
        <w:spacing w:line="360" w:lineRule="exact"/>
        <w:rPr>
          <w:b/>
          <w:szCs w:val="21"/>
        </w:rPr>
      </w:pPr>
    </w:p>
    <w:p>
      <w:pPr>
        <w:pStyle w:val="26"/>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pPr>
        <w:jc w:val="center"/>
      </w:pPr>
    </w:p>
    <w:p/>
    <w:p/>
    <w:p/>
    <w:p/>
    <w:p/>
    <w:p/>
    <w:p/>
    <w:p/>
    <w:p>
      <w:pPr>
        <w:pStyle w:val="4"/>
        <w:tabs>
          <w:tab w:val="left" w:pos="371"/>
        </w:tabs>
        <w:spacing w:before="120" w:after="120"/>
        <w:ind w:left="-1" w:leftChars="-1" w:hanging="1"/>
        <w:jc w:val="center"/>
        <w:rPr>
          <w:rFonts w:asciiTheme="minorEastAsia" w:hAnsiTheme="minorEastAsia" w:eastAsiaTheme="minorEastAsia"/>
          <w:snapToGrid w:val="0"/>
          <w:kern w:val="0"/>
        </w:rPr>
      </w:pPr>
      <w:bookmarkStart w:id="51" w:name="_Toc44691164"/>
      <w:bookmarkStart w:id="52" w:name="_Toc44690705"/>
      <w:bookmarkStart w:id="53" w:name="_Toc44691396"/>
      <w:bookmarkStart w:id="54" w:name="_Toc135293182"/>
      <w:bookmarkStart w:id="55" w:name="_Toc44690432"/>
      <w:r>
        <w:rPr>
          <w:rFonts w:hint="eastAsia" w:asciiTheme="minorEastAsia" w:hAnsiTheme="minorEastAsia" w:eastAsiaTheme="minorEastAsia"/>
        </w:rPr>
        <w:t>格式1  投标人资格证明文件</w:t>
      </w:r>
      <w:bookmarkEnd w:id="51"/>
      <w:bookmarkEnd w:id="52"/>
      <w:bookmarkEnd w:id="53"/>
      <w:bookmarkEnd w:id="54"/>
      <w:bookmarkEnd w:id="55"/>
    </w:p>
    <w:p>
      <w:pPr>
        <w:adjustRightInd w:val="0"/>
        <w:snapToGrid w:val="0"/>
        <w:spacing w:line="360" w:lineRule="auto"/>
        <w:rPr>
          <w:rFonts w:ascii="宋体" w:hAnsi="宋体"/>
          <w:bCs/>
          <w:snapToGrid w:val="0"/>
          <w:kern w:val="0"/>
          <w:szCs w:val="21"/>
        </w:rPr>
      </w:pPr>
    </w:p>
    <w:p>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hAnsi="宋体"/>
          <w:szCs w:val="21"/>
        </w:rPr>
        <w:t>等证明材料</w:t>
      </w:r>
      <w:r>
        <w:rPr>
          <w:rFonts w:hint="eastAsia" w:ascii="宋体" w:hAnsi="宋体"/>
          <w:bCs/>
          <w:snapToGrid w:val="0"/>
          <w:kern w:val="0"/>
          <w:szCs w:val="21"/>
        </w:rPr>
        <w:t>（复印件或扫描件）</w:t>
      </w:r>
    </w:p>
    <w:p>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pPr>
        <w:adjustRightInd w:val="0"/>
        <w:snapToGrid w:val="0"/>
        <w:spacing w:line="360" w:lineRule="auto"/>
        <w:ind w:firstLine="424" w:firstLineChars="202"/>
        <w:rPr>
          <w:rFonts w:ascii="宋体" w:hAnsi="宋体"/>
        </w:rPr>
      </w:pPr>
      <w:r>
        <w:rPr>
          <w:rFonts w:hint="eastAsia" w:ascii="宋体" w:hAnsi="宋体"/>
        </w:rPr>
        <w:t>3、其它资格证明材料（如有，按第一章投标邀请“申请人的资格要求”提供）</w:t>
      </w:r>
    </w:p>
    <w:p>
      <w:pPr>
        <w:adjustRightInd w:val="0"/>
        <w:snapToGrid w:val="0"/>
        <w:spacing w:line="360" w:lineRule="auto"/>
        <w:ind w:firstLine="424" w:firstLineChars="202"/>
        <w:rPr>
          <w:rFonts w:ascii="宋体" w:hAnsi="宋体"/>
          <w:bCs/>
          <w:snapToGrid w:val="0"/>
          <w:kern w:val="0"/>
        </w:rPr>
      </w:pPr>
    </w:p>
    <w:p>
      <w:pPr>
        <w:adjustRightInd w:val="0"/>
        <w:snapToGrid w:val="0"/>
        <w:spacing w:line="360" w:lineRule="auto"/>
        <w:ind w:firstLine="426" w:firstLineChars="202"/>
        <w:rPr>
          <w:rFonts w:ascii="楷体_GB2312" w:eastAsia="楷体_GB2312"/>
          <w:b/>
          <w:bCs/>
          <w:snapToGrid w:val="0"/>
          <w:kern w:val="0"/>
          <w:szCs w:val="21"/>
        </w:rPr>
      </w:pPr>
      <w:r>
        <w:rPr>
          <w:rFonts w:hint="eastAsia" w:ascii="楷体_GB2312" w:eastAsia="楷体_GB2312"/>
          <w:b/>
          <w:bCs/>
          <w:snapToGrid w:val="0"/>
          <w:kern w:val="0"/>
          <w:szCs w:val="21"/>
        </w:rPr>
        <w:t>注：投标人提供的以上资料若为复印件或扫描件需加盖公章</w:t>
      </w:r>
    </w:p>
    <w:p>
      <w:pPr>
        <w:adjustRightInd w:val="0"/>
        <w:snapToGrid w:val="0"/>
        <w:spacing w:line="300" w:lineRule="auto"/>
        <w:jc w:val="right"/>
        <w:rPr>
          <w:snapToGrid w:val="0"/>
          <w:kern w:val="0"/>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tabs>
          <w:tab w:val="left" w:pos="555"/>
        </w:tabs>
        <w:adjustRightInd w:val="0"/>
        <w:snapToGrid w:val="0"/>
        <w:spacing w:line="300" w:lineRule="auto"/>
        <w:rPr>
          <w:b/>
          <w:snapToGrid w:val="0"/>
          <w:sz w:val="32"/>
          <w:szCs w:val="32"/>
        </w:rPr>
      </w:pPr>
      <w:r>
        <w:rPr>
          <w:b/>
          <w:snapToGrid w:val="0"/>
          <w:sz w:val="32"/>
          <w:szCs w:val="32"/>
        </w:rPr>
        <w:tab/>
      </w: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pPr>
      <w:r>
        <w:rPr>
          <w:rFonts w:hint="eastAsia"/>
          <w:b/>
          <w:snapToGrid w:val="0"/>
          <w:kern w:val="0"/>
          <w:sz w:val="28"/>
        </w:rPr>
        <w:t>政府采购投标及履约承诺函</w:t>
      </w:r>
    </w:p>
    <w:p>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pPr>
        <w:spacing w:line="400" w:lineRule="exact"/>
        <w:ind w:firstLine="420" w:firstLineChars="200"/>
        <w:rPr>
          <w:rFonts w:ascii="宋体" w:hAnsi="宋体"/>
          <w:szCs w:val="21"/>
        </w:rPr>
      </w:pPr>
      <w:r>
        <w:rPr>
          <w:rFonts w:hint="eastAsia" w:ascii="宋体" w:hAnsi="宋体"/>
          <w:szCs w:val="21"/>
        </w:rPr>
        <w:t>（一）具有独立承担民事责任的能力；</w:t>
      </w:r>
    </w:p>
    <w:p>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pPr>
        <w:spacing w:line="400" w:lineRule="exact"/>
        <w:ind w:firstLine="420" w:firstLineChars="200"/>
        <w:rPr>
          <w:rFonts w:ascii="宋体" w:hAnsi="宋体"/>
          <w:szCs w:val="21"/>
        </w:rPr>
      </w:pPr>
      <w:r>
        <w:rPr>
          <w:rFonts w:hint="eastAsia" w:ascii="宋体" w:hAnsi="宋体"/>
          <w:szCs w:val="21"/>
        </w:rPr>
        <w:t>（六）法律、行政法规规定的其他条件。</w:t>
      </w:r>
    </w:p>
    <w:p>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因违法经营受到刑事处罚或者责令停产停业、吊销许可证或者执照、较大数额罚款等行政处罚</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w:t>
      </w:r>
    </w:p>
    <w:p>
      <w:pPr>
        <w:spacing w:line="400" w:lineRule="exact"/>
        <w:ind w:firstLine="420" w:firstLineChars="200"/>
        <w:rPr>
          <w:rFonts w:ascii="宋体" w:hAnsi="宋体"/>
          <w:szCs w:val="21"/>
        </w:rPr>
      </w:pPr>
      <w:r>
        <w:rPr>
          <w:rFonts w:hint="eastAsia" w:ascii="宋体" w:hAnsi="宋体"/>
          <w:szCs w:val="21"/>
        </w:rPr>
        <w:t>5.我单位本招标项目所提供的货物或服务未侵犯知识产权。</w:t>
      </w:r>
    </w:p>
    <w:p>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我单位参与该项目投标，严格遵循公平竞争的原则，不妨碍其他投标人的竞争行为，不损害采购人或者其他投标人的合法权益，与其他采购参加人不存在下列串通投标情形：</w:t>
      </w:r>
    </w:p>
    <w:p>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pPr>
        <w:spacing w:line="360" w:lineRule="auto"/>
        <w:ind w:firstLine="600"/>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ind w:right="420"/>
        <w:rPr>
          <w:snapToGrid w:val="0"/>
          <w:kern w:val="0"/>
        </w:rPr>
      </w:pPr>
    </w:p>
    <w:p>
      <w:pPr>
        <w:adjustRightInd w:val="0"/>
        <w:snapToGrid w:val="0"/>
        <w:spacing w:line="360" w:lineRule="auto"/>
        <w:ind w:firstLine="600"/>
        <w:jc w:val="right"/>
      </w:pPr>
      <w:r>
        <w:rPr>
          <w:rFonts w:hint="eastAsia"/>
        </w:rPr>
        <w:t>年     月    日</w:t>
      </w: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pStyle w:val="4"/>
        <w:tabs>
          <w:tab w:val="left" w:pos="371"/>
        </w:tabs>
        <w:spacing w:before="120" w:after="120"/>
        <w:ind w:left="-1" w:leftChars="-1" w:hanging="1"/>
        <w:jc w:val="center"/>
        <w:rPr>
          <w:rFonts w:asciiTheme="minorEastAsia" w:hAnsiTheme="minorEastAsia" w:eastAsiaTheme="minorEastAsia"/>
          <w:snapToGrid w:val="0"/>
          <w:kern w:val="0"/>
        </w:rPr>
      </w:pPr>
      <w:bookmarkStart w:id="56" w:name="_Toc135293183"/>
      <w:r>
        <w:rPr>
          <w:rFonts w:hint="eastAsia" w:asciiTheme="minorEastAsia" w:hAnsiTheme="minorEastAsia" w:eastAsiaTheme="minorEastAsia"/>
        </w:rPr>
        <w:t>格式2  法定代表人（负责人）证明书及授权委托书</w:t>
      </w:r>
      <w:bookmarkEnd w:id="56"/>
    </w:p>
    <w:p>
      <w:pPr>
        <w:tabs>
          <w:tab w:val="left" w:pos="450"/>
        </w:tabs>
        <w:jc w:val="center"/>
        <w:rPr>
          <w:rFonts w:ascii="宋体" w:hAnsi="宋体"/>
          <w:b/>
          <w:sz w:val="30"/>
          <w:szCs w:val="30"/>
        </w:rPr>
      </w:pPr>
    </w:p>
    <w:p>
      <w:pPr>
        <w:tabs>
          <w:tab w:val="left" w:pos="450"/>
        </w:tabs>
        <w:jc w:val="center"/>
        <w:rPr>
          <w:rFonts w:ascii="宋体" w:hAnsi="宋体"/>
          <w:b/>
          <w:sz w:val="28"/>
          <w:szCs w:val="28"/>
        </w:rPr>
      </w:pPr>
      <w:r>
        <w:rPr>
          <w:rFonts w:hint="eastAsia" w:ascii="宋体" w:hAnsi="宋体"/>
          <w:b/>
          <w:sz w:val="28"/>
          <w:szCs w:val="28"/>
        </w:rPr>
        <w:t>法定代表人（负责人）证明书（参考）</w:t>
      </w:r>
    </w:p>
    <w:p>
      <w:pPr>
        <w:spacing w:line="400" w:lineRule="exact"/>
        <w:rPr>
          <w:rFonts w:ascii="宋体" w:hAnsi="宋体"/>
          <w:bCs/>
          <w:sz w:val="28"/>
        </w:rPr>
      </w:pPr>
    </w:p>
    <w:p>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pPr>
        <w:spacing w:line="480" w:lineRule="auto"/>
        <w:ind w:firstLine="420" w:firstLineChars="200"/>
        <w:rPr>
          <w:rFonts w:ascii="宋体" w:hAnsi="宋体"/>
        </w:rPr>
      </w:pPr>
      <w:r>
        <w:rPr>
          <w:rFonts w:hint="eastAsia" w:ascii="宋体" w:hAnsi="宋体"/>
        </w:rPr>
        <w:t>附：</w:t>
      </w:r>
    </w:p>
    <w:p>
      <w:pPr>
        <w:spacing w:line="480" w:lineRule="auto"/>
        <w:ind w:firstLine="840" w:firstLineChars="400"/>
        <w:rPr>
          <w:rFonts w:ascii="宋体" w:hAnsi="宋体"/>
        </w:rPr>
      </w:pPr>
      <w:r>
        <w:rPr>
          <w:rFonts w:hint="eastAsia" w:ascii="宋体" w:hAnsi="宋体"/>
        </w:rPr>
        <w:t xml:space="preserve">营业执照（注册号）：                       </w:t>
      </w:r>
    </w:p>
    <w:p>
      <w:pPr>
        <w:spacing w:line="480" w:lineRule="auto"/>
        <w:ind w:firstLine="840" w:firstLineChars="400"/>
        <w:rPr>
          <w:rFonts w:ascii="宋体" w:hAnsi="宋体"/>
        </w:rPr>
      </w:pPr>
      <w:r>
        <w:rPr>
          <w:rFonts w:hint="eastAsia" w:ascii="宋体" w:hAnsi="宋体"/>
        </w:rPr>
        <w:t>经济性质：</w:t>
      </w:r>
    </w:p>
    <w:p>
      <w:pPr>
        <w:spacing w:line="480" w:lineRule="auto"/>
        <w:ind w:firstLine="840" w:firstLineChars="400"/>
        <w:rPr>
          <w:rFonts w:ascii="宋体" w:hAnsi="宋体"/>
        </w:rPr>
      </w:pPr>
      <w:r>
        <w:rPr>
          <w:rFonts w:hint="eastAsia" w:ascii="宋体" w:hAnsi="宋体"/>
        </w:rPr>
        <w:t>主营（产）：</w:t>
      </w:r>
    </w:p>
    <w:p>
      <w:pPr>
        <w:spacing w:line="480" w:lineRule="auto"/>
        <w:ind w:firstLine="840" w:firstLineChars="400"/>
        <w:rPr>
          <w:rFonts w:ascii="宋体" w:hAnsi="宋体"/>
        </w:rPr>
      </w:pPr>
      <w:r>
        <w:rPr>
          <w:rFonts w:hint="eastAsia" w:ascii="宋体" w:hAnsi="宋体"/>
        </w:rPr>
        <w:t>兼营（产）：</w:t>
      </w:r>
    </w:p>
    <w:p>
      <w:pPr>
        <w:spacing w:line="480" w:lineRule="auto"/>
        <w:ind w:firstLine="960" w:firstLineChars="400"/>
        <w:rPr>
          <w:rFonts w:ascii="宋体" w:hAnsi="宋体"/>
          <w:sz w:val="24"/>
        </w:rPr>
      </w:pPr>
    </w:p>
    <w:p>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8255" b="7620"/>
                <wp:wrapNone/>
                <wp:docPr id="6"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 xml:space="preserve"> 法定代表人</w:t>
                            </w:r>
                            <w:r>
                              <w:rPr>
                                <w:rFonts w:hint="eastAsia" w:ascii="宋体" w:hAnsi="宋体"/>
                              </w:rPr>
                              <w:t>（负责人）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y27ZfYAAAACgEAAA8AAAAAAAAAAQAgAAAAIgAAAGRycy9kb3ducmV2LnhtbFBL&#10;AQIUABQAAAAIAIdO4kB4bL+19gEAAC0EAAAOAAAAAAAAAAEAIAAAACcBAABkcnMvZTJvRG9jLnht&#10;bFBLBQYAAAAABgAGAFkBAACPBQAAAAA=&#10;">
                <v:fill on="t" focussize="0,0"/>
                <v:stroke color="#000000" joinstyle="miter"/>
                <v:imagedata o:title=""/>
                <o:lock v:ext="edit" aspectratio="f"/>
                <v:textbox>
                  <w:txbxContent>
                    <w:p>
                      <w:pPr>
                        <w:ind w:firstLine="1260" w:firstLineChars="600"/>
                      </w:pPr>
                      <w:r>
                        <w:rPr>
                          <w:rFonts w:hint="eastAsia"/>
                        </w:rPr>
                        <w:t xml:space="preserve"> 法定代表人</w:t>
                      </w:r>
                      <w:r>
                        <w:rPr>
                          <w:rFonts w:hint="eastAsia" w:ascii="宋体" w:hAnsi="宋体"/>
                        </w:rPr>
                        <w:t>（负责人）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8255" b="7620"/>
                <wp:wrapNone/>
                <wp:docPr id="5"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jc w:val="left"/>
                            </w:pPr>
                            <w:r>
                              <w:rPr>
                                <w:rFonts w:hint="eastAsia"/>
                              </w:rPr>
                              <w:t>法定代表人</w:t>
                            </w:r>
                            <w:r>
                              <w:rPr>
                                <w:rFonts w:hint="eastAsia" w:ascii="宋体" w:hAnsi="宋体"/>
                              </w:rPr>
                              <w:t>（负责人）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Jf1/F2QAAAAoBAAAPAAAAAAAAAAEAIAAAACIAAABkcnMvZG93bnJldi54bWxQ&#10;SwECFAAUAAAACACHTuJAqiqw1vYBAAAtBAAADgAAAAAAAAABACAAAAAoAQAAZHJzL2Uyb0RvYy54&#10;bWxQSwUGAAAAAAYABgBZAQAAkAUAAAAA&#10;">
                <v:fill on="t" focussize="0,0"/>
                <v:stroke color="#000000" joinstyle="miter"/>
                <v:imagedata o:title=""/>
                <o:lock v:ext="edit" aspectratio="f"/>
                <v:textbox>
                  <w:txbxContent>
                    <w:p>
                      <w:pPr>
                        <w:ind w:firstLine="1260" w:firstLineChars="600"/>
                        <w:jc w:val="left"/>
                      </w:pPr>
                      <w:r>
                        <w:rPr>
                          <w:rFonts w:hint="eastAsia"/>
                        </w:rPr>
                        <w:t>法定代表人</w:t>
                      </w:r>
                      <w:r>
                        <w:rPr>
                          <w:rFonts w:hint="eastAsia" w:ascii="宋体" w:hAnsi="宋体"/>
                        </w:rPr>
                        <w:t>（负责人）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v:textbox>
              </v:rect>
            </w:pict>
          </mc:Fallback>
        </mc:AlternateContent>
      </w: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r>
        <w:rPr>
          <w:rFonts w:hint="eastAsia" w:ascii="宋体"/>
          <w:b/>
          <w:bCs/>
        </w:rPr>
        <w:t xml:space="preserve">                         </w:t>
      </w:r>
    </w:p>
    <w:p>
      <w:pPr>
        <w:spacing w:line="360" w:lineRule="auto"/>
        <w:ind w:firstLine="539" w:firstLineChars="257"/>
      </w:pPr>
    </w:p>
    <w:p>
      <w:pPr>
        <w:spacing w:line="360" w:lineRule="auto"/>
        <w:ind w:firstLine="539" w:firstLineChars="257"/>
      </w:pPr>
      <w:r>
        <w:rPr>
          <w:rFonts w:hint="eastAsia"/>
        </w:rPr>
        <w:t>单位名称：（公章）</w:t>
      </w:r>
      <w:r>
        <w:rPr>
          <w:rFonts w:hint="eastAsia"/>
          <w:u w:val="single"/>
        </w:rPr>
        <w:t xml:space="preserve">                                         </w:t>
      </w:r>
    </w:p>
    <w:p>
      <w:pPr>
        <w:spacing w:line="360" w:lineRule="auto"/>
        <w:ind w:firstLine="539" w:firstLineChars="257"/>
      </w:pPr>
    </w:p>
    <w:p>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pPr>
        <w:ind w:firstLine="2249" w:firstLineChars="800"/>
        <w:rPr>
          <w:b/>
          <w:bCs/>
          <w:sz w:val="28"/>
        </w:rPr>
      </w:pPr>
    </w:p>
    <w:p>
      <w:pPr>
        <w:ind w:firstLine="2249" w:firstLineChars="800"/>
        <w:rPr>
          <w:b/>
          <w:bCs/>
          <w:sz w:val="28"/>
        </w:rPr>
      </w:pPr>
    </w:p>
    <w:p>
      <w:pPr>
        <w:ind w:firstLine="2249" w:firstLineChars="800"/>
        <w:rPr>
          <w:b/>
          <w:bCs/>
          <w:sz w:val="28"/>
        </w:rPr>
      </w:pPr>
    </w:p>
    <w:p>
      <w:pPr>
        <w:jc w:val="center"/>
        <w:rPr>
          <w:b/>
          <w:bCs/>
          <w:sz w:val="28"/>
        </w:rPr>
      </w:pPr>
      <w:r>
        <w:rPr>
          <w:rFonts w:hint="eastAsia"/>
          <w:b/>
          <w:bCs/>
          <w:sz w:val="28"/>
        </w:rPr>
        <w:t>法定代表人（负责人）授权委托书</w:t>
      </w:r>
      <w:r>
        <w:rPr>
          <w:rFonts w:hint="eastAsia" w:ascii="宋体" w:hAnsi="宋体"/>
          <w:b/>
          <w:sz w:val="30"/>
          <w:szCs w:val="30"/>
        </w:rPr>
        <w:t>（参考）</w:t>
      </w:r>
    </w:p>
    <w:p/>
    <w:p>
      <w:pPr>
        <w:rPr>
          <w:b/>
          <w:bCs/>
        </w:rPr>
      </w:pPr>
      <w:r>
        <w:rPr>
          <w:rFonts w:hint="eastAsia"/>
        </w:rPr>
        <w:t>深圳市中正招标有限公司</w:t>
      </w:r>
      <w:r>
        <w:rPr>
          <w:rFonts w:hint="eastAsia"/>
          <w:b/>
          <w:bCs/>
        </w:rPr>
        <w:t>：</w:t>
      </w:r>
    </w:p>
    <w:p>
      <w:pPr>
        <w:ind w:firstLine="630"/>
      </w:pPr>
    </w:p>
    <w:p>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pPr>
        <w:adjustRightInd w:val="0"/>
        <w:snapToGrid w:val="0"/>
        <w:spacing w:line="360" w:lineRule="auto"/>
        <w:ind w:firstLine="629"/>
      </w:pPr>
    </w:p>
    <w:p>
      <w:pPr>
        <w:ind w:firstLine="630"/>
      </w:pPr>
    </w:p>
    <w:p>
      <w:pPr>
        <w:adjustRightInd w:val="0"/>
        <w:snapToGrid w:val="0"/>
        <w:spacing w:line="360" w:lineRule="auto"/>
        <w:ind w:firstLine="629"/>
        <w:rPr>
          <w:b/>
          <w:bCs/>
        </w:rPr>
      </w:pPr>
      <w:r>
        <w:rPr>
          <w:rFonts w:hint="eastAsia"/>
          <w:b/>
          <w:bCs/>
        </w:rPr>
        <w:t>附授权代表情况：</w:t>
      </w:r>
    </w:p>
    <w:p>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pPr>
        <w:adjustRightInd w:val="0"/>
        <w:snapToGrid w:val="0"/>
        <w:spacing w:line="360" w:lineRule="auto"/>
        <w:ind w:firstLine="629"/>
      </w:pPr>
      <w:r>
        <w:rPr>
          <w:rFonts w:hint="eastAsia"/>
        </w:rPr>
        <w:t>职务：</w:t>
      </w:r>
    </w:p>
    <w:p>
      <w:pPr>
        <w:adjustRightInd w:val="0"/>
        <w:snapToGrid w:val="0"/>
        <w:spacing w:line="360" w:lineRule="auto"/>
        <w:ind w:firstLine="629"/>
      </w:pPr>
      <w:r>
        <w:rPr>
          <w:rFonts w:hint="eastAsia"/>
        </w:rPr>
        <w:t>身份证号码：</w:t>
      </w:r>
    </w:p>
    <w:p>
      <w:pPr>
        <w:adjustRightInd w:val="0"/>
        <w:snapToGrid w:val="0"/>
        <w:spacing w:line="360" w:lineRule="auto"/>
        <w:ind w:firstLine="629"/>
        <w:rPr>
          <w:b/>
          <w:bCs/>
        </w:rPr>
      </w:pPr>
      <w:r>
        <w:rPr>
          <w:rFonts w:hint="eastAsia"/>
        </w:rPr>
        <w:t>邮编：</w:t>
      </w:r>
      <w:r>
        <w:rPr>
          <w:rFonts w:hint="eastAsia"/>
          <w:b/>
          <w:bCs/>
        </w:rPr>
        <w:t xml:space="preserve"> </w:t>
      </w:r>
    </w:p>
    <w:p>
      <w:pPr>
        <w:adjustRightInd w:val="0"/>
        <w:snapToGrid w:val="0"/>
        <w:spacing w:line="360" w:lineRule="auto"/>
        <w:ind w:firstLine="629"/>
      </w:pPr>
      <w:r>
        <w:rPr>
          <w:rFonts w:hint="eastAsia"/>
        </w:rPr>
        <w:t>通讯地址：</w:t>
      </w:r>
      <w:r>
        <w:rPr>
          <w:rFonts w:hint="eastAsia"/>
          <w:b/>
          <w:bCs/>
        </w:rPr>
        <w:t xml:space="preserve"> </w:t>
      </w:r>
    </w:p>
    <w:p>
      <w:pPr>
        <w:adjustRightInd w:val="0"/>
        <w:snapToGrid w:val="0"/>
        <w:spacing w:line="360" w:lineRule="auto"/>
        <w:ind w:firstLine="629"/>
      </w:pPr>
      <w:r>
        <w:rPr>
          <w:rFonts w:hint="eastAsia"/>
        </w:rPr>
        <w:t>电话：</w:t>
      </w:r>
    </w:p>
    <w:p>
      <w:pPr>
        <w:adjustRightInd w:val="0"/>
        <w:snapToGrid w:val="0"/>
        <w:spacing w:line="360" w:lineRule="auto"/>
        <w:ind w:firstLine="629"/>
      </w:pPr>
      <w:r>
        <w:rPr>
          <w:rFonts w:hint="eastAsia"/>
        </w:rPr>
        <w:t xml:space="preserve"> </w:t>
      </w:r>
    </w:p>
    <w:p>
      <w:pPr>
        <w:ind w:firstLine="630"/>
      </w:pPr>
      <w:r>
        <w:rPr>
          <w:rFonts w:hint="eastAsia"/>
        </w:rPr>
        <w:t>单位名称：（公章）</w:t>
      </w:r>
    </w:p>
    <w:p>
      <w:pPr>
        <w:ind w:firstLine="630"/>
      </w:pPr>
    </w:p>
    <w:p>
      <w:pPr>
        <w:ind w:firstLine="630"/>
      </w:pPr>
      <w:r>
        <w:rPr>
          <w:rFonts w:hint="eastAsia"/>
        </w:rPr>
        <w:t>法定代表人（负责人）：（</w:t>
      </w:r>
      <w:r>
        <w:rPr>
          <w:snapToGrid w:val="0"/>
          <w:kern w:val="0"/>
        </w:rPr>
        <w:t>签字</w:t>
      </w:r>
      <w:r>
        <w:rPr>
          <w:rFonts w:hint="eastAsia"/>
        </w:rPr>
        <w:t>）</w:t>
      </w:r>
    </w:p>
    <w:p>
      <w:pPr>
        <w:ind w:firstLine="630"/>
      </w:pPr>
    </w:p>
    <w:p>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pPr>
        <w:spacing w:line="440" w:lineRule="exact"/>
        <w:rPr>
          <w:rFonts w:ascii="黑体" w:eastAsia="黑体"/>
        </w:rPr>
      </w:pPr>
      <w:bookmarkStart w:id="57"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8255" b="7620"/>
                <wp:wrapNone/>
                <wp:docPr id="3"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CnLoXYAAAACgEAAA8AAAAAAAAAAQAgAAAAIgAAAGRycy9kb3ducmV2LnhtbFBL&#10;AQIUABQAAAAIAIdO4kCKzznG9gEAAC0EAAAOAAAAAAAAAAEAIAAAACcBAABkcnMvZTJvRG9jLnht&#10;bFBLBQYAAAAABgAGAFkBAACPBQAAAAA=&#10;">
                <v:fill on="t" focussize="0,0"/>
                <v:stroke color="#000000" joinstyle="miter"/>
                <v:imagedata o:title=""/>
                <o:lock v:ext="edit" aspectratio="f"/>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8255" b="7620"/>
                <wp:wrapNone/>
                <wp:docPr id="4"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2b+u2AAAAAoBAAAPAAAAAAAAAAEAIAAAACIAAABkcnMvZG93bnJldi54bWxQ&#10;SwECFAAUAAAACACHTuJAHFivbPcBAAAtBAAADgAAAAAAAAABACAAAAAnAQAAZHJzL2Uyb0RvYy54&#10;bWxQSwUGAAAAAAYABgBZAQAAkAUAAAAA&#10;">
                <v:fill on="t" focussize="0,0"/>
                <v:stroke color="#000000" joinstyle="miter"/>
                <v:imagedata o:title=""/>
                <o:lock v:ext="edit" aspectratio="f"/>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v:textbox>
              </v:rect>
            </w:pict>
          </mc:Fallback>
        </mc:AlternateContent>
      </w:r>
      <w:bookmarkEnd w:id="57"/>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tabs>
          <w:tab w:val="left" w:pos="5115"/>
        </w:tabs>
        <w:spacing w:line="440" w:lineRule="exact"/>
        <w:rPr>
          <w:rFonts w:ascii="黑体" w:eastAsia="黑体"/>
        </w:rPr>
      </w:pPr>
      <w:r>
        <w:rPr>
          <w:rFonts w:ascii="黑体" w:eastAsia="黑体"/>
        </w:rPr>
        <w:tab/>
      </w:r>
    </w:p>
    <w:p>
      <w:pPr>
        <w:spacing w:line="440" w:lineRule="exact"/>
        <w:rPr>
          <w:rFonts w:ascii="黑体" w:eastAsia="黑体"/>
        </w:rPr>
      </w:pPr>
    </w:p>
    <w:p>
      <w:pPr>
        <w:adjustRightInd w:val="0"/>
        <w:snapToGrid w:val="0"/>
        <w:spacing w:line="300" w:lineRule="auto"/>
        <w:ind w:firstLine="5008" w:firstLineChars="2385"/>
      </w:pPr>
    </w:p>
    <w:p>
      <w:pPr>
        <w:adjustRightInd w:val="0"/>
        <w:snapToGrid w:val="0"/>
        <w:spacing w:line="300" w:lineRule="auto"/>
      </w:pPr>
    </w:p>
    <w:p>
      <w:pPr>
        <w:adjustRightInd w:val="0"/>
        <w:snapToGrid w:val="0"/>
        <w:spacing w:line="300" w:lineRule="auto"/>
      </w:pPr>
    </w:p>
    <w:p>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p>
      <w:pPr>
        <w:tabs>
          <w:tab w:val="left" w:pos="720"/>
        </w:tabs>
        <w:adjustRightInd w:val="0"/>
        <w:snapToGrid w:val="0"/>
        <w:spacing w:line="300" w:lineRule="auto"/>
      </w:pPr>
    </w:p>
    <w:p>
      <w:pPr>
        <w:tabs>
          <w:tab w:val="left" w:pos="720"/>
        </w:tabs>
        <w:adjustRightInd w:val="0"/>
        <w:snapToGrid w:val="0"/>
        <w:spacing w:line="300" w:lineRule="auto"/>
        <w:rPr>
          <w:b/>
          <w:snapToGrid w:val="0"/>
          <w:kern w:val="0"/>
          <w:sz w:val="28"/>
        </w:rPr>
      </w:pPr>
    </w:p>
    <w:p>
      <w:pPr>
        <w:pStyle w:val="4"/>
        <w:tabs>
          <w:tab w:val="left" w:pos="371"/>
        </w:tabs>
        <w:spacing w:before="120" w:after="120"/>
        <w:ind w:left="-1" w:leftChars="-1" w:hanging="1"/>
        <w:jc w:val="center"/>
        <w:rPr>
          <w:rFonts w:asciiTheme="minorEastAsia" w:hAnsiTheme="minorEastAsia" w:eastAsiaTheme="minorEastAsia"/>
        </w:rPr>
      </w:pPr>
      <w:bookmarkStart w:id="58"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58"/>
    </w:p>
    <w:p>
      <w:pPr>
        <w:adjustRightInd w:val="0"/>
        <w:snapToGrid w:val="0"/>
        <w:spacing w:line="312" w:lineRule="auto"/>
      </w:pPr>
    </w:p>
    <w:p>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2．我单位提交的投标文件为：投标书正本一份，副本五份，电子备份光盘（或U盘）一份（内容为投标文件正本盖章扫描件）。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pPr>
        <w:adjustRightInd w:val="0"/>
        <w:snapToGrid w:val="0"/>
        <w:spacing w:line="360" w:lineRule="auto"/>
        <w:ind w:firstLine="600"/>
      </w:pPr>
    </w:p>
    <w:p>
      <w:pPr>
        <w:adjustRightInd w:val="0"/>
        <w:snapToGrid w:val="0"/>
        <w:spacing w:line="360" w:lineRule="auto"/>
        <w:ind w:firstLine="426"/>
      </w:pPr>
      <w:r>
        <w:t>单    位： （盖章）</w:t>
      </w:r>
    </w:p>
    <w:p>
      <w:pPr>
        <w:adjustRightInd w:val="0"/>
        <w:snapToGrid w:val="0"/>
        <w:spacing w:line="360" w:lineRule="auto"/>
        <w:ind w:firstLine="426"/>
      </w:pPr>
      <w:r>
        <w:t xml:space="preserve">地    址： </w:t>
      </w:r>
    </w:p>
    <w:p>
      <w:pPr>
        <w:adjustRightInd w:val="0"/>
        <w:snapToGrid w:val="0"/>
        <w:spacing w:line="360" w:lineRule="auto"/>
        <w:ind w:firstLine="426"/>
      </w:pPr>
      <w:r>
        <w:t xml:space="preserve">电    话： </w:t>
      </w:r>
    </w:p>
    <w:p>
      <w:pPr>
        <w:adjustRightInd w:val="0"/>
        <w:snapToGrid w:val="0"/>
        <w:spacing w:line="360" w:lineRule="auto"/>
        <w:ind w:firstLine="426"/>
      </w:pPr>
      <w:r>
        <w:t>传    真：</w:t>
      </w:r>
    </w:p>
    <w:p>
      <w:pPr>
        <w:adjustRightInd w:val="0"/>
        <w:snapToGrid w:val="0"/>
        <w:spacing w:line="360" w:lineRule="auto"/>
        <w:ind w:firstLine="426"/>
      </w:pPr>
      <w:r>
        <w:t>邮    编：</w:t>
      </w:r>
    </w:p>
    <w:p>
      <w:pPr>
        <w:adjustRightInd w:val="0"/>
        <w:snapToGrid w:val="0"/>
        <w:spacing w:line="360" w:lineRule="auto"/>
        <w:ind w:firstLine="426"/>
      </w:pPr>
      <w:r>
        <w:t xml:space="preserve">联 系 人： </w:t>
      </w:r>
    </w:p>
    <w:p>
      <w:pPr>
        <w:adjustRightInd w:val="0"/>
        <w:snapToGrid w:val="0"/>
        <w:spacing w:line="360" w:lineRule="auto"/>
        <w:ind w:firstLine="600"/>
      </w:pPr>
    </w:p>
    <w:p>
      <w:pPr>
        <w:adjustRightInd w:val="0"/>
        <w:snapToGrid w:val="0"/>
        <w:spacing w:line="360" w:lineRule="auto"/>
        <w:ind w:firstLine="600"/>
        <w:jc w:val="right"/>
      </w:pPr>
      <w:r>
        <w:rPr>
          <w:rFonts w:hint="eastAsia"/>
        </w:rPr>
        <w:t>年     月    日</w:t>
      </w:r>
    </w:p>
    <w:p>
      <w:pPr>
        <w:adjustRightInd w:val="0"/>
        <w:snapToGrid w:val="0"/>
        <w:spacing w:line="360" w:lineRule="auto"/>
        <w:ind w:firstLine="600"/>
        <w:jc w:val="right"/>
      </w:pPr>
    </w:p>
    <w:p>
      <w:pPr>
        <w:adjustRightInd w:val="0"/>
        <w:spacing w:line="300" w:lineRule="auto"/>
        <w:ind w:hanging="2"/>
        <w:jc w:val="center"/>
        <w:rPr>
          <w:b/>
          <w:snapToGrid w:val="0"/>
          <w:kern w:val="0"/>
          <w:sz w:val="28"/>
        </w:rPr>
      </w:pPr>
    </w:p>
    <w:p>
      <w:pPr>
        <w:tabs>
          <w:tab w:val="left" w:pos="371"/>
        </w:tabs>
        <w:spacing w:before="120" w:after="120"/>
        <w:ind w:left="-1" w:leftChars="-1" w:hanging="1"/>
        <w:jc w:val="center"/>
        <w:rPr>
          <w:rFonts w:asciiTheme="minorEastAsia" w:hAnsiTheme="minorEastAsia" w:eastAsiaTheme="minorEastAsia"/>
          <w:sz w:val="24"/>
        </w:rPr>
      </w:pPr>
    </w:p>
    <w:p>
      <w:pPr>
        <w:tabs>
          <w:tab w:val="left" w:pos="371"/>
        </w:tabs>
        <w:spacing w:before="120" w:after="120"/>
        <w:ind w:left="-1" w:leftChars="-1" w:hanging="1"/>
        <w:jc w:val="center"/>
        <w:rPr>
          <w:rFonts w:asciiTheme="minorEastAsia" w:hAnsiTheme="minorEastAsia" w:eastAsiaTheme="minorEastAsia"/>
          <w:sz w:val="24"/>
        </w:rPr>
      </w:pPr>
    </w:p>
    <w:p>
      <w:pPr>
        <w:pStyle w:val="4"/>
        <w:tabs>
          <w:tab w:val="left" w:pos="371"/>
        </w:tabs>
        <w:spacing w:before="120" w:after="120"/>
        <w:ind w:left="-1" w:leftChars="-1" w:hanging="1"/>
        <w:jc w:val="center"/>
        <w:rPr>
          <w:rFonts w:asciiTheme="minorEastAsia" w:hAnsiTheme="minorEastAsia" w:eastAsiaTheme="minorEastAsia"/>
        </w:rPr>
      </w:pPr>
      <w:bookmarkStart w:id="59" w:name="_Toc135293185"/>
      <w:r>
        <w:rPr>
          <w:rFonts w:hint="eastAsia" w:asciiTheme="minorEastAsia" w:hAnsiTheme="minorEastAsia" w:eastAsiaTheme="minorEastAsia"/>
        </w:rPr>
        <w:t>格式4  评分中涉及的承诺及声明函</w:t>
      </w:r>
      <w:bookmarkEnd w:id="59"/>
    </w:p>
    <w:p>
      <w:pPr>
        <w:widowControl/>
        <w:snapToGrid w:val="0"/>
        <w:spacing w:line="360" w:lineRule="auto"/>
        <w:jc w:val="left"/>
        <w:rPr>
          <w:rFonts w:ascii="仿宋" w:hAnsi="仿宋" w:eastAsia="仿宋"/>
          <w:b/>
          <w:bCs/>
          <w:color w:val="FF0000"/>
          <w:kern w:val="0"/>
          <w:sz w:val="25"/>
          <w:szCs w:val="25"/>
        </w:rPr>
      </w:pPr>
    </w:p>
    <w:p>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pPr>
        <w:widowControl/>
        <w:snapToGrid w:val="0"/>
        <w:spacing w:line="360" w:lineRule="auto"/>
        <w:jc w:val="left"/>
        <w:rPr>
          <w:rFonts w:asciiTheme="minorEastAsia" w:hAnsiTheme="minorEastAsia" w:eastAsiaTheme="minorEastAsia"/>
          <w:kern w:val="0"/>
          <w:szCs w:val="21"/>
        </w:rPr>
      </w:pPr>
      <w:r>
        <w:rPr>
          <w:rFonts w:hint="eastAsia" w:ascii="仿宋" w:hAnsi="仿宋" w:eastAsia="仿宋"/>
          <w:kern w:val="0"/>
          <w:sz w:val="25"/>
          <w:szCs w:val="25"/>
        </w:rPr>
        <w:t xml:space="preserve">  </w:t>
      </w:r>
      <w:r>
        <w:rPr>
          <w:rFonts w:hint="eastAsia" w:asciiTheme="minorEastAsia" w:hAnsiTheme="minorEastAsia" w:eastAsiaTheme="minorEastAsia"/>
          <w:kern w:val="0"/>
          <w:szCs w:val="21"/>
        </w:rPr>
        <w:t xml:space="preserve">  1、该部分内容由投标人根据自身实际情况填写，投标人提供的声明函不属实的，属于提供虚假资料谋取中标，依照《中华人民共和国政府采购法》等国家有关规定追究相应责任。</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0" w:name="_Hlk71925120"/>
      <w:r>
        <w:rPr>
          <w:rFonts w:hint="eastAsia" w:asciiTheme="minorEastAsia" w:hAnsiTheme="minorEastAsia" w:eastAsiaTheme="minorEastAsia"/>
          <w:kern w:val="0"/>
          <w:szCs w:val="21"/>
        </w:rPr>
        <w:t>《关于印发中小企业划型标准规定的通知》（工信部联企业〔2011〕300 号</w:t>
      </w:r>
      <w:bookmarkEnd w:id="60"/>
      <w:r>
        <w:rPr>
          <w:rFonts w:hint="eastAsia" w:asciiTheme="minorEastAsia" w:hAnsiTheme="minorEastAsia" w:eastAsiaTheme="minorEastAsia"/>
          <w:kern w:val="0"/>
          <w:szCs w:val="21"/>
        </w:rPr>
        <w:t>）</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上一年度从业人员、营业收入、资产总额，无上一年度数据的新成立企业可以不填报；</w:t>
      </w:r>
    </w:p>
    <w:p>
      <w:pPr>
        <w:widowControl/>
        <w:snapToGrid w:val="0"/>
        <w:spacing w:line="360" w:lineRule="auto"/>
        <w:ind w:firstLine="424" w:firstLineChars="202"/>
        <w:jc w:val="left"/>
        <w:rPr>
          <w:rFonts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（6）在“中型企业、小型企业、微型企业”下划线处如实依照工信部联企业〔2011〕300号文填写相应的企业类型</w:t>
      </w:r>
      <w:r>
        <w:rPr>
          <w:rFonts w:hint="eastAsia" w:ascii="宋体" w:hAnsi="宋体" w:eastAsiaTheme="minorEastAsia" w:cstheme="minorBidi"/>
          <w:kern w:val="0"/>
          <w:szCs w:val="21"/>
        </w:rPr>
        <w:t>；</w:t>
      </w:r>
    </w:p>
    <w:p>
      <w:pPr>
        <w:widowControl/>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pPr>
        <w:widowControl/>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p>
    <w:p>
      <w:pPr>
        <w:pStyle w:val="5"/>
        <w:tabs>
          <w:tab w:val="left" w:pos="0"/>
        </w:tabs>
        <w:jc w:val="center"/>
        <w:rPr>
          <w:rFonts w:ascii="宋体" w:hAnsi="宋体" w:eastAsia="宋体"/>
        </w:rPr>
      </w:pPr>
      <w:r>
        <w:rPr>
          <w:rFonts w:hint="eastAsia" w:ascii="宋体" w:hAnsi="宋体" w:eastAsia="宋体"/>
        </w:rPr>
        <w:t>中小企业声明函</w:t>
      </w:r>
    </w:p>
    <w:p>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pPr>
        <w:spacing w:line="360" w:lineRule="auto"/>
        <w:ind w:firstLine="420" w:firstLineChars="200"/>
        <w:rPr>
          <w:rFonts w:asciiTheme="minorEastAsia" w:hAnsiTheme="minorEastAsia" w:eastAsiaTheme="minorEastAsia"/>
          <w:szCs w:val="21"/>
        </w:rPr>
      </w:pPr>
    </w:p>
    <w:p>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rPr>
          <w:rFonts w:ascii="宋体" w:hAnsi="宋体"/>
          <w:szCs w:val="21"/>
        </w:rPr>
      </w:pPr>
      <w:r>
        <w:rPr>
          <w:rFonts w:hint="eastAsia" w:ascii="宋体" w:hAnsi="宋体"/>
          <w:szCs w:val="21"/>
        </w:rPr>
        <w:t>备注：</w:t>
      </w:r>
    </w:p>
    <w:p>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pPr>
        <w:spacing w:line="360" w:lineRule="auto"/>
        <w:ind w:firstLine="420" w:firstLineChars="200"/>
        <w:rPr>
          <w:rFonts w:ascii="宋体" w:hAnsi="宋体"/>
          <w:szCs w:val="21"/>
        </w:rPr>
      </w:pPr>
    </w:p>
    <w:p>
      <w:pPr>
        <w:pStyle w:val="5"/>
        <w:tabs>
          <w:tab w:val="left" w:pos="0"/>
        </w:tabs>
        <w:jc w:val="center"/>
        <w:rPr>
          <w:rFonts w:ascii="宋体" w:hAnsi="宋体" w:eastAsia="宋体"/>
        </w:rPr>
      </w:pPr>
      <w:r>
        <w:rPr>
          <w:rFonts w:hint="eastAsia" w:ascii="宋体" w:hAnsi="宋体" w:eastAsia="宋体"/>
        </w:rPr>
        <w:t>监狱企业声明函</w:t>
      </w:r>
    </w:p>
    <w:p>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645"/>
        <w:rPr>
          <w:rFonts w:ascii="宋体"/>
          <w:b/>
          <w:szCs w:val="21"/>
        </w:rPr>
      </w:pPr>
      <w:r>
        <w:rPr>
          <w:rFonts w:hint="eastAsia" w:ascii="宋体" w:hAnsi="宋体"/>
          <w:szCs w:val="21"/>
        </w:rPr>
        <w:t xml:space="preserve">                                    </w:t>
      </w:r>
    </w:p>
    <w:p>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pPr>
        <w:spacing w:line="360" w:lineRule="auto"/>
        <w:ind w:left="723" w:hanging="723" w:hangingChars="300"/>
        <w:rPr>
          <w:b/>
          <w:sz w:val="24"/>
        </w:rPr>
      </w:pPr>
    </w:p>
    <w:p>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rPr>
          <w:rFonts w:ascii="宋体" w:hAnsi="宋体"/>
          <w:szCs w:val="21"/>
        </w:rPr>
      </w:pPr>
    </w:p>
    <w:p>
      <w:pPr>
        <w:pStyle w:val="5"/>
        <w:tabs>
          <w:tab w:val="left" w:pos="0"/>
        </w:tabs>
        <w:jc w:val="center"/>
        <w:rPr>
          <w:rFonts w:ascii="宋体" w:hAnsi="宋体" w:eastAsia="宋体"/>
        </w:rPr>
      </w:pPr>
      <w:r>
        <w:rPr>
          <w:rFonts w:hint="eastAsia" w:ascii="宋体" w:hAnsi="宋体" w:eastAsia="宋体"/>
        </w:rPr>
        <w:t>残疾人福利性单位声明函</w:t>
      </w: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pPr>
        <w:spacing w:line="360" w:lineRule="auto"/>
        <w:ind w:firstLine="420" w:firstLineChars="200"/>
        <w:rPr>
          <w:rFonts w:ascii="宋体" w:hAnsi="宋体"/>
          <w:szCs w:val="21"/>
        </w:rPr>
      </w:pPr>
    </w:p>
    <w:p>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jc w:val="right"/>
        <w:rPr>
          <w:rFonts w:ascii="宋体" w:hAnsi="宋体"/>
          <w:szCs w:val="21"/>
        </w:rPr>
      </w:pPr>
    </w:p>
    <w:p>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bookmarkStart w:id="61" w:name="_Toc135293186"/>
      <w:bookmarkStart w:id="62" w:name="_Toc44691397"/>
      <w:bookmarkStart w:id="63" w:name="_Toc44691165"/>
      <w:bookmarkStart w:id="64" w:name="_Toc44690706"/>
      <w:bookmarkStart w:id="65" w:name="_Toc44690433"/>
    </w:p>
    <w:p/>
    <w:p>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pPr>
              <w:jc w:val="center"/>
              <w:rPr>
                <w:b/>
                <w:szCs w:val="21"/>
              </w:rPr>
            </w:pPr>
            <w:r>
              <w:rPr>
                <w:rFonts w:hint="eastAsia"/>
                <w:b/>
                <w:szCs w:val="21"/>
              </w:rPr>
              <w:t>序号</w:t>
            </w:r>
          </w:p>
        </w:tc>
        <w:tc>
          <w:tcPr>
            <w:tcW w:w="1213" w:type="dxa"/>
            <w:vMerge w:val="restart"/>
            <w:vAlign w:val="center"/>
          </w:tcPr>
          <w:p>
            <w:pPr>
              <w:jc w:val="center"/>
              <w:rPr>
                <w:b/>
                <w:szCs w:val="21"/>
              </w:rPr>
            </w:pPr>
            <w:r>
              <w:rPr>
                <w:rFonts w:hint="eastAsia"/>
                <w:b/>
                <w:szCs w:val="21"/>
              </w:rPr>
              <w:t>投标产品名称</w:t>
            </w:r>
          </w:p>
        </w:tc>
        <w:tc>
          <w:tcPr>
            <w:tcW w:w="1840" w:type="dxa"/>
            <w:vMerge w:val="restart"/>
            <w:vAlign w:val="center"/>
          </w:tcPr>
          <w:p>
            <w:pPr>
              <w:jc w:val="center"/>
              <w:rPr>
                <w:b/>
                <w:szCs w:val="21"/>
              </w:rPr>
            </w:pPr>
            <w:r>
              <w:rPr>
                <w:rFonts w:hint="eastAsia"/>
                <w:b/>
                <w:szCs w:val="21"/>
              </w:rPr>
              <w:t>规格及型号</w:t>
            </w:r>
          </w:p>
        </w:tc>
        <w:tc>
          <w:tcPr>
            <w:tcW w:w="4351" w:type="dxa"/>
            <w:gridSpan w:val="3"/>
            <w:vAlign w:val="center"/>
          </w:tcPr>
          <w:p>
            <w:pPr>
              <w:jc w:val="center"/>
              <w:rPr>
                <w:b/>
                <w:szCs w:val="21"/>
              </w:rPr>
            </w:pPr>
            <w:r>
              <w:rPr>
                <w:rFonts w:hint="eastAsia"/>
                <w:b/>
                <w:szCs w:val="21"/>
              </w:rPr>
              <w:t>投标产品报价</w:t>
            </w:r>
          </w:p>
        </w:tc>
        <w:tc>
          <w:tcPr>
            <w:tcW w:w="1503" w:type="dxa"/>
            <w:vMerge w:val="restart"/>
            <w:vAlign w:val="center"/>
          </w:tcPr>
          <w:p>
            <w:pPr>
              <w:jc w:val="center"/>
              <w:rPr>
                <w:b/>
                <w:szCs w:val="21"/>
              </w:rPr>
            </w:pPr>
            <w:r>
              <w:rPr>
                <w:rFonts w:hint="eastAsia"/>
                <w:b/>
                <w:szCs w:val="21"/>
              </w:rPr>
              <w:t>属于优先采购清单的类别</w:t>
            </w:r>
          </w:p>
        </w:tc>
        <w:tc>
          <w:tcPr>
            <w:tcW w:w="720" w:type="dxa"/>
            <w:vMerge w:val="restart"/>
            <w:vAlign w:val="center"/>
          </w:tcPr>
          <w:p>
            <w:pPr>
              <w:jc w:val="center"/>
              <w:rPr>
                <w:b/>
                <w:szCs w:val="21"/>
              </w:rPr>
            </w:pPr>
            <w:r>
              <w:rPr>
                <w:rFonts w:hint="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pPr>
              <w:rPr>
                <w:szCs w:val="21"/>
              </w:rPr>
            </w:pPr>
          </w:p>
        </w:tc>
        <w:tc>
          <w:tcPr>
            <w:tcW w:w="1213" w:type="dxa"/>
            <w:vMerge w:val="continue"/>
            <w:vAlign w:val="center"/>
          </w:tcPr>
          <w:p>
            <w:pPr>
              <w:rPr>
                <w:szCs w:val="21"/>
              </w:rPr>
            </w:pPr>
          </w:p>
        </w:tc>
        <w:tc>
          <w:tcPr>
            <w:tcW w:w="1840" w:type="dxa"/>
            <w:vMerge w:val="continue"/>
            <w:vAlign w:val="center"/>
          </w:tcPr>
          <w:p>
            <w:pPr>
              <w:rPr>
                <w:szCs w:val="21"/>
              </w:rPr>
            </w:pPr>
          </w:p>
        </w:tc>
        <w:tc>
          <w:tcPr>
            <w:tcW w:w="818" w:type="dxa"/>
            <w:vAlign w:val="center"/>
          </w:tcPr>
          <w:p>
            <w:pPr>
              <w:rPr>
                <w:szCs w:val="21"/>
              </w:rPr>
            </w:pPr>
            <w:r>
              <w:rPr>
                <w:rFonts w:hint="eastAsia"/>
                <w:szCs w:val="21"/>
              </w:rPr>
              <w:t>数量</w:t>
            </w:r>
          </w:p>
        </w:tc>
        <w:tc>
          <w:tcPr>
            <w:tcW w:w="1241" w:type="dxa"/>
            <w:vAlign w:val="center"/>
          </w:tcPr>
          <w:p>
            <w:pPr>
              <w:jc w:val="center"/>
              <w:rPr>
                <w:szCs w:val="21"/>
              </w:rPr>
            </w:pPr>
            <w:r>
              <w:rPr>
                <w:rFonts w:hint="eastAsia"/>
                <w:szCs w:val="21"/>
              </w:rPr>
              <w:t>投标单价（元）</w:t>
            </w:r>
          </w:p>
        </w:tc>
        <w:tc>
          <w:tcPr>
            <w:tcW w:w="2292" w:type="dxa"/>
            <w:vAlign w:val="center"/>
          </w:tcPr>
          <w:p>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pPr>
              <w:rPr>
                <w:szCs w:val="21"/>
              </w:rPr>
            </w:pPr>
          </w:p>
        </w:tc>
        <w:tc>
          <w:tcPr>
            <w:tcW w:w="720" w:type="dxa"/>
            <w:vMerge w:val="continue"/>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pPr>
              <w:jc w:val="center"/>
              <w:rPr>
                <w:rFonts w:ascii="宋体" w:hAnsi="宋体"/>
                <w:szCs w:val="21"/>
              </w:rPr>
            </w:pPr>
            <w:r>
              <w:rPr>
                <w:rFonts w:hint="eastAsia" w:ascii="宋体" w:hAnsi="宋体"/>
                <w:szCs w:val="21"/>
              </w:rPr>
              <w:t>1</w:t>
            </w:r>
          </w:p>
        </w:tc>
        <w:tc>
          <w:tcPr>
            <w:tcW w:w="1213" w:type="dxa"/>
            <w:vAlign w:val="center"/>
          </w:tcPr>
          <w:p>
            <w:pPr>
              <w:jc w:val="center"/>
              <w:rPr>
                <w:szCs w:val="21"/>
              </w:rPr>
            </w:pPr>
          </w:p>
        </w:tc>
        <w:tc>
          <w:tcPr>
            <w:tcW w:w="1840" w:type="dxa"/>
            <w:vAlign w:val="center"/>
          </w:tcPr>
          <w:p>
            <w:pPr>
              <w:jc w:val="center"/>
              <w:rPr>
                <w:szCs w:val="21"/>
              </w:rPr>
            </w:pPr>
          </w:p>
        </w:tc>
        <w:tc>
          <w:tcPr>
            <w:tcW w:w="818" w:type="dxa"/>
            <w:vAlign w:val="center"/>
          </w:tcPr>
          <w:p>
            <w:pPr>
              <w:jc w:val="center"/>
              <w:rPr>
                <w:szCs w:val="21"/>
              </w:rPr>
            </w:pPr>
          </w:p>
        </w:tc>
        <w:tc>
          <w:tcPr>
            <w:tcW w:w="1241" w:type="dxa"/>
            <w:vAlign w:val="center"/>
          </w:tcPr>
          <w:p>
            <w:pPr>
              <w:jc w:val="center"/>
              <w:rPr>
                <w:szCs w:val="21"/>
              </w:rPr>
            </w:pPr>
          </w:p>
        </w:tc>
        <w:tc>
          <w:tcPr>
            <w:tcW w:w="2292" w:type="dxa"/>
            <w:vAlign w:val="center"/>
          </w:tcPr>
          <w:p>
            <w:pPr>
              <w:jc w:val="center"/>
              <w:rPr>
                <w:szCs w:val="21"/>
              </w:rPr>
            </w:pPr>
          </w:p>
        </w:tc>
        <w:tc>
          <w:tcPr>
            <w:tcW w:w="1503" w:type="dxa"/>
            <w:vAlign w:val="center"/>
          </w:tcPr>
          <w:p>
            <w:pPr>
              <w:jc w:val="center"/>
              <w:rPr>
                <w:szCs w:val="21"/>
              </w:rPr>
            </w:pPr>
          </w:p>
        </w:tc>
        <w:tc>
          <w:tcPr>
            <w:tcW w:w="720"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pPr>
              <w:jc w:val="center"/>
              <w:rPr>
                <w:rFonts w:ascii="宋体" w:hAnsi="宋体"/>
                <w:szCs w:val="21"/>
              </w:rPr>
            </w:pPr>
            <w:r>
              <w:rPr>
                <w:rFonts w:hint="eastAsia" w:ascii="宋体" w:hAnsi="宋体"/>
                <w:szCs w:val="21"/>
              </w:rPr>
              <w:t>2</w:t>
            </w:r>
          </w:p>
        </w:tc>
        <w:tc>
          <w:tcPr>
            <w:tcW w:w="1213" w:type="dxa"/>
            <w:vAlign w:val="center"/>
          </w:tcPr>
          <w:p>
            <w:pPr>
              <w:jc w:val="center"/>
              <w:rPr>
                <w:szCs w:val="21"/>
              </w:rPr>
            </w:pPr>
          </w:p>
        </w:tc>
        <w:tc>
          <w:tcPr>
            <w:tcW w:w="1840" w:type="dxa"/>
            <w:vAlign w:val="center"/>
          </w:tcPr>
          <w:p>
            <w:pPr>
              <w:jc w:val="center"/>
              <w:rPr>
                <w:szCs w:val="21"/>
              </w:rPr>
            </w:pPr>
          </w:p>
        </w:tc>
        <w:tc>
          <w:tcPr>
            <w:tcW w:w="818" w:type="dxa"/>
            <w:vAlign w:val="center"/>
          </w:tcPr>
          <w:p>
            <w:pPr>
              <w:jc w:val="center"/>
              <w:rPr>
                <w:szCs w:val="21"/>
              </w:rPr>
            </w:pPr>
          </w:p>
        </w:tc>
        <w:tc>
          <w:tcPr>
            <w:tcW w:w="1241" w:type="dxa"/>
            <w:vAlign w:val="center"/>
          </w:tcPr>
          <w:p>
            <w:pPr>
              <w:jc w:val="center"/>
              <w:rPr>
                <w:szCs w:val="21"/>
              </w:rPr>
            </w:pPr>
          </w:p>
        </w:tc>
        <w:tc>
          <w:tcPr>
            <w:tcW w:w="2292" w:type="dxa"/>
            <w:vAlign w:val="center"/>
          </w:tcPr>
          <w:p>
            <w:pPr>
              <w:jc w:val="center"/>
              <w:rPr>
                <w:szCs w:val="21"/>
              </w:rPr>
            </w:pPr>
          </w:p>
        </w:tc>
        <w:tc>
          <w:tcPr>
            <w:tcW w:w="1503" w:type="dxa"/>
            <w:vAlign w:val="center"/>
          </w:tcPr>
          <w:p>
            <w:pPr>
              <w:jc w:val="center"/>
              <w:rPr>
                <w:szCs w:val="21"/>
              </w:rPr>
            </w:pPr>
          </w:p>
        </w:tc>
        <w:tc>
          <w:tcPr>
            <w:tcW w:w="720" w:type="dxa"/>
            <w:vAlign w:val="center"/>
          </w:tcPr>
          <w:p>
            <w:pPr>
              <w:jc w:val="center"/>
              <w:rPr>
                <w:szCs w:val="21"/>
              </w:rPr>
            </w:pPr>
          </w:p>
        </w:tc>
      </w:tr>
    </w:tbl>
    <w:p>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pPr>
        <w:widowControl/>
        <w:jc w:val="left"/>
      </w:pPr>
      <w:r>
        <w:br w:type="page"/>
      </w:r>
    </w:p>
    <w:p/>
    <w:p>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1"/>
      <w:bookmarkEnd w:id="62"/>
      <w:bookmarkEnd w:id="63"/>
      <w:bookmarkEnd w:id="64"/>
      <w:bookmarkEnd w:id="65"/>
    </w:p>
    <w:p>
      <w:pPr>
        <w:adjustRightInd w:val="0"/>
        <w:snapToGrid w:val="0"/>
        <w:spacing w:line="360" w:lineRule="auto"/>
        <w:rPr>
          <w:bCs/>
          <w:snapToGrid w:val="0"/>
          <w:kern w:val="0"/>
        </w:rPr>
      </w:pPr>
    </w:p>
    <w:p>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snapToGrid w:val="0"/>
                <w:kern w:val="0"/>
              </w:rPr>
              <w:t>投标</w:t>
            </w:r>
            <w:r>
              <w:rPr>
                <w:rFonts w:hint="eastAsia"/>
                <w:snapToGrid w:val="0"/>
                <w:kern w:val="0"/>
              </w:rPr>
              <w:t>总</w:t>
            </w:r>
            <w:r>
              <w:rPr>
                <w:snapToGrid w:val="0"/>
                <w:kern w:val="0"/>
              </w:rPr>
              <w:t>价</w:t>
            </w:r>
          </w:p>
          <w:p>
            <w:pPr>
              <w:adjustRightInd w:val="0"/>
              <w:snapToGrid w:val="0"/>
              <w:spacing w:line="360" w:lineRule="auto"/>
              <w:jc w:val="center"/>
              <w:rPr>
                <w:snapToGrid w:val="0"/>
                <w:kern w:val="0"/>
              </w:rPr>
            </w:pPr>
            <w:r>
              <w:rPr>
                <w:snapToGrid w:val="0"/>
                <w:kern w:val="0"/>
              </w:rPr>
              <w:t>（人民币元）</w:t>
            </w:r>
          </w:p>
        </w:tc>
        <w:tc>
          <w:tcPr>
            <w:tcW w:w="1843"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rFonts w:hint="eastAsia"/>
                <w:snapToGrid w:val="0"/>
                <w:kern w:val="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注册服务领域经营主体获得感跟踪提升服务项目</w:t>
            </w:r>
          </w:p>
        </w:tc>
        <w:tc>
          <w:tcPr>
            <w:tcW w:w="4034" w:type="dxa"/>
            <w:tcBorders>
              <w:top w:val="single" w:color="auto" w:sz="4" w:space="0"/>
            </w:tcBorders>
            <w:vAlign w:val="center"/>
          </w:tcPr>
          <w:p>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pPr>
              <w:adjustRightInd w:val="0"/>
              <w:snapToGrid w:val="0"/>
              <w:spacing w:line="360" w:lineRule="auto"/>
              <w:jc w:val="center"/>
              <w:rPr>
                <w:snapToGrid w:val="0"/>
                <w:kern w:val="0"/>
              </w:rPr>
            </w:pPr>
          </w:p>
        </w:tc>
      </w:tr>
    </w:tbl>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投标单位：（盖章）</w:t>
      </w:r>
    </w:p>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法定代表人或其授权代表：（签字）</w:t>
      </w:r>
    </w:p>
    <w:p>
      <w:pPr>
        <w:adjustRightInd w:val="0"/>
        <w:snapToGrid w:val="0"/>
        <w:spacing w:line="360" w:lineRule="auto"/>
        <w:ind w:firstLine="6825" w:firstLineChars="3250"/>
        <w:rPr>
          <w:snapToGrid w:val="0"/>
          <w:kern w:val="0"/>
        </w:rPr>
      </w:pPr>
      <w:r>
        <w:rPr>
          <w:snapToGrid w:val="0"/>
          <w:kern w:val="0"/>
        </w:rPr>
        <w:t>年    月    日</w:t>
      </w:r>
    </w:p>
    <w:p>
      <w:pPr>
        <w:adjustRightInd w:val="0"/>
        <w:snapToGrid w:val="0"/>
        <w:spacing w:line="360" w:lineRule="auto"/>
        <w:ind w:firstLine="1050" w:firstLineChars="500"/>
        <w:rPr>
          <w:snapToGrid w:val="0"/>
          <w:kern w:val="0"/>
        </w:rPr>
      </w:pPr>
    </w:p>
    <w:p>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pPr>
        <w:adjustRightInd w:val="0"/>
        <w:spacing w:line="312" w:lineRule="auto"/>
        <w:ind w:left="2" w:firstLine="424" w:firstLineChars="202"/>
        <w:rPr>
          <w:rFonts w:ascii="宋体" w:hAnsi="宋体"/>
          <w:bCs/>
        </w:rPr>
      </w:pPr>
      <w:r>
        <w:rPr>
          <w:rFonts w:ascii="宋体" w:hAnsi="宋体"/>
          <w:bCs/>
        </w:rPr>
        <w:t>2、</w:t>
      </w:r>
      <w:r>
        <w:rPr>
          <w:rFonts w:hint="eastAsia" w:ascii="宋体" w:hAnsi="宋体"/>
          <w:szCs w:val="21"/>
        </w:rPr>
        <w:t>投标</w:t>
      </w:r>
      <w:r>
        <w:rPr>
          <w:rFonts w:hint="eastAsia"/>
          <w:snapToGrid w:val="0"/>
          <w:kern w:val="0"/>
        </w:rPr>
        <w:t>总</w:t>
      </w:r>
      <w:r>
        <w:rPr>
          <w:rFonts w:hint="eastAsia" w:ascii="宋体" w:hAnsi="宋体"/>
          <w:szCs w:val="21"/>
        </w:rPr>
        <w:t>价为综合报价，包含完成本项目所需的全部费用</w:t>
      </w:r>
      <w:r>
        <w:rPr>
          <w:rFonts w:hint="eastAsia" w:ascii="宋体" w:hAnsi="宋体"/>
          <w:bCs/>
        </w:rPr>
        <w:t>。</w:t>
      </w:r>
    </w:p>
    <w:p>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12" w:lineRule="auto"/>
        <w:ind w:left="2" w:firstLine="420" w:firstLineChars="200"/>
        <w:rPr>
          <w:rFonts w:ascii="宋体" w:hAnsi="宋体"/>
          <w:szCs w:val="21"/>
        </w:rPr>
      </w:pPr>
      <w:r>
        <w:rPr>
          <w:rFonts w:hint="eastAsia" w:ascii="宋体" w:hAnsi="宋体"/>
          <w:szCs w:val="21"/>
        </w:rPr>
        <w:t>4、</w:t>
      </w:r>
      <w:r>
        <w:rPr>
          <w:rFonts w:ascii="宋体" w:hAnsi="宋体"/>
          <w:snapToGrid w:val="0"/>
          <w:kern w:val="0"/>
        </w:rPr>
        <w:t>此表应经法定代表人或其授权委托人签名，并加盖公章。</w:t>
      </w:r>
    </w:p>
    <w:p>
      <w:pPr>
        <w:adjustRightInd w:val="0"/>
        <w:spacing w:line="312" w:lineRule="auto"/>
        <w:ind w:firstLine="437"/>
        <w:rPr>
          <w:b/>
          <w:sz w:val="28"/>
        </w:rPr>
      </w:pPr>
      <w:r>
        <w:rPr>
          <w:rFonts w:hint="eastAsia" w:ascii="宋体" w:hAnsi="宋体"/>
          <w:b/>
          <w:snapToGrid w:val="0"/>
          <w:kern w:val="0"/>
          <w:sz w:val="24"/>
        </w:rPr>
        <w:t>5、</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p/>
    <w:p/>
    <w:p/>
    <w:p/>
    <w:p/>
    <w:p/>
    <w:p/>
    <w:p/>
    <w:p>
      <w:r>
        <w:br w:type="page"/>
      </w:r>
    </w:p>
    <w:p/>
    <w:p>
      <w:pPr>
        <w:pStyle w:val="4"/>
        <w:tabs>
          <w:tab w:val="left" w:pos="371"/>
        </w:tabs>
        <w:spacing w:before="120" w:after="120"/>
        <w:ind w:left="-1" w:leftChars="-1" w:hanging="1"/>
        <w:jc w:val="center"/>
        <w:rPr>
          <w:rFonts w:asciiTheme="minorEastAsia" w:hAnsiTheme="minorEastAsia" w:eastAsiaTheme="minorEastAsia"/>
        </w:rPr>
      </w:pPr>
      <w:bookmarkStart w:id="66" w:name="_Toc135293187"/>
      <w:bookmarkStart w:id="67" w:name="_Toc44691166"/>
      <w:bookmarkStart w:id="68" w:name="_Toc44690434"/>
      <w:bookmarkStart w:id="69" w:name="_Toc44690707"/>
      <w:bookmarkStart w:id="70" w:name="_Toc44691398"/>
      <w:r>
        <w:rPr>
          <w:rFonts w:hint="eastAsia" w:asciiTheme="minorEastAsia" w:hAnsiTheme="minorEastAsia" w:eastAsiaTheme="minorEastAsia"/>
        </w:rPr>
        <w:t>格式6  报价表</w:t>
      </w:r>
      <w:bookmarkEnd w:id="66"/>
      <w:bookmarkEnd w:id="67"/>
      <w:bookmarkEnd w:id="68"/>
      <w:bookmarkEnd w:id="69"/>
      <w:bookmarkEnd w:id="70"/>
    </w:p>
    <w:p>
      <w:pPr>
        <w:spacing w:line="300" w:lineRule="auto"/>
        <w:rPr>
          <w:rFonts w:ascii="楷体_GB2312" w:eastAsia="楷体_GB2312"/>
          <w:b/>
          <w:sz w:val="24"/>
        </w:rPr>
      </w:pPr>
      <w:r>
        <w:rPr>
          <w:rFonts w:hint="eastAsia" w:ascii="楷体_GB2312" w:eastAsia="楷体_GB2312"/>
          <w:b/>
          <w:sz w:val="24"/>
        </w:rPr>
        <w:t>1   报价要求</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投标</w:t>
      </w:r>
      <w:r>
        <w:rPr>
          <w:rFonts w:hint="eastAsia"/>
          <w:snapToGrid w:val="0"/>
          <w:kern w:val="0"/>
        </w:rPr>
        <w:t>报</w:t>
      </w:r>
      <w:r>
        <w:rPr>
          <w:rFonts w:hint="eastAsia" w:asciiTheme="minorEastAsia" w:hAnsiTheme="minorEastAsia" w:eastAsiaTheme="minorEastAsia"/>
          <w:snapToGrid w:val="0"/>
          <w:kern w:val="0"/>
        </w:rPr>
        <w:t>价为综合报价，包含完成本项目所需的全部费用。</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此表应经法定代表人或授权委托人签名，并加盖公章。</w:t>
      </w:r>
    </w:p>
    <w:p>
      <w:pPr>
        <w:adjustRightInd w:val="0"/>
        <w:snapToGrid w:val="0"/>
        <w:spacing w:line="300" w:lineRule="auto"/>
        <w:rPr>
          <w:snapToGrid w:val="0"/>
          <w:kern w:val="0"/>
        </w:rPr>
      </w:pPr>
    </w:p>
    <w:p>
      <w:pPr>
        <w:spacing w:line="300" w:lineRule="auto"/>
        <w:rPr>
          <w:rFonts w:eastAsia="楷体_GB2312"/>
          <w:b/>
          <w:sz w:val="24"/>
        </w:rPr>
      </w:pPr>
      <w:r>
        <w:rPr>
          <w:rFonts w:hint="eastAsia" w:eastAsia="楷体_GB2312"/>
          <w:b/>
          <w:sz w:val="24"/>
        </w:rPr>
        <w:t>2   报价表</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3588"/>
        <w:gridCol w:w="2664"/>
        <w:gridCol w:w="237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977" w:type="dxa"/>
            <w:vAlign w:val="center"/>
          </w:tcPr>
          <w:p>
            <w:pPr>
              <w:adjustRightInd w:val="0"/>
              <w:snapToGrid w:val="0"/>
              <w:spacing w:line="300" w:lineRule="auto"/>
              <w:jc w:val="center"/>
              <w:rPr>
                <w:b/>
                <w:snapToGrid w:val="0"/>
                <w:kern w:val="0"/>
              </w:rPr>
            </w:pPr>
            <w:r>
              <w:rPr>
                <w:b/>
                <w:snapToGrid w:val="0"/>
                <w:kern w:val="0"/>
              </w:rPr>
              <w:t>序号</w:t>
            </w:r>
          </w:p>
        </w:tc>
        <w:tc>
          <w:tcPr>
            <w:tcW w:w="3588" w:type="dxa"/>
            <w:vAlign w:val="center"/>
          </w:tcPr>
          <w:p>
            <w:pPr>
              <w:adjustRightInd w:val="0"/>
              <w:snapToGrid w:val="0"/>
              <w:spacing w:line="300" w:lineRule="auto"/>
              <w:jc w:val="center"/>
              <w:rPr>
                <w:b/>
                <w:snapToGrid w:val="0"/>
                <w:kern w:val="0"/>
              </w:rPr>
            </w:pPr>
            <w:r>
              <w:rPr>
                <w:rFonts w:hint="eastAsia"/>
                <w:b/>
                <w:snapToGrid w:val="0"/>
                <w:kern w:val="0"/>
              </w:rPr>
              <w:t>项目内容</w:t>
            </w:r>
          </w:p>
        </w:tc>
        <w:tc>
          <w:tcPr>
            <w:tcW w:w="2664" w:type="dxa"/>
            <w:vAlign w:val="center"/>
          </w:tcPr>
          <w:p>
            <w:pPr>
              <w:adjustRightInd w:val="0"/>
              <w:snapToGrid w:val="0"/>
              <w:spacing w:line="300" w:lineRule="auto"/>
              <w:jc w:val="center"/>
              <w:rPr>
                <w:b/>
                <w:snapToGrid w:val="0"/>
                <w:kern w:val="0"/>
              </w:rPr>
            </w:pPr>
            <w:r>
              <w:rPr>
                <w:rFonts w:hint="eastAsia"/>
                <w:b/>
                <w:snapToGrid w:val="0"/>
                <w:kern w:val="0"/>
              </w:rPr>
              <w:t>费用</w:t>
            </w:r>
            <w:r>
              <w:rPr>
                <w:b/>
                <w:snapToGrid w:val="0"/>
                <w:kern w:val="0"/>
              </w:rPr>
              <w:t>（单位：</w:t>
            </w:r>
            <w:r>
              <w:rPr>
                <w:rFonts w:hint="eastAsia"/>
                <w:b/>
                <w:snapToGrid w:val="0"/>
                <w:kern w:val="0"/>
              </w:rPr>
              <w:t>人民币</w:t>
            </w:r>
            <w:r>
              <w:rPr>
                <w:b/>
                <w:snapToGrid w:val="0"/>
                <w:kern w:val="0"/>
              </w:rPr>
              <w:t>元）</w:t>
            </w:r>
          </w:p>
        </w:tc>
        <w:tc>
          <w:tcPr>
            <w:tcW w:w="2376" w:type="dxa"/>
            <w:vAlign w:val="center"/>
          </w:tcPr>
          <w:p>
            <w:pPr>
              <w:adjustRightInd w:val="0"/>
              <w:snapToGrid w:val="0"/>
              <w:spacing w:line="300" w:lineRule="auto"/>
              <w:jc w:val="center"/>
              <w:rPr>
                <w:b/>
                <w:snapToGrid w:val="0"/>
                <w:kern w:val="0"/>
              </w:rPr>
            </w:pPr>
            <w:r>
              <w:rPr>
                <w:rFonts w:hint="eastAsia"/>
                <w:b/>
                <w:snapToGrid w:val="0"/>
                <w:kern w:val="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ascii="宋体" w:hAnsi="宋体"/>
                <w:snapToGrid w:val="0"/>
                <w:kern w:val="0"/>
              </w:rPr>
              <w:t>1</w:t>
            </w:r>
          </w:p>
        </w:tc>
        <w:tc>
          <w:tcPr>
            <w:tcW w:w="3588" w:type="dxa"/>
            <w:vAlign w:val="center"/>
          </w:tcPr>
          <w:p>
            <w:pPr>
              <w:adjustRightInd w:val="0"/>
              <w:snapToGrid w:val="0"/>
              <w:spacing w:line="300" w:lineRule="auto"/>
              <w:rPr>
                <w:rFonts w:ascii="宋体" w:hAnsi="宋体"/>
                <w:snapToGrid w:val="0"/>
                <w:kern w:val="0"/>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hint="eastAsia" w:ascii="宋体" w:hAnsi="宋体"/>
                <w:snapToGrid w:val="0"/>
                <w:kern w:val="0"/>
              </w:rPr>
              <w:t>2</w:t>
            </w:r>
          </w:p>
        </w:tc>
        <w:tc>
          <w:tcPr>
            <w:tcW w:w="3588" w:type="dxa"/>
            <w:vAlign w:val="center"/>
          </w:tcPr>
          <w:p>
            <w:pPr>
              <w:adjustRightInd w:val="0"/>
              <w:snapToGrid w:val="0"/>
              <w:spacing w:line="300" w:lineRule="auto"/>
              <w:rPr>
                <w:rFonts w:ascii="宋体" w:hAnsi="宋体"/>
                <w:szCs w:val="21"/>
                <w:lang w:val="zh-CN"/>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hint="eastAsia" w:ascii="宋体" w:hAnsi="宋体"/>
                <w:snapToGrid w:val="0"/>
                <w:kern w:val="0"/>
              </w:rPr>
              <w:t>3</w:t>
            </w:r>
          </w:p>
        </w:tc>
        <w:tc>
          <w:tcPr>
            <w:tcW w:w="3588" w:type="dxa"/>
            <w:vAlign w:val="center"/>
          </w:tcPr>
          <w:p>
            <w:pPr>
              <w:adjustRightInd w:val="0"/>
              <w:snapToGrid w:val="0"/>
              <w:spacing w:line="300" w:lineRule="auto"/>
              <w:rPr>
                <w:rFonts w:ascii="宋体" w:hAnsi="宋体"/>
                <w:szCs w:val="21"/>
                <w:lang w:val="zh-CN"/>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hint="eastAsia" w:ascii="宋体" w:hAnsi="宋体"/>
                <w:snapToGrid w:val="0"/>
                <w:kern w:val="0"/>
              </w:rPr>
              <w:t>4</w:t>
            </w:r>
          </w:p>
        </w:tc>
        <w:tc>
          <w:tcPr>
            <w:tcW w:w="3588" w:type="dxa"/>
            <w:vAlign w:val="center"/>
          </w:tcPr>
          <w:p>
            <w:pPr>
              <w:adjustRightInd w:val="0"/>
              <w:snapToGrid w:val="0"/>
              <w:spacing w:line="300" w:lineRule="auto"/>
              <w:rPr>
                <w:rFonts w:ascii="宋体" w:hAnsi="宋体"/>
                <w:szCs w:val="21"/>
                <w:lang w:val="zh-CN"/>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4565" w:type="dxa"/>
            <w:gridSpan w:val="2"/>
            <w:vAlign w:val="center"/>
          </w:tcPr>
          <w:p>
            <w:pPr>
              <w:adjustRightInd w:val="0"/>
              <w:snapToGrid w:val="0"/>
              <w:spacing w:line="300" w:lineRule="auto"/>
              <w:jc w:val="center"/>
              <w:rPr>
                <w:snapToGrid w:val="0"/>
                <w:kern w:val="0"/>
              </w:rPr>
            </w:pPr>
            <w:r>
              <w:rPr>
                <w:snapToGrid w:val="0"/>
                <w:kern w:val="0"/>
              </w:rPr>
              <w:t>合   计</w:t>
            </w: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bl>
    <w:p>
      <w:pPr>
        <w:adjustRightInd w:val="0"/>
        <w:snapToGrid w:val="0"/>
        <w:spacing w:line="300" w:lineRule="auto"/>
        <w:rPr>
          <w:snapToGrid w:val="0"/>
          <w:kern w:val="0"/>
        </w:rPr>
      </w:pPr>
    </w:p>
    <w:p>
      <w:pPr>
        <w:spacing w:beforeLines="50" w:afterLines="50"/>
        <w:rPr>
          <w:rFonts w:ascii="宋体" w:hAnsi="宋体"/>
          <w:szCs w:val="21"/>
        </w:rPr>
      </w:pPr>
      <w:r>
        <w:rPr>
          <w:rFonts w:hint="eastAsia" w:ascii="宋体" w:hAnsi="宋体"/>
          <w:szCs w:val="21"/>
        </w:rPr>
        <w:t>备注：1、</w:t>
      </w:r>
      <w:r>
        <w:rPr>
          <w:rFonts w:hint="eastAsia" w:ascii="宋体" w:hAnsi="宋体"/>
          <w:bCs/>
          <w:szCs w:val="21"/>
        </w:rPr>
        <w:t>本表格仅为指导性范本，供应商可根据项目具体情况对各分项内容进行调整。</w:t>
      </w:r>
    </w:p>
    <w:p>
      <w:pPr>
        <w:adjustRightInd w:val="0"/>
        <w:spacing w:beforeLines="50" w:afterLines="50"/>
        <w:jc w:val="left"/>
        <w:rPr>
          <w:snapToGrid w:val="0"/>
          <w:kern w:val="0"/>
          <w:szCs w:val="21"/>
        </w:rPr>
      </w:pPr>
      <w:r>
        <w:rPr>
          <w:rFonts w:hint="eastAsia" w:ascii="宋体" w:hAnsi="宋体"/>
          <w:szCs w:val="21"/>
        </w:rPr>
        <w:t xml:space="preserve">      2、</w:t>
      </w:r>
      <w:r>
        <w:rPr>
          <w:rFonts w:hint="eastAsia" w:asciiTheme="minorEastAsia" w:hAnsiTheme="minorEastAsia" w:eastAsiaTheme="minorEastAsia"/>
        </w:rPr>
        <w:t>开标一览表中的投标</w:t>
      </w:r>
      <w:r>
        <w:rPr>
          <w:rFonts w:hint="eastAsia"/>
          <w:snapToGrid w:val="0"/>
          <w:kern w:val="0"/>
        </w:rPr>
        <w:t>总</w:t>
      </w:r>
      <w:r>
        <w:rPr>
          <w:rFonts w:hint="eastAsia" w:asciiTheme="minorEastAsia" w:hAnsiTheme="minorEastAsia" w:eastAsiaTheme="minorEastAsia"/>
        </w:rPr>
        <w:t>价应与本表中的报价合计金额一致</w:t>
      </w:r>
      <w:r>
        <w:rPr>
          <w:rFonts w:hint="eastAsia" w:ascii="宋体" w:hAnsi="宋体"/>
          <w:szCs w:val="21"/>
        </w:rPr>
        <w:t>。</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rPr>
          <w:snapToGrid w:val="0"/>
          <w:kern w:val="0"/>
        </w:rPr>
      </w:pPr>
    </w:p>
    <w:p>
      <w:pPr>
        <w:wordWrap w:val="0"/>
        <w:adjustRightInd w:val="0"/>
        <w:snapToGrid w:val="0"/>
        <w:spacing w:line="300" w:lineRule="auto"/>
        <w:jc w:val="right"/>
      </w:pPr>
      <w:r>
        <w:rPr>
          <w:rFonts w:hint="eastAsia"/>
          <w:snapToGrid w:val="0"/>
          <w:kern w:val="0"/>
        </w:rPr>
        <w:t>年    月   日</w:t>
      </w:r>
    </w:p>
    <w:p>
      <w:pPr>
        <w:pStyle w:val="28"/>
        <w:adjustRightInd w:val="0"/>
        <w:snapToGrid w:val="0"/>
        <w:spacing w:line="312" w:lineRule="auto"/>
        <w:jc w:val="center"/>
        <w:rPr>
          <w:rFonts w:ascii="Times New Roman" w:hAnsi="Times New Roman"/>
          <w:b/>
          <w:sz w:val="28"/>
        </w:rPr>
      </w:pPr>
    </w:p>
    <w:p/>
    <w:p/>
    <w:p/>
    <w:p/>
    <w:p/>
    <w:p/>
    <w:p/>
    <w:p/>
    <w:p/>
    <w:p/>
    <w:p/>
    <w:p>
      <w:pPr>
        <w:pStyle w:val="4"/>
        <w:tabs>
          <w:tab w:val="left" w:pos="371"/>
        </w:tabs>
        <w:spacing w:before="120" w:after="120"/>
        <w:ind w:left="-1" w:leftChars="-1" w:hanging="1"/>
        <w:jc w:val="center"/>
        <w:rPr>
          <w:rFonts w:asciiTheme="minorEastAsia" w:hAnsiTheme="minorEastAsia" w:eastAsiaTheme="minorEastAsia"/>
        </w:rPr>
      </w:pPr>
      <w:bookmarkStart w:id="71" w:name="_Toc44691399"/>
      <w:bookmarkStart w:id="72" w:name="_Toc44691167"/>
      <w:bookmarkStart w:id="73" w:name="_Toc44690708"/>
      <w:bookmarkStart w:id="74" w:name="_Toc135293188"/>
      <w:bookmarkStart w:id="75" w:name="_Toc44690435"/>
      <w:r>
        <w:rPr>
          <w:rFonts w:hint="eastAsia" w:asciiTheme="minorEastAsia" w:hAnsiTheme="minorEastAsia" w:eastAsiaTheme="minorEastAsia"/>
        </w:rPr>
        <w:t>格式7  服务方案</w:t>
      </w:r>
      <w:bookmarkEnd w:id="71"/>
      <w:bookmarkEnd w:id="72"/>
      <w:bookmarkEnd w:id="73"/>
      <w:bookmarkEnd w:id="74"/>
      <w:bookmarkEnd w:id="75"/>
    </w:p>
    <w:p>
      <w:pPr>
        <w:pStyle w:val="7"/>
      </w:pPr>
    </w:p>
    <w:p>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pPr>
        <w:spacing w:line="400" w:lineRule="exact"/>
        <w:ind w:firstLine="420" w:firstLineChars="200"/>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1、</w:t>
      </w:r>
      <w:r>
        <w:rPr>
          <w:rFonts w:hint="eastAsia" w:ascii="宋体" w:hAnsi="宋体" w:cs="宋体"/>
          <w:szCs w:val="21"/>
        </w:rPr>
        <w:t>对项目的理解</w:t>
      </w:r>
    </w:p>
    <w:p>
      <w:pPr>
        <w:spacing w:line="360" w:lineRule="auto"/>
        <w:ind w:firstLine="420" w:firstLineChars="200"/>
        <w:rPr>
          <w:rFonts w:ascii="宋体" w:hAnsi="宋体" w:cs="宋体"/>
          <w:szCs w:val="21"/>
        </w:rPr>
      </w:pPr>
      <w:r>
        <w:rPr>
          <w:rFonts w:hint="eastAsia" w:ascii="宋体" w:hAnsi="宋体"/>
          <w:szCs w:val="21"/>
        </w:rPr>
        <w:t>2、</w:t>
      </w:r>
      <w:r>
        <w:rPr>
          <w:rFonts w:hint="eastAsia" w:ascii="宋体" w:hAnsi="宋体" w:cs="宋体"/>
          <w:szCs w:val="21"/>
        </w:rPr>
        <w:t>对营商环境的了解</w:t>
      </w:r>
    </w:p>
    <w:p>
      <w:pPr>
        <w:spacing w:line="360" w:lineRule="auto"/>
        <w:ind w:firstLine="420" w:firstLineChars="200"/>
        <w:rPr>
          <w:rFonts w:ascii="宋体" w:hAnsi="宋体" w:cs="宋体"/>
          <w:szCs w:val="21"/>
        </w:rPr>
      </w:pPr>
      <w:r>
        <w:rPr>
          <w:rFonts w:hint="eastAsia" w:ascii="宋体" w:hAnsi="宋体" w:cs="宋体"/>
          <w:szCs w:val="21"/>
        </w:rPr>
        <w:t>3、对深圳注册服务领域的了解</w:t>
      </w:r>
    </w:p>
    <w:p>
      <w:pPr>
        <w:spacing w:line="360" w:lineRule="auto"/>
        <w:ind w:firstLine="420" w:firstLineChars="200"/>
        <w:rPr>
          <w:rFonts w:ascii="宋体" w:hAnsi="宋体" w:cs="宋体"/>
          <w:szCs w:val="21"/>
        </w:rPr>
      </w:pPr>
      <w:r>
        <w:rPr>
          <w:rFonts w:hint="eastAsia" w:ascii="宋体" w:hAnsi="宋体" w:cs="宋体"/>
          <w:szCs w:val="21"/>
        </w:rPr>
        <w:t>4、实施方案</w:t>
      </w:r>
    </w:p>
    <w:p>
      <w:pPr>
        <w:spacing w:line="360" w:lineRule="auto"/>
        <w:ind w:firstLine="420" w:firstLineChars="200"/>
        <w:rPr>
          <w:rFonts w:ascii="宋体" w:hAnsi="宋体"/>
          <w:szCs w:val="21"/>
        </w:rPr>
      </w:pPr>
      <w:r>
        <w:rPr>
          <w:rFonts w:hint="eastAsia" w:ascii="宋体" w:hAnsi="宋体"/>
          <w:szCs w:val="21"/>
        </w:rPr>
        <w:t>5、</w:t>
      </w:r>
      <w:r>
        <w:rPr>
          <w:rFonts w:hint="eastAsia" w:ascii="宋体" w:hAnsi="宋体" w:cs="宋体"/>
          <w:szCs w:val="21"/>
        </w:rPr>
        <w:t>服务质量保障措施</w:t>
      </w:r>
    </w:p>
    <w:p>
      <w:pPr>
        <w:spacing w:line="360" w:lineRule="auto"/>
        <w:ind w:firstLine="420" w:firstLineChars="200"/>
        <w:rPr>
          <w:rFonts w:ascii="宋体" w:hAnsi="宋体"/>
          <w:szCs w:val="21"/>
        </w:rPr>
      </w:pPr>
      <w:r>
        <w:rPr>
          <w:rFonts w:hint="eastAsia" w:ascii="宋体" w:hAnsi="宋体"/>
          <w:szCs w:val="21"/>
        </w:rPr>
        <w:t>6、拟投入人员情况：包括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pPr>
        <w:spacing w:line="360" w:lineRule="auto"/>
        <w:ind w:left="420"/>
        <w:rPr>
          <w:rFonts w:ascii="宋体" w:hAnsi="宋体"/>
          <w:bCs/>
        </w:rPr>
      </w:pPr>
      <w:r>
        <w:rPr>
          <w:rFonts w:hint="eastAsia" w:ascii="宋体" w:hAnsi="宋体"/>
          <w:bCs/>
        </w:rPr>
        <w:t>7、投标人认为必要的其他方案</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rPr>
          <w:snapToGrid w:val="0"/>
          <w:kern w:val="0"/>
        </w:rPr>
      </w:pP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pStyle w:val="2"/>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left"/>
        <w:rPr>
          <w:snapToGrid w:val="0"/>
          <w:kern w:val="0"/>
        </w:rPr>
      </w:pPr>
    </w:p>
    <w:p>
      <w:pPr>
        <w:tabs>
          <w:tab w:val="left" w:pos="8248"/>
          <w:tab w:val="left" w:pos="9368"/>
        </w:tabs>
        <w:spacing w:line="360" w:lineRule="auto"/>
      </w:pPr>
      <w:r>
        <w:rPr>
          <w:rFonts w:hint="eastAsia"/>
        </w:rPr>
        <w:t>附表：</w:t>
      </w:r>
    </w:p>
    <w:p>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pPr>
              <w:jc w:val="center"/>
              <w:rPr>
                <w:rFonts w:ascii="宋体" w:hAnsi="宋体" w:cs="Courier New"/>
                <w:snapToGrid w:val="0"/>
                <w:szCs w:val="21"/>
              </w:rPr>
            </w:pPr>
            <w:r>
              <w:rPr>
                <w:rFonts w:hint="eastAsia" w:ascii="宋体" w:hAnsi="宋体" w:cs="Courier New"/>
                <w:snapToGrid w:val="0"/>
                <w:szCs w:val="21"/>
              </w:rPr>
              <w:t>工作经验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pPr>
              <w:rPr>
                <w:rFonts w:ascii="宋体" w:hAnsi="宋体" w:cs="Courier New"/>
                <w:snapToGrid w:val="0"/>
                <w:szCs w:val="21"/>
              </w:rPr>
            </w:pPr>
          </w:p>
        </w:tc>
        <w:tc>
          <w:tcPr>
            <w:tcW w:w="567" w:type="dxa"/>
            <w:vAlign w:val="center"/>
          </w:tcPr>
          <w:p>
            <w:pPr>
              <w:rPr>
                <w:rFonts w:ascii="宋体" w:hAnsi="宋体" w:cs="Courier New"/>
                <w:snapToGrid w:val="0"/>
                <w:szCs w:val="21"/>
              </w:rPr>
            </w:pPr>
          </w:p>
        </w:tc>
        <w:tc>
          <w:tcPr>
            <w:tcW w:w="1308" w:type="dxa"/>
            <w:vAlign w:val="center"/>
          </w:tcPr>
          <w:p>
            <w:pPr>
              <w:rPr>
                <w:rFonts w:ascii="宋体" w:hAnsi="宋体" w:cs="Courier New"/>
                <w:snapToGrid w:val="0"/>
                <w:szCs w:val="21"/>
              </w:rPr>
            </w:pPr>
          </w:p>
        </w:tc>
        <w:tc>
          <w:tcPr>
            <w:tcW w:w="1544" w:type="dxa"/>
            <w:vAlign w:val="center"/>
          </w:tcPr>
          <w:p>
            <w:pPr>
              <w:rPr>
                <w:rFonts w:ascii="宋体" w:hAnsi="宋体" w:cs="Courier New"/>
                <w:snapToGrid w:val="0"/>
                <w:szCs w:val="21"/>
              </w:rPr>
            </w:pPr>
          </w:p>
        </w:tc>
        <w:tc>
          <w:tcPr>
            <w:tcW w:w="1260" w:type="dxa"/>
            <w:vAlign w:val="center"/>
          </w:tcPr>
          <w:p>
            <w:pPr>
              <w:rPr>
                <w:rFonts w:ascii="宋体" w:hAnsi="宋体" w:cs="Courier New"/>
                <w:snapToGrid w:val="0"/>
                <w:szCs w:val="21"/>
              </w:rPr>
            </w:pPr>
          </w:p>
        </w:tc>
        <w:tc>
          <w:tcPr>
            <w:tcW w:w="1620" w:type="dxa"/>
            <w:vAlign w:val="center"/>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bl>
    <w:p>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3、本表格所要求填写的人员是指投标单位将安排在此项目的具体人员。</w:t>
      </w:r>
    </w:p>
    <w:p>
      <w:pPr>
        <w:spacing w:line="360" w:lineRule="auto"/>
        <w:rPr>
          <w:rFonts w:cs="Courier New"/>
          <w:snapToGrid w:val="0"/>
          <w:szCs w:val="18"/>
        </w:rPr>
      </w:pPr>
    </w:p>
    <w:p>
      <w:pPr>
        <w:spacing w:line="360" w:lineRule="auto"/>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adjustRightInd w:val="0"/>
        <w:snapToGrid w:val="0"/>
        <w:spacing w:line="300" w:lineRule="auto"/>
        <w:rPr>
          <w:snapToGrid w:val="0"/>
          <w:kern w:val="0"/>
        </w:rPr>
      </w:pP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pStyle w:val="28"/>
        <w:adjustRightInd w:val="0"/>
        <w:snapToGrid w:val="0"/>
        <w:spacing w:line="312" w:lineRule="auto"/>
        <w:jc w:val="center"/>
        <w:rPr>
          <w:rFonts w:ascii="Times New Roman" w:hAnsi="Times New Roman"/>
          <w:b/>
          <w:sz w:val="28"/>
        </w:rPr>
      </w:pPr>
    </w:p>
    <w:p/>
    <w:p/>
    <w:p/>
    <w:p/>
    <w:p/>
    <w:p>
      <w:pPr>
        <w:pStyle w:val="4"/>
        <w:tabs>
          <w:tab w:val="left" w:pos="371"/>
        </w:tabs>
        <w:spacing w:before="120" w:after="120"/>
        <w:ind w:left="-1" w:leftChars="-1" w:hanging="1"/>
        <w:jc w:val="center"/>
        <w:rPr>
          <w:rFonts w:asciiTheme="minorEastAsia" w:hAnsiTheme="minorEastAsia" w:eastAsiaTheme="minorEastAsia"/>
        </w:rPr>
      </w:pPr>
      <w:bookmarkStart w:id="76" w:name="_Toc135293189"/>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76"/>
    </w:p>
    <w:p/>
    <w:p>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pPr>
        <w:adjustRightInd w:val="0"/>
        <w:snapToGrid w:val="0"/>
        <w:spacing w:line="360" w:lineRule="auto"/>
        <w:rPr>
          <w:rFonts w:ascii="宋体" w:hAnsi="宋体"/>
          <w:bCs/>
          <w:snapToGrid w:val="0"/>
          <w:kern w:val="0"/>
          <w:szCs w:val="21"/>
        </w:rPr>
      </w:pPr>
    </w:p>
    <w:p>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pPr>
        <w:adjustRightInd w:val="0"/>
        <w:snapToGrid w:val="0"/>
        <w:spacing w:line="360" w:lineRule="auto"/>
        <w:rPr>
          <w:bCs/>
          <w:snapToGrid w:val="0"/>
          <w:kern w:val="0"/>
        </w:rPr>
      </w:pPr>
    </w:p>
    <w:p>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pPr>
        <w:rPr>
          <w:rFonts w:ascii="宋体" w:hAnsi="宋体"/>
          <w:sz w:val="28"/>
        </w:rPr>
      </w:pPr>
    </w:p>
    <w:p/>
    <w:p/>
    <w:p/>
    <w:p/>
    <w:p/>
    <w:p/>
    <w:p/>
    <w:p/>
    <w:p/>
    <w:p/>
    <w:p/>
    <w:p/>
    <w:p/>
    <w:p/>
    <w:p/>
    <w:p/>
    <w:p/>
    <w:p/>
    <w:p/>
    <w:p/>
    <w:p/>
    <w:p/>
    <w:p/>
    <w:p/>
    <w:p/>
    <w:p/>
    <w:p/>
    <w:p/>
    <w:p/>
    <w:p/>
    <w:p/>
    <w:p/>
    <w:p/>
    <w:p/>
    <w:p>
      <w:pPr>
        <w:pStyle w:val="4"/>
        <w:tabs>
          <w:tab w:val="left" w:pos="371"/>
        </w:tabs>
        <w:spacing w:before="120" w:after="120"/>
        <w:ind w:left="-1" w:leftChars="-1" w:hanging="1"/>
        <w:jc w:val="center"/>
        <w:rPr>
          <w:rFonts w:asciiTheme="minorEastAsia" w:hAnsiTheme="minorEastAsia" w:eastAsiaTheme="minorEastAsia"/>
        </w:rPr>
      </w:pPr>
      <w:bookmarkStart w:id="77" w:name="_Toc44691400"/>
      <w:bookmarkStart w:id="78" w:name="_Toc44690436"/>
      <w:bookmarkStart w:id="79" w:name="_Toc135293190"/>
      <w:bookmarkStart w:id="80" w:name="_Toc44690709"/>
      <w:bookmarkStart w:id="81" w:name="_Toc44691168"/>
      <w:r>
        <w:rPr>
          <w:rFonts w:hint="eastAsia" w:asciiTheme="minorEastAsia" w:hAnsiTheme="minorEastAsia" w:eastAsiaTheme="minorEastAsia"/>
        </w:rPr>
        <w:t>格式9  偏离表</w:t>
      </w:r>
      <w:bookmarkEnd w:id="77"/>
      <w:bookmarkEnd w:id="78"/>
      <w:bookmarkEnd w:id="79"/>
      <w:bookmarkEnd w:id="80"/>
      <w:bookmarkEnd w:id="81"/>
    </w:p>
    <w:p>
      <w:pPr>
        <w:adjustRightInd w:val="0"/>
        <w:snapToGrid w:val="0"/>
        <w:spacing w:line="360" w:lineRule="auto"/>
        <w:rPr>
          <w:rFonts w:ascii="宋体" w:hAnsi="宋体"/>
        </w:rPr>
      </w:pPr>
    </w:p>
    <w:p>
      <w:pPr>
        <w:snapToGrid w:val="0"/>
        <w:spacing w:line="360" w:lineRule="auto"/>
        <w:jc w:val="center"/>
        <w:rPr>
          <w:b/>
          <w:sz w:val="24"/>
        </w:rPr>
      </w:pPr>
      <w:r>
        <w:rPr>
          <w:rFonts w:hint="eastAsia"/>
          <w:b/>
          <w:sz w:val="24"/>
        </w:rPr>
        <w:t>招标项目需求偏离表</w:t>
      </w:r>
    </w:p>
    <w:tbl>
      <w:tblPr>
        <w:tblStyle w:val="50"/>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010"/>
        <w:gridCol w:w="3544"/>
        <w:gridCol w:w="1984"/>
        <w:gridCol w:w="1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675" w:type="dxa"/>
            <w:vAlign w:val="center"/>
          </w:tcPr>
          <w:p>
            <w:pPr>
              <w:rPr>
                <w:rFonts w:ascii="宋体" w:hAnsi="宋体"/>
                <w:szCs w:val="21"/>
              </w:rPr>
            </w:pPr>
            <w:r>
              <w:rPr>
                <w:rFonts w:hint="eastAsia" w:ascii="宋体" w:hAnsi="宋体"/>
                <w:szCs w:val="21"/>
              </w:rPr>
              <w:t>序号</w:t>
            </w:r>
          </w:p>
        </w:tc>
        <w:tc>
          <w:tcPr>
            <w:tcW w:w="2010" w:type="dxa"/>
            <w:vAlign w:val="center"/>
          </w:tcPr>
          <w:p>
            <w:pPr>
              <w:ind w:left="136" w:leftChars="65"/>
              <w:jc w:val="center"/>
              <w:rPr>
                <w:rFonts w:ascii="宋体" w:hAnsi="宋体"/>
                <w:szCs w:val="21"/>
              </w:rPr>
            </w:pPr>
            <w:r>
              <w:rPr>
                <w:rFonts w:hint="eastAsia" w:ascii="宋体" w:hAnsi="宋体"/>
                <w:szCs w:val="21"/>
              </w:rPr>
              <w:t>招标项目需求</w:t>
            </w:r>
          </w:p>
        </w:tc>
        <w:tc>
          <w:tcPr>
            <w:tcW w:w="3544" w:type="dxa"/>
            <w:vAlign w:val="center"/>
          </w:tcPr>
          <w:p>
            <w:pPr>
              <w:ind w:left="136" w:leftChars="65"/>
              <w:jc w:val="center"/>
              <w:rPr>
                <w:rFonts w:ascii="宋体" w:hAnsi="宋体"/>
                <w:szCs w:val="21"/>
              </w:rPr>
            </w:pPr>
            <w:r>
              <w:rPr>
                <w:rFonts w:hint="eastAsia" w:ascii="宋体" w:hAnsi="宋体"/>
                <w:szCs w:val="21"/>
              </w:rPr>
              <w:t>投标文件响应</w:t>
            </w:r>
          </w:p>
        </w:tc>
        <w:tc>
          <w:tcPr>
            <w:tcW w:w="1984" w:type="dxa"/>
            <w:vAlign w:val="center"/>
          </w:tcPr>
          <w:p>
            <w:pPr>
              <w:ind w:left="136" w:leftChars="65"/>
              <w:jc w:val="center"/>
              <w:rPr>
                <w:rFonts w:ascii="宋体" w:hAnsi="宋体"/>
                <w:szCs w:val="21"/>
              </w:rPr>
            </w:pPr>
            <w:r>
              <w:rPr>
                <w:rFonts w:hint="eastAsia" w:ascii="宋体" w:hAnsi="宋体"/>
                <w:szCs w:val="21"/>
              </w:rPr>
              <w:t>偏离情况</w:t>
            </w:r>
          </w:p>
        </w:tc>
        <w:tc>
          <w:tcPr>
            <w:tcW w:w="1974" w:type="dxa"/>
            <w:vAlign w:val="center"/>
          </w:tcPr>
          <w:p>
            <w:pPr>
              <w:ind w:left="136" w:leftChars="65"/>
              <w:jc w:val="center"/>
              <w:rPr>
                <w:rFonts w:ascii="宋体" w:hAnsi="宋体"/>
                <w:szCs w:val="21"/>
              </w:rPr>
            </w:pPr>
            <w:r>
              <w:rPr>
                <w:rFonts w:hint="eastAsia" w:ascii="宋体" w:hAnsi="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187" w:type="dxa"/>
            <w:gridSpan w:val="5"/>
          </w:tcPr>
          <w:p>
            <w:pPr>
              <w:ind w:left="137" w:leftChars="1" w:hanging="135" w:hangingChars="64"/>
              <w:jc w:val="center"/>
              <w:rPr>
                <w:rFonts w:ascii="宋体" w:hAnsi="宋体"/>
                <w:szCs w:val="21"/>
              </w:rPr>
            </w:pPr>
            <w:r>
              <w:rPr>
                <w:rFonts w:hint="eastAsia" w:ascii="宋体" w:hAnsi="宋体"/>
                <w:b/>
                <w:kern w:val="0"/>
                <w:szCs w:val="21"/>
              </w:rPr>
              <w:t>招标项目需求中</w:t>
            </w:r>
            <w:r>
              <w:rPr>
                <w:rFonts w:hint="eastAsia" w:ascii="宋体" w:hAnsi="宋体"/>
                <w:b/>
                <w:color w:val="FF0000"/>
                <w:kern w:val="0"/>
                <w:szCs w:val="21"/>
              </w:rPr>
              <w:t>带★</w:t>
            </w:r>
            <w:r>
              <w:rPr>
                <w:rFonts w:hint="eastAsia" w:ascii="宋体" w:hAnsi="宋体" w:cs="Arial"/>
                <w:b/>
                <w:color w:val="FF0000"/>
              </w:rPr>
              <w:t>号</w:t>
            </w:r>
            <w:r>
              <w:rPr>
                <w:rFonts w:hint="eastAsia" w:ascii="宋体" w:hAnsi="宋体" w:cs="Arial"/>
                <w:b/>
              </w:rPr>
              <w:t>条款（如有）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atLeast"/>
          <w:jc w:val="center"/>
        </w:trPr>
        <w:tc>
          <w:tcPr>
            <w:tcW w:w="675" w:type="dxa"/>
            <w:vAlign w:val="center"/>
          </w:tcPr>
          <w:p>
            <w:pPr>
              <w:ind w:left="136" w:leftChars="65"/>
              <w:jc w:val="center"/>
              <w:rPr>
                <w:rFonts w:ascii="宋体" w:hAnsi="宋体"/>
                <w:szCs w:val="21"/>
              </w:rPr>
            </w:pPr>
            <w:r>
              <w:rPr>
                <w:rFonts w:hint="eastAsia" w:ascii="宋体" w:hAnsi="宋体"/>
                <w:szCs w:val="21"/>
              </w:rPr>
              <w:t>1</w:t>
            </w:r>
          </w:p>
        </w:tc>
        <w:tc>
          <w:tcPr>
            <w:tcW w:w="2010" w:type="dxa"/>
            <w:vAlign w:val="center"/>
          </w:tcPr>
          <w:p>
            <w:pPr>
              <w:rPr>
                <w:rFonts w:ascii="宋体" w:hAnsi="宋体"/>
                <w:b/>
                <w:color w:val="FF0000"/>
              </w:rPr>
            </w:pPr>
            <w:r>
              <w:rPr>
                <w:rFonts w:hint="eastAsia" w:ascii="宋体" w:hAnsi="宋体"/>
                <w:b/>
                <w:color w:val="FF0000"/>
              </w:rPr>
              <w:t>招标文件第二章《项目需求》中所有带</w:t>
            </w:r>
            <w:r>
              <w:rPr>
                <w:rFonts w:hint="eastAsia" w:ascii="宋体" w:hAnsi="宋体"/>
                <w:b/>
                <w:color w:val="FF0000"/>
                <w:kern w:val="0"/>
                <w:szCs w:val="21"/>
              </w:rPr>
              <w:t>★号条款</w:t>
            </w:r>
            <w:r>
              <w:rPr>
                <w:rFonts w:hint="eastAsia" w:ascii="宋体" w:hAnsi="宋体"/>
                <w:b/>
                <w:color w:val="FF0000"/>
              </w:rPr>
              <w:t>的要求</w:t>
            </w:r>
          </w:p>
        </w:tc>
        <w:tc>
          <w:tcPr>
            <w:tcW w:w="3544" w:type="dxa"/>
            <w:vAlign w:val="center"/>
          </w:tcPr>
          <w:p>
            <w:pPr>
              <w:rPr>
                <w:rFonts w:ascii="宋体" w:hAnsi="宋体" w:cs="Arial"/>
                <w:color w:val="0000FF"/>
                <w:sz w:val="20"/>
                <w:szCs w:val="18"/>
              </w:rPr>
            </w:pPr>
            <w:r>
              <w:rPr>
                <w:rFonts w:hint="eastAsia" w:ascii="宋体" w:hAnsi="宋体" w:cs="Arial"/>
                <w:b/>
                <w:color w:val="0000FF"/>
                <w:sz w:val="20"/>
                <w:szCs w:val="18"/>
              </w:rPr>
              <w:t>【填写说明：</w:t>
            </w:r>
            <w:r>
              <w:rPr>
                <w:rFonts w:hint="eastAsia" w:ascii="宋体" w:hAnsi="宋体" w:cs="Arial"/>
                <w:color w:val="0000FF"/>
                <w:sz w:val="20"/>
                <w:szCs w:val="18"/>
              </w:rPr>
              <w:t>此项投标人必须完全响应满足，请投标人于“投标文件响应”栏中填写</w:t>
            </w:r>
            <w:r>
              <w:rPr>
                <w:rFonts w:hint="eastAsia" w:ascii="宋体" w:hAnsi="宋体" w:cs="Arial"/>
                <w:b/>
                <w:color w:val="0000FF"/>
                <w:sz w:val="20"/>
                <w:szCs w:val="18"/>
              </w:rPr>
              <w:t>“完全响应满足招标文件第二章《项目需求》中所有带★号条款的要求”</w:t>
            </w:r>
            <w:r>
              <w:rPr>
                <w:rFonts w:hint="eastAsia" w:ascii="宋体" w:hAnsi="宋体" w:cs="Arial"/>
                <w:color w:val="0000FF"/>
                <w:sz w:val="20"/>
                <w:szCs w:val="18"/>
              </w:rPr>
              <w:t>。无需另行编制填写内容。】</w:t>
            </w:r>
          </w:p>
        </w:tc>
        <w:tc>
          <w:tcPr>
            <w:tcW w:w="1984" w:type="dxa"/>
            <w:vAlign w:val="center"/>
          </w:tcPr>
          <w:p>
            <w:pPr>
              <w:ind w:left="136" w:leftChars="65"/>
              <w:jc w:val="center"/>
              <w:rPr>
                <w:rFonts w:ascii="宋体" w:hAnsi="宋体"/>
                <w:szCs w:val="21"/>
              </w:rPr>
            </w:pPr>
          </w:p>
        </w:tc>
        <w:tc>
          <w:tcPr>
            <w:tcW w:w="1974" w:type="dxa"/>
            <w:vAlign w:val="center"/>
          </w:tcPr>
          <w:p>
            <w:pPr>
              <w:ind w:left="2"/>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0187" w:type="dxa"/>
            <w:gridSpan w:val="5"/>
            <w:vAlign w:val="center"/>
          </w:tcPr>
          <w:p>
            <w:pPr>
              <w:ind w:left="136" w:leftChars="65"/>
              <w:jc w:val="center"/>
              <w:rPr>
                <w:rFonts w:ascii="宋体" w:hAnsi="宋体"/>
                <w:szCs w:val="21"/>
              </w:rPr>
            </w:pPr>
            <w:r>
              <w:rPr>
                <w:rFonts w:hint="eastAsia" w:ascii="宋体" w:hAnsi="宋体"/>
                <w:b/>
                <w:kern w:val="0"/>
                <w:szCs w:val="21"/>
              </w:rPr>
              <w:t>招标项目需求中</w:t>
            </w:r>
            <w:r>
              <w:rPr>
                <w:rFonts w:hint="eastAsia" w:ascii="宋体" w:hAnsi="宋体"/>
                <w:b/>
                <w:color w:val="FF0000"/>
                <w:kern w:val="0"/>
                <w:szCs w:val="21"/>
              </w:rPr>
              <w:t>未带★</w:t>
            </w:r>
            <w:r>
              <w:rPr>
                <w:rFonts w:hint="eastAsia" w:ascii="宋体" w:hAnsi="宋体" w:cs="Arial"/>
                <w:b/>
                <w:color w:val="FF0000"/>
              </w:rPr>
              <w:t>号</w:t>
            </w:r>
            <w:r>
              <w:rPr>
                <w:rFonts w:hint="eastAsia" w:ascii="宋体" w:hAnsi="宋体" w:cs="Arial"/>
                <w:b/>
              </w:rPr>
              <w:t>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jc w:val="center"/>
        </w:trPr>
        <w:tc>
          <w:tcPr>
            <w:tcW w:w="675" w:type="dxa"/>
            <w:vAlign w:val="center"/>
          </w:tcPr>
          <w:p>
            <w:pPr>
              <w:jc w:val="center"/>
              <w:rPr>
                <w:rFonts w:ascii="宋体" w:hAnsi="宋体"/>
                <w:szCs w:val="21"/>
              </w:rPr>
            </w:pPr>
            <w:r>
              <w:rPr>
                <w:rFonts w:hint="eastAsia" w:ascii="宋体" w:hAnsi="宋体"/>
              </w:rPr>
              <w:t>1</w:t>
            </w:r>
          </w:p>
        </w:tc>
        <w:tc>
          <w:tcPr>
            <w:tcW w:w="2010" w:type="dxa"/>
            <w:vAlign w:val="center"/>
          </w:tcPr>
          <w:p>
            <w:pPr>
              <w:rPr>
                <w:rFonts w:ascii="宋体" w:hAnsi="宋体"/>
                <w:color w:val="FF0000"/>
                <w:szCs w:val="21"/>
              </w:rPr>
            </w:pPr>
            <w:r>
              <w:rPr>
                <w:rFonts w:hint="eastAsia" w:ascii="宋体" w:hAnsi="宋体"/>
                <w:b/>
                <w:color w:val="FF0000"/>
                <w:szCs w:val="21"/>
              </w:rPr>
              <w:t>招标文件第二章《项目需求》中未带★号的所有条款要求</w:t>
            </w:r>
          </w:p>
        </w:tc>
        <w:tc>
          <w:tcPr>
            <w:tcW w:w="3544" w:type="dxa"/>
            <w:vAlign w:val="center"/>
          </w:tcPr>
          <w:p>
            <w:pPr>
              <w:jc w:val="left"/>
              <w:rPr>
                <w:rFonts w:ascii="宋体" w:hAnsi="宋体" w:cs="Arial"/>
                <w:color w:val="0000FF"/>
                <w:sz w:val="20"/>
                <w:szCs w:val="18"/>
              </w:rPr>
            </w:pPr>
            <w:r>
              <w:rPr>
                <w:rFonts w:hint="eastAsia" w:ascii="宋体" w:hAnsi="宋体" w:cs="Arial"/>
                <w:b/>
                <w:color w:val="0000FF"/>
                <w:sz w:val="20"/>
                <w:szCs w:val="18"/>
              </w:rPr>
              <w:t>【填写说明：</w:t>
            </w:r>
            <w:r>
              <w:rPr>
                <w:rFonts w:hint="eastAsia" w:ascii="宋体" w:hAnsi="宋体" w:cs="Arial"/>
                <w:color w:val="0000FF"/>
                <w:sz w:val="20"/>
                <w:szCs w:val="18"/>
              </w:rPr>
              <w:t>1、如投标人能完全按照此部分条款要求承诺（响应）并实施，可填写“</w:t>
            </w:r>
            <w:r>
              <w:rPr>
                <w:rFonts w:hint="eastAsia" w:ascii="宋体" w:hAnsi="宋体" w:cs="Arial"/>
                <w:b/>
                <w:color w:val="0000FF"/>
                <w:sz w:val="20"/>
                <w:szCs w:val="18"/>
              </w:rPr>
              <w:t>完全按招标文件要求响应</w:t>
            </w:r>
            <w:r>
              <w:rPr>
                <w:rFonts w:hint="eastAsia" w:ascii="宋体" w:hAnsi="宋体" w:cs="Arial"/>
                <w:color w:val="0000FF"/>
                <w:sz w:val="20"/>
                <w:szCs w:val="18"/>
              </w:rPr>
              <w:t>”；</w:t>
            </w:r>
          </w:p>
          <w:p>
            <w:pPr>
              <w:jc w:val="left"/>
              <w:rPr>
                <w:rFonts w:ascii="宋体" w:hAnsi="宋体" w:cs="Arial"/>
                <w:color w:val="0000FF"/>
                <w:sz w:val="20"/>
                <w:szCs w:val="18"/>
              </w:rPr>
            </w:pPr>
            <w:r>
              <w:rPr>
                <w:rFonts w:hint="eastAsia" w:ascii="宋体" w:hAnsi="宋体" w:cs="Arial"/>
                <w:color w:val="0000FF"/>
                <w:sz w:val="20"/>
                <w:szCs w:val="18"/>
              </w:rPr>
              <w:t>2、如投标人承诺（响应）内容出现正偏离或负偏离，请逐条做出说明。】</w:t>
            </w:r>
          </w:p>
        </w:tc>
        <w:tc>
          <w:tcPr>
            <w:tcW w:w="1984" w:type="dxa"/>
            <w:vAlign w:val="center"/>
          </w:tcPr>
          <w:p>
            <w:pPr>
              <w:ind w:left="136" w:leftChars="65"/>
              <w:jc w:val="center"/>
              <w:rPr>
                <w:rFonts w:ascii="宋体" w:hAnsi="宋体"/>
                <w:szCs w:val="21"/>
              </w:rPr>
            </w:pPr>
          </w:p>
        </w:tc>
        <w:tc>
          <w:tcPr>
            <w:tcW w:w="1974" w:type="dxa"/>
            <w:vAlign w:val="center"/>
          </w:tcPr>
          <w:p>
            <w:pPr>
              <w:ind w:left="57" w:leftChars="27"/>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bl>
    <w:p>
      <w:pPr>
        <w:spacing w:line="360" w:lineRule="auto"/>
        <w:ind w:firstLine="422" w:firstLineChars="201"/>
      </w:pPr>
      <w:r>
        <w:rPr>
          <w:rFonts w:hint="eastAsia"/>
        </w:rPr>
        <w:t>备注：</w:t>
      </w:r>
    </w:p>
    <w:p>
      <w:pPr>
        <w:spacing w:line="360" w:lineRule="auto"/>
        <w:ind w:firstLine="422" w:firstLineChars="201"/>
        <w:rPr>
          <w:rFonts w:asciiTheme="minorEastAsia" w:hAnsiTheme="minorEastAsia" w:eastAsiaTheme="minorEastAsia"/>
          <w:szCs w:val="21"/>
        </w:rPr>
      </w:pPr>
      <w:r>
        <w:rPr>
          <w:rFonts w:hint="eastAsia" w:asciiTheme="minorEastAsia" w:hAnsiTheme="minorEastAsia" w:eastAsiaTheme="minorEastAsia"/>
        </w:rPr>
        <w:t>（1）投标人无需逐项填写“</w:t>
      </w:r>
      <w:r>
        <w:rPr>
          <w:rFonts w:hint="eastAsia" w:asciiTheme="minorEastAsia" w:hAnsiTheme="minorEastAsia" w:eastAsiaTheme="minorEastAsia"/>
          <w:szCs w:val="21"/>
        </w:rPr>
        <w:t>招标项目需求”栏，按格式提供即可。</w:t>
      </w:r>
    </w:p>
    <w:p>
      <w:pPr>
        <w:spacing w:line="360" w:lineRule="auto"/>
        <w:ind w:firstLine="422" w:firstLineChars="201"/>
        <w:rPr>
          <w:rFonts w:asciiTheme="minorEastAsia" w:hAnsiTheme="minorEastAsia" w:eastAsiaTheme="minorEastAsia"/>
          <w:szCs w:val="21"/>
        </w:rPr>
      </w:pPr>
      <w:r>
        <w:rPr>
          <w:rFonts w:hint="eastAsia" w:asciiTheme="minorEastAsia" w:hAnsiTheme="minorEastAsia" w:eastAsiaTheme="minorEastAsia"/>
          <w:szCs w:val="21"/>
        </w:rPr>
        <w:t>（2）投标人必须完全响应满足所有带★号条款的要求，否则将导致投标无效。中标后被发现不能满足《项目需求》中所有带★号条款要求的，采购单位有权拒绝签订合同，一切后果由投标人自行承担。</w:t>
      </w:r>
    </w:p>
    <w:p>
      <w:pPr>
        <w:spacing w:line="360" w:lineRule="auto"/>
        <w:ind w:firstLine="422" w:firstLineChars="201"/>
        <w:rPr>
          <w:rFonts w:asciiTheme="minorEastAsia" w:hAnsiTheme="minorEastAsia" w:eastAsiaTheme="minorEastAsia"/>
        </w:rPr>
      </w:pPr>
      <w:r>
        <w:rPr>
          <w:rFonts w:hint="eastAsia" w:asciiTheme="minorEastAsia" w:hAnsiTheme="minorEastAsia" w:eastAsiaTheme="minorEastAsia"/>
          <w:szCs w:val="21"/>
        </w:rPr>
        <w:t>（3）如招标文件要求提供证明材料的，投标文件需提供相应证明材料复印件或扫描件（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pPr>
        <w:spacing w:line="360" w:lineRule="auto"/>
        <w:ind w:firstLine="422" w:firstLineChars="201"/>
        <w:rPr>
          <w:rFonts w:cs="Arial" w:asciiTheme="minorEastAsia" w:hAnsiTheme="minorEastAsia" w:eastAsiaTheme="minorEastAsia"/>
          <w:b/>
          <w:bCs/>
          <w:szCs w:val="21"/>
        </w:rPr>
      </w:pPr>
      <w:r>
        <w:rPr>
          <w:rFonts w:hint="eastAsia" w:asciiTheme="minorEastAsia" w:hAnsiTheme="minorEastAsia" w:eastAsiaTheme="minorEastAsia"/>
        </w:rPr>
        <w:t>（4）请投标人于“</w:t>
      </w:r>
      <w:r>
        <w:rPr>
          <w:rFonts w:hint="eastAsia" w:asciiTheme="minorEastAsia" w:hAnsiTheme="minorEastAsia" w:eastAsiaTheme="minorEastAsia"/>
          <w:szCs w:val="21"/>
        </w:rPr>
        <w:t>投标文件响应</w:t>
      </w:r>
      <w:r>
        <w:rPr>
          <w:rFonts w:hint="eastAsia" w:asciiTheme="minorEastAsia" w:hAnsiTheme="minorEastAsia" w:eastAsiaTheme="minorEastAsia"/>
        </w:rPr>
        <w:t>”栏中对偏离表中相关条款作出响应情况描述，“偏离情况”栏根据响应情况填写，没有达到要求的填“负偏离”，达到要求的填“无偏离”，优于要求的填“正偏离”</w:t>
      </w:r>
      <w:r>
        <w:rPr>
          <w:rFonts w:hint="eastAsia" w:cs="Arial" w:asciiTheme="minorEastAsia" w:hAnsiTheme="minorEastAsia" w:eastAsiaTheme="minorEastAsia"/>
          <w:bCs/>
          <w:szCs w:val="21"/>
        </w:rPr>
        <w:t>。</w:t>
      </w:r>
    </w:p>
    <w:p>
      <w:pPr>
        <w:adjustRightInd w:val="0"/>
        <w:snapToGrid w:val="0"/>
        <w:spacing w:line="300" w:lineRule="auto"/>
        <w:rPr>
          <w:rFonts w:eastAsia="楷体_GB2312"/>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法定代表人或其授权代表：（签字）</w:t>
      </w: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left"/>
        <w:rPr>
          <w:snapToGrid w:val="0"/>
          <w:kern w:val="0"/>
        </w:rPr>
      </w:pPr>
    </w:p>
    <w:p>
      <w:pPr>
        <w:pStyle w:val="4"/>
        <w:tabs>
          <w:tab w:val="left" w:pos="371"/>
        </w:tabs>
        <w:spacing w:before="120" w:after="120"/>
        <w:ind w:left="-1" w:leftChars="-1" w:hanging="1"/>
        <w:jc w:val="center"/>
        <w:rPr>
          <w:rFonts w:asciiTheme="minorEastAsia" w:hAnsiTheme="minorEastAsia" w:eastAsiaTheme="minorEastAsia"/>
        </w:rPr>
      </w:pPr>
      <w:bookmarkStart w:id="82" w:name="q17"/>
      <w:bookmarkEnd w:id="82"/>
      <w:bookmarkStart w:id="83" w:name="_格式2__投标保证金凭证"/>
      <w:bookmarkEnd w:id="83"/>
      <w:bookmarkStart w:id="84" w:name="q15"/>
      <w:bookmarkEnd w:id="84"/>
      <w:bookmarkStart w:id="85" w:name="_格式4__"/>
      <w:bookmarkEnd w:id="85"/>
      <w:bookmarkStart w:id="86" w:name="q16"/>
      <w:bookmarkEnd w:id="86"/>
      <w:bookmarkStart w:id="87" w:name="_格式3__"/>
      <w:bookmarkEnd w:id="87"/>
      <w:bookmarkStart w:id="88" w:name="_格式5__"/>
      <w:bookmarkEnd w:id="88"/>
      <w:r>
        <w:rPr>
          <w:rFonts w:asciiTheme="minorEastAsia" w:hAnsiTheme="minorEastAsia" w:eastAsiaTheme="minorEastAsia"/>
        </w:rPr>
        <w:tab/>
      </w:r>
      <w:bookmarkStart w:id="89" w:name="_Toc44691169"/>
      <w:bookmarkStart w:id="90" w:name="_Toc44690710"/>
      <w:bookmarkStart w:id="91" w:name="_Toc44691401"/>
      <w:bookmarkStart w:id="92" w:name="_Toc44690437"/>
      <w:bookmarkStart w:id="93" w:name="_Toc135293191"/>
      <w:r>
        <w:rPr>
          <w:rFonts w:hint="eastAsia" w:asciiTheme="minorEastAsia" w:hAnsiTheme="minorEastAsia" w:eastAsiaTheme="minorEastAsia"/>
        </w:rPr>
        <w:t xml:space="preserve">格式10  </w:t>
      </w:r>
      <w:bookmarkEnd w:id="89"/>
      <w:bookmarkEnd w:id="90"/>
      <w:bookmarkEnd w:id="91"/>
      <w:bookmarkEnd w:id="92"/>
      <w:r>
        <w:rPr>
          <w:rFonts w:hint="eastAsia" w:asciiTheme="minorEastAsia" w:hAnsiTheme="minorEastAsia" w:eastAsiaTheme="minorEastAsia"/>
        </w:rPr>
        <w:t>招标文件要求的其他资料或投标人认为需要补充的资料</w:t>
      </w:r>
      <w:bookmarkEnd w:id="93"/>
    </w:p>
    <w:p>
      <w:pPr>
        <w:spacing w:line="360" w:lineRule="auto"/>
        <w:jc w:val="center"/>
      </w:pPr>
    </w:p>
    <w:p>
      <w:pPr>
        <w:widowControl/>
        <w:snapToGrid w:val="0"/>
        <w:spacing w:line="360" w:lineRule="auto"/>
        <w:jc w:val="left"/>
        <w:outlineLvl w:val="3"/>
        <w:rPr>
          <w:rFonts w:ascii="仿宋" w:hAnsi="仿宋" w:eastAsia="仿宋"/>
          <w:b/>
          <w:bCs/>
          <w:color w:val="FF0000"/>
          <w:kern w:val="0"/>
          <w:sz w:val="25"/>
          <w:szCs w:val="25"/>
        </w:rPr>
      </w:pPr>
      <w:r>
        <w:rPr>
          <w:rFonts w:hint="eastAsia" w:ascii="仿宋" w:hAnsi="仿宋" w:eastAsia="仿宋"/>
          <w:b/>
          <w:bCs/>
          <w:color w:val="FF0000"/>
          <w:kern w:val="0"/>
          <w:sz w:val="25"/>
          <w:szCs w:val="25"/>
        </w:rPr>
        <w:t>特别提醒：</w:t>
      </w:r>
    </w:p>
    <w:p>
      <w:pPr>
        <w:widowControl/>
        <w:snapToGrid w:val="0"/>
        <w:spacing w:line="360" w:lineRule="auto"/>
        <w:jc w:val="left"/>
        <w:rPr>
          <w:rFonts w:ascii="宋体" w:hAnsi="宋体"/>
          <w:color w:val="FF0000"/>
          <w:szCs w:val="21"/>
        </w:rPr>
      </w:pPr>
      <w:r>
        <w:rPr>
          <w:rFonts w:hint="eastAsia" w:ascii="仿宋" w:hAnsi="仿宋" w:eastAsia="仿宋"/>
          <w:color w:val="FF0000"/>
          <w:kern w:val="0"/>
          <w:sz w:val="25"/>
          <w:szCs w:val="25"/>
        </w:rPr>
        <w:t xml:space="preserve">  </w:t>
      </w:r>
      <w:r>
        <w:rPr>
          <w:rFonts w:hint="eastAsia" w:asciiTheme="minorEastAsia" w:hAnsiTheme="minorEastAsia" w:eastAsiaTheme="minorEastAsia"/>
          <w:color w:val="FF0000"/>
          <w:kern w:val="0"/>
          <w:szCs w:val="21"/>
        </w:rPr>
        <w:t xml:space="preserve">  《深圳经济特区政府采购条例实施细则》</w:t>
      </w:r>
      <w:r>
        <w:rPr>
          <w:rFonts w:hint="eastAsia" w:ascii="宋体" w:hAnsi="宋体"/>
          <w:color w:val="FF0000"/>
          <w:szCs w:val="21"/>
        </w:rPr>
        <w:t>第七十五条规定：供应商有下列情形的，属于采购条例所称的串通投标行为。</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（一）投标供应商之间相互约定给予未中标的供应商利益补偿；</w:t>
      </w:r>
    </w:p>
    <w:p>
      <w:pPr>
        <w:widowControl/>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（二）不同投标供应商的法定代表人、主要经营负责人、项目投标授权代表人、项目负责人、主要技术人员为同一人、属同一单位或者在同一单位缴纳社会保险；</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（三）不同投标供应商的投标文件由同一单位或者同一人编制，或者由同一人分阶段参与编制的；</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（四）不同投标供应商的投标文件或部分投标文件相互混装；</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（五）不同投标供应商的投标文件内容存在非正常一致；</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（六）由同一单位工作人员为两家以上（含两家）供应商进行同一项投标活动的；</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（七）主管部门依照法律、法规认定的其他情形。</w:t>
      </w:r>
    </w:p>
    <w:p>
      <w:pPr>
        <w:widowControl/>
        <w:snapToGrid w:val="0"/>
        <w:spacing w:line="360" w:lineRule="auto"/>
        <w:jc w:val="left"/>
        <w:rPr>
          <w:rFonts w:asciiTheme="minorEastAsia" w:hAnsiTheme="minorEastAsia" w:eastAsiaTheme="minorEastAsia"/>
          <w:color w:val="FF0000"/>
          <w:kern w:val="0"/>
          <w:szCs w:val="21"/>
        </w:rPr>
      </w:pPr>
    </w:p>
    <w:p>
      <w:pPr>
        <w:widowControl/>
        <w:snapToGrid w:val="0"/>
        <w:spacing w:line="360" w:lineRule="auto"/>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投标人提供以下资料（格式自拟）：</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1、投标单位法定代表人、主要经营负责人、项目投标授权代表人、项目负责人及主要技术人员近一年社保缴纳查询记录（包含在投标单位及其他缴纳社保单位的记录）；社保缴纳不满一年的按实际缴纳情况提供（因社保部门或税务部门原因暂时无法提供社保证明的，需提供加盖公章的情况说明或者证明材料。）</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2、其他招标文件要求提供的资料或投标人认为需要补充的资料。</w:t>
      </w:r>
    </w:p>
    <w:p>
      <w:pPr>
        <w:jc w:val="left"/>
        <w:rPr>
          <w:snapToGrid w:val="0"/>
          <w:kern w:val="0"/>
          <w:sz w:val="52"/>
          <w:szCs w:val="52"/>
        </w:rPr>
      </w:pPr>
    </w:p>
    <w:p/>
    <w:p/>
    <w:p/>
    <w:p/>
    <w:p/>
    <w:p/>
    <w:p/>
    <w:p/>
    <w:p/>
    <w:p/>
    <w:p/>
    <w:p/>
    <w:p>
      <w:pPr>
        <w:widowControl/>
        <w:jc w:val="left"/>
        <w:rPr>
          <w:rFonts w:eastAsiaTheme="minorEastAsia"/>
          <w:b/>
          <w:kern w:val="44"/>
          <w:sz w:val="44"/>
          <w:szCs w:val="28"/>
        </w:rPr>
      </w:pPr>
    </w:p>
    <w:p/>
    <w:p>
      <w:pPr>
        <w:pStyle w:val="3"/>
      </w:pPr>
      <w:bookmarkStart w:id="94" w:name="_Toc135293192"/>
      <w:r>
        <w:rPr>
          <w:rFonts w:hint="eastAsia"/>
        </w:rPr>
        <w:t>第八章  合同条款</w:t>
      </w:r>
      <w:bookmarkEnd w:id="94"/>
    </w:p>
    <w:p>
      <w:pPr>
        <w:jc w:val="center"/>
        <w:rPr>
          <w:b/>
          <w:szCs w:val="21"/>
        </w:rPr>
      </w:pPr>
    </w:p>
    <w:p>
      <w:pPr>
        <w:adjustRightInd w:val="0"/>
        <w:snapToGrid w:val="0"/>
        <w:spacing w:after="60" w:line="360" w:lineRule="auto"/>
        <w:jc w:val="center"/>
        <w:rPr>
          <w:b/>
          <w:snapToGrid w:val="0"/>
          <w:kern w:val="0"/>
          <w:sz w:val="24"/>
        </w:rPr>
      </w:pPr>
      <w:r>
        <w:rPr>
          <w:rFonts w:hint="eastAsia"/>
          <w:b/>
          <w:snapToGrid w:val="0"/>
          <w:kern w:val="0"/>
          <w:sz w:val="24"/>
        </w:rPr>
        <w:t>（拟签订的合同文本）</w:t>
      </w:r>
    </w:p>
    <w:p>
      <w:pPr>
        <w:pStyle w:val="26"/>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pPr>
        <w:pStyle w:val="26"/>
        <w:spacing w:line="360" w:lineRule="auto"/>
        <w:ind w:firstLine="482" w:firstLineChars="200"/>
        <w:rPr>
          <w:rFonts w:ascii="Times New Roman" w:hAnsi="Times New Roman"/>
          <w:b/>
          <w:sz w:val="24"/>
        </w:rPr>
      </w:pPr>
    </w:p>
    <w:p>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pPr>
        <w:adjustRightInd w:val="0"/>
        <w:snapToGrid w:val="0"/>
        <w:spacing w:line="360" w:lineRule="auto"/>
        <w:rPr>
          <w:rFonts w:ascii="宋体" w:hAnsi="宋体"/>
          <w:szCs w:val="21"/>
        </w:rPr>
      </w:pPr>
    </w:p>
    <w:p>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pPr>
        <w:pStyle w:val="26"/>
        <w:snapToGrid w:val="0"/>
        <w:spacing w:line="360" w:lineRule="auto"/>
        <w:ind w:firstLine="422" w:firstLineChars="200"/>
        <w:rPr>
          <w:rFonts w:hAnsi="宋体"/>
          <w:b/>
          <w:szCs w:val="21"/>
        </w:rPr>
      </w:pPr>
      <w:r>
        <w:rPr>
          <w:rFonts w:hint="eastAsia" w:hAnsi="宋体"/>
          <w:b/>
          <w:szCs w:val="21"/>
        </w:rPr>
        <w:t>一、服务内容</w:t>
      </w:r>
    </w:p>
    <w:p>
      <w:pPr>
        <w:spacing w:line="360" w:lineRule="auto"/>
        <w:ind w:firstLine="422" w:firstLineChars="201"/>
        <w:rPr>
          <w:rFonts w:ascii="宋体" w:hAnsi="宋体"/>
          <w:szCs w:val="21"/>
        </w:rPr>
      </w:pPr>
      <w:r>
        <w:rPr>
          <w:rFonts w:hint="eastAsia" w:ascii="宋体" w:hAnsi="宋体"/>
          <w:szCs w:val="21"/>
        </w:rPr>
        <w:t>______________________</w:t>
      </w:r>
    </w:p>
    <w:p>
      <w:pPr>
        <w:pStyle w:val="26"/>
        <w:snapToGrid w:val="0"/>
        <w:spacing w:line="360" w:lineRule="auto"/>
        <w:ind w:firstLine="422" w:firstLineChars="200"/>
        <w:rPr>
          <w:rFonts w:hAnsi="宋体"/>
          <w:b/>
          <w:szCs w:val="21"/>
        </w:rPr>
      </w:pPr>
      <w:r>
        <w:rPr>
          <w:rFonts w:hint="eastAsia" w:hAnsi="宋体"/>
          <w:b/>
          <w:szCs w:val="21"/>
        </w:rPr>
        <w:t>二、合同金额</w:t>
      </w:r>
    </w:p>
    <w:p>
      <w:pPr>
        <w:pStyle w:val="26"/>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pPr>
        <w:pStyle w:val="26"/>
        <w:snapToGrid w:val="0"/>
        <w:spacing w:line="360" w:lineRule="auto"/>
        <w:ind w:firstLine="422" w:firstLineChars="200"/>
        <w:rPr>
          <w:rFonts w:hAnsi="宋体"/>
          <w:b/>
          <w:szCs w:val="21"/>
        </w:rPr>
      </w:pPr>
      <w:r>
        <w:rPr>
          <w:rFonts w:hint="eastAsia" w:hAnsi="宋体"/>
          <w:b/>
          <w:szCs w:val="21"/>
        </w:rPr>
        <w:t>三、技术资料</w:t>
      </w:r>
    </w:p>
    <w:p>
      <w:pPr>
        <w:pStyle w:val="26"/>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pPr>
        <w:pStyle w:val="26"/>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pPr>
        <w:pStyle w:val="26"/>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pPr>
        <w:pStyle w:val="26"/>
        <w:snapToGrid w:val="0"/>
        <w:spacing w:line="360" w:lineRule="auto"/>
        <w:ind w:firstLine="422" w:firstLineChars="200"/>
        <w:rPr>
          <w:rFonts w:hAnsi="宋体"/>
          <w:b/>
          <w:szCs w:val="21"/>
        </w:rPr>
      </w:pPr>
      <w:r>
        <w:rPr>
          <w:rFonts w:hint="eastAsia" w:hAnsi="宋体"/>
          <w:b/>
          <w:szCs w:val="21"/>
        </w:rPr>
        <w:t>四、知识产权</w:t>
      </w:r>
    </w:p>
    <w:p>
      <w:pPr>
        <w:pStyle w:val="26"/>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pPr>
        <w:pStyle w:val="26"/>
        <w:snapToGrid w:val="0"/>
        <w:spacing w:line="360" w:lineRule="auto"/>
        <w:ind w:firstLine="422" w:firstLineChars="200"/>
        <w:rPr>
          <w:rFonts w:hAnsi="宋体"/>
          <w:b/>
          <w:szCs w:val="21"/>
        </w:rPr>
      </w:pPr>
      <w:r>
        <w:rPr>
          <w:rFonts w:hint="eastAsia" w:hAnsi="宋体"/>
          <w:b/>
          <w:szCs w:val="21"/>
        </w:rPr>
        <w:t>五、履约保证金</w:t>
      </w:r>
    </w:p>
    <w:p>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pPr>
        <w:snapToGrid w:val="0"/>
        <w:spacing w:line="360" w:lineRule="auto"/>
        <w:ind w:firstLine="420" w:firstLineChars="200"/>
        <w:rPr>
          <w:rFonts w:ascii="宋体" w:hAnsi="宋体"/>
          <w:szCs w:val="21"/>
        </w:rPr>
      </w:pPr>
      <w:r>
        <w:rPr>
          <w:rFonts w:hint="eastAsia" w:ascii="宋体" w:hAnsi="宋体"/>
          <w:szCs w:val="21"/>
        </w:rPr>
        <w:t>1、_______________________</w:t>
      </w:r>
    </w:p>
    <w:p>
      <w:pPr>
        <w:snapToGrid w:val="0"/>
        <w:spacing w:line="360" w:lineRule="auto"/>
        <w:ind w:firstLine="420" w:firstLineChars="200"/>
        <w:rPr>
          <w:rFonts w:ascii="宋体" w:hAnsi="宋体"/>
          <w:szCs w:val="21"/>
        </w:rPr>
      </w:pPr>
      <w:r>
        <w:rPr>
          <w:rFonts w:hint="eastAsia" w:ascii="宋体" w:hAnsi="宋体"/>
          <w:szCs w:val="21"/>
        </w:rPr>
        <w:t>2、_______________________</w:t>
      </w:r>
    </w:p>
    <w:p>
      <w:pPr>
        <w:snapToGrid w:val="0"/>
        <w:spacing w:line="360" w:lineRule="auto"/>
        <w:ind w:firstLine="420" w:firstLineChars="200"/>
        <w:rPr>
          <w:rFonts w:ascii="宋体" w:hAnsi="宋体"/>
          <w:szCs w:val="21"/>
        </w:rPr>
      </w:pPr>
      <w:r>
        <w:rPr>
          <w:rFonts w:hint="eastAsia" w:ascii="宋体" w:hAnsi="宋体"/>
          <w:szCs w:val="21"/>
        </w:rPr>
        <w:t>3、_______________________</w:t>
      </w:r>
    </w:p>
    <w:p>
      <w:pPr>
        <w:snapToGrid w:val="0"/>
        <w:spacing w:line="360" w:lineRule="auto"/>
        <w:ind w:firstLine="420" w:firstLineChars="200"/>
        <w:rPr>
          <w:rFonts w:ascii="宋体" w:hAnsi="宋体"/>
          <w:szCs w:val="21"/>
        </w:rPr>
      </w:pPr>
      <w:r>
        <w:rPr>
          <w:rFonts w:hint="eastAsia" w:ascii="宋体" w:hAnsi="宋体"/>
          <w:szCs w:val="21"/>
        </w:rPr>
        <w:t>4、_______________________</w:t>
      </w:r>
    </w:p>
    <w:p>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pPr>
        <w:snapToGrid w:val="0"/>
        <w:spacing w:line="360" w:lineRule="auto"/>
        <w:ind w:firstLine="420" w:firstLineChars="200"/>
        <w:rPr>
          <w:rFonts w:ascii="宋体" w:hAnsi="宋体"/>
          <w:szCs w:val="21"/>
        </w:rPr>
      </w:pPr>
      <w:r>
        <w:rPr>
          <w:rFonts w:hint="eastAsia" w:ascii="宋体" w:hAnsi="宋体"/>
          <w:szCs w:val="21"/>
        </w:rPr>
        <w:t>1、_______________________</w:t>
      </w:r>
    </w:p>
    <w:p>
      <w:pPr>
        <w:snapToGrid w:val="0"/>
        <w:spacing w:line="360" w:lineRule="auto"/>
        <w:ind w:firstLine="420" w:firstLineChars="200"/>
        <w:rPr>
          <w:rFonts w:ascii="宋体" w:hAnsi="宋体"/>
          <w:szCs w:val="21"/>
        </w:rPr>
      </w:pPr>
      <w:r>
        <w:rPr>
          <w:rFonts w:hint="eastAsia" w:ascii="宋体" w:hAnsi="宋体"/>
          <w:szCs w:val="21"/>
        </w:rPr>
        <w:t>2、_______________________</w:t>
      </w:r>
    </w:p>
    <w:p>
      <w:pPr>
        <w:snapToGrid w:val="0"/>
        <w:spacing w:line="360" w:lineRule="auto"/>
        <w:ind w:firstLine="420" w:firstLineChars="200"/>
        <w:rPr>
          <w:rFonts w:ascii="宋体" w:hAnsi="宋体"/>
          <w:szCs w:val="21"/>
        </w:rPr>
      </w:pPr>
      <w:r>
        <w:rPr>
          <w:rFonts w:hint="eastAsia" w:ascii="宋体" w:hAnsi="宋体"/>
          <w:szCs w:val="21"/>
        </w:rPr>
        <w:t>3、_______________________</w:t>
      </w:r>
    </w:p>
    <w:p>
      <w:pPr>
        <w:snapToGrid w:val="0"/>
        <w:spacing w:line="360" w:lineRule="auto"/>
        <w:ind w:firstLine="420" w:firstLineChars="200"/>
        <w:rPr>
          <w:rFonts w:ascii="宋体" w:hAnsi="宋体"/>
          <w:szCs w:val="21"/>
        </w:rPr>
      </w:pPr>
      <w:r>
        <w:rPr>
          <w:rFonts w:hint="eastAsia" w:ascii="宋体" w:hAnsi="宋体"/>
          <w:szCs w:val="21"/>
        </w:rPr>
        <w:t>4、_______________________</w:t>
      </w:r>
    </w:p>
    <w:p>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pPr>
        <w:pStyle w:val="26"/>
        <w:snapToGrid w:val="0"/>
        <w:spacing w:line="360" w:lineRule="auto"/>
        <w:ind w:firstLine="422" w:firstLineChars="200"/>
        <w:rPr>
          <w:rFonts w:hAnsi="宋体"/>
          <w:b/>
          <w:szCs w:val="21"/>
        </w:rPr>
      </w:pPr>
      <w:r>
        <w:rPr>
          <w:rFonts w:hint="eastAsia" w:hAnsi="宋体"/>
          <w:b/>
          <w:szCs w:val="21"/>
        </w:rPr>
        <w:t>八、合同履行时间、履行方式及履行地点</w:t>
      </w:r>
    </w:p>
    <w:p>
      <w:pPr>
        <w:pStyle w:val="26"/>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pPr>
        <w:pStyle w:val="26"/>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pPr>
        <w:pStyle w:val="26"/>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pPr>
        <w:snapToGrid w:val="0"/>
        <w:spacing w:line="360" w:lineRule="auto"/>
        <w:ind w:firstLine="422" w:firstLineChars="200"/>
        <w:rPr>
          <w:rFonts w:ascii="宋体" w:hAnsi="宋体"/>
          <w:b/>
          <w:szCs w:val="21"/>
        </w:rPr>
      </w:pPr>
      <w:r>
        <w:rPr>
          <w:rFonts w:hint="eastAsia" w:ascii="宋体" w:hAnsi="宋体"/>
          <w:b/>
          <w:szCs w:val="21"/>
        </w:rPr>
        <w:t>九、验收</w:t>
      </w:r>
    </w:p>
    <w:p>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pPr>
        <w:pStyle w:val="26"/>
        <w:snapToGrid w:val="0"/>
        <w:spacing w:line="360" w:lineRule="auto"/>
        <w:ind w:firstLine="422" w:firstLineChars="200"/>
        <w:rPr>
          <w:rFonts w:hAnsi="宋体"/>
          <w:b/>
          <w:szCs w:val="21"/>
        </w:rPr>
      </w:pPr>
      <w:r>
        <w:rPr>
          <w:rFonts w:hint="eastAsia" w:hAnsi="宋体"/>
          <w:b/>
          <w:szCs w:val="21"/>
        </w:rPr>
        <w:t>十、付款方式和税费</w:t>
      </w:r>
    </w:p>
    <w:p>
      <w:pPr>
        <w:pStyle w:val="26"/>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pPr>
        <w:pStyle w:val="26"/>
        <w:snapToGrid w:val="0"/>
        <w:spacing w:line="360" w:lineRule="auto"/>
        <w:ind w:firstLine="422" w:firstLineChars="200"/>
        <w:rPr>
          <w:rFonts w:hAnsi="宋体"/>
          <w:b/>
          <w:szCs w:val="21"/>
        </w:rPr>
      </w:pPr>
      <w:r>
        <w:rPr>
          <w:rFonts w:hint="eastAsia" w:hAnsi="宋体"/>
          <w:b/>
          <w:szCs w:val="21"/>
        </w:rPr>
        <w:t>十二、违约责任</w:t>
      </w:r>
    </w:p>
    <w:p>
      <w:pPr>
        <w:pStyle w:val="26"/>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pPr>
        <w:snapToGrid w:val="0"/>
        <w:spacing w:line="360" w:lineRule="auto"/>
        <w:ind w:firstLine="420" w:firstLineChars="200"/>
        <w:rPr>
          <w:rFonts w:ascii="宋体" w:hAnsi="宋体"/>
          <w:szCs w:val="21"/>
        </w:rPr>
      </w:pPr>
      <w:r>
        <w:rPr>
          <w:rFonts w:hint="eastAsia" w:ascii="宋体" w:hAnsi="宋体"/>
          <w:szCs w:val="21"/>
        </w:rPr>
        <w:t>（1）招标文件、答疑及补充通知；</w:t>
      </w:r>
    </w:p>
    <w:p>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pPr>
        <w:pStyle w:val="26"/>
        <w:snapToGrid w:val="0"/>
        <w:spacing w:line="360" w:lineRule="auto"/>
        <w:ind w:firstLine="420" w:firstLineChars="200"/>
        <w:rPr>
          <w:rFonts w:hAnsi="宋体"/>
          <w:szCs w:val="21"/>
        </w:rPr>
      </w:pPr>
      <w:r>
        <w:rPr>
          <w:rFonts w:hint="eastAsia" w:hAnsi="宋体"/>
          <w:szCs w:val="21"/>
        </w:rPr>
        <w:t>附件：</w:t>
      </w:r>
    </w:p>
    <w:p>
      <w:pPr>
        <w:snapToGrid w:val="0"/>
        <w:spacing w:line="360" w:lineRule="auto"/>
        <w:ind w:firstLine="420" w:firstLineChars="200"/>
        <w:rPr>
          <w:rFonts w:ascii="宋体" w:hAnsi="宋体"/>
          <w:szCs w:val="21"/>
        </w:rPr>
      </w:pPr>
      <w:r>
        <w:rPr>
          <w:rFonts w:hint="eastAsia" w:ascii="宋体" w:hAnsi="宋体"/>
          <w:szCs w:val="21"/>
        </w:rPr>
        <w:t>1、《中标通知书》</w:t>
      </w:r>
    </w:p>
    <w:p>
      <w:pPr>
        <w:snapToGrid w:val="0"/>
        <w:spacing w:line="360" w:lineRule="auto"/>
        <w:ind w:firstLine="420" w:firstLineChars="200"/>
        <w:rPr>
          <w:rFonts w:ascii="宋体" w:hAnsi="宋体"/>
          <w:szCs w:val="21"/>
        </w:rPr>
      </w:pPr>
      <w:r>
        <w:rPr>
          <w:rFonts w:hint="eastAsia" w:ascii="宋体" w:hAnsi="宋体"/>
          <w:szCs w:val="21"/>
        </w:rPr>
        <w:t>2、《投标文件》</w:t>
      </w:r>
    </w:p>
    <w:p>
      <w:pPr>
        <w:snapToGrid w:val="0"/>
        <w:spacing w:line="360" w:lineRule="auto"/>
        <w:ind w:firstLine="420" w:firstLineChars="200"/>
        <w:rPr>
          <w:rFonts w:ascii="宋体" w:hAnsi="宋体"/>
          <w:szCs w:val="21"/>
        </w:rPr>
      </w:pPr>
      <w:r>
        <w:rPr>
          <w:rFonts w:hint="eastAsia" w:ascii="宋体" w:hAnsi="宋体"/>
          <w:szCs w:val="21"/>
        </w:rPr>
        <w:t>3、《招标文件》</w:t>
      </w:r>
    </w:p>
    <w:p>
      <w:pPr>
        <w:snapToGrid w:val="0"/>
        <w:spacing w:line="360" w:lineRule="auto"/>
        <w:rPr>
          <w:rFonts w:ascii="宋体" w:hAnsi="宋体"/>
          <w:szCs w:val="21"/>
        </w:rPr>
      </w:pP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法定代表人（签字或盖私章）：</w:t>
      </w:r>
      <w:r>
        <w:rPr>
          <w:rFonts w:asciiTheme="minorEastAsia" w:hAnsiTheme="minorEastAsia"/>
          <w:szCs w:val="21"/>
        </w:rPr>
        <w:t xml:space="preserve">                 法定代表人</w:t>
      </w:r>
      <w:r>
        <w:rPr>
          <w:rFonts w:hint="eastAsia" w:asciiTheme="minorEastAsia" w:hAnsiTheme="minorEastAsia"/>
          <w:szCs w:val="21"/>
        </w:rPr>
        <w:t>（签字或盖私章）</w:t>
      </w:r>
      <w:r>
        <w:rPr>
          <w:rFonts w:asciiTheme="minorEastAsia" w:hAnsiTheme="minorEastAsia"/>
          <w:szCs w:val="21"/>
        </w:rPr>
        <w:t xml:space="preserve">： </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pPr>
        <w:jc w:val="center"/>
        <w:rPr>
          <w:b/>
          <w:sz w:val="52"/>
          <w:szCs w:val="52"/>
        </w:rPr>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pStyle w:val="3"/>
      </w:pPr>
      <w:bookmarkStart w:id="95" w:name="_Toc135293193"/>
      <w:bookmarkStart w:id="96" w:name="_Toc73610161"/>
      <w:r>
        <w:rPr>
          <w:rFonts w:hint="eastAsia"/>
        </w:rPr>
        <w:t>第九章  附件</w:t>
      </w:r>
      <w:bookmarkEnd w:id="95"/>
      <w:bookmarkEnd w:id="96"/>
    </w:p>
    <w:p>
      <w:pPr>
        <w:pStyle w:val="2"/>
        <w:spacing w:before="0" w:after="0"/>
      </w:pPr>
      <w:bookmarkStart w:id="97" w:name="_Toc73613644"/>
      <w:bookmarkStart w:id="98" w:name="_Toc73610162"/>
      <w:bookmarkStart w:id="99" w:name="_Toc135293194"/>
      <w:r>
        <w:rPr>
          <w:rFonts w:hint="eastAsia"/>
        </w:rPr>
        <w:t>一、财政部 工业和信息化部关于印发《政府采购促进中小企业发展管理办法》的通知</w:t>
      </w:r>
      <w:bookmarkEnd w:id="97"/>
      <w:bookmarkEnd w:id="98"/>
      <w:bookmarkEnd w:id="99"/>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pPr>
        <w:spacing w:line="360" w:lineRule="auto"/>
        <w:rPr>
          <w:rFonts w:asciiTheme="minorEastAsia" w:hAnsiTheme="minorEastAsia" w:eastAsiaTheme="minorEastAsia"/>
          <w:szCs w:val="21"/>
        </w:rPr>
      </w:pPr>
    </w:p>
    <w:p>
      <w:pPr>
        <w:pStyle w:val="2"/>
        <w:spacing w:before="0" w:after="0"/>
      </w:pPr>
      <w:bookmarkStart w:id="100" w:name="_Toc135293195"/>
      <w:bookmarkStart w:id="101" w:name="_Toc73610163"/>
      <w:bookmarkStart w:id="102" w:name="_Toc73613645"/>
      <w:r>
        <w:rPr>
          <w:rFonts w:hint="eastAsia"/>
        </w:rPr>
        <w:t>二、关于印发中小企业划型标准规定的通知</w:t>
      </w:r>
      <w:bookmarkEnd w:id="100"/>
      <w:bookmarkEnd w:id="101"/>
      <w:bookmarkEnd w:id="102"/>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pPr>
        <w:pStyle w:val="2"/>
        <w:spacing w:before="0" w:after="0"/>
      </w:pPr>
      <w:bookmarkStart w:id="103" w:name="_Toc135293196"/>
      <w:bookmarkStart w:id="104" w:name="_Toc73613646"/>
      <w:bookmarkStart w:id="105" w:name="_Toc73610164"/>
      <w:r>
        <w:rPr>
          <w:rFonts w:hint="eastAsia"/>
        </w:rPr>
        <w:t>三、</w:t>
      </w:r>
      <w:r>
        <w:t>国家统计局关于印发《统计上大中小微型企业划分办法 （2017）》的通知</w:t>
      </w:r>
      <w:bookmarkEnd w:id="103"/>
      <w:bookmarkEnd w:id="104"/>
      <w:bookmarkEnd w:id="105"/>
      <w:r>
        <w:t> </w:t>
      </w:r>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pPr>
        <w:widowControl/>
        <w:spacing w:line="360" w:lineRule="auto"/>
        <w:jc w:val="center"/>
        <w:rPr>
          <w:rFonts w:cs="宋体" w:asciiTheme="minorEastAsia" w:hAnsiTheme="minorEastAsia" w:eastAsiaTheme="minorEastAsia"/>
          <w:b/>
          <w:bCs/>
          <w:kern w:val="0"/>
          <w:szCs w:val="21"/>
        </w:rPr>
      </w:pP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pPr>
        <w:widowControl/>
        <w:spacing w:line="360" w:lineRule="auto"/>
        <w:jc w:val="left"/>
        <w:rPr>
          <w:rFonts w:cs="宋体" w:asciiTheme="minorEastAsia" w:hAnsiTheme="minorEastAsia" w:eastAsiaTheme="minorEastAsia"/>
          <w:kern w:val="0"/>
          <w:szCs w:val="21"/>
        </w:rPr>
      </w:pP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pPr>
        <w:spacing w:line="360" w:lineRule="auto"/>
        <w:rPr>
          <w:rFonts w:asciiTheme="minorEastAsia" w:hAnsiTheme="minorEastAsia" w:eastAsiaTheme="minorEastAsia"/>
          <w:szCs w:val="21"/>
        </w:rPr>
      </w:pPr>
    </w:p>
    <w:p>
      <w:pPr>
        <w:pStyle w:val="2"/>
        <w:spacing w:before="0" w:after="0"/>
      </w:pPr>
      <w:bookmarkStart w:id="106" w:name="_Toc73610165"/>
      <w:bookmarkStart w:id="107" w:name="_Toc73613647"/>
      <w:bookmarkStart w:id="108" w:name="_Toc135293197"/>
      <w:r>
        <w:rPr>
          <w:rFonts w:hint="eastAsia"/>
        </w:rPr>
        <w:t>四、</w:t>
      </w:r>
      <w:r>
        <w:t>财政部 民政部 中国残疾人联合会关于促进残疾人就业 政府采购政策的通知</w:t>
      </w:r>
      <w:bookmarkEnd w:id="106"/>
      <w:bookmarkEnd w:id="107"/>
      <w:bookmarkEnd w:id="108"/>
      <w:r>
        <w:t xml:space="preserve"> </w:t>
      </w:r>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pPr>
        <w:widowControl/>
        <w:spacing w:line="360" w:lineRule="auto"/>
        <w:jc w:val="righ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pPr>
        <w:tabs>
          <w:tab w:val="left" w:pos="1875"/>
        </w:tabs>
        <w:rPr>
          <w:rFonts w:ascii="Calibri" w:hAnsi="Calibri"/>
          <w:szCs w:val="22"/>
        </w:rPr>
      </w:pPr>
    </w:p>
    <w:p>
      <w:pPr>
        <w:rPr>
          <w:rFonts w:ascii="Calibri" w:hAnsi="Calibri"/>
          <w:szCs w:val="22"/>
        </w:rPr>
      </w:pPr>
    </w:p>
    <w:p>
      <w:pPr>
        <w:pStyle w:val="2"/>
        <w:spacing w:before="0" w:after="0"/>
      </w:pPr>
      <w:bookmarkStart w:id="109" w:name="_Toc135293198"/>
      <w:r>
        <w:rPr>
          <w:rFonts w:hint="eastAsia"/>
        </w:rPr>
        <w:t>五、财政部 司法部关于政府采购支持监狱企业发展有关问题的通知</w:t>
      </w:r>
      <w:bookmarkEnd w:id="109"/>
      <w:r>
        <w:t xml:space="preserve"> </w:t>
      </w:r>
    </w:p>
    <w:p>
      <w:pPr>
        <w:widowControl/>
        <w:spacing w:line="360" w:lineRule="auto"/>
        <w:jc w:val="center"/>
        <w:rPr>
          <w:rFonts w:cs="宋体" w:asciiTheme="minorEastAsia" w:hAnsiTheme="minorEastAsia" w:eastAsiaTheme="minorEastAsia"/>
          <w:kern w:val="0"/>
          <w:szCs w:val="21"/>
        </w:rPr>
      </w:pPr>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pPr>
        <w:widowControl/>
        <w:spacing w:line="360" w:lineRule="auto"/>
        <w:jc w:val="lef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宋体"/>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Segoe UI Symbol">
    <w:panose1 w:val="020B0502040204020203"/>
    <w:charset w:val="00"/>
    <w:family w:val="swiss"/>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53</w:t>
    </w:r>
    <w:r>
      <w:rPr>
        <w:rStyle w:val="54"/>
      </w:rPr>
      <w:fldChar w:fldCharType="end"/>
    </w:r>
  </w:p>
  <w:p>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center" w:pos="4819"/>
        <w:tab w:val="right" w:pos="9638"/>
      </w:tabs>
      <w:jc w:val="left"/>
    </w:pPr>
    <w:r>
      <w:rPr>
        <w:rFonts w:hint="eastAsia"/>
      </w:rPr>
      <w:t>项目名称：注册服务领域经营主体获得感跟踪提升</w:t>
    </w:r>
    <w:r>
      <w:rPr>
        <w:rFonts w:hint="eastAsia"/>
        <w:lang w:val="en-US" w:eastAsia="zh-CN"/>
      </w:rPr>
      <w:t>服务</w:t>
    </w:r>
    <w:r>
      <w:rPr>
        <w:rFonts w:hint="eastAsia"/>
      </w:rPr>
      <w:t>项目                             项目编号：</w:t>
    </w:r>
    <w:r>
      <w:rPr>
        <w:rFonts w:hint="eastAsia" w:asciiTheme="minorEastAsia" w:hAnsiTheme="minorEastAsia" w:eastAsiaTheme="minorEastAsia"/>
      </w:rPr>
      <w:t>SZZZ2024-QC0256</w:t>
    </w:r>
    <w:r>
      <w:tab/>
    </w:r>
  </w:p>
  <w:p>
    <w:pPr>
      <w:pStyle w:val="32"/>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1">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0Y2E5ZGI4MGEwYTRjZTUzMmU1ODU4YTM0ZDAyMTkifQ=="/>
    <w:docVar w:name="KSO_WPS_MARK_KEY" w:val="79bf3387-fe5b-4970-822c-50cd05f3103b"/>
  </w:docVars>
  <w:rsids>
    <w:rsidRoot w:val="00172A27"/>
    <w:rsid w:val="0000134D"/>
    <w:rsid w:val="00001626"/>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BD5"/>
    <w:rsid w:val="00095198"/>
    <w:rsid w:val="00095806"/>
    <w:rsid w:val="00095F61"/>
    <w:rsid w:val="000965CC"/>
    <w:rsid w:val="00096CE6"/>
    <w:rsid w:val="0009750D"/>
    <w:rsid w:val="00097B04"/>
    <w:rsid w:val="000A0ABE"/>
    <w:rsid w:val="000A0DC0"/>
    <w:rsid w:val="000A1075"/>
    <w:rsid w:val="000A24AF"/>
    <w:rsid w:val="000A274D"/>
    <w:rsid w:val="000A2C52"/>
    <w:rsid w:val="000A2D79"/>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3367"/>
    <w:rsid w:val="00123AC2"/>
    <w:rsid w:val="00123EA6"/>
    <w:rsid w:val="00123F89"/>
    <w:rsid w:val="00124206"/>
    <w:rsid w:val="0012537B"/>
    <w:rsid w:val="0012558C"/>
    <w:rsid w:val="00125736"/>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68EC"/>
    <w:rsid w:val="001A6C49"/>
    <w:rsid w:val="001A7AB7"/>
    <w:rsid w:val="001A7C91"/>
    <w:rsid w:val="001B0220"/>
    <w:rsid w:val="001B0850"/>
    <w:rsid w:val="001B1281"/>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A0B"/>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90002"/>
    <w:rsid w:val="0029069C"/>
    <w:rsid w:val="00291560"/>
    <w:rsid w:val="00291AF5"/>
    <w:rsid w:val="0029244F"/>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334F"/>
    <w:rsid w:val="002A3C88"/>
    <w:rsid w:val="002A41C2"/>
    <w:rsid w:val="002A4C00"/>
    <w:rsid w:val="002A50DC"/>
    <w:rsid w:val="002A52CC"/>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68A"/>
    <w:rsid w:val="002F11D5"/>
    <w:rsid w:val="002F1A62"/>
    <w:rsid w:val="002F21EF"/>
    <w:rsid w:val="002F2741"/>
    <w:rsid w:val="002F2B63"/>
    <w:rsid w:val="002F3765"/>
    <w:rsid w:val="002F3F28"/>
    <w:rsid w:val="002F44A0"/>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513"/>
    <w:rsid w:val="003A3C39"/>
    <w:rsid w:val="003A3CAC"/>
    <w:rsid w:val="003A4065"/>
    <w:rsid w:val="003A407A"/>
    <w:rsid w:val="003A44F3"/>
    <w:rsid w:val="003A505C"/>
    <w:rsid w:val="003A574F"/>
    <w:rsid w:val="003A58D0"/>
    <w:rsid w:val="003A6FDB"/>
    <w:rsid w:val="003B016F"/>
    <w:rsid w:val="003B01FA"/>
    <w:rsid w:val="003B0A1B"/>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FC0"/>
    <w:rsid w:val="00422A18"/>
    <w:rsid w:val="00422B01"/>
    <w:rsid w:val="00423668"/>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123F"/>
    <w:rsid w:val="004619CC"/>
    <w:rsid w:val="00461E36"/>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B58"/>
    <w:rsid w:val="004A2E82"/>
    <w:rsid w:val="004A3080"/>
    <w:rsid w:val="004A4429"/>
    <w:rsid w:val="004A44FB"/>
    <w:rsid w:val="004A4862"/>
    <w:rsid w:val="004A4E10"/>
    <w:rsid w:val="004A51B0"/>
    <w:rsid w:val="004A5352"/>
    <w:rsid w:val="004A565E"/>
    <w:rsid w:val="004A59A4"/>
    <w:rsid w:val="004A6727"/>
    <w:rsid w:val="004A6981"/>
    <w:rsid w:val="004A6E06"/>
    <w:rsid w:val="004A73C9"/>
    <w:rsid w:val="004A7475"/>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04A"/>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9D3"/>
    <w:rsid w:val="00545B7C"/>
    <w:rsid w:val="00545D4C"/>
    <w:rsid w:val="00545FC1"/>
    <w:rsid w:val="00546C0C"/>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AD4"/>
    <w:rsid w:val="00563583"/>
    <w:rsid w:val="005635DB"/>
    <w:rsid w:val="00563722"/>
    <w:rsid w:val="005644D2"/>
    <w:rsid w:val="00564915"/>
    <w:rsid w:val="00565126"/>
    <w:rsid w:val="0056605B"/>
    <w:rsid w:val="005664D0"/>
    <w:rsid w:val="00566509"/>
    <w:rsid w:val="00566610"/>
    <w:rsid w:val="00566C96"/>
    <w:rsid w:val="0056736F"/>
    <w:rsid w:val="00567D1B"/>
    <w:rsid w:val="005705DB"/>
    <w:rsid w:val="005709EF"/>
    <w:rsid w:val="0057109F"/>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E8"/>
    <w:rsid w:val="00574ADD"/>
    <w:rsid w:val="00574BF4"/>
    <w:rsid w:val="00575FD0"/>
    <w:rsid w:val="00576547"/>
    <w:rsid w:val="005766D7"/>
    <w:rsid w:val="00576B8F"/>
    <w:rsid w:val="00576ED0"/>
    <w:rsid w:val="00576F87"/>
    <w:rsid w:val="00577B69"/>
    <w:rsid w:val="00577D13"/>
    <w:rsid w:val="005800A3"/>
    <w:rsid w:val="00580FED"/>
    <w:rsid w:val="00581587"/>
    <w:rsid w:val="00581873"/>
    <w:rsid w:val="00581F5A"/>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1691"/>
    <w:rsid w:val="005C33DE"/>
    <w:rsid w:val="005C3571"/>
    <w:rsid w:val="005C3DAD"/>
    <w:rsid w:val="005C4A16"/>
    <w:rsid w:val="005C4C1F"/>
    <w:rsid w:val="005C4D87"/>
    <w:rsid w:val="005C5F97"/>
    <w:rsid w:val="005C6799"/>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D"/>
    <w:rsid w:val="005E4E92"/>
    <w:rsid w:val="005E5326"/>
    <w:rsid w:val="005E549E"/>
    <w:rsid w:val="005E5E26"/>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A3E"/>
    <w:rsid w:val="00604E98"/>
    <w:rsid w:val="006052EB"/>
    <w:rsid w:val="00605593"/>
    <w:rsid w:val="0060706C"/>
    <w:rsid w:val="00607A47"/>
    <w:rsid w:val="00607D49"/>
    <w:rsid w:val="00607E9C"/>
    <w:rsid w:val="00610586"/>
    <w:rsid w:val="00610A0E"/>
    <w:rsid w:val="00610D9A"/>
    <w:rsid w:val="00611ED2"/>
    <w:rsid w:val="0061253F"/>
    <w:rsid w:val="00613239"/>
    <w:rsid w:val="006133AF"/>
    <w:rsid w:val="00614D9F"/>
    <w:rsid w:val="00615CF7"/>
    <w:rsid w:val="0061600A"/>
    <w:rsid w:val="00616417"/>
    <w:rsid w:val="0061657A"/>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3207"/>
    <w:rsid w:val="006935B9"/>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878"/>
    <w:rsid w:val="006D0BDD"/>
    <w:rsid w:val="006D0BE5"/>
    <w:rsid w:val="006D0CB8"/>
    <w:rsid w:val="006D0CDA"/>
    <w:rsid w:val="006D150F"/>
    <w:rsid w:val="006D231F"/>
    <w:rsid w:val="006D23E7"/>
    <w:rsid w:val="006D2762"/>
    <w:rsid w:val="006D2A1D"/>
    <w:rsid w:val="006D32D2"/>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CFA"/>
    <w:rsid w:val="00780D57"/>
    <w:rsid w:val="00780F67"/>
    <w:rsid w:val="007811DE"/>
    <w:rsid w:val="007818C5"/>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9DF"/>
    <w:rsid w:val="007A0E2F"/>
    <w:rsid w:val="007A10E6"/>
    <w:rsid w:val="007A1136"/>
    <w:rsid w:val="007A20EA"/>
    <w:rsid w:val="007A241F"/>
    <w:rsid w:val="007A26FB"/>
    <w:rsid w:val="007A2B5B"/>
    <w:rsid w:val="007A3506"/>
    <w:rsid w:val="007A372A"/>
    <w:rsid w:val="007A3BD1"/>
    <w:rsid w:val="007A4153"/>
    <w:rsid w:val="007A46C9"/>
    <w:rsid w:val="007A51CA"/>
    <w:rsid w:val="007A530D"/>
    <w:rsid w:val="007A5CE6"/>
    <w:rsid w:val="007A611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2BA"/>
    <w:rsid w:val="007F1B06"/>
    <w:rsid w:val="007F215B"/>
    <w:rsid w:val="007F268D"/>
    <w:rsid w:val="007F2907"/>
    <w:rsid w:val="007F2930"/>
    <w:rsid w:val="007F2AD8"/>
    <w:rsid w:val="007F2BEA"/>
    <w:rsid w:val="007F345B"/>
    <w:rsid w:val="007F36BA"/>
    <w:rsid w:val="007F3919"/>
    <w:rsid w:val="007F497F"/>
    <w:rsid w:val="007F5124"/>
    <w:rsid w:val="007F53C0"/>
    <w:rsid w:val="007F577C"/>
    <w:rsid w:val="007F6A3A"/>
    <w:rsid w:val="007F6AC2"/>
    <w:rsid w:val="00800E47"/>
    <w:rsid w:val="00801AB1"/>
    <w:rsid w:val="00802383"/>
    <w:rsid w:val="008024E5"/>
    <w:rsid w:val="00802C82"/>
    <w:rsid w:val="008033B8"/>
    <w:rsid w:val="008033C1"/>
    <w:rsid w:val="00803689"/>
    <w:rsid w:val="00803C2E"/>
    <w:rsid w:val="00803D71"/>
    <w:rsid w:val="00803DDC"/>
    <w:rsid w:val="00803EBA"/>
    <w:rsid w:val="0080498C"/>
    <w:rsid w:val="008049DB"/>
    <w:rsid w:val="008054B4"/>
    <w:rsid w:val="0080557B"/>
    <w:rsid w:val="00805B7B"/>
    <w:rsid w:val="00805D34"/>
    <w:rsid w:val="00806393"/>
    <w:rsid w:val="00806FF0"/>
    <w:rsid w:val="00810A80"/>
    <w:rsid w:val="00811009"/>
    <w:rsid w:val="00811082"/>
    <w:rsid w:val="00812CAB"/>
    <w:rsid w:val="00813405"/>
    <w:rsid w:val="0081357E"/>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76E8"/>
    <w:rsid w:val="008610C6"/>
    <w:rsid w:val="00861804"/>
    <w:rsid w:val="00862584"/>
    <w:rsid w:val="00862D18"/>
    <w:rsid w:val="0086305F"/>
    <w:rsid w:val="008632E4"/>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B4"/>
    <w:rsid w:val="008E58A8"/>
    <w:rsid w:val="008E6374"/>
    <w:rsid w:val="008E6791"/>
    <w:rsid w:val="008E72A7"/>
    <w:rsid w:val="008E7C43"/>
    <w:rsid w:val="008F0232"/>
    <w:rsid w:val="008F04AE"/>
    <w:rsid w:val="008F0682"/>
    <w:rsid w:val="008F06E3"/>
    <w:rsid w:val="008F1581"/>
    <w:rsid w:val="008F23FE"/>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CC4"/>
    <w:rsid w:val="00916161"/>
    <w:rsid w:val="00916292"/>
    <w:rsid w:val="009175C2"/>
    <w:rsid w:val="0091789A"/>
    <w:rsid w:val="00917D64"/>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2193"/>
    <w:rsid w:val="009627CF"/>
    <w:rsid w:val="00962E7D"/>
    <w:rsid w:val="0096406A"/>
    <w:rsid w:val="00964D10"/>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7290"/>
    <w:rsid w:val="009872EB"/>
    <w:rsid w:val="009876EE"/>
    <w:rsid w:val="00987AA2"/>
    <w:rsid w:val="00987B8C"/>
    <w:rsid w:val="00987CEE"/>
    <w:rsid w:val="009905DE"/>
    <w:rsid w:val="00990C19"/>
    <w:rsid w:val="00990EB2"/>
    <w:rsid w:val="00991CC7"/>
    <w:rsid w:val="00991D80"/>
    <w:rsid w:val="00991EA5"/>
    <w:rsid w:val="009920AC"/>
    <w:rsid w:val="009923F6"/>
    <w:rsid w:val="00992863"/>
    <w:rsid w:val="00992AD4"/>
    <w:rsid w:val="00992B33"/>
    <w:rsid w:val="00992B8E"/>
    <w:rsid w:val="00993DE9"/>
    <w:rsid w:val="009945E8"/>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C6A"/>
    <w:rsid w:val="00A04285"/>
    <w:rsid w:val="00A04494"/>
    <w:rsid w:val="00A04767"/>
    <w:rsid w:val="00A04920"/>
    <w:rsid w:val="00A0546E"/>
    <w:rsid w:val="00A0551C"/>
    <w:rsid w:val="00A05BB8"/>
    <w:rsid w:val="00A06295"/>
    <w:rsid w:val="00A06427"/>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EF5"/>
    <w:rsid w:val="00A704EA"/>
    <w:rsid w:val="00A7234D"/>
    <w:rsid w:val="00A72E28"/>
    <w:rsid w:val="00A737D5"/>
    <w:rsid w:val="00A738B1"/>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EDF"/>
    <w:rsid w:val="00AA411A"/>
    <w:rsid w:val="00AA4220"/>
    <w:rsid w:val="00AA4239"/>
    <w:rsid w:val="00AA4D46"/>
    <w:rsid w:val="00AA54AE"/>
    <w:rsid w:val="00AA5F04"/>
    <w:rsid w:val="00AA6816"/>
    <w:rsid w:val="00AA69E5"/>
    <w:rsid w:val="00AA6D4E"/>
    <w:rsid w:val="00AA73D0"/>
    <w:rsid w:val="00AA75CE"/>
    <w:rsid w:val="00AB023A"/>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6826"/>
    <w:rsid w:val="00AD72BC"/>
    <w:rsid w:val="00AD79BF"/>
    <w:rsid w:val="00AD7C84"/>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F04"/>
    <w:rsid w:val="00B13082"/>
    <w:rsid w:val="00B134E7"/>
    <w:rsid w:val="00B13A79"/>
    <w:rsid w:val="00B14075"/>
    <w:rsid w:val="00B14FC0"/>
    <w:rsid w:val="00B159F7"/>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C5"/>
    <w:rsid w:val="00B33D79"/>
    <w:rsid w:val="00B33F59"/>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564"/>
    <w:rsid w:val="00BA467B"/>
    <w:rsid w:val="00BA4842"/>
    <w:rsid w:val="00BA4D41"/>
    <w:rsid w:val="00BA58AF"/>
    <w:rsid w:val="00BA58BB"/>
    <w:rsid w:val="00BA67FC"/>
    <w:rsid w:val="00BA6B8E"/>
    <w:rsid w:val="00BA7285"/>
    <w:rsid w:val="00BA7BE8"/>
    <w:rsid w:val="00BB01AF"/>
    <w:rsid w:val="00BB08F7"/>
    <w:rsid w:val="00BB0BA7"/>
    <w:rsid w:val="00BB0CA1"/>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52DE"/>
    <w:rsid w:val="00BC5902"/>
    <w:rsid w:val="00BC66E0"/>
    <w:rsid w:val="00BC69C6"/>
    <w:rsid w:val="00BC7775"/>
    <w:rsid w:val="00BC7956"/>
    <w:rsid w:val="00BD02E6"/>
    <w:rsid w:val="00BD065D"/>
    <w:rsid w:val="00BD0CF8"/>
    <w:rsid w:val="00BD0DDA"/>
    <w:rsid w:val="00BD1252"/>
    <w:rsid w:val="00BD1469"/>
    <w:rsid w:val="00BD154F"/>
    <w:rsid w:val="00BD1FF6"/>
    <w:rsid w:val="00BD2256"/>
    <w:rsid w:val="00BD24B6"/>
    <w:rsid w:val="00BD3080"/>
    <w:rsid w:val="00BD3124"/>
    <w:rsid w:val="00BD316A"/>
    <w:rsid w:val="00BD33EC"/>
    <w:rsid w:val="00BD3A9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E36"/>
    <w:rsid w:val="00C71279"/>
    <w:rsid w:val="00C71351"/>
    <w:rsid w:val="00C71A08"/>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D2730"/>
    <w:rsid w:val="00CD28B2"/>
    <w:rsid w:val="00CD2DD0"/>
    <w:rsid w:val="00CD2E3B"/>
    <w:rsid w:val="00CD33EE"/>
    <w:rsid w:val="00CD3776"/>
    <w:rsid w:val="00CD4D65"/>
    <w:rsid w:val="00CD4ED7"/>
    <w:rsid w:val="00CD55B1"/>
    <w:rsid w:val="00CD5680"/>
    <w:rsid w:val="00CD57E1"/>
    <w:rsid w:val="00CD59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51A0"/>
    <w:rsid w:val="00D451C2"/>
    <w:rsid w:val="00D45385"/>
    <w:rsid w:val="00D45546"/>
    <w:rsid w:val="00D45C34"/>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60F"/>
    <w:rsid w:val="00D7197E"/>
    <w:rsid w:val="00D71EB9"/>
    <w:rsid w:val="00D726FD"/>
    <w:rsid w:val="00D72C26"/>
    <w:rsid w:val="00D73288"/>
    <w:rsid w:val="00D73686"/>
    <w:rsid w:val="00D7371E"/>
    <w:rsid w:val="00D73EF2"/>
    <w:rsid w:val="00D741DB"/>
    <w:rsid w:val="00D742A0"/>
    <w:rsid w:val="00D74E88"/>
    <w:rsid w:val="00D75216"/>
    <w:rsid w:val="00D756A7"/>
    <w:rsid w:val="00D75D33"/>
    <w:rsid w:val="00D75E56"/>
    <w:rsid w:val="00D763AE"/>
    <w:rsid w:val="00D76CD8"/>
    <w:rsid w:val="00D77919"/>
    <w:rsid w:val="00D779D4"/>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51B1"/>
    <w:rsid w:val="00E057EA"/>
    <w:rsid w:val="00E05E00"/>
    <w:rsid w:val="00E06357"/>
    <w:rsid w:val="00E0667E"/>
    <w:rsid w:val="00E06F09"/>
    <w:rsid w:val="00E06FAA"/>
    <w:rsid w:val="00E073FE"/>
    <w:rsid w:val="00E078A6"/>
    <w:rsid w:val="00E07916"/>
    <w:rsid w:val="00E07AA2"/>
    <w:rsid w:val="00E1015B"/>
    <w:rsid w:val="00E106AE"/>
    <w:rsid w:val="00E10723"/>
    <w:rsid w:val="00E11236"/>
    <w:rsid w:val="00E1164D"/>
    <w:rsid w:val="00E11A5C"/>
    <w:rsid w:val="00E11CCB"/>
    <w:rsid w:val="00E1223A"/>
    <w:rsid w:val="00E122A9"/>
    <w:rsid w:val="00E12447"/>
    <w:rsid w:val="00E12ABE"/>
    <w:rsid w:val="00E12E0E"/>
    <w:rsid w:val="00E12FC7"/>
    <w:rsid w:val="00E1415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55B1"/>
    <w:rsid w:val="00E85E67"/>
    <w:rsid w:val="00E86621"/>
    <w:rsid w:val="00E86A0D"/>
    <w:rsid w:val="00E87BD5"/>
    <w:rsid w:val="00E87C5D"/>
    <w:rsid w:val="00E87C9B"/>
    <w:rsid w:val="00E90B12"/>
    <w:rsid w:val="00E90D43"/>
    <w:rsid w:val="00E912B1"/>
    <w:rsid w:val="00E921EF"/>
    <w:rsid w:val="00E927FD"/>
    <w:rsid w:val="00E92BF5"/>
    <w:rsid w:val="00E94E0B"/>
    <w:rsid w:val="00E94FD2"/>
    <w:rsid w:val="00E95897"/>
    <w:rsid w:val="00E95DDA"/>
    <w:rsid w:val="00E972A2"/>
    <w:rsid w:val="00E97A7D"/>
    <w:rsid w:val="00EA03AA"/>
    <w:rsid w:val="00EA0837"/>
    <w:rsid w:val="00EA12EA"/>
    <w:rsid w:val="00EA141E"/>
    <w:rsid w:val="00EA1B41"/>
    <w:rsid w:val="00EA1DF6"/>
    <w:rsid w:val="00EA2134"/>
    <w:rsid w:val="00EA23AC"/>
    <w:rsid w:val="00EA2B29"/>
    <w:rsid w:val="00EA2BF9"/>
    <w:rsid w:val="00EA2C90"/>
    <w:rsid w:val="00EA35FC"/>
    <w:rsid w:val="00EA3942"/>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686E"/>
    <w:rsid w:val="00EB6974"/>
    <w:rsid w:val="00EB6D6E"/>
    <w:rsid w:val="00EB7570"/>
    <w:rsid w:val="00EB7649"/>
    <w:rsid w:val="00EB76BD"/>
    <w:rsid w:val="00EC05A9"/>
    <w:rsid w:val="00EC07C5"/>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7215"/>
    <w:rsid w:val="00EC7371"/>
    <w:rsid w:val="00EC7652"/>
    <w:rsid w:val="00EC766D"/>
    <w:rsid w:val="00EC77DC"/>
    <w:rsid w:val="00EC7835"/>
    <w:rsid w:val="00ED05EB"/>
    <w:rsid w:val="00ED0D53"/>
    <w:rsid w:val="00ED0ED2"/>
    <w:rsid w:val="00ED1938"/>
    <w:rsid w:val="00ED25BD"/>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D97"/>
    <w:rsid w:val="00EE5DE3"/>
    <w:rsid w:val="00EE6288"/>
    <w:rsid w:val="00EE66D4"/>
    <w:rsid w:val="00EE6911"/>
    <w:rsid w:val="00EE6B64"/>
    <w:rsid w:val="00EE6C36"/>
    <w:rsid w:val="00EE6F5D"/>
    <w:rsid w:val="00EE7616"/>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971"/>
    <w:rsid w:val="00F13C27"/>
    <w:rsid w:val="00F14133"/>
    <w:rsid w:val="00F144D6"/>
    <w:rsid w:val="00F14C5F"/>
    <w:rsid w:val="00F14FC4"/>
    <w:rsid w:val="00F1511E"/>
    <w:rsid w:val="00F15860"/>
    <w:rsid w:val="00F15A42"/>
    <w:rsid w:val="00F15DA5"/>
    <w:rsid w:val="00F16108"/>
    <w:rsid w:val="00F16136"/>
    <w:rsid w:val="00F16526"/>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3B6"/>
    <w:rsid w:val="00F45496"/>
    <w:rsid w:val="00F45854"/>
    <w:rsid w:val="00F45D0C"/>
    <w:rsid w:val="00F460F1"/>
    <w:rsid w:val="00F464B2"/>
    <w:rsid w:val="00F468F2"/>
    <w:rsid w:val="00F4697F"/>
    <w:rsid w:val="00F46B56"/>
    <w:rsid w:val="00F46C8A"/>
    <w:rsid w:val="00F46D54"/>
    <w:rsid w:val="00F46DBE"/>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7C62"/>
    <w:rsid w:val="00F57FC5"/>
    <w:rsid w:val="00F6000C"/>
    <w:rsid w:val="00F61269"/>
    <w:rsid w:val="00F61976"/>
    <w:rsid w:val="00F626CD"/>
    <w:rsid w:val="00F62DFC"/>
    <w:rsid w:val="00F62F58"/>
    <w:rsid w:val="00F63029"/>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4A68"/>
    <w:rsid w:val="00F954CA"/>
    <w:rsid w:val="00F95676"/>
    <w:rsid w:val="00F96280"/>
    <w:rsid w:val="00F967BB"/>
    <w:rsid w:val="00F96E84"/>
    <w:rsid w:val="00F97914"/>
    <w:rsid w:val="00F97E2D"/>
    <w:rsid w:val="00FA01D4"/>
    <w:rsid w:val="00FA2A41"/>
    <w:rsid w:val="00FA2BD7"/>
    <w:rsid w:val="00FA3BAD"/>
    <w:rsid w:val="00FA3F06"/>
    <w:rsid w:val="00FA4744"/>
    <w:rsid w:val="00FA53DE"/>
    <w:rsid w:val="00FA6DE6"/>
    <w:rsid w:val="00FA6F37"/>
    <w:rsid w:val="00FA6FA7"/>
    <w:rsid w:val="00FA77CA"/>
    <w:rsid w:val="00FB0862"/>
    <w:rsid w:val="00FB0D8A"/>
    <w:rsid w:val="00FB119A"/>
    <w:rsid w:val="00FB141F"/>
    <w:rsid w:val="00FB1431"/>
    <w:rsid w:val="00FB162D"/>
    <w:rsid w:val="00FB181F"/>
    <w:rsid w:val="00FB1918"/>
    <w:rsid w:val="00FB1AE8"/>
    <w:rsid w:val="00FB1D7A"/>
    <w:rsid w:val="00FB24C0"/>
    <w:rsid w:val="00FB2671"/>
    <w:rsid w:val="00FB286E"/>
    <w:rsid w:val="00FB29B4"/>
    <w:rsid w:val="00FB2A18"/>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3889"/>
    <w:rsid w:val="00FD45D6"/>
    <w:rsid w:val="00FD465C"/>
    <w:rsid w:val="00FD562A"/>
    <w:rsid w:val="00FD64EF"/>
    <w:rsid w:val="00FD70C7"/>
    <w:rsid w:val="00FD7771"/>
    <w:rsid w:val="00FE0294"/>
    <w:rsid w:val="00FE18B4"/>
    <w:rsid w:val="00FE1CEF"/>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F0299B"/>
    <w:rsid w:val="026E4F91"/>
    <w:rsid w:val="041D095D"/>
    <w:rsid w:val="05C87DB9"/>
    <w:rsid w:val="0961739E"/>
    <w:rsid w:val="098E6083"/>
    <w:rsid w:val="09D354E6"/>
    <w:rsid w:val="0B205B2B"/>
    <w:rsid w:val="0B782559"/>
    <w:rsid w:val="0D566BC9"/>
    <w:rsid w:val="0D7C1890"/>
    <w:rsid w:val="0E180322"/>
    <w:rsid w:val="0E5928AD"/>
    <w:rsid w:val="0E8C4995"/>
    <w:rsid w:val="0EF27BFB"/>
    <w:rsid w:val="0FBC50EF"/>
    <w:rsid w:val="10134636"/>
    <w:rsid w:val="115F3FD7"/>
    <w:rsid w:val="11A259DD"/>
    <w:rsid w:val="11F9269A"/>
    <w:rsid w:val="120474A0"/>
    <w:rsid w:val="13102ABE"/>
    <w:rsid w:val="167D280D"/>
    <w:rsid w:val="17047766"/>
    <w:rsid w:val="17935895"/>
    <w:rsid w:val="17F52C18"/>
    <w:rsid w:val="184530EF"/>
    <w:rsid w:val="19227A4B"/>
    <w:rsid w:val="1A4E7B88"/>
    <w:rsid w:val="1B3E182A"/>
    <w:rsid w:val="1B4B5195"/>
    <w:rsid w:val="1C174C6F"/>
    <w:rsid w:val="1C7C020D"/>
    <w:rsid w:val="1C8F78BA"/>
    <w:rsid w:val="1C9B0D84"/>
    <w:rsid w:val="1CDD3F3B"/>
    <w:rsid w:val="1D070515"/>
    <w:rsid w:val="1D4D6869"/>
    <w:rsid w:val="20707345"/>
    <w:rsid w:val="21760101"/>
    <w:rsid w:val="22B25284"/>
    <w:rsid w:val="22C07D9F"/>
    <w:rsid w:val="23056CBA"/>
    <w:rsid w:val="234C1E42"/>
    <w:rsid w:val="23C6059E"/>
    <w:rsid w:val="23C95079"/>
    <w:rsid w:val="24031A53"/>
    <w:rsid w:val="24307C26"/>
    <w:rsid w:val="248E5D4C"/>
    <w:rsid w:val="24C47897"/>
    <w:rsid w:val="24D521C3"/>
    <w:rsid w:val="24E337F8"/>
    <w:rsid w:val="258D3B57"/>
    <w:rsid w:val="262336EE"/>
    <w:rsid w:val="269E4C0C"/>
    <w:rsid w:val="27024D1A"/>
    <w:rsid w:val="27375A51"/>
    <w:rsid w:val="2AD85037"/>
    <w:rsid w:val="2BD0253B"/>
    <w:rsid w:val="2C444480"/>
    <w:rsid w:val="2C564DC3"/>
    <w:rsid w:val="2CE90E48"/>
    <w:rsid w:val="2D6C141D"/>
    <w:rsid w:val="2D9B45CF"/>
    <w:rsid w:val="2E980D64"/>
    <w:rsid w:val="2EB64B4B"/>
    <w:rsid w:val="2EDB590A"/>
    <w:rsid w:val="2F0A29E3"/>
    <w:rsid w:val="30817D6A"/>
    <w:rsid w:val="3157114E"/>
    <w:rsid w:val="31F2037F"/>
    <w:rsid w:val="329B11F6"/>
    <w:rsid w:val="336E087E"/>
    <w:rsid w:val="33A85DA6"/>
    <w:rsid w:val="33C3087D"/>
    <w:rsid w:val="35961B12"/>
    <w:rsid w:val="364523AD"/>
    <w:rsid w:val="36700D38"/>
    <w:rsid w:val="36C4673D"/>
    <w:rsid w:val="37B10B63"/>
    <w:rsid w:val="37D17C49"/>
    <w:rsid w:val="38950836"/>
    <w:rsid w:val="390721D7"/>
    <w:rsid w:val="393B510C"/>
    <w:rsid w:val="393F4767"/>
    <w:rsid w:val="39A97E97"/>
    <w:rsid w:val="3A260C29"/>
    <w:rsid w:val="3B2639DB"/>
    <w:rsid w:val="3B57268D"/>
    <w:rsid w:val="3B6176CE"/>
    <w:rsid w:val="3BF9504C"/>
    <w:rsid w:val="3C5207B8"/>
    <w:rsid w:val="3CF11603"/>
    <w:rsid w:val="3D7507FB"/>
    <w:rsid w:val="3EB5127A"/>
    <w:rsid w:val="3F503E5E"/>
    <w:rsid w:val="3FC16214"/>
    <w:rsid w:val="41576FF8"/>
    <w:rsid w:val="418E3EF3"/>
    <w:rsid w:val="41D9164E"/>
    <w:rsid w:val="41DD521D"/>
    <w:rsid w:val="423B7022"/>
    <w:rsid w:val="42A87124"/>
    <w:rsid w:val="4389060E"/>
    <w:rsid w:val="43C8028A"/>
    <w:rsid w:val="43D51667"/>
    <w:rsid w:val="443B2C25"/>
    <w:rsid w:val="448421F1"/>
    <w:rsid w:val="45D37D9B"/>
    <w:rsid w:val="48194FD5"/>
    <w:rsid w:val="484514CB"/>
    <w:rsid w:val="48C86EE1"/>
    <w:rsid w:val="49FA6EF8"/>
    <w:rsid w:val="4A784961"/>
    <w:rsid w:val="4A9D2355"/>
    <w:rsid w:val="4ACF3A3C"/>
    <w:rsid w:val="4B1700DF"/>
    <w:rsid w:val="4EF71347"/>
    <w:rsid w:val="4F0F6A19"/>
    <w:rsid w:val="51D10A66"/>
    <w:rsid w:val="528A390F"/>
    <w:rsid w:val="528C6991"/>
    <w:rsid w:val="52C3297B"/>
    <w:rsid w:val="54054633"/>
    <w:rsid w:val="540605E4"/>
    <w:rsid w:val="547F0032"/>
    <w:rsid w:val="54A02A20"/>
    <w:rsid w:val="55C87B3E"/>
    <w:rsid w:val="58D67D8C"/>
    <w:rsid w:val="58E10577"/>
    <w:rsid w:val="59165EF7"/>
    <w:rsid w:val="59702A12"/>
    <w:rsid w:val="5AED2A9C"/>
    <w:rsid w:val="5BC746C9"/>
    <w:rsid w:val="5CC61F72"/>
    <w:rsid w:val="5CF206F7"/>
    <w:rsid w:val="5D430AE9"/>
    <w:rsid w:val="5DDD7957"/>
    <w:rsid w:val="5EA0340D"/>
    <w:rsid w:val="5ED66C3C"/>
    <w:rsid w:val="5FDD643B"/>
    <w:rsid w:val="607249AE"/>
    <w:rsid w:val="60BA3E42"/>
    <w:rsid w:val="6194383B"/>
    <w:rsid w:val="61CB5375"/>
    <w:rsid w:val="623348CA"/>
    <w:rsid w:val="63D11B11"/>
    <w:rsid w:val="65CA685B"/>
    <w:rsid w:val="65CF34A7"/>
    <w:rsid w:val="65F660EF"/>
    <w:rsid w:val="6673798C"/>
    <w:rsid w:val="673905B6"/>
    <w:rsid w:val="681C3942"/>
    <w:rsid w:val="68460AAC"/>
    <w:rsid w:val="68AC1CFE"/>
    <w:rsid w:val="68EC626C"/>
    <w:rsid w:val="69B40539"/>
    <w:rsid w:val="69F92472"/>
    <w:rsid w:val="6BCD1DE6"/>
    <w:rsid w:val="6C505023"/>
    <w:rsid w:val="6D14299F"/>
    <w:rsid w:val="6D672A1E"/>
    <w:rsid w:val="6DC237D1"/>
    <w:rsid w:val="6F40725E"/>
    <w:rsid w:val="6F4C2770"/>
    <w:rsid w:val="6F745D74"/>
    <w:rsid w:val="711172CF"/>
    <w:rsid w:val="71FD54DD"/>
    <w:rsid w:val="739A7F5B"/>
    <w:rsid w:val="7410294D"/>
    <w:rsid w:val="76D71644"/>
    <w:rsid w:val="776C2FB6"/>
    <w:rsid w:val="79982284"/>
    <w:rsid w:val="7998662D"/>
    <w:rsid w:val="79BD4C47"/>
    <w:rsid w:val="7A8C5878"/>
    <w:rsid w:val="7B471854"/>
    <w:rsid w:val="7C552333"/>
    <w:rsid w:val="7CA86C55"/>
    <w:rsid w:val="7CF019C1"/>
    <w:rsid w:val="7D461CAD"/>
    <w:rsid w:val="7E28286A"/>
    <w:rsid w:val="7E4515FE"/>
    <w:rsid w:val="7EAD59B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link w:val="60"/>
    <w:autoRedefine/>
    <w:qFormat/>
    <w:uiPriority w:val="0"/>
    <w:pPr>
      <w:spacing w:before="340" w:after="330" w:line="360" w:lineRule="auto"/>
      <w:jc w:val="center"/>
      <w:outlineLvl w:val="0"/>
    </w:pPr>
    <w:rPr>
      <w:rFonts w:eastAsiaTheme="minorEastAsia"/>
      <w:bCs w:val="0"/>
      <w:kern w:val="44"/>
      <w:sz w:val="44"/>
      <w:szCs w:val="28"/>
    </w:rPr>
  </w:style>
  <w:style w:type="paragraph" w:styleId="2">
    <w:name w:val="heading 2"/>
    <w:basedOn w:val="1"/>
    <w:next w:val="1"/>
    <w:link w:val="61"/>
    <w:autoRedefine/>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4">
    <w:name w:val="heading 3"/>
    <w:basedOn w:val="1"/>
    <w:next w:val="1"/>
    <w:link w:val="59"/>
    <w:autoRedefine/>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autoRedefine/>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autoRedefine/>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autoRedefine/>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autoRedefine/>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autoRedefine/>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autoRedefine/>
    <w:semiHidden/>
    <w:unhideWhenUsed/>
    <w:qFormat/>
    <w:uiPriority w:val="1"/>
  </w:style>
  <w:style w:type="table" w:default="1" w:styleId="50">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link w:val="63"/>
    <w:autoRedefine/>
    <w:qFormat/>
    <w:uiPriority w:val="0"/>
    <w:pPr>
      <w:ind w:firstLine="420" w:firstLineChars="200"/>
    </w:pPr>
  </w:style>
  <w:style w:type="paragraph" w:styleId="12">
    <w:name w:val="toc 7"/>
    <w:basedOn w:val="1"/>
    <w:next w:val="1"/>
    <w:autoRedefine/>
    <w:qFormat/>
    <w:uiPriority w:val="0"/>
    <w:pPr>
      <w:ind w:left="1260"/>
      <w:jc w:val="left"/>
    </w:pPr>
    <w:rPr>
      <w:szCs w:val="21"/>
    </w:rPr>
  </w:style>
  <w:style w:type="paragraph" w:styleId="13">
    <w:name w:val="List Number 2"/>
    <w:basedOn w:val="1"/>
    <w:autoRedefine/>
    <w:qFormat/>
    <w:uiPriority w:val="0"/>
    <w:pPr>
      <w:tabs>
        <w:tab w:val="left" w:pos="780"/>
      </w:tabs>
      <w:ind w:left="780" w:hanging="360"/>
    </w:pPr>
    <w:rPr>
      <w:szCs w:val="20"/>
    </w:rPr>
  </w:style>
  <w:style w:type="paragraph" w:styleId="14">
    <w:name w:val="List Bullet 4"/>
    <w:basedOn w:val="1"/>
    <w:autoRedefine/>
    <w:qFormat/>
    <w:uiPriority w:val="0"/>
    <w:pPr>
      <w:tabs>
        <w:tab w:val="left" w:pos="425"/>
        <w:tab w:val="left" w:pos="1620"/>
      </w:tabs>
      <w:ind w:left="425" w:hanging="425"/>
    </w:pPr>
    <w:rPr>
      <w:szCs w:val="20"/>
    </w:rPr>
  </w:style>
  <w:style w:type="paragraph" w:styleId="15">
    <w:name w:val="caption"/>
    <w:basedOn w:val="1"/>
    <w:next w:val="1"/>
    <w:link w:val="297"/>
    <w:autoRedefine/>
    <w:qFormat/>
    <w:uiPriority w:val="0"/>
    <w:rPr>
      <w:rFonts w:ascii="Cambria" w:hAnsi="Cambria" w:eastAsia="黑体"/>
    </w:rPr>
  </w:style>
  <w:style w:type="paragraph" w:styleId="16">
    <w:name w:val="List Bullet"/>
    <w:basedOn w:val="1"/>
    <w:autoRedefine/>
    <w:qFormat/>
    <w:uiPriority w:val="0"/>
    <w:pPr>
      <w:numPr>
        <w:ilvl w:val="0"/>
        <w:numId w:val="1"/>
      </w:numPr>
      <w:tabs>
        <w:tab w:val="left" w:pos="360"/>
        <w:tab w:val="clear" w:pos="371"/>
      </w:tabs>
    </w:pPr>
    <w:rPr>
      <w:szCs w:val="20"/>
    </w:rPr>
  </w:style>
  <w:style w:type="paragraph" w:styleId="17">
    <w:name w:val="Document Map"/>
    <w:basedOn w:val="1"/>
    <w:link w:val="73"/>
    <w:autoRedefine/>
    <w:qFormat/>
    <w:uiPriority w:val="0"/>
    <w:pPr>
      <w:shd w:val="clear" w:color="auto" w:fill="000080"/>
    </w:pPr>
  </w:style>
  <w:style w:type="paragraph" w:styleId="18">
    <w:name w:val="annotation text"/>
    <w:basedOn w:val="1"/>
    <w:link w:val="69"/>
    <w:autoRedefine/>
    <w:qFormat/>
    <w:uiPriority w:val="99"/>
    <w:pPr>
      <w:jc w:val="left"/>
    </w:pPr>
  </w:style>
  <w:style w:type="paragraph" w:styleId="19">
    <w:name w:val="Body Text 3"/>
    <w:basedOn w:val="1"/>
    <w:link w:val="458"/>
    <w:autoRedefine/>
    <w:unhideWhenUsed/>
    <w:qFormat/>
    <w:uiPriority w:val="0"/>
    <w:pPr>
      <w:spacing w:after="120"/>
    </w:pPr>
    <w:rPr>
      <w:sz w:val="16"/>
      <w:szCs w:val="16"/>
    </w:rPr>
  </w:style>
  <w:style w:type="paragraph" w:styleId="20">
    <w:name w:val="Body Text"/>
    <w:basedOn w:val="1"/>
    <w:next w:val="1"/>
    <w:link w:val="71"/>
    <w:autoRedefine/>
    <w:qFormat/>
    <w:uiPriority w:val="0"/>
    <w:pPr>
      <w:spacing w:after="120"/>
    </w:pPr>
  </w:style>
  <w:style w:type="paragraph" w:styleId="21">
    <w:name w:val="Body Text Indent"/>
    <w:basedOn w:val="1"/>
    <w:link w:val="74"/>
    <w:autoRedefine/>
    <w:qFormat/>
    <w:uiPriority w:val="0"/>
    <w:pPr>
      <w:spacing w:after="120"/>
      <w:ind w:left="420" w:leftChars="200"/>
    </w:pPr>
  </w:style>
  <w:style w:type="paragraph" w:styleId="22">
    <w:name w:val="Block Text"/>
    <w:basedOn w:val="1"/>
    <w:autoRedefine/>
    <w:qFormat/>
    <w:uiPriority w:val="0"/>
    <w:pPr>
      <w:spacing w:after="120"/>
      <w:ind w:left="1440" w:leftChars="700" w:right="1440" w:rightChars="700"/>
    </w:pPr>
  </w:style>
  <w:style w:type="paragraph" w:styleId="23">
    <w:name w:val="List Bullet 2"/>
    <w:basedOn w:val="1"/>
    <w:autoRedefine/>
    <w:qFormat/>
    <w:uiPriority w:val="0"/>
    <w:pPr>
      <w:numPr>
        <w:ilvl w:val="0"/>
        <w:numId w:val="2"/>
      </w:numPr>
      <w:tabs>
        <w:tab w:val="left" w:pos="780"/>
      </w:tabs>
    </w:pPr>
    <w:rPr>
      <w:szCs w:val="20"/>
    </w:rPr>
  </w:style>
  <w:style w:type="paragraph" w:styleId="24">
    <w:name w:val="toc 5"/>
    <w:basedOn w:val="1"/>
    <w:next w:val="1"/>
    <w:autoRedefine/>
    <w:qFormat/>
    <w:uiPriority w:val="0"/>
    <w:pPr>
      <w:ind w:left="840"/>
      <w:jc w:val="left"/>
    </w:pPr>
    <w:rPr>
      <w:szCs w:val="21"/>
    </w:rPr>
  </w:style>
  <w:style w:type="paragraph" w:styleId="25">
    <w:name w:val="toc 3"/>
    <w:basedOn w:val="1"/>
    <w:next w:val="1"/>
    <w:autoRedefine/>
    <w:qFormat/>
    <w:uiPriority w:val="39"/>
    <w:pPr>
      <w:ind w:left="420"/>
      <w:jc w:val="left"/>
    </w:pPr>
    <w:rPr>
      <w:iCs/>
    </w:rPr>
  </w:style>
  <w:style w:type="paragraph" w:styleId="26">
    <w:name w:val="Plain Text"/>
    <w:basedOn w:val="1"/>
    <w:link w:val="75"/>
    <w:autoRedefine/>
    <w:qFormat/>
    <w:uiPriority w:val="0"/>
    <w:rPr>
      <w:rFonts w:ascii="宋体" w:hAnsi="Courier New"/>
      <w:szCs w:val="20"/>
    </w:rPr>
  </w:style>
  <w:style w:type="paragraph" w:styleId="27">
    <w:name w:val="toc 8"/>
    <w:basedOn w:val="1"/>
    <w:next w:val="1"/>
    <w:autoRedefine/>
    <w:qFormat/>
    <w:uiPriority w:val="0"/>
    <w:pPr>
      <w:ind w:left="1470"/>
      <w:jc w:val="left"/>
    </w:pPr>
    <w:rPr>
      <w:szCs w:val="21"/>
    </w:rPr>
  </w:style>
  <w:style w:type="paragraph" w:styleId="28">
    <w:name w:val="Date"/>
    <w:basedOn w:val="1"/>
    <w:next w:val="1"/>
    <w:link w:val="316"/>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6"/>
    <w:autoRedefine/>
    <w:qFormat/>
    <w:uiPriority w:val="0"/>
    <w:pPr>
      <w:spacing w:after="120" w:line="480" w:lineRule="auto"/>
      <w:ind w:left="420" w:leftChars="200"/>
    </w:pPr>
  </w:style>
  <w:style w:type="paragraph" w:styleId="30">
    <w:name w:val="Balloon Text"/>
    <w:basedOn w:val="1"/>
    <w:link w:val="77"/>
    <w:autoRedefine/>
    <w:qFormat/>
    <w:uiPriority w:val="0"/>
    <w:rPr>
      <w:sz w:val="18"/>
      <w:szCs w:val="18"/>
    </w:rPr>
  </w:style>
  <w:style w:type="paragraph" w:styleId="31">
    <w:name w:val="footer"/>
    <w:basedOn w:val="1"/>
    <w:link w:val="78"/>
    <w:autoRedefine/>
    <w:qFormat/>
    <w:uiPriority w:val="99"/>
    <w:pPr>
      <w:tabs>
        <w:tab w:val="center" w:pos="4153"/>
        <w:tab w:val="right" w:pos="8306"/>
      </w:tabs>
      <w:snapToGrid w:val="0"/>
      <w:jc w:val="left"/>
    </w:pPr>
    <w:rPr>
      <w:sz w:val="18"/>
      <w:szCs w:val="18"/>
    </w:rPr>
  </w:style>
  <w:style w:type="paragraph" w:styleId="32">
    <w:name w:val="header"/>
    <w:basedOn w:val="1"/>
    <w:link w:val="79"/>
    <w:autoRedefine/>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7"/>
    <w:autoRedefine/>
    <w:qFormat/>
    <w:uiPriority w:val="0"/>
    <w:pPr>
      <w:ind w:left="4320"/>
    </w:pPr>
    <w:rPr>
      <w:rFonts w:eastAsia="楷体_GB2312"/>
      <w:szCs w:val="20"/>
    </w:rPr>
  </w:style>
  <w:style w:type="paragraph" w:styleId="34">
    <w:name w:val="toc 1"/>
    <w:basedOn w:val="1"/>
    <w:next w:val="1"/>
    <w:autoRedefine/>
    <w:qFormat/>
    <w:uiPriority w:val="39"/>
    <w:pPr>
      <w:spacing w:before="120" w:after="120"/>
      <w:jc w:val="left"/>
    </w:pPr>
    <w:rPr>
      <w:b/>
      <w:bCs/>
      <w:caps/>
    </w:rPr>
  </w:style>
  <w:style w:type="paragraph" w:styleId="35">
    <w:name w:val="toc 4"/>
    <w:basedOn w:val="1"/>
    <w:next w:val="1"/>
    <w:autoRedefine/>
    <w:qFormat/>
    <w:uiPriority w:val="0"/>
    <w:pPr>
      <w:ind w:left="630"/>
      <w:jc w:val="left"/>
    </w:pPr>
    <w:rPr>
      <w:szCs w:val="21"/>
    </w:rPr>
  </w:style>
  <w:style w:type="paragraph" w:styleId="36">
    <w:name w:val="index heading"/>
    <w:basedOn w:val="1"/>
    <w:next w:val="37"/>
    <w:autoRedefine/>
    <w:qFormat/>
    <w:uiPriority w:val="0"/>
    <w:rPr>
      <w:szCs w:val="20"/>
    </w:rPr>
  </w:style>
  <w:style w:type="paragraph" w:styleId="37">
    <w:name w:val="index 1"/>
    <w:basedOn w:val="1"/>
    <w:next w:val="1"/>
    <w:autoRedefine/>
    <w:qFormat/>
    <w:uiPriority w:val="0"/>
  </w:style>
  <w:style w:type="paragraph" w:styleId="38">
    <w:name w:val="footnote text"/>
    <w:basedOn w:val="1"/>
    <w:link w:val="481"/>
    <w:autoRedefine/>
    <w:qFormat/>
    <w:uiPriority w:val="0"/>
    <w:pPr>
      <w:snapToGrid w:val="0"/>
      <w:jc w:val="left"/>
    </w:pPr>
    <w:rPr>
      <w:sz w:val="18"/>
      <w:szCs w:val="18"/>
    </w:rPr>
  </w:style>
  <w:style w:type="paragraph" w:styleId="39">
    <w:name w:val="toc 6"/>
    <w:basedOn w:val="1"/>
    <w:next w:val="1"/>
    <w:autoRedefine/>
    <w:qFormat/>
    <w:uiPriority w:val="0"/>
    <w:pPr>
      <w:ind w:left="1050"/>
      <w:jc w:val="left"/>
    </w:pPr>
    <w:rPr>
      <w:szCs w:val="21"/>
    </w:rPr>
  </w:style>
  <w:style w:type="paragraph" w:styleId="40">
    <w:name w:val="Body Text Indent 3"/>
    <w:basedOn w:val="1"/>
    <w:link w:val="313"/>
    <w:autoRedefine/>
    <w:qFormat/>
    <w:uiPriority w:val="0"/>
    <w:pPr>
      <w:ind w:firstLine="426"/>
    </w:pPr>
    <w:rPr>
      <w:szCs w:val="20"/>
    </w:rPr>
  </w:style>
  <w:style w:type="paragraph" w:styleId="41">
    <w:name w:val="toc 2"/>
    <w:basedOn w:val="1"/>
    <w:next w:val="1"/>
    <w:autoRedefine/>
    <w:qFormat/>
    <w:uiPriority w:val="39"/>
    <w:pPr>
      <w:ind w:left="210"/>
      <w:jc w:val="left"/>
    </w:pPr>
    <w:rPr>
      <w:smallCaps/>
    </w:rPr>
  </w:style>
  <w:style w:type="paragraph" w:styleId="42">
    <w:name w:val="toc 9"/>
    <w:basedOn w:val="1"/>
    <w:next w:val="1"/>
    <w:autoRedefine/>
    <w:qFormat/>
    <w:uiPriority w:val="0"/>
    <w:pPr>
      <w:ind w:left="1680"/>
      <w:jc w:val="left"/>
    </w:pPr>
    <w:rPr>
      <w:szCs w:val="21"/>
    </w:rPr>
  </w:style>
  <w:style w:type="paragraph" w:styleId="43">
    <w:name w:val="Body Text 2"/>
    <w:basedOn w:val="1"/>
    <w:link w:val="306"/>
    <w:autoRedefine/>
    <w:qFormat/>
    <w:uiPriority w:val="0"/>
    <w:rPr>
      <w:sz w:val="28"/>
      <w:szCs w:val="20"/>
    </w:rPr>
  </w:style>
  <w:style w:type="paragraph" w:styleId="44">
    <w:name w:val="HTML Preformatted"/>
    <w:basedOn w:val="1"/>
    <w:link w:val="8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autoRedefine/>
    <w:qFormat/>
    <w:uiPriority w:val="99"/>
    <w:pPr>
      <w:widowControl/>
      <w:spacing w:before="100" w:beforeAutospacing="1" w:after="100" w:afterAutospacing="1"/>
      <w:jc w:val="left"/>
    </w:pPr>
    <w:rPr>
      <w:kern w:val="0"/>
      <w:sz w:val="24"/>
    </w:rPr>
  </w:style>
  <w:style w:type="paragraph" w:styleId="46">
    <w:name w:val="Title"/>
    <w:basedOn w:val="1"/>
    <w:link w:val="81"/>
    <w:autoRedefine/>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autoRedefine/>
    <w:qFormat/>
    <w:uiPriority w:val="0"/>
    <w:rPr>
      <w:b/>
      <w:bCs/>
    </w:rPr>
  </w:style>
  <w:style w:type="paragraph" w:styleId="48">
    <w:name w:val="Body Text First Indent"/>
    <w:basedOn w:val="20"/>
    <w:link w:val="72"/>
    <w:autoRedefine/>
    <w:qFormat/>
    <w:uiPriority w:val="0"/>
    <w:pPr>
      <w:ind w:firstLine="420" w:firstLineChars="100"/>
    </w:pPr>
  </w:style>
  <w:style w:type="paragraph" w:styleId="49">
    <w:name w:val="Body Text First Indent 2"/>
    <w:basedOn w:val="21"/>
    <w:link w:val="292"/>
    <w:autoRedefine/>
    <w:qFormat/>
    <w:uiPriority w:val="0"/>
    <w:pPr>
      <w:spacing w:after="160" w:line="360" w:lineRule="auto"/>
      <w:ind w:firstLine="480" w:firstLineChars="200"/>
    </w:pPr>
    <w:rPr>
      <w:kern w:val="0"/>
      <w:sz w:val="24"/>
    </w:rPr>
  </w:style>
  <w:style w:type="table" w:styleId="51">
    <w:name w:val="Table Grid"/>
    <w:basedOn w:val="5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autoRedefine/>
    <w:qFormat/>
    <w:uiPriority w:val="22"/>
    <w:rPr>
      <w:b/>
      <w:bCs/>
    </w:rPr>
  </w:style>
  <w:style w:type="character" w:styleId="54">
    <w:name w:val="page number"/>
    <w:basedOn w:val="52"/>
    <w:autoRedefine/>
    <w:qFormat/>
    <w:uiPriority w:val="0"/>
  </w:style>
  <w:style w:type="character" w:styleId="55">
    <w:name w:val="FollowedHyperlink"/>
    <w:basedOn w:val="52"/>
    <w:autoRedefine/>
    <w:unhideWhenUsed/>
    <w:qFormat/>
    <w:uiPriority w:val="0"/>
    <w:rPr>
      <w:color w:val="800080"/>
      <w:u w:val="single"/>
    </w:rPr>
  </w:style>
  <w:style w:type="character" w:styleId="56">
    <w:name w:val="Emphasis"/>
    <w:autoRedefine/>
    <w:qFormat/>
    <w:uiPriority w:val="20"/>
    <w:rPr>
      <w:i/>
      <w:iCs/>
    </w:rPr>
  </w:style>
  <w:style w:type="character" w:styleId="57">
    <w:name w:val="Hyperlink"/>
    <w:autoRedefine/>
    <w:qFormat/>
    <w:uiPriority w:val="99"/>
    <w:rPr>
      <w:color w:val="0000FF"/>
      <w:u w:val="single"/>
    </w:rPr>
  </w:style>
  <w:style w:type="character" w:styleId="58">
    <w:name w:val="annotation reference"/>
    <w:autoRedefine/>
    <w:qFormat/>
    <w:uiPriority w:val="99"/>
    <w:rPr>
      <w:sz w:val="21"/>
      <w:szCs w:val="21"/>
    </w:rPr>
  </w:style>
  <w:style w:type="character" w:customStyle="1" w:styleId="59">
    <w:name w:val="标题 3 Char"/>
    <w:basedOn w:val="52"/>
    <w:link w:val="4"/>
    <w:autoRedefine/>
    <w:qFormat/>
    <w:uiPriority w:val="0"/>
    <w:rPr>
      <w:b/>
      <w:bCs/>
      <w:kern w:val="2"/>
      <w:sz w:val="24"/>
      <w:szCs w:val="32"/>
    </w:rPr>
  </w:style>
  <w:style w:type="character" w:customStyle="1" w:styleId="60">
    <w:name w:val="标题 1 Char"/>
    <w:basedOn w:val="52"/>
    <w:link w:val="3"/>
    <w:autoRedefine/>
    <w:qFormat/>
    <w:uiPriority w:val="0"/>
    <w:rPr>
      <w:rFonts w:eastAsiaTheme="minorEastAsia"/>
      <w:b/>
      <w:kern w:val="44"/>
      <w:sz w:val="44"/>
      <w:szCs w:val="28"/>
    </w:rPr>
  </w:style>
  <w:style w:type="character" w:customStyle="1" w:styleId="61">
    <w:name w:val="标题 2 Char"/>
    <w:basedOn w:val="52"/>
    <w:link w:val="2"/>
    <w:autoRedefine/>
    <w:qFormat/>
    <w:uiPriority w:val="0"/>
    <w:rPr>
      <w:rFonts w:ascii="Arial" w:hAnsi="Arial" w:eastAsiaTheme="minorEastAsia"/>
      <w:b/>
      <w:bCs/>
      <w:kern w:val="2"/>
      <w:sz w:val="28"/>
      <w:szCs w:val="32"/>
    </w:rPr>
  </w:style>
  <w:style w:type="character" w:customStyle="1" w:styleId="62">
    <w:name w:val="标题 4 Char1"/>
    <w:basedOn w:val="52"/>
    <w:link w:val="5"/>
    <w:autoRedefine/>
    <w:qFormat/>
    <w:uiPriority w:val="99"/>
    <w:rPr>
      <w:rFonts w:ascii="Arial" w:hAnsi="Arial" w:eastAsia="黑体"/>
      <w:b/>
      <w:bCs/>
      <w:kern w:val="2"/>
      <w:sz w:val="28"/>
      <w:szCs w:val="28"/>
    </w:rPr>
  </w:style>
  <w:style w:type="character" w:customStyle="1" w:styleId="63">
    <w:name w:val="正文缩进 Char"/>
    <w:link w:val="7"/>
    <w:autoRedefine/>
    <w:qFormat/>
    <w:uiPriority w:val="0"/>
    <w:rPr>
      <w:rFonts w:eastAsia="宋体"/>
      <w:kern w:val="2"/>
      <w:sz w:val="21"/>
      <w:szCs w:val="24"/>
      <w:lang w:val="en-US" w:eastAsia="zh-CN" w:bidi="ar-SA"/>
    </w:rPr>
  </w:style>
  <w:style w:type="character" w:customStyle="1" w:styleId="64">
    <w:name w:val="标题 5 Char1"/>
    <w:basedOn w:val="52"/>
    <w:link w:val="6"/>
    <w:autoRedefine/>
    <w:qFormat/>
    <w:uiPriority w:val="0"/>
    <w:rPr>
      <w:b/>
      <w:kern w:val="2"/>
      <w:sz w:val="28"/>
      <w:szCs w:val="24"/>
    </w:rPr>
  </w:style>
  <w:style w:type="character" w:customStyle="1" w:styleId="65">
    <w:name w:val="标题 6 Char1"/>
    <w:basedOn w:val="52"/>
    <w:link w:val="8"/>
    <w:autoRedefine/>
    <w:qFormat/>
    <w:uiPriority w:val="9"/>
    <w:rPr>
      <w:rFonts w:ascii="Arial" w:hAnsi="Arial" w:eastAsia="黑体"/>
      <w:b/>
      <w:kern w:val="2"/>
      <w:sz w:val="24"/>
      <w:szCs w:val="24"/>
    </w:rPr>
  </w:style>
  <w:style w:type="character" w:customStyle="1" w:styleId="66">
    <w:name w:val="标题 7 Char1"/>
    <w:basedOn w:val="52"/>
    <w:link w:val="9"/>
    <w:autoRedefine/>
    <w:qFormat/>
    <w:uiPriority w:val="9"/>
    <w:rPr>
      <w:b/>
      <w:kern w:val="2"/>
      <w:sz w:val="24"/>
      <w:szCs w:val="24"/>
    </w:rPr>
  </w:style>
  <w:style w:type="character" w:customStyle="1" w:styleId="67">
    <w:name w:val="标题 8 Char1"/>
    <w:basedOn w:val="52"/>
    <w:link w:val="10"/>
    <w:autoRedefine/>
    <w:qFormat/>
    <w:uiPriority w:val="9"/>
    <w:rPr>
      <w:rFonts w:ascii="Arial" w:hAnsi="Arial" w:eastAsia="黑体"/>
      <w:kern w:val="2"/>
      <w:sz w:val="24"/>
      <w:szCs w:val="24"/>
    </w:rPr>
  </w:style>
  <w:style w:type="character" w:customStyle="1" w:styleId="68">
    <w:name w:val="标题 9 Char1"/>
    <w:basedOn w:val="52"/>
    <w:link w:val="11"/>
    <w:autoRedefine/>
    <w:qFormat/>
    <w:uiPriority w:val="0"/>
    <w:rPr>
      <w:rFonts w:ascii="Arial" w:hAnsi="Arial" w:eastAsia="黑体"/>
      <w:kern w:val="2"/>
      <w:sz w:val="21"/>
      <w:szCs w:val="24"/>
    </w:rPr>
  </w:style>
  <w:style w:type="character" w:customStyle="1" w:styleId="69">
    <w:name w:val="批注文字 Char"/>
    <w:link w:val="18"/>
    <w:autoRedefine/>
    <w:qFormat/>
    <w:uiPriority w:val="99"/>
    <w:rPr>
      <w:kern w:val="2"/>
      <w:sz w:val="21"/>
      <w:szCs w:val="24"/>
    </w:rPr>
  </w:style>
  <w:style w:type="character" w:customStyle="1" w:styleId="70">
    <w:name w:val="批注主题 Char"/>
    <w:basedOn w:val="69"/>
    <w:link w:val="47"/>
    <w:autoRedefine/>
    <w:qFormat/>
    <w:uiPriority w:val="0"/>
    <w:rPr>
      <w:b/>
      <w:bCs/>
      <w:kern w:val="2"/>
      <w:sz w:val="21"/>
      <w:szCs w:val="24"/>
    </w:rPr>
  </w:style>
  <w:style w:type="character" w:customStyle="1" w:styleId="71">
    <w:name w:val="正文文本 Char"/>
    <w:basedOn w:val="52"/>
    <w:link w:val="20"/>
    <w:autoRedefine/>
    <w:qFormat/>
    <w:uiPriority w:val="0"/>
    <w:rPr>
      <w:kern w:val="2"/>
      <w:sz w:val="21"/>
      <w:szCs w:val="24"/>
    </w:rPr>
  </w:style>
  <w:style w:type="character" w:customStyle="1" w:styleId="72">
    <w:name w:val="正文首行缩进 Char"/>
    <w:link w:val="48"/>
    <w:autoRedefine/>
    <w:qFormat/>
    <w:uiPriority w:val="0"/>
    <w:rPr>
      <w:rFonts w:eastAsia="宋体"/>
      <w:kern w:val="2"/>
      <w:sz w:val="21"/>
      <w:szCs w:val="24"/>
      <w:lang w:val="en-US" w:eastAsia="zh-CN" w:bidi="ar-SA"/>
    </w:rPr>
  </w:style>
  <w:style w:type="character" w:customStyle="1" w:styleId="73">
    <w:name w:val="文档结构图 Char"/>
    <w:basedOn w:val="52"/>
    <w:link w:val="17"/>
    <w:autoRedefine/>
    <w:qFormat/>
    <w:uiPriority w:val="0"/>
    <w:rPr>
      <w:kern w:val="2"/>
      <w:sz w:val="21"/>
      <w:szCs w:val="24"/>
      <w:shd w:val="clear" w:color="auto" w:fill="000080"/>
    </w:rPr>
  </w:style>
  <w:style w:type="character" w:customStyle="1" w:styleId="74">
    <w:name w:val="正文文本缩进 Char1"/>
    <w:basedOn w:val="52"/>
    <w:link w:val="21"/>
    <w:autoRedefine/>
    <w:qFormat/>
    <w:uiPriority w:val="0"/>
    <w:rPr>
      <w:kern w:val="2"/>
      <w:sz w:val="21"/>
      <w:szCs w:val="24"/>
    </w:rPr>
  </w:style>
  <w:style w:type="character" w:customStyle="1" w:styleId="75">
    <w:name w:val="纯文本 Char"/>
    <w:link w:val="26"/>
    <w:autoRedefine/>
    <w:qFormat/>
    <w:uiPriority w:val="0"/>
    <w:rPr>
      <w:rFonts w:ascii="宋体" w:hAnsi="Courier New" w:eastAsia="宋体"/>
      <w:kern w:val="2"/>
      <w:sz w:val="21"/>
      <w:lang w:val="en-US" w:eastAsia="zh-CN" w:bidi="ar-SA"/>
    </w:rPr>
  </w:style>
  <w:style w:type="character" w:customStyle="1" w:styleId="76">
    <w:name w:val="正文文本缩进 2 Char1"/>
    <w:link w:val="29"/>
    <w:autoRedefine/>
    <w:qFormat/>
    <w:uiPriority w:val="0"/>
    <w:rPr>
      <w:kern w:val="2"/>
      <w:sz w:val="21"/>
      <w:szCs w:val="24"/>
    </w:rPr>
  </w:style>
  <w:style w:type="character" w:customStyle="1" w:styleId="77">
    <w:name w:val="批注框文本 Char"/>
    <w:basedOn w:val="52"/>
    <w:link w:val="30"/>
    <w:autoRedefine/>
    <w:qFormat/>
    <w:uiPriority w:val="99"/>
    <w:rPr>
      <w:kern w:val="2"/>
      <w:sz w:val="18"/>
      <w:szCs w:val="18"/>
    </w:rPr>
  </w:style>
  <w:style w:type="character" w:customStyle="1" w:styleId="78">
    <w:name w:val="页脚 Char"/>
    <w:basedOn w:val="52"/>
    <w:link w:val="31"/>
    <w:autoRedefine/>
    <w:qFormat/>
    <w:uiPriority w:val="99"/>
    <w:rPr>
      <w:kern w:val="2"/>
      <w:sz w:val="18"/>
      <w:szCs w:val="18"/>
    </w:rPr>
  </w:style>
  <w:style w:type="character" w:customStyle="1" w:styleId="79">
    <w:name w:val="页眉 Char"/>
    <w:link w:val="32"/>
    <w:autoRedefine/>
    <w:qFormat/>
    <w:uiPriority w:val="99"/>
    <w:rPr>
      <w:kern w:val="2"/>
      <w:sz w:val="18"/>
      <w:szCs w:val="18"/>
    </w:rPr>
  </w:style>
  <w:style w:type="character" w:customStyle="1" w:styleId="80">
    <w:name w:val="HTML 预设格式 Char1"/>
    <w:link w:val="44"/>
    <w:autoRedefine/>
    <w:qFormat/>
    <w:uiPriority w:val="0"/>
    <w:rPr>
      <w:rFonts w:ascii="宋体" w:hAnsi="宋体" w:cs="宋体"/>
      <w:sz w:val="24"/>
      <w:szCs w:val="24"/>
    </w:rPr>
  </w:style>
  <w:style w:type="character" w:customStyle="1" w:styleId="81">
    <w:name w:val="标题 Char"/>
    <w:link w:val="46"/>
    <w:autoRedefine/>
    <w:qFormat/>
    <w:uiPriority w:val="0"/>
    <w:rPr>
      <w:rFonts w:ascii="Arial" w:hAnsi="Arial" w:eastAsia="隶书" w:cs="Arial"/>
      <w:b/>
      <w:bCs/>
      <w:kern w:val="2"/>
      <w:sz w:val="32"/>
      <w:szCs w:val="32"/>
    </w:rPr>
  </w:style>
  <w:style w:type="paragraph" w:customStyle="1" w:styleId="82">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autoRedefine/>
    <w:qFormat/>
    <w:uiPriority w:val="0"/>
    <w:pPr>
      <w:spacing w:line="360" w:lineRule="auto"/>
      <w:ind w:firstLine="516" w:firstLineChars="215"/>
    </w:pPr>
    <w:rPr>
      <w:sz w:val="24"/>
      <w:szCs w:val="20"/>
    </w:rPr>
  </w:style>
  <w:style w:type="character" w:customStyle="1" w:styleId="84">
    <w:name w:val="样式1 Char Char Char"/>
    <w:link w:val="83"/>
    <w:autoRedefine/>
    <w:qFormat/>
    <w:uiPriority w:val="0"/>
    <w:rPr>
      <w:rFonts w:eastAsia="宋体"/>
      <w:kern w:val="2"/>
      <w:sz w:val="24"/>
      <w:lang w:val="en-US" w:eastAsia="zh-CN" w:bidi="ar-SA"/>
    </w:rPr>
  </w:style>
  <w:style w:type="paragraph" w:customStyle="1" w:styleId="85">
    <w:name w:val="样式1"/>
    <w:basedOn w:val="46"/>
    <w:link w:val="86"/>
    <w:autoRedefine/>
    <w:qFormat/>
    <w:uiPriority w:val="0"/>
    <w:pPr>
      <w:spacing w:before="120" w:after="120"/>
    </w:pPr>
    <w:rPr>
      <w:rFonts w:eastAsia="黑体" w:cs="Arial"/>
      <w:b w:val="0"/>
      <w:sz w:val="30"/>
      <w:szCs w:val="21"/>
    </w:rPr>
  </w:style>
  <w:style w:type="character" w:customStyle="1" w:styleId="86">
    <w:name w:val="样式1 Char"/>
    <w:link w:val="85"/>
    <w:autoRedefine/>
    <w:qFormat/>
    <w:uiPriority w:val="0"/>
    <w:rPr>
      <w:rFonts w:ascii="Arial" w:hAnsi="Arial" w:eastAsia="黑体" w:cs="Arial"/>
      <w:bCs/>
      <w:kern w:val="2"/>
      <w:sz w:val="30"/>
      <w:szCs w:val="21"/>
      <w:lang w:val="en-US" w:eastAsia="zh-CN" w:bidi="ar-SA"/>
    </w:rPr>
  </w:style>
  <w:style w:type="paragraph" w:customStyle="1" w:styleId="87">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autoRedefine/>
    <w:qFormat/>
    <w:uiPriority w:val="0"/>
    <w:rPr>
      <w:rFonts w:ascii="仿宋_GB2312" w:eastAsia="仿宋_GB2312"/>
      <w:b/>
      <w:sz w:val="32"/>
      <w:szCs w:val="32"/>
    </w:rPr>
  </w:style>
  <w:style w:type="character" w:customStyle="1" w:styleId="91">
    <w:name w:val="tpc_title1"/>
    <w:autoRedefine/>
    <w:qFormat/>
    <w:uiPriority w:val="0"/>
    <w:rPr>
      <w:b/>
      <w:bCs/>
      <w:sz w:val="18"/>
      <w:szCs w:val="18"/>
    </w:rPr>
  </w:style>
  <w:style w:type="character" w:customStyle="1" w:styleId="92">
    <w:name w:val="tpc_content1"/>
    <w:autoRedefine/>
    <w:qFormat/>
    <w:uiPriority w:val="0"/>
    <w:rPr>
      <w:sz w:val="20"/>
      <w:szCs w:val="20"/>
    </w:rPr>
  </w:style>
  <w:style w:type="paragraph" w:customStyle="1" w:styleId="93">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autoRedefine/>
    <w:qFormat/>
    <w:uiPriority w:val="0"/>
    <w:pPr>
      <w:ind w:firstLine="420" w:firstLineChars="200"/>
    </w:pPr>
  </w:style>
  <w:style w:type="character" w:customStyle="1" w:styleId="95">
    <w:name w:val="列表段落 字符"/>
    <w:link w:val="94"/>
    <w:autoRedefine/>
    <w:qFormat/>
    <w:uiPriority w:val="34"/>
    <w:rPr>
      <w:kern w:val="2"/>
      <w:sz w:val="21"/>
      <w:szCs w:val="24"/>
    </w:rPr>
  </w:style>
  <w:style w:type="paragraph" w:customStyle="1" w:styleId="96">
    <w:name w:val="正文1"/>
    <w:basedOn w:val="1"/>
    <w:autoRedefine/>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autoRedefine/>
    <w:qFormat/>
    <w:uiPriority w:val="0"/>
    <w:pPr>
      <w:spacing w:line="360" w:lineRule="auto"/>
      <w:ind w:firstLine="200" w:firstLineChars="200"/>
    </w:pPr>
    <w:rPr>
      <w:rFonts w:ascii="Tahoma" w:hAnsi="Tahoma"/>
      <w:sz w:val="24"/>
    </w:rPr>
  </w:style>
  <w:style w:type="paragraph" w:customStyle="1" w:styleId="98">
    <w:name w:val="缩进正文"/>
    <w:basedOn w:val="1"/>
    <w:link w:val="99"/>
    <w:autoRedefine/>
    <w:qFormat/>
    <w:uiPriority w:val="0"/>
    <w:pPr>
      <w:ind w:firstLine="560" w:firstLineChars="200"/>
    </w:pPr>
    <w:rPr>
      <w:rFonts w:eastAsia="仿宋_GB2312" w:cs="宋体"/>
      <w:sz w:val="28"/>
      <w:szCs w:val="20"/>
    </w:rPr>
  </w:style>
  <w:style w:type="character" w:customStyle="1" w:styleId="99">
    <w:name w:val="缩进正文 Char"/>
    <w:link w:val="98"/>
    <w:autoRedefine/>
    <w:qFormat/>
    <w:uiPriority w:val="0"/>
    <w:rPr>
      <w:rFonts w:eastAsia="仿宋_GB2312" w:cs="宋体"/>
      <w:kern w:val="2"/>
      <w:sz w:val="28"/>
      <w:lang w:val="en-US" w:eastAsia="zh-CN" w:bidi="ar-SA"/>
    </w:rPr>
  </w:style>
  <w:style w:type="character" w:customStyle="1" w:styleId="100">
    <w:name w:val="访问过的超链接1"/>
    <w:autoRedefine/>
    <w:qFormat/>
    <w:uiPriority w:val="0"/>
    <w:rPr>
      <w:color w:val="800080"/>
      <w:u w:val="single"/>
    </w:rPr>
  </w:style>
  <w:style w:type="paragraph" w:customStyle="1" w:styleId="101">
    <w:name w:val="Char Char Char Char Char Char Char"/>
    <w:basedOn w:val="1"/>
    <w:autoRedefine/>
    <w:qFormat/>
    <w:uiPriority w:val="0"/>
    <w:pPr>
      <w:widowControl/>
      <w:adjustRightInd w:val="0"/>
      <w:spacing w:after="160" w:line="240" w:lineRule="exact"/>
      <w:jc w:val="left"/>
      <w:textAlignment w:val="baseline"/>
    </w:pPr>
  </w:style>
  <w:style w:type="character" w:customStyle="1" w:styleId="102">
    <w:name w:val="正文缩进 Char1"/>
    <w:autoRedefine/>
    <w:qFormat/>
    <w:uiPriority w:val="0"/>
    <w:rPr>
      <w:rFonts w:eastAsia="宋体"/>
      <w:kern w:val="2"/>
      <w:sz w:val="21"/>
      <w:lang w:val="en-US" w:eastAsia="zh-CN" w:bidi="ar-SA"/>
    </w:rPr>
  </w:style>
  <w:style w:type="paragraph" w:customStyle="1" w:styleId="103">
    <w:name w:val="Default"/>
    <w:autoRedefine/>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autoRedefine/>
    <w:unhideWhenUsed/>
    <w:qFormat/>
    <w:uiPriority w:val="34"/>
    <w:pPr>
      <w:ind w:firstLine="420" w:firstLineChars="200"/>
    </w:pPr>
  </w:style>
  <w:style w:type="paragraph" w:customStyle="1" w:styleId="105">
    <w:name w:val="Table Paragraph"/>
    <w:basedOn w:val="1"/>
    <w:autoRedefine/>
    <w:qFormat/>
    <w:uiPriority w:val="0"/>
    <w:pPr>
      <w:autoSpaceDE w:val="0"/>
      <w:autoSpaceDN w:val="0"/>
      <w:adjustRightInd w:val="0"/>
      <w:jc w:val="left"/>
    </w:pPr>
    <w:rPr>
      <w:rFonts w:ascii="宋体" w:hAnsi="宋体" w:cs="宋体"/>
      <w:kern w:val="0"/>
      <w:sz w:val="24"/>
    </w:rPr>
  </w:style>
  <w:style w:type="character" w:customStyle="1" w:styleId="106">
    <w:name w:val="font11"/>
    <w:basedOn w:val="52"/>
    <w:autoRedefine/>
    <w:qFormat/>
    <w:uiPriority w:val="0"/>
    <w:rPr>
      <w:rFonts w:hint="eastAsia" w:ascii="宋体" w:hAnsi="宋体" w:eastAsia="宋体" w:cs="宋体"/>
      <w:b/>
      <w:color w:val="000000"/>
      <w:sz w:val="21"/>
      <w:szCs w:val="21"/>
      <w:u w:val="none"/>
    </w:rPr>
  </w:style>
  <w:style w:type="character" w:customStyle="1" w:styleId="107">
    <w:name w:val="批注文字 Char1"/>
    <w:autoRedefine/>
    <w:qFormat/>
    <w:locked/>
    <w:uiPriority w:val="0"/>
    <w:rPr>
      <w:rFonts w:ascii="Calibri" w:hAnsi="Calibri" w:eastAsia="宋体" w:cs="Calibri"/>
      <w:szCs w:val="21"/>
    </w:rPr>
  </w:style>
  <w:style w:type="character" w:customStyle="1" w:styleId="108">
    <w:name w:val="title1"/>
    <w:autoRedefine/>
    <w:qFormat/>
    <w:uiPriority w:val="0"/>
    <w:rPr>
      <w:rFonts w:hint="eastAsia" w:ascii="微软雅黑" w:hAnsi="微软雅黑" w:eastAsia="微软雅黑"/>
      <w:sz w:val="21"/>
      <w:szCs w:val="21"/>
    </w:rPr>
  </w:style>
  <w:style w:type="character" w:customStyle="1" w:styleId="109">
    <w:name w:val="sect2title1"/>
    <w:autoRedefine/>
    <w:qFormat/>
    <w:uiPriority w:val="0"/>
    <w:rPr>
      <w:rFonts w:hint="eastAsia" w:ascii="微软雅黑" w:hAnsi="微软雅黑" w:eastAsia="微软雅黑"/>
      <w:b/>
      <w:bCs/>
      <w:sz w:val="21"/>
      <w:szCs w:val="21"/>
    </w:rPr>
  </w:style>
  <w:style w:type="paragraph" w:customStyle="1" w:styleId="110">
    <w:name w:val="标题1"/>
    <w:basedOn w:val="1"/>
    <w:autoRedefine/>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autoRedefine/>
    <w:qFormat/>
    <w:uiPriority w:val="0"/>
    <w:rPr>
      <w:rFonts w:ascii="Tahoma" w:hAnsi="Tahoma" w:eastAsia="Tahoma" w:cs="Tahoma"/>
      <w:color w:val="000000"/>
      <w:sz w:val="20"/>
      <w:szCs w:val="20"/>
      <w:u w:val="none"/>
    </w:rPr>
  </w:style>
  <w:style w:type="paragraph" w:customStyle="1" w:styleId="112">
    <w:name w:val="font5"/>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autoRedefine/>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autoRedefine/>
    <w:qFormat/>
    <w:uiPriority w:val="0"/>
    <w:rPr>
      <w:rFonts w:hint="eastAsia" w:ascii="仿宋_GB2312" w:eastAsia="仿宋_GB2312" w:cs="仿宋_GB2312"/>
      <w:color w:val="000000"/>
      <w:sz w:val="20"/>
      <w:szCs w:val="20"/>
      <w:u w:val="none"/>
    </w:rPr>
  </w:style>
  <w:style w:type="character" w:customStyle="1" w:styleId="167">
    <w:name w:val="font31"/>
    <w:basedOn w:val="52"/>
    <w:autoRedefine/>
    <w:qFormat/>
    <w:uiPriority w:val="0"/>
    <w:rPr>
      <w:rFonts w:hint="default" w:ascii="Symbol" w:hAnsi="Symbol" w:cs="Symbol"/>
      <w:color w:val="000000"/>
      <w:sz w:val="20"/>
      <w:szCs w:val="20"/>
      <w:u w:val="none"/>
    </w:rPr>
  </w:style>
  <w:style w:type="character" w:customStyle="1" w:styleId="168">
    <w:name w:val="font71"/>
    <w:basedOn w:val="52"/>
    <w:autoRedefine/>
    <w:qFormat/>
    <w:uiPriority w:val="0"/>
    <w:rPr>
      <w:rFonts w:ascii="Arial" w:hAnsi="Arial" w:cs="Arial"/>
      <w:color w:val="000000"/>
      <w:sz w:val="20"/>
      <w:szCs w:val="20"/>
      <w:u w:val="none"/>
    </w:rPr>
  </w:style>
  <w:style w:type="character" w:customStyle="1" w:styleId="169">
    <w:name w:val="font21"/>
    <w:basedOn w:val="52"/>
    <w:autoRedefine/>
    <w:qFormat/>
    <w:uiPriority w:val="0"/>
    <w:rPr>
      <w:rFonts w:hint="default" w:ascii="Symbol" w:hAnsi="Symbol" w:cs="Symbol"/>
      <w:color w:val="000000"/>
      <w:sz w:val="20"/>
      <w:szCs w:val="20"/>
      <w:u w:val="none"/>
    </w:rPr>
  </w:style>
  <w:style w:type="character" w:customStyle="1" w:styleId="170">
    <w:name w:val="font91"/>
    <w:basedOn w:val="52"/>
    <w:autoRedefine/>
    <w:qFormat/>
    <w:uiPriority w:val="0"/>
    <w:rPr>
      <w:rFonts w:ascii="Arial" w:hAnsi="Arial" w:cs="Arial"/>
      <w:color w:val="000000"/>
      <w:sz w:val="20"/>
      <w:szCs w:val="20"/>
      <w:u w:val="none"/>
    </w:rPr>
  </w:style>
  <w:style w:type="character" w:customStyle="1" w:styleId="171">
    <w:name w:val="font51"/>
    <w:basedOn w:val="52"/>
    <w:autoRedefine/>
    <w:qFormat/>
    <w:uiPriority w:val="0"/>
    <w:rPr>
      <w:rFonts w:ascii="仿宋" w:hAnsi="仿宋" w:eastAsia="仿宋" w:cs="仿宋"/>
      <w:color w:val="000000"/>
      <w:sz w:val="21"/>
      <w:szCs w:val="21"/>
      <w:u w:val="none"/>
    </w:rPr>
  </w:style>
  <w:style w:type="character" w:customStyle="1" w:styleId="172">
    <w:name w:val="font101"/>
    <w:basedOn w:val="52"/>
    <w:autoRedefine/>
    <w:qFormat/>
    <w:uiPriority w:val="0"/>
    <w:rPr>
      <w:rFonts w:hint="eastAsia" w:ascii="仿宋_GB2312" w:eastAsia="仿宋_GB2312" w:cs="仿宋_GB2312"/>
      <w:color w:val="000000"/>
      <w:sz w:val="20"/>
      <w:szCs w:val="20"/>
      <w:u w:val="none"/>
    </w:rPr>
  </w:style>
  <w:style w:type="character" w:customStyle="1" w:styleId="173">
    <w:name w:val="font61"/>
    <w:basedOn w:val="52"/>
    <w:autoRedefine/>
    <w:qFormat/>
    <w:uiPriority w:val="0"/>
    <w:rPr>
      <w:rFonts w:hint="eastAsia" w:ascii="宋体" w:hAnsi="宋体" w:eastAsia="宋体" w:cs="宋体"/>
      <w:color w:val="000000"/>
      <w:sz w:val="20"/>
      <w:szCs w:val="20"/>
      <w:u w:val="none"/>
    </w:rPr>
  </w:style>
  <w:style w:type="character" w:customStyle="1" w:styleId="174">
    <w:name w:val="font81"/>
    <w:basedOn w:val="52"/>
    <w:autoRedefine/>
    <w:qFormat/>
    <w:uiPriority w:val="0"/>
    <w:rPr>
      <w:rFonts w:hint="eastAsia" w:ascii="仿宋" w:hAnsi="仿宋" w:eastAsia="仿宋" w:cs="仿宋"/>
      <w:color w:val="000000"/>
      <w:sz w:val="21"/>
      <w:szCs w:val="21"/>
      <w:u w:val="none"/>
    </w:rPr>
  </w:style>
  <w:style w:type="character" w:customStyle="1" w:styleId="175">
    <w:name w:val="font111"/>
    <w:basedOn w:val="52"/>
    <w:autoRedefine/>
    <w:qFormat/>
    <w:uiPriority w:val="0"/>
    <w:rPr>
      <w:rFonts w:hint="eastAsia" w:ascii="仿宋_GB2312" w:eastAsia="仿宋_GB2312" w:cs="仿宋_GB2312"/>
      <w:color w:val="000000"/>
      <w:sz w:val="21"/>
      <w:szCs w:val="21"/>
      <w:u w:val="none"/>
    </w:rPr>
  </w:style>
  <w:style w:type="character" w:customStyle="1" w:styleId="176">
    <w:name w:val="font121"/>
    <w:basedOn w:val="52"/>
    <w:autoRedefine/>
    <w:qFormat/>
    <w:uiPriority w:val="0"/>
    <w:rPr>
      <w:rFonts w:ascii="Arial" w:hAnsi="Arial" w:cs="Arial"/>
      <w:color w:val="000000"/>
      <w:sz w:val="20"/>
      <w:szCs w:val="20"/>
      <w:u w:val="none"/>
    </w:rPr>
  </w:style>
  <w:style w:type="character" w:customStyle="1" w:styleId="177">
    <w:name w:val="font112"/>
    <w:basedOn w:val="52"/>
    <w:autoRedefine/>
    <w:qFormat/>
    <w:uiPriority w:val="0"/>
    <w:rPr>
      <w:rFonts w:hint="eastAsia" w:ascii="仿宋_GB2312" w:eastAsia="仿宋_GB2312" w:cs="仿宋_GB2312"/>
      <w:color w:val="000000"/>
      <w:sz w:val="21"/>
      <w:szCs w:val="21"/>
      <w:u w:val="none"/>
    </w:rPr>
  </w:style>
  <w:style w:type="paragraph" w:customStyle="1" w:styleId="178">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autoRedefine/>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autoRedefine/>
    <w:qFormat/>
    <w:uiPriority w:val="0"/>
    <w:pPr>
      <w:spacing w:beforeLines="50"/>
      <w:ind w:firstLine="200" w:firstLineChars="200"/>
    </w:pPr>
    <w:rPr>
      <w:rFonts w:ascii="Calibri" w:hAnsi="Calibri" w:eastAsia="华文仿宋"/>
      <w:szCs w:val="22"/>
    </w:rPr>
  </w:style>
  <w:style w:type="paragraph" w:customStyle="1" w:styleId="256">
    <w:name w:val="正文A缩进"/>
    <w:basedOn w:val="1"/>
    <w:autoRedefine/>
    <w:qFormat/>
    <w:uiPriority w:val="0"/>
    <w:pPr>
      <w:spacing w:line="360" w:lineRule="auto"/>
      <w:ind w:firstLine="200" w:firstLineChars="200"/>
    </w:pPr>
    <w:rPr>
      <w:kern w:val="0"/>
      <w:sz w:val="28"/>
      <w:szCs w:val="20"/>
    </w:rPr>
  </w:style>
  <w:style w:type="paragraph" w:customStyle="1" w:styleId="257">
    <w:name w:val="_Style 1"/>
    <w:autoRedefine/>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autoRedefine/>
    <w:qFormat/>
    <w:uiPriority w:val="0"/>
    <w:rPr>
      <w:b/>
      <w:bCs/>
      <w:kern w:val="2"/>
      <w:sz w:val="28"/>
      <w:szCs w:val="28"/>
    </w:rPr>
  </w:style>
  <w:style w:type="character" w:customStyle="1" w:styleId="259">
    <w:name w:val="标题 6 Char"/>
    <w:basedOn w:val="52"/>
    <w:autoRedefine/>
    <w:qFormat/>
    <w:uiPriority w:val="9"/>
    <w:rPr>
      <w:rFonts w:asciiTheme="majorHAnsi" w:hAnsiTheme="majorHAnsi" w:eastAsiaTheme="majorEastAsia" w:cstheme="majorBidi"/>
      <w:b/>
      <w:bCs/>
      <w:kern w:val="2"/>
      <w:sz w:val="24"/>
      <w:szCs w:val="24"/>
    </w:rPr>
  </w:style>
  <w:style w:type="character" w:customStyle="1" w:styleId="260">
    <w:name w:val="标题 7 Char"/>
    <w:basedOn w:val="52"/>
    <w:autoRedefine/>
    <w:qFormat/>
    <w:uiPriority w:val="9"/>
    <w:rPr>
      <w:b/>
      <w:bCs/>
      <w:kern w:val="2"/>
      <w:sz w:val="24"/>
      <w:szCs w:val="24"/>
    </w:rPr>
  </w:style>
  <w:style w:type="character" w:customStyle="1" w:styleId="261">
    <w:name w:val="标题 8 Char"/>
    <w:basedOn w:val="52"/>
    <w:autoRedefine/>
    <w:qFormat/>
    <w:uiPriority w:val="9"/>
    <w:rPr>
      <w:rFonts w:asciiTheme="majorHAnsi" w:hAnsiTheme="majorHAnsi" w:eastAsiaTheme="majorEastAsia" w:cstheme="majorBidi"/>
      <w:kern w:val="2"/>
      <w:sz w:val="24"/>
      <w:szCs w:val="24"/>
    </w:rPr>
  </w:style>
  <w:style w:type="character" w:customStyle="1" w:styleId="262">
    <w:name w:val="标题 9 Char"/>
    <w:basedOn w:val="52"/>
    <w:autoRedefine/>
    <w:qFormat/>
    <w:uiPriority w:val="0"/>
    <w:rPr>
      <w:rFonts w:asciiTheme="majorHAnsi" w:hAnsiTheme="majorHAnsi" w:eastAsiaTheme="majorEastAsia" w:cstheme="majorBidi"/>
      <w:kern w:val="2"/>
      <w:sz w:val="21"/>
      <w:szCs w:val="21"/>
    </w:rPr>
  </w:style>
  <w:style w:type="paragraph" w:customStyle="1" w:styleId="263">
    <w:name w:val="！表格内容"/>
    <w:basedOn w:val="1"/>
    <w:autoRedefine/>
    <w:qFormat/>
    <w:uiPriority w:val="0"/>
    <w:pPr>
      <w:spacing w:line="320" w:lineRule="atLeast"/>
    </w:pPr>
  </w:style>
  <w:style w:type="character" w:customStyle="1" w:styleId="264">
    <w:name w:val="页眉 Char2"/>
    <w:basedOn w:val="52"/>
    <w:autoRedefine/>
    <w:qFormat/>
    <w:uiPriority w:val="99"/>
    <w:rPr>
      <w:rFonts w:ascii="Times New Roman" w:hAnsi="Times New Roman" w:eastAsia="宋体" w:cs="Times New Roman"/>
      <w:sz w:val="18"/>
      <w:szCs w:val="18"/>
    </w:rPr>
  </w:style>
  <w:style w:type="character" w:customStyle="1" w:styleId="265">
    <w:name w:val="页脚 Char1"/>
    <w:basedOn w:val="52"/>
    <w:autoRedefine/>
    <w:qFormat/>
    <w:uiPriority w:val="99"/>
    <w:rPr>
      <w:rFonts w:ascii="Times New Roman" w:hAnsi="Times New Roman" w:eastAsia="宋体" w:cs="Times New Roman"/>
      <w:sz w:val="18"/>
      <w:szCs w:val="18"/>
    </w:rPr>
  </w:style>
  <w:style w:type="paragraph" w:customStyle="1" w:styleId="266">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autoRedefine/>
    <w:qFormat/>
    <w:uiPriority w:val="99"/>
    <w:rPr>
      <w:rFonts w:ascii="Times New Roman" w:hAnsi="Times New Roman" w:eastAsia="宋体" w:cs="Times New Roman"/>
      <w:szCs w:val="24"/>
    </w:rPr>
  </w:style>
  <w:style w:type="character" w:customStyle="1" w:styleId="268">
    <w:name w:val="文档结构图 Char1"/>
    <w:basedOn w:val="52"/>
    <w:autoRedefine/>
    <w:qFormat/>
    <w:uiPriority w:val="0"/>
    <w:rPr>
      <w:rFonts w:ascii="宋体" w:hAnsi="Times New Roman" w:eastAsia="宋体" w:cs="Times New Roman"/>
      <w:sz w:val="18"/>
      <w:szCs w:val="18"/>
    </w:rPr>
  </w:style>
  <w:style w:type="character" w:customStyle="1" w:styleId="269">
    <w:name w:val="批注主题 Char1"/>
    <w:basedOn w:val="107"/>
    <w:autoRedefine/>
    <w:qFormat/>
    <w:uiPriority w:val="0"/>
    <w:rPr>
      <w:rFonts w:ascii="Times New Roman" w:hAnsi="Times New Roman" w:eastAsia="宋体" w:cs="Times New Roman"/>
      <w:b/>
      <w:bCs/>
      <w:szCs w:val="24"/>
    </w:rPr>
  </w:style>
  <w:style w:type="character" w:customStyle="1" w:styleId="270">
    <w:name w:val="批注框文本 Char1"/>
    <w:basedOn w:val="52"/>
    <w:autoRedefine/>
    <w:qFormat/>
    <w:uiPriority w:val="0"/>
    <w:rPr>
      <w:rFonts w:ascii="Times New Roman" w:hAnsi="Times New Roman" w:eastAsia="宋体" w:cs="Times New Roman"/>
      <w:sz w:val="18"/>
      <w:szCs w:val="18"/>
    </w:rPr>
  </w:style>
  <w:style w:type="character" w:customStyle="1" w:styleId="271">
    <w:name w:val="标题 1 Char1"/>
    <w:basedOn w:val="52"/>
    <w:autoRedefine/>
    <w:qFormat/>
    <w:uiPriority w:val="0"/>
    <w:rPr>
      <w:b/>
      <w:bCs/>
      <w:kern w:val="44"/>
      <w:sz w:val="44"/>
      <w:szCs w:val="44"/>
    </w:rPr>
  </w:style>
  <w:style w:type="character" w:customStyle="1" w:styleId="272">
    <w:name w:val="标题 2 Char1"/>
    <w:basedOn w:val="52"/>
    <w:autoRedefine/>
    <w:qFormat/>
    <w:uiPriority w:val="0"/>
    <w:rPr>
      <w:rFonts w:asciiTheme="majorHAnsi" w:hAnsiTheme="majorHAnsi" w:eastAsiaTheme="majorEastAsia" w:cstheme="majorBidi"/>
      <w:b/>
      <w:bCs/>
      <w:kern w:val="2"/>
      <w:sz w:val="32"/>
      <w:szCs w:val="32"/>
    </w:rPr>
  </w:style>
  <w:style w:type="character" w:customStyle="1" w:styleId="273">
    <w:name w:val="标题 3 Char1"/>
    <w:basedOn w:val="52"/>
    <w:autoRedefine/>
    <w:qFormat/>
    <w:uiPriority w:val="99"/>
    <w:rPr>
      <w:rFonts w:ascii="宋体" w:hAnsi="Arial"/>
      <w:b/>
      <w:kern w:val="2"/>
      <w:sz w:val="28"/>
    </w:rPr>
  </w:style>
  <w:style w:type="character" w:customStyle="1" w:styleId="274">
    <w:name w:val="Char Char3"/>
    <w:autoRedefine/>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autoRedefine/>
    <w:qFormat/>
    <w:uiPriority w:val="0"/>
    <w:rPr>
      <w:rFonts w:eastAsia="Times New Roman"/>
      <w:sz w:val="24"/>
      <w:szCs w:val="24"/>
    </w:rPr>
  </w:style>
  <w:style w:type="paragraph" w:customStyle="1" w:styleId="276">
    <w:name w:val="正文－段落"/>
    <w:link w:val="275"/>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autoRedefine/>
    <w:qFormat/>
    <w:uiPriority w:val="0"/>
    <w:rPr>
      <w:rFonts w:ascii="宋体" w:hAnsi="Courier New"/>
      <w:spacing w:val="-8"/>
      <w:kern w:val="2"/>
      <w:sz w:val="24"/>
    </w:rPr>
  </w:style>
  <w:style w:type="character" w:customStyle="1" w:styleId="278">
    <w:name w:val="日期 Char"/>
    <w:autoRedefine/>
    <w:qFormat/>
    <w:uiPriority w:val="0"/>
    <w:rPr>
      <w:rFonts w:ascii="宋体" w:hAnsi="宋体"/>
      <w:sz w:val="24"/>
    </w:rPr>
  </w:style>
  <w:style w:type="character" w:customStyle="1" w:styleId="279">
    <w:name w:val="Char Char9"/>
    <w:autoRedefine/>
    <w:qFormat/>
    <w:uiPriority w:val="0"/>
    <w:rPr>
      <w:rFonts w:hint="default" w:ascii="Calibri" w:hAnsi="Calibri" w:eastAsia="宋体"/>
      <w:sz w:val="18"/>
      <w:szCs w:val="18"/>
      <w:lang w:bidi="ar-SA"/>
    </w:rPr>
  </w:style>
  <w:style w:type="character" w:customStyle="1" w:styleId="280">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autoRedefine/>
    <w:qFormat/>
    <w:uiPriority w:val="0"/>
    <w:rPr>
      <w:rFonts w:ascii="黑体" w:hAnsi="Courier New" w:eastAsia="黑体" w:cs="Courier New"/>
    </w:rPr>
  </w:style>
  <w:style w:type="character" w:customStyle="1" w:styleId="282">
    <w:name w:val="1.5倍行距 Char Char"/>
    <w:link w:val="283"/>
    <w:autoRedefine/>
    <w:qFormat/>
    <w:uiPriority w:val="0"/>
    <w:rPr>
      <w:kern w:val="2"/>
      <w:sz w:val="21"/>
      <w:szCs w:val="24"/>
    </w:rPr>
  </w:style>
  <w:style w:type="paragraph" w:customStyle="1" w:styleId="283">
    <w:name w:val="1.5倍行距"/>
    <w:basedOn w:val="1"/>
    <w:link w:val="282"/>
    <w:autoRedefine/>
    <w:qFormat/>
    <w:uiPriority w:val="0"/>
    <w:pPr>
      <w:spacing w:line="360" w:lineRule="auto"/>
      <w:ind w:firstLine="420"/>
    </w:pPr>
  </w:style>
  <w:style w:type="character" w:customStyle="1" w:styleId="284">
    <w:name w:val="H2 Char1"/>
    <w:autoRedefine/>
    <w:qFormat/>
    <w:uiPriority w:val="0"/>
    <w:rPr>
      <w:rFonts w:ascii="Cambria" w:hAnsi="Cambria"/>
      <w:b/>
      <w:bCs/>
      <w:sz w:val="32"/>
      <w:szCs w:val="32"/>
    </w:rPr>
  </w:style>
  <w:style w:type="character" w:customStyle="1" w:styleId="285">
    <w:name w:val="Char Char4"/>
    <w:autoRedefine/>
    <w:qFormat/>
    <w:uiPriority w:val="0"/>
    <w:rPr>
      <w:rFonts w:hint="default" w:ascii="Calibri" w:hAnsi="Calibri" w:eastAsia="宋体"/>
      <w:kern w:val="2"/>
      <w:sz w:val="21"/>
      <w:szCs w:val="22"/>
      <w:lang w:val="en-US" w:eastAsia="zh-CN" w:bidi="ar-SA"/>
    </w:rPr>
  </w:style>
  <w:style w:type="character" w:customStyle="1" w:styleId="286">
    <w:name w:val="正文文本缩进 2 Char"/>
    <w:autoRedefine/>
    <w:qFormat/>
    <w:uiPriority w:val="0"/>
    <w:rPr>
      <w:kern w:val="2"/>
      <w:sz w:val="21"/>
    </w:rPr>
  </w:style>
  <w:style w:type="character" w:customStyle="1" w:styleId="287">
    <w:name w:val="签名 Char1"/>
    <w:link w:val="33"/>
    <w:autoRedefine/>
    <w:qFormat/>
    <w:uiPriority w:val="0"/>
    <w:rPr>
      <w:rFonts w:eastAsia="楷体_GB2312"/>
      <w:kern w:val="2"/>
      <w:sz w:val="21"/>
    </w:rPr>
  </w:style>
  <w:style w:type="character" w:customStyle="1" w:styleId="288">
    <w:name w:val="标题2 Char"/>
    <w:link w:val="289"/>
    <w:autoRedefine/>
    <w:qFormat/>
    <w:uiPriority w:val="0"/>
    <w:rPr>
      <w:rFonts w:ascii="仿宋" w:hAnsi="仿宋" w:eastAsia="仿宋"/>
      <w:b/>
      <w:bCs/>
      <w:color w:val="000000"/>
      <w:kern w:val="2"/>
      <w:sz w:val="24"/>
      <w:szCs w:val="24"/>
    </w:rPr>
  </w:style>
  <w:style w:type="paragraph" w:customStyle="1" w:styleId="289">
    <w:name w:val="标题2"/>
    <w:basedOn w:val="290"/>
    <w:link w:val="288"/>
    <w:autoRedefine/>
    <w:qFormat/>
    <w:uiPriority w:val="0"/>
    <w:pPr>
      <w:tabs>
        <w:tab w:val="left" w:pos="425"/>
        <w:tab w:val="left" w:pos="709"/>
        <w:tab w:val="left" w:pos="851"/>
        <w:tab w:val="left" w:pos="1419"/>
      </w:tabs>
    </w:pPr>
    <w:rPr>
      <w:szCs w:val="24"/>
    </w:rPr>
  </w:style>
  <w:style w:type="paragraph" w:customStyle="1" w:styleId="290">
    <w:name w:val="三级"/>
    <w:basedOn w:val="4"/>
    <w:link w:val="291"/>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autoRedefine/>
    <w:qFormat/>
    <w:uiPriority w:val="0"/>
    <w:rPr>
      <w:rFonts w:ascii="仿宋" w:hAnsi="仿宋" w:eastAsia="仿宋"/>
      <w:b/>
      <w:bCs/>
      <w:color w:val="000000"/>
      <w:kern w:val="2"/>
      <w:sz w:val="32"/>
      <w:szCs w:val="32"/>
    </w:rPr>
  </w:style>
  <w:style w:type="character" w:customStyle="1" w:styleId="292">
    <w:name w:val="正文首行缩进 2 Char"/>
    <w:link w:val="49"/>
    <w:autoRedefine/>
    <w:qFormat/>
    <w:uiPriority w:val="0"/>
    <w:rPr>
      <w:sz w:val="24"/>
      <w:szCs w:val="24"/>
    </w:rPr>
  </w:style>
  <w:style w:type="character" w:customStyle="1" w:styleId="293">
    <w:name w:val="正文首行缩进 Char Char Char1"/>
    <w:autoRedefine/>
    <w:qFormat/>
    <w:uiPriority w:val="0"/>
    <w:rPr>
      <w:rFonts w:ascii="Times New Roman" w:hAnsi="Times New Roman"/>
      <w:kern w:val="2"/>
      <w:sz w:val="24"/>
      <w:szCs w:val="24"/>
    </w:rPr>
  </w:style>
  <w:style w:type="character" w:customStyle="1" w:styleId="294">
    <w:name w:val="标题 Char1"/>
    <w:autoRedefine/>
    <w:qFormat/>
    <w:uiPriority w:val="0"/>
    <w:rPr>
      <w:rFonts w:ascii="Arial" w:hAnsi="Arial"/>
      <w:b/>
      <w:kern w:val="2"/>
      <w:sz w:val="36"/>
      <w:szCs w:val="24"/>
    </w:rPr>
  </w:style>
  <w:style w:type="character" w:customStyle="1" w:styleId="295">
    <w:name w:val="正文文本 字符"/>
    <w:autoRedefine/>
    <w:qFormat/>
    <w:uiPriority w:val="0"/>
    <w:rPr>
      <w:rFonts w:eastAsia="宋体"/>
      <w:kern w:val="2"/>
      <w:sz w:val="21"/>
      <w:szCs w:val="24"/>
      <w:lang w:bidi="ar-SA"/>
    </w:rPr>
  </w:style>
  <w:style w:type="character" w:customStyle="1" w:styleId="296">
    <w:name w:val="正文文本缩进 Char"/>
    <w:autoRedefine/>
    <w:qFormat/>
    <w:uiPriority w:val="0"/>
    <w:rPr>
      <w:kern w:val="2"/>
      <w:sz w:val="24"/>
    </w:rPr>
  </w:style>
  <w:style w:type="character" w:customStyle="1" w:styleId="297">
    <w:name w:val="题注 Char1"/>
    <w:link w:val="15"/>
    <w:autoRedefine/>
    <w:qFormat/>
    <w:uiPriority w:val="0"/>
    <w:rPr>
      <w:rFonts w:ascii="Cambria" w:hAnsi="Cambria" w:eastAsia="黑体"/>
      <w:kern w:val="2"/>
      <w:sz w:val="21"/>
      <w:szCs w:val="24"/>
    </w:rPr>
  </w:style>
  <w:style w:type="character" w:customStyle="1" w:styleId="298">
    <w:name w:val="bt Char1"/>
    <w:autoRedefine/>
    <w:qFormat/>
    <w:uiPriority w:val="0"/>
    <w:rPr>
      <w:rFonts w:ascii="Times New Roman" w:hAnsi="Times New Roman"/>
      <w:kern w:val="2"/>
      <w:sz w:val="24"/>
      <w:szCs w:val="24"/>
    </w:rPr>
  </w:style>
  <w:style w:type="character" w:customStyle="1" w:styleId="299">
    <w:name w:val="Char Char18"/>
    <w:autoRedefine/>
    <w:qFormat/>
    <w:uiPriority w:val="0"/>
    <w:rPr>
      <w:rFonts w:hint="default" w:ascii="Cambria" w:hAnsi="Cambria" w:eastAsia="宋体"/>
      <w:b/>
      <w:bCs/>
      <w:sz w:val="32"/>
      <w:szCs w:val="32"/>
      <w:lang w:bidi="ar-SA"/>
    </w:rPr>
  </w:style>
  <w:style w:type="character" w:customStyle="1" w:styleId="300">
    <w:name w:val="四级 Char"/>
    <w:link w:val="301"/>
    <w:autoRedefine/>
    <w:qFormat/>
    <w:uiPriority w:val="0"/>
    <w:rPr>
      <w:rFonts w:ascii="仿宋" w:hAnsi="仿宋" w:eastAsia="仿宋"/>
      <w:bCs/>
      <w:kern w:val="2"/>
      <w:sz w:val="32"/>
      <w:szCs w:val="32"/>
    </w:rPr>
  </w:style>
  <w:style w:type="paragraph" w:customStyle="1" w:styleId="301">
    <w:name w:val="四级"/>
    <w:basedOn w:val="5"/>
    <w:link w:val="300"/>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autoRedefine/>
    <w:qFormat/>
    <w:uiPriority w:val="0"/>
  </w:style>
  <w:style w:type="character" w:customStyle="1" w:styleId="303">
    <w:name w:val="p141"/>
    <w:autoRedefine/>
    <w:qFormat/>
    <w:uiPriority w:val="0"/>
    <w:rPr>
      <w:sz w:val="21"/>
      <w:szCs w:val="21"/>
    </w:rPr>
  </w:style>
  <w:style w:type="character" w:customStyle="1" w:styleId="304">
    <w:name w:val="正文文本缩进 3 Char"/>
    <w:autoRedefine/>
    <w:qFormat/>
    <w:uiPriority w:val="0"/>
    <w:rPr>
      <w:kern w:val="2"/>
      <w:sz w:val="21"/>
    </w:rPr>
  </w:style>
  <w:style w:type="character" w:customStyle="1" w:styleId="305">
    <w:name w:val="Char Char13"/>
    <w:autoRedefine/>
    <w:qFormat/>
    <w:uiPriority w:val="0"/>
    <w:rPr>
      <w:rFonts w:ascii="Cambria" w:hAnsi="Cambria" w:eastAsia="宋体"/>
      <w:sz w:val="24"/>
      <w:szCs w:val="24"/>
      <w:lang w:bidi="ar-SA"/>
    </w:rPr>
  </w:style>
  <w:style w:type="character" w:customStyle="1" w:styleId="306">
    <w:name w:val="正文文本 2 Char1"/>
    <w:link w:val="43"/>
    <w:autoRedefine/>
    <w:qFormat/>
    <w:uiPriority w:val="0"/>
    <w:rPr>
      <w:kern w:val="2"/>
      <w:sz w:val="28"/>
    </w:rPr>
  </w:style>
  <w:style w:type="character" w:customStyle="1" w:styleId="307">
    <w:name w:val="Char Char5"/>
    <w:autoRedefine/>
    <w:qFormat/>
    <w:uiPriority w:val="0"/>
    <w:rPr>
      <w:rFonts w:ascii="宋体" w:hAnsi="宋体" w:eastAsia="宋体"/>
      <w:b/>
      <w:bCs/>
      <w:szCs w:val="24"/>
      <w:lang w:bidi="ar-SA"/>
    </w:rPr>
  </w:style>
  <w:style w:type="character" w:customStyle="1" w:styleId="308">
    <w:name w:val="正文文本 2 Char"/>
    <w:autoRedefine/>
    <w:qFormat/>
    <w:uiPriority w:val="0"/>
    <w:rPr>
      <w:kern w:val="2"/>
      <w:sz w:val="28"/>
    </w:rPr>
  </w:style>
  <w:style w:type="character" w:customStyle="1" w:styleId="309">
    <w:name w:val="Char Char6"/>
    <w:autoRedefine/>
    <w:qFormat/>
    <w:uiPriority w:val="0"/>
    <w:rPr>
      <w:rFonts w:ascii="宋体" w:hAnsi="宋体" w:eastAsia="宋体"/>
      <w:szCs w:val="24"/>
      <w:lang w:bidi="ar-SA"/>
    </w:rPr>
  </w:style>
  <w:style w:type="character" w:customStyle="1" w:styleId="310">
    <w:name w:val="Char Char15"/>
    <w:autoRedefine/>
    <w:qFormat/>
    <w:uiPriority w:val="0"/>
    <w:rPr>
      <w:rFonts w:hint="default" w:ascii="Cambria" w:hAnsi="Cambria" w:eastAsia="宋体"/>
      <w:b/>
      <w:bCs/>
      <w:sz w:val="24"/>
      <w:szCs w:val="24"/>
      <w:lang w:bidi="ar-SA"/>
    </w:rPr>
  </w:style>
  <w:style w:type="character" w:customStyle="1" w:styleId="311">
    <w:name w:val="H4 Char"/>
    <w:autoRedefine/>
    <w:qFormat/>
    <w:uiPriority w:val="0"/>
    <w:rPr>
      <w:rFonts w:ascii="Cambria" w:hAnsi="Cambria" w:eastAsia="仿宋_GB2312"/>
      <w:b/>
      <w:bCs/>
      <w:sz w:val="32"/>
      <w:szCs w:val="28"/>
    </w:rPr>
  </w:style>
  <w:style w:type="character" w:customStyle="1" w:styleId="312">
    <w:name w:val="Char Char20"/>
    <w:autoRedefine/>
    <w:qFormat/>
    <w:uiPriority w:val="0"/>
    <w:rPr>
      <w:rFonts w:eastAsia="宋体"/>
      <w:b/>
      <w:kern w:val="2"/>
      <w:sz w:val="28"/>
      <w:lang w:bidi="ar-SA"/>
    </w:rPr>
  </w:style>
  <w:style w:type="character" w:customStyle="1" w:styleId="313">
    <w:name w:val="正文文本缩进 3 Char1"/>
    <w:link w:val="40"/>
    <w:autoRedefine/>
    <w:qFormat/>
    <w:uiPriority w:val="0"/>
    <w:rPr>
      <w:kern w:val="2"/>
      <w:sz w:val="21"/>
    </w:rPr>
  </w:style>
  <w:style w:type="character" w:customStyle="1" w:styleId="314">
    <w:name w:val="Char Char16"/>
    <w:autoRedefine/>
    <w:qFormat/>
    <w:uiPriority w:val="0"/>
    <w:rPr>
      <w:rFonts w:hint="eastAsia" w:ascii="仿宋_GB2313" w:hAnsi="仿宋_GB2313" w:eastAsia="仿宋_GB2312"/>
      <w:b/>
      <w:bCs/>
      <w:sz w:val="32"/>
      <w:szCs w:val="28"/>
      <w:lang w:bidi="ar-SA"/>
    </w:rPr>
  </w:style>
  <w:style w:type="character" w:customStyle="1" w:styleId="315">
    <w:name w:val="Char Char7"/>
    <w:autoRedefine/>
    <w:qFormat/>
    <w:uiPriority w:val="0"/>
    <w:rPr>
      <w:rFonts w:ascii="宋体" w:hAnsi="宋体" w:eastAsia="宋体"/>
      <w:sz w:val="24"/>
      <w:szCs w:val="24"/>
      <w:lang w:bidi="ar-SA"/>
    </w:rPr>
  </w:style>
  <w:style w:type="character" w:customStyle="1" w:styleId="316">
    <w:name w:val="日期 Char1"/>
    <w:link w:val="28"/>
    <w:autoRedefine/>
    <w:qFormat/>
    <w:uiPriority w:val="0"/>
    <w:rPr>
      <w:rFonts w:ascii="宋体" w:hAnsi="宋体"/>
      <w:kern w:val="2"/>
      <w:sz w:val="24"/>
      <w:szCs w:val="24"/>
    </w:rPr>
  </w:style>
  <w:style w:type="character" w:customStyle="1" w:styleId="317">
    <w:name w:val="Char Char12"/>
    <w:autoRedefine/>
    <w:qFormat/>
    <w:uiPriority w:val="0"/>
    <w:rPr>
      <w:rFonts w:hint="default" w:ascii="Cambria" w:hAnsi="Cambria" w:eastAsia="宋体"/>
      <w:szCs w:val="21"/>
      <w:lang w:bidi="ar-SA"/>
    </w:rPr>
  </w:style>
  <w:style w:type="character" w:customStyle="1" w:styleId="318">
    <w:name w:val="标题 4 Char"/>
    <w:autoRedefine/>
    <w:qFormat/>
    <w:uiPriority w:val="0"/>
    <w:rPr>
      <w:rFonts w:ascii="Arial" w:hAnsi="Arial" w:eastAsia="黑体"/>
      <w:b/>
      <w:kern w:val="2"/>
      <w:sz w:val="24"/>
    </w:rPr>
  </w:style>
  <w:style w:type="character" w:customStyle="1" w:styleId="319">
    <w:name w:val="Char Char2"/>
    <w:autoRedefine/>
    <w:qFormat/>
    <w:uiPriority w:val="0"/>
    <w:rPr>
      <w:rFonts w:ascii="宋体" w:hAnsi="宋体" w:eastAsia="宋体"/>
      <w:kern w:val="2"/>
      <w:sz w:val="24"/>
      <w:szCs w:val="24"/>
      <w:lang w:val="en-US" w:eastAsia="zh-CN" w:bidi="ar-SA"/>
    </w:rPr>
  </w:style>
  <w:style w:type="character" w:customStyle="1" w:styleId="320">
    <w:name w:val="*正文 Char"/>
    <w:link w:val="321"/>
    <w:autoRedefine/>
    <w:qFormat/>
    <w:uiPriority w:val="0"/>
    <w:rPr>
      <w:rFonts w:ascii="宋体" w:hAnsi="宋体"/>
      <w:sz w:val="24"/>
      <w:szCs w:val="24"/>
    </w:rPr>
  </w:style>
  <w:style w:type="paragraph" w:customStyle="1" w:styleId="321">
    <w:name w:val="*正文"/>
    <w:basedOn w:val="1"/>
    <w:link w:val="320"/>
    <w:autoRedefine/>
    <w:qFormat/>
    <w:uiPriority w:val="0"/>
    <w:pPr>
      <w:spacing w:line="360" w:lineRule="auto"/>
      <w:ind w:firstLine="200" w:firstLineChars="200"/>
    </w:pPr>
    <w:rPr>
      <w:rFonts w:ascii="宋体" w:hAnsi="宋体"/>
      <w:kern w:val="0"/>
      <w:sz w:val="24"/>
    </w:rPr>
  </w:style>
  <w:style w:type="character" w:customStyle="1" w:styleId="322">
    <w:name w:val="页脚 字符1"/>
    <w:autoRedefine/>
    <w:qFormat/>
    <w:uiPriority w:val="0"/>
    <w:rPr>
      <w:rFonts w:eastAsia="宋体"/>
      <w:kern w:val="2"/>
      <w:sz w:val="18"/>
      <w:lang w:bidi="ar-SA"/>
    </w:rPr>
  </w:style>
  <w:style w:type="character" w:customStyle="1" w:styleId="323">
    <w:name w:val="GP正文[858D7CFB-ED40-4347-BF05-701D383B685F]"/>
    <w:link w:val="324"/>
    <w:autoRedefine/>
    <w:qFormat/>
    <w:uiPriority w:val="0"/>
    <w:rPr>
      <w:rFonts w:ascii="宋体" w:hAnsi="宋体"/>
      <w:kern w:val="2"/>
      <w:sz w:val="24"/>
      <w:szCs w:val="24"/>
    </w:rPr>
  </w:style>
  <w:style w:type="paragraph" w:customStyle="1" w:styleId="324">
    <w:name w:val="GP正文"/>
    <w:basedOn w:val="1"/>
    <w:link w:val="323"/>
    <w:autoRedefine/>
    <w:qFormat/>
    <w:uiPriority w:val="0"/>
    <w:pPr>
      <w:spacing w:line="360" w:lineRule="auto"/>
      <w:ind w:firstLine="200" w:firstLineChars="200"/>
      <w:jc w:val="left"/>
    </w:pPr>
    <w:rPr>
      <w:rFonts w:ascii="宋体" w:hAnsi="宋体"/>
      <w:sz w:val="24"/>
    </w:rPr>
  </w:style>
  <w:style w:type="character" w:customStyle="1" w:styleId="325">
    <w:name w:val="Char Char14"/>
    <w:autoRedefine/>
    <w:qFormat/>
    <w:uiPriority w:val="0"/>
    <w:rPr>
      <w:rFonts w:ascii="Calibri" w:hAnsi="Calibri" w:eastAsia="宋体"/>
      <w:b/>
      <w:bCs/>
      <w:sz w:val="24"/>
      <w:szCs w:val="24"/>
      <w:lang w:bidi="ar-SA"/>
    </w:rPr>
  </w:style>
  <w:style w:type="character" w:customStyle="1" w:styleId="326">
    <w:name w:val="Char Char19"/>
    <w:autoRedefine/>
    <w:qFormat/>
    <w:uiPriority w:val="0"/>
    <w:rPr>
      <w:rFonts w:ascii="Arial" w:hAnsi="Arial" w:eastAsia="黑体"/>
      <w:b/>
      <w:kern w:val="2"/>
      <w:sz w:val="24"/>
      <w:lang w:bidi="ar-SA"/>
    </w:rPr>
  </w:style>
  <w:style w:type="character" w:customStyle="1" w:styleId="327">
    <w:name w:val="正文文本 Char1"/>
    <w:autoRedefine/>
    <w:qFormat/>
    <w:uiPriority w:val="0"/>
    <w:rPr>
      <w:kern w:val="2"/>
      <w:sz w:val="21"/>
      <w:szCs w:val="24"/>
    </w:rPr>
  </w:style>
  <w:style w:type="character" w:customStyle="1" w:styleId="328">
    <w:name w:val="二级 Char"/>
    <w:link w:val="329"/>
    <w:autoRedefine/>
    <w:qFormat/>
    <w:uiPriority w:val="0"/>
    <w:rPr>
      <w:rFonts w:ascii="仿宋" w:hAnsi="仿宋" w:eastAsia="仿宋"/>
      <w:b/>
      <w:bCs/>
      <w:spacing w:val="24"/>
      <w:kern w:val="2"/>
      <w:sz w:val="32"/>
      <w:szCs w:val="32"/>
    </w:rPr>
  </w:style>
  <w:style w:type="paragraph" w:customStyle="1" w:styleId="329">
    <w:name w:val="二级"/>
    <w:basedOn w:val="2"/>
    <w:link w:val="328"/>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autoRedefine/>
    <w:qFormat/>
    <w:uiPriority w:val="0"/>
    <w:rPr>
      <w:rFonts w:eastAsia="楷体_GB2312"/>
      <w:kern w:val="2"/>
      <w:sz w:val="21"/>
    </w:rPr>
  </w:style>
  <w:style w:type="character" w:customStyle="1" w:styleId="331">
    <w:name w:val="Char Char"/>
    <w:autoRedefine/>
    <w:qFormat/>
    <w:uiPriority w:val="0"/>
    <w:rPr>
      <w:rFonts w:hint="eastAsia" w:ascii="宋体" w:hAnsi="Courier New" w:eastAsia="宋体"/>
      <w:spacing w:val="-8"/>
      <w:kern w:val="2"/>
      <w:sz w:val="24"/>
      <w:lang w:val="en-US" w:eastAsia="zh-CN" w:bidi="ar-SA"/>
    </w:rPr>
  </w:style>
  <w:style w:type="character" w:customStyle="1" w:styleId="332">
    <w:name w:val="Char Char11"/>
    <w:autoRedefine/>
    <w:qFormat/>
    <w:uiPriority w:val="0"/>
    <w:rPr>
      <w:rFonts w:hint="default" w:ascii="Calibri" w:hAnsi="Calibri" w:eastAsia="宋体"/>
      <w:sz w:val="18"/>
      <w:szCs w:val="18"/>
      <w:lang w:bidi="ar-SA"/>
    </w:rPr>
  </w:style>
  <w:style w:type="character" w:customStyle="1" w:styleId="333">
    <w:name w:val="页眉 字符1"/>
    <w:autoRedefine/>
    <w:qFormat/>
    <w:uiPriority w:val="0"/>
    <w:rPr>
      <w:rFonts w:eastAsia="宋体"/>
      <w:kern w:val="2"/>
      <w:sz w:val="18"/>
      <w:szCs w:val="18"/>
      <w:lang w:bidi="ar-SA"/>
    </w:rPr>
  </w:style>
  <w:style w:type="character" w:customStyle="1" w:styleId="334">
    <w:name w:val="正文首行缩进 Char1"/>
    <w:autoRedefine/>
    <w:qFormat/>
    <w:uiPriority w:val="0"/>
    <w:rPr>
      <w:kern w:val="2"/>
      <w:sz w:val="21"/>
    </w:rPr>
  </w:style>
  <w:style w:type="character" w:customStyle="1" w:styleId="335">
    <w:name w:val="页眉 Char1"/>
    <w:autoRedefine/>
    <w:qFormat/>
    <w:uiPriority w:val="0"/>
    <w:rPr>
      <w:rFonts w:eastAsia="宋体"/>
      <w:kern w:val="2"/>
      <w:sz w:val="18"/>
      <w:szCs w:val="18"/>
      <w:lang w:val="en-US" w:eastAsia="zh-CN" w:bidi="ar-SA"/>
    </w:rPr>
  </w:style>
  <w:style w:type="character" w:customStyle="1" w:styleId="336">
    <w:name w:val="题注 Char"/>
    <w:autoRedefine/>
    <w:qFormat/>
    <w:uiPriority w:val="0"/>
    <w:rPr>
      <w:rFonts w:ascii="Cambria" w:hAnsi="Cambria" w:eastAsia="黑体"/>
      <w:kern w:val="2"/>
      <w:lang w:bidi="ar-SA"/>
    </w:rPr>
  </w:style>
  <w:style w:type="character" w:customStyle="1" w:styleId="337">
    <w:name w:val="样式 标题 3 + 小四 Char"/>
    <w:autoRedefine/>
    <w:qFormat/>
    <w:uiPriority w:val="0"/>
    <w:rPr>
      <w:rFonts w:ascii="宋体" w:hAnsi="宋体" w:cs="Arial"/>
      <w:b/>
      <w:bCs/>
      <w:smallCaps/>
      <w:sz w:val="24"/>
      <w:lang w:val="en-US" w:eastAsia="zh-CN"/>
    </w:rPr>
  </w:style>
  <w:style w:type="character" w:customStyle="1" w:styleId="338">
    <w:name w:val="unnamed21"/>
    <w:autoRedefine/>
    <w:qFormat/>
    <w:uiPriority w:val="0"/>
    <w:rPr>
      <w:color w:val="CC6633"/>
      <w:u w:val="none"/>
    </w:rPr>
  </w:style>
  <w:style w:type="character" w:customStyle="1" w:styleId="339">
    <w:name w:val="16"/>
    <w:autoRedefine/>
    <w:qFormat/>
    <w:uiPriority w:val="0"/>
    <w:rPr>
      <w:rFonts w:hint="eastAsia" w:ascii="宋体" w:hAnsi="宋体" w:eastAsia="宋体" w:cs="Arial"/>
      <w:b/>
      <w:bCs/>
      <w:smallCaps/>
      <w:kern w:val="2"/>
      <w:sz w:val="24"/>
      <w:szCs w:val="24"/>
    </w:rPr>
  </w:style>
  <w:style w:type="character" w:customStyle="1" w:styleId="340">
    <w:name w:val="正文文本缩进 字符"/>
    <w:autoRedefine/>
    <w:qFormat/>
    <w:uiPriority w:val="0"/>
    <w:rPr>
      <w:rFonts w:eastAsia="宋体"/>
      <w:kern w:val="2"/>
      <w:sz w:val="24"/>
      <w:lang w:bidi="ar-SA"/>
    </w:rPr>
  </w:style>
  <w:style w:type="character" w:customStyle="1" w:styleId="341">
    <w:name w:val="Char Char8"/>
    <w:autoRedefine/>
    <w:qFormat/>
    <w:uiPriority w:val="0"/>
    <w:rPr>
      <w:rFonts w:hint="default" w:ascii="Calibri" w:hAnsi="Calibri" w:eastAsia="宋体"/>
      <w:kern w:val="2"/>
      <w:sz w:val="21"/>
      <w:szCs w:val="22"/>
      <w:lang w:val="en-US" w:eastAsia="zh-CN" w:bidi="ar-SA"/>
    </w:rPr>
  </w:style>
  <w:style w:type="character" w:customStyle="1" w:styleId="342">
    <w:name w:val="H3 Char1"/>
    <w:autoRedefine/>
    <w:qFormat/>
    <w:uiPriority w:val="0"/>
    <w:rPr>
      <w:rFonts w:ascii="仿宋_GB2312" w:eastAsia="仿宋_GB2312"/>
      <w:b/>
      <w:bCs/>
      <w:color w:val="000000"/>
      <w:kern w:val="2"/>
      <w:sz w:val="32"/>
      <w:szCs w:val="32"/>
    </w:rPr>
  </w:style>
  <w:style w:type="character" w:customStyle="1" w:styleId="343">
    <w:name w:val="Char Char1"/>
    <w:autoRedefine/>
    <w:qFormat/>
    <w:uiPriority w:val="0"/>
    <w:rPr>
      <w:rFonts w:hint="eastAsia" w:ascii="宋体" w:hAnsi="宋体" w:eastAsia="宋体"/>
      <w:kern w:val="2"/>
      <w:sz w:val="21"/>
      <w:szCs w:val="24"/>
      <w:lang w:val="en-US" w:eastAsia="zh-CN" w:bidi="ar-SA"/>
    </w:rPr>
  </w:style>
  <w:style w:type="character" w:customStyle="1" w:styleId="344">
    <w:name w:val="Char Char10"/>
    <w:autoRedefine/>
    <w:qFormat/>
    <w:uiPriority w:val="0"/>
    <w:rPr>
      <w:rFonts w:eastAsia="宋体"/>
      <w:kern w:val="2"/>
      <w:sz w:val="18"/>
      <w:szCs w:val="18"/>
      <w:lang w:val="en-US" w:eastAsia="zh-CN" w:bidi="ar-SA"/>
    </w:rPr>
  </w:style>
  <w:style w:type="character" w:customStyle="1" w:styleId="345">
    <w:name w:val="文档正文 Char"/>
    <w:link w:val="346"/>
    <w:autoRedefine/>
    <w:qFormat/>
    <w:uiPriority w:val="0"/>
    <w:rPr>
      <w:rFonts w:ascii="Arial" w:hAnsi="Arial" w:cs="Arial"/>
      <w:bCs/>
      <w:kern w:val="2"/>
      <w:sz w:val="24"/>
      <w:szCs w:val="24"/>
    </w:rPr>
  </w:style>
  <w:style w:type="paragraph" w:customStyle="1" w:styleId="346">
    <w:name w:val="文档正文"/>
    <w:basedOn w:val="1"/>
    <w:link w:val="345"/>
    <w:autoRedefine/>
    <w:qFormat/>
    <w:uiPriority w:val="0"/>
    <w:rPr>
      <w:rFonts w:ascii="Arial" w:hAnsi="Arial" w:cs="Arial"/>
      <w:bCs/>
      <w:sz w:val="24"/>
    </w:rPr>
  </w:style>
  <w:style w:type="character" w:customStyle="1" w:styleId="347">
    <w:name w:val="正文文本 2 Char2"/>
    <w:basedOn w:val="52"/>
    <w:autoRedefine/>
    <w:semiHidden/>
    <w:qFormat/>
    <w:uiPriority w:val="0"/>
    <w:rPr>
      <w:kern w:val="2"/>
      <w:sz w:val="21"/>
      <w:szCs w:val="24"/>
    </w:rPr>
  </w:style>
  <w:style w:type="character" w:customStyle="1" w:styleId="348">
    <w:name w:val="标题 字符1"/>
    <w:basedOn w:val="52"/>
    <w:autoRedefine/>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autoRedefine/>
    <w:qFormat/>
    <w:uiPriority w:val="0"/>
    <w:rPr>
      <w:kern w:val="2"/>
      <w:sz w:val="21"/>
      <w:szCs w:val="24"/>
    </w:rPr>
  </w:style>
  <w:style w:type="character" w:customStyle="1" w:styleId="350">
    <w:name w:val="签名 Char2"/>
    <w:basedOn w:val="52"/>
    <w:autoRedefine/>
    <w:semiHidden/>
    <w:qFormat/>
    <w:uiPriority w:val="0"/>
    <w:rPr>
      <w:kern w:val="2"/>
      <w:sz w:val="21"/>
      <w:szCs w:val="24"/>
    </w:rPr>
  </w:style>
  <w:style w:type="character" w:customStyle="1" w:styleId="351">
    <w:name w:val="正文文本缩进 3 Char2"/>
    <w:basedOn w:val="52"/>
    <w:autoRedefine/>
    <w:semiHidden/>
    <w:qFormat/>
    <w:uiPriority w:val="0"/>
    <w:rPr>
      <w:kern w:val="2"/>
      <w:sz w:val="16"/>
      <w:szCs w:val="16"/>
    </w:rPr>
  </w:style>
  <w:style w:type="character" w:customStyle="1" w:styleId="352">
    <w:name w:val="日期 Char2"/>
    <w:basedOn w:val="52"/>
    <w:autoRedefine/>
    <w:semiHidden/>
    <w:qFormat/>
    <w:uiPriority w:val="0"/>
    <w:rPr>
      <w:kern w:val="2"/>
      <w:sz w:val="21"/>
      <w:szCs w:val="24"/>
    </w:rPr>
  </w:style>
  <w:style w:type="paragraph" w:customStyle="1" w:styleId="353">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autoRedefine/>
    <w:qFormat/>
    <w:uiPriority w:val="0"/>
    <w:pPr>
      <w:widowControl/>
      <w:jc w:val="center"/>
    </w:pPr>
    <w:rPr>
      <w:rFonts w:ascii="Arial" w:hAnsi="Arial"/>
      <w:b/>
      <w:kern w:val="0"/>
      <w:sz w:val="18"/>
      <w:szCs w:val="20"/>
    </w:rPr>
  </w:style>
  <w:style w:type="paragraph" w:customStyle="1" w:styleId="359">
    <w:name w:val="4"/>
    <w:basedOn w:val="1"/>
    <w:next w:val="1"/>
    <w:autoRedefine/>
    <w:qFormat/>
    <w:uiPriority w:val="0"/>
  </w:style>
  <w:style w:type="paragraph" w:customStyle="1" w:styleId="3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autoRedefine/>
    <w:qFormat/>
    <w:uiPriority w:val="0"/>
    <w:pPr>
      <w:spacing w:line="360" w:lineRule="auto"/>
      <w:ind w:firstLine="200" w:firstLineChars="200"/>
    </w:pPr>
    <w:rPr>
      <w:szCs w:val="20"/>
    </w:rPr>
  </w:style>
  <w:style w:type="paragraph" w:customStyle="1" w:styleId="362">
    <w:name w:val="样式 标题 5H5dashdsddh5PIM 5口一heading 5Titre5Table label...3"/>
    <w:basedOn w:val="6"/>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autoRedefine/>
    <w:qFormat/>
    <w:uiPriority w:val="0"/>
    <w:pPr>
      <w:tabs>
        <w:tab w:val="right" w:leader="dot" w:pos="9458"/>
      </w:tabs>
    </w:pPr>
    <w:rPr>
      <w:rFonts w:ascii="Arial" w:cs="Arial"/>
      <w:i/>
    </w:rPr>
  </w:style>
  <w:style w:type="paragraph" w:customStyle="1" w:styleId="365">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autoRedefine/>
    <w:qFormat/>
    <w:uiPriority w:val="0"/>
    <w:pPr>
      <w:keepLines/>
      <w:widowControl/>
      <w:spacing w:beforeLines="50" w:afterLines="50" w:line="300" w:lineRule="auto"/>
    </w:pPr>
    <w:rPr>
      <w:rFonts w:ascii="Arial" w:hAnsi="Arial"/>
      <w:bCs/>
    </w:rPr>
  </w:style>
  <w:style w:type="paragraph" w:customStyle="1" w:styleId="367">
    <w:name w:val="样式5"/>
    <w:basedOn w:val="368"/>
    <w:next w:val="368"/>
    <w:autoRedefine/>
    <w:qFormat/>
    <w:uiPriority w:val="0"/>
    <w:pPr>
      <w:tabs>
        <w:tab w:val="right" w:leader="dot" w:pos="9458"/>
      </w:tabs>
    </w:pPr>
  </w:style>
  <w:style w:type="paragraph" w:customStyle="1" w:styleId="368">
    <w:name w:val="样式4"/>
    <w:basedOn w:val="34"/>
    <w:autoRedefine/>
    <w:qFormat/>
    <w:uiPriority w:val="0"/>
    <w:pPr>
      <w:tabs>
        <w:tab w:val="right" w:leader="dot" w:pos="9458"/>
      </w:tabs>
    </w:pPr>
    <w:rPr>
      <w:b w:val="0"/>
    </w:rPr>
  </w:style>
  <w:style w:type="paragraph" w:customStyle="1" w:styleId="369">
    <w:name w:val="TOC 标题1"/>
    <w:basedOn w:val="3"/>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autoRedefine/>
    <w:qFormat/>
    <w:uiPriority w:val="0"/>
    <w:pPr>
      <w:widowControl/>
      <w:jc w:val="center"/>
    </w:pPr>
    <w:rPr>
      <w:rFonts w:ascii="Arial" w:hAnsi="Arial"/>
      <w:snapToGrid w:val="0"/>
      <w:kern w:val="0"/>
      <w:sz w:val="18"/>
      <w:szCs w:val="20"/>
    </w:rPr>
  </w:style>
  <w:style w:type="paragraph" w:customStyle="1" w:styleId="374">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autoRedefine/>
    <w:qFormat/>
    <w:uiPriority w:val="0"/>
    <w:pPr>
      <w:ind w:firstLine="567"/>
    </w:pPr>
    <w:rPr>
      <w:spacing w:val="20"/>
      <w:sz w:val="24"/>
      <w:szCs w:val="20"/>
    </w:rPr>
  </w:style>
  <w:style w:type="paragraph" w:customStyle="1" w:styleId="385">
    <w:name w:val="_正文"/>
    <w:basedOn w:val="1"/>
    <w:autoRedefine/>
    <w:qFormat/>
    <w:uiPriority w:val="99"/>
    <w:pPr>
      <w:spacing w:line="360" w:lineRule="auto"/>
      <w:ind w:firstLine="200" w:firstLineChars="200"/>
    </w:pPr>
    <w:rPr>
      <w:rFonts w:ascii="宋体" w:hAnsi="宋体"/>
      <w:sz w:val="24"/>
    </w:rPr>
  </w:style>
  <w:style w:type="paragraph" w:customStyle="1" w:styleId="386">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8">
    <w:name w:val="_Style 15"/>
    <w:basedOn w:val="1"/>
    <w:autoRedefine/>
    <w:qFormat/>
    <w:uiPriority w:val="0"/>
  </w:style>
  <w:style w:type="paragraph" w:customStyle="1" w:styleId="389">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autoRedefine/>
    <w:qFormat/>
    <w:uiPriority w:val="0"/>
    <w:pPr>
      <w:ind w:left="572" w:right="32" w:firstLine="478"/>
    </w:pPr>
    <w:rPr>
      <w:szCs w:val="21"/>
    </w:rPr>
  </w:style>
  <w:style w:type="paragraph" w:customStyle="1" w:styleId="397">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8">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autoRedefine/>
    <w:qFormat/>
    <w:uiPriority w:val="0"/>
    <w:pPr>
      <w:spacing w:line="360" w:lineRule="auto"/>
      <w:ind w:hanging="420"/>
      <w:jc w:val="center"/>
    </w:pPr>
    <w:rPr>
      <w:sz w:val="24"/>
      <w:szCs w:val="20"/>
    </w:rPr>
  </w:style>
  <w:style w:type="paragraph" w:customStyle="1" w:styleId="400">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autoRedefine/>
    <w:qFormat/>
    <w:uiPriority w:val="0"/>
  </w:style>
  <w:style w:type="paragraph" w:customStyle="1" w:styleId="402">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autoRedefine/>
    <w:qFormat/>
    <w:uiPriority w:val="0"/>
  </w:style>
  <w:style w:type="paragraph" w:customStyle="1" w:styleId="405">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autoRedefine/>
    <w:qFormat/>
    <w:uiPriority w:val="0"/>
    <w:pPr>
      <w:tabs>
        <w:tab w:val="right" w:leader="dot" w:pos="9458"/>
      </w:tabs>
    </w:pPr>
    <w:rPr>
      <w:i/>
    </w:rPr>
  </w:style>
  <w:style w:type="paragraph" w:customStyle="1" w:styleId="407">
    <w:name w:val="msolistparagraph"/>
    <w:basedOn w:val="1"/>
    <w:autoRedefine/>
    <w:qFormat/>
    <w:uiPriority w:val="0"/>
    <w:pPr>
      <w:ind w:firstLine="420" w:firstLineChars="200"/>
    </w:pPr>
    <w:rPr>
      <w:rFonts w:ascii="Calibri" w:hAnsi="Calibri"/>
      <w:szCs w:val="22"/>
    </w:rPr>
  </w:style>
  <w:style w:type="paragraph" w:customStyle="1" w:styleId="408">
    <w:name w:val="Char Char16 Char Char"/>
    <w:basedOn w:val="1"/>
    <w:autoRedefine/>
    <w:qFormat/>
    <w:uiPriority w:val="0"/>
    <w:rPr>
      <w:rFonts w:ascii="Tahoma" w:hAnsi="Tahoma"/>
      <w:sz w:val="24"/>
      <w:szCs w:val="20"/>
    </w:rPr>
  </w:style>
  <w:style w:type="paragraph" w:customStyle="1" w:styleId="409">
    <w:name w:val="正文内容"/>
    <w:basedOn w:val="1"/>
    <w:autoRedefine/>
    <w:qFormat/>
    <w:uiPriority w:val="0"/>
    <w:rPr>
      <w:rFonts w:ascii="Arial" w:hAnsi="Arial"/>
      <w:spacing w:val="-12"/>
      <w:szCs w:val="20"/>
    </w:rPr>
  </w:style>
  <w:style w:type="paragraph" w:customStyle="1" w:styleId="41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autoRedefine/>
    <w:qFormat/>
    <w:uiPriority w:val="0"/>
    <w:rPr>
      <w:rFonts w:ascii="Times New Roman" w:hAnsi="Times New Roman" w:eastAsia="宋体" w:cs="Times New Roman"/>
      <w:lang w:val="en-US" w:eastAsia="zh-CN" w:bidi="ar-SA"/>
    </w:rPr>
  </w:style>
  <w:style w:type="paragraph" w:customStyle="1" w:styleId="41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autoRedefine/>
    <w:qFormat/>
    <w:uiPriority w:val="0"/>
  </w:style>
  <w:style w:type="paragraph" w:customStyle="1" w:styleId="419">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autoRedefine/>
    <w:qFormat/>
    <w:uiPriority w:val="0"/>
    <w:pPr>
      <w:spacing w:before="120" w:after="120"/>
    </w:pPr>
    <w:rPr>
      <w:rFonts w:ascii="宋体"/>
      <w:b/>
      <w:sz w:val="28"/>
    </w:rPr>
  </w:style>
  <w:style w:type="paragraph" w:customStyle="1" w:styleId="422">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autoRedefine/>
    <w:qFormat/>
    <w:uiPriority w:val="0"/>
    <w:pPr>
      <w:ind w:left="980" w:hanging="420"/>
    </w:pPr>
    <w:rPr>
      <w:sz w:val="24"/>
    </w:rPr>
  </w:style>
  <w:style w:type="paragraph" w:customStyle="1" w:styleId="426">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autoRedefine/>
    <w:qFormat/>
    <w:uiPriority w:val="0"/>
    <w:pPr>
      <w:ind w:firstLine="480" w:firstLineChars="200"/>
    </w:pPr>
    <w:rPr>
      <w:rFonts w:cs="宋体"/>
      <w:szCs w:val="20"/>
    </w:rPr>
  </w:style>
  <w:style w:type="paragraph" w:customStyle="1" w:styleId="42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autoRedefine/>
    <w:qFormat/>
    <w:uiPriority w:val="34"/>
    <w:rPr>
      <w:kern w:val="2"/>
      <w:sz w:val="21"/>
      <w:szCs w:val="24"/>
    </w:rPr>
  </w:style>
  <w:style w:type="paragraph" w:styleId="455">
    <w:name w:val="List Paragraph"/>
    <w:basedOn w:val="1"/>
    <w:link w:val="454"/>
    <w:autoRedefine/>
    <w:qFormat/>
    <w:uiPriority w:val="34"/>
    <w:pPr>
      <w:ind w:firstLine="420" w:firstLineChars="200"/>
    </w:pPr>
  </w:style>
  <w:style w:type="paragraph" w:customStyle="1" w:styleId="456">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autoRedefine/>
    <w:qFormat/>
    <w:uiPriority w:val="0"/>
    <w:pPr>
      <w:spacing w:afterLines="20"/>
      <w:ind w:firstLine="1446" w:firstLineChars="200"/>
    </w:pPr>
    <w:rPr>
      <w:rFonts w:ascii="Calibri" w:hAnsi="Calibri"/>
      <w:sz w:val="24"/>
    </w:rPr>
  </w:style>
  <w:style w:type="character" w:customStyle="1" w:styleId="458">
    <w:name w:val="正文文本 3 Char"/>
    <w:basedOn w:val="52"/>
    <w:link w:val="19"/>
    <w:autoRedefine/>
    <w:qFormat/>
    <w:uiPriority w:val="0"/>
    <w:rPr>
      <w:kern w:val="2"/>
      <w:sz w:val="16"/>
      <w:szCs w:val="16"/>
    </w:rPr>
  </w:style>
  <w:style w:type="character" w:customStyle="1" w:styleId="459">
    <w:name w:val="content"/>
    <w:basedOn w:val="52"/>
    <w:autoRedefine/>
    <w:qFormat/>
    <w:uiPriority w:val="0"/>
  </w:style>
  <w:style w:type="character" w:customStyle="1" w:styleId="460">
    <w:name w:val="ca-3"/>
    <w:basedOn w:val="52"/>
    <w:autoRedefine/>
    <w:qFormat/>
    <w:uiPriority w:val="0"/>
  </w:style>
  <w:style w:type="character" w:customStyle="1" w:styleId="461">
    <w:name w:val="textcontents1"/>
    <w:autoRedefine/>
    <w:qFormat/>
    <w:uiPriority w:val="0"/>
    <w:rPr>
      <w:rFonts w:hint="default" w:ascii="ˎ̥" w:hAnsi="ˎ̥"/>
      <w:sz w:val="21"/>
      <w:szCs w:val="21"/>
    </w:rPr>
  </w:style>
  <w:style w:type="character" w:customStyle="1" w:styleId="462">
    <w:name w:val="脚注文本 Char1"/>
    <w:autoRedefine/>
    <w:qFormat/>
    <w:uiPriority w:val="0"/>
    <w:rPr>
      <w:kern w:val="2"/>
      <w:sz w:val="18"/>
      <w:szCs w:val="18"/>
    </w:rPr>
  </w:style>
  <w:style w:type="character" w:customStyle="1" w:styleId="463">
    <w:name w:val="脚注文本 Char"/>
    <w:link w:val="38"/>
    <w:autoRedefine/>
    <w:qFormat/>
    <w:uiPriority w:val="0"/>
    <w:rPr>
      <w:kern w:val="2"/>
      <w:sz w:val="18"/>
      <w:szCs w:val="18"/>
    </w:rPr>
  </w:style>
  <w:style w:type="character" w:customStyle="1" w:styleId="464">
    <w:name w:val="正文首行缩进（绿盟科技） Char"/>
    <w:link w:val="465"/>
    <w:autoRedefine/>
    <w:qFormat/>
    <w:uiPriority w:val="0"/>
    <w:rPr>
      <w:rFonts w:ascii="Arial" w:hAnsi="Arial"/>
      <w:szCs w:val="21"/>
    </w:rPr>
  </w:style>
  <w:style w:type="paragraph" w:customStyle="1" w:styleId="465">
    <w:name w:val="正文首行缩进（绿盟科技）"/>
    <w:basedOn w:val="1"/>
    <w:link w:val="464"/>
    <w:autoRedefine/>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autoRedefine/>
    <w:qFormat/>
    <w:uiPriority w:val="0"/>
  </w:style>
  <w:style w:type="character" w:customStyle="1" w:styleId="467">
    <w:name w:val="Char Char21"/>
    <w:autoRedefine/>
    <w:qFormat/>
    <w:uiPriority w:val="0"/>
    <w:rPr>
      <w:b/>
      <w:bCs/>
      <w:kern w:val="2"/>
      <w:sz w:val="32"/>
      <w:szCs w:val="32"/>
    </w:rPr>
  </w:style>
  <w:style w:type="character" w:customStyle="1" w:styleId="468">
    <w:name w:val="content1"/>
    <w:autoRedefine/>
    <w:qFormat/>
    <w:uiPriority w:val="0"/>
    <w:rPr>
      <w:rFonts w:hint="default" w:ascii="??" w:hAnsi="??"/>
      <w:sz w:val="16"/>
      <w:szCs w:val="16"/>
      <w:u w:val="none"/>
    </w:rPr>
  </w:style>
  <w:style w:type="character" w:customStyle="1" w:styleId="469">
    <w:name w:val="text21"/>
    <w:basedOn w:val="52"/>
    <w:autoRedefine/>
    <w:qFormat/>
    <w:uiPriority w:val="0"/>
  </w:style>
  <w:style w:type="character" w:customStyle="1" w:styleId="470">
    <w:name w:val="apple-style-span"/>
    <w:basedOn w:val="52"/>
    <w:autoRedefine/>
    <w:qFormat/>
    <w:uiPriority w:val="0"/>
  </w:style>
  <w:style w:type="paragraph" w:customStyle="1" w:styleId="471">
    <w:name w:val="缺省文本"/>
    <w:basedOn w:val="1"/>
    <w:autoRedefine/>
    <w:qFormat/>
    <w:uiPriority w:val="0"/>
    <w:pPr>
      <w:autoSpaceDE w:val="0"/>
      <w:autoSpaceDN w:val="0"/>
      <w:adjustRightInd w:val="0"/>
      <w:jc w:val="left"/>
    </w:pPr>
    <w:rPr>
      <w:kern w:val="0"/>
      <w:sz w:val="24"/>
    </w:rPr>
  </w:style>
  <w:style w:type="paragraph" w:customStyle="1" w:styleId="472">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autoRedefine/>
    <w:qFormat/>
    <w:uiPriority w:val="0"/>
    <w:rPr>
      <w:rFonts w:ascii="宋体" w:hAnsi="Courier New"/>
      <w:szCs w:val="20"/>
    </w:rPr>
  </w:style>
  <w:style w:type="paragraph" w:customStyle="1" w:styleId="474">
    <w:name w:val="xl57"/>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autoRedefine/>
    <w:qFormat/>
    <w:uiPriority w:val="0"/>
    <w:pPr>
      <w:widowControl/>
      <w:spacing w:after="160" w:line="240" w:lineRule="exact"/>
      <w:jc w:val="left"/>
    </w:pPr>
  </w:style>
  <w:style w:type="paragraph" w:customStyle="1" w:styleId="476">
    <w:name w:val="USE 1"/>
    <w:basedOn w:val="1"/>
    <w:autoRedefine/>
    <w:qFormat/>
    <w:uiPriority w:val="0"/>
    <w:pPr>
      <w:spacing w:line="200" w:lineRule="atLeast"/>
      <w:jc w:val="left"/>
    </w:pPr>
    <w:rPr>
      <w:rFonts w:ascii="宋体" w:hAnsi="宋体"/>
      <w:b/>
      <w:sz w:val="24"/>
      <w:szCs w:val="28"/>
    </w:rPr>
  </w:style>
  <w:style w:type="paragraph" w:customStyle="1" w:styleId="477">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autoRedefine/>
    <w:qFormat/>
    <w:uiPriority w:val="0"/>
    <w:rPr>
      <w:rFonts w:ascii="宋体" w:hAnsi="Courier New"/>
      <w:szCs w:val="20"/>
    </w:rPr>
  </w:style>
  <w:style w:type="character" w:customStyle="1" w:styleId="481">
    <w:name w:val="脚注文本 Char2"/>
    <w:basedOn w:val="52"/>
    <w:link w:val="38"/>
    <w:autoRedefine/>
    <w:semiHidden/>
    <w:qFormat/>
    <w:uiPriority w:val="0"/>
    <w:rPr>
      <w:kern w:val="2"/>
      <w:sz w:val="18"/>
      <w:szCs w:val="18"/>
    </w:rPr>
  </w:style>
  <w:style w:type="paragraph" w:customStyle="1" w:styleId="482">
    <w:name w:val="_Style 56"/>
    <w:basedOn w:val="1"/>
    <w:next w:val="26"/>
    <w:autoRedefine/>
    <w:qFormat/>
    <w:uiPriority w:val="0"/>
    <w:rPr>
      <w:rFonts w:ascii="宋体" w:hAnsi="Courier New"/>
      <w:szCs w:val="20"/>
    </w:rPr>
  </w:style>
  <w:style w:type="paragraph" w:customStyle="1" w:styleId="483">
    <w:name w:val="Char Char Char Char2"/>
    <w:basedOn w:val="1"/>
    <w:autoRedefine/>
    <w:qFormat/>
    <w:uiPriority w:val="0"/>
    <w:pPr>
      <w:widowControl/>
      <w:spacing w:after="160" w:line="240" w:lineRule="exact"/>
      <w:jc w:val="center"/>
    </w:pPr>
  </w:style>
  <w:style w:type="paragraph" w:customStyle="1" w:styleId="484">
    <w:name w:val="font10"/>
    <w:basedOn w:val="1"/>
    <w:autoRedefine/>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autoRedefine/>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autoRedefine/>
    <w:qFormat/>
    <w:uiPriority w:val="0"/>
    <w:pPr>
      <w:widowControl/>
      <w:spacing w:after="160" w:line="240" w:lineRule="exact"/>
      <w:jc w:val="left"/>
    </w:pPr>
  </w:style>
  <w:style w:type="paragraph" w:customStyle="1" w:styleId="490">
    <w:name w:val="_Style 50"/>
    <w:basedOn w:val="1"/>
    <w:next w:val="29"/>
    <w:autoRedefine/>
    <w:qFormat/>
    <w:uiPriority w:val="0"/>
    <w:pPr>
      <w:adjustRightInd w:val="0"/>
      <w:snapToGrid w:val="0"/>
      <w:spacing w:line="300" w:lineRule="auto"/>
      <w:ind w:firstLine="630" w:firstLineChars="300"/>
    </w:pPr>
    <w:rPr>
      <w:snapToGrid w:val="0"/>
      <w:kern w:val="0"/>
    </w:rPr>
  </w:style>
  <w:style w:type="paragraph" w:customStyle="1" w:styleId="491">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autoRedefine/>
    <w:qFormat/>
    <w:uiPriority w:val="0"/>
    <w:rPr>
      <w:rFonts w:ascii="宋体" w:hAnsi="Courier New"/>
      <w:szCs w:val="20"/>
    </w:rPr>
  </w:style>
  <w:style w:type="paragraph" w:customStyle="1" w:styleId="495">
    <w:name w:val="Char Char Char"/>
    <w:basedOn w:val="1"/>
    <w:autoRedefine/>
    <w:qFormat/>
    <w:uiPriority w:val="0"/>
    <w:rPr>
      <w:szCs w:val="20"/>
    </w:rPr>
  </w:style>
  <w:style w:type="paragraph" w:customStyle="1" w:styleId="496">
    <w:name w:val="Char2"/>
    <w:basedOn w:val="1"/>
    <w:autoRedefine/>
    <w:qFormat/>
    <w:uiPriority w:val="0"/>
    <w:rPr>
      <w:rFonts w:ascii="Tahoma" w:hAnsi="Tahoma"/>
      <w:sz w:val="24"/>
      <w:szCs w:val="20"/>
    </w:rPr>
  </w:style>
  <w:style w:type="paragraph" w:customStyle="1" w:styleId="497">
    <w:name w:val="xl5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autoRedefine/>
    <w:qFormat/>
    <w:uiPriority w:val="0"/>
    <w:rPr>
      <w:rFonts w:ascii="宋体" w:hAnsi="Courier New"/>
      <w:szCs w:val="20"/>
    </w:rPr>
  </w:style>
  <w:style w:type="paragraph" w:customStyle="1" w:styleId="501">
    <w:name w:val="2"/>
    <w:basedOn w:val="1"/>
    <w:next w:val="45"/>
    <w:autoRedefine/>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autoRedefine/>
    <w:qFormat/>
    <w:uiPriority w:val="0"/>
    <w:pPr>
      <w:adjustRightInd w:val="0"/>
      <w:snapToGrid w:val="0"/>
      <w:spacing w:line="300" w:lineRule="auto"/>
      <w:ind w:firstLine="630" w:firstLineChars="300"/>
    </w:pPr>
    <w:rPr>
      <w:snapToGrid w:val="0"/>
      <w:kern w:val="0"/>
    </w:rPr>
  </w:style>
  <w:style w:type="paragraph" w:customStyle="1" w:styleId="503">
    <w:name w:val="xl5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Ｒ07-正!!文 Char Char"/>
    <w:link w:val="506"/>
    <w:autoRedefine/>
    <w:qFormat/>
    <w:uiPriority w:val="0"/>
    <w:rPr>
      <w:rFonts w:ascii="宋体" w:hAnsi="宋体" w:cs="宋体"/>
      <w:snapToGrid w:val="0"/>
      <w:spacing w:val="4"/>
      <w:kern w:val="2"/>
      <w:sz w:val="24"/>
      <w:szCs w:val="24"/>
    </w:rPr>
  </w:style>
  <w:style w:type="paragraph" w:customStyle="1" w:styleId="506">
    <w:name w:val="Ｒ07-正!!文"/>
    <w:link w:val="505"/>
    <w:autoRedefine/>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autoRedefine/>
    <w:qFormat/>
    <w:uiPriority w:val="0"/>
    <w:rPr>
      <w:rFonts w:ascii="宋体" w:hAnsi="宋体" w:cs="宋体"/>
      <w:snapToGrid w:val="0"/>
      <w:spacing w:val="8"/>
      <w:kern w:val="2"/>
      <w:sz w:val="24"/>
      <w:szCs w:val="24"/>
    </w:rPr>
  </w:style>
  <w:style w:type="paragraph" w:customStyle="1" w:styleId="508">
    <w:name w:val="Ｒ07-!正!"/>
    <w:link w:val="507"/>
    <w:autoRedefine/>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89BCC2-52E6-4BF5-A498-3ABED31EFC5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75</Pages>
  <Words>46340</Words>
  <Characters>49576</Characters>
  <Lines>397</Lines>
  <Paragraphs>111</Paragraphs>
  <TotalTime>37</TotalTime>
  <ScaleCrop>false</ScaleCrop>
  <LinksUpToDate>false</LinksUpToDate>
  <CharactersWithSpaces>51767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中正招标庄学华</cp:lastModifiedBy>
  <cp:lastPrinted>2020-05-26T01:03:00Z</cp:lastPrinted>
  <dcterms:modified xsi:type="dcterms:W3CDTF">2024-06-07T11:51:50Z</dcterms:modified>
  <dc:title>招标编号：UHO2010-G0029</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91F07AEDF78E4348B73CEE7A342F2568_13</vt:lpwstr>
  </property>
</Properties>
</file>