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深圳市特种设备安全检验研究院2025年信息安全保障服务</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SZZZ2025-QC0015</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深圳市特种设备安全检验研究院2025年信息安全保障服务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SZZZ2025-QC0015</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深圳市特种设备安全检验研究院2025年信息安全保障服务</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250,000.00</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250,000.00</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深圳市特种设备安全检验研究院2025年信息安全保障服务</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167D5526">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highlight w:val="yellow"/>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名称：深圳市特种设备安全检验研究院</w:t>
      </w:r>
    </w:p>
    <w:p w14:paraId="34025C2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广东省深圳市宝安区石岩街道水田第四工业区龙田北路特检基地</w:t>
      </w:r>
    </w:p>
    <w:p w14:paraId="4C32D84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联系方式：邱</w:t>
      </w:r>
      <w:r>
        <w:rPr>
          <w:rFonts w:hint="eastAsia" w:ascii="宋体" w:hAnsi="宋体" w:eastAsia="宋体"/>
          <w:snapToGrid w:val="0"/>
          <w:color w:val="auto"/>
          <w:sz w:val="21"/>
          <w:szCs w:val="21"/>
          <w:lang w:val="en-US" w:eastAsia="zh-CN"/>
        </w:rPr>
        <w:t>工</w:t>
      </w:r>
      <w:r>
        <w:rPr>
          <w:rFonts w:hint="eastAsia" w:ascii="宋体" w:hAnsi="宋体" w:eastAsia="宋体"/>
          <w:snapToGrid w:val="0"/>
          <w:color w:val="auto"/>
          <w:sz w:val="21"/>
          <w:szCs w:val="21"/>
        </w:rPr>
        <w:t>，0755-25920230</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罗工</w:t>
      </w:r>
      <w:r>
        <w:rPr>
          <w:rFonts w:hint="eastAsia" w:ascii="宋体" w:hAnsi="宋体" w:eastAsia="宋体"/>
          <w:snapToGrid w:val="0"/>
          <w:color w:val="auto"/>
          <w:sz w:val="21"/>
          <w:szCs w:val="21"/>
        </w:rPr>
        <w:t>，0755-83026699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罗工</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1</w:t>
      </w:r>
      <w:r>
        <w:rPr>
          <w:rFonts w:ascii="宋体" w:hAnsi="宋体"/>
          <w:snapToGrid w:val="0"/>
          <w:kern w:val="0"/>
          <w:sz w:val="24"/>
        </w:rPr>
        <w:t>月</w:t>
      </w:r>
      <w:r>
        <w:rPr>
          <w:rFonts w:hint="eastAsia" w:ascii="宋体" w:hAnsi="宋体"/>
          <w:snapToGrid w:val="0"/>
          <w:kern w:val="0"/>
          <w:sz w:val="24"/>
          <w:lang w:val="en-US" w:eastAsia="zh-CN"/>
        </w:rPr>
        <w:t>10</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深圳市特种设备安全检验研究院2025年信息安全保障服务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6ECADB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为切实做好</w:t>
      </w:r>
      <w:r>
        <w:rPr>
          <w:rFonts w:hint="eastAsia" w:cs="Times New Roman"/>
          <w:snapToGrid/>
          <w:spacing w:val="0"/>
          <w:sz w:val="21"/>
          <w:szCs w:val="21"/>
          <w:lang w:eastAsia="zh-CN"/>
        </w:rPr>
        <w:t>深圳市特种设备安全检验研究院</w:t>
      </w:r>
      <w:r>
        <w:rPr>
          <w:rFonts w:hint="eastAsia" w:cs="Times New Roman"/>
          <w:snapToGrid/>
          <w:spacing w:val="0"/>
          <w:sz w:val="21"/>
          <w:szCs w:val="21"/>
        </w:rPr>
        <w:t>信息安全保障工作，按照《中华人民共和国网络安全法》《中华人民共和国数据安全法》《中华人民共和国个人信息保护法》相关规定对</w:t>
      </w:r>
      <w:r>
        <w:rPr>
          <w:rFonts w:hint="eastAsia" w:cs="Times New Roman"/>
          <w:snapToGrid/>
          <w:spacing w:val="0"/>
          <w:sz w:val="21"/>
          <w:szCs w:val="21"/>
          <w:lang w:eastAsia="zh-CN"/>
        </w:rPr>
        <w:t>采购单位</w:t>
      </w:r>
      <w:r>
        <w:rPr>
          <w:rFonts w:hint="eastAsia" w:cs="Times New Roman"/>
          <w:snapToGrid/>
          <w:spacing w:val="0"/>
          <w:sz w:val="21"/>
          <w:szCs w:val="21"/>
        </w:rPr>
        <w:t>各信息系统进行合规检查及配合整改，落实《年度深圳市党政机关信息安全联合检查工作方案》内容，提升</w:t>
      </w:r>
      <w:r>
        <w:rPr>
          <w:rFonts w:hint="eastAsia" w:cs="Times New Roman"/>
          <w:snapToGrid/>
          <w:spacing w:val="0"/>
          <w:sz w:val="21"/>
          <w:szCs w:val="21"/>
          <w:lang w:eastAsia="zh-CN"/>
        </w:rPr>
        <w:t>采购单位</w:t>
      </w:r>
      <w:r>
        <w:rPr>
          <w:rFonts w:hint="eastAsia" w:cs="Times New Roman"/>
          <w:snapToGrid/>
          <w:spacing w:val="0"/>
          <w:sz w:val="21"/>
          <w:szCs w:val="21"/>
        </w:rPr>
        <w:t>信息安全服务、信息安全应急响应等方面的能力与水平，创建安全健康的网络环境，促进</w:t>
      </w:r>
      <w:r>
        <w:rPr>
          <w:rFonts w:hint="eastAsia" w:cs="Times New Roman"/>
          <w:snapToGrid/>
          <w:spacing w:val="0"/>
          <w:sz w:val="21"/>
          <w:szCs w:val="21"/>
          <w:lang w:val="en-US" w:eastAsia="zh-CN"/>
        </w:rPr>
        <w:t>采购单位</w:t>
      </w:r>
      <w:r>
        <w:rPr>
          <w:rFonts w:hint="eastAsia" w:cs="Times New Roman"/>
          <w:snapToGrid/>
          <w:spacing w:val="0"/>
          <w:sz w:val="21"/>
          <w:szCs w:val="21"/>
        </w:rPr>
        <w:t>信息系统的稳定和安全发展，特对年度“</w:t>
      </w:r>
      <w:r>
        <w:rPr>
          <w:rFonts w:hint="eastAsia" w:cs="Times New Roman"/>
          <w:snapToGrid/>
          <w:spacing w:val="0"/>
          <w:sz w:val="21"/>
          <w:szCs w:val="21"/>
          <w:lang w:eastAsia="zh-CN"/>
        </w:rPr>
        <w:t>深圳市特种设备安全检验研究院</w:t>
      </w:r>
      <w:r>
        <w:rPr>
          <w:rFonts w:hint="eastAsia" w:cs="Times New Roman"/>
          <w:snapToGrid/>
          <w:spacing w:val="0"/>
          <w:sz w:val="21"/>
          <w:szCs w:val="21"/>
        </w:rPr>
        <w:t>信息安全保障服务”项目进行招标。</w:t>
      </w:r>
    </w:p>
    <w:p w14:paraId="682877D6">
      <w:pPr>
        <w:pStyle w:val="506"/>
        <w:wordWrap/>
        <w:spacing w:afterLines="0" w:line="360" w:lineRule="auto"/>
        <w:ind w:firstLine="420"/>
        <w:rPr>
          <w:rFonts w:cs="Times New Roman"/>
          <w:snapToGrid/>
          <w:spacing w:val="0"/>
          <w:sz w:val="21"/>
          <w:szCs w:val="21"/>
        </w:rPr>
      </w:pPr>
    </w:p>
    <w:p w14:paraId="0C534C09">
      <w:pPr>
        <w:pStyle w:val="321"/>
        <w:numPr>
          <w:ilvl w:val="0"/>
          <w:numId w:val="4"/>
        </w:numPr>
        <w:ind w:firstLine="0" w:firstLineChars="0"/>
        <w:rPr>
          <w:rFonts w:hint="eastAsia"/>
          <w:b/>
        </w:rPr>
      </w:pPr>
      <w:r>
        <w:rPr>
          <w:rFonts w:hint="eastAsia"/>
          <w:b/>
        </w:rPr>
        <w:t>项目服务要求</w:t>
      </w:r>
      <w:r>
        <w:rPr>
          <w:rFonts w:hint="eastAsia"/>
          <w:b/>
        </w:rPr>
        <w:br w:type="textWrapping"/>
      </w:r>
      <w:bookmarkStart w:id="8" w:name="_Toc90460818"/>
      <w:r>
        <w:rPr>
          <w:rFonts w:hint="eastAsia"/>
          <w:b/>
          <w:lang w:val="en-US" w:eastAsia="zh-CN"/>
        </w:rPr>
        <w:t xml:space="preserve">   </w:t>
      </w:r>
      <w:r>
        <w:rPr>
          <w:rFonts w:hint="eastAsia" w:ascii="宋体" w:hAnsi="宋体" w:eastAsia="宋体" w:cs="Times New Roman"/>
          <w:b/>
          <w:sz w:val="21"/>
          <w:szCs w:val="21"/>
        </w:rPr>
        <w:t>信息安全服务要求</w:t>
      </w:r>
      <w:bookmarkEnd w:id="8"/>
    </w:p>
    <w:p w14:paraId="6B578F2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编制计划</w:t>
      </w:r>
    </w:p>
    <w:p w14:paraId="08A4790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根据《年度深圳市党政机关信息安全联合检查工作方案》文件要求编</w:t>
      </w:r>
      <w:r>
        <w:rPr>
          <w:rFonts w:hint="eastAsia" w:cs="Times New Roman"/>
          <w:snapToGrid/>
          <w:spacing w:val="0"/>
          <w:sz w:val="21"/>
          <w:szCs w:val="21"/>
          <w:lang w:val="en-US" w:eastAsia="zh-CN"/>
        </w:rPr>
        <w:t>写采购单位</w:t>
      </w:r>
      <w:r>
        <w:rPr>
          <w:rFonts w:hint="eastAsia" w:cs="Times New Roman"/>
          <w:snapToGrid/>
          <w:spacing w:val="0"/>
          <w:sz w:val="21"/>
          <w:szCs w:val="21"/>
        </w:rPr>
        <w:t>本年度信息安全保障工作的计划。</w:t>
      </w:r>
    </w:p>
    <w:p w14:paraId="03FF199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完善信息安全管理相关规章制度</w:t>
      </w:r>
    </w:p>
    <w:p w14:paraId="797768E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按照《中华人民共和国网络安全法》《中华人民共和国数据安全法》《中华人民共和国个人信息保护法》相关规定对</w:t>
      </w:r>
      <w:r>
        <w:rPr>
          <w:rFonts w:hint="eastAsia" w:cs="Times New Roman"/>
          <w:snapToGrid/>
          <w:spacing w:val="0"/>
          <w:sz w:val="21"/>
          <w:szCs w:val="21"/>
          <w:lang w:eastAsia="zh-CN"/>
        </w:rPr>
        <w:t>采购单位</w:t>
      </w:r>
      <w:r>
        <w:rPr>
          <w:rFonts w:hint="eastAsia" w:cs="Times New Roman"/>
          <w:snapToGrid/>
          <w:spacing w:val="0"/>
          <w:sz w:val="21"/>
          <w:szCs w:val="21"/>
        </w:rPr>
        <w:t>信息化工作进行合规检查，按照《年度深圳市党政机关信息安全联合检查工作方案》要求，根据</w:t>
      </w:r>
      <w:r>
        <w:rPr>
          <w:rFonts w:hint="eastAsia" w:cs="Times New Roman"/>
          <w:snapToGrid/>
          <w:spacing w:val="0"/>
          <w:sz w:val="21"/>
          <w:szCs w:val="21"/>
          <w:lang w:eastAsia="zh-CN"/>
        </w:rPr>
        <w:t>采购单位</w:t>
      </w:r>
      <w:r>
        <w:rPr>
          <w:rFonts w:hint="eastAsia" w:cs="Times New Roman"/>
          <w:snapToGrid/>
          <w:spacing w:val="0"/>
          <w:sz w:val="21"/>
          <w:szCs w:val="21"/>
        </w:rPr>
        <w:t>现状修订信息安全管理机构和制度。指定信息安全主管领导和各职能负责人，并签署相关责任文件和保密文件，同时根据已有的信息安全制度保存相关实施的记录。</w:t>
      </w:r>
    </w:p>
    <w:p w14:paraId="5063B7E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安全漏洞扫描</w:t>
      </w:r>
    </w:p>
    <w:p w14:paraId="5EA83B3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每季度配合</w:t>
      </w:r>
      <w:r>
        <w:rPr>
          <w:rFonts w:hint="eastAsia" w:cs="Times New Roman"/>
          <w:snapToGrid/>
          <w:spacing w:val="0"/>
          <w:sz w:val="21"/>
          <w:szCs w:val="21"/>
          <w:lang w:eastAsia="zh-CN"/>
        </w:rPr>
        <w:t>采购单位</w:t>
      </w:r>
      <w:r>
        <w:rPr>
          <w:rFonts w:hint="eastAsia" w:cs="Times New Roman"/>
          <w:snapToGrid/>
          <w:spacing w:val="0"/>
          <w:sz w:val="21"/>
          <w:szCs w:val="21"/>
        </w:rPr>
        <w:t>完成用户终端、服务器、及各信息系统（包括APP）的安全漏洞扫描及漏洞整改工作并出具报告。</w:t>
      </w:r>
    </w:p>
    <w:p w14:paraId="34C290F7">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渗透测试</w:t>
      </w:r>
    </w:p>
    <w:p w14:paraId="741F565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每季度对</w:t>
      </w:r>
      <w:r>
        <w:rPr>
          <w:rFonts w:hint="eastAsia" w:cs="Times New Roman"/>
          <w:snapToGrid/>
          <w:spacing w:val="0"/>
          <w:sz w:val="21"/>
          <w:szCs w:val="21"/>
          <w:lang w:eastAsia="zh-CN"/>
        </w:rPr>
        <w:t>采购单位</w:t>
      </w:r>
      <w:r>
        <w:rPr>
          <w:rFonts w:hint="eastAsia" w:cs="Times New Roman"/>
          <w:snapToGrid/>
          <w:spacing w:val="0"/>
          <w:sz w:val="21"/>
          <w:szCs w:val="21"/>
        </w:rPr>
        <w:t>所有信息系统开展渗透测试检查工作并出具报告，以黑客角度手工方式挖掘漏洞，通过该项工作进一步摸清应用系统及网站的安全性，避免出现信息安全事件。</w:t>
      </w:r>
    </w:p>
    <w:p w14:paraId="61EDC0D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5.</w:t>
      </w:r>
      <w:r>
        <w:rPr>
          <w:rFonts w:hint="eastAsia" w:cs="Times New Roman"/>
          <w:snapToGrid/>
          <w:spacing w:val="0"/>
          <w:sz w:val="21"/>
          <w:szCs w:val="21"/>
        </w:rPr>
        <w:t>信息系统上线安全准入检查</w:t>
      </w:r>
    </w:p>
    <w:p w14:paraId="699930F2">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配合</w:t>
      </w:r>
      <w:r>
        <w:rPr>
          <w:rFonts w:hint="eastAsia" w:cs="Times New Roman"/>
          <w:snapToGrid/>
          <w:spacing w:val="0"/>
          <w:sz w:val="21"/>
          <w:szCs w:val="21"/>
          <w:lang w:eastAsia="zh-CN"/>
        </w:rPr>
        <w:t>采购单位</w:t>
      </w:r>
      <w:r>
        <w:rPr>
          <w:rFonts w:hint="eastAsia" w:cs="Times New Roman"/>
          <w:snapToGrid/>
          <w:spacing w:val="0"/>
          <w:sz w:val="21"/>
          <w:szCs w:val="21"/>
        </w:rPr>
        <w:t>建立信息系统上线或重大改动的安全管理：对拟上线或重大改动的系统进行安全检测工作，并按需提供源代码扫描服务，确保信息系统没有中高安全风险后再上线使用。</w:t>
      </w:r>
    </w:p>
    <w:p w14:paraId="53B4169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6.</w:t>
      </w:r>
      <w:r>
        <w:rPr>
          <w:rFonts w:hint="eastAsia" w:cs="Times New Roman"/>
          <w:snapToGrid/>
          <w:spacing w:val="0"/>
          <w:sz w:val="21"/>
          <w:szCs w:val="21"/>
        </w:rPr>
        <w:t>风险评估</w:t>
      </w:r>
    </w:p>
    <w:p w14:paraId="542A6EF2">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对</w:t>
      </w:r>
      <w:r>
        <w:rPr>
          <w:rFonts w:hint="eastAsia" w:cs="Times New Roman"/>
          <w:snapToGrid/>
          <w:spacing w:val="0"/>
          <w:sz w:val="21"/>
          <w:szCs w:val="21"/>
          <w:lang w:eastAsia="zh-CN"/>
        </w:rPr>
        <w:t>采购单位</w:t>
      </w:r>
      <w:r>
        <w:rPr>
          <w:rFonts w:hint="eastAsia" w:cs="Times New Roman"/>
          <w:snapToGrid/>
          <w:spacing w:val="0"/>
          <w:sz w:val="21"/>
          <w:szCs w:val="21"/>
        </w:rPr>
        <w:t>的信息系统开展一次风险评估工作, 通过开展信息安全风险评估工作，摸清</w:t>
      </w:r>
      <w:r>
        <w:rPr>
          <w:rFonts w:hint="eastAsia" w:cs="Times New Roman"/>
          <w:snapToGrid/>
          <w:spacing w:val="0"/>
          <w:sz w:val="21"/>
          <w:szCs w:val="21"/>
          <w:lang w:val="en-US" w:eastAsia="zh-CN"/>
        </w:rPr>
        <w:t>采购单位</w:t>
      </w:r>
      <w:r>
        <w:rPr>
          <w:rFonts w:hint="eastAsia" w:cs="Times New Roman"/>
          <w:snapToGrid/>
          <w:spacing w:val="0"/>
          <w:sz w:val="21"/>
          <w:szCs w:val="21"/>
        </w:rPr>
        <w:t>信息系统的安全风险状况，对发现的不可接受的风险进行整改和实行有效的控制，同时出具报告和解决方案。</w:t>
      </w:r>
    </w:p>
    <w:p w14:paraId="5B9F75D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7.</w:t>
      </w:r>
      <w:r>
        <w:rPr>
          <w:rFonts w:hint="eastAsia" w:cs="Times New Roman"/>
          <w:snapToGrid/>
          <w:spacing w:val="0"/>
          <w:sz w:val="21"/>
          <w:szCs w:val="21"/>
        </w:rPr>
        <w:t>网络与信息安全突发事件应急响应</w:t>
      </w:r>
    </w:p>
    <w:p w14:paraId="72E7664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提供7x24小</w:t>
      </w:r>
      <w:r>
        <w:rPr>
          <w:rFonts w:hint="eastAsia" w:cs="Times New Roman"/>
          <w:snapToGrid/>
          <w:spacing w:val="0"/>
          <w:sz w:val="21"/>
          <w:szCs w:val="21"/>
          <w:lang w:val="en-US" w:eastAsia="zh-CN"/>
        </w:rPr>
        <w:t>时</w:t>
      </w:r>
      <w:r>
        <w:rPr>
          <w:rFonts w:hint="eastAsia" w:cs="Times New Roman"/>
          <w:snapToGrid/>
          <w:spacing w:val="0"/>
          <w:sz w:val="21"/>
          <w:szCs w:val="21"/>
        </w:rPr>
        <w:t>网络与安全事件的应急响应工作，若无法远程处理解决问题，应在接到</w:t>
      </w:r>
      <w:r>
        <w:rPr>
          <w:rFonts w:hint="eastAsia" w:cs="Times New Roman"/>
          <w:snapToGrid/>
          <w:spacing w:val="0"/>
          <w:sz w:val="21"/>
          <w:szCs w:val="21"/>
          <w:lang w:val="en-US" w:eastAsia="zh-CN"/>
        </w:rPr>
        <w:t>采购单位</w:t>
      </w:r>
      <w:r>
        <w:rPr>
          <w:rFonts w:hint="eastAsia" w:cs="Times New Roman"/>
          <w:snapToGrid/>
          <w:spacing w:val="0"/>
          <w:sz w:val="21"/>
          <w:szCs w:val="21"/>
        </w:rPr>
        <w:t>电话后1小时内赶到现场，应急响应主要针对突发的网站安全故障、网络安全事件、应用系统安全事件、主机安全事件、黑客攻击事件等进行诊断、分析并协助解决。</w:t>
      </w:r>
    </w:p>
    <w:p w14:paraId="6EC2AB3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8.</w:t>
      </w:r>
      <w:r>
        <w:rPr>
          <w:rFonts w:hint="eastAsia" w:cs="Times New Roman"/>
          <w:snapToGrid/>
          <w:spacing w:val="0"/>
          <w:sz w:val="21"/>
          <w:szCs w:val="21"/>
        </w:rPr>
        <w:t>安全培训</w:t>
      </w:r>
    </w:p>
    <w:p w14:paraId="6EACC5B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对</w:t>
      </w:r>
      <w:r>
        <w:rPr>
          <w:rFonts w:hint="eastAsia" w:cs="Times New Roman"/>
          <w:snapToGrid/>
          <w:spacing w:val="0"/>
          <w:sz w:val="21"/>
          <w:szCs w:val="21"/>
          <w:lang w:eastAsia="zh-CN"/>
        </w:rPr>
        <w:t>采购单位</w:t>
      </w:r>
      <w:r>
        <w:rPr>
          <w:rFonts w:hint="eastAsia" w:cs="Times New Roman"/>
          <w:snapToGrid/>
          <w:spacing w:val="0"/>
          <w:sz w:val="21"/>
          <w:szCs w:val="21"/>
        </w:rPr>
        <w:t>开展至少一次全员信息安全意识教育，培养工作人员的信息安全意识，提高其信息安全知识水平，以更好地为信息安全建设和管理工作服务。</w:t>
      </w:r>
    </w:p>
    <w:p w14:paraId="0D34D4E5">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9.</w:t>
      </w:r>
      <w:r>
        <w:rPr>
          <w:rFonts w:hint="eastAsia" w:cs="Times New Roman"/>
          <w:snapToGrid/>
          <w:spacing w:val="0"/>
          <w:sz w:val="21"/>
          <w:szCs w:val="21"/>
        </w:rPr>
        <w:t>安全咨询</w:t>
      </w:r>
    </w:p>
    <w:p w14:paraId="619BC25D">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在信息安全措施、安全策略、安全问题、安全管理体系等方面为</w:t>
      </w:r>
      <w:r>
        <w:rPr>
          <w:rFonts w:hint="eastAsia" w:cs="Times New Roman"/>
          <w:snapToGrid/>
          <w:spacing w:val="0"/>
          <w:sz w:val="21"/>
          <w:szCs w:val="21"/>
          <w:lang w:val="en-US" w:eastAsia="zh-CN"/>
        </w:rPr>
        <w:t>采购单位</w:t>
      </w:r>
      <w:r>
        <w:rPr>
          <w:rFonts w:hint="eastAsia" w:cs="Times New Roman"/>
          <w:snapToGrid/>
          <w:spacing w:val="0"/>
          <w:sz w:val="21"/>
          <w:szCs w:val="21"/>
        </w:rPr>
        <w:t>提供信息安全技术咨询服务。</w:t>
      </w:r>
    </w:p>
    <w:p w14:paraId="2BFEBB44">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10.</w:t>
      </w:r>
      <w:r>
        <w:rPr>
          <w:rFonts w:hint="eastAsia" w:cs="Times New Roman"/>
          <w:snapToGrid/>
          <w:spacing w:val="0"/>
          <w:sz w:val="21"/>
          <w:szCs w:val="21"/>
        </w:rPr>
        <w:t>年度迎检工作配合</w:t>
      </w:r>
    </w:p>
    <w:p w14:paraId="3FA5840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配合</w:t>
      </w:r>
      <w:r>
        <w:rPr>
          <w:rFonts w:hint="eastAsia" w:cs="Times New Roman"/>
          <w:snapToGrid/>
          <w:spacing w:val="0"/>
          <w:sz w:val="21"/>
          <w:szCs w:val="21"/>
          <w:lang w:eastAsia="zh-CN"/>
        </w:rPr>
        <w:t>采购单位</w:t>
      </w:r>
      <w:r>
        <w:rPr>
          <w:rFonts w:hint="eastAsia" w:cs="Times New Roman"/>
          <w:snapToGrid/>
          <w:spacing w:val="0"/>
          <w:sz w:val="21"/>
          <w:szCs w:val="21"/>
        </w:rPr>
        <w:t>完成年度现场检查汇报材料《年度信息安全联合检查迎检资料汇编》。</w:t>
      </w:r>
    </w:p>
    <w:p w14:paraId="47FE959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11.</w:t>
      </w:r>
      <w:r>
        <w:rPr>
          <w:rFonts w:hint="eastAsia" w:cs="Times New Roman"/>
          <w:snapToGrid/>
          <w:spacing w:val="0"/>
          <w:sz w:val="21"/>
          <w:szCs w:val="21"/>
        </w:rPr>
        <w:t>攻防演练期间现场值守安全保障服务</w:t>
      </w:r>
    </w:p>
    <w:p w14:paraId="043307C4">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rPr>
        <w:t>安排一名工程师负责实战攻防演练期间现场网络安全值守工作，主要负责对安全设备告警进行分析、确认及上报，对出现的安全风险协助进行风险排查、定位、处置，并协助开展溯源工作。</w:t>
      </w:r>
    </w:p>
    <w:p w14:paraId="0530C00C">
      <w:pPr>
        <w:pStyle w:val="506"/>
        <w:wordWrap/>
        <w:spacing w:afterLines="0" w:line="360" w:lineRule="auto"/>
        <w:ind w:firstLine="420"/>
        <w:rPr>
          <w:rFonts w:hint="eastAsia" w:cs="Times New Roman"/>
          <w:b/>
          <w:bCs/>
          <w:snapToGrid/>
          <w:spacing w:val="0"/>
          <w:sz w:val="21"/>
          <w:szCs w:val="21"/>
          <w:highlight w:val="yellow"/>
          <w:lang w:eastAsia="zh-CN"/>
        </w:rPr>
      </w:pPr>
      <w:r>
        <w:rPr>
          <w:rFonts w:hint="eastAsia" w:cs="Times New Roman"/>
          <w:b/>
          <w:bCs/>
          <w:snapToGrid/>
          <w:spacing w:val="0"/>
          <w:sz w:val="21"/>
          <w:szCs w:val="21"/>
          <w:highlight w:val="yellow"/>
          <w:lang w:val="en-US" w:eastAsia="zh-CN"/>
        </w:rPr>
        <w:t>★12.</w:t>
      </w:r>
      <w:r>
        <w:rPr>
          <w:rFonts w:hint="eastAsia" w:cs="Times New Roman"/>
          <w:b/>
          <w:bCs/>
          <w:snapToGrid/>
          <w:spacing w:val="0"/>
          <w:sz w:val="21"/>
          <w:szCs w:val="21"/>
          <w:highlight w:val="yellow"/>
          <w:lang w:eastAsia="zh-CN"/>
        </w:rPr>
        <w:t>动态防御工具</w:t>
      </w:r>
      <w:r>
        <w:rPr>
          <w:rFonts w:hint="eastAsia" w:cs="Times New Roman"/>
          <w:b/>
          <w:bCs/>
          <w:snapToGrid/>
          <w:spacing w:val="0"/>
          <w:sz w:val="21"/>
          <w:szCs w:val="21"/>
          <w:highlight w:val="yellow"/>
          <w:lang w:eastAsia="zh-CN"/>
        </w:rPr>
        <w:tab/>
      </w:r>
    </w:p>
    <w:p w14:paraId="047DFF8F">
      <w:pPr>
        <w:pStyle w:val="506"/>
        <w:wordWrap/>
        <w:spacing w:afterLines="0" w:line="360" w:lineRule="auto"/>
        <w:ind w:firstLine="420"/>
        <w:rPr>
          <w:rFonts w:cs="Times New Roman"/>
          <w:b/>
          <w:bCs/>
          <w:snapToGrid/>
          <w:spacing w:val="0"/>
          <w:sz w:val="21"/>
          <w:szCs w:val="21"/>
          <w:highlight w:val="yellow"/>
        </w:rPr>
      </w:pPr>
      <w:r>
        <w:rPr>
          <w:rFonts w:hint="eastAsia" w:cs="Times New Roman"/>
          <w:b/>
          <w:bCs/>
          <w:snapToGrid/>
          <w:spacing w:val="0"/>
          <w:sz w:val="21"/>
          <w:szCs w:val="21"/>
          <w:highlight w:val="yellow"/>
          <w:lang w:eastAsia="zh-CN"/>
        </w:rPr>
        <w:t>在服务期内，提供一套动态防御工具（软件部署），通过动态验证、动态令牌等技术实现从用户端到服务器端的全方位“主动防护”，为采购单位对互联网提供服务的 Web系统、小程序等提供的安全保护。</w:t>
      </w:r>
      <w:r>
        <w:rPr>
          <w:rFonts w:hint="eastAsia" w:cs="Times New Roman"/>
          <w:b/>
          <w:bCs/>
          <w:snapToGrid/>
          <w:color w:val="FF0000"/>
          <w:spacing w:val="0"/>
          <w:sz w:val="21"/>
          <w:szCs w:val="21"/>
          <w:highlight w:val="yellow"/>
          <w:lang w:eastAsia="zh-CN"/>
        </w:rPr>
        <w:t>（</w:t>
      </w:r>
      <w:r>
        <w:rPr>
          <w:rFonts w:hint="eastAsia" w:cs="Times New Roman"/>
          <w:b/>
          <w:bCs/>
          <w:snapToGrid/>
          <w:color w:val="FF0000"/>
          <w:spacing w:val="0"/>
          <w:sz w:val="21"/>
          <w:szCs w:val="21"/>
          <w:highlight w:val="yellow"/>
          <w:lang w:val="en-US" w:eastAsia="zh-CN"/>
        </w:rPr>
        <w:t>投</w:t>
      </w:r>
      <w:r>
        <w:rPr>
          <w:rFonts w:hint="eastAsia" w:cs="Times New Roman"/>
          <w:b/>
          <w:bCs/>
          <w:snapToGrid/>
          <w:color w:val="FF0000"/>
          <w:spacing w:val="0"/>
          <w:sz w:val="21"/>
          <w:szCs w:val="21"/>
          <w:highlight w:val="yellow"/>
          <w:lang w:eastAsia="zh-CN"/>
        </w:rPr>
        <w:t>标人需提供承诺函，</w:t>
      </w:r>
      <w:r>
        <w:rPr>
          <w:rFonts w:hint="eastAsia" w:cs="Times New Roman"/>
          <w:b/>
          <w:bCs/>
          <w:snapToGrid/>
          <w:color w:val="FF0000"/>
          <w:spacing w:val="0"/>
          <w:sz w:val="21"/>
          <w:szCs w:val="21"/>
          <w:highlight w:val="yellow"/>
          <w:lang w:val="en-US" w:eastAsia="zh-CN"/>
        </w:rPr>
        <w:t>加盖投标人公章，格式自拟</w:t>
      </w:r>
      <w:r>
        <w:rPr>
          <w:rFonts w:hint="eastAsia" w:cs="Times New Roman"/>
          <w:b/>
          <w:bCs/>
          <w:snapToGrid/>
          <w:color w:val="FF0000"/>
          <w:spacing w:val="0"/>
          <w:sz w:val="21"/>
          <w:szCs w:val="21"/>
          <w:highlight w:val="yellow"/>
          <w:lang w:eastAsia="zh-CN"/>
        </w:rPr>
        <w:t>）</w:t>
      </w:r>
    </w:p>
    <w:p w14:paraId="00254149">
      <w:pPr>
        <w:pStyle w:val="506"/>
        <w:wordWrap/>
        <w:spacing w:afterLines="0" w:line="360" w:lineRule="auto"/>
        <w:ind w:firstLine="420"/>
        <w:rPr>
          <w:rFonts w:cs="Times New Roman"/>
          <w:snapToGrid/>
          <w:spacing w:val="0"/>
          <w:sz w:val="21"/>
          <w:szCs w:val="21"/>
        </w:rPr>
      </w:pPr>
    </w:p>
    <w:p w14:paraId="4E96071C">
      <w:pPr>
        <w:pStyle w:val="321"/>
        <w:ind w:firstLine="0" w:firstLineChars="0"/>
        <w:rPr>
          <w:b/>
        </w:rPr>
      </w:pPr>
      <w:r>
        <w:rPr>
          <w:rFonts w:hint="eastAsia"/>
          <w:b/>
        </w:rPr>
        <w:t>三、项目商务要求</w:t>
      </w:r>
    </w:p>
    <w:p w14:paraId="2E4BDE80">
      <w:pPr>
        <w:spacing w:line="360" w:lineRule="auto"/>
        <w:ind w:firstLine="422" w:firstLineChars="200"/>
        <w:rPr>
          <w:rFonts w:hint="eastAsia" w:asciiTheme="minorEastAsia" w:hAnsiTheme="minorEastAsia" w:eastAsiaTheme="minorEastAsia"/>
          <w:b/>
          <w:bCs/>
          <w:highlight w:val="none"/>
        </w:rPr>
      </w:pPr>
      <w:bookmarkStart w:id="9" w:name="_Toc90460813"/>
      <w:bookmarkStart w:id="10" w:name="_Toc135293161"/>
      <w:r>
        <w:rPr>
          <w:rFonts w:hint="eastAsia" w:cs="Times New Roman"/>
          <w:b/>
          <w:bCs/>
          <w:snapToGrid/>
          <w:spacing w:val="0"/>
          <w:sz w:val="21"/>
          <w:szCs w:val="21"/>
          <w:highlight w:val="yellow"/>
          <w:lang w:val="en-US" w:eastAsia="zh-CN"/>
        </w:rPr>
        <w:t>★</w:t>
      </w:r>
      <w:r>
        <w:rPr>
          <w:rFonts w:hint="eastAsia" w:asciiTheme="minorEastAsia" w:hAnsiTheme="minorEastAsia" w:eastAsiaTheme="minorEastAsia"/>
          <w:b/>
          <w:bCs/>
          <w:highlight w:val="yellow"/>
          <w:lang w:val="en-US" w:eastAsia="zh-CN"/>
        </w:rPr>
        <w:t>1.</w:t>
      </w:r>
      <w:r>
        <w:rPr>
          <w:rFonts w:hint="eastAsia" w:asciiTheme="minorEastAsia" w:hAnsiTheme="minorEastAsia" w:eastAsiaTheme="minorEastAsia"/>
          <w:b/>
          <w:bCs/>
          <w:highlight w:val="yellow"/>
        </w:rPr>
        <w:t>服务期限</w:t>
      </w:r>
      <w:bookmarkEnd w:id="9"/>
      <w:r>
        <w:rPr>
          <w:rFonts w:hint="eastAsia" w:asciiTheme="minorEastAsia" w:hAnsiTheme="minorEastAsia" w:eastAsiaTheme="minorEastAsia"/>
          <w:b/>
          <w:bCs/>
          <w:highlight w:val="yellow"/>
          <w:lang w:eastAsia="zh-CN"/>
        </w:rPr>
        <w:t>：</w:t>
      </w:r>
      <w:r>
        <w:rPr>
          <w:rFonts w:hint="eastAsia" w:asciiTheme="minorEastAsia" w:hAnsiTheme="minorEastAsia" w:eastAsiaTheme="minorEastAsia"/>
          <w:b/>
          <w:bCs/>
          <w:highlight w:val="yellow"/>
          <w:lang w:val="en-US" w:eastAsia="zh-CN"/>
        </w:rPr>
        <w:t>合同签订之日起一年</w:t>
      </w:r>
      <w:r>
        <w:rPr>
          <w:rFonts w:hint="eastAsia" w:asciiTheme="minorEastAsia" w:hAnsiTheme="minorEastAsia" w:eastAsiaTheme="minorEastAsia"/>
          <w:b/>
          <w:bCs/>
          <w:highlight w:val="yellow"/>
        </w:rPr>
        <w:t>。本项目合同履行期限满后，采购单位可根据中标供应商履约情况确定合同是否续签，但总合同履行期限最长不超过3年，第一年为本次招标的中标合同履行期限，合同一年一签。续签合同的各项费用按照本项目中标价执行。</w:t>
      </w:r>
    </w:p>
    <w:p w14:paraId="3E81D394">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服务地点：深圳市内（采购方指定地点）。</w:t>
      </w:r>
    </w:p>
    <w:p w14:paraId="0BD89042">
      <w:pPr>
        <w:spacing w:line="360" w:lineRule="auto"/>
        <w:ind w:firstLine="422" w:firstLineChars="200"/>
        <w:rPr>
          <w:rFonts w:hint="eastAsia" w:asciiTheme="minorEastAsia" w:hAnsiTheme="minorEastAsia" w:eastAsiaTheme="minorEastAsia"/>
          <w:b/>
          <w:bCs/>
          <w:highlight w:val="yellow"/>
        </w:rPr>
      </w:pPr>
      <w:bookmarkStart w:id="11" w:name="_Toc90460814"/>
      <w:r>
        <w:rPr>
          <w:rFonts w:hint="eastAsia" w:asciiTheme="minorEastAsia" w:hAnsiTheme="minorEastAsia" w:eastAsiaTheme="minorEastAsia"/>
          <w:b/>
          <w:bCs/>
          <w:highlight w:val="yellow"/>
        </w:rPr>
        <w:t>★</w:t>
      </w:r>
      <w:r>
        <w:rPr>
          <w:rFonts w:hint="eastAsia" w:asciiTheme="minorEastAsia" w:hAnsiTheme="minorEastAsia" w:eastAsiaTheme="minorEastAsia"/>
          <w:b/>
          <w:bCs/>
          <w:highlight w:val="yellow"/>
          <w:lang w:val="en-US" w:eastAsia="zh-CN"/>
        </w:rPr>
        <w:t>3.</w:t>
      </w:r>
      <w:r>
        <w:rPr>
          <w:rFonts w:hint="eastAsia" w:asciiTheme="minorEastAsia" w:hAnsiTheme="minorEastAsia" w:eastAsiaTheme="minorEastAsia"/>
          <w:b/>
          <w:bCs/>
          <w:highlight w:val="yellow"/>
        </w:rPr>
        <w:t>付款方法和条件</w:t>
      </w:r>
      <w:bookmarkEnd w:id="11"/>
      <w:r>
        <w:rPr>
          <w:rFonts w:hint="eastAsia" w:asciiTheme="minorEastAsia" w:hAnsiTheme="minorEastAsia" w:eastAsiaTheme="minorEastAsia"/>
          <w:b/>
          <w:bCs/>
          <w:highlight w:val="yellow"/>
        </w:rPr>
        <w:t xml:space="preserve">  </w:t>
      </w:r>
      <w:bookmarkStart w:id="12" w:name="付款方法和条件"/>
      <w:bookmarkEnd w:id="12"/>
      <w:r>
        <w:rPr>
          <w:rFonts w:hint="eastAsia" w:asciiTheme="minorEastAsia" w:hAnsiTheme="minorEastAsia" w:eastAsiaTheme="minorEastAsia"/>
          <w:b/>
          <w:bCs/>
          <w:highlight w:val="yellow"/>
        </w:rPr>
        <w:t xml:space="preserve"> </w:t>
      </w:r>
    </w:p>
    <w:p w14:paraId="649DC0EC">
      <w:pPr>
        <w:spacing w:line="360" w:lineRule="auto"/>
        <w:ind w:firstLine="422" w:firstLineChars="200"/>
        <w:rPr>
          <w:rFonts w:hint="eastAsia" w:asciiTheme="minorEastAsia" w:hAnsiTheme="minorEastAsia" w:eastAsiaTheme="minorEastAsia"/>
          <w:b/>
          <w:bCs/>
          <w:highlight w:val="yellow"/>
          <w:lang w:val="en-US" w:eastAsia="zh-CN"/>
        </w:rPr>
      </w:pPr>
      <w:r>
        <w:rPr>
          <w:rFonts w:hint="eastAsia" w:asciiTheme="minorEastAsia" w:hAnsiTheme="minorEastAsia" w:eastAsiaTheme="minorEastAsia"/>
          <w:b/>
          <w:bCs/>
          <w:highlight w:val="yellow"/>
        </w:rPr>
        <w:t>付款方式为分</w:t>
      </w:r>
      <w:r>
        <w:rPr>
          <w:rFonts w:hint="eastAsia" w:asciiTheme="minorEastAsia" w:hAnsiTheme="minorEastAsia" w:eastAsiaTheme="minorEastAsia"/>
          <w:b/>
          <w:bCs/>
          <w:highlight w:val="yellow"/>
          <w:lang w:val="en-US" w:eastAsia="zh-CN"/>
        </w:rPr>
        <w:t>四</w:t>
      </w:r>
      <w:r>
        <w:rPr>
          <w:rFonts w:hint="eastAsia" w:asciiTheme="minorEastAsia" w:hAnsiTheme="minorEastAsia" w:eastAsiaTheme="minorEastAsia"/>
          <w:b/>
          <w:bCs/>
          <w:highlight w:val="yellow"/>
        </w:rPr>
        <w:t>次付款：合同签订</w:t>
      </w:r>
      <w:r>
        <w:rPr>
          <w:rFonts w:hint="eastAsia" w:asciiTheme="minorEastAsia" w:hAnsiTheme="minorEastAsia" w:eastAsiaTheme="minorEastAsia"/>
          <w:b/>
          <w:bCs/>
          <w:highlight w:val="yellow"/>
          <w:lang w:val="en-US" w:eastAsia="zh-CN"/>
        </w:rPr>
        <w:t>后</w:t>
      </w:r>
      <w:r>
        <w:rPr>
          <w:rFonts w:hint="eastAsia" w:asciiTheme="minorEastAsia" w:hAnsiTheme="minorEastAsia" w:eastAsiaTheme="minorEastAsia"/>
          <w:b/>
          <w:bCs/>
          <w:highlight w:val="yellow"/>
        </w:rPr>
        <w:t>一个月内，采购单位收到中标人开具的合格发票后，向中标人支付合同金额的</w:t>
      </w:r>
      <w:r>
        <w:rPr>
          <w:rFonts w:hint="eastAsia" w:asciiTheme="minorEastAsia" w:hAnsiTheme="minorEastAsia" w:eastAsiaTheme="minorEastAsia"/>
          <w:b/>
          <w:bCs/>
          <w:highlight w:val="yellow"/>
          <w:lang w:val="en-US" w:eastAsia="zh-CN"/>
        </w:rPr>
        <w:t>4</w:t>
      </w:r>
      <w:r>
        <w:rPr>
          <w:rFonts w:hint="eastAsia" w:asciiTheme="minorEastAsia" w:hAnsiTheme="minorEastAsia" w:eastAsiaTheme="minorEastAsia"/>
          <w:b/>
          <w:bCs/>
          <w:highlight w:val="yellow"/>
        </w:rPr>
        <w:t>0%；202</w:t>
      </w:r>
      <w:r>
        <w:rPr>
          <w:rFonts w:hint="eastAsia" w:asciiTheme="minorEastAsia" w:hAnsiTheme="minorEastAsia" w:eastAsiaTheme="minorEastAsia"/>
          <w:b/>
          <w:bCs/>
          <w:highlight w:val="yellow"/>
          <w:lang w:val="en-US" w:eastAsia="zh-CN"/>
        </w:rPr>
        <w:t>5</w:t>
      </w:r>
      <w:r>
        <w:rPr>
          <w:rFonts w:hint="eastAsia" w:asciiTheme="minorEastAsia" w:hAnsiTheme="minorEastAsia" w:eastAsiaTheme="minorEastAsia"/>
          <w:b/>
          <w:bCs/>
          <w:highlight w:val="yellow"/>
        </w:rPr>
        <w:t>年6月30日前，采购单位收到中标人开具的合格发票后，向中标人支付合同金额的</w:t>
      </w:r>
      <w:r>
        <w:rPr>
          <w:rFonts w:hint="eastAsia" w:asciiTheme="minorEastAsia" w:hAnsiTheme="minorEastAsia" w:eastAsiaTheme="minorEastAsia"/>
          <w:b/>
          <w:bCs/>
          <w:highlight w:val="yellow"/>
          <w:lang w:val="en-US" w:eastAsia="zh-CN"/>
        </w:rPr>
        <w:t>25</w:t>
      </w:r>
      <w:r>
        <w:rPr>
          <w:rFonts w:hint="eastAsia" w:asciiTheme="minorEastAsia" w:hAnsiTheme="minorEastAsia" w:eastAsiaTheme="minorEastAsia"/>
          <w:b/>
          <w:bCs/>
          <w:highlight w:val="yellow"/>
        </w:rPr>
        <w:t>%，202</w:t>
      </w:r>
      <w:r>
        <w:rPr>
          <w:rFonts w:hint="eastAsia" w:asciiTheme="minorEastAsia" w:hAnsiTheme="minorEastAsia" w:eastAsiaTheme="minorEastAsia"/>
          <w:b/>
          <w:bCs/>
          <w:highlight w:val="yellow"/>
          <w:lang w:val="en-US" w:eastAsia="zh-CN"/>
        </w:rPr>
        <w:t>5</w:t>
      </w:r>
      <w:r>
        <w:rPr>
          <w:rFonts w:hint="eastAsia" w:asciiTheme="minorEastAsia" w:hAnsiTheme="minorEastAsia" w:eastAsiaTheme="minorEastAsia"/>
          <w:b/>
          <w:bCs/>
          <w:highlight w:val="yellow"/>
        </w:rPr>
        <w:t>年</w:t>
      </w:r>
      <w:r>
        <w:rPr>
          <w:rFonts w:hint="eastAsia" w:asciiTheme="minorEastAsia" w:hAnsiTheme="minorEastAsia" w:eastAsiaTheme="minorEastAsia"/>
          <w:b/>
          <w:bCs/>
          <w:highlight w:val="yellow"/>
          <w:lang w:val="en-US" w:eastAsia="zh-CN"/>
        </w:rPr>
        <w:t>11月</w:t>
      </w:r>
      <w:r>
        <w:rPr>
          <w:rFonts w:hint="eastAsia" w:asciiTheme="minorEastAsia" w:hAnsiTheme="minorEastAsia" w:eastAsiaTheme="minorEastAsia"/>
          <w:b/>
          <w:bCs/>
          <w:highlight w:val="yellow"/>
        </w:rPr>
        <w:t>，采购单位收到中标人开具的合格发票后，向中标人支付合同金额的</w:t>
      </w:r>
      <w:r>
        <w:rPr>
          <w:rFonts w:hint="eastAsia" w:asciiTheme="minorEastAsia" w:hAnsiTheme="minorEastAsia" w:eastAsiaTheme="minorEastAsia"/>
          <w:b/>
          <w:bCs/>
          <w:highlight w:val="yellow"/>
          <w:lang w:val="en-US" w:eastAsia="zh-CN"/>
        </w:rPr>
        <w:t>30</w:t>
      </w:r>
      <w:r>
        <w:rPr>
          <w:rFonts w:hint="eastAsia" w:asciiTheme="minorEastAsia" w:hAnsiTheme="minorEastAsia" w:eastAsiaTheme="minorEastAsia"/>
          <w:b/>
          <w:bCs/>
          <w:highlight w:val="yellow"/>
        </w:rPr>
        <w:t>%</w:t>
      </w:r>
      <w:r>
        <w:rPr>
          <w:rFonts w:hint="eastAsia" w:asciiTheme="minorEastAsia" w:hAnsiTheme="minorEastAsia" w:eastAsiaTheme="minorEastAsia"/>
          <w:b/>
          <w:bCs/>
          <w:highlight w:val="yellow"/>
          <w:lang w:eastAsia="zh-CN"/>
        </w:rPr>
        <w:t>；</w:t>
      </w:r>
      <w:r>
        <w:rPr>
          <w:rFonts w:hint="eastAsia" w:asciiTheme="minorEastAsia" w:hAnsiTheme="minorEastAsia" w:eastAsiaTheme="minorEastAsia"/>
          <w:b/>
          <w:bCs/>
          <w:highlight w:val="yellow"/>
          <w:lang w:val="en-US" w:eastAsia="zh-CN"/>
        </w:rPr>
        <w:t>服务期结束当月，</w:t>
      </w:r>
      <w:r>
        <w:rPr>
          <w:rFonts w:hint="eastAsia" w:asciiTheme="minorEastAsia" w:hAnsiTheme="minorEastAsia" w:eastAsiaTheme="minorEastAsia"/>
          <w:b/>
          <w:bCs/>
          <w:highlight w:val="yellow"/>
        </w:rPr>
        <w:t>采购单位收到中标人开具的合格发票后，向中标人支付合同金额的</w:t>
      </w:r>
      <w:r>
        <w:rPr>
          <w:rFonts w:hint="eastAsia" w:asciiTheme="minorEastAsia" w:hAnsiTheme="minorEastAsia" w:eastAsiaTheme="minorEastAsia"/>
          <w:b/>
          <w:bCs/>
          <w:highlight w:val="yellow"/>
          <w:lang w:val="en-US" w:eastAsia="zh-CN"/>
        </w:rPr>
        <w:t>5</w:t>
      </w:r>
      <w:r>
        <w:rPr>
          <w:rFonts w:hint="eastAsia" w:asciiTheme="minorEastAsia" w:hAnsiTheme="minorEastAsia" w:eastAsiaTheme="minorEastAsia"/>
          <w:b/>
          <w:bCs/>
          <w:highlight w:val="yellow"/>
        </w:rPr>
        <w:t>%</w:t>
      </w:r>
      <w:r>
        <w:rPr>
          <w:rFonts w:hint="eastAsia" w:asciiTheme="minorEastAsia" w:hAnsiTheme="minorEastAsia" w:eastAsiaTheme="minorEastAsia"/>
          <w:b/>
          <w:bCs/>
          <w:highlight w:val="yellow"/>
          <w:lang w:eastAsia="zh-CN"/>
        </w:rPr>
        <w:t>。</w:t>
      </w:r>
    </w:p>
    <w:p w14:paraId="0E3B20A3">
      <w:pPr>
        <w:spacing w:line="360" w:lineRule="auto"/>
        <w:ind w:firstLine="422" w:firstLineChars="200"/>
        <w:rPr>
          <w:rFonts w:hint="eastAsia" w:asciiTheme="minorEastAsia" w:hAnsiTheme="minorEastAsia" w:eastAsiaTheme="minorEastAsia"/>
          <w:b/>
          <w:bCs/>
          <w:highlight w:val="yellow"/>
        </w:rPr>
      </w:pPr>
      <w:bookmarkStart w:id="13" w:name="_Toc90460815"/>
      <w:r>
        <w:rPr>
          <w:rFonts w:hint="eastAsia" w:asciiTheme="minorEastAsia" w:hAnsiTheme="minorEastAsia" w:eastAsiaTheme="minorEastAsia"/>
          <w:b/>
          <w:bCs/>
          <w:highlight w:val="yellow"/>
        </w:rPr>
        <w:t>★</w:t>
      </w:r>
      <w:r>
        <w:rPr>
          <w:rFonts w:hint="eastAsia" w:asciiTheme="minorEastAsia" w:hAnsiTheme="minorEastAsia" w:eastAsiaTheme="minorEastAsia"/>
          <w:b/>
          <w:bCs/>
          <w:highlight w:val="yellow"/>
          <w:lang w:val="en-US" w:eastAsia="zh-CN"/>
        </w:rPr>
        <w:t>4.</w:t>
      </w:r>
      <w:r>
        <w:rPr>
          <w:rFonts w:hint="eastAsia" w:asciiTheme="minorEastAsia" w:hAnsiTheme="minorEastAsia" w:eastAsiaTheme="minorEastAsia"/>
          <w:b/>
          <w:bCs/>
          <w:highlight w:val="yellow"/>
        </w:rPr>
        <w:t>其他要求</w:t>
      </w:r>
      <w:bookmarkEnd w:id="13"/>
    </w:p>
    <w:p w14:paraId="5D0D6123">
      <w:pPr>
        <w:spacing w:line="360" w:lineRule="auto"/>
        <w:ind w:firstLine="422" w:firstLineChars="200"/>
        <w:rPr>
          <w:rFonts w:hint="eastAsia" w:asciiTheme="minorEastAsia" w:hAnsiTheme="minorEastAsia" w:eastAsiaTheme="minorEastAsia"/>
          <w:b/>
          <w:bCs/>
          <w:highlight w:val="yellow"/>
        </w:rPr>
      </w:pPr>
      <w:r>
        <w:rPr>
          <w:rFonts w:hint="eastAsia" w:asciiTheme="minorEastAsia" w:hAnsiTheme="minorEastAsia" w:eastAsiaTheme="minorEastAsia"/>
          <w:b/>
          <w:bCs/>
          <w:highlight w:val="yellow"/>
        </w:rPr>
        <w:t>现场技术服务人员必须与</w:t>
      </w:r>
      <w:r>
        <w:rPr>
          <w:rFonts w:hint="eastAsia" w:asciiTheme="minorEastAsia" w:hAnsiTheme="minorEastAsia" w:eastAsiaTheme="minorEastAsia"/>
          <w:b/>
          <w:bCs/>
          <w:highlight w:val="yellow"/>
          <w:lang w:eastAsia="zh-CN"/>
        </w:rPr>
        <w:t>采购单位</w:t>
      </w:r>
      <w:r>
        <w:rPr>
          <w:rFonts w:hint="eastAsia" w:asciiTheme="minorEastAsia" w:hAnsiTheme="minorEastAsia" w:eastAsiaTheme="minorEastAsia"/>
          <w:b/>
          <w:bCs/>
          <w:highlight w:val="yellow"/>
        </w:rPr>
        <w:t>签订《信息安全保密协议》，若由于服务提供商责任而造成的网络安全事件，</w:t>
      </w:r>
      <w:r>
        <w:rPr>
          <w:rFonts w:hint="eastAsia" w:asciiTheme="minorEastAsia" w:hAnsiTheme="minorEastAsia" w:eastAsiaTheme="minorEastAsia"/>
          <w:b/>
          <w:bCs/>
          <w:highlight w:val="yellow"/>
          <w:lang w:eastAsia="zh-CN"/>
        </w:rPr>
        <w:t>采购单位</w:t>
      </w:r>
      <w:r>
        <w:rPr>
          <w:rFonts w:hint="eastAsia" w:asciiTheme="minorEastAsia" w:hAnsiTheme="minorEastAsia" w:eastAsiaTheme="minorEastAsia"/>
          <w:b/>
          <w:bCs/>
          <w:highlight w:val="yellow"/>
        </w:rPr>
        <w:t>有权单方面终止合同，并追究服务提供方及相关涉事人员经济赔偿及法律责任。</w:t>
      </w:r>
    </w:p>
    <w:p w14:paraId="34FFB51E">
      <w:pPr>
        <w:spacing w:line="360" w:lineRule="auto"/>
        <w:ind w:firstLine="422" w:firstLineChars="200"/>
        <w:rPr>
          <w:rFonts w:hint="eastAsia" w:asciiTheme="minorEastAsia" w:hAnsiTheme="minorEastAsia" w:eastAsiaTheme="minorEastAsia"/>
          <w:b/>
          <w:bCs/>
          <w:highlight w:val="yellow"/>
        </w:rPr>
      </w:pPr>
      <w:r>
        <w:rPr>
          <w:rFonts w:hint="eastAsia" w:asciiTheme="minorEastAsia" w:hAnsiTheme="minorEastAsia" w:eastAsiaTheme="minorEastAsia"/>
          <w:b/>
          <w:bCs/>
          <w:highlight w:val="yellow"/>
        </w:rPr>
        <w:t>★</w:t>
      </w:r>
      <w:r>
        <w:rPr>
          <w:rFonts w:hint="eastAsia" w:asciiTheme="minorEastAsia" w:hAnsiTheme="minorEastAsia" w:eastAsiaTheme="minorEastAsia"/>
          <w:b/>
          <w:bCs/>
          <w:highlight w:val="yellow"/>
          <w:lang w:val="en-US" w:eastAsia="zh-CN"/>
        </w:rPr>
        <w:t>5.报价要求</w:t>
      </w:r>
    </w:p>
    <w:p w14:paraId="042F5106">
      <w:pPr>
        <w:spacing w:line="360" w:lineRule="auto"/>
        <w:ind w:firstLine="422" w:firstLineChars="200"/>
        <w:rPr>
          <w:rFonts w:hint="eastAsia" w:asciiTheme="minorEastAsia" w:hAnsiTheme="minorEastAsia" w:eastAsiaTheme="minorEastAsia"/>
          <w:b/>
          <w:bCs/>
          <w:highlight w:val="yellow"/>
        </w:rPr>
      </w:pPr>
      <w:r>
        <w:rPr>
          <w:rFonts w:hint="eastAsia" w:asciiTheme="minorEastAsia" w:hAnsiTheme="minorEastAsia" w:eastAsiaTheme="minorEastAsia"/>
          <w:b/>
          <w:bCs/>
          <w:highlight w:val="yellow"/>
          <w:lang w:eastAsia="zh-CN"/>
        </w:rPr>
        <w:t>（</w:t>
      </w:r>
      <w:r>
        <w:rPr>
          <w:rFonts w:hint="eastAsia" w:asciiTheme="minorEastAsia" w:hAnsiTheme="minorEastAsia" w:eastAsiaTheme="minorEastAsia"/>
          <w:b/>
          <w:bCs/>
          <w:highlight w:val="yellow"/>
          <w:lang w:val="en-US" w:eastAsia="zh-CN"/>
        </w:rPr>
        <w:t>1）</w:t>
      </w:r>
      <w:r>
        <w:rPr>
          <w:rFonts w:hint="eastAsia" w:asciiTheme="minorEastAsia" w:hAnsiTheme="minorEastAsia" w:eastAsiaTheme="minorEastAsia"/>
          <w:b/>
          <w:bCs/>
          <w:highlight w:val="yellow"/>
        </w:rPr>
        <w:t>所有投标均以人民币报价，以其它货币标价的投标将予以拒绝。投标人的投标报价应符合《中华人民共和国价格法》的有关规定。</w:t>
      </w:r>
    </w:p>
    <w:p w14:paraId="572A5CF8">
      <w:pPr>
        <w:spacing w:line="360" w:lineRule="auto"/>
        <w:ind w:firstLine="422" w:firstLineChars="200"/>
        <w:rPr>
          <w:rFonts w:hint="eastAsia" w:asciiTheme="minorEastAsia" w:hAnsiTheme="minorEastAsia" w:eastAsiaTheme="minorEastAsia"/>
          <w:b/>
          <w:bCs/>
          <w:highlight w:val="yellow"/>
          <w:lang w:eastAsia="zh-CN"/>
        </w:rPr>
      </w:pPr>
      <w:r>
        <w:rPr>
          <w:rFonts w:hint="eastAsia" w:asciiTheme="minorEastAsia" w:hAnsiTheme="minorEastAsia" w:eastAsiaTheme="minorEastAsia"/>
          <w:b/>
          <w:bCs/>
          <w:highlight w:val="yellow"/>
          <w:lang w:eastAsia="zh-CN"/>
        </w:rPr>
        <w:t>（</w:t>
      </w:r>
      <w:r>
        <w:rPr>
          <w:rFonts w:hint="eastAsia" w:asciiTheme="minorEastAsia" w:hAnsiTheme="minorEastAsia" w:eastAsiaTheme="minorEastAsia"/>
          <w:b/>
          <w:bCs/>
          <w:highlight w:val="yellow"/>
          <w:lang w:val="en-US" w:eastAsia="zh-CN"/>
        </w:rPr>
        <w:t>2）</w:t>
      </w:r>
      <w:r>
        <w:rPr>
          <w:rFonts w:hint="eastAsia" w:asciiTheme="minorEastAsia" w:hAnsiTheme="minorEastAsia" w:eastAsiaTheme="minorEastAsia"/>
          <w:b/>
          <w:bCs/>
          <w:highlight w:val="yellow"/>
        </w:rPr>
        <w:t>本项目服务费采用包干制，应包括服务成本、法定税费和企业的利润。由企业根据招标文件所提供的资料自行测算投标报价；一经中标，投标报价总价作为中标单位与采购单位签定的合同金额，合同期限内不做调整</w:t>
      </w:r>
      <w:r>
        <w:rPr>
          <w:rFonts w:hint="eastAsia" w:asciiTheme="minorEastAsia" w:hAnsiTheme="minorEastAsia" w:eastAsiaTheme="minorEastAsia"/>
          <w:b/>
          <w:bCs/>
          <w:highlight w:val="yellow"/>
          <w:lang w:eastAsia="zh-CN"/>
        </w:rPr>
        <w:t>。</w:t>
      </w:r>
    </w:p>
    <w:p w14:paraId="10A13773">
      <w:pPr>
        <w:spacing w:line="360" w:lineRule="auto"/>
        <w:ind w:firstLine="422" w:firstLineChars="200"/>
        <w:rPr>
          <w:rFonts w:hint="eastAsia" w:asciiTheme="minorEastAsia" w:hAnsiTheme="minorEastAsia" w:eastAsiaTheme="minorEastAsia"/>
          <w:b/>
          <w:bCs/>
          <w:highlight w:val="yellow"/>
        </w:rPr>
      </w:pPr>
      <w:r>
        <w:rPr>
          <w:rFonts w:hint="eastAsia" w:asciiTheme="minorEastAsia" w:hAnsiTheme="minorEastAsia" w:eastAsiaTheme="minorEastAsia"/>
          <w:b/>
          <w:bCs/>
          <w:highlight w:val="yellow"/>
          <w:lang w:eastAsia="zh-CN"/>
        </w:rPr>
        <w:t>（</w:t>
      </w:r>
      <w:r>
        <w:rPr>
          <w:rFonts w:hint="eastAsia" w:asciiTheme="minorEastAsia" w:hAnsiTheme="minorEastAsia" w:eastAsiaTheme="minorEastAsia"/>
          <w:b/>
          <w:bCs/>
          <w:highlight w:val="yellow"/>
          <w:lang w:val="en-US" w:eastAsia="zh-CN"/>
        </w:rPr>
        <w:t>3）</w:t>
      </w:r>
      <w:r>
        <w:rPr>
          <w:rFonts w:hint="eastAsia" w:asciiTheme="minorEastAsia" w:hAnsiTheme="minorEastAsia" w:eastAsiaTheme="minorEastAsia"/>
          <w:b/>
          <w:bCs/>
          <w:highlight w:val="yellow"/>
          <w:lang w:eastAsia="zh-CN"/>
        </w:rPr>
        <w:t>投标人的投标报价不得超过项目预算限额。</w:t>
      </w:r>
    </w:p>
    <w:p w14:paraId="39C117FF">
      <w:pPr>
        <w:spacing w:line="360" w:lineRule="auto"/>
        <w:ind w:firstLine="422" w:firstLineChars="200"/>
        <w:rPr>
          <w:rFonts w:hint="eastAsia" w:asciiTheme="minorEastAsia" w:hAnsiTheme="minorEastAsia" w:eastAsiaTheme="minorEastAsia"/>
          <w:b/>
          <w:bCs/>
          <w:highlight w:val="yellow"/>
        </w:rPr>
      </w:pPr>
      <w:r>
        <w:rPr>
          <w:rFonts w:hint="eastAsia" w:asciiTheme="minorEastAsia" w:hAnsiTheme="minorEastAsia" w:eastAsiaTheme="minorEastAsia"/>
          <w:b/>
          <w:bCs/>
          <w:highlight w:val="yellow"/>
        </w:rPr>
        <w:t>★</w:t>
      </w:r>
      <w:r>
        <w:rPr>
          <w:rFonts w:hint="eastAsia" w:asciiTheme="minorEastAsia" w:hAnsiTheme="minorEastAsia" w:eastAsiaTheme="minorEastAsia"/>
          <w:b/>
          <w:bCs/>
          <w:highlight w:val="yellow"/>
          <w:lang w:val="en-US" w:eastAsia="zh-CN"/>
        </w:rPr>
        <w:t>6.工具要求</w:t>
      </w:r>
    </w:p>
    <w:p w14:paraId="5B1EA370">
      <w:pPr>
        <w:spacing w:line="360" w:lineRule="auto"/>
        <w:ind w:firstLine="422" w:firstLineChars="200"/>
        <w:rPr>
          <w:rFonts w:hint="eastAsia" w:asciiTheme="minorEastAsia" w:hAnsiTheme="minorEastAsia" w:eastAsiaTheme="minorEastAsia"/>
          <w:b/>
          <w:bCs/>
          <w:highlight w:val="yellow"/>
          <w:lang w:val="en-US"/>
        </w:rPr>
      </w:pPr>
      <w:r>
        <w:rPr>
          <w:rFonts w:hint="eastAsia" w:asciiTheme="minorEastAsia" w:hAnsiTheme="minorEastAsia" w:eastAsiaTheme="minorEastAsia"/>
          <w:b/>
          <w:bCs/>
          <w:highlight w:val="yellow"/>
          <w:lang w:val="en-US" w:eastAsia="zh-CN"/>
        </w:rPr>
        <w:t>本项目需要自带专业的扫描及渗透测试工具开展相关工作，并提供完成的漏洞扫描报告及渗透测试报告。</w:t>
      </w:r>
    </w:p>
    <w:p w14:paraId="7B291C0B">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7.验收要求</w:t>
      </w:r>
    </w:p>
    <w:p w14:paraId="6112E0F8">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（1）服务过程符合合同约定的服务要求；</w:t>
      </w:r>
    </w:p>
    <w:p w14:paraId="050F3D70">
      <w:pPr>
        <w:spacing w:line="360" w:lineRule="auto"/>
        <w:ind w:firstLine="42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（2）按技术（服务）及合同要求，提供了全部服务成果；</w:t>
      </w:r>
    </w:p>
    <w:p w14:paraId="4E34D2B9">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3）项目成果有下列情况之一者无效：提交的成果不符合合同约定的成果内容和格式；未经采购方同意而逾期送达；有关经济技术指标严重不实；图纸和文字辨认不清、内容不全、粗制滥造；未盖有中标方公章等。</w:t>
      </w:r>
    </w:p>
    <w:p w14:paraId="7F9641FD">
      <w:pPr>
        <w:spacing w:line="360" w:lineRule="auto"/>
        <w:ind w:firstLine="420" w:firstLineChars="200"/>
        <w:rPr>
          <w:rFonts w:ascii="宋体" w:hAnsi="宋体" w:cs="楷体"/>
          <w:bCs/>
        </w:rPr>
      </w:pPr>
    </w:p>
    <w:p w14:paraId="20782614">
      <w:pPr>
        <w:spacing w:line="360" w:lineRule="auto"/>
        <w:rPr>
          <w:rFonts w:ascii="宋体" w:hAnsi="宋体"/>
          <w:b/>
          <w:kern w:val="0"/>
          <w:sz w:val="24"/>
        </w:rPr>
      </w:pPr>
      <w:r>
        <w:rPr>
          <w:rFonts w:hint="eastAsia" w:ascii="宋体" w:hAnsi="宋体"/>
          <w:b/>
          <w:kern w:val="0"/>
          <w:sz w:val="24"/>
        </w:rPr>
        <w:t>四、其他要求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w:t>
      </w:r>
      <w:r>
        <w:rPr>
          <w:rFonts w:hint="eastAsia" w:ascii="宋体" w:hAnsi="宋体" w:cs="宋体"/>
          <w:szCs w:val="21"/>
          <w:highlight w:val="yellow"/>
          <w:lang w:eastAsia="zh-CN"/>
        </w:rPr>
        <w:t>社保证明</w:t>
      </w:r>
      <w:r>
        <w:rPr>
          <w:rFonts w:hint="eastAsia" w:ascii="宋体" w:hAnsi="宋体" w:cs="宋体"/>
          <w:szCs w:val="21"/>
          <w:highlight w:val="yellow"/>
        </w:rPr>
        <w:t>的需提供</w:t>
      </w:r>
      <w:r>
        <w:rPr>
          <w:rFonts w:hint="eastAsia" w:ascii="宋体" w:hAnsi="宋体" w:cs="宋体"/>
          <w:szCs w:val="21"/>
          <w:highlight w:val="yellow"/>
          <w:lang w:eastAsia="zh-CN"/>
        </w:rPr>
        <w:t>情况</w:t>
      </w:r>
      <w:r>
        <w:rPr>
          <w:rFonts w:hint="eastAsia" w:ascii="宋体" w:hAnsi="宋体" w:cs="宋体"/>
          <w:szCs w:val="21"/>
          <w:highlight w:val="yellow"/>
        </w:rPr>
        <w:t>说明</w:t>
      </w:r>
      <w:r>
        <w:rPr>
          <w:rFonts w:hint="eastAsia" w:ascii="宋体" w:hAnsi="宋体" w:cs="宋体"/>
          <w:szCs w:val="21"/>
          <w:highlight w:val="yellow"/>
          <w:lang w:eastAsia="zh-CN"/>
        </w:rPr>
        <w:t>并承诺与其他</w:t>
      </w:r>
      <w:r>
        <w:rPr>
          <w:rFonts w:hint="eastAsia" w:ascii="宋体" w:hAnsi="宋体" w:cs="宋体"/>
          <w:szCs w:val="21"/>
          <w:highlight w:val="yellow"/>
        </w:rPr>
        <w:t>投标供应商之间</w:t>
      </w:r>
      <w:r>
        <w:rPr>
          <w:rFonts w:hint="eastAsia" w:ascii="宋体" w:hAnsi="宋体" w:cs="宋体"/>
          <w:szCs w:val="21"/>
          <w:highlight w:val="yellow"/>
          <w:lang w:eastAsia="zh-CN"/>
        </w:rPr>
        <w:t>不</w:t>
      </w:r>
      <w:r>
        <w:rPr>
          <w:rFonts w:hint="eastAsia" w:ascii="宋体" w:hAnsi="宋体" w:cs="宋体"/>
          <w:szCs w:val="21"/>
          <w:highlight w:val="yellow"/>
        </w:rPr>
        <w:t>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w:t>
      </w:r>
      <w:r>
        <w:rPr>
          <w:rFonts w:hint="eastAsia" w:ascii="宋体" w:hAnsi="宋体" w:cs="宋体"/>
          <w:szCs w:val="21"/>
          <w:highlight w:val="yellow"/>
          <w:lang w:eastAsia="zh-CN"/>
        </w:rPr>
        <w:t>情况</w:t>
      </w:r>
      <w:r>
        <w:rPr>
          <w:rFonts w:hint="eastAsia" w:ascii="宋体" w:hAnsi="宋体" w:cs="宋体"/>
          <w:szCs w:val="21"/>
          <w:highlight w:val="yellow"/>
        </w:rPr>
        <w:t>（格式自拟）。未按要求提供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负责人）、项目投标授权代表人为同一人、属同一单位或者在同一单位缴纳社保的，按投标无效处理。</w:t>
      </w:r>
    </w:p>
    <w:p w14:paraId="1B06AE9D">
      <w:pPr>
        <w:ind w:firstLine="420" w:firstLineChars="200"/>
      </w:pPr>
    </w:p>
    <w:p w14:paraId="2A1F0AE1">
      <w:pPr>
        <w:rPr>
          <w:rFonts w:hint="eastAsia"/>
        </w:rPr>
      </w:pPr>
      <w:r>
        <w:rPr>
          <w:rFonts w:hint="eastAsia"/>
        </w:rPr>
        <w:br w:type="page"/>
      </w:r>
    </w:p>
    <w:p w14:paraId="260C741C">
      <w:pPr>
        <w:pStyle w:val="3"/>
      </w:pPr>
      <w:r>
        <w:rPr>
          <w:rFonts w:hint="eastAsia"/>
        </w:rPr>
        <w:t>第三章  投标文件初审</w:t>
      </w:r>
      <w:bookmarkEnd w:id="10"/>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841F6F5">
      <w:pPr>
        <w:adjustRightInd w:val="0"/>
        <w:spacing w:line="360" w:lineRule="auto"/>
        <w:ind w:firstLine="422" w:firstLineChars="201"/>
      </w:pPr>
      <w:r>
        <w:rPr>
          <w:rFonts w:hint="eastAsia" w:ascii="宋体" w:hAnsi="宋体"/>
          <w:snapToGrid w:val="0"/>
          <w:kern w:val="0"/>
        </w:rPr>
        <w:t>13、法律法规规定的其它情形。</w:t>
      </w:r>
      <w:bookmarkStart w:id="14" w:name="_Toc135293162"/>
    </w:p>
    <w:p w14:paraId="1A9745C8">
      <w:pPr>
        <w:pStyle w:val="3"/>
        <w:spacing w:after="0"/>
      </w:pPr>
      <w:r>
        <w:rPr>
          <w:rFonts w:hint="eastAsia"/>
        </w:rPr>
        <w:t>第四章  评标方法和标准</w:t>
      </w:r>
      <w:bookmarkEnd w:id="14"/>
    </w:p>
    <w:p w14:paraId="4A994828"/>
    <w:p w14:paraId="2F2DF2E1">
      <w:pPr>
        <w:pStyle w:val="2"/>
        <w:spacing w:before="0" w:after="0"/>
      </w:pPr>
      <w:bookmarkStart w:id="15" w:name="_Toc44690429"/>
      <w:bookmarkStart w:id="16" w:name="_Toc44690702"/>
      <w:bookmarkStart w:id="17" w:name="_Toc44691161"/>
      <w:bookmarkStart w:id="18" w:name="_Toc135293163"/>
      <w:bookmarkStart w:id="19" w:name="_Toc44691393"/>
      <w:r>
        <w:rPr>
          <w:rFonts w:hint="eastAsia"/>
        </w:rPr>
        <w:t>一、</w:t>
      </w:r>
      <w:r>
        <w:t>评标方法</w:t>
      </w:r>
      <w:bookmarkEnd w:id="15"/>
      <w:bookmarkEnd w:id="16"/>
      <w:bookmarkEnd w:id="17"/>
      <w:bookmarkEnd w:id="18"/>
      <w:bookmarkEnd w:id="19"/>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20" w:name="_Toc135293164"/>
      <w:r>
        <w:rPr>
          <w:rFonts w:hint="eastAsia"/>
        </w:rPr>
        <w:t>二、评标标准</w:t>
      </w:r>
      <w:bookmarkEnd w:id="20"/>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keepNext w:val="0"/>
              <w:keepLines w:val="0"/>
              <w:pageBreakBefore w:val="0"/>
              <w:kinsoku/>
              <w:wordWrap/>
              <w:overflowPunct/>
              <w:topLinePunct w:val="0"/>
              <w:autoSpaceDE w:val="0"/>
              <w:autoSpaceDN w:val="0"/>
              <w:bidi w:val="0"/>
              <w:adjustRightInd w:val="0"/>
              <w:spacing w:line="380" w:lineRule="exact"/>
              <w:jc w:val="center"/>
              <w:textAlignment w:val="auto"/>
              <w:rPr>
                <w:rFonts w:hint="eastAsia" w:cs="仿宋" w:asciiTheme="minorEastAsia" w:hAnsiTheme="minorEastAsia" w:eastAsiaTheme="minorEastAsia"/>
                <w:b/>
                <w:szCs w:val="21"/>
                <w:lang w:val="en-US" w:eastAsia="zh-CN"/>
              </w:rPr>
            </w:pPr>
            <w:r>
              <w:rPr>
                <w:rFonts w:hint="eastAsia" w:cs="仿宋" w:asciiTheme="minorEastAsia" w:hAnsiTheme="minorEastAsia" w:eastAsiaTheme="minorEastAsia"/>
                <w:b/>
                <w:szCs w:val="21"/>
              </w:rPr>
              <w:t>1</w:t>
            </w:r>
            <w:r>
              <w:rPr>
                <w:rFonts w:hint="eastAsia" w:cs="仿宋" w:asciiTheme="minorEastAsia" w:hAnsiTheme="minorEastAsia" w:eastAsiaTheme="minorEastAsia"/>
                <w:b/>
                <w:szCs w:val="21"/>
                <w:lang w:val="en-US" w:eastAsia="zh-CN"/>
              </w:rPr>
              <w:t>5</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keepNext w:val="0"/>
              <w:keepLines w:val="0"/>
              <w:pageBreakBefore w:val="0"/>
              <w:widowControl/>
              <w:kinsoku/>
              <w:wordWrap/>
              <w:overflowPunct/>
              <w:topLinePunct w:val="0"/>
              <w:bidi w:val="0"/>
              <w:spacing w:line="380" w:lineRule="exact"/>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keepNext w:val="0"/>
              <w:keepLines w:val="0"/>
              <w:pageBreakBefore w:val="0"/>
              <w:widowControl/>
              <w:kinsoku/>
              <w:wordWrap/>
              <w:overflowPunct/>
              <w:topLinePunct w:val="0"/>
              <w:bidi w:val="0"/>
              <w:spacing w:line="380" w:lineRule="exact"/>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keepNext w:val="0"/>
              <w:keepLines w:val="0"/>
              <w:pageBreakBefore w:val="0"/>
              <w:kinsoku/>
              <w:wordWrap/>
              <w:overflowPunct/>
              <w:topLinePunct w:val="0"/>
              <w:bidi w:val="0"/>
              <w:adjustRightInd w:val="0"/>
              <w:snapToGrid w:val="0"/>
              <w:spacing w:line="380" w:lineRule="exact"/>
              <w:textAlignment w:val="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keepNext w:val="0"/>
              <w:keepLines w:val="0"/>
              <w:pageBreakBefore w:val="0"/>
              <w:kinsoku/>
              <w:wordWrap/>
              <w:overflowPunct/>
              <w:topLinePunct w:val="0"/>
              <w:bidi w:val="0"/>
              <w:adjustRightInd w:val="0"/>
              <w:snapToGrid w:val="0"/>
              <w:spacing w:line="380" w:lineRule="exact"/>
              <w:textAlignment w:val="auto"/>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keepNext w:val="0"/>
              <w:keepLines w:val="0"/>
              <w:pageBreakBefore w:val="0"/>
              <w:kinsoku/>
              <w:wordWrap/>
              <w:overflowPunct/>
              <w:topLinePunct w:val="0"/>
              <w:autoSpaceDE w:val="0"/>
              <w:autoSpaceDN w:val="0"/>
              <w:bidi w:val="0"/>
              <w:adjustRightInd w:val="0"/>
              <w:spacing w:line="380" w:lineRule="exact"/>
              <w:jc w:val="left"/>
              <w:textAlignment w:val="auto"/>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keepNext w:val="0"/>
              <w:keepLines w:val="0"/>
              <w:pageBreakBefore w:val="0"/>
              <w:kinsoku/>
              <w:wordWrap/>
              <w:overflowPunct/>
              <w:topLinePunct w:val="0"/>
              <w:autoSpaceDE w:val="0"/>
              <w:autoSpaceDN w:val="0"/>
              <w:bidi w:val="0"/>
              <w:adjustRightInd w:val="0"/>
              <w:spacing w:line="380" w:lineRule="exact"/>
              <w:jc w:val="center"/>
              <w:textAlignment w:val="auto"/>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73D7FF7">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kern w:val="0"/>
                <w:szCs w:val="21"/>
              </w:rPr>
            </w:pPr>
            <w:r>
              <w:rPr>
                <w:rFonts w:hint="eastAsia" w:ascii="宋体" w:hAnsi="宋体" w:eastAsia="宋体" w:cs="宋体"/>
                <w:sz w:val="21"/>
                <w:szCs w:val="21"/>
              </w:rPr>
              <w:t>实施方案</w:t>
            </w:r>
          </w:p>
        </w:tc>
        <w:tc>
          <w:tcPr>
            <w:tcW w:w="709" w:type="dxa"/>
            <w:vAlign w:val="center"/>
          </w:tcPr>
          <w:p w14:paraId="490D2051">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kern w:val="0"/>
                <w:szCs w:val="21"/>
              </w:rPr>
            </w:pPr>
            <w:r>
              <w:rPr>
                <w:rFonts w:hint="eastAsia" w:ascii="宋体" w:hAnsi="宋体" w:eastAsia="宋体" w:cs="宋体"/>
                <w:sz w:val="21"/>
                <w:szCs w:val="21"/>
              </w:rPr>
              <w:t>12</w:t>
            </w:r>
          </w:p>
        </w:tc>
        <w:tc>
          <w:tcPr>
            <w:tcW w:w="5953" w:type="dxa"/>
            <w:vAlign w:val="top"/>
          </w:tcPr>
          <w:p w14:paraId="30285430">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（一）评分内容：</w:t>
            </w:r>
          </w:p>
          <w:p w14:paraId="0DCF9EDC">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根据项目特点</w:t>
            </w:r>
            <w:r>
              <w:rPr>
                <w:rFonts w:hint="eastAsia" w:ascii="宋体" w:hAnsi="宋体" w:eastAsia="宋体" w:cs="宋体"/>
                <w:color w:val="000000"/>
                <w:sz w:val="21"/>
                <w:szCs w:val="21"/>
                <w:lang w:val="en-US" w:eastAsia="zh-CN"/>
              </w:rPr>
              <w:t>提供实施方案内容，包括但不限于：</w:t>
            </w:r>
          </w:p>
          <w:p w14:paraId="4F66EAE8">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、工作措施；</w:t>
            </w:r>
          </w:p>
          <w:p w14:paraId="5B6EF417">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2、工作手段；</w:t>
            </w:r>
          </w:p>
          <w:p w14:paraId="21A52DF1">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rPr>
              <w:t>3、工作方法；</w:t>
            </w:r>
          </w:p>
          <w:p w14:paraId="67577D36">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4、工作流程。</w:t>
            </w:r>
          </w:p>
          <w:p w14:paraId="0E665658">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（二）评分依据：</w:t>
            </w:r>
          </w:p>
          <w:p w14:paraId="4F0CAE33">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1.投标人提供的《实施方案》</w:t>
            </w:r>
            <w:r>
              <w:rPr>
                <w:rFonts w:hint="eastAsia" w:ascii="宋体" w:hAnsi="宋体" w:eastAsia="宋体" w:cs="宋体"/>
                <w:color w:val="000000"/>
                <w:sz w:val="21"/>
                <w:szCs w:val="21"/>
                <w:lang w:eastAsia="zh-CN"/>
              </w:rPr>
              <w:t>满足</w:t>
            </w:r>
            <w:r>
              <w:rPr>
                <w:rFonts w:hint="eastAsia" w:ascii="宋体" w:hAnsi="宋体" w:eastAsia="宋体" w:cs="宋体"/>
                <w:color w:val="000000"/>
                <w:sz w:val="21"/>
                <w:szCs w:val="21"/>
              </w:rPr>
              <w:t>上述</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项考察内容的，得</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每</w:t>
            </w:r>
            <w:r>
              <w:rPr>
                <w:rFonts w:hint="eastAsia" w:ascii="宋体" w:hAnsi="宋体" w:eastAsia="宋体" w:cs="宋体"/>
                <w:color w:val="000000"/>
                <w:sz w:val="21"/>
                <w:szCs w:val="21"/>
              </w:rPr>
              <w:t>缺少一项扣</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，扣完为止</w:t>
            </w:r>
            <w:r>
              <w:rPr>
                <w:rFonts w:hint="eastAsia" w:ascii="宋体" w:hAnsi="宋体" w:eastAsia="宋体" w:cs="宋体"/>
                <w:color w:val="000000"/>
                <w:sz w:val="21"/>
                <w:szCs w:val="21"/>
              </w:rPr>
              <w:t xml:space="preserve">。 </w:t>
            </w:r>
          </w:p>
          <w:p w14:paraId="0F808083">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在此基础上，评标委员会</w:t>
            </w:r>
            <w:r>
              <w:rPr>
                <w:rFonts w:hint="eastAsia" w:ascii="宋体" w:hAnsi="宋体" w:eastAsia="宋体" w:cs="宋体"/>
                <w:color w:val="000000"/>
                <w:sz w:val="21"/>
                <w:szCs w:val="21"/>
              </w:rPr>
              <w:t xml:space="preserve">根据投标人提供的《实施方案》的响应情况进一步评审。 </w:t>
            </w:r>
          </w:p>
          <w:p w14:paraId="18880AA0">
            <w:pPr>
              <w:pStyle w:val="18"/>
              <w:keepNext w:val="0"/>
              <w:keepLines w:val="0"/>
              <w:pageBreakBefore w:val="0"/>
              <w:kinsoku/>
              <w:wordWrap/>
              <w:overflowPunct/>
              <w:topLinePunct w:val="0"/>
              <w:bidi w:val="0"/>
              <w:spacing w:line="3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优评分标准：</w:t>
            </w:r>
          </w:p>
          <w:p w14:paraId="68B343A2">
            <w:pPr>
              <w:pStyle w:val="18"/>
              <w:keepNext w:val="0"/>
              <w:keepLines w:val="0"/>
              <w:pageBreakBefore w:val="0"/>
              <w:kinsoku/>
              <w:wordWrap/>
              <w:overflowPunct/>
              <w:topLinePunct w:val="0"/>
              <w:bidi w:val="0"/>
              <w:spacing w:line="380" w:lineRule="exact"/>
              <w:textAlignment w:val="auto"/>
              <w:rPr>
                <w:rFonts w:hint="default"/>
                <w:lang w:val="en-US" w:eastAsia="zh-CN"/>
              </w:rPr>
            </w:pPr>
            <w:r>
              <w:rPr>
                <w:rFonts w:hint="default"/>
                <w:lang w:val="en-US" w:eastAsia="zh-CN"/>
              </w:rPr>
              <w:t>1.工作措施全面，工作手段</w:t>
            </w:r>
            <w:r>
              <w:rPr>
                <w:rFonts w:hint="eastAsia"/>
                <w:lang w:val="en-US" w:eastAsia="zh-CN"/>
              </w:rPr>
              <w:t>、</w:t>
            </w:r>
            <w:r>
              <w:rPr>
                <w:rFonts w:hint="default"/>
                <w:lang w:val="en-US" w:eastAsia="zh-CN"/>
              </w:rPr>
              <w:t>工作方法</w:t>
            </w:r>
            <w:r>
              <w:rPr>
                <w:rFonts w:hint="eastAsia"/>
                <w:lang w:val="en-US" w:eastAsia="zh-CN"/>
              </w:rPr>
              <w:t>可行性高，</w:t>
            </w:r>
            <w:r>
              <w:rPr>
                <w:rFonts w:hint="default"/>
                <w:lang w:val="en-US" w:eastAsia="zh-CN"/>
              </w:rPr>
              <w:t>工作流程</w:t>
            </w:r>
            <w:r>
              <w:rPr>
                <w:rFonts w:hint="eastAsia"/>
                <w:lang w:val="en-US" w:eastAsia="zh-CN"/>
              </w:rPr>
              <w:t>安排</w:t>
            </w:r>
            <w:r>
              <w:rPr>
                <w:rFonts w:hint="default"/>
                <w:lang w:val="en-US" w:eastAsia="zh-CN"/>
              </w:rPr>
              <w:t>合理的，加</w:t>
            </w:r>
            <w:r>
              <w:rPr>
                <w:rFonts w:hint="eastAsia"/>
                <w:lang w:val="en-US" w:eastAsia="zh-CN"/>
              </w:rPr>
              <w:t>4</w:t>
            </w:r>
            <w:r>
              <w:rPr>
                <w:rFonts w:hint="default"/>
                <w:lang w:val="en-US" w:eastAsia="zh-CN"/>
              </w:rPr>
              <w:t>分；</w:t>
            </w:r>
          </w:p>
          <w:p w14:paraId="243D1126">
            <w:pPr>
              <w:pStyle w:val="18"/>
              <w:keepNext w:val="0"/>
              <w:keepLines w:val="0"/>
              <w:pageBreakBefore w:val="0"/>
              <w:kinsoku/>
              <w:wordWrap/>
              <w:overflowPunct/>
              <w:topLinePunct w:val="0"/>
              <w:bidi w:val="0"/>
              <w:spacing w:line="380" w:lineRule="exact"/>
              <w:textAlignment w:val="auto"/>
              <w:rPr>
                <w:rFonts w:hint="default"/>
                <w:lang w:val="en-US" w:eastAsia="zh-CN"/>
              </w:rPr>
            </w:pPr>
            <w:r>
              <w:rPr>
                <w:rFonts w:hint="default"/>
                <w:lang w:val="en-US" w:eastAsia="zh-CN"/>
              </w:rPr>
              <w:t>2.工作措施</w:t>
            </w:r>
            <w:r>
              <w:rPr>
                <w:rFonts w:hint="eastAsia"/>
                <w:lang w:val="en-US" w:eastAsia="zh-CN"/>
              </w:rPr>
              <w:t>比较</w:t>
            </w:r>
            <w:r>
              <w:rPr>
                <w:rFonts w:hint="default"/>
                <w:lang w:val="en-US" w:eastAsia="zh-CN"/>
              </w:rPr>
              <w:t>全面，工作手段、工作方法可行性</w:t>
            </w:r>
            <w:r>
              <w:rPr>
                <w:rFonts w:hint="eastAsia"/>
                <w:lang w:val="en-US" w:eastAsia="zh-CN"/>
              </w:rPr>
              <w:t>较</w:t>
            </w:r>
            <w:r>
              <w:rPr>
                <w:rFonts w:hint="default"/>
                <w:lang w:val="en-US" w:eastAsia="zh-CN"/>
              </w:rPr>
              <w:t>高，工作流程安排</w:t>
            </w:r>
            <w:r>
              <w:rPr>
                <w:rFonts w:hint="eastAsia"/>
                <w:lang w:val="en-US" w:eastAsia="zh-CN"/>
              </w:rPr>
              <w:t>较</w:t>
            </w:r>
            <w:r>
              <w:rPr>
                <w:rFonts w:hint="default"/>
                <w:lang w:val="en-US" w:eastAsia="zh-CN"/>
              </w:rPr>
              <w:t>合理的，加</w:t>
            </w:r>
            <w:r>
              <w:rPr>
                <w:rFonts w:hint="eastAsia"/>
                <w:lang w:val="en-US" w:eastAsia="zh-CN"/>
              </w:rPr>
              <w:t>2</w:t>
            </w:r>
            <w:r>
              <w:rPr>
                <w:rFonts w:hint="default"/>
                <w:lang w:val="en-US" w:eastAsia="zh-CN"/>
              </w:rPr>
              <w:t>分；</w:t>
            </w:r>
          </w:p>
          <w:p w14:paraId="7B2D801F">
            <w:pPr>
              <w:pStyle w:val="18"/>
              <w:keepNext w:val="0"/>
              <w:keepLines w:val="0"/>
              <w:pageBreakBefore w:val="0"/>
              <w:kinsoku/>
              <w:wordWrap/>
              <w:overflowPunct/>
              <w:topLinePunct w:val="0"/>
              <w:bidi w:val="0"/>
              <w:spacing w:line="380" w:lineRule="exact"/>
              <w:textAlignment w:val="auto"/>
              <w:rPr>
                <w:rFonts w:hint="default"/>
                <w:lang w:val="en-US" w:eastAsia="zh-CN"/>
              </w:rPr>
            </w:pPr>
            <w:r>
              <w:rPr>
                <w:rFonts w:hint="default"/>
                <w:lang w:val="en-US" w:eastAsia="zh-CN"/>
              </w:rPr>
              <w:t>3.工作措施</w:t>
            </w:r>
            <w:r>
              <w:rPr>
                <w:rFonts w:hint="eastAsia"/>
                <w:lang w:val="en-US" w:eastAsia="zh-CN"/>
              </w:rPr>
              <w:t>不够</w:t>
            </w:r>
            <w:r>
              <w:rPr>
                <w:rFonts w:hint="default"/>
                <w:lang w:val="en-US" w:eastAsia="zh-CN"/>
              </w:rPr>
              <w:t>全面，工作手段、工作方法可行性</w:t>
            </w:r>
            <w:r>
              <w:rPr>
                <w:rFonts w:hint="eastAsia"/>
                <w:lang w:val="en-US" w:eastAsia="zh-CN"/>
              </w:rPr>
              <w:t>一般</w:t>
            </w:r>
            <w:r>
              <w:rPr>
                <w:rFonts w:hint="default"/>
                <w:lang w:val="en-US" w:eastAsia="zh-CN"/>
              </w:rPr>
              <w:t>，工作流程安排</w:t>
            </w:r>
            <w:r>
              <w:rPr>
                <w:rFonts w:hint="eastAsia"/>
                <w:lang w:val="en-US" w:eastAsia="zh-CN"/>
              </w:rPr>
              <w:t>不够</w:t>
            </w:r>
            <w:r>
              <w:rPr>
                <w:rFonts w:hint="default"/>
                <w:lang w:val="en-US" w:eastAsia="zh-CN"/>
              </w:rPr>
              <w:t>合理的，加</w:t>
            </w:r>
            <w:r>
              <w:rPr>
                <w:rFonts w:hint="eastAsia"/>
                <w:lang w:val="en-US" w:eastAsia="zh-CN"/>
              </w:rPr>
              <w:t>1</w:t>
            </w:r>
            <w:r>
              <w:rPr>
                <w:rFonts w:hint="default"/>
                <w:lang w:val="en-US" w:eastAsia="zh-CN"/>
              </w:rPr>
              <w:t>分；</w:t>
            </w:r>
          </w:p>
          <w:p w14:paraId="05A8D27F">
            <w:pPr>
              <w:pStyle w:val="18"/>
              <w:keepNext w:val="0"/>
              <w:keepLines w:val="0"/>
              <w:pageBreakBefore w:val="0"/>
              <w:kinsoku/>
              <w:wordWrap/>
              <w:overflowPunct/>
              <w:topLinePunct w:val="0"/>
              <w:bidi w:val="0"/>
              <w:spacing w:line="380" w:lineRule="exact"/>
              <w:textAlignment w:val="auto"/>
            </w:pPr>
            <w:r>
              <w:rPr>
                <w:rFonts w:hint="default"/>
                <w:lang w:val="en-US" w:eastAsia="zh-CN"/>
              </w:rPr>
              <w:t>4.工作措施</w:t>
            </w:r>
            <w:r>
              <w:rPr>
                <w:rFonts w:hint="eastAsia"/>
                <w:lang w:val="en-US" w:eastAsia="zh-CN"/>
              </w:rPr>
              <w:t>不</w:t>
            </w:r>
            <w:r>
              <w:rPr>
                <w:rFonts w:hint="default"/>
                <w:lang w:val="en-US" w:eastAsia="zh-CN"/>
              </w:rPr>
              <w:t>全面，工作手段、工作方法可行性</w:t>
            </w:r>
            <w:r>
              <w:rPr>
                <w:rFonts w:hint="eastAsia"/>
                <w:lang w:val="en-US" w:eastAsia="zh-CN"/>
              </w:rPr>
              <w:t>低</w:t>
            </w:r>
            <w:r>
              <w:rPr>
                <w:rFonts w:hint="default"/>
                <w:lang w:val="en-US" w:eastAsia="zh-CN"/>
              </w:rPr>
              <w:t>，工作流程安排</w:t>
            </w:r>
            <w:r>
              <w:rPr>
                <w:rFonts w:hint="eastAsia"/>
                <w:lang w:val="en-US" w:eastAsia="zh-CN"/>
              </w:rPr>
              <w:t>不</w:t>
            </w:r>
            <w:r>
              <w:rPr>
                <w:rFonts w:hint="default"/>
                <w:lang w:val="en-US" w:eastAsia="zh-CN"/>
              </w:rPr>
              <w:t>合理的，不加分。</w:t>
            </w:r>
          </w:p>
          <w:p w14:paraId="4810B7DA">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auto"/>
              <w:rPr>
                <w:rFonts w:asciiTheme="minorEastAsia" w:hAnsiTheme="minorEastAsia" w:eastAsiaTheme="minorEastAsia"/>
                <w:kern w:val="0"/>
                <w:szCs w:val="21"/>
              </w:rPr>
            </w:pPr>
            <w:r>
              <w:rPr>
                <w:rFonts w:hint="eastAsia" w:ascii="宋体" w:hAnsi="宋体" w:eastAsia="宋体" w:cs="宋体"/>
                <w:color w:val="000000"/>
                <w:sz w:val="21"/>
                <w:szCs w:val="21"/>
              </w:rPr>
              <w:t>如果评分为差，专家须书面说明理由。</w:t>
            </w:r>
          </w:p>
        </w:tc>
        <w:tc>
          <w:tcPr>
            <w:tcW w:w="1187" w:type="dxa"/>
            <w:vAlign w:val="center"/>
          </w:tcPr>
          <w:p w14:paraId="50F1958A">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keepNext w:val="0"/>
              <w:keepLines w:val="0"/>
              <w:pageBreakBefore w:val="0"/>
              <w:widowControl/>
              <w:kinsoku/>
              <w:wordWrap/>
              <w:overflowPunct/>
              <w:topLinePunct w:val="0"/>
              <w:bidi w:val="0"/>
              <w:spacing w:line="380" w:lineRule="exact"/>
              <w:jc w:val="center"/>
              <w:textAlignment w:val="auto"/>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74E131CA">
            <w:pPr>
              <w:keepNext w:val="0"/>
              <w:keepLines w:val="0"/>
              <w:pageBreakBefore w:val="0"/>
              <w:widowControl/>
              <w:kinsoku/>
              <w:wordWrap/>
              <w:overflowPunct/>
              <w:topLinePunct w:val="0"/>
              <w:bidi w:val="0"/>
              <w:spacing w:line="380" w:lineRule="exact"/>
              <w:jc w:val="center"/>
              <w:textAlignment w:val="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p>
        </w:tc>
        <w:tc>
          <w:tcPr>
            <w:tcW w:w="5953" w:type="dxa"/>
            <w:vAlign w:val="center"/>
          </w:tcPr>
          <w:p w14:paraId="38ECB19E">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 xml:space="preserve">（一）评分内容： </w:t>
            </w:r>
          </w:p>
          <w:p w14:paraId="00269443">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根据对项目的理解及自身经验，针对本项目提出重点难点分析、应对措施及相关的合理化建议。包括但不限于以下内容：</w:t>
            </w:r>
          </w:p>
          <w:p w14:paraId="5C3F753C">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 xml:space="preserve">1.详细阐述本项目存在的重难点问题； </w:t>
            </w:r>
          </w:p>
          <w:p w14:paraId="7F97E1ED">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2.根据项目重难点，详细阐述对应的应对措施</w:t>
            </w:r>
            <w:r>
              <w:rPr>
                <w:rFonts w:hint="eastAsia" w:asciiTheme="minorEastAsia" w:hAnsiTheme="minorEastAsia" w:eastAsiaTheme="minorEastAsia"/>
                <w:szCs w:val="21"/>
                <w:lang w:val="en-US" w:eastAsia="zh-CN"/>
              </w:rPr>
              <w:t>及相关的合理化建议</w:t>
            </w:r>
            <w:r>
              <w:rPr>
                <w:rFonts w:hint="eastAsia" w:asciiTheme="minorEastAsia" w:hAnsiTheme="minorEastAsia" w:eastAsiaTheme="minorEastAsia"/>
                <w:szCs w:val="21"/>
              </w:rPr>
              <w:t xml:space="preserve">； </w:t>
            </w:r>
          </w:p>
          <w:p w14:paraId="36687C9F">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04FC8231">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1.投标人提供的《项目重点难点分析、应对措施及相关的合理化建议》</w:t>
            </w:r>
            <w:r>
              <w:rPr>
                <w:rFonts w:hint="eastAsia" w:asciiTheme="minorEastAsia" w:hAnsiTheme="minorEastAsia" w:eastAsiaTheme="minorEastAsia"/>
                <w:szCs w:val="21"/>
                <w:lang w:eastAsia="zh-CN"/>
              </w:rPr>
              <w:t>满足</w:t>
            </w:r>
            <w:r>
              <w:rPr>
                <w:rFonts w:hint="eastAsia" w:asciiTheme="minorEastAsia" w:hAnsiTheme="minorEastAsia" w:eastAsiaTheme="minorEastAsia"/>
                <w:szCs w:val="21"/>
              </w:rPr>
              <w:t>上述</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项考察内容的，得</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每</w:t>
            </w:r>
            <w:r>
              <w:rPr>
                <w:rFonts w:hint="eastAsia" w:asciiTheme="minorEastAsia" w:hAnsiTheme="minorEastAsia" w:eastAsiaTheme="minorEastAsia"/>
                <w:szCs w:val="21"/>
              </w:rPr>
              <w:t>缺少一项扣</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，扣完为止</w:t>
            </w:r>
            <w:r>
              <w:rPr>
                <w:rFonts w:hint="eastAsia" w:asciiTheme="minorEastAsia" w:hAnsiTheme="minorEastAsia" w:eastAsiaTheme="minorEastAsia"/>
                <w:szCs w:val="21"/>
              </w:rPr>
              <w:t>。</w:t>
            </w:r>
          </w:p>
          <w:p w14:paraId="3CED702D">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在此基础上，评标委员会</w:t>
            </w:r>
            <w:r>
              <w:rPr>
                <w:rFonts w:hint="eastAsia" w:asciiTheme="minorEastAsia" w:hAnsiTheme="minorEastAsia" w:eastAsiaTheme="minorEastAsia"/>
                <w:szCs w:val="21"/>
              </w:rPr>
              <w:t>根据投标人提供的《项目重点难点分析、应对措施及相关的合理化建议》</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 xml:space="preserve">响应情况进一步评审。 </w:t>
            </w:r>
          </w:p>
          <w:p w14:paraId="1686DA80">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评分标准：</w:t>
            </w:r>
          </w:p>
          <w:p w14:paraId="4F10FB28">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1.重点难点分析全面，应对措施可行性高，相关建议科学合理的，加4分；</w:t>
            </w:r>
          </w:p>
          <w:p w14:paraId="2AB98829">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2.重点难点分析比较全面，应对措施可行性较高，相关建议比较合理的，加2分；</w:t>
            </w:r>
          </w:p>
          <w:p w14:paraId="4BC100FD">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3.重点难点分析不够全面，应对措施可行性一般，相关建议不够合理的，加1分；</w:t>
            </w:r>
          </w:p>
          <w:p w14:paraId="46589B48">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4.重点难点分析不全面，应对措施可行性低，相关建议不合理的，不加分。</w:t>
            </w:r>
          </w:p>
          <w:p w14:paraId="4BE4A979">
            <w:pPr>
              <w:keepNext w:val="0"/>
              <w:keepLines w:val="0"/>
              <w:pageBreakBefore w:val="0"/>
              <w:kinsoku/>
              <w:wordWrap/>
              <w:overflowPunct/>
              <w:topLinePunct w:val="0"/>
              <w:autoSpaceDE w:val="0"/>
              <w:autoSpaceDN w:val="0"/>
              <w:bidi w:val="0"/>
              <w:adjustRightInd w:val="0"/>
              <w:spacing w:line="380" w:lineRule="exact"/>
              <w:textAlignment w:val="auto"/>
              <w:rPr>
                <w:rFonts w:cs="宋体" w:asciiTheme="minorEastAsia" w:hAnsiTheme="minorEastAsia" w:eastAsiaTheme="minorEastAsia"/>
                <w:szCs w:val="21"/>
              </w:rPr>
            </w:pPr>
            <w:r>
              <w:rPr>
                <w:rFonts w:hint="eastAsia" w:asciiTheme="minorEastAsia" w:hAnsiTheme="minorEastAsia" w:eastAsiaTheme="minorEastAsia"/>
                <w:szCs w:val="21"/>
              </w:rPr>
              <w:t>如果评分为差，专家须书面说明理由。</w:t>
            </w:r>
          </w:p>
        </w:tc>
        <w:tc>
          <w:tcPr>
            <w:tcW w:w="1187" w:type="dxa"/>
            <w:vAlign w:val="center"/>
          </w:tcPr>
          <w:p w14:paraId="05A8D7C2">
            <w:pPr>
              <w:keepNext w:val="0"/>
              <w:keepLines w:val="0"/>
              <w:pageBreakBefore w:val="0"/>
              <w:kinsoku/>
              <w:wordWrap/>
              <w:overflowPunct/>
              <w:topLinePunct w:val="0"/>
              <w:bidi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506E387D">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keepNext w:val="0"/>
              <w:keepLines w:val="0"/>
              <w:pageBreakBefore w:val="0"/>
              <w:widowControl/>
              <w:kinsoku/>
              <w:wordWrap/>
              <w:overflowPunct/>
              <w:topLinePunct w:val="0"/>
              <w:bidi w:val="0"/>
              <w:spacing w:line="380" w:lineRule="exact"/>
              <w:jc w:val="center"/>
              <w:textAlignment w:val="auto"/>
              <w:rPr>
                <w:rFonts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14:paraId="364828A2">
            <w:pPr>
              <w:keepNext w:val="0"/>
              <w:keepLines w:val="0"/>
              <w:pageBreakBefore w:val="0"/>
              <w:widowControl/>
              <w:kinsoku/>
              <w:wordWrap/>
              <w:overflowPunct/>
              <w:topLinePunct w:val="0"/>
              <w:bidi w:val="0"/>
              <w:spacing w:line="380" w:lineRule="exact"/>
              <w:jc w:val="center"/>
              <w:textAlignment w:val="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2</w:t>
            </w:r>
          </w:p>
        </w:tc>
        <w:tc>
          <w:tcPr>
            <w:tcW w:w="5953" w:type="dxa"/>
            <w:vAlign w:val="center"/>
          </w:tcPr>
          <w:p w14:paraId="0E0E54FE">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7CA519C5">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根据对项目的理解及自身管理经验，针对本项目提出质量保障措施及方案。包括但不限于以下内容：</w:t>
            </w:r>
          </w:p>
          <w:p w14:paraId="15589C33">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1.提出服务质量保障及持续提升方案。</w:t>
            </w:r>
          </w:p>
          <w:p w14:paraId="41129CC2">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2.阐述项目时间安排、工作进度与阶段性成果。</w:t>
            </w:r>
          </w:p>
          <w:p w14:paraId="16B9D1F5">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3.提出突发情况下的应急保障预案。</w:t>
            </w:r>
          </w:p>
          <w:p w14:paraId="1C12BF9A">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4.其他可以体现项目质量的保障措施。</w:t>
            </w:r>
          </w:p>
          <w:p w14:paraId="1A604142">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4E4BA6E8">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1.投标人提供的《</w:t>
            </w:r>
            <w:r>
              <w:rPr>
                <w:rFonts w:hint="eastAsia" w:asciiTheme="minorEastAsia" w:hAnsiTheme="minorEastAsia" w:eastAsiaTheme="minorEastAsia"/>
                <w:szCs w:val="21"/>
                <w:lang w:val="en-US" w:eastAsia="zh-CN"/>
              </w:rPr>
              <w:t>质量保障措施及方案</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满足</w:t>
            </w:r>
            <w:r>
              <w:rPr>
                <w:rFonts w:hint="eastAsia" w:asciiTheme="minorEastAsia" w:hAnsiTheme="minorEastAsia" w:eastAsiaTheme="minorEastAsia"/>
                <w:szCs w:val="21"/>
              </w:rPr>
              <w:t>上述</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项考察内容的，得</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每</w:t>
            </w:r>
            <w:r>
              <w:rPr>
                <w:rFonts w:hint="eastAsia" w:asciiTheme="minorEastAsia" w:hAnsiTheme="minorEastAsia" w:eastAsiaTheme="minorEastAsia"/>
                <w:szCs w:val="21"/>
              </w:rPr>
              <w:t>缺少一项扣</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，扣完为止</w:t>
            </w:r>
            <w:r>
              <w:rPr>
                <w:rFonts w:hint="eastAsia" w:asciiTheme="minorEastAsia" w:hAnsiTheme="minorEastAsia" w:eastAsiaTheme="minorEastAsia"/>
                <w:szCs w:val="21"/>
              </w:rPr>
              <w:t>。</w:t>
            </w:r>
          </w:p>
          <w:p w14:paraId="725E9275">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在此基础上，评标委员会</w:t>
            </w:r>
            <w:r>
              <w:rPr>
                <w:rFonts w:hint="eastAsia" w:asciiTheme="minorEastAsia" w:hAnsiTheme="minorEastAsia" w:eastAsiaTheme="minorEastAsia"/>
                <w:szCs w:val="21"/>
              </w:rPr>
              <w:t>根据投标人提供的《</w:t>
            </w:r>
            <w:r>
              <w:rPr>
                <w:rFonts w:hint="eastAsia" w:asciiTheme="minorEastAsia" w:hAnsiTheme="minorEastAsia" w:eastAsiaTheme="minorEastAsia"/>
                <w:szCs w:val="21"/>
                <w:lang w:val="en-US" w:eastAsia="zh-CN"/>
              </w:rPr>
              <w:t>质量保障措施及方案</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 xml:space="preserve">响应情况进一步评审。 </w:t>
            </w:r>
          </w:p>
          <w:p w14:paraId="371171C7">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评分标准：</w:t>
            </w:r>
          </w:p>
          <w:p w14:paraId="4FFD04E0">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1.服务质量保障及持续提升方案科学完善，项目时间安排、工作进度安排合理，应急保障预案和项目质量保障措施可行性高的，加4分；</w:t>
            </w:r>
          </w:p>
          <w:p w14:paraId="60C5C030">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2.服务质量保障及持续提升方案科学比较完善，项目时间安排、工作进度安排比较合理，应急保障预案和项目质量保障措施可行性较高的，加2分；</w:t>
            </w:r>
          </w:p>
          <w:p w14:paraId="55966CE8">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3.服务质量保障及持续提升方案科学不够完善，项目时间安排、工作进度安排一般合理，应急保障预案和项目质量保障措施可行性一般的，加1分；</w:t>
            </w:r>
          </w:p>
          <w:p w14:paraId="5EE6FF21">
            <w:pPr>
              <w:keepNext w:val="0"/>
              <w:keepLines w:val="0"/>
              <w:pageBreakBefore w:val="0"/>
              <w:widowControl/>
              <w:kinsoku/>
              <w:wordWrap/>
              <w:overflowPunct/>
              <w:topLinePunct w:val="0"/>
              <w:bidi w:val="0"/>
              <w:snapToGrid w:val="0"/>
              <w:spacing w:line="380" w:lineRule="exact"/>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4.服务质量保障及持续提升方案科学不完善，项目时间安排、工作进度安排不合理，应急保障预案和项目质量保障措施可行性低的，不加分。</w:t>
            </w:r>
          </w:p>
          <w:p w14:paraId="33D00FC9">
            <w:pPr>
              <w:keepNext w:val="0"/>
              <w:keepLines w:val="0"/>
              <w:pageBreakBefore w:val="0"/>
              <w:widowControl/>
              <w:kinsoku/>
              <w:wordWrap/>
              <w:overflowPunct/>
              <w:topLinePunct w:val="0"/>
              <w:bidi w:val="0"/>
              <w:snapToGrid w:val="0"/>
              <w:spacing w:line="38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szCs w:val="21"/>
              </w:rPr>
              <w:t>如果评分为差，专家须书面说明理由。</w:t>
            </w:r>
          </w:p>
        </w:tc>
        <w:tc>
          <w:tcPr>
            <w:tcW w:w="1187" w:type="dxa"/>
            <w:vAlign w:val="center"/>
          </w:tcPr>
          <w:p w14:paraId="7B7D9FBE">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keepNext w:val="0"/>
              <w:keepLines w:val="0"/>
              <w:pageBreakBefore w:val="0"/>
              <w:widowControl/>
              <w:kinsoku/>
              <w:wordWrap/>
              <w:overflowPunct/>
              <w:topLinePunct w:val="0"/>
              <w:bidi w:val="0"/>
              <w:snapToGrid w:val="0"/>
              <w:spacing w:line="380" w:lineRule="exact"/>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keepNext w:val="0"/>
              <w:keepLines w:val="0"/>
              <w:pageBreakBefore w:val="0"/>
              <w:widowControl/>
              <w:kinsoku/>
              <w:wordWrap/>
              <w:overflowPunct/>
              <w:topLinePunct w:val="0"/>
              <w:bidi w:val="0"/>
              <w:spacing w:line="380" w:lineRule="exact"/>
              <w:jc w:val="center"/>
              <w:textAlignment w:val="auto"/>
              <w:rPr>
                <w:rFonts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14:paraId="7274A6F1">
            <w:pPr>
              <w:keepNext w:val="0"/>
              <w:keepLines w:val="0"/>
              <w:pageBreakBefore w:val="0"/>
              <w:widowControl/>
              <w:kinsoku/>
              <w:wordWrap/>
              <w:overflowPunct/>
              <w:topLinePunct w:val="0"/>
              <w:bidi w:val="0"/>
              <w:spacing w:line="380" w:lineRule="exact"/>
              <w:jc w:val="center"/>
              <w:textAlignment w:val="auto"/>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2</w:t>
            </w:r>
          </w:p>
        </w:tc>
        <w:tc>
          <w:tcPr>
            <w:tcW w:w="5953" w:type="dxa"/>
            <w:vAlign w:val="center"/>
          </w:tcPr>
          <w:p w14:paraId="7E9C6117">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（一）评分内容：</w:t>
            </w:r>
          </w:p>
          <w:p w14:paraId="55D50890">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投标人提供服务期满后的服务承诺，承诺以下全部内容的得2分，否则不得分。</w:t>
            </w:r>
          </w:p>
          <w:p w14:paraId="3407F7F8">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（1）服务期满后主动离岗； </w:t>
            </w:r>
          </w:p>
          <w:p w14:paraId="446B2ACA">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（2）与后续服务公司进行交接； </w:t>
            </w:r>
          </w:p>
          <w:p w14:paraId="64E72327">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（3）服务期满，后续服务公司未到位前仍按原合同服务承诺提供服务。</w:t>
            </w:r>
          </w:p>
          <w:p w14:paraId="78538175">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（二）评分依据：</w:t>
            </w:r>
          </w:p>
          <w:p w14:paraId="111077DE">
            <w:pPr>
              <w:keepNext w:val="0"/>
              <w:keepLines w:val="0"/>
              <w:pageBreakBefore w:val="0"/>
              <w:kinsoku/>
              <w:wordWrap/>
              <w:overflowPunct/>
              <w:topLinePunct w:val="0"/>
              <w:autoSpaceDE w:val="0"/>
              <w:autoSpaceDN w:val="0"/>
              <w:bidi w:val="0"/>
              <w:adjustRightInd w:val="0"/>
              <w:spacing w:line="380" w:lineRule="exact"/>
              <w:textAlignment w:val="auto"/>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提供《项目完成（服务期满）后的服务承诺函》（格式自定）作为得分依据，未提供承诺或承诺内容不满足要求的不得分。</w:t>
            </w:r>
          </w:p>
        </w:tc>
        <w:tc>
          <w:tcPr>
            <w:tcW w:w="1187" w:type="dxa"/>
            <w:vAlign w:val="center"/>
          </w:tcPr>
          <w:p w14:paraId="10ADEC3D">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43E5656">
            <w:pPr>
              <w:keepNext w:val="0"/>
              <w:keepLines w:val="0"/>
              <w:pageBreakBefore w:val="0"/>
              <w:widowControl/>
              <w:kinsoku/>
              <w:wordWrap/>
              <w:overflowPunct/>
              <w:topLinePunct w:val="0"/>
              <w:bidi w:val="0"/>
              <w:snapToGrid w:val="0"/>
              <w:spacing w:line="380" w:lineRule="exact"/>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30B1B80E">
            <w:pPr>
              <w:keepNext w:val="0"/>
              <w:keepLines w:val="0"/>
              <w:pageBreakBefore w:val="0"/>
              <w:widowControl/>
              <w:kinsoku/>
              <w:wordWrap/>
              <w:overflowPunct/>
              <w:topLinePunct w:val="0"/>
              <w:bidi w:val="0"/>
              <w:spacing w:line="380" w:lineRule="exact"/>
              <w:jc w:val="center"/>
              <w:textAlignment w:val="auto"/>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38664A61">
            <w:pPr>
              <w:keepNext w:val="0"/>
              <w:keepLines w:val="0"/>
              <w:pageBreakBefore w:val="0"/>
              <w:widowControl/>
              <w:kinsoku/>
              <w:wordWrap/>
              <w:overflowPunct/>
              <w:topLinePunct w:val="0"/>
              <w:bidi w:val="0"/>
              <w:spacing w:line="380" w:lineRule="exact"/>
              <w:jc w:val="center"/>
              <w:textAlignment w:val="auto"/>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2</w:t>
            </w:r>
          </w:p>
        </w:tc>
        <w:tc>
          <w:tcPr>
            <w:tcW w:w="5953" w:type="dxa"/>
            <w:vAlign w:val="center"/>
          </w:tcPr>
          <w:p w14:paraId="4B1E74A2">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（一）评分内容：</w:t>
            </w:r>
          </w:p>
          <w:p w14:paraId="57DE0130">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投标人提供项目违约承诺，满足以下全部要求的得2分，否则不得分。</w:t>
            </w:r>
          </w:p>
          <w:p w14:paraId="1C826F93">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（1）人员严格按照招标文件及投标承诺配置； </w:t>
            </w:r>
          </w:p>
          <w:p w14:paraId="1EA219FB">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（2）服务质量达到招标文件要求； </w:t>
            </w:r>
          </w:p>
          <w:p w14:paraId="4AF11A40">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（3）对未能达到的管理要求承担管理责任。</w:t>
            </w:r>
          </w:p>
          <w:p w14:paraId="28591528">
            <w:pPr>
              <w:keepNext w:val="0"/>
              <w:keepLines w:val="0"/>
              <w:pageBreakBefore w:val="0"/>
              <w:kinsoku/>
              <w:wordWrap/>
              <w:overflowPunct/>
              <w:topLinePunct w:val="0"/>
              <w:autoSpaceDE w:val="0"/>
              <w:autoSpaceDN w:val="0"/>
              <w:bidi w:val="0"/>
              <w:adjustRightInd w:val="0"/>
              <w:spacing w:line="38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（二）评分依据：</w:t>
            </w:r>
          </w:p>
          <w:p w14:paraId="36AF6448">
            <w:pPr>
              <w:keepNext w:val="0"/>
              <w:keepLines w:val="0"/>
              <w:pageBreakBefore w:val="0"/>
              <w:kinsoku/>
              <w:wordWrap/>
              <w:overflowPunct/>
              <w:topLinePunct w:val="0"/>
              <w:autoSpaceDE w:val="0"/>
              <w:autoSpaceDN w:val="0"/>
              <w:bidi w:val="0"/>
              <w:adjustRightInd w:val="0"/>
              <w:spacing w:line="380" w:lineRule="exact"/>
              <w:textAlignment w:val="auto"/>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提供《违约承诺函》（格式自定）作为得分依据，未提供承诺或承诺内容不满足要求不得分。</w:t>
            </w:r>
          </w:p>
        </w:tc>
        <w:tc>
          <w:tcPr>
            <w:tcW w:w="1187" w:type="dxa"/>
            <w:vAlign w:val="center"/>
          </w:tcPr>
          <w:p w14:paraId="65ED7932">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keepNext w:val="0"/>
              <w:keepLines w:val="0"/>
              <w:pageBreakBefore w:val="0"/>
              <w:kinsoku/>
              <w:wordWrap/>
              <w:overflowPunct/>
              <w:topLinePunct w:val="0"/>
              <w:autoSpaceDE w:val="0"/>
              <w:autoSpaceDN w:val="0"/>
              <w:bidi w:val="0"/>
              <w:adjustRightInd w:val="0"/>
              <w:spacing w:line="380" w:lineRule="exact"/>
              <w:jc w:val="center"/>
              <w:textAlignment w:val="auto"/>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keepNext w:val="0"/>
              <w:keepLines w:val="0"/>
              <w:pageBreakBefore w:val="0"/>
              <w:kinsoku/>
              <w:wordWrap/>
              <w:overflowPunct/>
              <w:topLinePunct w:val="0"/>
              <w:bidi w:val="0"/>
              <w:spacing w:line="380" w:lineRule="exact"/>
              <w:jc w:val="center"/>
              <w:textAlignment w:val="auto"/>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供应商同类业绩情况</w:t>
            </w:r>
          </w:p>
        </w:tc>
        <w:tc>
          <w:tcPr>
            <w:tcW w:w="709" w:type="dxa"/>
            <w:vAlign w:val="center"/>
          </w:tcPr>
          <w:p w14:paraId="57882E34">
            <w:pPr>
              <w:keepNext w:val="0"/>
              <w:keepLines w:val="0"/>
              <w:pageBreakBefore w:val="0"/>
              <w:kinsoku/>
              <w:wordWrap/>
              <w:overflowPunct/>
              <w:topLinePunct w:val="0"/>
              <w:bidi w:val="0"/>
              <w:spacing w:line="380" w:lineRule="exact"/>
              <w:jc w:val="center"/>
              <w:textAlignment w:val="auto"/>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8</w:t>
            </w:r>
          </w:p>
        </w:tc>
        <w:tc>
          <w:tcPr>
            <w:tcW w:w="5953" w:type="dxa"/>
            <w:vAlign w:val="center"/>
          </w:tcPr>
          <w:p w14:paraId="175E11C7">
            <w:pPr>
              <w:keepNext w:val="0"/>
              <w:keepLines w:val="0"/>
              <w:pageBreakBefore w:val="0"/>
              <w:kinsoku/>
              <w:wordWrap/>
              <w:overflowPunct/>
              <w:topLinePunct w:val="0"/>
              <w:autoSpaceDE w:val="0"/>
              <w:autoSpaceDN w:val="0"/>
              <w:bidi w:val="0"/>
              <w:adjustRightIn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58445366">
            <w:pPr>
              <w:keepNext w:val="0"/>
              <w:keepLines w:val="0"/>
              <w:pageBreakBefore w:val="0"/>
              <w:kinsoku/>
              <w:wordWrap/>
              <w:overflowPunct/>
              <w:topLinePunct w:val="0"/>
              <w:autoSpaceDE w:val="0"/>
              <w:autoSpaceDN w:val="0"/>
              <w:bidi w:val="0"/>
              <w:adjustRightIn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投标人具有市级（或以上）城市（含其辖区范围内）</w:t>
            </w:r>
            <w:r>
              <w:rPr>
                <w:rFonts w:hint="eastAsia" w:asciiTheme="minorEastAsia" w:hAnsiTheme="minorEastAsia" w:eastAsiaTheme="minorEastAsia"/>
                <w:szCs w:val="21"/>
                <w:lang w:val="en-US" w:eastAsia="zh-CN"/>
              </w:rPr>
              <w:t>信息安全服务</w:t>
            </w:r>
            <w:r>
              <w:rPr>
                <w:rFonts w:hint="eastAsia" w:asciiTheme="minorEastAsia" w:hAnsiTheme="minorEastAsia" w:eastAsiaTheme="minorEastAsia"/>
                <w:szCs w:val="21"/>
              </w:rPr>
              <w:t>案例，每提供一项得2分，本项最高得</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同一项目续签合同的不可重复得分。   </w:t>
            </w:r>
          </w:p>
          <w:p w14:paraId="7E06F789">
            <w:pPr>
              <w:keepNext w:val="0"/>
              <w:keepLines w:val="0"/>
              <w:pageBreakBefore w:val="0"/>
              <w:kinsoku/>
              <w:wordWrap/>
              <w:overflowPunct/>
              <w:topLinePunct w:val="0"/>
              <w:autoSpaceDE w:val="0"/>
              <w:autoSpaceDN w:val="0"/>
              <w:bidi w:val="0"/>
              <w:adjustRightIn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551BF9CF">
            <w:pPr>
              <w:keepNext w:val="0"/>
              <w:keepLines w:val="0"/>
              <w:pageBreakBefore w:val="0"/>
              <w:kinsoku/>
              <w:wordWrap/>
              <w:overflowPunct/>
              <w:topLinePunct w:val="0"/>
              <w:autoSpaceDE w:val="0"/>
              <w:autoSpaceDN w:val="0"/>
              <w:bidi w:val="0"/>
              <w:adjustRightInd w:val="0"/>
              <w:spacing w:line="380" w:lineRule="exact"/>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上述项目经验需为已完成业绩，且</w:t>
            </w:r>
            <w:r>
              <w:rPr>
                <w:rFonts w:hint="eastAsia" w:asciiTheme="minorEastAsia" w:hAnsiTheme="minorEastAsia" w:eastAsiaTheme="minorEastAsia"/>
                <w:szCs w:val="21"/>
              </w:rPr>
              <w:t>获得采购方出具的履约评价（评价结果为“优”或“满意”或所提供评价中最高等级）或验收证明（验收结果为合格或通过或同等表述）</w:t>
            </w:r>
            <w:r>
              <w:rPr>
                <w:rFonts w:hint="eastAsia" w:asciiTheme="minorEastAsia" w:hAnsiTheme="minorEastAsia" w:eastAsiaTheme="minorEastAsia"/>
                <w:szCs w:val="21"/>
                <w:lang w:eastAsia="zh-CN"/>
              </w:rPr>
              <w:t>。</w:t>
            </w:r>
          </w:p>
          <w:p w14:paraId="3084A0E8">
            <w:pPr>
              <w:keepNext w:val="0"/>
              <w:keepLines w:val="0"/>
              <w:pageBreakBefore w:val="0"/>
              <w:kinsoku/>
              <w:wordWrap/>
              <w:overflowPunct/>
              <w:topLinePunct w:val="0"/>
              <w:autoSpaceDE w:val="0"/>
              <w:autoSpaceDN w:val="0"/>
              <w:bidi w:val="0"/>
              <w:adjustRightInd w:val="0"/>
              <w:spacing w:line="380" w:lineRule="exact"/>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2.要求同时提供合同关键页和</w:t>
            </w:r>
            <w:r>
              <w:rPr>
                <w:rFonts w:hint="eastAsia" w:asciiTheme="minorEastAsia" w:hAnsiTheme="minorEastAsia" w:eastAsiaTheme="minorEastAsia"/>
                <w:szCs w:val="21"/>
                <w:lang w:eastAsia="zh-CN"/>
              </w:rPr>
              <w:t>加盖合同甲方公章或甲方业务章的</w:t>
            </w:r>
            <w:r>
              <w:rPr>
                <w:rFonts w:hint="eastAsia" w:asciiTheme="minorEastAsia" w:hAnsiTheme="minorEastAsia" w:eastAsiaTheme="minorEastAsia"/>
                <w:szCs w:val="21"/>
                <w:lang w:val="en-US" w:eastAsia="zh-CN"/>
              </w:rPr>
              <w:t>履约评价或验收</w:t>
            </w:r>
            <w:r>
              <w:rPr>
                <w:rFonts w:hint="eastAsia" w:asciiTheme="minorEastAsia" w:hAnsiTheme="minorEastAsia" w:eastAsiaTheme="minorEastAsia"/>
                <w:szCs w:val="21"/>
              </w:rPr>
              <w:t>证明文件作为得分依据</w:t>
            </w:r>
            <w:r>
              <w:rPr>
                <w:rFonts w:hint="eastAsia" w:asciiTheme="minorEastAsia" w:hAnsiTheme="minorEastAsia" w:eastAsiaTheme="minorEastAsia"/>
                <w:szCs w:val="21"/>
                <w:lang w:eastAsia="zh-CN"/>
              </w:rPr>
              <w:t>。</w:t>
            </w:r>
          </w:p>
          <w:p w14:paraId="6259B7EA">
            <w:pPr>
              <w:keepNext w:val="0"/>
              <w:keepLines w:val="0"/>
              <w:pageBreakBefore w:val="0"/>
              <w:kinsoku/>
              <w:wordWrap/>
              <w:overflowPunct/>
              <w:topLinePunct w:val="0"/>
              <w:autoSpaceDE w:val="0"/>
              <w:autoSpaceDN w:val="0"/>
              <w:bidi w:val="0"/>
              <w:adjustRightInd w:val="0"/>
              <w:spacing w:line="380" w:lineRule="exact"/>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.通过合同关键信息无法判断是否得分的，还须同时提供能证明得分的其它证明资料，如项目报告或合同</w:t>
            </w:r>
            <w:r>
              <w:rPr>
                <w:rFonts w:hint="eastAsia" w:asciiTheme="minorEastAsia" w:hAnsiTheme="minorEastAsia" w:eastAsiaTheme="minorEastAsia"/>
                <w:szCs w:val="21"/>
                <w:lang w:eastAsia="zh-CN"/>
              </w:rPr>
              <w:t>采购方</w:t>
            </w:r>
            <w:r>
              <w:rPr>
                <w:rFonts w:hint="eastAsia" w:asciiTheme="minorEastAsia" w:hAnsiTheme="minorEastAsia" w:eastAsiaTheme="minorEastAsia"/>
                <w:szCs w:val="21"/>
              </w:rPr>
              <w:t>出具的证明文件等。</w:t>
            </w:r>
          </w:p>
          <w:p w14:paraId="04815E4F">
            <w:pPr>
              <w:keepNext w:val="0"/>
              <w:keepLines w:val="0"/>
              <w:pageBreakBefore w:val="0"/>
              <w:kinsoku/>
              <w:wordWrap/>
              <w:overflowPunct/>
              <w:topLinePunct w:val="0"/>
              <w:autoSpaceDE w:val="0"/>
              <w:autoSpaceDN w:val="0"/>
              <w:bidi w:val="0"/>
              <w:adjustRightInd w:val="0"/>
              <w:spacing w:line="380" w:lineRule="exact"/>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.上述项目开展时间必须在202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年1月1日起至投标截止</w:t>
            </w:r>
            <w:r>
              <w:rPr>
                <w:rFonts w:hint="eastAsia" w:asciiTheme="minorEastAsia" w:hAnsiTheme="minorEastAsia" w:eastAsiaTheme="minorEastAsia"/>
                <w:szCs w:val="21"/>
                <w:lang w:eastAsia="zh-CN"/>
              </w:rPr>
              <w:t>日期止</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以合同签订</w:t>
            </w:r>
            <w:r>
              <w:rPr>
                <w:rFonts w:hint="eastAsia" w:asciiTheme="minorEastAsia" w:hAnsiTheme="minorEastAsia" w:eastAsiaTheme="minorEastAsia"/>
                <w:szCs w:val="21"/>
              </w:rPr>
              <w:t>日期或合同中载明的履约时间为准。</w:t>
            </w:r>
          </w:p>
          <w:p w14:paraId="278D90AB">
            <w:pPr>
              <w:keepNext w:val="0"/>
              <w:keepLines w:val="0"/>
              <w:pageBreakBefore w:val="0"/>
              <w:kinsoku/>
              <w:wordWrap/>
              <w:overflowPunct/>
              <w:topLinePunct w:val="0"/>
              <w:autoSpaceDE w:val="0"/>
              <w:autoSpaceDN w:val="0"/>
              <w:bidi w:val="0"/>
              <w:adjustRightInd w:val="0"/>
              <w:spacing w:line="38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以上资料均要求提供</w:t>
            </w:r>
            <w:r>
              <w:rPr>
                <w:rFonts w:hint="eastAsia" w:asciiTheme="minorEastAsia" w:hAnsiTheme="minorEastAsia" w:eastAsiaTheme="minorEastAsia"/>
                <w:szCs w:val="21"/>
                <w:lang w:val="en-US" w:eastAsia="zh-CN"/>
              </w:rPr>
              <w:t>复印件或</w:t>
            </w:r>
            <w:r>
              <w:rPr>
                <w:rFonts w:hint="eastAsia" w:asciiTheme="minorEastAsia" w:hAnsiTheme="minorEastAsia" w:eastAsiaTheme="minorEastAsia"/>
                <w:szCs w:val="21"/>
              </w:rPr>
              <w:t>扫描件（或官方网站截图），</w:t>
            </w:r>
            <w:r>
              <w:rPr>
                <w:rFonts w:hint="eastAsia" w:asciiTheme="minorEastAsia" w:hAnsiTheme="minorEastAsia" w:eastAsiaTheme="minorEastAsia"/>
                <w:szCs w:val="21"/>
                <w:lang w:val="en-US" w:eastAsia="zh-CN"/>
              </w:rPr>
              <w:t>加盖投标人公章，</w:t>
            </w:r>
            <w:r>
              <w:rPr>
                <w:rFonts w:hint="eastAsia" w:asciiTheme="minorEastAsia" w:hAnsiTheme="minorEastAsia" w:eastAsiaTheme="minorEastAsia"/>
                <w:szCs w:val="21"/>
              </w:rPr>
              <w:t>原件备查。评分中出现无证明资料或专家无法凭所提供资料判断是否得分的情况，一律作不得分处理。</w:t>
            </w:r>
          </w:p>
        </w:tc>
        <w:tc>
          <w:tcPr>
            <w:tcW w:w="1187" w:type="dxa"/>
            <w:vAlign w:val="center"/>
          </w:tcPr>
          <w:p w14:paraId="69239F1C">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keepNext w:val="0"/>
              <w:keepLines w:val="0"/>
              <w:pageBreakBefore w:val="0"/>
              <w:kinsoku/>
              <w:wordWrap/>
              <w:overflowPunct/>
              <w:topLinePunct w:val="0"/>
              <w:autoSpaceDE w:val="0"/>
              <w:autoSpaceDN w:val="0"/>
              <w:bidi w:val="0"/>
              <w:adjustRightInd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2A8B2291">
            <w:pPr>
              <w:keepNext w:val="0"/>
              <w:keepLines w:val="0"/>
              <w:pageBreakBefore w:val="0"/>
              <w:kinsoku/>
              <w:wordWrap/>
              <w:overflowPunct/>
              <w:topLinePunct w:val="0"/>
              <w:bidi w:val="0"/>
              <w:adjustRightInd w:val="0"/>
              <w:snapToGrid w:val="0"/>
              <w:spacing w:line="380" w:lineRule="exact"/>
              <w:jc w:val="center"/>
              <w:textAlignment w:val="auto"/>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拟安排的项目负责人情况（仅限一人）</w:t>
            </w:r>
          </w:p>
          <w:p w14:paraId="7A5D2D6E">
            <w:pPr>
              <w:keepNext w:val="0"/>
              <w:keepLines w:val="0"/>
              <w:pageBreakBefore w:val="0"/>
              <w:kinsoku/>
              <w:wordWrap/>
              <w:overflowPunct/>
              <w:topLinePunct w:val="0"/>
              <w:bidi w:val="0"/>
              <w:adjustRightInd w:val="0"/>
              <w:snapToGrid w:val="0"/>
              <w:spacing w:line="380" w:lineRule="exact"/>
              <w:jc w:val="center"/>
              <w:textAlignment w:val="auto"/>
              <w:rPr>
                <w:rFonts w:asciiTheme="minorEastAsia" w:hAnsiTheme="minorEastAsia" w:eastAsiaTheme="minorEastAsia"/>
                <w:snapToGrid w:val="0"/>
                <w:kern w:val="0"/>
                <w:szCs w:val="21"/>
              </w:rPr>
            </w:pPr>
          </w:p>
        </w:tc>
        <w:tc>
          <w:tcPr>
            <w:tcW w:w="709" w:type="dxa"/>
            <w:vAlign w:val="center"/>
          </w:tcPr>
          <w:p w14:paraId="49BF899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lang w:val="en-US" w:eastAsia="zh-CN"/>
              </w:rPr>
              <w:t>8</w:t>
            </w:r>
          </w:p>
        </w:tc>
        <w:tc>
          <w:tcPr>
            <w:tcW w:w="5953" w:type="dxa"/>
            <w:vAlign w:val="center"/>
          </w:tcPr>
          <w:p w14:paraId="6D71227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2258A82B">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lang w:val="en"/>
              </w:rPr>
            </w:pPr>
            <w:r>
              <w:rPr>
                <w:rFonts w:hint="eastAsia" w:asciiTheme="minorEastAsia" w:hAnsiTheme="minorEastAsia" w:eastAsiaTheme="minorEastAsia"/>
                <w:szCs w:val="21"/>
              </w:rPr>
              <w:t>项目负责人必须为</w:t>
            </w:r>
            <w:r>
              <w:rPr>
                <w:rFonts w:hint="eastAsia" w:asciiTheme="minorEastAsia" w:hAnsiTheme="minorEastAsia" w:eastAsiaTheme="minorEastAsia"/>
                <w:szCs w:val="21"/>
                <w:lang w:eastAsia="zh-CN"/>
              </w:rPr>
              <w:t>计算机类专业本科（含）以上学历或学士（含）以上学位</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且</w:t>
            </w:r>
            <w:r>
              <w:rPr>
                <w:rFonts w:hint="eastAsia" w:asciiTheme="minorEastAsia" w:hAnsiTheme="minorEastAsia" w:eastAsiaTheme="minorEastAsia"/>
                <w:szCs w:val="21"/>
              </w:rPr>
              <w:t>为投标人正式聘任员工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不满足此项不得分</w:t>
            </w:r>
            <w:r>
              <w:rPr>
                <w:rFonts w:hint="eastAsia" w:asciiTheme="minorEastAsia" w:hAnsiTheme="minorEastAsia" w:eastAsiaTheme="minorEastAsia"/>
                <w:szCs w:val="21"/>
                <w:lang w:val="en"/>
              </w:rPr>
              <w:t>。</w:t>
            </w:r>
          </w:p>
          <w:p w14:paraId="3B58496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1.具有信息系统项目管理师证书（高级）证书得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5BFB9DD7">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2.具有系统规划与管理师（高级）证书得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7EFD9DB1">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3.具有注册</w:t>
            </w:r>
            <w:r>
              <w:rPr>
                <w:rFonts w:hint="eastAsia" w:asciiTheme="minorEastAsia" w:hAnsiTheme="minorEastAsia" w:eastAsiaTheme="minorEastAsia"/>
                <w:szCs w:val="21"/>
                <w:lang w:val="en-US" w:eastAsia="zh-CN"/>
              </w:rPr>
              <w:t>信息安全工程师(</w:t>
            </w:r>
            <w:r>
              <w:rPr>
                <w:rFonts w:hint="eastAsia" w:asciiTheme="minorEastAsia" w:hAnsiTheme="minorEastAsia" w:eastAsiaTheme="minorEastAsia"/>
                <w:szCs w:val="21"/>
              </w:rPr>
              <w:t>CIS</w:t>
            </w:r>
            <w:r>
              <w:rPr>
                <w:rFonts w:hint="eastAsia" w:asciiTheme="minorEastAsia" w:hAnsiTheme="minorEastAsia" w:eastAsiaTheme="minorEastAsia"/>
                <w:szCs w:val="21"/>
                <w:lang w:val="en-US" w:eastAsia="zh-CN"/>
              </w:rPr>
              <w:t>E</w:t>
            </w:r>
            <w:r>
              <w:rPr>
                <w:rFonts w:hint="eastAsia" w:asciiTheme="minorEastAsia" w:hAnsiTheme="minorEastAsia" w:eastAsiaTheme="minorEastAsia"/>
                <w:szCs w:val="21"/>
              </w:rPr>
              <w:t>）证书得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7554CF84">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4.具有</w:t>
            </w:r>
            <w:r>
              <w:rPr>
                <w:rFonts w:hint="eastAsia" w:asciiTheme="minorEastAsia" w:hAnsiTheme="minorEastAsia" w:eastAsiaTheme="minorEastAsia"/>
                <w:szCs w:val="21"/>
                <w:lang w:val="en-US" w:eastAsia="zh-CN"/>
              </w:rPr>
              <w:t>网络工程师（中级）</w:t>
            </w:r>
            <w:r>
              <w:rPr>
                <w:rFonts w:hint="eastAsia" w:asciiTheme="minorEastAsia" w:hAnsiTheme="minorEastAsia" w:eastAsiaTheme="minorEastAsia"/>
                <w:szCs w:val="21"/>
              </w:rPr>
              <w:t>证书得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p>
          <w:p w14:paraId="22AC933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5.具有信息安全保障人员认证（CISAW）应急服务方向证书得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w:t>
            </w:r>
          </w:p>
          <w:p w14:paraId="32A738D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77515E3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要求提供通过投标人缴纳的项目负责人近三个月内任意一个月的社保证明（如供应商为新成立单位且成立时间不足一个月的，可提供加盖公章的情况说明或者证明材料亦视为符合。如为退休返聘人员则提供劳动合同或返聘协议）。社保证明资料应当至少包含医疗保险，证明资料可为社保收缴部门盖章证明资料、社保窗口打印资料或社保官网截图。</w:t>
            </w:r>
          </w:p>
          <w:p w14:paraId="3C1B6A32">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2.要求提供项目负责人上述职称/资格证书、</w:t>
            </w:r>
            <w:r>
              <w:rPr>
                <w:rFonts w:hint="eastAsia" w:asciiTheme="minorEastAsia" w:hAnsiTheme="minorEastAsia" w:eastAsiaTheme="minorEastAsia"/>
                <w:szCs w:val="21"/>
                <w:lang w:eastAsia="zh-CN"/>
              </w:rPr>
              <w:t>毕业证书（或学位证书）</w:t>
            </w:r>
            <w:r>
              <w:rPr>
                <w:rFonts w:hint="eastAsia" w:asciiTheme="minorEastAsia" w:hAnsiTheme="minorEastAsia" w:eastAsiaTheme="minorEastAsia"/>
                <w:szCs w:val="21"/>
              </w:rPr>
              <w:t>以及学信网查询记录。对于较早颁发的学历、学位证书，学信网无法查询的，除要求提供证书</w:t>
            </w:r>
            <w:r>
              <w:rPr>
                <w:rFonts w:hint="eastAsia" w:asciiTheme="minorEastAsia" w:hAnsiTheme="minorEastAsia" w:eastAsiaTheme="minorEastAsia"/>
                <w:szCs w:val="21"/>
                <w:lang w:val="en-US" w:eastAsia="zh-CN"/>
              </w:rPr>
              <w:t>外</w:t>
            </w:r>
            <w:r>
              <w:rPr>
                <w:rFonts w:hint="eastAsia" w:asciiTheme="minorEastAsia" w:hAnsiTheme="minorEastAsia" w:eastAsiaTheme="minorEastAsia"/>
                <w:szCs w:val="21"/>
              </w:rPr>
              <w:t>，还需提供其他佐证材料（如毕业院校、人社部门等颁发机构或监管机构等单位出具的证明），海外留学（含港</w:t>
            </w:r>
            <w:r>
              <w:rPr>
                <w:rFonts w:hint="eastAsia" w:asciiTheme="minorEastAsia" w:hAnsiTheme="minorEastAsia" w:eastAsiaTheme="minorEastAsia"/>
                <w:szCs w:val="21"/>
                <w:lang w:eastAsia="zh-CN"/>
              </w:rPr>
              <w:t>澳</w:t>
            </w:r>
            <w:r>
              <w:rPr>
                <w:rFonts w:hint="eastAsia" w:asciiTheme="minorEastAsia" w:hAnsiTheme="minorEastAsia" w:eastAsiaTheme="minorEastAsia"/>
                <w:szCs w:val="21"/>
              </w:rPr>
              <w:t>台）人员学历无法通过学信网站查询，应当提供教育部留学服务中心出具的国外学历认证证书以及教育部留学服务中心官网查询截图。</w:t>
            </w:r>
          </w:p>
          <w:p w14:paraId="20F1AC3F">
            <w:pPr>
              <w:keepNext w:val="0"/>
              <w:keepLines w:val="0"/>
              <w:pageBreakBefore w:val="0"/>
              <w:kinsoku/>
              <w:wordWrap/>
              <w:overflowPunct/>
              <w:topLinePunct w:val="0"/>
              <w:bidi w:val="0"/>
              <w:adjustRightInd w:val="0"/>
              <w:snapToGrid w:val="0"/>
              <w:spacing w:line="380" w:lineRule="exact"/>
              <w:textAlignment w:val="auto"/>
              <w:rPr>
                <w:rFonts w:asciiTheme="minorEastAsia" w:hAnsiTheme="minorEastAsia" w:eastAsiaTheme="minorEastAsia"/>
                <w:b/>
                <w:bCs/>
                <w:kern w:val="0"/>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以上资料均要求提供</w:t>
            </w:r>
            <w:r>
              <w:rPr>
                <w:rFonts w:hint="eastAsia" w:asciiTheme="minorEastAsia" w:hAnsiTheme="minorEastAsia" w:eastAsiaTheme="minorEastAsia"/>
                <w:szCs w:val="21"/>
                <w:lang w:val="en-US" w:eastAsia="zh-CN"/>
              </w:rPr>
              <w:t>复印件或</w:t>
            </w:r>
            <w:r>
              <w:rPr>
                <w:rFonts w:hint="eastAsia" w:asciiTheme="minorEastAsia" w:hAnsiTheme="minorEastAsia" w:eastAsiaTheme="minorEastAsia"/>
                <w:szCs w:val="21"/>
              </w:rPr>
              <w:t>扫描件（或官方网站截图），</w:t>
            </w:r>
            <w:r>
              <w:rPr>
                <w:rFonts w:hint="eastAsia" w:asciiTheme="minorEastAsia" w:hAnsiTheme="minorEastAsia" w:eastAsiaTheme="minorEastAsia"/>
                <w:szCs w:val="21"/>
                <w:lang w:val="en-US" w:eastAsia="zh-CN"/>
              </w:rPr>
              <w:t>加盖投标人公章，</w:t>
            </w:r>
            <w:r>
              <w:rPr>
                <w:rFonts w:hint="eastAsia" w:asciiTheme="minorEastAsia" w:hAnsiTheme="minorEastAsia" w:eastAsiaTheme="minorEastAsia"/>
                <w:szCs w:val="21"/>
              </w:rPr>
              <w:t>原件备查。评分中出现无证明资料或专家无法凭所提供资料判断是否得分的情况，一律作不得分处理。</w:t>
            </w:r>
          </w:p>
        </w:tc>
        <w:tc>
          <w:tcPr>
            <w:tcW w:w="1187" w:type="dxa"/>
            <w:vAlign w:val="center"/>
          </w:tcPr>
          <w:p w14:paraId="40CB9D4A">
            <w:pPr>
              <w:keepNext w:val="0"/>
              <w:keepLines w:val="0"/>
              <w:pageBreakBefore w:val="0"/>
              <w:kinsoku/>
              <w:wordWrap/>
              <w:overflowPunct/>
              <w:topLinePunct w:val="0"/>
              <w:bidi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6A173027">
            <w:pPr>
              <w:keepNext w:val="0"/>
              <w:keepLines w:val="0"/>
              <w:pageBreakBefore w:val="0"/>
              <w:widowControl/>
              <w:kinsoku/>
              <w:wordWrap/>
              <w:overflowPunct/>
              <w:topLinePunct w:val="0"/>
              <w:bidi w:val="0"/>
              <w:snapToGrid w:val="0"/>
              <w:spacing w:line="380" w:lineRule="exact"/>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47170A4E">
            <w:pPr>
              <w:keepNext w:val="0"/>
              <w:keepLines w:val="0"/>
              <w:pageBreakBefore w:val="0"/>
              <w:kinsoku/>
              <w:wordWrap/>
              <w:overflowPunct/>
              <w:topLinePunct w:val="0"/>
              <w:bidi w:val="0"/>
              <w:spacing w:line="380" w:lineRule="exact"/>
              <w:jc w:val="center"/>
              <w:textAlignment w:val="auto"/>
              <w:rPr>
                <w:rFonts w:hint="eastAsia" w:asciiTheme="minorEastAsia" w:hAnsiTheme="minorEastAsia" w:eastAsiaTheme="minorEastAsia"/>
                <w:kern w:val="0"/>
                <w:szCs w:val="21"/>
                <w:lang w:val="zh-CN" w:eastAsia="zh-CN"/>
              </w:rPr>
            </w:pPr>
            <w:r>
              <w:rPr>
                <w:rFonts w:hint="eastAsia" w:asciiTheme="minorEastAsia" w:hAnsiTheme="minorEastAsia" w:eastAsiaTheme="minorEastAsia"/>
                <w:kern w:val="0"/>
                <w:szCs w:val="21"/>
                <w:lang w:val="zh-CN"/>
              </w:rPr>
              <w:t>拟安排的项目主要团队成员（项目负责人除外）</w:t>
            </w:r>
            <w:r>
              <w:rPr>
                <w:rFonts w:hint="eastAsia" w:asciiTheme="minorEastAsia" w:hAnsiTheme="minorEastAsia" w:eastAsiaTheme="minorEastAsia"/>
                <w:kern w:val="0"/>
                <w:szCs w:val="21"/>
                <w:lang w:val="zh-CN" w:eastAsia="zh-CN"/>
              </w:rPr>
              <w:t>情况</w:t>
            </w:r>
          </w:p>
          <w:p w14:paraId="1FB8A253">
            <w:pPr>
              <w:keepNext w:val="0"/>
              <w:keepLines w:val="0"/>
              <w:pageBreakBefore w:val="0"/>
              <w:kinsoku/>
              <w:wordWrap/>
              <w:overflowPunct/>
              <w:topLinePunct w:val="0"/>
              <w:bidi w:val="0"/>
              <w:spacing w:line="380" w:lineRule="exact"/>
              <w:jc w:val="center"/>
              <w:textAlignment w:val="auto"/>
              <w:rPr>
                <w:rFonts w:cs="仿宋" w:asciiTheme="minorEastAsia" w:hAnsiTheme="minorEastAsia" w:eastAsiaTheme="minorEastAsia"/>
                <w:szCs w:val="21"/>
              </w:rPr>
            </w:pPr>
          </w:p>
        </w:tc>
        <w:tc>
          <w:tcPr>
            <w:tcW w:w="709" w:type="dxa"/>
            <w:vAlign w:val="center"/>
          </w:tcPr>
          <w:p w14:paraId="03D227DE">
            <w:pPr>
              <w:keepNext w:val="0"/>
              <w:keepLines w:val="0"/>
              <w:pageBreakBefore w:val="0"/>
              <w:kinsoku/>
              <w:wordWrap/>
              <w:overflowPunct/>
              <w:topLinePunct w:val="0"/>
              <w:bidi w:val="0"/>
              <w:spacing w:line="380" w:lineRule="exact"/>
              <w:jc w:val="center"/>
              <w:textAlignment w:val="auto"/>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14</w:t>
            </w:r>
          </w:p>
        </w:tc>
        <w:tc>
          <w:tcPr>
            <w:tcW w:w="5953" w:type="dxa"/>
            <w:vAlign w:val="center"/>
          </w:tcPr>
          <w:p w14:paraId="2A7C38FA">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2789637B">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项目团队成员</w:t>
            </w:r>
            <w:r>
              <w:rPr>
                <w:rFonts w:hint="eastAsia" w:asciiTheme="minorEastAsia" w:hAnsiTheme="minorEastAsia" w:eastAsiaTheme="minorEastAsia"/>
                <w:szCs w:val="21"/>
                <w:lang w:val="en-US" w:eastAsia="zh-CN"/>
              </w:rPr>
              <w:t>数量</w:t>
            </w:r>
            <w:r>
              <w:rPr>
                <w:rFonts w:hint="eastAsia" w:asciiTheme="minorEastAsia" w:hAnsiTheme="minorEastAsia" w:eastAsiaTheme="minorEastAsia"/>
                <w:szCs w:val="21"/>
              </w:rPr>
              <w:t>必须</w:t>
            </w:r>
            <w:r>
              <w:rPr>
                <w:rFonts w:hint="eastAsia" w:asciiTheme="minorEastAsia" w:hAnsiTheme="minorEastAsia" w:eastAsiaTheme="minorEastAsia"/>
                <w:szCs w:val="21"/>
                <w:lang w:val="en-US" w:eastAsia="zh-CN"/>
              </w:rPr>
              <w:t>满足7</w:t>
            </w:r>
            <w:r>
              <w:rPr>
                <w:rFonts w:hint="eastAsia" w:asciiTheme="minorEastAsia" w:hAnsiTheme="minorEastAsia" w:eastAsiaTheme="minorEastAsia"/>
                <w:szCs w:val="21"/>
              </w:rPr>
              <w:t>人</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rPr>
              <w:t>以上，</w:t>
            </w:r>
            <w:r>
              <w:rPr>
                <w:rFonts w:hint="eastAsia" w:asciiTheme="minorEastAsia" w:hAnsiTheme="minorEastAsia" w:eastAsiaTheme="minorEastAsia"/>
                <w:szCs w:val="21"/>
                <w:lang w:eastAsia="zh-CN"/>
              </w:rPr>
              <w:t>且均</w:t>
            </w:r>
            <w:r>
              <w:rPr>
                <w:rFonts w:hint="eastAsia" w:asciiTheme="minorEastAsia" w:hAnsiTheme="minorEastAsia" w:eastAsiaTheme="minorEastAsia"/>
                <w:szCs w:val="21"/>
              </w:rPr>
              <w:t>为投标人正式聘任员工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不满足此项不得分。</w:t>
            </w:r>
          </w:p>
          <w:p w14:paraId="111BE423">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.团队成员具有注册渗透测试工程师（CISP-PTE）证书的，每</w:t>
            </w:r>
            <w:r>
              <w:rPr>
                <w:rFonts w:hint="eastAsia" w:asciiTheme="minorEastAsia" w:hAnsiTheme="minorEastAsia" w:eastAsiaTheme="minorEastAsia"/>
                <w:szCs w:val="21"/>
                <w:lang w:val="en-US" w:eastAsia="zh-CN"/>
              </w:rPr>
              <w:t>提供一</w:t>
            </w:r>
            <w:r>
              <w:rPr>
                <w:rFonts w:hint="eastAsia" w:asciiTheme="minorEastAsia" w:hAnsiTheme="minorEastAsia" w:eastAsiaTheme="minorEastAsia"/>
                <w:szCs w:val="21"/>
              </w:rPr>
              <w:t>人得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r>
              <w:rPr>
                <w:rFonts w:hint="eastAsia" w:asciiTheme="minorEastAsia" w:hAnsiTheme="minorEastAsia" w:eastAsiaTheme="minorEastAsia"/>
                <w:szCs w:val="21"/>
                <w:lang w:val="en"/>
              </w:rPr>
              <w:t>本项</w:t>
            </w:r>
            <w:r>
              <w:rPr>
                <w:rFonts w:hint="eastAsia" w:asciiTheme="minorEastAsia" w:hAnsiTheme="minorEastAsia" w:eastAsiaTheme="minorEastAsia"/>
                <w:szCs w:val="21"/>
              </w:rPr>
              <w:t>最高得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07636B94">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.团队成员</w:t>
            </w:r>
            <w:r>
              <w:rPr>
                <w:rFonts w:hint="eastAsia" w:asciiTheme="minorEastAsia" w:hAnsiTheme="minorEastAsia" w:eastAsiaTheme="minorEastAsia"/>
                <w:szCs w:val="21"/>
                <w:lang w:val="en-US" w:eastAsia="zh-CN"/>
              </w:rPr>
              <w:t>具有</w:t>
            </w:r>
            <w:r>
              <w:rPr>
                <w:rFonts w:hint="eastAsia" w:asciiTheme="minorEastAsia" w:hAnsiTheme="minorEastAsia" w:eastAsiaTheme="minorEastAsia"/>
                <w:szCs w:val="21"/>
              </w:rPr>
              <w:t>信息安全保障人员认证CISAW（风险管理）证书的，每</w:t>
            </w:r>
            <w:r>
              <w:rPr>
                <w:rFonts w:hint="eastAsia" w:asciiTheme="minorEastAsia" w:hAnsiTheme="minorEastAsia" w:eastAsiaTheme="minorEastAsia"/>
                <w:szCs w:val="21"/>
                <w:lang w:val="en-US" w:eastAsia="zh-CN"/>
              </w:rPr>
              <w:t>提供一</w:t>
            </w:r>
            <w:r>
              <w:rPr>
                <w:rFonts w:hint="eastAsia" w:asciiTheme="minorEastAsia" w:hAnsiTheme="minorEastAsia" w:eastAsiaTheme="minorEastAsia"/>
                <w:szCs w:val="21"/>
              </w:rPr>
              <w:t>人得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r>
              <w:rPr>
                <w:rFonts w:hint="eastAsia" w:asciiTheme="minorEastAsia" w:hAnsiTheme="minorEastAsia" w:eastAsiaTheme="minorEastAsia"/>
                <w:szCs w:val="21"/>
                <w:lang w:val="en"/>
              </w:rPr>
              <w:t>本项</w:t>
            </w:r>
            <w:r>
              <w:rPr>
                <w:rFonts w:hint="eastAsia" w:asciiTheme="minorEastAsia" w:hAnsiTheme="minorEastAsia" w:eastAsiaTheme="minorEastAsia"/>
                <w:szCs w:val="21"/>
              </w:rPr>
              <w:t>最高得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15DD5091">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团队成员</w:t>
            </w:r>
            <w:r>
              <w:rPr>
                <w:rFonts w:hint="eastAsia" w:asciiTheme="minorEastAsia" w:hAnsiTheme="minorEastAsia" w:eastAsiaTheme="minorEastAsia"/>
                <w:szCs w:val="21"/>
                <w:lang w:val="en-US" w:eastAsia="zh-CN"/>
              </w:rPr>
              <w:t>具有信息安全保障人员认证CISAW（安全运维）证书的，每提供一人得2分，本项目最高得6分</w:t>
            </w:r>
            <w:r>
              <w:rPr>
                <w:rFonts w:hint="eastAsia" w:asciiTheme="minorEastAsia" w:hAnsiTheme="minorEastAsia" w:eastAsiaTheme="minorEastAsia"/>
                <w:szCs w:val="21"/>
              </w:rPr>
              <w:t>。</w:t>
            </w:r>
          </w:p>
          <w:p w14:paraId="4BB66F3D">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5FAA36ED">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1.要求提供通过投标人缴纳的</w:t>
            </w:r>
            <w:r>
              <w:rPr>
                <w:rFonts w:hint="eastAsia" w:asciiTheme="minorEastAsia" w:hAnsiTheme="minorEastAsia" w:eastAsiaTheme="minorEastAsia"/>
                <w:szCs w:val="21"/>
                <w:lang w:eastAsia="zh-CN"/>
              </w:rPr>
              <w:t>考察人员</w:t>
            </w:r>
            <w:r>
              <w:rPr>
                <w:rFonts w:hint="eastAsia" w:asciiTheme="minorEastAsia" w:hAnsiTheme="minorEastAsia" w:eastAsiaTheme="minorEastAsia"/>
                <w:szCs w:val="21"/>
              </w:rPr>
              <w:t>近三个月内任意一个月的社保证明（如供应商为新成立单位且成立时间不足一个月的，可提供加盖公章的情况说明或者证明材料亦视为符合</w:t>
            </w:r>
            <w:bookmarkStart w:id="121" w:name="_GoBack"/>
            <w:bookmarkEnd w:id="121"/>
            <w:r>
              <w:rPr>
                <w:rFonts w:hint="eastAsia" w:asciiTheme="minorEastAsia" w:hAnsiTheme="minorEastAsia" w:eastAsiaTheme="minorEastAsia"/>
                <w:szCs w:val="21"/>
              </w:rPr>
              <w:t>）。社保证明资料应当至少包含医疗保险，证明资料可为社保收缴部门盖章证明资料、社保窗口打印资料或社保官网截图。</w:t>
            </w:r>
            <w:r>
              <w:rPr>
                <w:rFonts w:hint="eastAsia" w:asciiTheme="minorEastAsia" w:hAnsiTheme="minorEastAsia" w:eastAsiaTheme="minorEastAsia"/>
                <w:szCs w:val="21"/>
              </w:rPr>
              <w:br w:type="textWrapping"/>
            </w:r>
            <w:r>
              <w:rPr>
                <w:rFonts w:hint="eastAsia" w:asciiTheme="minorEastAsia" w:hAnsiTheme="minorEastAsia" w:eastAsiaTheme="minorEastAsia"/>
                <w:szCs w:val="21"/>
                <w:lang w:val="en-US" w:eastAsia="zh-CN"/>
              </w:rPr>
              <w:t>2.要求提供项目团队成员上述职称/资格证书。</w:t>
            </w:r>
          </w:p>
          <w:p w14:paraId="0CDED7DE">
            <w:pPr>
              <w:keepNext w:val="0"/>
              <w:keepLines w:val="0"/>
              <w:pageBreakBefore w:val="0"/>
              <w:tabs>
                <w:tab w:val="left" w:pos="175"/>
              </w:tabs>
              <w:kinsoku/>
              <w:wordWrap/>
              <w:overflowPunct/>
              <w:topLinePunct w:val="0"/>
              <w:bidi w:val="0"/>
              <w:spacing w:line="380" w:lineRule="exact"/>
              <w:ind w:left="33"/>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以上资料均要求提供</w:t>
            </w:r>
            <w:r>
              <w:rPr>
                <w:rFonts w:hint="eastAsia" w:asciiTheme="minorEastAsia" w:hAnsiTheme="minorEastAsia" w:eastAsiaTheme="minorEastAsia"/>
                <w:szCs w:val="21"/>
                <w:lang w:val="en-US" w:eastAsia="zh-CN"/>
              </w:rPr>
              <w:t>复印件或</w:t>
            </w:r>
            <w:r>
              <w:rPr>
                <w:rFonts w:hint="eastAsia" w:asciiTheme="minorEastAsia" w:hAnsiTheme="minorEastAsia" w:eastAsiaTheme="minorEastAsia"/>
                <w:szCs w:val="21"/>
              </w:rPr>
              <w:t>扫描件（或官方网站截图），</w:t>
            </w:r>
            <w:r>
              <w:rPr>
                <w:rFonts w:hint="eastAsia" w:asciiTheme="minorEastAsia" w:hAnsiTheme="minorEastAsia" w:eastAsiaTheme="minorEastAsia"/>
                <w:szCs w:val="21"/>
                <w:lang w:val="en-US" w:eastAsia="zh-CN"/>
              </w:rPr>
              <w:t>加盖投标人公章，</w:t>
            </w:r>
            <w:r>
              <w:rPr>
                <w:rFonts w:hint="eastAsia" w:asciiTheme="minorEastAsia" w:hAnsiTheme="minorEastAsia" w:eastAsiaTheme="minorEastAsia"/>
                <w:szCs w:val="21"/>
              </w:rPr>
              <w:t>原件备查。评分中出现无证明资料或专家无法凭所提供资料判断是否得分的情况，一律作不得分处理。</w:t>
            </w:r>
          </w:p>
        </w:tc>
        <w:tc>
          <w:tcPr>
            <w:tcW w:w="1187" w:type="dxa"/>
            <w:vAlign w:val="center"/>
          </w:tcPr>
          <w:p w14:paraId="00F3178E">
            <w:pPr>
              <w:keepNext w:val="0"/>
              <w:keepLines w:val="0"/>
              <w:pageBreakBefore w:val="0"/>
              <w:kinsoku/>
              <w:wordWrap/>
              <w:overflowPunct/>
              <w:topLinePunct w:val="0"/>
              <w:bidi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17E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0" w:hRule="atLeast"/>
          <w:jc w:val="center"/>
        </w:trPr>
        <w:tc>
          <w:tcPr>
            <w:tcW w:w="754" w:type="dxa"/>
            <w:vAlign w:val="center"/>
          </w:tcPr>
          <w:p w14:paraId="30E65CFC">
            <w:pPr>
              <w:keepNext w:val="0"/>
              <w:keepLines w:val="0"/>
              <w:pageBreakBefore w:val="0"/>
              <w:kinsoku/>
              <w:wordWrap/>
              <w:overflowPunct/>
              <w:topLinePunct w:val="0"/>
              <w:autoSpaceDE w:val="0"/>
              <w:autoSpaceDN w:val="0"/>
              <w:bidi w:val="0"/>
              <w:adjustRightInd w:val="0"/>
              <w:spacing w:line="380" w:lineRule="exact"/>
              <w:jc w:val="center"/>
              <w:textAlignment w:val="auto"/>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4</w:t>
            </w:r>
          </w:p>
        </w:tc>
        <w:tc>
          <w:tcPr>
            <w:tcW w:w="1143" w:type="dxa"/>
            <w:vAlign w:val="center"/>
          </w:tcPr>
          <w:p w14:paraId="367B8C50">
            <w:pPr>
              <w:keepNext w:val="0"/>
              <w:keepLines w:val="0"/>
              <w:pageBreakBefore w:val="0"/>
              <w:kinsoku/>
              <w:wordWrap/>
              <w:overflowPunct/>
              <w:topLinePunct w:val="0"/>
              <w:bidi w:val="0"/>
              <w:spacing w:line="380" w:lineRule="exact"/>
              <w:jc w:val="center"/>
              <w:textAlignment w:val="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供应商资格（资质、认证）情况</w:t>
            </w:r>
          </w:p>
        </w:tc>
        <w:tc>
          <w:tcPr>
            <w:tcW w:w="709" w:type="dxa"/>
            <w:vAlign w:val="center"/>
          </w:tcPr>
          <w:p w14:paraId="59030D22">
            <w:pPr>
              <w:keepNext w:val="0"/>
              <w:keepLines w:val="0"/>
              <w:pageBreakBefore w:val="0"/>
              <w:kinsoku/>
              <w:wordWrap/>
              <w:overflowPunct/>
              <w:topLinePunct w:val="0"/>
              <w:bidi w:val="0"/>
              <w:spacing w:line="380" w:lineRule="exact"/>
              <w:jc w:val="center"/>
              <w:textAlignment w:val="auto"/>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5</w:t>
            </w:r>
          </w:p>
        </w:tc>
        <w:tc>
          <w:tcPr>
            <w:tcW w:w="5953" w:type="dxa"/>
            <w:vAlign w:val="center"/>
          </w:tcPr>
          <w:p w14:paraId="095E5674">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6ABE7566">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.具有</w:t>
            </w:r>
            <w:r>
              <w:rPr>
                <w:rFonts w:hint="eastAsia" w:asciiTheme="minorEastAsia" w:hAnsiTheme="minorEastAsia" w:eastAsiaTheme="minorEastAsia"/>
                <w:szCs w:val="21"/>
              </w:rPr>
              <w:t>安全工程类服务资质</w:t>
            </w:r>
            <w:r>
              <w:rPr>
                <w:rFonts w:hint="eastAsia" w:asciiTheme="minorEastAsia" w:hAnsiTheme="minorEastAsia" w:eastAsiaTheme="minorEastAsia"/>
                <w:szCs w:val="21"/>
                <w:lang w:val="en-US" w:eastAsia="zh-CN"/>
              </w:rPr>
              <w:t>得3分</w:t>
            </w:r>
            <w:r>
              <w:rPr>
                <w:rFonts w:hint="eastAsia" w:asciiTheme="minorEastAsia" w:hAnsiTheme="minorEastAsia" w:eastAsiaTheme="minorEastAsia"/>
                <w:szCs w:val="21"/>
                <w:lang w:eastAsia="zh-CN"/>
              </w:rPr>
              <w:t>；</w:t>
            </w:r>
          </w:p>
          <w:p w14:paraId="795DB0D5">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具有ISO9001质量体系认证证书，</w:t>
            </w:r>
            <w:r>
              <w:rPr>
                <w:rFonts w:hint="eastAsia" w:asciiTheme="minorEastAsia" w:hAnsiTheme="minorEastAsia" w:eastAsiaTheme="minorEastAsia"/>
                <w:szCs w:val="21"/>
              </w:rPr>
              <w:t>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w:t>
            </w:r>
          </w:p>
          <w:p w14:paraId="272AC6E5">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（二）</w:t>
            </w:r>
            <w:r>
              <w:rPr>
                <w:rFonts w:hint="eastAsia" w:asciiTheme="minorEastAsia" w:hAnsiTheme="minorEastAsia" w:eastAsiaTheme="minorEastAsia"/>
                <w:szCs w:val="21"/>
              </w:rPr>
              <w:t>评分依据：</w:t>
            </w:r>
          </w:p>
          <w:p w14:paraId="74CD4A5D">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以上资料均要求提供</w:t>
            </w:r>
            <w:r>
              <w:rPr>
                <w:rFonts w:hint="eastAsia" w:asciiTheme="minorEastAsia" w:hAnsiTheme="minorEastAsia" w:eastAsiaTheme="minorEastAsia"/>
                <w:szCs w:val="21"/>
                <w:lang w:val="en-US" w:eastAsia="zh-CN"/>
              </w:rPr>
              <w:t>复印件或</w:t>
            </w:r>
            <w:r>
              <w:rPr>
                <w:rFonts w:hint="eastAsia" w:asciiTheme="minorEastAsia" w:hAnsiTheme="minorEastAsia" w:eastAsiaTheme="minorEastAsia"/>
                <w:szCs w:val="21"/>
              </w:rPr>
              <w:t>扫描件（或官方网站截图），</w:t>
            </w:r>
            <w:r>
              <w:rPr>
                <w:rFonts w:hint="eastAsia" w:asciiTheme="minorEastAsia" w:hAnsiTheme="minorEastAsia" w:eastAsiaTheme="minorEastAsia"/>
                <w:szCs w:val="21"/>
                <w:lang w:val="en-US" w:eastAsia="zh-CN"/>
              </w:rPr>
              <w:t>加盖投标人公章，</w:t>
            </w:r>
            <w:r>
              <w:rPr>
                <w:rFonts w:hint="eastAsia" w:asciiTheme="minorEastAsia" w:hAnsiTheme="minorEastAsia" w:eastAsiaTheme="minorEastAsia"/>
                <w:szCs w:val="21"/>
              </w:rPr>
              <w:t>原件备查。评分中出现无证明资料或专家无法凭所提供资料判断是否得分的情况，一律作不得分处理。</w:t>
            </w:r>
          </w:p>
        </w:tc>
        <w:tc>
          <w:tcPr>
            <w:tcW w:w="1187" w:type="dxa"/>
            <w:vAlign w:val="center"/>
          </w:tcPr>
          <w:p w14:paraId="4C3233FD">
            <w:pPr>
              <w:keepNext w:val="0"/>
              <w:keepLines w:val="0"/>
              <w:pageBreakBefore w:val="0"/>
              <w:kinsoku/>
              <w:wordWrap/>
              <w:overflowPunct/>
              <w:topLinePunct w:val="0"/>
              <w:bidi w:val="0"/>
              <w:spacing w:line="380" w:lineRule="exact"/>
              <w:jc w:val="center"/>
              <w:textAlignment w:val="auto"/>
              <w:rPr>
                <w:rFonts w:hint="eastAsia" w:cs="仿宋" w:asciiTheme="minorEastAsia" w:hAnsiTheme="minorEastAsia" w:eastAsiaTheme="minorEastAsia"/>
                <w:szCs w:val="21"/>
              </w:rPr>
            </w:pPr>
          </w:p>
        </w:tc>
      </w:tr>
      <w:tr w14:paraId="6D77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0" w:hRule="atLeast"/>
          <w:jc w:val="center"/>
        </w:trPr>
        <w:tc>
          <w:tcPr>
            <w:tcW w:w="754" w:type="dxa"/>
            <w:vAlign w:val="center"/>
          </w:tcPr>
          <w:p w14:paraId="0F602191">
            <w:pPr>
              <w:keepNext w:val="0"/>
              <w:keepLines w:val="0"/>
              <w:pageBreakBefore w:val="0"/>
              <w:kinsoku/>
              <w:wordWrap/>
              <w:overflowPunct/>
              <w:topLinePunct w:val="0"/>
              <w:autoSpaceDE w:val="0"/>
              <w:autoSpaceDN w:val="0"/>
              <w:bidi w:val="0"/>
              <w:adjustRightInd w:val="0"/>
              <w:spacing w:line="380" w:lineRule="exact"/>
              <w:jc w:val="center"/>
              <w:textAlignment w:val="auto"/>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5</w:t>
            </w:r>
          </w:p>
        </w:tc>
        <w:tc>
          <w:tcPr>
            <w:tcW w:w="1143" w:type="dxa"/>
            <w:vAlign w:val="center"/>
          </w:tcPr>
          <w:p w14:paraId="40B44409">
            <w:pPr>
              <w:keepNext w:val="0"/>
              <w:keepLines w:val="0"/>
              <w:pageBreakBefore w:val="0"/>
              <w:kinsoku/>
              <w:wordWrap/>
              <w:overflowPunct/>
              <w:topLinePunct w:val="0"/>
              <w:bidi w:val="0"/>
              <w:spacing w:line="380" w:lineRule="exact"/>
              <w:jc w:val="center"/>
              <w:textAlignment w:val="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投标人自主知识产权产品（创新、设计）情况</w:t>
            </w:r>
          </w:p>
        </w:tc>
        <w:tc>
          <w:tcPr>
            <w:tcW w:w="709" w:type="dxa"/>
            <w:vAlign w:val="center"/>
          </w:tcPr>
          <w:p w14:paraId="6C0EE5F8">
            <w:pPr>
              <w:keepNext w:val="0"/>
              <w:keepLines w:val="0"/>
              <w:pageBreakBefore w:val="0"/>
              <w:kinsoku/>
              <w:wordWrap/>
              <w:overflowPunct/>
              <w:topLinePunct w:val="0"/>
              <w:bidi w:val="0"/>
              <w:spacing w:line="380" w:lineRule="exact"/>
              <w:jc w:val="center"/>
              <w:textAlignment w:val="auto"/>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5</w:t>
            </w:r>
          </w:p>
        </w:tc>
        <w:tc>
          <w:tcPr>
            <w:tcW w:w="5953" w:type="dxa"/>
            <w:vAlign w:val="center"/>
          </w:tcPr>
          <w:p w14:paraId="47F1E7E4">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325AF0E2">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lang w:eastAsia="zh-Hans"/>
              </w:rPr>
            </w:pPr>
            <w:r>
              <w:rPr>
                <w:rFonts w:hint="eastAsia" w:asciiTheme="minorEastAsia" w:hAnsiTheme="minorEastAsia" w:eastAsiaTheme="minorEastAsia"/>
                <w:szCs w:val="21"/>
                <w:lang w:eastAsia="zh-Hans"/>
              </w:rPr>
              <w:t>投标人在本项目中所使用的</w:t>
            </w:r>
            <w:r>
              <w:rPr>
                <w:rFonts w:hint="eastAsia" w:asciiTheme="minorEastAsia" w:hAnsiTheme="minorEastAsia" w:eastAsiaTheme="minorEastAsia"/>
                <w:szCs w:val="21"/>
                <w:lang w:val="en-US" w:eastAsia="zh-CN"/>
              </w:rPr>
              <w:t>漏洞扫描及</w:t>
            </w:r>
            <w:r>
              <w:rPr>
                <w:rFonts w:hint="eastAsia" w:asciiTheme="minorEastAsia" w:hAnsiTheme="minorEastAsia" w:eastAsiaTheme="minorEastAsia"/>
                <w:szCs w:val="21"/>
                <w:lang w:eastAsia="zh-Hans"/>
              </w:rPr>
              <w:t>渗透测试工具为自主研发的，具有计算机软件著作权登记证书的，</w:t>
            </w:r>
            <w:r>
              <w:rPr>
                <w:rFonts w:hint="eastAsia" w:asciiTheme="minorEastAsia" w:hAnsiTheme="minorEastAsia" w:eastAsiaTheme="minorEastAsia"/>
                <w:szCs w:val="21"/>
              </w:rPr>
              <w:t>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Hans"/>
              </w:rPr>
              <w:t>；</w:t>
            </w:r>
          </w:p>
          <w:p w14:paraId="6830E0A6">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068C3D82">
            <w:pPr>
              <w:keepNext w:val="0"/>
              <w:keepLines w:val="0"/>
              <w:pageBreakBefore w:val="0"/>
              <w:tabs>
                <w:tab w:val="left" w:pos="175"/>
              </w:tabs>
              <w:kinsoku/>
              <w:wordWrap/>
              <w:overflowPunct/>
              <w:topLinePunct w:val="0"/>
              <w:bidi w:val="0"/>
              <w:spacing w:line="380" w:lineRule="exact"/>
              <w:ind w:left="33"/>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要求提供有效</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lang w:eastAsia="zh-Hans"/>
              </w:rPr>
              <w:t>计算机软件著作权登记证书</w:t>
            </w:r>
            <w:r>
              <w:rPr>
                <w:rFonts w:hint="eastAsia" w:asciiTheme="minorEastAsia" w:hAnsiTheme="minorEastAsia" w:eastAsiaTheme="minorEastAsia"/>
                <w:szCs w:val="21"/>
                <w:lang w:val="en-US" w:eastAsia="zh-CN"/>
              </w:rPr>
              <w:t>复印件或扫描件加盖投标人公章，原件备查。评分中出现无证明资料或专家无法凭所提供资料判断是否得分的情况，一律作不得分处理。</w:t>
            </w:r>
          </w:p>
        </w:tc>
        <w:tc>
          <w:tcPr>
            <w:tcW w:w="1187" w:type="dxa"/>
            <w:vAlign w:val="center"/>
          </w:tcPr>
          <w:p w14:paraId="072D4F9F">
            <w:pPr>
              <w:keepNext w:val="0"/>
              <w:keepLines w:val="0"/>
              <w:pageBreakBefore w:val="0"/>
              <w:kinsoku/>
              <w:wordWrap/>
              <w:overflowPunct/>
              <w:topLinePunct w:val="0"/>
              <w:bidi w:val="0"/>
              <w:spacing w:line="380" w:lineRule="exact"/>
              <w:jc w:val="center"/>
              <w:textAlignment w:val="auto"/>
              <w:rPr>
                <w:rFonts w:hint="eastAsia" w:cs="仿宋" w:asciiTheme="minorEastAsia" w:hAnsiTheme="minorEastAsia" w:eastAsiaTheme="minorEastAsia"/>
                <w:szCs w:val="21"/>
              </w:rPr>
            </w:pP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keepNext w:val="0"/>
              <w:keepLines w:val="0"/>
              <w:pageBreakBefore w:val="0"/>
              <w:kinsoku/>
              <w:wordWrap/>
              <w:overflowPunct/>
              <w:topLinePunct w:val="0"/>
              <w:autoSpaceDE w:val="0"/>
              <w:autoSpaceDN w:val="0"/>
              <w:bidi w:val="0"/>
              <w:adjustRightInd w:val="0"/>
              <w:spacing w:line="380" w:lineRule="exact"/>
              <w:jc w:val="center"/>
              <w:textAlignment w:val="auto"/>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6</w:t>
            </w:r>
          </w:p>
        </w:tc>
        <w:tc>
          <w:tcPr>
            <w:tcW w:w="1143" w:type="dxa"/>
            <w:vAlign w:val="center"/>
          </w:tcPr>
          <w:p w14:paraId="42B13F9C">
            <w:pPr>
              <w:keepNext w:val="0"/>
              <w:keepLines w:val="0"/>
              <w:pageBreakBefore w:val="0"/>
              <w:kinsoku/>
              <w:wordWrap/>
              <w:overflowPunct/>
              <w:topLinePunct w:val="0"/>
              <w:bidi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keepNext w:val="0"/>
              <w:keepLines w:val="0"/>
              <w:pageBreakBefore w:val="0"/>
              <w:kinsoku/>
              <w:wordWrap/>
              <w:overflowPunct/>
              <w:topLinePunct w:val="0"/>
              <w:bidi w:val="0"/>
              <w:spacing w:line="38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keepNext w:val="0"/>
              <w:keepLines w:val="0"/>
              <w:pageBreakBefore w:val="0"/>
              <w:kinsoku/>
              <w:wordWrap/>
              <w:overflowPunct/>
              <w:topLinePunct w:val="0"/>
              <w:bidi w:val="0"/>
              <w:spacing w:line="380" w:lineRule="exact"/>
              <w:ind w:left="34" w:leftChars="16"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keepNext w:val="0"/>
              <w:keepLines w:val="0"/>
              <w:pageBreakBefore w:val="0"/>
              <w:tabs>
                <w:tab w:val="left" w:pos="175"/>
              </w:tabs>
              <w:kinsoku/>
              <w:wordWrap/>
              <w:overflowPunct/>
              <w:topLinePunct w:val="0"/>
              <w:bidi w:val="0"/>
              <w:spacing w:line="380" w:lineRule="exact"/>
              <w:ind w:left="33"/>
              <w:jc w:val="left"/>
              <w:textAlignment w:val="auto"/>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keepNext w:val="0"/>
              <w:keepLines w:val="0"/>
              <w:pageBreakBefore w:val="0"/>
              <w:kinsoku/>
              <w:wordWrap/>
              <w:overflowPunct/>
              <w:topLinePunct w:val="0"/>
              <w:bidi w:val="0"/>
              <w:spacing w:line="38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bookmarkStart w:id="21" w:name="_Toc44690430"/>
      <w:bookmarkStart w:id="22" w:name="_Toc44691162"/>
      <w:bookmarkStart w:id="23" w:name="_Toc135293165"/>
      <w:bookmarkStart w:id="24" w:name="_Toc44690703"/>
      <w:bookmarkStart w:id="25" w:name="_Toc44691394"/>
      <w:r>
        <w:rPr>
          <w:rFonts w:hint="eastAsia" w:asciiTheme="minorEastAsia" w:hAnsiTheme="minorEastAsia"/>
          <w:bCs w:val="0"/>
          <w:sz w:val="21"/>
          <w:szCs w:val="21"/>
        </w:rPr>
        <w:t>备注：</w:t>
      </w:r>
      <w:bookmarkEnd w:id="21"/>
      <w:bookmarkEnd w:id="22"/>
      <w:bookmarkEnd w:id="23"/>
      <w:bookmarkEnd w:id="24"/>
      <w:bookmarkEnd w:id="25"/>
    </w:p>
    <w:p w14:paraId="66EDEC43">
      <w:pPr>
        <w:pStyle w:val="4"/>
        <w:spacing w:before="0" w:after="0"/>
      </w:pPr>
      <w:bookmarkStart w:id="26" w:name="_Toc135293166"/>
      <w:r>
        <w:rPr>
          <w:rFonts w:hint="eastAsia"/>
        </w:rPr>
        <w:t>1、资质证书有效期</w:t>
      </w:r>
      <w:bookmarkEnd w:id="26"/>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7" w:name="_Toc135293167"/>
      <w:r>
        <w:rPr>
          <w:rFonts w:hint="eastAsia" w:asciiTheme="minorEastAsia" w:hAnsiTheme="minorEastAsia" w:eastAsiaTheme="minorEastAsia"/>
        </w:rPr>
        <w:t>2、政府采购扶持政策</w:t>
      </w:r>
      <w:bookmarkEnd w:id="27"/>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eastAsia="zh-CN"/>
        </w:rPr>
        <w:t>软件和信息技术服务业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8" w:name="_Toc135293168"/>
      <w:r>
        <w:rPr>
          <w:rFonts w:hint="eastAsia"/>
        </w:rPr>
        <w:t>第五章  投标人须知前附表</w:t>
      </w:r>
      <w:bookmarkEnd w:id="28"/>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深圳市特种设备安全检验研究院2025年信息安全保障服务</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napToGrid w:val="0"/>
                <w:szCs w:val="21"/>
                <w:lang w:eastAsia="zh-CN"/>
              </w:rPr>
              <w:t>深圳市特种设备安全检验研究院</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6</w:t>
            </w:r>
            <w:r>
              <w:rPr>
                <w:rFonts w:hint="eastAsia" w:asciiTheme="minorEastAsia" w:hAnsiTheme="minorEastAsia" w:eastAsiaTheme="minorEastAsia"/>
              </w:rPr>
              <w:t>000元。</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9" w:name="_Toc135293169"/>
      <w:r>
        <w:rPr>
          <w:rFonts w:hint="eastAsia"/>
        </w:rPr>
        <w:t>第六章  投标人须知</w:t>
      </w:r>
      <w:bookmarkEnd w:id="29"/>
    </w:p>
    <w:p w14:paraId="2E5D3F6A">
      <w:pPr>
        <w:pStyle w:val="2"/>
        <w:spacing w:before="0" w:after="0"/>
      </w:pPr>
      <w:bookmarkStart w:id="30" w:name="_Toc135293170"/>
      <w:r>
        <w:rPr>
          <w:rFonts w:hint="eastAsia"/>
        </w:rPr>
        <w:t>一、说</w:t>
      </w:r>
      <w:r>
        <w:t xml:space="preserve">  </w:t>
      </w:r>
      <w:r>
        <w:rPr>
          <w:rFonts w:hint="eastAsia"/>
        </w:rPr>
        <w:t>明</w:t>
      </w:r>
      <w:bookmarkEnd w:id="30"/>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31" w:name="q5"/>
      <w:bookmarkEnd w:id="31"/>
    </w:p>
    <w:p w14:paraId="1C5B43CC">
      <w:pPr>
        <w:pStyle w:val="2"/>
        <w:spacing w:before="0" w:after="0"/>
      </w:pPr>
      <w:bookmarkStart w:id="32" w:name="_Toc135293171"/>
      <w:r>
        <w:rPr>
          <w:rFonts w:hint="eastAsia"/>
        </w:rPr>
        <w:t>二、招标文件说明</w:t>
      </w:r>
      <w:bookmarkEnd w:id="32"/>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33" w:name="q6"/>
      <w:bookmarkEnd w:id="33"/>
      <w:bookmarkStart w:id="34" w:name="_Toc135293172"/>
      <w:r>
        <w:rPr>
          <w:rFonts w:hint="eastAsia"/>
        </w:rPr>
        <w:t>三、投标文件的编写</w:t>
      </w:r>
      <w:bookmarkEnd w:id="34"/>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5" w:name="q7"/>
      <w:bookmarkEnd w:id="35"/>
      <w:bookmarkStart w:id="36" w:name="_Toc135293173"/>
      <w:r>
        <w:rPr>
          <w:rFonts w:hint="eastAsia"/>
        </w:rPr>
        <w:t>四、投标文件的递交</w:t>
      </w:r>
      <w:bookmarkEnd w:id="36"/>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7" w:name="_Hlt35050056"/>
      <w:bookmarkEnd w:id="3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8" w:name="q8"/>
      <w:bookmarkEnd w:id="38"/>
      <w:bookmarkStart w:id="39" w:name="_Toc135293174"/>
      <w:r>
        <w:rPr>
          <w:rFonts w:hint="eastAsia"/>
        </w:rPr>
        <w:t>五、开标和评标</w:t>
      </w:r>
      <w:bookmarkEnd w:id="39"/>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40" w:name="q9"/>
      <w:bookmarkEnd w:id="40"/>
    </w:p>
    <w:p w14:paraId="44A988C9">
      <w:pPr>
        <w:pStyle w:val="2"/>
        <w:spacing w:before="0" w:after="0"/>
      </w:pPr>
      <w:bookmarkStart w:id="41" w:name="_Toc135293175"/>
      <w:r>
        <w:rPr>
          <w:rFonts w:hint="eastAsia"/>
        </w:rPr>
        <w:t>六、授予合同</w:t>
      </w:r>
      <w:bookmarkEnd w:id="41"/>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42" w:name="_Toc135293176"/>
      <w:r>
        <w:rPr>
          <w:rFonts w:hint="eastAsia"/>
        </w:rPr>
        <w:t>七、质疑处理</w:t>
      </w:r>
      <w:bookmarkEnd w:id="42"/>
    </w:p>
    <w:p w14:paraId="754BDC90">
      <w:pPr>
        <w:spacing w:line="360" w:lineRule="auto"/>
        <w:rPr>
          <w:rFonts w:asciiTheme="majorEastAsia" w:hAnsiTheme="majorEastAsia" w:eastAsiaTheme="majorEastAsia"/>
          <w:b/>
          <w:bCs/>
          <w:szCs w:val="21"/>
        </w:rPr>
      </w:pPr>
      <w:bookmarkStart w:id="43"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4" w:name="_Hlk75374941"/>
      <w:r>
        <w:rPr>
          <w:rFonts w:hint="eastAsia" w:asciiTheme="majorEastAsia" w:hAnsiTheme="majorEastAsia" w:eastAsiaTheme="majorEastAsia"/>
          <w:szCs w:val="21"/>
        </w:rPr>
        <w:t>以联合体形式参与的，质疑应当由组成联合体的所有成员共同提出</w:t>
      </w:r>
      <w:bookmarkEnd w:id="44"/>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3"/>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5" w:name="_Toc135293177"/>
      <w:r>
        <w:rPr>
          <w:rFonts w:hint="eastAsia"/>
        </w:rPr>
        <w:t>第七章  投标文件格式</w:t>
      </w:r>
      <w:bookmarkEnd w:id="45"/>
    </w:p>
    <w:p w14:paraId="6A7BFB52">
      <w:pPr>
        <w:jc w:val="center"/>
        <w:rPr>
          <w:b/>
          <w:sz w:val="52"/>
          <w:szCs w:val="52"/>
        </w:rPr>
      </w:pPr>
    </w:p>
    <w:p w14:paraId="73393E35">
      <w:pPr>
        <w:pStyle w:val="2"/>
        <w:spacing w:line="400" w:lineRule="exact"/>
        <w:rPr>
          <w:rFonts w:ascii="仿宋" w:hAnsi="仿宋" w:eastAsia="仿宋"/>
        </w:rPr>
      </w:pPr>
      <w:bookmarkStart w:id="46" w:name="_Toc44690431"/>
      <w:bookmarkStart w:id="47" w:name="_Toc14934"/>
      <w:bookmarkStart w:id="48" w:name="_Toc44691163"/>
      <w:bookmarkStart w:id="49" w:name="_Toc11772"/>
      <w:bookmarkStart w:id="50" w:name="_Toc44690704"/>
      <w:bookmarkStart w:id="51" w:name="_Toc135293178"/>
      <w:bookmarkStart w:id="52" w:name="_Toc31468"/>
      <w:bookmarkStart w:id="53" w:name="_Toc44691395"/>
      <w:bookmarkStart w:id="54" w:name="_Toc25194"/>
      <w:r>
        <w:rPr>
          <w:rFonts w:hint="eastAsia" w:ascii="仿宋" w:hAnsi="仿宋" w:eastAsia="仿宋"/>
        </w:rPr>
        <w:t>投标文件编制说明</w:t>
      </w:r>
      <w:bookmarkEnd w:id="46"/>
      <w:bookmarkEnd w:id="47"/>
      <w:bookmarkEnd w:id="48"/>
      <w:bookmarkEnd w:id="49"/>
      <w:bookmarkEnd w:id="50"/>
      <w:bookmarkEnd w:id="51"/>
      <w:bookmarkEnd w:id="52"/>
      <w:bookmarkEnd w:id="53"/>
      <w:bookmarkEnd w:id="5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5" w:name="_投标文件格式（第一册）"/>
      <w:bookmarkEnd w:id="55"/>
      <w:bookmarkStart w:id="56"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7"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7"/>
    </w:p>
    <w:bookmarkEnd w:id="56"/>
    <w:p w14:paraId="3060E7C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8" w:name="_格式1__投标人资格证明文件"/>
      <w:bookmarkEnd w:id="58"/>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9" w:name="_Toc135293180"/>
      <w:bookmarkStart w:id="60" w:name="_Toc73613640"/>
      <w:r>
        <w:rPr>
          <w:rFonts w:hint="eastAsia" w:ascii="仿宋" w:hAnsi="仿宋" w:eastAsia="仿宋"/>
        </w:rPr>
        <w:t>政府采购违法行为风险知悉确认书</w:t>
      </w:r>
      <w:bookmarkEnd w:id="59"/>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2"/>
        <w:spacing w:line="400" w:lineRule="exact"/>
        <w:rPr>
          <w:rFonts w:ascii="仿宋" w:hAnsi="仿宋" w:eastAsia="仿宋"/>
        </w:rPr>
      </w:pPr>
      <w:bookmarkStart w:id="61" w:name="_Toc135293181"/>
      <w:r>
        <w:rPr>
          <w:rFonts w:hint="eastAsia" w:ascii="仿宋" w:hAnsi="仿宋" w:eastAsia="仿宋"/>
        </w:rPr>
        <w:t>评标指引表</w:t>
      </w:r>
      <w:bookmarkEnd w:id="60"/>
      <w:bookmarkEnd w:id="61"/>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62" w:name="_Toc44690705"/>
      <w:bookmarkStart w:id="63" w:name="_Toc135293182"/>
      <w:bookmarkStart w:id="64" w:name="_Toc44691396"/>
      <w:bookmarkStart w:id="65" w:name="_Toc44691164"/>
      <w:bookmarkStart w:id="66" w:name="_Toc4469043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hint="eastAsia" w:ascii="仿宋" w:hAnsi="仿宋" w:eastAsia="仿宋"/>
        </w:rPr>
      </w:pPr>
    </w:p>
    <w:p w14:paraId="7962A813">
      <w:pPr>
        <w:pStyle w:val="2"/>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2"/>
      </w:pP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2"/>
      <w:bookmarkEnd w:id="63"/>
      <w:bookmarkEnd w:id="64"/>
      <w:bookmarkEnd w:id="65"/>
      <w:bookmarkEnd w:id="66"/>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7" w:name="_Toc135293183"/>
      <w:r>
        <w:rPr>
          <w:rFonts w:hint="eastAsia" w:asciiTheme="minorEastAsia" w:hAnsiTheme="minorEastAsia" w:eastAsiaTheme="minorEastAsia"/>
        </w:rPr>
        <w:t>格式2  法定代表人（负责人）证明书及授权委托书</w:t>
      </w:r>
      <w:bookmarkEnd w:id="67"/>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cs="宋体"/>
          <w:b/>
          <w:bCs/>
          <w:color w:val="FF0000"/>
          <w:szCs w:val="21"/>
          <w:highlight w:val="yellow"/>
        </w:rPr>
        <w:t>投标供应商须提供法定代表人（</w:t>
      </w:r>
      <w:r>
        <w:rPr>
          <w:rFonts w:hint="eastAsia" w:ascii="宋体" w:hAnsi="宋体" w:eastAsia="宋体" w:cs="宋体"/>
          <w:b/>
          <w:bCs/>
          <w:color w:val="FF0000"/>
          <w:szCs w:val="21"/>
          <w:highlight w:val="yellow"/>
          <w:lang w:eastAsia="zh-CN"/>
        </w:rPr>
        <w:t>单位</w:t>
      </w:r>
      <w:r>
        <w:rPr>
          <w:rFonts w:hint="eastAsia" w:ascii="宋体" w:hAnsi="宋体" w:eastAsia="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eastAsia="宋体" w:cs="宋体"/>
          <w:szCs w:val="21"/>
          <w:highlight w:val="yellow"/>
        </w:rPr>
        <w:t>；因社保部门或税务部门原因近一个月的社保证明暂时无法提供的，可往前顺延一个月；无社保缴纳记录或无法提供</w:t>
      </w:r>
      <w:r>
        <w:rPr>
          <w:rFonts w:hint="eastAsia" w:ascii="宋体" w:hAnsi="宋体" w:eastAsia="宋体" w:cs="宋体"/>
          <w:szCs w:val="21"/>
          <w:highlight w:val="yellow"/>
          <w:lang w:eastAsia="zh-CN"/>
        </w:rPr>
        <w:t>社保证明</w:t>
      </w:r>
      <w:r>
        <w:rPr>
          <w:rFonts w:hint="eastAsia" w:ascii="宋体" w:hAnsi="宋体" w:eastAsia="宋体" w:cs="宋体"/>
          <w:szCs w:val="21"/>
          <w:highlight w:val="yellow"/>
        </w:rPr>
        <w:t>的需提供</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说明</w:t>
      </w:r>
      <w:r>
        <w:rPr>
          <w:rFonts w:hint="eastAsia" w:ascii="宋体" w:hAnsi="宋体" w:eastAsia="宋体" w:cs="宋体"/>
          <w:szCs w:val="21"/>
          <w:highlight w:val="yellow"/>
          <w:lang w:eastAsia="zh-CN"/>
        </w:rPr>
        <w:t>并承诺与其他</w:t>
      </w:r>
      <w:r>
        <w:rPr>
          <w:rFonts w:hint="eastAsia" w:ascii="宋体" w:hAnsi="宋体" w:eastAsia="宋体" w:cs="宋体"/>
          <w:szCs w:val="21"/>
          <w:highlight w:val="yellow"/>
        </w:rPr>
        <w:t>投标供应商之间</w:t>
      </w:r>
      <w:r>
        <w:rPr>
          <w:rFonts w:hint="eastAsia" w:ascii="宋体" w:hAnsi="宋体" w:eastAsia="宋体" w:cs="宋体"/>
          <w:szCs w:val="21"/>
          <w:highlight w:val="yellow"/>
          <w:lang w:eastAsia="zh-CN"/>
        </w:rPr>
        <w:t>不</w:t>
      </w:r>
      <w:r>
        <w:rPr>
          <w:rFonts w:hint="eastAsia" w:ascii="宋体" w:hAnsi="宋体" w:eastAsia="宋体" w:cs="宋体"/>
          <w:szCs w:val="21"/>
          <w:highlight w:val="yellow"/>
        </w:rPr>
        <w:t>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（格式自拟）。未按要求提供</w:t>
      </w:r>
      <w:r>
        <w:rPr>
          <w:rFonts w:hint="eastAsia" w:ascii="宋体" w:hAnsi="宋体" w:eastAsia="宋体" w:cs="宋体"/>
          <w:szCs w:val="21"/>
          <w:highlight w:val="yellow"/>
          <w:lang w:eastAsia="zh-CN"/>
        </w:rPr>
        <w:t>相关</w:t>
      </w:r>
      <w:r>
        <w:rPr>
          <w:rFonts w:hint="eastAsia" w:ascii="宋体" w:hAnsi="宋体" w:eastAsia="宋体" w:cs="宋体"/>
          <w:szCs w:val="21"/>
          <w:highlight w:val="yellow"/>
        </w:rPr>
        <w:t>材料或投标供应商之间存在法定代表人（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2"/>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8"/>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9"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9"/>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70" w:name="_Toc135293185"/>
      <w:r>
        <w:rPr>
          <w:rFonts w:hint="eastAsia" w:asciiTheme="minorEastAsia" w:hAnsiTheme="minorEastAsia" w:eastAsiaTheme="minorEastAsia"/>
        </w:rPr>
        <w:t>格式4  评分中涉及的承诺及声明函</w:t>
      </w:r>
      <w:bookmarkEnd w:id="70"/>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71" w:name="_Hlk71925120"/>
      <w:r>
        <w:rPr>
          <w:rFonts w:hint="eastAsia" w:asciiTheme="minorEastAsia" w:hAnsiTheme="minorEastAsia" w:eastAsiaTheme="minorEastAsia"/>
          <w:kern w:val="0"/>
          <w:szCs w:val="21"/>
        </w:rPr>
        <w:t>《关于印发中小企业划型标准规定的通知》（工信部联企业〔2011〕300 号</w:t>
      </w:r>
      <w:bookmarkEnd w:id="71"/>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深圳市特种设备安全检验研究院</w:t>
      </w:r>
      <w:r>
        <w:rPr>
          <w:rFonts w:asciiTheme="minorEastAsia" w:hAnsiTheme="minorEastAsia" w:eastAsiaTheme="minorEastAsia"/>
          <w:szCs w:val="21"/>
          <w:u w:val="single"/>
        </w:rPr>
        <w:t>）</w:t>
      </w:r>
      <w:r>
        <w:rPr>
          <w:rFonts w:asciiTheme="minorEastAsia" w:hAnsiTheme="minorEastAsia" w:eastAsiaTheme="minorEastAsia"/>
          <w:szCs w:val="21"/>
        </w:rPr>
        <w:t>的</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深圳市特种设备安全检验研究院2025年信息安全保障服务</w:t>
      </w:r>
      <w:r>
        <w:rPr>
          <w:rFonts w:asciiTheme="minorEastAsia" w:hAnsiTheme="minorEastAsia" w:eastAsiaTheme="minorEastAsia"/>
          <w:szCs w:val="21"/>
          <w:u w:val="single"/>
        </w:rPr>
        <w:t>）</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深圳市特种设备安全检验研究院2025年信息安全保障服务</w:t>
      </w:r>
      <w:r>
        <w:rPr>
          <w:rFonts w:asciiTheme="minorEastAsia" w:hAnsiTheme="minorEastAsia" w:eastAsiaTheme="minorEastAsia"/>
          <w:szCs w:val="21"/>
          <w:u w:val="single"/>
        </w:rPr>
        <w:t>）</w:t>
      </w:r>
      <w:r>
        <w:rPr>
          <w:rFonts w:asciiTheme="minorEastAsia" w:hAnsiTheme="minorEastAsia" w:eastAsiaTheme="minorEastAsia"/>
          <w:szCs w:val="21"/>
        </w:rPr>
        <w:t>，属于</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软件和信息技术服务业</w:t>
      </w:r>
      <w:r>
        <w:rPr>
          <w:rFonts w:asciiTheme="minorEastAsia" w:hAnsiTheme="minorEastAsia" w:eastAsiaTheme="minorEastAsia"/>
          <w:szCs w:val="21"/>
          <w:u w:val="single"/>
        </w:rPr>
        <w:t>）</w:t>
      </w:r>
      <w:r>
        <w:rPr>
          <w:rFonts w:asciiTheme="minorEastAsia" w:hAnsiTheme="minorEastAsia" w:eastAsiaTheme="minorEastAsia"/>
          <w:szCs w:val="21"/>
        </w:rPr>
        <w:t>；承接企业为</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企业名称</w:t>
      </w:r>
      <w:r>
        <w:rPr>
          <w:rFonts w:asciiTheme="minorEastAsia" w:hAnsiTheme="minorEastAsia" w:eastAsiaTheme="minorEastAsia"/>
          <w:szCs w:val="21"/>
          <w:u w:val="single"/>
        </w:rPr>
        <w:t>）</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72" w:name="_Toc44690433"/>
      <w:bookmarkStart w:id="73" w:name="_Toc44691165"/>
      <w:bookmarkStart w:id="74" w:name="_Toc44691397"/>
      <w:bookmarkStart w:id="75" w:name="_Toc44690706"/>
      <w:bookmarkStart w:id="76" w:name="_Toc13529318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2D5B2974">
      <w:pPr>
        <w:widowControl/>
        <w:jc w:val="left"/>
      </w:pPr>
      <w:r>
        <w:br w:type="page"/>
      </w:r>
    </w:p>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2"/>
      <w:bookmarkEnd w:id="73"/>
      <w:bookmarkEnd w:id="74"/>
      <w:bookmarkEnd w:id="75"/>
      <w:bookmarkEnd w:id="76"/>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深圳市特种设备安全检验研究院2025年信息安全保障服务</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7" w:name="_Toc44691166"/>
      <w:bookmarkStart w:id="78" w:name="_Toc44691398"/>
      <w:bookmarkStart w:id="79" w:name="_Toc44690434"/>
      <w:bookmarkStart w:id="80" w:name="_Toc44690707"/>
      <w:bookmarkStart w:id="81" w:name="_Toc135293187"/>
      <w:r>
        <w:rPr>
          <w:rFonts w:hint="eastAsia" w:asciiTheme="minorEastAsia" w:hAnsiTheme="minorEastAsia" w:eastAsiaTheme="minorEastAsia"/>
        </w:rPr>
        <w:t>格式6  报价表</w:t>
      </w:r>
      <w:bookmarkEnd w:id="77"/>
      <w:bookmarkEnd w:id="78"/>
      <w:bookmarkEnd w:id="79"/>
      <w:bookmarkEnd w:id="80"/>
      <w:bookmarkEnd w:id="81"/>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1D301CF7">
      <w:pPr>
        <w:pStyle w:val="4"/>
        <w:tabs>
          <w:tab w:val="left" w:pos="371"/>
        </w:tabs>
        <w:spacing w:before="120" w:after="120"/>
        <w:jc w:val="both"/>
        <w:rPr>
          <w:rFonts w:asciiTheme="minorEastAsia" w:hAnsiTheme="minorEastAsia" w:eastAsiaTheme="minorEastAsia"/>
        </w:rPr>
      </w:pPr>
      <w:bookmarkStart w:id="82" w:name="_Toc44690435"/>
      <w:bookmarkStart w:id="83" w:name="_Toc44691399"/>
      <w:bookmarkStart w:id="84" w:name="_Toc135293188"/>
      <w:bookmarkStart w:id="85" w:name="_Toc44690708"/>
      <w:bookmarkStart w:id="86" w:name="_Toc44691167"/>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2"/>
      <w:bookmarkEnd w:id="83"/>
      <w:bookmarkEnd w:id="84"/>
      <w:bookmarkEnd w:id="85"/>
      <w:bookmarkEnd w:id="86"/>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FFE2BCA">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实施方案</w:t>
      </w:r>
    </w:p>
    <w:p w14:paraId="73FB428F">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26E932AC">
      <w:pPr>
        <w:spacing w:line="360" w:lineRule="auto"/>
        <w:ind w:left="420" w:leftChars="200" w:firstLine="0" w:firstLineChars="0"/>
        <w:rPr>
          <w:rFonts w:hint="eastAsia" w:ascii="宋体" w:hAnsi="宋体"/>
          <w:szCs w:val="21"/>
        </w:rPr>
      </w:pPr>
      <w:r>
        <w:rPr>
          <w:rFonts w:hint="eastAsia" w:ascii="宋体" w:hAnsi="宋体" w:cs="宋体"/>
          <w:szCs w:val="21"/>
        </w:rPr>
        <w:t>4、</w:t>
      </w:r>
      <w:r>
        <w:rPr>
          <w:rFonts w:hint="eastAsia" w:ascii="宋体" w:hAnsi="宋体"/>
          <w:szCs w:val="21"/>
        </w:rPr>
        <w:t>项目完成（服务期满）后的服务承诺</w:t>
      </w:r>
      <w:r>
        <w:rPr>
          <w:rFonts w:hint="eastAsia" w:ascii="宋体" w:hAnsi="宋体"/>
          <w:szCs w:val="21"/>
        </w:rPr>
        <w:br w:type="textWrapping"/>
      </w:r>
      <w:r>
        <w:rPr>
          <w:rFonts w:hint="eastAsia" w:ascii="宋体" w:hAnsi="宋体"/>
          <w:szCs w:val="21"/>
          <w:lang w:val="en-US" w:eastAsia="zh-CN"/>
        </w:rPr>
        <w:t>5</w:t>
      </w:r>
      <w:r>
        <w:rPr>
          <w:rFonts w:hint="eastAsia" w:ascii="宋体" w:hAnsi="宋体"/>
          <w:szCs w:val="21"/>
        </w:rPr>
        <w:t>、违约承诺</w:t>
      </w:r>
    </w:p>
    <w:p w14:paraId="449FC0FF">
      <w:pPr>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、供应商同类业绩情况</w:t>
      </w:r>
    </w:p>
    <w:p w14:paraId="3DE361F1">
      <w:pPr>
        <w:spacing w:line="360" w:lineRule="auto"/>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、供应商资格（资质、认证）情况</w:t>
      </w:r>
    </w:p>
    <w:p w14:paraId="42066D9D">
      <w:pPr>
        <w:spacing w:line="360" w:lineRule="auto"/>
        <w:ind w:firstLine="420" w:firstLineChars="200"/>
        <w:rPr>
          <w:rFonts w:ascii="宋体" w:hAnsi="宋体" w:cs="宋体"/>
          <w:szCs w:val="21"/>
        </w:rPr>
      </w:pPr>
      <w:r>
        <w:rPr>
          <w:rFonts w:hint="eastAsia" w:ascii="宋体" w:hAnsi="宋体"/>
          <w:szCs w:val="21"/>
          <w:lang w:val="en-US" w:eastAsia="zh-CN"/>
        </w:rPr>
        <w:t>8</w:t>
      </w:r>
      <w:r>
        <w:rPr>
          <w:rFonts w:hint="eastAsia" w:ascii="宋体" w:hAnsi="宋体"/>
          <w:szCs w:val="21"/>
        </w:rPr>
        <w:t>、投标人自主知识产权产品（创新、设计）情况</w:t>
      </w:r>
    </w:p>
    <w:p w14:paraId="5D4F00B9">
      <w:pPr>
        <w:spacing w:line="360" w:lineRule="auto"/>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lang w:val="en-US" w:eastAsia="zh-CN"/>
        </w:rPr>
        <w:t>10</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2E719E9D">
      <w:pPr>
        <w:adjustRightInd w:val="0"/>
        <w:snapToGrid w:val="0"/>
        <w:spacing w:line="300" w:lineRule="auto"/>
        <w:jc w:val="both"/>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7" w:name="_Toc135293189"/>
    </w:p>
    <w:p w14:paraId="354E825C"/>
    <w:p w14:paraId="5F4697AB">
      <w:pPr>
        <w:pStyle w:val="2"/>
      </w:pPr>
    </w:p>
    <w:p w14:paraId="241FDC79"/>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7"/>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8" w:name="_Toc44691168"/>
      <w:bookmarkStart w:id="89" w:name="_Toc135293190"/>
      <w:bookmarkStart w:id="90" w:name="_Toc44691400"/>
      <w:bookmarkStart w:id="91" w:name="_Toc44690436"/>
      <w:bookmarkStart w:id="92" w:name="_Toc44690709"/>
      <w:r>
        <w:rPr>
          <w:rFonts w:hint="eastAsia" w:asciiTheme="minorEastAsia" w:hAnsiTheme="minorEastAsia" w:eastAsiaTheme="minorEastAsia"/>
        </w:rPr>
        <w:t>格式9  偏离表</w:t>
      </w:r>
      <w:bookmarkEnd w:id="88"/>
      <w:bookmarkEnd w:id="89"/>
      <w:bookmarkEnd w:id="90"/>
      <w:bookmarkEnd w:id="91"/>
      <w:bookmarkEnd w:id="92"/>
    </w:p>
    <w:p w14:paraId="7830B77A">
      <w:pPr>
        <w:adjustRightInd w:val="0"/>
        <w:snapToGrid w:val="0"/>
        <w:spacing w:line="360" w:lineRule="auto"/>
        <w:rPr>
          <w:rFonts w:ascii="宋体" w:hAnsi="宋体"/>
        </w:rPr>
      </w:pPr>
    </w:p>
    <w:p w14:paraId="7741BF4F">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07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67B1D5B">
            <w:pPr>
              <w:rPr>
                <w:rFonts w:ascii="宋体" w:hAnsi="宋体"/>
                <w:szCs w:val="21"/>
              </w:rPr>
            </w:pPr>
            <w:r>
              <w:rPr>
                <w:rFonts w:hint="eastAsia" w:ascii="宋体" w:hAnsi="宋体"/>
                <w:szCs w:val="21"/>
              </w:rPr>
              <w:t>序号</w:t>
            </w:r>
          </w:p>
        </w:tc>
        <w:tc>
          <w:tcPr>
            <w:tcW w:w="2010" w:type="dxa"/>
            <w:vAlign w:val="center"/>
          </w:tcPr>
          <w:p w14:paraId="363E53C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785FDAC">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4884D90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C42A71D">
            <w:pPr>
              <w:ind w:left="136" w:leftChars="65"/>
              <w:jc w:val="center"/>
              <w:rPr>
                <w:rFonts w:ascii="宋体" w:hAnsi="宋体"/>
                <w:szCs w:val="21"/>
              </w:rPr>
            </w:pPr>
            <w:r>
              <w:rPr>
                <w:rFonts w:hint="eastAsia" w:ascii="宋体" w:hAnsi="宋体"/>
                <w:szCs w:val="21"/>
              </w:rPr>
              <w:t>说明</w:t>
            </w:r>
          </w:p>
        </w:tc>
      </w:tr>
      <w:tr w14:paraId="04ED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9C27E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1BA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D629D4">
            <w:pPr>
              <w:ind w:left="136" w:leftChars="65"/>
              <w:jc w:val="center"/>
              <w:rPr>
                <w:rFonts w:ascii="宋体" w:hAnsi="宋体"/>
                <w:szCs w:val="21"/>
              </w:rPr>
            </w:pPr>
            <w:r>
              <w:rPr>
                <w:rFonts w:hint="eastAsia" w:ascii="宋体" w:hAnsi="宋体"/>
                <w:szCs w:val="21"/>
              </w:rPr>
              <w:t>1</w:t>
            </w:r>
          </w:p>
        </w:tc>
        <w:tc>
          <w:tcPr>
            <w:tcW w:w="2010" w:type="dxa"/>
            <w:vAlign w:val="center"/>
          </w:tcPr>
          <w:p w14:paraId="610EC86A">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B37FC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2615460">
            <w:pPr>
              <w:ind w:left="136" w:leftChars="65"/>
              <w:jc w:val="center"/>
              <w:rPr>
                <w:rFonts w:ascii="宋体" w:hAnsi="宋体"/>
                <w:szCs w:val="21"/>
              </w:rPr>
            </w:pPr>
          </w:p>
        </w:tc>
        <w:tc>
          <w:tcPr>
            <w:tcW w:w="1974" w:type="dxa"/>
            <w:vAlign w:val="center"/>
          </w:tcPr>
          <w:p w14:paraId="6F7B949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61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129FFB2">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9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FB640F7">
            <w:pPr>
              <w:jc w:val="center"/>
              <w:rPr>
                <w:rFonts w:ascii="宋体" w:hAnsi="宋体"/>
                <w:szCs w:val="21"/>
              </w:rPr>
            </w:pPr>
            <w:r>
              <w:rPr>
                <w:rFonts w:hint="eastAsia" w:ascii="宋体" w:hAnsi="宋体"/>
              </w:rPr>
              <w:t>1</w:t>
            </w:r>
          </w:p>
        </w:tc>
        <w:tc>
          <w:tcPr>
            <w:tcW w:w="2010" w:type="dxa"/>
            <w:vAlign w:val="center"/>
          </w:tcPr>
          <w:p w14:paraId="21115B5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FF6713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BCAFC20">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FD10017">
            <w:pPr>
              <w:ind w:left="136" w:leftChars="65"/>
              <w:jc w:val="center"/>
              <w:rPr>
                <w:rFonts w:ascii="宋体" w:hAnsi="宋体"/>
                <w:szCs w:val="21"/>
              </w:rPr>
            </w:pPr>
          </w:p>
        </w:tc>
        <w:tc>
          <w:tcPr>
            <w:tcW w:w="1974" w:type="dxa"/>
            <w:vAlign w:val="center"/>
          </w:tcPr>
          <w:p w14:paraId="1C2CA25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8076F02">
      <w:pPr>
        <w:spacing w:line="360" w:lineRule="auto"/>
        <w:ind w:firstLine="422" w:firstLineChars="201"/>
      </w:pPr>
      <w:r>
        <w:rPr>
          <w:rFonts w:hint="eastAsia"/>
        </w:rPr>
        <w:t>备注：</w:t>
      </w:r>
    </w:p>
    <w:p w14:paraId="5680D33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A8EEC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B84616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0C1B506">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26746F7F">
      <w:pPr>
        <w:pStyle w:val="4"/>
        <w:tabs>
          <w:tab w:val="left" w:pos="371"/>
        </w:tabs>
        <w:spacing w:before="120" w:after="120"/>
        <w:ind w:left="-1" w:leftChars="-1" w:hanging="1"/>
        <w:jc w:val="center"/>
        <w:rPr>
          <w:rFonts w:asciiTheme="minorEastAsia" w:hAnsiTheme="minorEastAsia" w:eastAsiaTheme="minorEastAsia"/>
        </w:rPr>
      </w:pPr>
      <w:bookmarkStart w:id="93" w:name="q16"/>
      <w:bookmarkEnd w:id="93"/>
      <w:bookmarkStart w:id="94" w:name="q15"/>
      <w:bookmarkEnd w:id="94"/>
      <w:bookmarkStart w:id="95" w:name="_格式3__"/>
      <w:bookmarkEnd w:id="95"/>
      <w:bookmarkStart w:id="96" w:name="_格式2__投标保证金凭证"/>
      <w:bookmarkEnd w:id="96"/>
      <w:bookmarkStart w:id="97" w:name="_格式5__"/>
      <w:bookmarkEnd w:id="97"/>
      <w:bookmarkStart w:id="98" w:name="q17"/>
      <w:bookmarkEnd w:id="98"/>
      <w:bookmarkStart w:id="99" w:name="_格式4__"/>
      <w:bookmarkEnd w:id="99"/>
      <w:r>
        <w:rPr>
          <w:rFonts w:asciiTheme="minorEastAsia" w:hAnsiTheme="minorEastAsia" w:eastAsiaTheme="minorEastAsia"/>
        </w:rPr>
        <w:tab/>
      </w:r>
      <w:bookmarkStart w:id="100" w:name="_Toc44690710"/>
      <w:bookmarkStart w:id="101" w:name="_Toc44691401"/>
      <w:bookmarkStart w:id="102" w:name="_Toc44691169"/>
      <w:bookmarkStart w:id="103" w:name="_Toc44690437"/>
      <w:bookmarkStart w:id="104" w:name="_Toc135293191"/>
      <w:r>
        <w:rPr>
          <w:rFonts w:hint="eastAsia" w:asciiTheme="minorEastAsia" w:hAnsiTheme="minorEastAsia" w:eastAsiaTheme="minorEastAsia"/>
        </w:rPr>
        <w:t xml:space="preserve">格式10  </w:t>
      </w:r>
      <w:bookmarkEnd w:id="100"/>
      <w:bookmarkEnd w:id="101"/>
      <w:bookmarkEnd w:id="102"/>
      <w:bookmarkEnd w:id="103"/>
      <w:r>
        <w:rPr>
          <w:rFonts w:hint="eastAsia" w:asciiTheme="minorEastAsia" w:hAnsiTheme="minorEastAsia" w:eastAsiaTheme="minorEastAsia"/>
        </w:rPr>
        <w:t>招标文件要求的其他资料或投标人认为需要补充的资料</w:t>
      </w:r>
      <w:bookmarkEnd w:id="104"/>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5" w:name="_Toc135293192"/>
      <w:r>
        <w:rPr>
          <w:rFonts w:hint="eastAsia"/>
        </w:rPr>
        <w:t>第八章  合同条款</w:t>
      </w:r>
      <w:bookmarkEnd w:id="105"/>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6" w:name="_Toc73610161"/>
      <w:bookmarkStart w:id="107" w:name="_Toc135293193"/>
      <w:r>
        <w:rPr>
          <w:rFonts w:hint="eastAsia"/>
        </w:rPr>
        <w:t>第九章  附件</w:t>
      </w:r>
      <w:bookmarkEnd w:id="106"/>
      <w:bookmarkEnd w:id="107"/>
    </w:p>
    <w:p w14:paraId="3C84BC95">
      <w:pPr>
        <w:pStyle w:val="2"/>
        <w:spacing w:before="0" w:after="0"/>
      </w:pPr>
      <w:bookmarkStart w:id="108" w:name="_Toc135293194"/>
      <w:bookmarkStart w:id="109" w:name="_Toc73610162"/>
      <w:bookmarkStart w:id="110" w:name="_Toc73613644"/>
      <w:r>
        <w:rPr>
          <w:rFonts w:hint="eastAsia"/>
        </w:rPr>
        <w:t>一、财政部 工业和信息化部关于印发《政府采购促进中小企业发展管理办法》的通知</w:t>
      </w:r>
      <w:bookmarkEnd w:id="108"/>
      <w:bookmarkEnd w:id="109"/>
      <w:bookmarkEnd w:id="110"/>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11" w:name="_Toc73613645"/>
      <w:bookmarkStart w:id="112" w:name="_Toc73610163"/>
      <w:bookmarkStart w:id="113" w:name="_Toc135293195"/>
      <w:r>
        <w:rPr>
          <w:rFonts w:hint="eastAsia"/>
        </w:rPr>
        <w:t>二、关于印发中小企业划型标准规定的通知</w:t>
      </w:r>
      <w:bookmarkEnd w:id="111"/>
      <w:bookmarkEnd w:id="112"/>
      <w:bookmarkEnd w:id="113"/>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14" w:name="_Toc73610164"/>
      <w:bookmarkStart w:id="115" w:name="_Toc73613646"/>
      <w:bookmarkStart w:id="116" w:name="_Toc135293196"/>
      <w:r>
        <w:rPr>
          <w:rFonts w:hint="eastAsia"/>
        </w:rPr>
        <w:t>三、</w:t>
      </w:r>
      <w:r>
        <w:t>国家统计局关于印发《统计上大中小微型企业划分办法 （2017）》的通知</w:t>
      </w:r>
      <w:bookmarkEnd w:id="114"/>
      <w:bookmarkEnd w:id="115"/>
      <w:bookmarkEnd w:id="116"/>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7" w:name="_Toc135293197"/>
      <w:bookmarkStart w:id="118" w:name="_Toc73613647"/>
      <w:bookmarkStart w:id="119" w:name="_Toc73610165"/>
      <w:r>
        <w:rPr>
          <w:rFonts w:hint="eastAsia"/>
        </w:rPr>
        <w:t>四、</w:t>
      </w:r>
      <w:r>
        <w:t>财政部 民政部 中国残疾人联合会关于促进残疾人就业 政府采购政策的通知</w:t>
      </w:r>
      <w:bookmarkEnd w:id="117"/>
      <w:bookmarkEnd w:id="118"/>
      <w:bookmarkEnd w:id="119"/>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20" w:name="_Toc135293198"/>
      <w:r>
        <w:rPr>
          <w:rFonts w:hint="eastAsia"/>
        </w:rPr>
        <w:t>五、财政部 司法部关于政府采购支持监狱企业发展有关问题的通知</w:t>
      </w:r>
      <w:bookmarkEnd w:id="120"/>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深圳市特种设备安全检验研究院2025年信息安全保障服务</w:t>
    </w:r>
    <w:r>
      <w:rPr>
        <w:rFonts w:hint="eastAsia"/>
      </w:rPr>
      <w:t xml:space="preserve">                  项目编号：</w:t>
    </w:r>
    <w:r>
      <w:rPr>
        <w:rFonts w:hint="eastAsia" w:asciiTheme="minorEastAsia" w:hAnsiTheme="minorEastAsia" w:eastAsiaTheme="minorEastAsia"/>
        <w:lang w:eastAsia="zh-CN"/>
      </w:rPr>
      <w:t>SZZZ2025-QC0015</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35252"/>
    <w:multiLevelType w:val="singleLevel"/>
    <w:tmpl w:val="E0435252"/>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C77214"/>
    <w:rsid w:val="02CB1CF7"/>
    <w:rsid w:val="041D095D"/>
    <w:rsid w:val="05C87DB9"/>
    <w:rsid w:val="06FB2085"/>
    <w:rsid w:val="08A8241F"/>
    <w:rsid w:val="0961739E"/>
    <w:rsid w:val="098E6083"/>
    <w:rsid w:val="09D354E6"/>
    <w:rsid w:val="0ADA4400"/>
    <w:rsid w:val="0B205B2B"/>
    <w:rsid w:val="0B73117E"/>
    <w:rsid w:val="0B782559"/>
    <w:rsid w:val="0D566BC9"/>
    <w:rsid w:val="0D7C1890"/>
    <w:rsid w:val="0D8B597D"/>
    <w:rsid w:val="0E180322"/>
    <w:rsid w:val="0E5928AD"/>
    <w:rsid w:val="0E8C4995"/>
    <w:rsid w:val="0E970D56"/>
    <w:rsid w:val="0EF27BFB"/>
    <w:rsid w:val="0F0D2BA7"/>
    <w:rsid w:val="0F6A604F"/>
    <w:rsid w:val="0FBC50EF"/>
    <w:rsid w:val="115F3FD7"/>
    <w:rsid w:val="11834124"/>
    <w:rsid w:val="11A259DD"/>
    <w:rsid w:val="11F9269A"/>
    <w:rsid w:val="120474A0"/>
    <w:rsid w:val="123707B0"/>
    <w:rsid w:val="12ED5EA4"/>
    <w:rsid w:val="13102ABE"/>
    <w:rsid w:val="167D280D"/>
    <w:rsid w:val="16C0270D"/>
    <w:rsid w:val="17047766"/>
    <w:rsid w:val="174A5413"/>
    <w:rsid w:val="17730E9B"/>
    <w:rsid w:val="17935895"/>
    <w:rsid w:val="17F52C18"/>
    <w:rsid w:val="1807166C"/>
    <w:rsid w:val="184530EF"/>
    <w:rsid w:val="187842FE"/>
    <w:rsid w:val="19227A4B"/>
    <w:rsid w:val="1A4E7B88"/>
    <w:rsid w:val="1A75293A"/>
    <w:rsid w:val="1B3E182A"/>
    <w:rsid w:val="1B4B5195"/>
    <w:rsid w:val="1C174C6F"/>
    <w:rsid w:val="1C7C020D"/>
    <w:rsid w:val="1C8F78BA"/>
    <w:rsid w:val="1C9B0D84"/>
    <w:rsid w:val="1CDD3F3B"/>
    <w:rsid w:val="1D4D6869"/>
    <w:rsid w:val="1DF42FCA"/>
    <w:rsid w:val="1EF305C7"/>
    <w:rsid w:val="20707345"/>
    <w:rsid w:val="20BB058F"/>
    <w:rsid w:val="210A7A37"/>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823097"/>
    <w:rsid w:val="2A161A99"/>
    <w:rsid w:val="2AD85037"/>
    <w:rsid w:val="2BD0253B"/>
    <w:rsid w:val="2C444480"/>
    <w:rsid w:val="2C564DC3"/>
    <w:rsid w:val="2C950AFD"/>
    <w:rsid w:val="2CE90E48"/>
    <w:rsid w:val="2D6C141D"/>
    <w:rsid w:val="2E980D64"/>
    <w:rsid w:val="2EB64B4B"/>
    <w:rsid w:val="2EDB590A"/>
    <w:rsid w:val="2F0A29E3"/>
    <w:rsid w:val="30570799"/>
    <w:rsid w:val="30817D6A"/>
    <w:rsid w:val="30B03CE2"/>
    <w:rsid w:val="3157114E"/>
    <w:rsid w:val="317A6513"/>
    <w:rsid w:val="31F2037F"/>
    <w:rsid w:val="329B11F6"/>
    <w:rsid w:val="33052102"/>
    <w:rsid w:val="336E087E"/>
    <w:rsid w:val="33A85DA6"/>
    <w:rsid w:val="33C3087D"/>
    <w:rsid w:val="34DD1293"/>
    <w:rsid w:val="350F28AA"/>
    <w:rsid w:val="355D687E"/>
    <w:rsid w:val="35961B12"/>
    <w:rsid w:val="35B52116"/>
    <w:rsid w:val="35D706AA"/>
    <w:rsid w:val="364523AD"/>
    <w:rsid w:val="36700D38"/>
    <w:rsid w:val="36C4673D"/>
    <w:rsid w:val="37B10B63"/>
    <w:rsid w:val="37D17C49"/>
    <w:rsid w:val="38950836"/>
    <w:rsid w:val="3900628A"/>
    <w:rsid w:val="390721D7"/>
    <w:rsid w:val="393B510C"/>
    <w:rsid w:val="393F4767"/>
    <w:rsid w:val="39A97E97"/>
    <w:rsid w:val="3A260C29"/>
    <w:rsid w:val="3AA53060"/>
    <w:rsid w:val="3AD26068"/>
    <w:rsid w:val="3B57268D"/>
    <w:rsid w:val="3B6176CE"/>
    <w:rsid w:val="3BF9504C"/>
    <w:rsid w:val="3C872BFA"/>
    <w:rsid w:val="3C9D3F8B"/>
    <w:rsid w:val="3CF11603"/>
    <w:rsid w:val="3D5129F3"/>
    <w:rsid w:val="3D7507FB"/>
    <w:rsid w:val="3EB5127A"/>
    <w:rsid w:val="3EF341BE"/>
    <w:rsid w:val="3F503E5E"/>
    <w:rsid w:val="3FC16214"/>
    <w:rsid w:val="3FFE79A1"/>
    <w:rsid w:val="41576FF8"/>
    <w:rsid w:val="418F600A"/>
    <w:rsid w:val="41D9164E"/>
    <w:rsid w:val="41DD521D"/>
    <w:rsid w:val="423B7022"/>
    <w:rsid w:val="429A23DC"/>
    <w:rsid w:val="42A87124"/>
    <w:rsid w:val="4389060E"/>
    <w:rsid w:val="43C8028A"/>
    <w:rsid w:val="43D51667"/>
    <w:rsid w:val="443B2C25"/>
    <w:rsid w:val="448421F1"/>
    <w:rsid w:val="44B931B7"/>
    <w:rsid w:val="450D1720"/>
    <w:rsid w:val="45D37D9B"/>
    <w:rsid w:val="47FB4455"/>
    <w:rsid w:val="48194FD5"/>
    <w:rsid w:val="484514CB"/>
    <w:rsid w:val="48C86EE1"/>
    <w:rsid w:val="49FA6EF8"/>
    <w:rsid w:val="4A0701BA"/>
    <w:rsid w:val="4A784961"/>
    <w:rsid w:val="4ACF3A3C"/>
    <w:rsid w:val="4B1700DF"/>
    <w:rsid w:val="4C085898"/>
    <w:rsid w:val="4DA846DC"/>
    <w:rsid w:val="4E1910C7"/>
    <w:rsid w:val="4E4D47D4"/>
    <w:rsid w:val="4F0F6A19"/>
    <w:rsid w:val="51D10A66"/>
    <w:rsid w:val="528A390F"/>
    <w:rsid w:val="528C6991"/>
    <w:rsid w:val="52C3297B"/>
    <w:rsid w:val="52E76F20"/>
    <w:rsid w:val="54054633"/>
    <w:rsid w:val="540605E4"/>
    <w:rsid w:val="547F0032"/>
    <w:rsid w:val="54A02A20"/>
    <w:rsid w:val="55C87B3E"/>
    <w:rsid w:val="57142FA7"/>
    <w:rsid w:val="57F33150"/>
    <w:rsid w:val="58D67D8C"/>
    <w:rsid w:val="58E10577"/>
    <w:rsid w:val="59165EF7"/>
    <w:rsid w:val="59702A12"/>
    <w:rsid w:val="59CF1242"/>
    <w:rsid w:val="5AED2A9C"/>
    <w:rsid w:val="5BC746C9"/>
    <w:rsid w:val="5CC61F72"/>
    <w:rsid w:val="5CF206F7"/>
    <w:rsid w:val="5D440F45"/>
    <w:rsid w:val="5DA764EE"/>
    <w:rsid w:val="5EA0340D"/>
    <w:rsid w:val="5ED66C3C"/>
    <w:rsid w:val="5F7A468D"/>
    <w:rsid w:val="5FDD643B"/>
    <w:rsid w:val="607249AE"/>
    <w:rsid w:val="60BA3E42"/>
    <w:rsid w:val="6194383B"/>
    <w:rsid w:val="61CB5375"/>
    <w:rsid w:val="623348CA"/>
    <w:rsid w:val="625421DB"/>
    <w:rsid w:val="62E65361"/>
    <w:rsid w:val="63D11B11"/>
    <w:rsid w:val="65492532"/>
    <w:rsid w:val="65687212"/>
    <w:rsid w:val="658254E1"/>
    <w:rsid w:val="65C05392"/>
    <w:rsid w:val="65CA685B"/>
    <w:rsid w:val="65CF34A7"/>
    <w:rsid w:val="65F660EF"/>
    <w:rsid w:val="660A0DAD"/>
    <w:rsid w:val="661E1452"/>
    <w:rsid w:val="6673798C"/>
    <w:rsid w:val="673905B6"/>
    <w:rsid w:val="681C3942"/>
    <w:rsid w:val="68460AAC"/>
    <w:rsid w:val="68AC1CFE"/>
    <w:rsid w:val="68EC626C"/>
    <w:rsid w:val="6BCD1DE6"/>
    <w:rsid w:val="6C505023"/>
    <w:rsid w:val="6CF41368"/>
    <w:rsid w:val="6D14299F"/>
    <w:rsid w:val="6D672A1E"/>
    <w:rsid w:val="6DC237D1"/>
    <w:rsid w:val="6DCF760B"/>
    <w:rsid w:val="6E681EA9"/>
    <w:rsid w:val="6F40725E"/>
    <w:rsid w:val="6F4C2770"/>
    <w:rsid w:val="6F745D74"/>
    <w:rsid w:val="6FC61DAB"/>
    <w:rsid w:val="6FEF1B60"/>
    <w:rsid w:val="711172CF"/>
    <w:rsid w:val="71231235"/>
    <w:rsid w:val="71FD54DD"/>
    <w:rsid w:val="729A3A97"/>
    <w:rsid w:val="739A7F5B"/>
    <w:rsid w:val="7410294D"/>
    <w:rsid w:val="749E3893"/>
    <w:rsid w:val="750464B4"/>
    <w:rsid w:val="752B4572"/>
    <w:rsid w:val="75720FA8"/>
    <w:rsid w:val="76D71644"/>
    <w:rsid w:val="76E7030A"/>
    <w:rsid w:val="76EE69B8"/>
    <w:rsid w:val="776C2FB6"/>
    <w:rsid w:val="79982284"/>
    <w:rsid w:val="7998662D"/>
    <w:rsid w:val="7A2F2846"/>
    <w:rsid w:val="7A8C5878"/>
    <w:rsid w:val="7B1A6F06"/>
    <w:rsid w:val="7B471854"/>
    <w:rsid w:val="7C552333"/>
    <w:rsid w:val="7CA86C55"/>
    <w:rsid w:val="7CF019C1"/>
    <w:rsid w:val="7D461CAD"/>
    <w:rsid w:val="7E28286A"/>
    <w:rsid w:val="7E4515FE"/>
    <w:rsid w:val="7EAD59B2"/>
    <w:rsid w:val="7F91273C"/>
    <w:rsid w:val="7FFE4F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77</Pages>
  <Words>1633</Words>
  <Characters>1694</Characters>
  <Lines>398</Lines>
  <Paragraphs>112</Paragraphs>
  <TotalTime>16</TotalTime>
  <ScaleCrop>false</ScaleCrop>
  <LinksUpToDate>false</LinksUpToDate>
  <CharactersWithSpaces>1771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中正招标--罗工</cp:lastModifiedBy>
  <cp:lastPrinted>2020-05-26T01:03:00Z</cp:lastPrinted>
  <dcterms:modified xsi:type="dcterms:W3CDTF">2025-01-13T01:14:45Z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2A9F6A7D5F1242AFB913443E2798CC2C_13</vt:lpwstr>
  </property>
  <property fmtid="{D5CDD505-2E9C-101B-9397-08002B2CF9AE}" pid="4" name="KSOTemplateDocerSaveRecord">
    <vt:lpwstr>eyJoZGlkIjoiOTM3MjBiNjhjY2U0ZDI0ZTM1OGYyYTNlZGQxMjhlMDciLCJ1c2VySWQiOiI0NjMwNjU1NzcifQ==</vt:lpwstr>
  </property>
</Properties>
</file>