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156" w:beforeLines="50" w:after="156" w:afterLines="50"/>
        <w:jc w:val="both"/>
        <w:rPr>
          <w:sz w:val="28"/>
          <w:szCs w:val="28"/>
        </w:rPr>
      </w:pPr>
      <w:r>
        <w:rPr>
          <w:rFonts w:hint="eastAsia"/>
          <w:sz w:val="28"/>
          <w:szCs w:val="28"/>
        </w:rPr>
        <w:t>项目要求</w:t>
      </w:r>
    </w:p>
    <w:p>
      <w:pPr>
        <w:pStyle w:val="2"/>
        <w:spacing w:before="0" w:after="0"/>
        <w:jc w:val="both"/>
        <w:rPr>
          <w:sz w:val="32"/>
          <w:szCs w:val="32"/>
        </w:rPr>
      </w:pPr>
      <w:r>
        <w:rPr>
          <w:rFonts w:hint="eastAsia"/>
          <w:sz w:val="32"/>
          <w:szCs w:val="32"/>
        </w:rPr>
        <w:t>1  项目需求</w:t>
      </w:r>
    </w:p>
    <w:p>
      <w:pPr>
        <w:rPr>
          <w:rFonts w:ascii="宋体" w:hAnsi="宋体"/>
          <w:b/>
          <w:szCs w:val="21"/>
        </w:rPr>
      </w:pPr>
      <w:r>
        <w:rPr>
          <w:rFonts w:hint="eastAsia" w:ascii="宋体" w:hAnsi="宋体"/>
          <w:b/>
          <w:szCs w:val="21"/>
        </w:rPr>
        <w:t>（一）货物总清单</w:t>
      </w:r>
    </w:p>
    <w:tbl>
      <w:tblPr>
        <w:tblStyle w:val="9"/>
        <w:tblW w:w="88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1475"/>
        <w:gridCol w:w="1701"/>
        <w:gridCol w:w="993"/>
        <w:gridCol w:w="893"/>
        <w:gridCol w:w="1077"/>
        <w:gridCol w:w="17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2"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170" w:lineRule="atLeast"/>
              <w:jc w:val="center"/>
              <w:rPr>
                <w:rFonts w:ascii="宋体" w:hAnsi="宋体" w:cs="宋体"/>
                <w:b/>
                <w:kern w:val="0"/>
                <w:sz w:val="24"/>
                <w:szCs w:val="24"/>
              </w:rPr>
            </w:pPr>
            <w:r>
              <w:rPr>
                <w:rFonts w:hint="eastAsia" w:cs="宋体"/>
                <w:b/>
                <w:bCs/>
                <w:kern w:val="0"/>
                <w:sz w:val="24"/>
                <w:szCs w:val="21"/>
              </w:rPr>
              <w:t>序号</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170" w:lineRule="atLeast"/>
              <w:jc w:val="center"/>
              <w:rPr>
                <w:rFonts w:ascii="宋体" w:hAnsi="宋体" w:cs="宋体"/>
                <w:b/>
                <w:kern w:val="0"/>
                <w:sz w:val="24"/>
                <w:szCs w:val="24"/>
              </w:rPr>
            </w:pPr>
            <w:r>
              <w:rPr>
                <w:rFonts w:hint="eastAsia"/>
                <w:b/>
                <w:szCs w:val="21"/>
              </w:rPr>
              <w:t>采购计划编号</w:t>
            </w:r>
          </w:p>
        </w:tc>
        <w:tc>
          <w:tcPr>
            <w:tcW w:w="1701"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170" w:lineRule="atLeast"/>
              <w:jc w:val="center"/>
              <w:rPr>
                <w:rFonts w:ascii="宋体" w:hAnsi="宋体" w:cs="宋体"/>
                <w:b/>
                <w:kern w:val="0"/>
                <w:sz w:val="24"/>
                <w:szCs w:val="24"/>
              </w:rPr>
            </w:pPr>
            <w:r>
              <w:rPr>
                <w:rFonts w:hint="eastAsia" w:cs="宋体"/>
                <w:b/>
                <w:bCs/>
                <w:kern w:val="0"/>
                <w:sz w:val="24"/>
                <w:szCs w:val="21"/>
              </w:rPr>
              <w:t>项目名称</w:t>
            </w:r>
          </w:p>
        </w:tc>
        <w:tc>
          <w:tcPr>
            <w:tcW w:w="993"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170" w:lineRule="atLeast"/>
              <w:jc w:val="center"/>
              <w:rPr>
                <w:rFonts w:ascii="宋体" w:hAnsi="宋体" w:cs="宋体"/>
                <w:b/>
                <w:kern w:val="0"/>
                <w:sz w:val="24"/>
                <w:szCs w:val="24"/>
              </w:rPr>
            </w:pPr>
            <w:r>
              <w:rPr>
                <w:rFonts w:hint="eastAsia" w:cs="宋体"/>
                <w:b/>
                <w:bCs/>
                <w:kern w:val="0"/>
                <w:sz w:val="24"/>
                <w:szCs w:val="21"/>
              </w:rPr>
              <w:t>数量</w:t>
            </w:r>
          </w:p>
        </w:tc>
        <w:tc>
          <w:tcPr>
            <w:tcW w:w="893"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170" w:lineRule="atLeast"/>
              <w:jc w:val="center"/>
              <w:rPr>
                <w:rFonts w:ascii="宋体" w:hAnsi="宋体" w:cs="宋体"/>
                <w:b/>
                <w:kern w:val="0"/>
                <w:sz w:val="24"/>
                <w:szCs w:val="24"/>
              </w:rPr>
            </w:pPr>
            <w:r>
              <w:rPr>
                <w:rFonts w:hint="eastAsia" w:cs="宋体"/>
                <w:b/>
                <w:bCs/>
                <w:kern w:val="0"/>
                <w:sz w:val="24"/>
                <w:szCs w:val="21"/>
              </w:rPr>
              <w:t>单位</w:t>
            </w:r>
          </w:p>
        </w:tc>
        <w:tc>
          <w:tcPr>
            <w:tcW w:w="1077"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170" w:lineRule="atLeast"/>
              <w:jc w:val="center"/>
              <w:rPr>
                <w:rFonts w:ascii="宋体" w:hAnsi="宋体" w:cs="宋体"/>
                <w:b/>
                <w:kern w:val="0"/>
                <w:sz w:val="24"/>
                <w:szCs w:val="24"/>
              </w:rPr>
            </w:pPr>
            <w:r>
              <w:rPr>
                <w:rFonts w:hint="eastAsia" w:cs="宋体"/>
                <w:b/>
                <w:bCs/>
                <w:kern w:val="0"/>
                <w:sz w:val="24"/>
              </w:rPr>
              <w:t>备注</w:t>
            </w:r>
          </w:p>
        </w:tc>
        <w:tc>
          <w:tcPr>
            <w:tcW w:w="1715"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170" w:lineRule="atLeast"/>
              <w:jc w:val="center"/>
              <w:rPr>
                <w:rFonts w:ascii="宋体" w:hAnsi="宋体" w:cs="宋体"/>
                <w:b/>
                <w:kern w:val="0"/>
                <w:sz w:val="24"/>
                <w:szCs w:val="24"/>
              </w:rPr>
            </w:pPr>
            <w:r>
              <w:rPr>
                <w:rFonts w:hint="eastAsia" w:cs="宋体"/>
                <w:b/>
                <w:bCs/>
                <w:kern w:val="0"/>
                <w:sz w:val="24"/>
              </w:rPr>
              <w:t>预算限额（万元）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170" w:lineRule="atLeast"/>
              <w:jc w:val="center"/>
              <w:rPr>
                <w:rFonts w:ascii="宋体" w:hAnsi="宋体" w:cs="宋体"/>
                <w:color w:val="FF0000"/>
                <w:kern w:val="0"/>
                <w:sz w:val="24"/>
                <w:szCs w:val="24"/>
              </w:rPr>
            </w:pPr>
            <w:r>
              <w:rPr>
                <w:rFonts w:hint="eastAsia" w:ascii="宋体" w:hAnsi="宋体" w:cs="宋体"/>
                <w:color w:val="FF0000"/>
                <w:kern w:val="0"/>
                <w:sz w:val="24"/>
                <w:szCs w:val="24"/>
              </w:rPr>
              <w:t>1</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170" w:lineRule="atLeast"/>
              <w:jc w:val="center"/>
              <w:rPr>
                <w:rFonts w:ascii="宋体" w:hAnsi="宋体" w:cs="宋体"/>
                <w:color w:val="FF0000"/>
                <w:kern w:val="0"/>
                <w:sz w:val="24"/>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kern w:val="0"/>
                <w:sz w:val="24"/>
                <w:szCs w:val="24"/>
              </w:rPr>
            </w:pPr>
            <w:r>
              <w:rPr>
                <w:rFonts w:hint="eastAsia" w:ascii="宋体" w:hAnsi="宋体" w:cs="宋体"/>
                <w:color w:val="000000" w:themeColor="text1"/>
                <w:kern w:val="0"/>
                <w:sz w:val="24"/>
                <w:szCs w:val="24"/>
                <w14:textFill>
                  <w14:solidFill>
                    <w14:schemeClr w14:val="tx1"/>
                  </w14:solidFill>
                </w14:textFill>
              </w:rPr>
              <w:t>生物安全柜</w:t>
            </w:r>
          </w:p>
        </w:tc>
        <w:tc>
          <w:tcPr>
            <w:tcW w:w="993"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170" w:lineRule="atLeast"/>
              <w:jc w:val="center"/>
              <w:rPr>
                <w:rFonts w:hint="eastAsia" w:ascii="宋体" w:hAnsi="宋体" w:eastAsia="宋体" w:cs="宋体"/>
                <w:color w:val="000000"/>
                <w:kern w:val="0"/>
                <w:sz w:val="24"/>
                <w:szCs w:val="24"/>
                <w:lang w:eastAsia="zh-CN"/>
              </w:rPr>
            </w:pPr>
            <w:r>
              <w:rPr>
                <w:rFonts w:hint="eastAsia" w:ascii="宋体" w:hAnsi="宋体" w:cs="宋体"/>
                <w:color w:val="000000"/>
                <w:kern w:val="0"/>
                <w:sz w:val="24"/>
                <w:szCs w:val="24"/>
                <w:lang w:val="en-US" w:eastAsia="zh-CN"/>
              </w:rPr>
              <w:t>8</w:t>
            </w:r>
          </w:p>
        </w:tc>
        <w:tc>
          <w:tcPr>
            <w:tcW w:w="893"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170" w:lineRule="atLeast"/>
              <w:jc w:val="center"/>
              <w:rPr>
                <w:rFonts w:ascii="宋体" w:hAnsi="宋体" w:cs="宋体"/>
                <w:color w:val="000000"/>
                <w:kern w:val="0"/>
                <w:sz w:val="24"/>
                <w:szCs w:val="24"/>
              </w:rPr>
            </w:pPr>
            <w:r>
              <w:rPr>
                <w:rFonts w:hint="eastAsia" w:ascii="宋体" w:hAnsi="宋体" w:cs="宋体"/>
                <w:color w:val="000000"/>
                <w:kern w:val="0"/>
                <w:sz w:val="24"/>
                <w:szCs w:val="24"/>
              </w:rPr>
              <w:t>台</w:t>
            </w:r>
          </w:p>
        </w:tc>
        <w:tc>
          <w:tcPr>
            <w:tcW w:w="1077"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170" w:lineRule="atLeast"/>
              <w:jc w:val="center"/>
              <w:rPr>
                <w:rFonts w:ascii="宋体" w:hAnsi="宋体" w:cs="宋体"/>
                <w:color w:val="000000"/>
                <w:kern w:val="0"/>
                <w:sz w:val="24"/>
                <w:szCs w:val="24"/>
              </w:rPr>
            </w:pPr>
            <w:r>
              <w:rPr>
                <w:rFonts w:hint="eastAsia" w:ascii="宋体" w:hAnsi="宋体"/>
                <w:szCs w:val="21"/>
              </w:rPr>
              <w:t>接受进口</w:t>
            </w:r>
          </w:p>
        </w:tc>
        <w:tc>
          <w:tcPr>
            <w:tcW w:w="1715"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170" w:lineRule="atLeast"/>
              <w:jc w:val="center"/>
              <w:rPr>
                <w:rFonts w:hint="default" w:ascii="宋体" w:hAnsi="宋体" w:eastAsia="宋体" w:cs="宋体"/>
                <w:color w:val="000000"/>
                <w:kern w:val="0"/>
                <w:sz w:val="24"/>
                <w:szCs w:val="24"/>
                <w:lang w:val="en-US" w:eastAsia="zh-CN"/>
              </w:rPr>
            </w:pPr>
            <w:r>
              <w:rPr>
                <w:rFonts w:hint="eastAsia" w:ascii="宋体" w:hAnsi="宋体" w:cs="宋体"/>
                <w:color w:val="000000" w:themeColor="text1"/>
                <w:kern w:val="0"/>
                <w:sz w:val="24"/>
                <w:szCs w:val="24"/>
                <w:lang w:val="en-US" w:eastAsia="zh-CN"/>
                <w14:textFill>
                  <w14:solidFill>
                    <w14:schemeClr w14:val="tx1"/>
                  </w14:solidFill>
                </w14:textFill>
              </w:rPr>
              <w:t>50</w:t>
            </w:r>
          </w:p>
        </w:tc>
      </w:tr>
    </w:tbl>
    <w:p>
      <w:pPr>
        <w:rPr>
          <w:rFonts w:ascii="宋体" w:hAnsi="宋体"/>
          <w:b/>
          <w:color w:val="FF0000"/>
          <w:szCs w:val="21"/>
        </w:rPr>
      </w:pPr>
    </w:p>
    <w:p>
      <w:pPr>
        <w:rPr>
          <w:rFonts w:ascii="宋体" w:hAnsi="宋体"/>
          <w:b/>
          <w:szCs w:val="21"/>
        </w:rPr>
      </w:pPr>
      <w:r>
        <w:rPr>
          <w:rFonts w:hint="eastAsia" w:ascii="宋体" w:hAnsi="宋体"/>
          <w:b/>
          <w:szCs w:val="21"/>
        </w:rPr>
        <w:t>（二）货物清单明细</w:t>
      </w:r>
    </w:p>
    <w:tbl>
      <w:tblPr>
        <w:tblStyle w:val="9"/>
        <w:tblpPr w:leftFromText="180" w:rightFromText="180" w:vertAnchor="text" w:horzAnchor="margin" w:tblpY="173"/>
        <w:tblW w:w="8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3"/>
        <w:gridCol w:w="2782"/>
        <w:gridCol w:w="1728"/>
        <w:gridCol w:w="33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783" w:type="dxa"/>
            <w:vAlign w:val="center"/>
          </w:tcPr>
          <w:p>
            <w:pPr>
              <w:jc w:val="center"/>
              <w:rPr>
                <w:bCs/>
                <w:sz w:val="24"/>
                <w:szCs w:val="24"/>
              </w:rPr>
            </w:pPr>
            <w:r>
              <w:rPr>
                <w:rFonts w:hint="eastAsia"/>
                <w:bCs/>
                <w:sz w:val="24"/>
                <w:szCs w:val="24"/>
              </w:rPr>
              <w:t>序号</w:t>
            </w:r>
          </w:p>
        </w:tc>
        <w:tc>
          <w:tcPr>
            <w:tcW w:w="2782" w:type="dxa"/>
            <w:vAlign w:val="center"/>
          </w:tcPr>
          <w:p>
            <w:pPr>
              <w:jc w:val="center"/>
              <w:rPr>
                <w:bCs/>
                <w:sz w:val="24"/>
                <w:szCs w:val="24"/>
              </w:rPr>
            </w:pPr>
            <w:r>
              <w:rPr>
                <w:rFonts w:hint="eastAsia"/>
                <w:bCs/>
                <w:sz w:val="24"/>
                <w:szCs w:val="24"/>
              </w:rPr>
              <w:t>货物名称</w:t>
            </w:r>
          </w:p>
        </w:tc>
        <w:tc>
          <w:tcPr>
            <w:tcW w:w="1728" w:type="dxa"/>
            <w:vAlign w:val="center"/>
          </w:tcPr>
          <w:p>
            <w:pPr>
              <w:jc w:val="center"/>
              <w:rPr>
                <w:bCs/>
                <w:sz w:val="24"/>
                <w:szCs w:val="24"/>
              </w:rPr>
            </w:pPr>
            <w:r>
              <w:rPr>
                <w:rFonts w:hint="eastAsia"/>
                <w:bCs/>
                <w:sz w:val="24"/>
                <w:szCs w:val="24"/>
              </w:rPr>
              <w:t>数量</w:t>
            </w:r>
          </w:p>
        </w:tc>
        <w:tc>
          <w:tcPr>
            <w:tcW w:w="3313" w:type="dxa"/>
            <w:vAlign w:val="center"/>
          </w:tcPr>
          <w:p>
            <w:pPr>
              <w:jc w:val="center"/>
              <w:rPr>
                <w:bCs/>
                <w:sz w:val="24"/>
                <w:szCs w:val="24"/>
              </w:rPr>
            </w:pPr>
            <w:r>
              <w:rPr>
                <w:rFonts w:hint="eastAsia"/>
                <w:bCs/>
                <w:sz w:val="24"/>
                <w:szCs w:val="24"/>
              </w:rPr>
              <w:t>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783" w:type="dxa"/>
            <w:vAlign w:val="center"/>
          </w:tcPr>
          <w:p>
            <w:pPr>
              <w:jc w:val="center"/>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1</w:t>
            </w:r>
          </w:p>
        </w:tc>
        <w:tc>
          <w:tcPr>
            <w:tcW w:w="2782" w:type="dxa"/>
            <w:vAlign w:val="center"/>
          </w:tcPr>
          <w:p>
            <w:pPr>
              <w:jc w:val="center"/>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安全柜主机</w:t>
            </w:r>
          </w:p>
        </w:tc>
        <w:tc>
          <w:tcPr>
            <w:tcW w:w="1728" w:type="dxa"/>
            <w:vAlign w:val="center"/>
          </w:tcPr>
          <w:p>
            <w:pPr>
              <w:jc w:val="cente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8</w:t>
            </w:r>
          </w:p>
        </w:tc>
        <w:tc>
          <w:tcPr>
            <w:tcW w:w="3313" w:type="dxa"/>
            <w:vAlign w:val="center"/>
          </w:tcPr>
          <w:p>
            <w:pPr>
              <w:jc w:val="center"/>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783" w:type="dxa"/>
            <w:vAlign w:val="center"/>
          </w:tcPr>
          <w:p>
            <w:pPr>
              <w:jc w:val="center"/>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2</w:t>
            </w:r>
          </w:p>
        </w:tc>
        <w:tc>
          <w:tcPr>
            <w:tcW w:w="2782" w:type="dxa"/>
            <w:vAlign w:val="center"/>
          </w:tcPr>
          <w:p>
            <w:pPr>
              <w:jc w:val="center"/>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紫外灯</w:t>
            </w:r>
          </w:p>
        </w:tc>
        <w:tc>
          <w:tcPr>
            <w:tcW w:w="1728" w:type="dxa"/>
            <w:vAlign w:val="center"/>
          </w:tcPr>
          <w:p>
            <w:pPr>
              <w:jc w:val="cente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8</w:t>
            </w:r>
          </w:p>
        </w:tc>
        <w:tc>
          <w:tcPr>
            <w:tcW w:w="3313" w:type="dxa"/>
            <w:vAlign w:val="center"/>
          </w:tcPr>
          <w:p>
            <w:pPr>
              <w:jc w:val="center"/>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783" w:type="dxa"/>
            <w:vAlign w:val="center"/>
          </w:tcPr>
          <w:p>
            <w:pPr>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w:t>
            </w:r>
          </w:p>
        </w:tc>
        <w:tc>
          <w:tcPr>
            <w:tcW w:w="2782" w:type="dxa"/>
            <w:vAlign w:val="center"/>
          </w:tcPr>
          <w:p>
            <w:pPr>
              <w:jc w:val="center"/>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搁手架</w:t>
            </w:r>
          </w:p>
        </w:tc>
        <w:tc>
          <w:tcPr>
            <w:tcW w:w="1728" w:type="dxa"/>
            <w:vAlign w:val="center"/>
          </w:tcPr>
          <w:p>
            <w:pPr>
              <w:jc w:val="center"/>
              <w:rPr>
                <w:rFonts w:hint="default"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16</w:t>
            </w:r>
          </w:p>
        </w:tc>
        <w:tc>
          <w:tcPr>
            <w:tcW w:w="3313" w:type="dxa"/>
            <w:vAlign w:val="center"/>
          </w:tcPr>
          <w:p>
            <w:pPr>
              <w:jc w:val="center"/>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783" w:type="dxa"/>
          </w:tcPr>
          <w:p>
            <w:pPr>
              <w:jc w:val="center"/>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4</w:t>
            </w:r>
          </w:p>
        </w:tc>
        <w:tc>
          <w:tcPr>
            <w:tcW w:w="2782" w:type="dxa"/>
          </w:tcPr>
          <w:p>
            <w:pPr>
              <w:jc w:val="center"/>
              <w:rPr>
                <w:rFonts w:asciiTheme="minorEastAsia" w:hAnsiTheme="minorEastAsia" w:eastAsiaTheme="minorEastAsia" w:cstheme="minorEastAsia"/>
                <w:color w:val="000000" w:themeColor="text1"/>
                <w:sz w:val="24"/>
                <w:szCs w:val="24"/>
                <w14:textFill>
                  <w14:solidFill>
                    <w14:schemeClr w14:val="tx1"/>
                  </w14:solidFill>
                </w14:textFill>
              </w:rPr>
            </w:pPr>
            <w:r>
              <w:rPr>
                <w:rFonts w:asciiTheme="minorEastAsia" w:hAnsiTheme="minorEastAsia" w:eastAsiaTheme="minorEastAsia" w:cstheme="minorEastAsia"/>
                <w:color w:val="000000" w:themeColor="text1"/>
                <w:sz w:val="24"/>
                <w:szCs w:val="24"/>
                <w14:textFill>
                  <w14:solidFill>
                    <w14:schemeClr w14:val="tx1"/>
                  </w14:solidFill>
                </w14:textFill>
              </w:rPr>
              <w:t>可调高度支架</w:t>
            </w:r>
          </w:p>
        </w:tc>
        <w:tc>
          <w:tcPr>
            <w:tcW w:w="1728" w:type="dxa"/>
            <w:vAlign w:val="center"/>
          </w:tcPr>
          <w:p>
            <w:pPr>
              <w:jc w:val="cente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8</w:t>
            </w:r>
          </w:p>
        </w:tc>
        <w:tc>
          <w:tcPr>
            <w:tcW w:w="3313" w:type="dxa"/>
            <w:vAlign w:val="center"/>
          </w:tcPr>
          <w:p>
            <w:pPr>
              <w:jc w:val="center"/>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个</w:t>
            </w:r>
          </w:p>
        </w:tc>
      </w:tr>
    </w:tbl>
    <w:p>
      <w:pPr>
        <w:rPr>
          <w:rFonts w:ascii="宋体" w:hAnsi="宋体"/>
          <w:b/>
          <w:color w:val="FF0000"/>
          <w:szCs w:val="21"/>
        </w:rPr>
      </w:pPr>
      <w:r>
        <w:rPr>
          <w:rFonts w:hint="eastAsia" w:ascii="宋体" w:hAnsi="宋体"/>
          <w:b/>
          <w:szCs w:val="21"/>
        </w:rPr>
        <w:t xml:space="preserve"> </w:t>
      </w:r>
    </w:p>
    <w:p>
      <w:pPr>
        <w:pStyle w:val="2"/>
        <w:spacing w:before="156" w:beforeLines="50" w:after="156" w:afterLines="50"/>
        <w:jc w:val="both"/>
        <w:rPr>
          <w:sz w:val="28"/>
          <w:szCs w:val="28"/>
        </w:rPr>
      </w:pPr>
      <w:r>
        <w:rPr>
          <w:rFonts w:hint="eastAsia"/>
          <w:sz w:val="28"/>
          <w:szCs w:val="28"/>
        </w:rPr>
        <w:t>2、具体技术要求</w:t>
      </w:r>
    </w:p>
    <w:tbl>
      <w:tblPr>
        <w:tblStyle w:val="9"/>
        <w:tblW w:w="8969"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0"/>
        <w:gridCol w:w="1417"/>
        <w:gridCol w:w="66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880"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jc w:val="center"/>
              <w:rPr>
                <w:rFonts w:ascii="宋体" w:hAnsi="宋体" w:cs="宋体"/>
                <w:kern w:val="0"/>
                <w:sz w:val="24"/>
                <w:szCs w:val="24"/>
              </w:rPr>
            </w:pPr>
            <w:r>
              <w:rPr>
                <w:rFonts w:hint="eastAsia" w:cs="宋体"/>
                <w:kern w:val="0"/>
                <w:sz w:val="24"/>
                <w:szCs w:val="21"/>
              </w:rPr>
              <w:t>序号</w:t>
            </w:r>
          </w:p>
        </w:tc>
        <w:tc>
          <w:tcPr>
            <w:tcW w:w="1417"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jc w:val="center"/>
              <w:rPr>
                <w:rFonts w:ascii="宋体" w:hAnsi="宋体" w:cs="宋体"/>
                <w:kern w:val="0"/>
                <w:sz w:val="24"/>
                <w:szCs w:val="24"/>
              </w:rPr>
            </w:pPr>
            <w:r>
              <w:rPr>
                <w:rFonts w:hint="eastAsia" w:cs="宋体"/>
                <w:kern w:val="0"/>
                <w:sz w:val="24"/>
                <w:szCs w:val="21"/>
              </w:rPr>
              <w:t>货物名称</w:t>
            </w:r>
          </w:p>
        </w:tc>
        <w:tc>
          <w:tcPr>
            <w:tcW w:w="6672"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jc w:val="center"/>
              <w:rPr>
                <w:rFonts w:ascii="宋体" w:hAnsi="宋体" w:cs="宋体"/>
                <w:kern w:val="0"/>
                <w:sz w:val="24"/>
                <w:szCs w:val="24"/>
              </w:rPr>
            </w:pPr>
            <w:r>
              <w:rPr>
                <w:rFonts w:hint="eastAsia" w:cs="宋体"/>
                <w:kern w:val="0"/>
                <w:sz w:val="24"/>
                <w:szCs w:val="21"/>
              </w:rPr>
              <w:t>招标技术要求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70" w:hRule="atLeast"/>
        </w:trPr>
        <w:tc>
          <w:tcPr>
            <w:tcW w:w="880" w:type="dxa"/>
            <w:vMerge w:val="restart"/>
            <w:tcBorders>
              <w:top w:val="single" w:color="auto" w:sz="4" w:space="0"/>
              <w:left w:val="single" w:color="auto" w:sz="4" w:space="0"/>
              <w:right w:val="single" w:color="auto" w:sz="4" w:space="0"/>
            </w:tcBorders>
            <w:vAlign w:val="center"/>
          </w:tcPr>
          <w:p>
            <w:pPr>
              <w:widowControl/>
              <w:jc w:val="center"/>
              <w:rPr>
                <w:rFonts w:ascii="宋体" w:hAnsi="宋体" w:cs="宋体"/>
                <w:color w:val="FF0000"/>
                <w:kern w:val="0"/>
                <w:sz w:val="24"/>
                <w:szCs w:val="24"/>
              </w:rPr>
            </w:pPr>
            <w:r>
              <w:rPr>
                <w:rFonts w:hint="eastAsia" w:ascii="宋体" w:hAnsi="宋体" w:cs="宋体"/>
                <w:color w:val="FF0000"/>
                <w:kern w:val="0"/>
                <w:sz w:val="24"/>
                <w:szCs w:val="24"/>
              </w:rPr>
              <w:t>1</w:t>
            </w:r>
          </w:p>
        </w:tc>
        <w:tc>
          <w:tcPr>
            <w:tcW w:w="1417" w:type="dxa"/>
            <w:vMerge w:val="restart"/>
            <w:tcBorders>
              <w:top w:val="single" w:color="auto" w:sz="4" w:space="0"/>
              <w:left w:val="single" w:color="auto" w:sz="4" w:space="0"/>
              <w:right w:val="single" w:color="auto" w:sz="4" w:space="0"/>
            </w:tcBorders>
            <w:vAlign w:val="center"/>
          </w:tcPr>
          <w:p>
            <w:pPr>
              <w:jc w:val="left"/>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生物安全柜</w:t>
            </w:r>
          </w:p>
          <w:p>
            <w:pPr>
              <w:jc w:val="left"/>
              <w:rPr>
                <w:rFonts w:ascii="宋体" w:hAnsi="宋体" w:cs="宋体"/>
                <w:color w:val="000000"/>
                <w:kern w:val="0"/>
                <w:sz w:val="24"/>
                <w:szCs w:val="24"/>
              </w:rPr>
            </w:pPr>
          </w:p>
        </w:tc>
        <w:tc>
          <w:tcPr>
            <w:tcW w:w="6672" w:type="dxa"/>
            <w:tcBorders>
              <w:top w:val="single" w:color="auto" w:sz="4" w:space="0"/>
              <w:left w:val="single" w:color="auto" w:sz="4" w:space="0"/>
              <w:bottom w:val="single" w:color="auto" w:sz="4" w:space="0"/>
              <w:right w:val="single" w:color="auto" w:sz="4" w:space="0"/>
            </w:tcBorders>
          </w:tcPr>
          <w:p>
            <w:pPr>
              <w:rPr>
                <w:rFonts w:ascii="Arial" w:hAnsi="Arial" w:cs="Arial"/>
              </w:rPr>
            </w:pPr>
            <w:r>
              <w:rPr>
                <w:rFonts w:ascii="Arial" w:hAnsi="Arial" w:cs="Arial"/>
              </w:rPr>
              <w:t xml:space="preserve"> 1、安全柜类别：A2型二级生物安全柜，30%外排，70%内循环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880" w:type="dxa"/>
            <w:vMerge w:val="continue"/>
            <w:tcBorders>
              <w:left w:val="single" w:color="auto" w:sz="4" w:space="0"/>
              <w:right w:val="single" w:color="auto" w:sz="4" w:space="0"/>
            </w:tcBorders>
            <w:vAlign w:val="center"/>
          </w:tcPr>
          <w:p>
            <w:pPr>
              <w:widowControl/>
              <w:jc w:val="left"/>
              <w:rPr>
                <w:rFonts w:ascii="宋体" w:hAnsi="宋体" w:cs="宋体"/>
                <w:color w:val="FF0000"/>
                <w:kern w:val="0"/>
                <w:sz w:val="24"/>
                <w:szCs w:val="24"/>
              </w:rPr>
            </w:pPr>
          </w:p>
        </w:tc>
        <w:tc>
          <w:tcPr>
            <w:tcW w:w="1417" w:type="dxa"/>
            <w:vMerge w:val="continue"/>
            <w:tcBorders>
              <w:left w:val="single" w:color="auto" w:sz="4" w:space="0"/>
              <w:right w:val="single" w:color="auto" w:sz="4" w:space="0"/>
            </w:tcBorders>
            <w:vAlign w:val="center"/>
          </w:tcPr>
          <w:p>
            <w:pPr>
              <w:jc w:val="left"/>
              <w:rPr>
                <w:rFonts w:ascii="宋体" w:hAnsi="宋体" w:cs="宋体"/>
                <w:color w:val="000000"/>
                <w:kern w:val="0"/>
                <w:sz w:val="24"/>
                <w:szCs w:val="24"/>
              </w:rPr>
            </w:pPr>
          </w:p>
        </w:tc>
        <w:tc>
          <w:tcPr>
            <w:tcW w:w="6672" w:type="dxa"/>
            <w:tcBorders>
              <w:top w:val="single" w:color="auto" w:sz="4" w:space="0"/>
              <w:left w:val="single" w:color="auto" w:sz="4" w:space="0"/>
              <w:bottom w:val="single" w:color="auto" w:sz="4" w:space="0"/>
              <w:right w:val="single" w:color="auto" w:sz="4" w:space="0"/>
            </w:tcBorders>
          </w:tcPr>
          <w:p>
            <w:pPr>
              <w:rPr>
                <w:rFonts w:ascii="Arial" w:hAnsi="Arial" w:cs="Arial"/>
              </w:rPr>
            </w:pPr>
            <w:r>
              <w:rPr>
                <w:rFonts w:ascii="Arial" w:hAnsi="Arial" w:cs="Arial"/>
              </w:rPr>
              <w:t xml:space="preserve"> 2、HEPA 过滤效率（直径0.3 μm颗粒）应高于99.999%；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880" w:type="dxa"/>
            <w:vMerge w:val="continue"/>
            <w:tcBorders>
              <w:left w:val="single" w:color="auto" w:sz="4" w:space="0"/>
              <w:right w:val="single" w:color="auto" w:sz="4" w:space="0"/>
            </w:tcBorders>
            <w:vAlign w:val="center"/>
          </w:tcPr>
          <w:p>
            <w:pPr>
              <w:widowControl/>
              <w:jc w:val="left"/>
              <w:rPr>
                <w:rFonts w:ascii="宋体" w:hAnsi="宋体" w:cs="宋体"/>
                <w:color w:val="FF0000"/>
                <w:kern w:val="0"/>
                <w:sz w:val="24"/>
                <w:szCs w:val="24"/>
              </w:rPr>
            </w:pPr>
          </w:p>
        </w:tc>
        <w:tc>
          <w:tcPr>
            <w:tcW w:w="1417" w:type="dxa"/>
            <w:vMerge w:val="continue"/>
            <w:tcBorders>
              <w:left w:val="single" w:color="auto" w:sz="4" w:space="0"/>
              <w:right w:val="single" w:color="auto" w:sz="4" w:space="0"/>
            </w:tcBorders>
            <w:vAlign w:val="center"/>
          </w:tcPr>
          <w:p>
            <w:pPr>
              <w:jc w:val="left"/>
              <w:rPr>
                <w:rFonts w:ascii="宋体" w:hAnsi="宋体" w:cs="宋体"/>
                <w:color w:val="000000"/>
                <w:kern w:val="0"/>
                <w:sz w:val="24"/>
                <w:szCs w:val="24"/>
              </w:rPr>
            </w:pPr>
          </w:p>
        </w:tc>
        <w:tc>
          <w:tcPr>
            <w:tcW w:w="6672" w:type="dxa"/>
            <w:tcBorders>
              <w:top w:val="single" w:color="auto" w:sz="4" w:space="0"/>
              <w:left w:val="single" w:color="auto" w:sz="4" w:space="0"/>
              <w:bottom w:val="single" w:color="auto" w:sz="4" w:space="0"/>
              <w:right w:val="single" w:color="auto" w:sz="4" w:space="0"/>
            </w:tcBorders>
          </w:tcPr>
          <w:p>
            <w:pPr>
              <w:rPr>
                <w:rFonts w:ascii="Arial" w:hAnsi="Arial" w:cs="Arial"/>
              </w:rPr>
            </w:pPr>
            <w:r>
              <w:rPr>
                <w:rFonts w:ascii="Arial" w:hAnsi="Arial" w:cs="Arial"/>
              </w:rPr>
              <w:t xml:space="preserve"> ▲3、适合双人使用，内部尺寸：宽度≥1800mm，深度≥630 mm，高度≥780 mm；外部尺寸：宽度≤1900 mm，深度≤ 802mm，2200mm≤高度（包含支架）≤2400mm；支架：可调高度支架，高度680-880 mm</w:t>
            </w:r>
            <w:r>
              <w:rPr>
                <w:rFonts w:hint="eastAsia" w:ascii="宋体" w:hAnsi="宋体"/>
                <w:szCs w:val="21"/>
              </w:rPr>
              <w:t>，要求提供厂家盖章证明文件；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880" w:type="dxa"/>
            <w:vMerge w:val="continue"/>
            <w:tcBorders>
              <w:left w:val="single" w:color="auto" w:sz="4" w:space="0"/>
              <w:right w:val="single" w:color="auto" w:sz="4" w:space="0"/>
            </w:tcBorders>
            <w:vAlign w:val="center"/>
          </w:tcPr>
          <w:p>
            <w:pPr>
              <w:widowControl/>
              <w:jc w:val="left"/>
              <w:rPr>
                <w:rFonts w:ascii="宋体" w:hAnsi="宋体" w:cs="宋体"/>
                <w:color w:val="FF0000"/>
                <w:kern w:val="0"/>
                <w:sz w:val="18"/>
                <w:szCs w:val="24"/>
              </w:rPr>
            </w:pPr>
          </w:p>
        </w:tc>
        <w:tc>
          <w:tcPr>
            <w:tcW w:w="1417" w:type="dxa"/>
            <w:vMerge w:val="continue"/>
            <w:tcBorders>
              <w:left w:val="single" w:color="auto" w:sz="4" w:space="0"/>
              <w:right w:val="single" w:color="auto" w:sz="4" w:space="0"/>
            </w:tcBorders>
          </w:tcPr>
          <w:p>
            <w:pPr>
              <w:widowControl/>
              <w:jc w:val="left"/>
              <w:rPr>
                <w:rFonts w:ascii="宋体" w:hAnsi="宋体" w:cs="宋体"/>
                <w:color w:val="000000"/>
                <w:kern w:val="0"/>
                <w:sz w:val="18"/>
                <w:szCs w:val="24"/>
              </w:rPr>
            </w:pPr>
          </w:p>
        </w:tc>
        <w:tc>
          <w:tcPr>
            <w:tcW w:w="6672" w:type="dxa"/>
            <w:tcBorders>
              <w:top w:val="single" w:color="auto" w:sz="4" w:space="0"/>
              <w:left w:val="single" w:color="auto" w:sz="4" w:space="0"/>
              <w:bottom w:val="single" w:color="auto" w:sz="4" w:space="0"/>
              <w:right w:val="single" w:color="auto" w:sz="4" w:space="0"/>
            </w:tcBorders>
          </w:tcPr>
          <w:p>
            <w:pPr>
              <w:rPr>
                <w:rFonts w:ascii="Arial" w:hAnsi="Arial" w:cs="Arial"/>
              </w:rPr>
            </w:pPr>
            <w:r>
              <w:rPr>
                <w:rFonts w:ascii="Arial" w:hAnsi="Arial" w:cs="Arial"/>
              </w:rPr>
              <w:t xml:space="preserve"> 4、工作台面材料应采用性能不低于304不锈钢材质，采用一次冲压成型，侧壁应采用真空设计，无开孔；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880" w:type="dxa"/>
            <w:vMerge w:val="continue"/>
            <w:tcBorders>
              <w:left w:val="single" w:color="auto" w:sz="4" w:space="0"/>
              <w:right w:val="single" w:color="auto" w:sz="4" w:space="0"/>
            </w:tcBorders>
            <w:vAlign w:val="center"/>
          </w:tcPr>
          <w:p>
            <w:pPr>
              <w:widowControl/>
              <w:jc w:val="left"/>
              <w:rPr>
                <w:rFonts w:ascii="宋体" w:hAnsi="宋体" w:cs="宋体"/>
                <w:color w:val="FF0000"/>
                <w:kern w:val="0"/>
                <w:sz w:val="18"/>
                <w:szCs w:val="24"/>
              </w:rPr>
            </w:pPr>
          </w:p>
        </w:tc>
        <w:tc>
          <w:tcPr>
            <w:tcW w:w="1417" w:type="dxa"/>
            <w:vMerge w:val="continue"/>
            <w:tcBorders>
              <w:left w:val="single" w:color="auto" w:sz="4" w:space="0"/>
              <w:right w:val="single" w:color="auto" w:sz="4" w:space="0"/>
            </w:tcBorders>
          </w:tcPr>
          <w:p>
            <w:pPr>
              <w:widowControl/>
              <w:jc w:val="left"/>
              <w:rPr>
                <w:rFonts w:ascii="宋体" w:hAnsi="宋体" w:cs="宋体"/>
                <w:color w:val="000000"/>
                <w:kern w:val="0"/>
                <w:sz w:val="18"/>
                <w:szCs w:val="24"/>
              </w:rPr>
            </w:pPr>
          </w:p>
        </w:tc>
        <w:tc>
          <w:tcPr>
            <w:tcW w:w="6672" w:type="dxa"/>
            <w:tcBorders>
              <w:top w:val="single" w:color="auto" w:sz="4" w:space="0"/>
              <w:left w:val="single" w:color="auto" w:sz="4" w:space="0"/>
              <w:bottom w:val="single" w:color="auto" w:sz="4" w:space="0"/>
              <w:right w:val="single" w:color="auto" w:sz="4" w:space="0"/>
            </w:tcBorders>
          </w:tcPr>
          <w:p>
            <w:pPr>
              <w:rPr>
                <w:rFonts w:ascii="Arial" w:hAnsi="Arial" w:cs="Arial"/>
              </w:rPr>
            </w:pPr>
            <w:r>
              <w:rPr>
                <w:rFonts w:ascii="Arial" w:hAnsi="Arial" w:cs="Arial"/>
              </w:rPr>
              <w:t xml:space="preserve"> 5、应至少具备2种报警提示，包括前窗开启高度超过安全高度报警和气流报警等；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880" w:type="dxa"/>
            <w:vMerge w:val="continue"/>
            <w:tcBorders>
              <w:left w:val="single" w:color="auto" w:sz="4" w:space="0"/>
              <w:right w:val="single" w:color="auto" w:sz="4" w:space="0"/>
            </w:tcBorders>
            <w:vAlign w:val="center"/>
          </w:tcPr>
          <w:p>
            <w:pPr>
              <w:widowControl/>
              <w:jc w:val="left"/>
              <w:rPr>
                <w:rFonts w:ascii="宋体" w:hAnsi="宋体" w:cs="宋体"/>
                <w:color w:val="FF0000"/>
                <w:kern w:val="0"/>
                <w:sz w:val="18"/>
                <w:szCs w:val="24"/>
              </w:rPr>
            </w:pPr>
          </w:p>
        </w:tc>
        <w:tc>
          <w:tcPr>
            <w:tcW w:w="1417" w:type="dxa"/>
            <w:vMerge w:val="continue"/>
            <w:tcBorders>
              <w:left w:val="single" w:color="auto" w:sz="4" w:space="0"/>
              <w:right w:val="single" w:color="auto" w:sz="4" w:space="0"/>
            </w:tcBorders>
          </w:tcPr>
          <w:p>
            <w:pPr>
              <w:widowControl/>
              <w:jc w:val="left"/>
              <w:rPr>
                <w:rFonts w:ascii="宋体" w:hAnsi="宋体" w:cs="宋体"/>
                <w:color w:val="000000"/>
                <w:kern w:val="0"/>
                <w:sz w:val="18"/>
                <w:szCs w:val="24"/>
              </w:rPr>
            </w:pPr>
          </w:p>
        </w:tc>
        <w:tc>
          <w:tcPr>
            <w:tcW w:w="6672" w:type="dxa"/>
            <w:tcBorders>
              <w:top w:val="single" w:color="auto" w:sz="4" w:space="0"/>
              <w:left w:val="single" w:color="auto" w:sz="4" w:space="0"/>
              <w:bottom w:val="single" w:color="auto" w:sz="4" w:space="0"/>
              <w:right w:val="single" w:color="auto" w:sz="4" w:space="0"/>
            </w:tcBorders>
          </w:tcPr>
          <w:p>
            <w:pPr>
              <w:rPr>
                <w:rFonts w:ascii="Arial" w:hAnsi="Arial" w:cs="Arial"/>
              </w:rPr>
            </w:pPr>
            <w:r>
              <w:rPr>
                <w:rFonts w:ascii="Arial" w:hAnsi="Arial" w:cs="Arial"/>
              </w:rPr>
              <w:t xml:space="preserve"> 6、▲气流控制</w:t>
            </w:r>
            <w:r>
              <w:rPr>
                <w:rFonts w:hint="eastAsia" w:ascii="Arial" w:hAnsi="Arial" w:cs="Arial"/>
              </w:rPr>
              <w:t>：</w:t>
            </w:r>
            <w:r>
              <w:rPr>
                <w:rFonts w:ascii="Arial" w:hAnsi="Arial" w:cs="Arial"/>
              </w:rPr>
              <w:t>应采用直流无碳刷电机驱动风机，下降气流/排气</w:t>
            </w:r>
            <w:r>
              <w:rPr>
                <w:rFonts w:hint="eastAsia" w:ascii="Arial" w:hAnsi="Arial" w:cs="Arial"/>
              </w:rPr>
              <w:t>由独立风机分别</w:t>
            </w:r>
            <w:r>
              <w:rPr>
                <w:rFonts w:ascii="Arial" w:hAnsi="Arial" w:cs="Arial"/>
              </w:rPr>
              <w:t>控制</w:t>
            </w:r>
            <w:r>
              <w:rPr>
                <w:rFonts w:hint="eastAsia" w:ascii="宋体" w:hAnsi="宋体"/>
                <w:szCs w:val="21"/>
              </w:rPr>
              <w:t>，要求提供厂家盖章证明文件；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880" w:type="dxa"/>
            <w:vMerge w:val="continue"/>
            <w:tcBorders>
              <w:left w:val="single" w:color="auto" w:sz="4" w:space="0"/>
              <w:right w:val="single" w:color="auto" w:sz="4" w:space="0"/>
            </w:tcBorders>
            <w:vAlign w:val="center"/>
          </w:tcPr>
          <w:p>
            <w:pPr>
              <w:widowControl/>
              <w:jc w:val="left"/>
              <w:rPr>
                <w:rFonts w:ascii="宋体" w:hAnsi="宋体" w:cs="宋体"/>
                <w:color w:val="FF0000"/>
                <w:kern w:val="0"/>
                <w:sz w:val="18"/>
                <w:szCs w:val="24"/>
              </w:rPr>
            </w:pPr>
          </w:p>
        </w:tc>
        <w:tc>
          <w:tcPr>
            <w:tcW w:w="1417" w:type="dxa"/>
            <w:vMerge w:val="continue"/>
            <w:tcBorders>
              <w:left w:val="single" w:color="auto" w:sz="4" w:space="0"/>
              <w:right w:val="single" w:color="auto" w:sz="4" w:space="0"/>
            </w:tcBorders>
          </w:tcPr>
          <w:p>
            <w:pPr>
              <w:widowControl/>
              <w:jc w:val="left"/>
              <w:rPr>
                <w:rFonts w:ascii="宋体" w:hAnsi="宋体" w:cs="宋体"/>
                <w:color w:val="000000"/>
                <w:kern w:val="0"/>
                <w:sz w:val="18"/>
                <w:szCs w:val="24"/>
              </w:rPr>
            </w:pPr>
          </w:p>
        </w:tc>
        <w:tc>
          <w:tcPr>
            <w:tcW w:w="6672" w:type="dxa"/>
            <w:tcBorders>
              <w:top w:val="single" w:color="auto" w:sz="4" w:space="0"/>
              <w:left w:val="single" w:color="auto" w:sz="4" w:space="0"/>
              <w:bottom w:val="single" w:color="auto" w:sz="4" w:space="0"/>
              <w:right w:val="single" w:color="auto" w:sz="4" w:space="0"/>
            </w:tcBorders>
          </w:tcPr>
          <w:p>
            <w:pPr>
              <w:rPr>
                <w:rFonts w:ascii="Arial" w:hAnsi="Arial" w:cs="Arial"/>
              </w:rPr>
            </w:pPr>
            <w:r>
              <w:rPr>
                <w:rFonts w:ascii="Arial" w:hAnsi="Arial" w:cs="Arial"/>
              </w:rPr>
              <w:t xml:space="preserve"> 7、▲</w:t>
            </w:r>
            <w:r>
              <w:rPr>
                <w:rFonts w:hint="eastAsia" w:ascii="Arial" w:hAnsi="Arial" w:cs="Arial"/>
              </w:rPr>
              <w:t>长期使用</w:t>
            </w:r>
            <w:r>
              <w:rPr>
                <w:rFonts w:ascii="Arial" w:hAnsi="Arial" w:cs="Arial"/>
              </w:rPr>
              <w:t>应无需手动调节气阀，HEPA负载增加时，外排马达可自动补偿，下降气流马达补偿和排气马达协同作用</w:t>
            </w:r>
            <w:r>
              <w:rPr>
                <w:rFonts w:hint="eastAsia" w:ascii="宋体" w:hAnsi="宋体"/>
                <w:szCs w:val="21"/>
              </w:rPr>
              <w:t>，要求提供厂家盖章证明文件；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880" w:type="dxa"/>
            <w:vMerge w:val="continue"/>
            <w:tcBorders>
              <w:left w:val="single" w:color="auto" w:sz="4" w:space="0"/>
              <w:right w:val="single" w:color="auto" w:sz="4" w:space="0"/>
            </w:tcBorders>
            <w:vAlign w:val="center"/>
          </w:tcPr>
          <w:p>
            <w:pPr>
              <w:widowControl/>
              <w:jc w:val="left"/>
              <w:rPr>
                <w:rFonts w:ascii="宋体" w:hAnsi="宋体" w:cs="宋体"/>
                <w:color w:val="FF0000"/>
                <w:kern w:val="0"/>
                <w:sz w:val="18"/>
                <w:szCs w:val="24"/>
              </w:rPr>
            </w:pPr>
          </w:p>
        </w:tc>
        <w:tc>
          <w:tcPr>
            <w:tcW w:w="1417" w:type="dxa"/>
            <w:vMerge w:val="continue"/>
            <w:tcBorders>
              <w:left w:val="single" w:color="auto" w:sz="4" w:space="0"/>
              <w:right w:val="single" w:color="auto" w:sz="4" w:space="0"/>
            </w:tcBorders>
          </w:tcPr>
          <w:p>
            <w:pPr>
              <w:widowControl/>
              <w:jc w:val="left"/>
              <w:rPr>
                <w:rFonts w:ascii="宋体" w:hAnsi="宋体" w:cs="宋体"/>
                <w:color w:val="000000"/>
                <w:kern w:val="0"/>
                <w:sz w:val="18"/>
                <w:szCs w:val="24"/>
              </w:rPr>
            </w:pPr>
          </w:p>
        </w:tc>
        <w:tc>
          <w:tcPr>
            <w:tcW w:w="6672" w:type="dxa"/>
            <w:tcBorders>
              <w:top w:val="single" w:color="auto" w:sz="4" w:space="0"/>
              <w:left w:val="single" w:color="auto" w:sz="4" w:space="0"/>
              <w:bottom w:val="single" w:color="auto" w:sz="4" w:space="0"/>
              <w:right w:val="single" w:color="auto" w:sz="4" w:space="0"/>
            </w:tcBorders>
          </w:tcPr>
          <w:p>
            <w:pPr>
              <w:rPr>
                <w:rFonts w:ascii="Arial" w:hAnsi="Arial" w:cs="Arial"/>
              </w:rPr>
            </w:pPr>
            <w:r>
              <w:rPr>
                <w:rFonts w:ascii="Arial" w:hAnsi="Arial" w:cs="Arial"/>
              </w:rPr>
              <w:t xml:space="preserve"> 8、风速测定应采用双风压探头来测定风速，准确全面地反映安全柜进气和排气风速；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880" w:type="dxa"/>
            <w:vMerge w:val="continue"/>
            <w:tcBorders>
              <w:left w:val="single" w:color="auto" w:sz="4" w:space="0"/>
              <w:right w:val="single" w:color="auto" w:sz="4" w:space="0"/>
            </w:tcBorders>
            <w:vAlign w:val="center"/>
          </w:tcPr>
          <w:p>
            <w:pPr>
              <w:widowControl/>
              <w:jc w:val="left"/>
              <w:rPr>
                <w:rFonts w:ascii="宋体" w:hAnsi="宋体" w:cs="宋体"/>
                <w:color w:val="FF0000"/>
                <w:kern w:val="0"/>
                <w:sz w:val="18"/>
                <w:szCs w:val="24"/>
              </w:rPr>
            </w:pPr>
          </w:p>
        </w:tc>
        <w:tc>
          <w:tcPr>
            <w:tcW w:w="1417" w:type="dxa"/>
            <w:vMerge w:val="continue"/>
            <w:tcBorders>
              <w:left w:val="single" w:color="auto" w:sz="4" w:space="0"/>
              <w:right w:val="single" w:color="auto" w:sz="4" w:space="0"/>
            </w:tcBorders>
          </w:tcPr>
          <w:p>
            <w:pPr>
              <w:widowControl/>
              <w:jc w:val="left"/>
              <w:rPr>
                <w:rFonts w:ascii="宋体" w:hAnsi="宋体" w:cs="宋体"/>
                <w:color w:val="000000"/>
                <w:kern w:val="0"/>
                <w:sz w:val="18"/>
                <w:szCs w:val="24"/>
              </w:rPr>
            </w:pPr>
          </w:p>
        </w:tc>
        <w:tc>
          <w:tcPr>
            <w:tcW w:w="6672" w:type="dxa"/>
            <w:tcBorders>
              <w:top w:val="single" w:color="auto" w:sz="4" w:space="0"/>
              <w:left w:val="single" w:color="auto" w:sz="4" w:space="0"/>
              <w:bottom w:val="single" w:color="auto" w:sz="4" w:space="0"/>
              <w:right w:val="single" w:color="auto" w:sz="4" w:space="0"/>
            </w:tcBorders>
          </w:tcPr>
          <w:p>
            <w:pPr>
              <w:rPr>
                <w:rFonts w:ascii="Arial" w:hAnsi="Arial" w:cs="Arial"/>
              </w:rPr>
            </w:pPr>
            <w:r>
              <w:rPr>
                <w:rFonts w:ascii="Arial" w:hAnsi="Arial" w:cs="Arial"/>
              </w:rPr>
              <w:t xml:space="preserve"> 9、▲风机数≥4个，分别独立控制进风风速和下降风速，无需节气阀可通过自动提高转速补偿风速损失，实时调控保证风速稳定</w:t>
            </w:r>
            <w:r>
              <w:rPr>
                <w:rFonts w:hint="eastAsia" w:ascii="宋体" w:hAnsi="宋体"/>
                <w:szCs w:val="21"/>
              </w:rPr>
              <w:t>，要求提供厂家盖章证明文件；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880" w:type="dxa"/>
            <w:vMerge w:val="continue"/>
            <w:tcBorders>
              <w:left w:val="single" w:color="auto" w:sz="4" w:space="0"/>
              <w:right w:val="single" w:color="auto" w:sz="4" w:space="0"/>
            </w:tcBorders>
            <w:vAlign w:val="center"/>
          </w:tcPr>
          <w:p>
            <w:pPr>
              <w:widowControl/>
              <w:jc w:val="left"/>
              <w:rPr>
                <w:rFonts w:ascii="宋体" w:hAnsi="宋体" w:cs="宋体"/>
                <w:color w:val="FF0000"/>
                <w:kern w:val="0"/>
                <w:sz w:val="18"/>
                <w:szCs w:val="24"/>
              </w:rPr>
            </w:pPr>
          </w:p>
        </w:tc>
        <w:tc>
          <w:tcPr>
            <w:tcW w:w="1417" w:type="dxa"/>
            <w:vMerge w:val="continue"/>
            <w:tcBorders>
              <w:left w:val="single" w:color="auto" w:sz="4" w:space="0"/>
              <w:right w:val="single" w:color="auto" w:sz="4" w:space="0"/>
            </w:tcBorders>
          </w:tcPr>
          <w:p>
            <w:pPr>
              <w:widowControl/>
              <w:jc w:val="left"/>
              <w:rPr>
                <w:rFonts w:ascii="宋体" w:hAnsi="宋体" w:cs="宋体"/>
                <w:color w:val="000000"/>
                <w:kern w:val="0"/>
                <w:sz w:val="18"/>
                <w:szCs w:val="24"/>
              </w:rPr>
            </w:pPr>
          </w:p>
        </w:tc>
        <w:tc>
          <w:tcPr>
            <w:tcW w:w="6672" w:type="dxa"/>
            <w:tcBorders>
              <w:top w:val="single" w:color="auto" w:sz="4" w:space="0"/>
              <w:left w:val="single" w:color="auto" w:sz="4" w:space="0"/>
              <w:bottom w:val="single" w:color="auto" w:sz="4" w:space="0"/>
              <w:right w:val="single" w:color="auto" w:sz="4" w:space="0"/>
            </w:tcBorders>
          </w:tcPr>
          <w:p>
            <w:pPr>
              <w:rPr>
                <w:rFonts w:ascii="Arial" w:hAnsi="Arial" w:cs="Arial"/>
              </w:rPr>
            </w:pPr>
            <w:r>
              <w:rPr>
                <w:rFonts w:ascii="Arial" w:hAnsi="Arial" w:cs="Arial"/>
              </w:rPr>
              <w:t xml:space="preserve"> 10、应具备前窗完全关闭后风机可继续工作功能，可自动降低下降风速方便再次使用；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880" w:type="dxa"/>
            <w:vMerge w:val="continue"/>
            <w:tcBorders>
              <w:left w:val="single" w:color="auto" w:sz="4" w:space="0"/>
              <w:right w:val="single" w:color="auto" w:sz="4" w:space="0"/>
            </w:tcBorders>
            <w:vAlign w:val="center"/>
          </w:tcPr>
          <w:p>
            <w:pPr>
              <w:widowControl/>
              <w:jc w:val="left"/>
              <w:rPr>
                <w:rFonts w:ascii="宋体" w:hAnsi="宋体" w:cs="宋体"/>
                <w:color w:val="FF0000"/>
                <w:kern w:val="0"/>
                <w:sz w:val="18"/>
                <w:szCs w:val="24"/>
              </w:rPr>
            </w:pPr>
          </w:p>
        </w:tc>
        <w:tc>
          <w:tcPr>
            <w:tcW w:w="1417" w:type="dxa"/>
            <w:vMerge w:val="continue"/>
            <w:tcBorders>
              <w:left w:val="single" w:color="auto" w:sz="4" w:space="0"/>
              <w:right w:val="single" w:color="auto" w:sz="4" w:space="0"/>
            </w:tcBorders>
          </w:tcPr>
          <w:p>
            <w:pPr>
              <w:widowControl/>
              <w:jc w:val="left"/>
              <w:rPr>
                <w:rFonts w:ascii="宋体" w:hAnsi="宋体" w:cs="宋体"/>
                <w:color w:val="000000"/>
                <w:kern w:val="0"/>
                <w:sz w:val="18"/>
                <w:szCs w:val="24"/>
              </w:rPr>
            </w:pPr>
          </w:p>
        </w:tc>
        <w:tc>
          <w:tcPr>
            <w:tcW w:w="6672" w:type="dxa"/>
            <w:tcBorders>
              <w:top w:val="single" w:color="auto" w:sz="4" w:space="0"/>
              <w:left w:val="single" w:color="auto" w:sz="4" w:space="0"/>
              <w:bottom w:val="single" w:color="auto" w:sz="4" w:space="0"/>
              <w:right w:val="single" w:color="auto" w:sz="4" w:space="0"/>
            </w:tcBorders>
          </w:tcPr>
          <w:p>
            <w:pPr>
              <w:rPr>
                <w:rFonts w:ascii="Arial" w:hAnsi="Arial" w:cs="Arial"/>
              </w:rPr>
            </w:pPr>
            <w:r>
              <w:rPr>
                <w:rFonts w:ascii="Arial" w:hAnsi="Arial" w:cs="Arial"/>
              </w:rPr>
              <w:t xml:space="preserve"> 11、应具备数字式气流确认补偿系统，设置独立设计的风压式传感系统能检测排出和下降气腔内的压力变化并自动校正补偿；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880" w:type="dxa"/>
            <w:vMerge w:val="continue"/>
            <w:tcBorders>
              <w:left w:val="single" w:color="auto" w:sz="4" w:space="0"/>
              <w:right w:val="single" w:color="auto" w:sz="4" w:space="0"/>
            </w:tcBorders>
            <w:vAlign w:val="center"/>
          </w:tcPr>
          <w:p>
            <w:pPr>
              <w:widowControl/>
              <w:jc w:val="left"/>
              <w:rPr>
                <w:rFonts w:ascii="宋体" w:hAnsi="宋体" w:cs="宋体"/>
                <w:color w:val="FF0000"/>
                <w:kern w:val="0"/>
                <w:sz w:val="18"/>
                <w:szCs w:val="24"/>
              </w:rPr>
            </w:pPr>
          </w:p>
        </w:tc>
        <w:tc>
          <w:tcPr>
            <w:tcW w:w="1417" w:type="dxa"/>
            <w:vMerge w:val="continue"/>
            <w:tcBorders>
              <w:left w:val="single" w:color="auto" w:sz="4" w:space="0"/>
              <w:right w:val="single" w:color="auto" w:sz="4" w:space="0"/>
            </w:tcBorders>
          </w:tcPr>
          <w:p>
            <w:pPr>
              <w:widowControl/>
              <w:jc w:val="left"/>
              <w:rPr>
                <w:rFonts w:ascii="宋体" w:hAnsi="宋体" w:cs="宋体"/>
                <w:color w:val="000000"/>
                <w:kern w:val="0"/>
                <w:sz w:val="18"/>
                <w:szCs w:val="24"/>
              </w:rPr>
            </w:pPr>
          </w:p>
        </w:tc>
        <w:tc>
          <w:tcPr>
            <w:tcW w:w="6672" w:type="dxa"/>
            <w:tcBorders>
              <w:top w:val="single" w:color="auto" w:sz="4" w:space="0"/>
              <w:left w:val="single" w:color="auto" w:sz="4" w:space="0"/>
              <w:bottom w:val="single" w:color="auto" w:sz="4" w:space="0"/>
              <w:right w:val="single" w:color="auto" w:sz="4" w:space="0"/>
            </w:tcBorders>
          </w:tcPr>
          <w:p>
            <w:pPr>
              <w:rPr>
                <w:rFonts w:ascii="Arial" w:hAnsi="Arial" w:cs="Arial"/>
              </w:rPr>
            </w:pPr>
            <w:r>
              <w:rPr>
                <w:rFonts w:ascii="Arial" w:hAnsi="Arial" w:cs="Arial"/>
              </w:rPr>
              <w:t xml:space="preserve"> 12、风速报警应满足当进气/排气或下降气流速度变化量达到20% 时，报警器发出信号提醒用户；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880" w:type="dxa"/>
            <w:vMerge w:val="continue"/>
            <w:tcBorders>
              <w:left w:val="single" w:color="auto" w:sz="4" w:space="0"/>
              <w:right w:val="single" w:color="auto" w:sz="4" w:space="0"/>
            </w:tcBorders>
            <w:vAlign w:val="center"/>
          </w:tcPr>
          <w:p>
            <w:pPr>
              <w:widowControl/>
              <w:jc w:val="left"/>
              <w:rPr>
                <w:rFonts w:ascii="宋体" w:hAnsi="宋体" w:cs="宋体"/>
                <w:color w:val="FF0000"/>
                <w:kern w:val="0"/>
                <w:sz w:val="18"/>
                <w:szCs w:val="24"/>
              </w:rPr>
            </w:pPr>
          </w:p>
        </w:tc>
        <w:tc>
          <w:tcPr>
            <w:tcW w:w="1417" w:type="dxa"/>
            <w:vMerge w:val="continue"/>
            <w:tcBorders>
              <w:left w:val="single" w:color="auto" w:sz="4" w:space="0"/>
              <w:right w:val="single" w:color="auto" w:sz="4" w:space="0"/>
            </w:tcBorders>
          </w:tcPr>
          <w:p>
            <w:pPr>
              <w:widowControl/>
              <w:jc w:val="left"/>
              <w:rPr>
                <w:rFonts w:ascii="宋体" w:hAnsi="宋体" w:cs="宋体"/>
                <w:color w:val="000000"/>
                <w:kern w:val="0"/>
                <w:sz w:val="18"/>
                <w:szCs w:val="24"/>
              </w:rPr>
            </w:pPr>
          </w:p>
        </w:tc>
        <w:tc>
          <w:tcPr>
            <w:tcW w:w="6672" w:type="dxa"/>
            <w:tcBorders>
              <w:top w:val="single" w:color="auto" w:sz="4" w:space="0"/>
              <w:left w:val="single" w:color="auto" w:sz="4" w:space="0"/>
              <w:bottom w:val="single" w:color="auto" w:sz="4" w:space="0"/>
              <w:right w:val="single" w:color="auto" w:sz="4" w:space="0"/>
            </w:tcBorders>
          </w:tcPr>
          <w:p>
            <w:pPr>
              <w:rPr>
                <w:rFonts w:ascii="Arial" w:hAnsi="Arial" w:cs="Arial"/>
              </w:rPr>
            </w:pPr>
            <w:r>
              <w:rPr>
                <w:rFonts w:ascii="Arial" w:hAnsi="Arial" w:cs="Arial"/>
              </w:rPr>
              <w:t xml:space="preserve"> 13、可实现远程报警，具备自动报警功能，可对不正常气流报警及玻璃门位置报警；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880" w:type="dxa"/>
            <w:vMerge w:val="continue"/>
            <w:tcBorders>
              <w:left w:val="single" w:color="auto" w:sz="4" w:space="0"/>
              <w:right w:val="single" w:color="auto" w:sz="4" w:space="0"/>
            </w:tcBorders>
            <w:vAlign w:val="center"/>
          </w:tcPr>
          <w:p>
            <w:pPr>
              <w:widowControl/>
              <w:jc w:val="left"/>
              <w:rPr>
                <w:rFonts w:ascii="宋体" w:hAnsi="宋体" w:cs="宋体"/>
                <w:color w:val="FF0000"/>
                <w:kern w:val="0"/>
                <w:sz w:val="18"/>
                <w:szCs w:val="24"/>
              </w:rPr>
            </w:pPr>
          </w:p>
        </w:tc>
        <w:tc>
          <w:tcPr>
            <w:tcW w:w="1417" w:type="dxa"/>
            <w:vMerge w:val="continue"/>
            <w:tcBorders>
              <w:left w:val="single" w:color="auto" w:sz="4" w:space="0"/>
              <w:right w:val="single" w:color="auto" w:sz="4" w:space="0"/>
            </w:tcBorders>
          </w:tcPr>
          <w:p>
            <w:pPr>
              <w:widowControl/>
              <w:jc w:val="left"/>
              <w:rPr>
                <w:rFonts w:ascii="宋体" w:hAnsi="宋体" w:cs="宋体"/>
                <w:color w:val="000000"/>
                <w:kern w:val="0"/>
                <w:sz w:val="18"/>
                <w:szCs w:val="24"/>
              </w:rPr>
            </w:pPr>
          </w:p>
        </w:tc>
        <w:tc>
          <w:tcPr>
            <w:tcW w:w="6672" w:type="dxa"/>
            <w:tcBorders>
              <w:top w:val="single" w:color="auto" w:sz="4" w:space="0"/>
              <w:left w:val="single" w:color="auto" w:sz="4" w:space="0"/>
              <w:bottom w:val="single" w:color="auto" w:sz="4" w:space="0"/>
              <w:right w:val="single" w:color="auto" w:sz="4" w:space="0"/>
            </w:tcBorders>
          </w:tcPr>
          <w:p>
            <w:pPr>
              <w:rPr>
                <w:rFonts w:ascii="Arial" w:hAnsi="Arial" w:cs="Arial"/>
              </w:rPr>
            </w:pPr>
            <w:r>
              <w:rPr>
                <w:rFonts w:ascii="Arial" w:hAnsi="Arial" w:cs="Arial"/>
              </w:rPr>
              <w:t xml:space="preserve"> 14、▲前窗具有10°倾斜设计，具备声光报警功能；倾斜前窗应采用防止紊流设计；下降气流过滤器应采用倾斜设计，防止紊流</w:t>
            </w:r>
            <w:r>
              <w:rPr>
                <w:rFonts w:hint="eastAsia" w:ascii="宋体" w:hAnsi="宋体"/>
                <w:szCs w:val="21"/>
              </w:rPr>
              <w:t>，要求提供厂家盖章证明文件；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880" w:type="dxa"/>
            <w:vMerge w:val="continue"/>
            <w:tcBorders>
              <w:left w:val="single" w:color="auto" w:sz="4" w:space="0"/>
              <w:right w:val="single" w:color="auto" w:sz="4" w:space="0"/>
            </w:tcBorders>
            <w:vAlign w:val="center"/>
          </w:tcPr>
          <w:p>
            <w:pPr>
              <w:widowControl/>
              <w:jc w:val="left"/>
              <w:rPr>
                <w:rFonts w:ascii="宋体" w:hAnsi="宋体" w:cs="宋体"/>
                <w:color w:val="FF0000"/>
                <w:kern w:val="0"/>
                <w:sz w:val="18"/>
                <w:szCs w:val="24"/>
              </w:rPr>
            </w:pPr>
          </w:p>
        </w:tc>
        <w:tc>
          <w:tcPr>
            <w:tcW w:w="1417" w:type="dxa"/>
            <w:vMerge w:val="continue"/>
            <w:tcBorders>
              <w:left w:val="single" w:color="auto" w:sz="4" w:space="0"/>
              <w:right w:val="single" w:color="auto" w:sz="4" w:space="0"/>
            </w:tcBorders>
          </w:tcPr>
          <w:p>
            <w:pPr>
              <w:widowControl/>
              <w:jc w:val="left"/>
              <w:rPr>
                <w:rFonts w:ascii="宋体" w:hAnsi="宋体" w:cs="宋体"/>
                <w:color w:val="000000"/>
                <w:kern w:val="0"/>
                <w:sz w:val="18"/>
                <w:szCs w:val="24"/>
              </w:rPr>
            </w:pPr>
          </w:p>
        </w:tc>
        <w:tc>
          <w:tcPr>
            <w:tcW w:w="6672" w:type="dxa"/>
            <w:tcBorders>
              <w:top w:val="single" w:color="auto" w:sz="4" w:space="0"/>
              <w:left w:val="single" w:color="auto" w:sz="4" w:space="0"/>
              <w:bottom w:val="single" w:color="auto" w:sz="4" w:space="0"/>
              <w:right w:val="single" w:color="auto" w:sz="4" w:space="0"/>
            </w:tcBorders>
          </w:tcPr>
          <w:p>
            <w:pPr>
              <w:rPr>
                <w:rFonts w:ascii="Arial" w:hAnsi="Arial" w:cs="Arial"/>
              </w:rPr>
            </w:pPr>
            <w:r>
              <w:rPr>
                <w:rFonts w:ascii="Arial" w:hAnsi="Arial" w:cs="Arial"/>
              </w:rPr>
              <w:t xml:space="preserve"> 15、▲应具有前窗清洗位置设计，</w:t>
            </w:r>
            <w:r>
              <w:rPr>
                <w:rFonts w:hint="eastAsia" w:ascii="Arial" w:hAnsi="Arial" w:cs="Arial"/>
              </w:rPr>
              <w:t>玻璃</w:t>
            </w:r>
            <w:r>
              <w:rPr>
                <w:rFonts w:ascii="Arial" w:hAnsi="Arial" w:cs="Arial"/>
              </w:rPr>
              <w:t>前窗可降低到工作台面下方，</w:t>
            </w:r>
            <w:r>
              <w:rPr>
                <w:rFonts w:hint="eastAsia" w:ascii="Arial" w:hAnsi="Arial" w:cs="Arial"/>
              </w:rPr>
              <w:t>下降</w:t>
            </w:r>
            <w:r>
              <w:rPr>
                <w:rFonts w:ascii="Arial" w:hAnsi="Arial" w:cs="Arial"/>
              </w:rPr>
              <w:t>高度≥25cm，</w:t>
            </w:r>
            <w:r>
              <w:rPr>
                <w:rFonts w:hint="eastAsia" w:ascii="Arial" w:hAnsi="Arial" w:cs="Arial"/>
              </w:rPr>
              <w:t>以便于</w:t>
            </w:r>
            <w:r>
              <w:rPr>
                <w:rFonts w:ascii="Arial" w:hAnsi="Arial" w:cs="Arial"/>
              </w:rPr>
              <w:t>清洗</w:t>
            </w:r>
            <w:r>
              <w:rPr>
                <w:rFonts w:hint="eastAsia" w:ascii="Arial" w:hAnsi="Arial" w:cs="Arial"/>
              </w:rPr>
              <w:t>前窗的</w:t>
            </w:r>
            <w:r>
              <w:rPr>
                <w:rFonts w:ascii="Arial" w:hAnsi="Arial" w:cs="Arial"/>
              </w:rPr>
              <w:t>上半部分</w:t>
            </w:r>
            <w:r>
              <w:rPr>
                <w:rFonts w:hint="eastAsia" w:ascii="Arial" w:hAnsi="Arial" w:cs="Arial"/>
              </w:rPr>
              <w:t>及更换灯管</w:t>
            </w:r>
            <w:r>
              <w:rPr>
                <w:rFonts w:hint="eastAsia" w:ascii="宋体" w:hAnsi="宋体"/>
                <w:szCs w:val="21"/>
              </w:rPr>
              <w:t>，要求提供厂家盖章证明文件；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880" w:type="dxa"/>
            <w:vMerge w:val="continue"/>
            <w:tcBorders>
              <w:left w:val="single" w:color="auto" w:sz="4" w:space="0"/>
              <w:right w:val="single" w:color="auto" w:sz="4" w:space="0"/>
            </w:tcBorders>
            <w:vAlign w:val="center"/>
          </w:tcPr>
          <w:p>
            <w:pPr>
              <w:widowControl/>
              <w:jc w:val="left"/>
              <w:rPr>
                <w:rFonts w:ascii="宋体" w:hAnsi="宋体" w:cs="宋体"/>
                <w:color w:val="FF0000"/>
                <w:kern w:val="0"/>
                <w:sz w:val="18"/>
                <w:szCs w:val="24"/>
              </w:rPr>
            </w:pPr>
          </w:p>
        </w:tc>
        <w:tc>
          <w:tcPr>
            <w:tcW w:w="1417" w:type="dxa"/>
            <w:vMerge w:val="continue"/>
            <w:tcBorders>
              <w:left w:val="single" w:color="auto" w:sz="4" w:space="0"/>
              <w:right w:val="single" w:color="auto" w:sz="4" w:space="0"/>
            </w:tcBorders>
          </w:tcPr>
          <w:p>
            <w:pPr>
              <w:widowControl/>
              <w:jc w:val="left"/>
              <w:rPr>
                <w:rFonts w:ascii="宋体" w:hAnsi="宋体" w:cs="宋体"/>
                <w:color w:val="000000"/>
                <w:kern w:val="0"/>
                <w:sz w:val="18"/>
                <w:szCs w:val="24"/>
              </w:rPr>
            </w:pPr>
          </w:p>
        </w:tc>
        <w:tc>
          <w:tcPr>
            <w:tcW w:w="6672" w:type="dxa"/>
            <w:tcBorders>
              <w:top w:val="single" w:color="auto" w:sz="4" w:space="0"/>
              <w:left w:val="single" w:color="auto" w:sz="4" w:space="0"/>
              <w:bottom w:val="single" w:color="auto" w:sz="4" w:space="0"/>
              <w:right w:val="single" w:color="auto" w:sz="4" w:space="0"/>
            </w:tcBorders>
          </w:tcPr>
          <w:p>
            <w:pPr>
              <w:rPr>
                <w:rFonts w:ascii="Arial" w:hAnsi="Arial" w:cs="Arial"/>
              </w:rPr>
            </w:pPr>
            <w:r>
              <w:rPr>
                <w:rFonts w:ascii="Arial" w:hAnsi="Arial" w:cs="Arial"/>
              </w:rPr>
              <w:t xml:space="preserve"> 16、前窗开口探头数量≥2个,确保其中一个探头发生故障时安全柜前窗开口处于安全位置；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880" w:type="dxa"/>
            <w:vMerge w:val="continue"/>
            <w:tcBorders>
              <w:left w:val="single" w:color="auto" w:sz="4" w:space="0"/>
              <w:right w:val="single" w:color="auto" w:sz="4" w:space="0"/>
            </w:tcBorders>
            <w:vAlign w:val="center"/>
          </w:tcPr>
          <w:p>
            <w:pPr>
              <w:widowControl/>
              <w:jc w:val="left"/>
              <w:rPr>
                <w:rFonts w:ascii="宋体" w:hAnsi="宋体" w:cs="宋体"/>
                <w:color w:val="FF0000"/>
                <w:kern w:val="0"/>
                <w:sz w:val="18"/>
                <w:szCs w:val="24"/>
              </w:rPr>
            </w:pPr>
          </w:p>
        </w:tc>
        <w:tc>
          <w:tcPr>
            <w:tcW w:w="1417" w:type="dxa"/>
            <w:vMerge w:val="continue"/>
            <w:tcBorders>
              <w:left w:val="single" w:color="auto" w:sz="4" w:space="0"/>
              <w:right w:val="single" w:color="auto" w:sz="4" w:space="0"/>
            </w:tcBorders>
          </w:tcPr>
          <w:p>
            <w:pPr>
              <w:widowControl/>
              <w:jc w:val="left"/>
              <w:rPr>
                <w:rFonts w:ascii="宋体" w:hAnsi="宋体" w:cs="宋体"/>
                <w:color w:val="000000"/>
                <w:kern w:val="0"/>
                <w:sz w:val="18"/>
                <w:szCs w:val="24"/>
              </w:rPr>
            </w:pPr>
          </w:p>
        </w:tc>
        <w:tc>
          <w:tcPr>
            <w:tcW w:w="6672" w:type="dxa"/>
            <w:tcBorders>
              <w:top w:val="single" w:color="auto" w:sz="4" w:space="0"/>
              <w:left w:val="single" w:color="auto" w:sz="4" w:space="0"/>
              <w:bottom w:val="single" w:color="auto" w:sz="4" w:space="0"/>
              <w:right w:val="single" w:color="auto" w:sz="4" w:space="0"/>
            </w:tcBorders>
          </w:tcPr>
          <w:p>
            <w:pPr>
              <w:rPr>
                <w:rFonts w:ascii="Arial" w:hAnsi="Arial" w:cs="Arial"/>
              </w:rPr>
            </w:pPr>
            <w:r>
              <w:rPr>
                <w:rFonts w:ascii="Arial" w:hAnsi="Arial" w:cs="Arial"/>
              </w:rPr>
              <w:t xml:space="preserve"> 17、控制面板信息至少包括时间显示，风速显示，总工作时间显示，定时器，UV灯工作时间，错误报告等性能参数；UV灯管可定时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880" w:type="dxa"/>
            <w:vMerge w:val="continue"/>
            <w:tcBorders>
              <w:top w:val="nil"/>
              <w:left w:val="single" w:color="auto" w:sz="4" w:space="0"/>
              <w:right w:val="single" w:color="auto" w:sz="4" w:space="0"/>
            </w:tcBorders>
            <w:vAlign w:val="center"/>
          </w:tcPr>
          <w:p>
            <w:pPr>
              <w:widowControl/>
              <w:jc w:val="left"/>
              <w:rPr>
                <w:rFonts w:ascii="宋体" w:hAnsi="宋体" w:cs="宋体"/>
                <w:color w:val="FF0000"/>
                <w:kern w:val="0"/>
                <w:sz w:val="18"/>
                <w:szCs w:val="24"/>
              </w:rPr>
            </w:pPr>
          </w:p>
        </w:tc>
        <w:tc>
          <w:tcPr>
            <w:tcW w:w="1417" w:type="dxa"/>
            <w:vMerge w:val="continue"/>
            <w:tcBorders>
              <w:top w:val="nil"/>
              <w:left w:val="single" w:color="auto" w:sz="4" w:space="0"/>
              <w:right w:val="single" w:color="auto" w:sz="4" w:space="0"/>
            </w:tcBorders>
          </w:tcPr>
          <w:p>
            <w:pPr>
              <w:widowControl/>
              <w:jc w:val="left"/>
              <w:rPr>
                <w:rFonts w:ascii="宋体" w:hAnsi="宋体" w:cs="宋体"/>
                <w:color w:val="000000"/>
                <w:kern w:val="0"/>
                <w:sz w:val="18"/>
                <w:szCs w:val="24"/>
              </w:rPr>
            </w:pPr>
          </w:p>
        </w:tc>
        <w:tc>
          <w:tcPr>
            <w:tcW w:w="6672" w:type="dxa"/>
            <w:tcBorders>
              <w:top w:val="single" w:color="auto" w:sz="4" w:space="0"/>
              <w:left w:val="single" w:color="auto" w:sz="4" w:space="0"/>
              <w:bottom w:val="single" w:color="auto" w:sz="4" w:space="0"/>
              <w:right w:val="single" w:color="auto" w:sz="4" w:space="0"/>
            </w:tcBorders>
          </w:tcPr>
          <w:p>
            <w:pPr>
              <w:rPr>
                <w:rFonts w:ascii="Arial" w:hAnsi="Arial" w:cs="Arial"/>
              </w:rPr>
            </w:pPr>
            <w:r>
              <w:rPr>
                <w:rFonts w:ascii="Arial" w:hAnsi="Arial" w:cs="Arial"/>
              </w:rPr>
              <w:t xml:space="preserve"> 18、应具备不同颜色灯可显示安全柜总体运行状态，包括：正常使用，需要注意，需要等待，长需要维护等状态；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880" w:type="dxa"/>
            <w:vMerge w:val="continue"/>
            <w:tcBorders>
              <w:top w:val="nil"/>
              <w:left w:val="single" w:color="auto" w:sz="4" w:space="0"/>
              <w:right w:val="single" w:color="auto" w:sz="4" w:space="0"/>
            </w:tcBorders>
            <w:vAlign w:val="center"/>
          </w:tcPr>
          <w:p>
            <w:pPr>
              <w:widowControl/>
              <w:jc w:val="left"/>
              <w:rPr>
                <w:rFonts w:ascii="宋体" w:hAnsi="宋体" w:cs="宋体"/>
                <w:color w:val="FF0000"/>
                <w:kern w:val="0"/>
                <w:sz w:val="18"/>
                <w:szCs w:val="24"/>
              </w:rPr>
            </w:pPr>
          </w:p>
        </w:tc>
        <w:tc>
          <w:tcPr>
            <w:tcW w:w="1417" w:type="dxa"/>
            <w:vMerge w:val="continue"/>
            <w:tcBorders>
              <w:top w:val="nil"/>
              <w:left w:val="single" w:color="auto" w:sz="4" w:space="0"/>
              <w:right w:val="single" w:color="auto" w:sz="4" w:space="0"/>
            </w:tcBorders>
          </w:tcPr>
          <w:p>
            <w:pPr>
              <w:widowControl/>
              <w:jc w:val="left"/>
              <w:rPr>
                <w:rFonts w:ascii="宋体" w:hAnsi="宋体" w:cs="宋体"/>
                <w:color w:val="000000"/>
                <w:kern w:val="0"/>
                <w:sz w:val="18"/>
                <w:szCs w:val="24"/>
              </w:rPr>
            </w:pPr>
          </w:p>
        </w:tc>
        <w:tc>
          <w:tcPr>
            <w:tcW w:w="6672" w:type="dxa"/>
            <w:tcBorders>
              <w:top w:val="single" w:color="auto" w:sz="4" w:space="0"/>
              <w:left w:val="single" w:color="auto" w:sz="4" w:space="0"/>
              <w:bottom w:val="single" w:color="auto" w:sz="4" w:space="0"/>
              <w:right w:val="single" w:color="auto" w:sz="4" w:space="0"/>
            </w:tcBorders>
          </w:tcPr>
          <w:p>
            <w:pPr>
              <w:rPr>
                <w:rFonts w:ascii="Arial" w:hAnsi="Arial" w:cs="Arial"/>
              </w:rPr>
            </w:pPr>
            <w:r>
              <w:rPr>
                <w:rFonts w:ascii="Arial" w:hAnsi="Arial" w:cs="Arial"/>
              </w:rPr>
              <w:t xml:space="preserve"> 19、前窗玻璃材料应采用双层贴膜高强度安全防紫外线防爆玻璃，即使发生破裂，玻璃碎片将吸附在贴膜上不会发生飞溅，防止人身伤害；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880" w:type="dxa"/>
            <w:vMerge w:val="continue"/>
            <w:tcBorders>
              <w:top w:val="nil"/>
              <w:left w:val="single" w:color="auto" w:sz="4" w:space="0"/>
              <w:right w:val="single" w:color="auto" w:sz="4" w:space="0"/>
            </w:tcBorders>
            <w:vAlign w:val="center"/>
          </w:tcPr>
          <w:p>
            <w:pPr>
              <w:widowControl/>
              <w:jc w:val="left"/>
              <w:rPr>
                <w:rFonts w:ascii="宋体" w:hAnsi="宋体" w:cs="宋体"/>
                <w:color w:val="FF0000"/>
                <w:kern w:val="0"/>
                <w:sz w:val="18"/>
                <w:szCs w:val="24"/>
              </w:rPr>
            </w:pPr>
          </w:p>
        </w:tc>
        <w:tc>
          <w:tcPr>
            <w:tcW w:w="1417" w:type="dxa"/>
            <w:vMerge w:val="continue"/>
            <w:tcBorders>
              <w:top w:val="nil"/>
              <w:left w:val="single" w:color="auto" w:sz="4" w:space="0"/>
              <w:right w:val="single" w:color="auto" w:sz="4" w:space="0"/>
            </w:tcBorders>
          </w:tcPr>
          <w:p>
            <w:pPr>
              <w:widowControl/>
              <w:jc w:val="left"/>
              <w:rPr>
                <w:rFonts w:ascii="宋体" w:hAnsi="宋体" w:cs="宋体"/>
                <w:color w:val="000000"/>
                <w:kern w:val="0"/>
                <w:sz w:val="18"/>
                <w:szCs w:val="24"/>
              </w:rPr>
            </w:pPr>
          </w:p>
        </w:tc>
        <w:tc>
          <w:tcPr>
            <w:tcW w:w="6672" w:type="dxa"/>
            <w:tcBorders>
              <w:top w:val="single" w:color="auto" w:sz="4" w:space="0"/>
              <w:left w:val="single" w:color="auto" w:sz="4" w:space="0"/>
              <w:bottom w:val="single" w:color="auto" w:sz="4" w:space="0"/>
              <w:right w:val="single" w:color="auto" w:sz="4" w:space="0"/>
            </w:tcBorders>
          </w:tcPr>
          <w:p>
            <w:pPr>
              <w:rPr>
                <w:rFonts w:ascii="Arial" w:hAnsi="Arial" w:cs="Arial"/>
              </w:rPr>
            </w:pPr>
            <w:r>
              <w:rPr>
                <w:rFonts w:ascii="Arial" w:hAnsi="Arial" w:cs="Arial"/>
              </w:rPr>
              <w:t xml:space="preserve"> 20、运行时功耗应≤450W，节能模式≤70W；噪音应低于67dB；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880" w:type="dxa"/>
            <w:vMerge w:val="continue"/>
            <w:tcBorders>
              <w:top w:val="nil"/>
              <w:left w:val="single" w:color="auto" w:sz="4" w:space="0"/>
              <w:right w:val="single" w:color="auto" w:sz="4" w:space="0"/>
            </w:tcBorders>
            <w:vAlign w:val="center"/>
          </w:tcPr>
          <w:p>
            <w:pPr>
              <w:widowControl/>
              <w:jc w:val="left"/>
              <w:rPr>
                <w:rFonts w:ascii="宋体" w:hAnsi="宋体" w:cs="宋体"/>
                <w:color w:val="FF0000"/>
                <w:kern w:val="0"/>
                <w:sz w:val="18"/>
                <w:szCs w:val="24"/>
              </w:rPr>
            </w:pPr>
          </w:p>
        </w:tc>
        <w:tc>
          <w:tcPr>
            <w:tcW w:w="1417" w:type="dxa"/>
            <w:vMerge w:val="continue"/>
            <w:tcBorders>
              <w:top w:val="nil"/>
              <w:left w:val="single" w:color="auto" w:sz="4" w:space="0"/>
              <w:right w:val="single" w:color="auto" w:sz="4" w:space="0"/>
            </w:tcBorders>
          </w:tcPr>
          <w:p>
            <w:pPr>
              <w:widowControl/>
              <w:jc w:val="left"/>
              <w:rPr>
                <w:rFonts w:ascii="宋体" w:hAnsi="宋体" w:cs="宋体"/>
                <w:color w:val="000000"/>
                <w:kern w:val="0"/>
                <w:sz w:val="18"/>
                <w:szCs w:val="24"/>
              </w:rPr>
            </w:pPr>
          </w:p>
        </w:tc>
        <w:tc>
          <w:tcPr>
            <w:tcW w:w="6672" w:type="dxa"/>
            <w:tcBorders>
              <w:top w:val="single" w:color="auto" w:sz="4" w:space="0"/>
              <w:left w:val="single" w:color="auto" w:sz="4" w:space="0"/>
              <w:bottom w:val="single" w:color="auto" w:sz="4" w:space="0"/>
              <w:right w:val="single" w:color="auto" w:sz="4" w:space="0"/>
            </w:tcBorders>
          </w:tcPr>
          <w:p>
            <w:pPr>
              <w:rPr>
                <w:rFonts w:ascii="Arial" w:hAnsi="Arial" w:cs="Arial"/>
              </w:rPr>
            </w:pPr>
            <w:r>
              <w:rPr>
                <w:rFonts w:ascii="Arial" w:hAnsi="Arial" w:cs="Arial"/>
              </w:rPr>
              <w:t xml:space="preserve"> 21、</w:t>
            </w:r>
            <w:r>
              <w:rPr>
                <w:rFonts w:hint="eastAsia" w:ascii="Arial" w:hAnsi="Arial" w:cs="Arial"/>
              </w:rPr>
              <w:t>生产厂家在广州或深圳需具备分公司及零备件仓库</w:t>
            </w:r>
            <w:r>
              <w:rPr>
                <w:rFonts w:ascii="Arial" w:hAnsi="Arial"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880" w:type="dxa"/>
            <w:vMerge w:val="continue"/>
            <w:tcBorders>
              <w:top w:val="nil"/>
              <w:left w:val="single" w:color="auto" w:sz="4" w:space="0"/>
              <w:right w:val="single" w:color="auto" w:sz="4" w:space="0"/>
            </w:tcBorders>
            <w:vAlign w:val="center"/>
          </w:tcPr>
          <w:p>
            <w:pPr>
              <w:widowControl/>
              <w:jc w:val="left"/>
              <w:rPr>
                <w:rFonts w:ascii="宋体" w:hAnsi="宋体" w:cs="宋体"/>
                <w:color w:val="FF0000"/>
                <w:kern w:val="0"/>
                <w:sz w:val="18"/>
                <w:szCs w:val="24"/>
              </w:rPr>
            </w:pPr>
          </w:p>
        </w:tc>
        <w:tc>
          <w:tcPr>
            <w:tcW w:w="1417" w:type="dxa"/>
            <w:vMerge w:val="continue"/>
            <w:tcBorders>
              <w:top w:val="nil"/>
              <w:left w:val="single" w:color="auto" w:sz="4" w:space="0"/>
              <w:right w:val="single" w:color="auto" w:sz="4" w:space="0"/>
            </w:tcBorders>
          </w:tcPr>
          <w:p>
            <w:pPr>
              <w:widowControl/>
              <w:jc w:val="left"/>
              <w:rPr>
                <w:rFonts w:ascii="宋体" w:hAnsi="宋体" w:cs="宋体"/>
                <w:color w:val="000000"/>
                <w:kern w:val="0"/>
                <w:sz w:val="18"/>
                <w:szCs w:val="24"/>
              </w:rPr>
            </w:pPr>
          </w:p>
        </w:tc>
        <w:tc>
          <w:tcPr>
            <w:tcW w:w="6672" w:type="dxa"/>
            <w:tcBorders>
              <w:top w:val="single" w:color="auto" w:sz="4" w:space="0"/>
              <w:left w:val="single" w:color="auto" w:sz="4" w:space="0"/>
              <w:bottom w:val="single" w:color="auto" w:sz="4" w:space="0"/>
              <w:right w:val="single" w:color="auto" w:sz="4" w:space="0"/>
            </w:tcBorders>
          </w:tcPr>
          <w:p>
            <w:pPr>
              <w:rPr>
                <w:rFonts w:ascii="Arial" w:hAnsi="Arial" w:cs="Arial"/>
              </w:rPr>
            </w:pPr>
            <w:r>
              <w:rPr>
                <w:rFonts w:ascii="Arial" w:hAnsi="Arial" w:cs="Arial"/>
              </w:rPr>
              <w:t xml:space="preserve"> 22、应通过NSF49或UL相关认证；</w:t>
            </w:r>
          </w:p>
        </w:tc>
      </w:tr>
    </w:tbl>
    <w:p>
      <w:bookmarkStart w:id="0" w:name="_GoBack"/>
      <w:bookmarkEnd w:id="0"/>
    </w:p>
    <w:sectPr>
      <w:head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single" w:color="auto" w:sz="6" w:space="5"/>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I1MWEyMGIzYTE3OWQ3ZjQyNWUyYmExMWRlMzAzZjgifQ=="/>
  </w:docVars>
  <w:rsids>
    <w:rsidRoot w:val="000755A7"/>
    <w:rsid w:val="0001589D"/>
    <w:rsid w:val="0002107A"/>
    <w:rsid w:val="0004144F"/>
    <w:rsid w:val="00042780"/>
    <w:rsid w:val="000450F3"/>
    <w:rsid w:val="00054984"/>
    <w:rsid w:val="000572B4"/>
    <w:rsid w:val="000708B3"/>
    <w:rsid w:val="000755A7"/>
    <w:rsid w:val="000757EC"/>
    <w:rsid w:val="0007781B"/>
    <w:rsid w:val="00086BFA"/>
    <w:rsid w:val="000C5D89"/>
    <w:rsid w:val="000F719D"/>
    <w:rsid w:val="00106FC0"/>
    <w:rsid w:val="00140CB5"/>
    <w:rsid w:val="001717BE"/>
    <w:rsid w:val="001865CE"/>
    <w:rsid w:val="00196EB3"/>
    <w:rsid w:val="001B2305"/>
    <w:rsid w:val="001B71B6"/>
    <w:rsid w:val="001F107D"/>
    <w:rsid w:val="001F6D7F"/>
    <w:rsid w:val="00230D6C"/>
    <w:rsid w:val="00243C69"/>
    <w:rsid w:val="00252710"/>
    <w:rsid w:val="00266ED1"/>
    <w:rsid w:val="00282335"/>
    <w:rsid w:val="002A3F6F"/>
    <w:rsid w:val="002B2CCB"/>
    <w:rsid w:val="002C2F10"/>
    <w:rsid w:val="002C2F1D"/>
    <w:rsid w:val="002D45AC"/>
    <w:rsid w:val="002E6E30"/>
    <w:rsid w:val="002F3EF3"/>
    <w:rsid w:val="00316696"/>
    <w:rsid w:val="00347CFB"/>
    <w:rsid w:val="0035472A"/>
    <w:rsid w:val="00363780"/>
    <w:rsid w:val="003A4052"/>
    <w:rsid w:val="003B058E"/>
    <w:rsid w:val="003B422C"/>
    <w:rsid w:val="003E71E8"/>
    <w:rsid w:val="003F7B73"/>
    <w:rsid w:val="004279F1"/>
    <w:rsid w:val="004701D5"/>
    <w:rsid w:val="0047110A"/>
    <w:rsid w:val="00472B1D"/>
    <w:rsid w:val="00484C75"/>
    <w:rsid w:val="00496F80"/>
    <w:rsid w:val="004B2104"/>
    <w:rsid w:val="004C18B3"/>
    <w:rsid w:val="004F27EF"/>
    <w:rsid w:val="004F67B5"/>
    <w:rsid w:val="00501CE2"/>
    <w:rsid w:val="005300CE"/>
    <w:rsid w:val="00541C1B"/>
    <w:rsid w:val="00562703"/>
    <w:rsid w:val="00572E8C"/>
    <w:rsid w:val="005748D8"/>
    <w:rsid w:val="005800FD"/>
    <w:rsid w:val="00587704"/>
    <w:rsid w:val="00595649"/>
    <w:rsid w:val="005A5F60"/>
    <w:rsid w:val="005B61DF"/>
    <w:rsid w:val="005D2C41"/>
    <w:rsid w:val="005D321B"/>
    <w:rsid w:val="005D4874"/>
    <w:rsid w:val="005D6483"/>
    <w:rsid w:val="005E0690"/>
    <w:rsid w:val="005E3419"/>
    <w:rsid w:val="005E3BE4"/>
    <w:rsid w:val="005E3FA7"/>
    <w:rsid w:val="005F1EA2"/>
    <w:rsid w:val="005F3A11"/>
    <w:rsid w:val="0060159F"/>
    <w:rsid w:val="00610995"/>
    <w:rsid w:val="00626C12"/>
    <w:rsid w:val="006770AF"/>
    <w:rsid w:val="00691B06"/>
    <w:rsid w:val="00693EFC"/>
    <w:rsid w:val="006A11D9"/>
    <w:rsid w:val="006A288C"/>
    <w:rsid w:val="006B0C66"/>
    <w:rsid w:val="006C588B"/>
    <w:rsid w:val="00717F91"/>
    <w:rsid w:val="007200F6"/>
    <w:rsid w:val="00735787"/>
    <w:rsid w:val="00740184"/>
    <w:rsid w:val="00780327"/>
    <w:rsid w:val="00784343"/>
    <w:rsid w:val="00784E06"/>
    <w:rsid w:val="00792B30"/>
    <w:rsid w:val="007A0F68"/>
    <w:rsid w:val="007A759D"/>
    <w:rsid w:val="007D185C"/>
    <w:rsid w:val="007E6E54"/>
    <w:rsid w:val="0080435A"/>
    <w:rsid w:val="0080607E"/>
    <w:rsid w:val="00811878"/>
    <w:rsid w:val="00844DF7"/>
    <w:rsid w:val="00845B80"/>
    <w:rsid w:val="0086500B"/>
    <w:rsid w:val="008716FA"/>
    <w:rsid w:val="00872534"/>
    <w:rsid w:val="00872A3F"/>
    <w:rsid w:val="008753FC"/>
    <w:rsid w:val="008C15D4"/>
    <w:rsid w:val="008C1C01"/>
    <w:rsid w:val="008F0126"/>
    <w:rsid w:val="008F12CB"/>
    <w:rsid w:val="008F18CC"/>
    <w:rsid w:val="0090479D"/>
    <w:rsid w:val="009359CA"/>
    <w:rsid w:val="00941D0C"/>
    <w:rsid w:val="00943EDD"/>
    <w:rsid w:val="009443DB"/>
    <w:rsid w:val="009745FE"/>
    <w:rsid w:val="009971AB"/>
    <w:rsid w:val="009A1E72"/>
    <w:rsid w:val="009B1FCB"/>
    <w:rsid w:val="009B3BE0"/>
    <w:rsid w:val="009C0574"/>
    <w:rsid w:val="009D20B4"/>
    <w:rsid w:val="009D336C"/>
    <w:rsid w:val="009F0A32"/>
    <w:rsid w:val="009F1DD0"/>
    <w:rsid w:val="00A1059D"/>
    <w:rsid w:val="00A13D70"/>
    <w:rsid w:val="00A3134F"/>
    <w:rsid w:val="00A3352B"/>
    <w:rsid w:val="00A4271A"/>
    <w:rsid w:val="00A67A8B"/>
    <w:rsid w:val="00A73D5F"/>
    <w:rsid w:val="00A968D6"/>
    <w:rsid w:val="00AA117B"/>
    <w:rsid w:val="00AA7F9D"/>
    <w:rsid w:val="00AB6F1B"/>
    <w:rsid w:val="00AE5D03"/>
    <w:rsid w:val="00AF0522"/>
    <w:rsid w:val="00AF478E"/>
    <w:rsid w:val="00B20548"/>
    <w:rsid w:val="00B359F6"/>
    <w:rsid w:val="00B55A83"/>
    <w:rsid w:val="00BA4BDD"/>
    <w:rsid w:val="00BC41DE"/>
    <w:rsid w:val="00BD2436"/>
    <w:rsid w:val="00BD2B4E"/>
    <w:rsid w:val="00BE792B"/>
    <w:rsid w:val="00BF3D1B"/>
    <w:rsid w:val="00BF3EDA"/>
    <w:rsid w:val="00C018B9"/>
    <w:rsid w:val="00C06944"/>
    <w:rsid w:val="00C25775"/>
    <w:rsid w:val="00C272F3"/>
    <w:rsid w:val="00C90F83"/>
    <w:rsid w:val="00C97D2D"/>
    <w:rsid w:val="00CC3DE7"/>
    <w:rsid w:val="00CC7142"/>
    <w:rsid w:val="00D2585F"/>
    <w:rsid w:val="00D26149"/>
    <w:rsid w:val="00D4165D"/>
    <w:rsid w:val="00D50917"/>
    <w:rsid w:val="00D56DAA"/>
    <w:rsid w:val="00D61A89"/>
    <w:rsid w:val="00D659EB"/>
    <w:rsid w:val="00D7332F"/>
    <w:rsid w:val="00D75667"/>
    <w:rsid w:val="00D8611A"/>
    <w:rsid w:val="00D94087"/>
    <w:rsid w:val="00DA2808"/>
    <w:rsid w:val="00DA310E"/>
    <w:rsid w:val="00DC33DC"/>
    <w:rsid w:val="00DD74D6"/>
    <w:rsid w:val="00DE7A1E"/>
    <w:rsid w:val="00DF62BA"/>
    <w:rsid w:val="00E02D59"/>
    <w:rsid w:val="00E11C14"/>
    <w:rsid w:val="00E1534E"/>
    <w:rsid w:val="00E30DAD"/>
    <w:rsid w:val="00E34891"/>
    <w:rsid w:val="00E34E99"/>
    <w:rsid w:val="00E37D93"/>
    <w:rsid w:val="00E666A4"/>
    <w:rsid w:val="00EB39C2"/>
    <w:rsid w:val="00EF597D"/>
    <w:rsid w:val="00F019AF"/>
    <w:rsid w:val="00F25A53"/>
    <w:rsid w:val="00F265C7"/>
    <w:rsid w:val="00F302F9"/>
    <w:rsid w:val="00F307E9"/>
    <w:rsid w:val="00F31283"/>
    <w:rsid w:val="00F334F6"/>
    <w:rsid w:val="00F37FFC"/>
    <w:rsid w:val="00F67DFF"/>
    <w:rsid w:val="00F70F11"/>
    <w:rsid w:val="00F71A31"/>
    <w:rsid w:val="00F90B37"/>
    <w:rsid w:val="00FA3A03"/>
    <w:rsid w:val="00FA4352"/>
    <w:rsid w:val="00FC77E9"/>
    <w:rsid w:val="00FD18EE"/>
    <w:rsid w:val="00FF0A02"/>
    <w:rsid w:val="07A055A3"/>
    <w:rsid w:val="0B772224"/>
    <w:rsid w:val="1B456509"/>
    <w:rsid w:val="1F2D5E8D"/>
    <w:rsid w:val="207F1A91"/>
    <w:rsid w:val="22844D02"/>
    <w:rsid w:val="23BE4EBE"/>
    <w:rsid w:val="2FF60183"/>
    <w:rsid w:val="32DE582A"/>
    <w:rsid w:val="33A020AD"/>
    <w:rsid w:val="3C943783"/>
    <w:rsid w:val="3E6A4E0A"/>
    <w:rsid w:val="4AE2309F"/>
    <w:rsid w:val="4C59425E"/>
    <w:rsid w:val="4D452939"/>
    <w:rsid w:val="52391CBF"/>
    <w:rsid w:val="52FD76FC"/>
    <w:rsid w:val="5834531D"/>
    <w:rsid w:val="58A018D6"/>
    <w:rsid w:val="5FDA0788"/>
    <w:rsid w:val="6FBF173C"/>
    <w:rsid w:val="74124042"/>
    <w:rsid w:val="7857570F"/>
    <w:rsid w:val="7ACA06D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3"/>
    <w:next w:val="4"/>
    <w:link w:val="13"/>
    <w:qFormat/>
    <w:uiPriority w:val="0"/>
    <w:pPr>
      <w:adjustRightInd w:val="0"/>
      <w:spacing w:line="240" w:lineRule="auto"/>
      <w:jc w:val="center"/>
      <w:textAlignment w:val="baseline"/>
      <w:outlineLvl w:val="1"/>
    </w:pPr>
    <w:rPr>
      <w:rFonts w:ascii="宋体" w:hAnsi="宋体"/>
      <w:bCs w:val="0"/>
      <w:kern w:val="0"/>
      <w:sz w:val="24"/>
      <w:szCs w:val="20"/>
    </w:rPr>
  </w:style>
  <w:style w:type="paragraph" w:styleId="3">
    <w:name w:val="heading 3"/>
    <w:basedOn w:val="1"/>
    <w:next w:val="1"/>
    <w:qFormat/>
    <w:uiPriority w:val="0"/>
    <w:pPr>
      <w:keepNext/>
      <w:keepLines/>
      <w:spacing w:before="260" w:after="260" w:line="416" w:lineRule="auto"/>
      <w:outlineLvl w:val="2"/>
    </w:pPr>
    <w:rPr>
      <w:b/>
      <w:bCs/>
      <w:sz w:val="32"/>
      <w:szCs w:val="32"/>
    </w:rPr>
  </w:style>
  <w:style w:type="paragraph" w:styleId="4">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14"/>
    <w:semiHidden/>
    <w:qFormat/>
    <w:uiPriority w:val="0"/>
    <w:pPr>
      <w:autoSpaceDE w:val="0"/>
      <w:autoSpaceDN w:val="0"/>
      <w:adjustRightInd w:val="0"/>
      <w:jc w:val="left"/>
      <w:textAlignment w:val="baseline"/>
    </w:pPr>
    <w:rPr>
      <w:rFonts w:ascii="宋体" w:hAnsi="Times New Roman"/>
      <w:kern w:val="0"/>
      <w:sz w:val="34"/>
      <w:szCs w:val="20"/>
    </w:rPr>
  </w:style>
  <w:style w:type="paragraph" w:styleId="6">
    <w:name w:val="Balloon Text"/>
    <w:basedOn w:val="1"/>
    <w:semiHidden/>
    <w:qFormat/>
    <w:uiPriority w:val="0"/>
    <w:rPr>
      <w:sz w:val="18"/>
      <w:szCs w:val="18"/>
    </w:rPr>
  </w:style>
  <w:style w:type="paragraph" w:styleId="7">
    <w:name w:val="footer"/>
    <w:basedOn w:val="1"/>
    <w:link w:val="15"/>
    <w:qFormat/>
    <w:uiPriority w:val="0"/>
    <w:pPr>
      <w:tabs>
        <w:tab w:val="center" w:pos="4153"/>
        <w:tab w:val="right" w:pos="8306"/>
      </w:tabs>
      <w:snapToGrid w:val="0"/>
      <w:jc w:val="left"/>
    </w:pPr>
    <w:rPr>
      <w:sz w:val="18"/>
      <w:szCs w:val="18"/>
    </w:rPr>
  </w:style>
  <w:style w:type="paragraph" w:styleId="8">
    <w:name w:val="header"/>
    <w:basedOn w:val="1"/>
    <w:link w:val="16"/>
    <w:qFormat/>
    <w:uiPriority w:val="0"/>
    <w:pPr>
      <w:pBdr>
        <w:bottom w:val="single" w:color="auto" w:sz="6" w:space="1"/>
      </w:pBdr>
      <w:tabs>
        <w:tab w:val="center" w:pos="4153"/>
        <w:tab w:val="right" w:pos="8306"/>
      </w:tabs>
      <w:snapToGrid w:val="0"/>
      <w:jc w:val="center"/>
    </w:pPr>
    <w:rPr>
      <w:sz w:val="18"/>
      <w:szCs w:val="18"/>
    </w:rPr>
  </w:style>
  <w:style w:type="table" w:styleId="10">
    <w:name w:val="Table Grid"/>
    <w:basedOn w:val="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annotation reference"/>
    <w:unhideWhenUsed/>
    <w:qFormat/>
    <w:uiPriority w:val="0"/>
    <w:rPr>
      <w:sz w:val="21"/>
      <w:szCs w:val="21"/>
    </w:rPr>
  </w:style>
  <w:style w:type="character" w:customStyle="1" w:styleId="13">
    <w:name w:val="标题 2 字符"/>
    <w:link w:val="2"/>
    <w:qFormat/>
    <w:uiPriority w:val="0"/>
    <w:rPr>
      <w:rFonts w:ascii="宋体" w:hAnsi="宋体" w:eastAsia="宋体"/>
      <w:b/>
      <w:sz w:val="24"/>
      <w:lang w:bidi="ar-SA"/>
    </w:rPr>
  </w:style>
  <w:style w:type="character" w:customStyle="1" w:styleId="14">
    <w:name w:val="批注文字 字符"/>
    <w:link w:val="5"/>
    <w:semiHidden/>
    <w:qFormat/>
    <w:uiPriority w:val="0"/>
    <w:rPr>
      <w:rFonts w:ascii="宋体" w:eastAsia="宋体"/>
      <w:sz w:val="34"/>
      <w:lang w:val="en-US" w:eastAsia="zh-CN" w:bidi="ar-SA"/>
    </w:rPr>
  </w:style>
  <w:style w:type="character" w:customStyle="1" w:styleId="15">
    <w:name w:val="页脚 字符"/>
    <w:link w:val="7"/>
    <w:qFormat/>
    <w:uiPriority w:val="0"/>
    <w:rPr>
      <w:rFonts w:ascii="Calibri" w:hAnsi="Calibri"/>
      <w:kern w:val="2"/>
      <w:sz w:val="18"/>
      <w:szCs w:val="18"/>
    </w:rPr>
  </w:style>
  <w:style w:type="character" w:customStyle="1" w:styleId="16">
    <w:name w:val="页眉 字符"/>
    <w:link w:val="8"/>
    <w:qFormat/>
    <w:uiPriority w:val="0"/>
    <w:rPr>
      <w:rFonts w:ascii="Calibri" w:hAnsi="Calibri"/>
      <w:kern w:val="2"/>
      <w:sz w:val="18"/>
      <w:szCs w:val="18"/>
    </w:rPr>
  </w:style>
  <w:style w:type="paragraph" w:customStyle="1" w:styleId="17">
    <w:name w:val="Char"/>
    <w:basedOn w:val="1"/>
    <w:qFormat/>
    <w:uiPriority w:val="0"/>
    <w:rPr>
      <w:rFonts w:ascii="仿宋_GB2312" w:hAnsi="Times New Roman" w:eastAsia="仿宋_GB2312"/>
      <w:b/>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93493E-5768-4DA3-8552-A63BC61EA076}">
  <ds:schemaRefs/>
</ds:datastoreItem>
</file>

<file path=docProps/app.xml><?xml version="1.0" encoding="utf-8"?>
<Properties xmlns="http://schemas.openxmlformats.org/officeDocument/2006/extended-properties" xmlns:vt="http://schemas.openxmlformats.org/officeDocument/2006/docPropsVTypes">
  <Template>Normal</Template>
  <Company>WWW.YlmF.CoM</Company>
  <Pages>6</Pages>
  <Words>3865</Words>
  <Characters>4069</Characters>
  <Lines>32</Lines>
  <Paragraphs>9</Paragraphs>
  <TotalTime>1</TotalTime>
  <ScaleCrop>false</ScaleCrop>
  <LinksUpToDate>false</LinksUpToDate>
  <CharactersWithSpaces>4278</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2022-07-20T07:01:00Z</dcterms:created>
  <dc:creator>user</dc:creator>
  <cp:lastModifiedBy>CHJ-嘉</cp:lastModifiedBy>
  <dcterms:modified xsi:type="dcterms:W3CDTF">2022-11-22T01:50:36Z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DE618B356F8D4B5495491401784F36A8</vt:lpwstr>
  </property>
</Properties>
</file>