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深圳市公共服务质量监测项目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项目编号：SZZZ2024-QC0233</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
    <w:p/>
    <w:p/>
    <w:p>
      <w:pPr>
        <w:pStyle w:val="29"/>
        <w:adjustRightInd w:val="0"/>
        <w:snapToGrid w:val="0"/>
        <w:spacing w:line="300" w:lineRule="auto"/>
        <w:ind w:hanging="835"/>
        <w:jc w:val="center"/>
        <w:rPr>
          <w:b/>
          <w:kern w:val="0"/>
          <w:sz w:val="28"/>
          <w:szCs w:val="28"/>
        </w:rPr>
      </w:pPr>
      <w:r>
        <w:rPr>
          <w:rFonts w:hint="eastAsia"/>
          <w:b/>
          <w:snapToGrid w:val="0"/>
          <w:sz w:val="30"/>
        </w:rPr>
        <w:t>二〇二四年五月</w:t>
      </w:r>
    </w:p>
    <w:p/>
    <w:p/>
    <w:p/>
    <w:p>
      <w:pPr>
        <w:jc w:val="center"/>
        <w:rPr>
          <w:rFonts w:asciiTheme="minorEastAsia" w:hAnsiTheme="minorEastAsia" w:eastAsiaTheme="minorEastAsia"/>
          <w:b/>
          <w:bCs/>
          <w:szCs w:val="21"/>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p>
        <w:p>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pPr>
            <w:pStyle w:val="35"/>
            <w:tabs>
              <w:tab w:val="right" w:leader="dot" w:pos="9628"/>
            </w:tabs>
            <w:rPr>
              <w:rFonts w:ascii="仿宋_GB2312" w:eastAsia="仿宋_GB2312"/>
              <w:sz w:val="24"/>
            </w:rPr>
          </w:pPr>
        </w:p>
        <w:p>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pPr>
          <w:r>
            <w:rPr>
              <w:rFonts w:hint="eastAsia" w:ascii="仿宋_GB2312" w:eastAsia="仿宋_GB2312"/>
              <w:sz w:val="24"/>
            </w:rPr>
            <w:fldChar w:fldCharType="end"/>
          </w:r>
        </w:p>
      </w:sdtContent>
    </w:sdt>
    <w:p/>
    <w:p/>
    <w:p/>
    <w:p/>
    <w:p>
      <w:pPr>
        <w:pStyle w:val="3"/>
      </w:pPr>
      <w:bookmarkStart w:id="0" w:name="_Toc135293159"/>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深圳市公共服务质量监测项目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SZZZ2024-QC0233</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2、项目名称：深圳市公共服务质量监测项目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278,000.00</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278,000.00</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45"/>
              <w:spacing w:line="360" w:lineRule="auto"/>
              <w:jc w:val="center"/>
              <w:rPr>
                <w:sz w:val="21"/>
              </w:rPr>
            </w:pPr>
            <w:r>
              <w:rPr>
                <w:sz w:val="21"/>
              </w:rPr>
              <w:t>标的名称</w:t>
            </w:r>
          </w:p>
        </w:tc>
        <w:tc>
          <w:tcPr>
            <w:tcW w:w="921"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深圳市公共服务质量监测项目</w:t>
            </w:r>
          </w:p>
        </w:tc>
        <w:tc>
          <w:tcPr>
            <w:tcW w:w="92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（1）现场获取：投标人按以上时间和地点现场报名和获取招标文件，逾期不予受理。</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cs="宋体"/>
          <w:color w:val="333333"/>
          <w:sz w:val="21"/>
          <w:szCs w:val="21"/>
          <w:shd w:val="clear" w:color="auto" w:fill="FFFFFF"/>
        </w:rPr>
        <w:t>深圳市市场监督管理局</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cs="宋体"/>
          <w:color w:val="333333"/>
          <w:sz w:val="21"/>
          <w:szCs w:val="21"/>
          <w:shd w:val="clear" w:color="auto" w:fill="FFFFFF"/>
        </w:rPr>
        <w:t>深圳市福田区深南大道7010号工商物价大厦</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联系方式：田小姐，0755-83070500</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p>
    <w:p/>
    <w:p/>
    <w:p>
      <w:pPr>
        <w:pStyle w:val="3"/>
      </w:pPr>
      <w:bookmarkStart w:id="1" w:name="_Toc135293160"/>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深圳市公共服务质量监测项目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ascii="宋体" w:hAnsi="宋体" w:cs="宋体"/>
                <w:szCs w:val="21"/>
              </w:rPr>
              <w:t>278</w:t>
            </w:r>
            <w:r>
              <w:rPr>
                <w:rFonts w:hint="eastAsia" w:ascii="宋体" w:hAnsi="宋体" w:cs="宋体"/>
                <w:szCs w:val="21"/>
              </w:rPr>
              <w:t>,</w:t>
            </w:r>
            <w:r>
              <w:rPr>
                <w:rFonts w:ascii="宋体" w:hAnsi="宋体" w:cs="宋体"/>
                <w:szCs w:val="21"/>
              </w:rPr>
              <w:t>000</w:t>
            </w:r>
            <w:r>
              <w:rPr>
                <w:rFonts w:hint="eastAsia" w:ascii="宋体" w:hAnsi="宋体" w:cs="宋体"/>
                <w:szCs w:val="21"/>
              </w:rPr>
              <w:t>.00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pPr>
        <w:pStyle w:val="506"/>
        <w:wordWrap/>
        <w:spacing w:afterLines="0" w:line="360" w:lineRule="auto"/>
        <w:ind w:firstLine="436"/>
        <w:rPr>
          <w:rFonts w:cs="Times New Roman"/>
          <w:snapToGrid/>
          <w:spacing w:val="0"/>
          <w:sz w:val="21"/>
          <w:szCs w:val="21"/>
        </w:rPr>
      </w:pPr>
      <w:r>
        <w:rPr>
          <w:rFonts w:hint="eastAsia"/>
          <w:color w:val="000000"/>
          <w:sz w:val="21"/>
          <w:szCs w:val="21"/>
        </w:rPr>
        <w:t>公共服务质量监测调查是对公共服务质量宏观状况进行监测、寻找短板并实施改进措施的重要手段。公共服务质量满意度指数是衡量公共服务质量宏观状况的“风向标”。为贯彻落实《质量强国建设纲要》中关于“促进生活服务品质升级，提升公共服务质量效率”的精神，全面助推《广东省质量强省建设纲要》、《深圳市高标准建设质量强市实施方案》等政策的有效推进，需要在全市范围内开展覆盖公共教育、公共就业、医疗服务、社会保障、公用事业、生态环境、公共交通、公共安全、公共文化、公共体育、养老服务、政务服务等12大领域的公共服务质量监测</w:t>
      </w:r>
      <w:r>
        <w:rPr>
          <w:color w:val="000000"/>
          <w:sz w:val="21"/>
          <w:szCs w:val="21"/>
        </w:rPr>
        <w:t>。</w:t>
      </w:r>
      <w:r>
        <w:rPr>
          <w:rFonts w:hint="eastAsia"/>
          <w:color w:val="000000"/>
          <w:sz w:val="21"/>
          <w:szCs w:val="21"/>
        </w:rPr>
        <w:t>通过科学的监测调查来及时识别深圳各区域、各领域的公共服务优势、短板和问题，为全市</w:t>
      </w:r>
      <w:r>
        <w:rPr>
          <w:color w:val="000000"/>
          <w:sz w:val="21"/>
          <w:szCs w:val="21"/>
        </w:rPr>
        <w:t>全方面</w:t>
      </w:r>
      <w:r>
        <w:rPr>
          <w:rFonts w:hint="eastAsia"/>
          <w:color w:val="000000"/>
          <w:sz w:val="21"/>
          <w:szCs w:val="21"/>
        </w:rPr>
        <w:t>公共服务质量的针对性改进和提升提供支撑。</w:t>
      </w:r>
    </w:p>
    <w:p>
      <w:pPr>
        <w:pStyle w:val="506"/>
        <w:wordWrap/>
        <w:spacing w:afterLines="0" w:line="360" w:lineRule="auto"/>
        <w:ind w:firstLine="420"/>
        <w:rPr>
          <w:rFonts w:cs="Times New Roman"/>
          <w:snapToGrid/>
          <w:spacing w:val="0"/>
          <w:sz w:val="21"/>
          <w:szCs w:val="21"/>
        </w:rPr>
      </w:pPr>
    </w:p>
    <w:p>
      <w:pPr>
        <w:pStyle w:val="321"/>
        <w:ind w:firstLine="0" w:firstLineChars="0"/>
        <w:rPr>
          <w:b/>
        </w:rPr>
      </w:pPr>
      <w:r>
        <w:rPr>
          <w:rFonts w:hint="eastAsia"/>
          <w:b/>
        </w:rPr>
        <w:t>二、项目服务要求</w:t>
      </w:r>
    </w:p>
    <w:p>
      <w:pPr>
        <w:pStyle w:val="7"/>
        <w:spacing w:beforeLines="25" w:afterLines="25" w:line="440" w:lineRule="exact"/>
        <w:ind w:firstLine="0" w:firstLineChars="0"/>
        <w:rPr>
          <w:rFonts w:ascii="宋体" w:hAnsi="宋体" w:cs="宋体"/>
          <w:i/>
          <w:iCs/>
          <w:color w:val="FF0000"/>
          <w:szCs w:val="21"/>
        </w:rPr>
      </w:pPr>
      <w:r>
        <w:rPr>
          <w:rFonts w:hint="eastAsia" w:ascii="宋体" w:hAnsi="宋体" w:cs="宋体"/>
          <w:szCs w:val="21"/>
        </w:rPr>
        <w:t>（一）项目服务内容及服务要求</w:t>
      </w:r>
    </w:p>
    <w:p>
      <w:pPr>
        <w:pStyle w:val="7"/>
        <w:spacing w:beforeLines="25" w:afterLines="25" w:line="440" w:lineRule="exact"/>
        <w:rPr>
          <w:rFonts w:ascii="宋体" w:hAnsi="宋体" w:cs="宋体"/>
          <w:szCs w:val="21"/>
        </w:rPr>
      </w:pPr>
      <w:r>
        <w:rPr>
          <w:rFonts w:hint="eastAsia" w:ascii="宋体" w:hAnsi="宋体" w:cs="宋体"/>
          <w:szCs w:val="21"/>
        </w:rPr>
        <w:t>1、服务总体要求。中标人须根据本项目的实际情况，为本项目指定合格的项目负责人，并配备足够人员和技术力量的专门团队，项目团队人员需具备项目相关的专业能力知识背景及工作经验；为项目配备必要的服务资源及工具设备等；制定科学合理的服务方案及工作计划；负责完成招标要求的全部服务工作；应严格按制定的项目实施方案组织实施，并接受采购人监督，确保项目工作高质量完成。</w:t>
      </w:r>
    </w:p>
    <w:p>
      <w:pPr>
        <w:pStyle w:val="7"/>
        <w:spacing w:beforeLines="25" w:afterLines="25" w:line="440" w:lineRule="exact"/>
        <w:rPr>
          <w:rFonts w:ascii="宋体" w:hAnsi="宋体" w:cs="宋体"/>
          <w:i/>
          <w:iCs/>
          <w:color w:val="FF0000"/>
          <w:szCs w:val="21"/>
        </w:rPr>
      </w:pPr>
      <w:r>
        <w:rPr>
          <w:rFonts w:hint="eastAsia" w:ascii="宋体" w:hAnsi="宋体" w:cs="宋体"/>
          <w:szCs w:val="21"/>
        </w:rPr>
        <w:t>2、</w:t>
      </w:r>
      <w:bookmarkStart w:id="2" w:name="项目技术要求_1"/>
      <w:r>
        <w:rPr>
          <w:rFonts w:hint="eastAsia" w:ascii="宋体" w:hAnsi="宋体" w:cs="宋体"/>
          <w:szCs w:val="21"/>
        </w:rPr>
        <w:t>本项目具体服务要求：</w:t>
      </w:r>
      <w:bookmarkEnd w:id="2"/>
    </w:p>
    <w:p>
      <w:pPr>
        <w:spacing w:line="440" w:lineRule="exact"/>
        <w:ind w:left="17" w:leftChars="8" w:firstLine="405" w:firstLineChars="193"/>
        <w:rPr>
          <w:rFonts w:ascii="宋体" w:hAnsi="宋体" w:cs="宋体"/>
          <w:szCs w:val="21"/>
        </w:rPr>
      </w:pPr>
      <w:r>
        <w:rPr>
          <w:rFonts w:hint="eastAsia" w:ascii="宋体" w:hAnsi="宋体" w:cs="宋体"/>
          <w:szCs w:val="21"/>
        </w:rPr>
        <w:t>围绕公共教育、公共就业、医疗服务、社会保障、公用事业、生态环境、公共交通、公共安全、公共文化、公共体育、养老服务、政务服务等12 个公共服务领域，对深圳市10</w:t>
      </w:r>
      <w:r>
        <w:rPr>
          <w:rFonts w:ascii="宋体" w:hAnsi="宋体" w:cs="宋体"/>
          <w:szCs w:val="21"/>
        </w:rPr>
        <w:t>个辖区</w:t>
      </w:r>
      <w:r>
        <w:rPr>
          <w:rFonts w:hint="eastAsia" w:ascii="宋体" w:hAnsi="宋体" w:cs="宋体"/>
          <w:szCs w:val="21"/>
        </w:rPr>
        <w:t>（暂不含深汕特别合作区）的</w:t>
      </w:r>
      <w:r>
        <w:rPr>
          <w:rFonts w:ascii="宋体" w:hAnsi="宋体" w:cs="宋体"/>
          <w:szCs w:val="21"/>
        </w:rPr>
        <w:t>公共</w:t>
      </w:r>
      <w:r>
        <w:rPr>
          <w:rFonts w:hint="eastAsia" w:ascii="宋体" w:hAnsi="宋体" w:cs="宋体"/>
          <w:szCs w:val="21"/>
        </w:rPr>
        <w:t>服务质量</w:t>
      </w:r>
      <w:r>
        <w:rPr>
          <w:rFonts w:ascii="宋体" w:hAnsi="宋体" w:cs="宋体"/>
          <w:szCs w:val="21"/>
        </w:rPr>
        <w:t>相关情况</w:t>
      </w:r>
      <w:r>
        <w:rPr>
          <w:rFonts w:hint="eastAsia" w:ascii="宋体" w:hAnsi="宋体" w:cs="宋体"/>
          <w:szCs w:val="21"/>
        </w:rPr>
        <w:t>开展监测调查</w:t>
      </w:r>
      <w:r>
        <w:rPr>
          <w:rFonts w:ascii="宋体" w:hAnsi="宋体" w:cs="宋体"/>
          <w:szCs w:val="21"/>
        </w:rPr>
        <w:t>及评价</w:t>
      </w:r>
      <w:r>
        <w:rPr>
          <w:rFonts w:hint="eastAsia" w:ascii="宋体" w:hAnsi="宋体" w:cs="宋体"/>
          <w:szCs w:val="21"/>
        </w:rPr>
        <w:t>，形成公共服务质量监测分析报告。具体工作任务包括如下内容：</w:t>
      </w:r>
    </w:p>
    <w:p>
      <w:pPr>
        <w:spacing w:line="440" w:lineRule="exact"/>
        <w:ind w:left="17" w:leftChars="8" w:firstLine="405" w:firstLineChars="193"/>
        <w:rPr>
          <w:rFonts w:ascii="宋体" w:hAnsi="宋体" w:cs="宋体"/>
          <w:szCs w:val="21"/>
        </w:rPr>
      </w:pPr>
      <w:r>
        <w:rPr>
          <w:rFonts w:hint="eastAsia" w:ascii="宋体" w:hAnsi="宋体" w:cs="宋体"/>
          <w:szCs w:val="21"/>
        </w:rPr>
        <w:t>（1）质量监测研究策划：依据市场监管总局印发的《服务质量监测技术指南》，参考当前开展的国家公共服务质量监测调查体系，开展深圳市公共服务质量监测调查方案制定，监测模型、监测指标设计，公共服务监测调查问卷确定、抽样方案设计等。</w:t>
      </w:r>
    </w:p>
    <w:p>
      <w:pPr>
        <w:spacing w:line="440" w:lineRule="exact"/>
        <w:ind w:left="17" w:leftChars="8" w:firstLine="405" w:firstLineChars="193"/>
        <w:rPr>
          <w:rFonts w:ascii="宋体" w:hAnsi="宋体" w:cs="宋体"/>
          <w:szCs w:val="21"/>
        </w:rPr>
      </w:pPr>
      <w:r>
        <w:rPr>
          <w:rFonts w:hint="eastAsia" w:ascii="宋体" w:hAnsi="宋体" w:cs="宋体"/>
          <w:szCs w:val="21"/>
        </w:rPr>
        <w:t>（2）质量监测调查实施：公共服务质量监测调查应通过线上、线下等多种方式开展，覆盖全市12</w:t>
      </w:r>
      <w:r>
        <w:rPr>
          <w:rFonts w:ascii="宋体" w:hAnsi="宋体" w:cs="宋体"/>
          <w:szCs w:val="21"/>
        </w:rPr>
        <w:t>个</w:t>
      </w:r>
      <w:r>
        <w:rPr>
          <w:rFonts w:hint="eastAsia" w:ascii="宋体" w:hAnsi="宋体" w:cs="宋体"/>
          <w:szCs w:val="21"/>
        </w:rPr>
        <w:t>公共服务领域、10</w:t>
      </w:r>
      <w:r>
        <w:rPr>
          <w:rFonts w:ascii="宋体" w:hAnsi="宋体" w:cs="宋体"/>
          <w:szCs w:val="21"/>
        </w:rPr>
        <w:t>个市属辖区</w:t>
      </w:r>
      <w:r>
        <w:rPr>
          <w:rFonts w:hint="eastAsia" w:ascii="宋体" w:hAnsi="宋体" w:cs="宋体"/>
          <w:szCs w:val="21"/>
        </w:rPr>
        <w:t>，采集的公共服务监测调查问卷有效样本量不低于</w:t>
      </w:r>
      <w:r>
        <w:rPr>
          <w:rFonts w:ascii="宋体" w:hAnsi="宋体" w:cs="宋体"/>
          <w:szCs w:val="21"/>
        </w:rPr>
        <w:t>5000</w:t>
      </w:r>
      <w:r>
        <w:rPr>
          <w:rFonts w:hint="eastAsia" w:ascii="宋体" w:hAnsi="宋体" w:cs="宋体"/>
          <w:szCs w:val="21"/>
        </w:rPr>
        <w:t>份。</w:t>
      </w:r>
    </w:p>
    <w:p>
      <w:pPr>
        <w:spacing w:line="440" w:lineRule="exact"/>
        <w:ind w:left="17" w:leftChars="8" w:firstLine="405" w:firstLineChars="193"/>
        <w:rPr>
          <w:rFonts w:ascii="宋体" w:hAnsi="宋体" w:cs="宋体"/>
          <w:szCs w:val="21"/>
        </w:rPr>
      </w:pPr>
      <w:r>
        <w:rPr>
          <w:rFonts w:hint="eastAsia" w:ascii="宋体" w:hAnsi="宋体" w:cs="宋体"/>
          <w:szCs w:val="21"/>
        </w:rPr>
        <w:t>（3）公共服务客观数据采集：针对全市监测的12</w:t>
      </w:r>
      <w:r>
        <w:rPr>
          <w:rFonts w:ascii="宋体" w:hAnsi="宋体" w:cs="宋体"/>
          <w:szCs w:val="21"/>
        </w:rPr>
        <w:t>个</w:t>
      </w:r>
      <w:r>
        <w:rPr>
          <w:rFonts w:hint="eastAsia" w:ascii="宋体" w:hAnsi="宋体" w:cs="宋体"/>
          <w:szCs w:val="21"/>
        </w:rPr>
        <w:t>公共服务领域，通过公开的区政府工作报告等进行客观数据采集，收集与服务质量密切相关的客观指标数据，形成各公共服务领域的客观数据表现数据库，为问卷调查结果提供数据分析和结果印证。</w:t>
      </w:r>
    </w:p>
    <w:p>
      <w:pPr>
        <w:pStyle w:val="321"/>
        <w:ind w:firstLine="420"/>
        <w:rPr>
          <w:rFonts w:hint="eastAsia" w:cs="宋体"/>
          <w:sz w:val="21"/>
          <w:szCs w:val="21"/>
        </w:rPr>
      </w:pPr>
      <w:r>
        <w:rPr>
          <w:rFonts w:hint="eastAsia" w:cs="宋体"/>
          <w:sz w:val="21"/>
          <w:szCs w:val="21"/>
        </w:rPr>
        <w:t>（4）数据分析及报告撰写：结合公共服务监测的各领域各区调查统计结果和客观数据采集结果，进行监测结果汇总、统计和分析，识别优势和短板，撰写深圳市公共服务质量监测分析报告，为公共服务质量的持续改进和提升提供参考。</w:t>
      </w:r>
    </w:p>
    <w:p>
      <w:pPr>
        <w:pStyle w:val="321"/>
        <w:ind w:firstLine="422"/>
        <w:rPr>
          <w:b/>
          <w:sz w:val="21"/>
          <w:szCs w:val="21"/>
        </w:rPr>
      </w:pPr>
    </w:p>
    <w:p>
      <w:pPr>
        <w:pStyle w:val="321"/>
        <w:ind w:firstLine="0" w:firstLineChars="0"/>
        <w:rPr>
          <w:b/>
        </w:rPr>
      </w:pPr>
      <w:r>
        <w:rPr>
          <w:rFonts w:hint="eastAsia"/>
          <w:b/>
        </w:rPr>
        <w:t>三、项目商务要求</w:t>
      </w:r>
    </w:p>
    <w:p>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pPr>
        <w:pStyle w:val="255"/>
        <w:spacing w:beforeLines="0" w:line="360" w:lineRule="auto"/>
        <w:ind w:firstLine="424" w:firstLineChars="201"/>
        <w:rPr>
          <w:rFonts w:ascii="宋体" w:hAnsi="宋体" w:eastAsia="宋体" w:cs="宋体"/>
          <w:b/>
          <w:bCs/>
          <w:kern w:val="0"/>
          <w:szCs w:val="21"/>
          <w:highlight w:val="yellow"/>
        </w:rPr>
      </w:pPr>
      <w:r>
        <w:rPr>
          <w:rFonts w:hint="eastAsia" w:ascii="宋体" w:hAnsi="宋体" w:eastAsia="宋体" w:cs="宋体"/>
          <w:b/>
          <w:bCs/>
          <w:kern w:val="0"/>
          <w:szCs w:val="21"/>
          <w:highlight w:val="yellow"/>
        </w:rPr>
        <w:t>合同签订之日起至2024年11月30日前完成。本项目属于长期服务项目。合同履行期限最长不得超过三十六个月，采购人可视中标供应商履约服务情况，决定是否续签。合同一年一签，最多续签两次。</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（二）付款方式：</w:t>
      </w:r>
    </w:p>
    <w:p>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采购人在合同签订后，且收到中标人提供符合规定发票后</w:t>
      </w:r>
      <w:bookmarkStart w:id="3" w:name="付款日期_1"/>
      <w:r>
        <w:rPr>
          <w:rFonts w:hint="eastAsia" w:ascii="宋体" w:hAnsi="宋体" w:eastAsia="宋体"/>
          <w:szCs w:val="21"/>
        </w:rPr>
        <w:t>10个工作日内</w:t>
      </w:r>
      <w:bookmarkEnd w:id="3"/>
      <w:r>
        <w:rPr>
          <w:rFonts w:hint="eastAsia" w:ascii="宋体" w:hAnsi="宋体" w:eastAsia="宋体"/>
          <w:szCs w:val="21"/>
        </w:rPr>
        <w:t>支付合同总额的</w:t>
      </w:r>
      <w:bookmarkStart w:id="4" w:name="首付比例_1"/>
      <w:r>
        <w:rPr>
          <w:rFonts w:hint="eastAsia" w:ascii="宋体" w:hAnsi="宋体" w:eastAsia="宋体"/>
          <w:szCs w:val="21"/>
        </w:rPr>
        <w:t>50%</w:t>
      </w:r>
      <w:bookmarkEnd w:id="4"/>
      <w:r>
        <w:rPr>
          <w:rFonts w:hint="eastAsia" w:ascii="宋体" w:hAnsi="宋体" w:eastAsia="宋体"/>
          <w:szCs w:val="21"/>
        </w:rPr>
        <w:t>作为首期款，余款按进度验收通过后予以支付。</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（三）知识产权：</w:t>
      </w:r>
    </w:p>
    <w:p>
      <w:pPr>
        <w:spacing w:line="360" w:lineRule="auto"/>
        <w:ind w:firstLine="420" w:firstLineChars="200"/>
        <w:jc w:val="left"/>
        <w:rPr>
          <w:rFonts w:ascii="宋体" w:hAnsi="宋体"/>
          <w:szCs w:val="21"/>
        </w:rPr>
      </w:pPr>
      <w:r>
        <w:rPr>
          <w:rFonts w:hint="eastAsia" w:ascii="宋体" w:hAnsi="宋体"/>
          <w:szCs w:val="21"/>
        </w:rPr>
        <w:t>（1）中标人在项目实施过程中不得侵犯第三人知识产权以及其他权益。需要使用第三人知识产权的，中标人应取得权利人许可或者授权并由中标人承担费用。</w:t>
      </w:r>
    </w:p>
    <w:p>
      <w:pPr>
        <w:spacing w:line="360" w:lineRule="auto"/>
        <w:ind w:firstLine="420" w:firstLineChars="200"/>
        <w:jc w:val="left"/>
        <w:rPr>
          <w:rFonts w:ascii="宋体" w:hAnsi="宋体"/>
          <w:szCs w:val="21"/>
        </w:rPr>
      </w:pPr>
      <w:r>
        <w:rPr>
          <w:rFonts w:hint="eastAsia" w:ascii="宋体" w:hAnsi="宋体"/>
          <w:szCs w:val="21"/>
        </w:rPr>
        <w:t>（2）除第三人依法享有知识产权的除外，中标人实施本项目所形成成果的知识产权归采购人所有，未经采购人许可，中标人不得随意使用。</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（四）报价要求：</w:t>
      </w:r>
    </w:p>
    <w:p>
      <w:pPr>
        <w:spacing w:line="360" w:lineRule="auto"/>
        <w:ind w:firstLine="420" w:firstLineChars="200"/>
        <w:jc w:val="left"/>
        <w:rPr>
          <w:rFonts w:ascii="宋体" w:hAnsi="宋体"/>
          <w:szCs w:val="21"/>
        </w:rPr>
      </w:pPr>
      <w:r>
        <w:rPr>
          <w:rFonts w:hint="eastAsia" w:ascii="宋体" w:hAnsi="宋体"/>
          <w:szCs w:val="21"/>
        </w:rPr>
        <w:t>（1）报价形式：</w:t>
      </w:r>
    </w:p>
    <w:p>
      <w:pPr>
        <w:spacing w:line="360" w:lineRule="auto"/>
        <w:ind w:firstLine="420" w:firstLineChars="200"/>
        <w:jc w:val="left"/>
        <w:rPr>
          <w:rFonts w:ascii="宋体" w:hAnsi="宋体"/>
          <w:szCs w:val="21"/>
        </w:rPr>
      </w:pPr>
      <w:r>
        <w:rPr>
          <w:rFonts w:hint="eastAsia" w:ascii="宋体" w:hAnsi="宋体"/>
          <w:szCs w:val="21"/>
        </w:rPr>
        <w:t>☑总价报价：</w:t>
      </w:r>
    </w:p>
    <w:p>
      <w:pPr>
        <w:spacing w:line="360" w:lineRule="auto"/>
        <w:ind w:firstLine="420" w:firstLineChars="200"/>
        <w:jc w:val="left"/>
        <w:rPr>
          <w:rFonts w:ascii="宋体" w:hAnsi="宋体"/>
          <w:szCs w:val="21"/>
        </w:rPr>
      </w:pPr>
      <w:r>
        <w:rPr>
          <w:rFonts w:hint="eastAsia" w:ascii="宋体" w:hAnsi="宋体"/>
          <w:szCs w:val="21"/>
        </w:rPr>
        <w:t>①本项目服务费采用包干制，应包括服务成本、法定税费和利润。由投标人根据招标文件所提供的资料自行测算投标报价；一经中标，报价总价作为中标人与采购人签定的合同金额，合同期限内不做调整。</w:t>
      </w:r>
    </w:p>
    <w:p>
      <w:pPr>
        <w:spacing w:line="360" w:lineRule="auto"/>
        <w:ind w:firstLine="420" w:firstLineChars="200"/>
        <w:jc w:val="left"/>
        <w:rPr>
          <w:rFonts w:ascii="宋体" w:hAnsi="宋体"/>
          <w:szCs w:val="21"/>
        </w:rPr>
      </w:pPr>
      <w:r>
        <w:rPr>
          <w:rFonts w:hint="eastAsia" w:ascii="宋体" w:hAnsi="宋体"/>
          <w:szCs w:val="21"/>
        </w:rPr>
        <w:t>②投标人应当根据本单位的成本、利润、税费等情况自行决定报价。</w:t>
      </w:r>
    </w:p>
    <w:p>
      <w:pPr>
        <w:spacing w:line="360" w:lineRule="auto"/>
        <w:ind w:firstLine="420" w:firstLineChars="200"/>
        <w:jc w:val="left"/>
        <w:rPr>
          <w:rFonts w:ascii="宋体" w:hAnsi="宋体"/>
          <w:szCs w:val="21"/>
        </w:rPr>
      </w:pPr>
      <w:r>
        <w:rPr>
          <w:rFonts w:hint="eastAsia" w:ascii="宋体" w:hAnsi="宋体"/>
          <w:szCs w:val="21"/>
        </w:rPr>
        <w:t>③投标人的报价不得超过项目预算金额，否则作投标无效处理。</w:t>
      </w:r>
    </w:p>
    <w:p>
      <w:pPr>
        <w:spacing w:line="360" w:lineRule="auto"/>
        <w:ind w:firstLine="420" w:firstLineChars="200"/>
        <w:jc w:val="left"/>
        <w:rPr>
          <w:rFonts w:ascii="宋体" w:hAnsi="宋体"/>
          <w:szCs w:val="21"/>
        </w:rPr>
      </w:pPr>
      <w:r>
        <w:rPr>
          <w:rFonts w:hint="eastAsia" w:ascii="宋体" w:hAnsi="宋体"/>
          <w:szCs w:val="21"/>
        </w:rPr>
        <w:t>④投标人的报价，应当是本项目采购范围和招标文件及合同条款上所列的各项内容中所述的全部，不得以任何理由予以重复。</w:t>
      </w:r>
    </w:p>
    <w:p>
      <w:pPr>
        <w:spacing w:line="360" w:lineRule="auto"/>
        <w:ind w:firstLine="420" w:firstLineChars="200"/>
        <w:jc w:val="left"/>
        <w:rPr>
          <w:rFonts w:ascii="宋体" w:hAnsi="宋体"/>
          <w:szCs w:val="21"/>
        </w:rPr>
      </w:pPr>
      <w:r>
        <w:rPr>
          <w:rFonts w:hint="eastAsia" w:ascii="宋体" w:hAnsi="宋体"/>
          <w:szCs w:val="21"/>
        </w:rPr>
        <w:t>（2）除非采购</w:t>
      </w:r>
      <w:r>
        <w:rPr>
          <w:rFonts w:hint="eastAsia"/>
        </w:rPr>
        <w:t>代理机构</w:t>
      </w:r>
      <w:r>
        <w:rPr>
          <w:rFonts w:hint="eastAsia" w:ascii="宋体" w:hAnsi="宋体"/>
          <w:szCs w:val="21"/>
        </w:rPr>
        <w:t>通过修改招标文件予以更正，否则，投标人应毫无例外地按投标文件所列的清单中项目和数量填报综合单价或合价。投标人未填综合单价或合价的项目，在实施后，将不获得支付，并视作该项费用已包括在其它有价款的综合单价或合价内。</w:t>
      </w:r>
    </w:p>
    <w:p>
      <w:pPr>
        <w:spacing w:line="360" w:lineRule="auto"/>
        <w:ind w:firstLine="420" w:firstLineChars="200"/>
        <w:jc w:val="left"/>
        <w:rPr>
          <w:rFonts w:ascii="宋体" w:hAnsi="宋体"/>
          <w:szCs w:val="21"/>
        </w:rPr>
      </w:pPr>
      <w:r>
        <w:rPr>
          <w:rFonts w:hint="eastAsia" w:ascii="宋体" w:hAnsi="宋体"/>
          <w:szCs w:val="21"/>
        </w:rPr>
        <w:t>（3）投标人不得期望通过索赔等方式获取补偿，否则，除可能遭到拒绝外，还可能将被作为不良行为记录在案，并可能影响其以后参加政府采购的项目投标。各投标人在报价时，应充分考虑报价的风险。</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（五）验收内容及标准：</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（1）采购人以采购项目的招标文件、投标文件、采购合同作为验收依据，按照采购合同的约定逐项核对技术、服务、安全标准的履约情况并确认；</w:t>
      </w:r>
    </w:p>
    <w:p>
      <w:pPr>
        <w:pStyle w:val="255"/>
        <w:spacing w:beforeLines="0" w:line="360" w:lineRule="auto"/>
        <w:ind w:firstLine="420"/>
        <w:rPr>
          <w:rFonts w:asciiTheme="minorEastAsia" w:hAnsiTheme="minorEastAsia" w:eastAsiaTheme="minorEastAsia"/>
          <w:b/>
        </w:rPr>
      </w:pPr>
      <w:r>
        <w:rPr>
          <w:rFonts w:hint="eastAsia" w:asciiTheme="minorEastAsia" w:hAnsiTheme="minorEastAsia" w:eastAsiaTheme="minorEastAsia"/>
          <w:bCs/>
        </w:rPr>
        <w:t>（2）本项目具体验收内容及标准：</w:t>
      </w:r>
      <w:bookmarkStart w:id="5" w:name="验收标准_1"/>
      <w:r>
        <w:rPr>
          <w:rFonts w:hint="eastAsia" w:asciiTheme="minorEastAsia" w:hAnsiTheme="minorEastAsia" w:eastAsiaTheme="minorEastAsia"/>
          <w:bCs/>
        </w:rPr>
        <w:t>提供成果报告的纸质版、电子版各1份。</w:t>
      </w:r>
      <w:bookmarkEnd w:id="5"/>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1）中标供应商未在约定期限内完成项目内容并提交成果的，每延迟一日按照合同总金额千分之一的标准向采购人支付违约金。延迟超过十日的，采购人有权解除合同并要求中标供应商返还已经支付的款项，未支付的不再支付。</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2）中标供应商交付的成果验收不合格的，经采购人要求整改再次验收仍不合格的或中标供应商提交的成果存在虚假、违法违规、重大错误的，采购人有权立即解除合同、要求中标供应商返还已经支付的款项并支付合同总额20%的违约金。</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（3）因中标供应商实施本项目过程中侵犯第三人合法权益或者违约导致采购人承担赔偿责任的，采购人有权向中标供应商追偿并有权解除合同、要求中标供应商返还已经支付的款项并支付合同总额20%的违约金。</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（4）中标供应商签订合同后，实际配备的工作人员与投标文件的承诺不一致的，或实施本项目时已不符合招标文件要求的，采购人有权解除合同，并要求中标供应商返向采购人支付合同总额20%的违约金。</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（5）中标供应商无正当理由解除合同的，应向采购人支付合同总额20%的违约金。</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（6）中标供应商违反本需求知识产权相关内容的，应向采购人支付合同总额20%的违约金。</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（7）未经采购人同意，中标供应商将本合同项目的任务全部或者一部分转委托给第三人，采购人有权解除合同、要求中标供应商返还已经支付的款项并支付合同总额20%的违约金。</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（8）采购人违约的，应按照《民法典》有关规定承担违约责任。</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（七）售后服务：</w:t>
      </w:r>
    </w:p>
    <w:p>
      <w:pPr>
        <w:pStyle w:val="255"/>
        <w:spacing w:beforeLines="0" w:line="360" w:lineRule="auto"/>
        <w:ind w:firstLine="420"/>
        <w:rPr>
          <w:rFonts w:asciiTheme="minorEastAsia" w:hAnsiTheme="minorEastAsia" w:eastAsiaTheme="minorEastAsia"/>
          <w:b/>
        </w:rPr>
      </w:pPr>
      <w:bookmarkStart w:id="6" w:name="售后服务_1"/>
      <w:r>
        <w:rPr>
          <w:rFonts w:hint="eastAsia" w:asciiTheme="minorEastAsia" w:hAnsiTheme="minorEastAsia" w:eastAsiaTheme="minorEastAsia"/>
          <w:bCs/>
        </w:rPr>
        <w:t>中标供应商在服务期满一年内需在采购人有需要时负责对本项目相关情况进行解释、说明，提供相应的修正服务</w:t>
      </w:r>
      <w:r>
        <w:rPr>
          <w:rFonts w:hint="eastAsia" w:asciiTheme="minorEastAsia" w:hAnsiTheme="minorEastAsia" w:eastAsiaTheme="minorEastAsia"/>
          <w:b/>
        </w:rPr>
        <w:t>。</w:t>
      </w:r>
      <w:bookmarkEnd w:id="6"/>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（八）解决争议的方法：</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（1）双方因履行本项目发生争议的，可协商解决，无法协商解决的应向采购人住所地有管辖权的人民法院提起诉讼。</w:t>
      </w:r>
    </w:p>
    <w:p>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（2）诉讼进行过程中，双方将继续履行本项目未涉诉讼的其它部分。</w:t>
      </w:r>
    </w:p>
    <w:p>
      <w:pPr>
        <w:pStyle w:val="255"/>
        <w:spacing w:beforeLines="0" w:line="360" w:lineRule="auto"/>
        <w:ind w:firstLine="0" w:firstLineChars="0"/>
        <w:rPr>
          <w:rFonts w:asciiTheme="minorEastAsia" w:hAnsiTheme="minorEastAsia" w:eastAsiaTheme="minorEastAsia"/>
          <w:b/>
        </w:rPr>
      </w:pPr>
    </w:p>
    <w:p>
      <w:pPr>
        <w:pStyle w:val="255"/>
        <w:spacing w:beforeLines="0" w:line="360" w:lineRule="auto"/>
        <w:ind w:firstLine="0" w:firstLineChars="0"/>
        <w:rPr>
          <w:rFonts w:asciiTheme="minorEastAsia" w:hAnsiTheme="minorEastAsia" w:eastAsiaTheme="minorEastAsia"/>
          <w:b/>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456"/>
        <w:spacing w:before="0" w:beforeAutospacing="0" w:after="0" w:afterAutospacing="0" w:line="360" w:lineRule="auto"/>
        <w:rPr>
          <w:sz w:val="21"/>
          <w:szCs w:val="21"/>
        </w:rPr>
      </w:pPr>
    </w:p>
    <w:p>
      <w:pPr>
        <w:pStyle w:val="3"/>
      </w:pPr>
      <w:bookmarkStart w:id="7" w:name="_Toc135293161"/>
      <w:r>
        <w:rPr>
          <w:rFonts w:hint="eastAsia"/>
        </w:rPr>
        <w:t>第三章  投标文件初审</w:t>
      </w:r>
      <w:bookmarkEnd w:id="7"/>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Pr>
        <w:pStyle w:val="3"/>
        <w:spacing w:after="0"/>
      </w:pPr>
      <w:bookmarkStart w:id="8" w:name="_Toc135293162"/>
      <w:r>
        <w:rPr>
          <w:rFonts w:hint="eastAsia"/>
        </w:rPr>
        <w:t>第四章  评标方法和标准</w:t>
      </w:r>
      <w:bookmarkEnd w:id="8"/>
    </w:p>
    <w:p/>
    <w:p>
      <w:pPr>
        <w:pStyle w:val="2"/>
        <w:spacing w:before="0" w:after="0"/>
      </w:pPr>
      <w:bookmarkStart w:id="9" w:name="_Toc44691161"/>
      <w:bookmarkStart w:id="10" w:name="_Toc44690702"/>
      <w:bookmarkStart w:id="11" w:name="_Toc44690429"/>
      <w:bookmarkStart w:id="12" w:name="_Toc44691393"/>
      <w:bookmarkStart w:id="13" w:name="_Toc135293163"/>
      <w:r>
        <w:rPr>
          <w:rFonts w:hint="eastAsia"/>
        </w:rPr>
        <w:t>一、</w:t>
      </w:r>
      <w:r>
        <w:t>评标方法</w:t>
      </w:r>
      <w:bookmarkEnd w:id="9"/>
      <w:bookmarkEnd w:id="10"/>
      <w:bookmarkEnd w:id="11"/>
      <w:bookmarkEnd w:id="12"/>
      <w:bookmarkEnd w:id="13"/>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2"/>
        <w:spacing w:before="0" w:after="0"/>
      </w:pPr>
      <w:bookmarkStart w:id="14" w:name="_Toc135293164"/>
      <w:r>
        <w:rPr>
          <w:rFonts w:hint="eastAsia"/>
        </w:rPr>
        <w:t>二、评标标准</w:t>
      </w:r>
      <w:bookmarkEnd w:id="14"/>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b/>
                <w:szCs w:val="21"/>
                <w:lang w:val="zh-CN"/>
              </w:rPr>
            </w:pPr>
            <w:r>
              <w:rPr>
                <w:rFonts w:hint="eastAsia" w:ascii="宋体" w:hAnsi="宋体" w:cs="宋体"/>
                <w:b/>
                <w:szCs w:val="21"/>
                <w:lang w:val="zh-CN"/>
              </w:rPr>
              <w:t>评分项及评分规则</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b/>
                <w:szCs w:val="21"/>
                <w:lang w:val="zh-CN"/>
              </w:rPr>
            </w:pPr>
            <w:r>
              <w:rPr>
                <w:rFonts w:hint="eastAsia" w:ascii="宋体" w:hAnsi="宋体" w:cs="宋体"/>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b/>
                <w:szCs w:val="21"/>
                <w:lang w:val="zh-CN"/>
              </w:rPr>
            </w:pPr>
            <w:r>
              <w:rPr>
                <w:rFonts w:hint="eastAsia" w:ascii="宋体" w:hAnsi="宋体" w:cs="宋体"/>
                <w:b/>
                <w:szCs w:val="21"/>
                <w:lang w:val="zh-CN"/>
              </w:rPr>
              <w:t>一、价格部分</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b/>
                <w:szCs w:val="21"/>
              </w:rPr>
            </w:pPr>
            <w:r>
              <w:rPr>
                <w:rFonts w:hint="eastAsia" w:ascii="宋体" w:hAnsi="宋体" w:cs="宋体"/>
                <w:b/>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keepNext w:val="0"/>
              <w:keepLines w:val="0"/>
              <w:pageBreakBefore w:val="0"/>
              <w:widowControl/>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投标报价得分=(评标基准价／投标报价)×权重</w:t>
            </w:r>
          </w:p>
          <w:p>
            <w:pPr>
              <w:keepNext w:val="0"/>
              <w:keepLines w:val="0"/>
              <w:pageBreakBefore w:val="0"/>
              <w:kinsoku/>
              <w:wordWrap/>
              <w:overflowPunct/>
              <w:topLinePunct w:val="0"/>
              <w:bidi w:val="0"/>
              <w:adjustRightInd w:val="0"/>
              <w:snapToGrid w:val="0"/>
              <w:spacing w:line="380" w:lineRule="exact"/>
              <w:textAlignment w:val="auto"/>
              <w:rPr>
                <w:rFonts w:ascii="宋体" w:hAnsi="宋体" w:cs="宋体"/>
                <w:snapToGrid w:val="0"/>
                <w:kern w:val="0"/>
                <w:szCs w:val="21"/>
              </w:rPr>
            </w:pPr>
            <w:r>
              <w:rPr>
                <w:rFonts w:hint="eastAsia" w:ascii="宋体" w:hAnsi="宋体" w:cs="宋体"/>
                <w:snapToGrid w:val="0"/>
                <w:kern w:val="0"/>
                <w:szCs w:val="21"/>
              </w:rPr>
              <w:t>备注：</w:t>
            </w:r>
          </w:p>
          <w:p>
            <w:pPr>
              <w:keepNext w:val="0"/>
              <w:keepLines w:val="0"/>
              <w:pageBreakBefore w:val="0"/>
              <w:kinsoku/>
              <w:wordWrap/>
              <w:overflowPunct/>
              <w:topLinePunct w:val="0"/>
              <w:bidi w:val="0"/>
              <w:adjustRightInd w:val="0"/>
              <w:snapToGrid w:val="0"/>
              <w:spacing w:line="380" w:lineRule="exact"/>
              <w:textAlignment w:val="auto"/>
              <w:rPr>
                <w:rFonts w:ascii="宋体" w:hAnsi="宋体" w:cs="宋体"/>
                <w:bCs/>
                <w:snapToGrid w:val="0"/>
                <w:kern w:val="0"/>
                <w:szCs w:val="21"/>
              </w:rPr>
            </w:pPr>
            <w:r>
              <w:rPr>
                <w:rFonts w:hint="eastAsia" w:ascii="宋体" w:hAnsi="宋体" w:cs="宋体"/>
                <w:snapToGrid w:val="0"/>
                <w:kern w:val="0"/>
                <w:szCs w:val="21"/>
              </w:rPr>
              <w:t>1、因落实政府采购政策进行价格调整的，以调整后的价格计算评标基准价和投标报价</w:t>
            </w:r>
            <w:r>
              <w:rPr>
                <w:rFonts w:hint="eastAsia" w:ascii="宋体" w:hAnsi="宋体" w:cs="宋体"/>
                <w:bCs/>
                <w:snapToGrid w:val="0"/>
                <w:kern w:val="0"/>
                <w:szCs w:val="21"/>
              </w:rPr>
              <w:t>；</w:t>
            </w:r>
          </w:p>
          <w:p>
            <w:pPr>
              <w:keepNext w:val="0"/>
              <w:keepLines w:val="0"/>
              <w:pageBreakBefore w:val="0"/>
              <w:kinsoku/>
              <w:wordWrap/>
              <w:overflowPunct/>
              <w:topLinePunct w:val="0"/>
              <w:autoSpaceDE w:val="0"/>
              <w:autoSpaceDN w:val="0"/>
              <w:bidi w:val="0"/>
              <w:adjustRightInd w:val="0"/>
              <w:spacing w:line="380" w:lineRule="exact"/>
              <w:jc w:val="left"/>
              <w:textAlignment w:val="auto"/>
              <w:rPr>
                <w:rFonts w:ascii="宋体" w:hAnsi="宋体" w:cs="宋体"/>
                <w:szCs w:val="21"/>
              </w:rPr>
            </w:pP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b/>
                <w:szCs w:val="21"/>
              </w:rPr>
            </w:pPr>
            <w:r>
              <w:rPr>
                <w:rFonts w:hint="eastAsia" w:ascii="宋体" w:hAnsi="宋体" w:cs="宋体"/>
                <w:b/>
                <w:szCs w:val="21"/>
              </w:rPr>
              <w:t>二、技术部分</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b/>
                <w:szCs w:val="21"/>
              </w:rPr>
            </w:pPr>
            <w:r>
              <w:rPr>
                <w:rFonts w:hint="eastAsia" w:ascii="宋体" w:hAnsi="宋体" w:cs="宋体"/>
                <w:b/>
                <w:szCs w:val="21"/>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rPr>
              <w:t>序号</w:t>
            </w:r>
          </w:p>
        </w:tc>
        <w:tc>
          <w:tcPr>
            <w:tcW w:w="1143"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rPr>
              <w:t>内容</w:t>
            </w:r>
          </w:p>
        </w:tc>
        <w:tc>
          <w:tcPr>
            <w:tcW w:w="709"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rPr>
              <w:t>权重</w:t>
            </w:r>
          </w:p>
        </w:tc>
        <w:tc>
          <w:tcPr>
            <w:tcW w:w="5953"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rPr>
              <w:t>评分规则</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rPr>
              <w:t>1</w:t>
            </w:r>
          </w:p>
        </w:tc>
        <w:tc>
          <w:tcPr>
            <w:tcW w:w="1143"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kern w:val="0"/>
                <w:szCs w:val="21"/>
              </w:rPr>
            </w:pPr>
            <w:r>
              <w:rPr>
                <w:rFonts w:hint="eastAsia" w:ascii="宋体" w:hAnsi="宋体" w:cs="宋体"/>
                <w:szCs w:val="21"/>
              </w:rPr>
              <w:t>实施方案</w:t>
            </w:r>
          </w:p>
        </w:tc>
        <w:tc>
          <w:tcPr>
            <w:tcW w:w="709" w:type="dxa"/>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kern w:val="0"/>
                <w:szCs w:val="21"/>
                <w:lang w:val="en-US" w:eastAsia="zh-CN"/>
              </w:rPr>
            </w:pPr>
            <w:r>
              <w:rPr>
                <w:rFonts w:hint="eastAsia" w:ascii="宋体" w:hAnsi="宋体" w:cs="宋体"/>
                <w:szCs w:val="21"/>
              </w:rPr>
              <w:t>1</w:t>
            </w:r>
            <w:r>
              <w:rPr>
                <w:rFonts w:hint="eastAsia" w:ascii="宋体" w:hAnsi="宋体" w:cs="宋体"/>
                <w:szCs w:val="21"/>
                <w:lang w:val="en-US" w:eastAsia="zh-CN"/>
              </w:rPr>
              <w:t>4</w:t>
            </w:r>
          </w:p>
        </w:tc>
        <w:tc>
          <w:tcPr>
            <w:tcW w:w="5953" w:type="dxa"/>
          </w:tcPr>
          <w:p>
            <w:pPr>
              <w:pStyle w:val="18"/>
              <w:spacing w:line="380" w:lineRule="exact"/>
              <w:rPr>
                <w:rFonts w:ascii="宋体" w:hAnsi="宋体" w:cs="宋体"/>
                <w:szCs w:val="21"/>
              </w:rPr>
            </w:pPr>
            <w:r>
              <w:rPr>
                <w:rFonts w:hint="eastAsia" w:ascii="宋体" w:hAnsi="宋体" w:cs="宋体"/>
                <w:kern w:val="0"/>
                <w:szCs w:val="21"/>
              </w:rPr>
              <w:t>（一）</w:t>
            </w:r>
            <w:r>
              <w:rPr>
                <w:rFonts w:hint="eastAsia" w:ascii="宋体" w:hAnsi="宋体" w:cs="宋体"/>
                <w:szCs w:val="21"/>
              </w:rPr>
              <w:t>评分内容：</w:t>
            </w:r>
          </w:p>
          <w:p>
            <w:pPr>
              <w:pStyle w:val="18"/>
              <w:spacing w:line="380" w:lineRule="exact"/>
              <w:rPr>
                <w:rFonts w:ascii="宋体" w:hAnsi="宋体" w:cs="宋体"/>
                <w:szCs w:val="21"/>
              </w:rPr>
            </w:pPr>
            <w:r>
              <w:rPr>
                <w:rFonts w:hint="eastAsia" w:ascii="宋体" w:hAnsi="宋体" w:cs="宋体"/>
                <w:szCs w:val="21"/>
              </w:rPr>
              <w:t>投标文件中实施方案应包括但不限于以下内容：</w:t>
            </w:r>
          </w:p>
          <w:p>
            <w:pPr>
              <w:pStyle w:val="18"/>
              <w:spacing w:line="380" w:lineRule="exact"/>
              <w:rPr>
                <w:rFonts w:ascii="宋体" w:hAnsi="宋体" w:cs="宋体"/>
                <w:szCs w:val="21"/>
              </w:rPr>
            </w:pPr>
            <w:r>
              <w:rPr>
                <w:rFonts w:hint="eastAsia" w:ascii="宋体" w:hAnsi="宋体" w:cs="宋体"/>
                <w:szCs w:val="21"/>
              </w:rPr>
              <w:t>1.项目总体实施方案；</w:t>
            </w:r>
          </w:p>
          <w:p>
            <w:pPr>
              <w:pStyle w:val="18"/>
              <w:spacing w:line="380" w:lineRule="exact"/>
              <w:rPr>
                <w:rFonts w:ascii="宋体" w:hAnsi="宋体" w:cs="宋体"/>
                <w:szCs w:val="21"/>
              </w:rPr>
            </w:pPr>
            <w:r>
              <w:rPr>
                <w:rFonts w:hint="eastAsia" w:ascii="宋体" w:hAnsi="宋体" w:cs="宋体"/>
                <w:szCs w:val="21"/>
              </w:rPr>
              <w:t>2.实施方法的手段；</w:t>
            </w:r>
          </w:p>
          <w:p>
            <w:pPr>
              <w:pStyle w:val="18"/>
              <w:spacing w:line="380" w:lineRule="exact"/>
              <w:rPr>
                <w:rFonts w:ascii="宋体" w:hAnsi="宋体" w:cs="宋体"/>
                <w:szCs w:val="21"/>
              </w:rPr>
            </w:pPr>
            <w:r>
              <w:rPr>
                <w:rFonts w:hint="eastAsia" w:ascii="宋体" w:hAnsi="宋体" w:cs="宋体"/>
                <w:szCs w:val="21"/>
              </w:rPr>
              <w:t>3.实施方法的流程；</w:t>
            </w:r>
          </w:p>
          <w:p>
            <w:pPr>
              <w:pStyle w:val="18"/>
              <w:spacing w:line="380" w:lineRule="exact"/>
              <w:rPr>
                <w:rFonts w:ascii="宋体" w:hAnsi="宋体" w:cs="宋体"/>
                <w:szCs w:val="21"/>
              </w:rPr>
            </w:pPr>
            <w:r>
              <w:rPr>
                <w:rFonts w:hint="eastAsia" w:ascii="宋体" w:hAnsi="宋体" w:cs="宋体"/>
                <w:szCs w:val="21"/>
              </w:rPr>
              <w:t>4.后续服务相关内容。</w:t>
            </w:r>
          </w:p>
          <w:p>
            <w:pPr>
              <w:pStyle w:val="18"/>
              <w:spacing w:line="380" w:lineRule="exact"/>
              <w:rPr>
                <w:rFonts w:ascii="宋体" w:hAnsi="宋体" w:cs="宋体"/>
                <w:szCs w:val="21"/>
              </w:rPr>
            </w:pPr>
            <w:r>
              <w:rPr>
                <w:rFonts w:hint="eastAsia" w:ascii="宋体" w:hAnsi="宋体" w:cs="宋体"/>
                <w:szCs w:val="21"/>
              </w:rPr>
              <w:t>（二）评审标准：</w:t>
            </w:r>
          </w:p>
          <w:p>
            <w:pPr>
              <w:pStyle w:val="18"/>
              <w:spacing w:line="380" w:lineRule="exact"/>
              <w:rPr>
                <w:rFonts w:ascii="宋体" w:hAnsi="宋体" w:cs="宋体"/>
                <w:szCs w:val="21"/>
              </w:rPr>
            </w:pPr>
            <w:r>
              <w:rPr>
                <w:rFonts w:hint="eastAsia" w:ascii="宋体" w:hAnsi="宋体" w:cs="宋体"/>
                <w:szCs w:val="21"/>
              </w:rPr>
              <w:t>满足以上四项要求得12分，满足以上任意三项要求得9分，满足以上任意二项要求得6分，满足以上任意一项要求得3分</w:t>
            </w:r>
            <w:r>
              <w:rPr>
                <w:rFonts w:hint="eastAsia" w:ascii="宋体" w:hAnsi="宋体" w:cs="宋体"/>
                <w:szCs w:val="21"/>
                <w:lang w:eastAsia="zh-CN"/>
              </w:rPr>
              <w:t>，</w:t>
            </w:r>
            <w:r>
              <w:rPr>
                <w:rFonts w:hint="eastAsia" w:ascii="宋体" w:hAnsi="宋体" w:cs="宋体"/>
                <w:szCs w:val="21"/>
              </w:rPr>
              <w:t>其他情况不得分。</w:t>
            </w:r>
          </w:p>
          <w:p>
            <w:pPr>
              <w:pStyle w:val="18"/>
              <w:spacing w:line="380" w:lineRule="exact"/>
              <w:rPr>
                <w:rFonts w:ascii="宋体" w:hAnsi="宋体" w:cs="宋体"/>
                <w:szCs w:val="21"/>
              </w:rPr>
            </w:pPr>
            <w:r>
              <w:rPr>
                <w:rFonts w:hint="eastAsia" w:ascii="宋体" w:hAnsi="宋体" w:cs="宋体"/>
                <w:szCs w:val="21"/>
              </w:rPr>
              <w:t>在此基础上，按投标文件响应情况进一步评审：</w:t>
            </w:r>
            <w:r>
              <w:rPr>
                <w:rFonts w:hint="eastAsia" w:ascii="宋体" w:hAnsi="宋体" w:cs="宋体"/>
                <w:szCs w:val="21"/>
              </w:rPr>
              <w:br w:type="textWrapping"/>
            </w:r>
            <w:r>
              <w:rPr>
                <w:rFonts w:hint="eastAsia" w:ascii="宋体" w:hAnsi="宋体" w:cs="宋体"/>
                <w:szCs w:val="21"/>
              </w:rPr>
              <w:t>评审为优(实施方案内容具体、内容针对性强、内容科学合理、内容可操作性强)的</w:t>
            </w:r>
            <w:r>
              <w:rPr>
                <w:rFonts w:hint="eastAsia" w:ascii="宋体" w:hAnsi="宋体" w:cs="宋体"/>
                <w:szCs w:val="21"/>
                <w:lang w:eastAsia="zh-CN"/>
              </w:rPr>
              <w:t>，</w:t>
            </w:r>
            <w:r>
              <w:rPr>
                <w:rFonts w:hint="eastAsia" w:ascii="宋体" w:hAnsi="宋体" w:cs="宋体"/>
                <w:szCs w:val="21"/>
              </w:rPr>
              <w:t>加</w:t>
            </w:r>
            <w:r>
              <w:rPr>
                <w:rFonts w:hint="eastAsia" w:ascii="宋体" w:hAnsi="宋体" w:cs="宋体"/>
                <w:szCs w:val="21"/>
                <w:lang w:val="en-US" w:eastAsia="zh-CN"/>
              </w:rPr>
              <w:t>2</w:t>
            </w:r>
            <w:r>
              <w:rPr>
                <w:rFonts w:hint="eastAsia" w:ascii="宋体" w:hAnsi="宋体" w:cs="宋体"/>
                <w:szCs w:val="21"/>
              </w:rPr>
              <w:t>分；</w:t>
            </w:r>
          </w:p>
          <w:p>
            <w:pPr>
              <w:pStyle w:val="18"/>
              <w:spacing w:line="380" w:lineRule="exact"/>
              <w:rPr>
                <w:rFonts w:ascii="宋体" w:hAnsi="宋体" w:cs="宋体"/>
                <w:szCs w:val="21"/>
              </w:rPr>
            </w:pPr>
            <w:r>
              <w:rPr>
                <w:rFonts w:hint="eastAsia" w:ascii="宋体" w:hAnsi="宋体" w:cs="宋体"/>
                <w:szCs w:val="21"/>
              </w:rPr>
              <w:t>评审为良(实施方案内容较具体、内容针对性较强、内容较科学合理、内容可操作性较强)的</w:t>
            </w:r>
            <w:r>
              <w:rPr>
                <w:rFonts w:hint="eastAsia" w:ascii="宋体" w:hAnsi="宋体" w:cs="宋体"/>
                <w:szCs w:val="21"/>
                <w:lang w:eastAsia="zh-CN"/>
              </w:rPr>
              <w:t>，</w:t>
            </w:r>
            <w:r>
              <w:rPr>
                <w:rFonts w:hint="eastAsia" w:ascii="宋体" w:hAnsi="宋体" w:cs="宋体"/>
                <w:szCs w:val="21"/>
              </w:rPr>
              <w:t>加</w:t>
            </w:r>
            <w:r>
              <w:rPr>
                <w:rFonts w:hint="eastAsia" w:ascii="宋体" w:hAnsi="宋体" w:cs="宋体"/>
                <w:szCs w:val="21"/>
                <w:lang w:val="en-US" w:eastAsia="zh-CN"/>
              </w:rPr>
              <w:t>1.5</w:t>
            </w:r>
            <w:r>
              <w:rPr>
                <w:rFonts w:hint="eastAsia" w:ascii="宋体" w:hAnsi="宋体" w:cs="宋体"/>
                <w:szCs w:val="21"/>
              </w:rPr>
              <w:t>分；</w:t>
            </w:r>
          </w:p>
          <w:p>
            <w:pPr>
              <w:pStyle w:val="18"/>
              <w:spacing w:line="380" w:lineRule="exact"/>
              <w:rPr>
                <w:rFonts w:ascii="宋体" w:hAnsi="宋体" w:cs="宋体"/>
                <w:kern w:val="0"/>
                <w:szCs w:val="21"/>
              </w:rPr>
            </w:pPr>
            <w:r>
              <w:rPr>
                <w:rFonts w:hint="eastAsia" w:ascii="宋体" w:hAnsi="宋体" w:cs="宋体"/>
                <w:szCs w:val="21"/>
              </w:rPr>
              <w:t>评审为中(实施方案内容具体性一般、内容针对性一般)的</w:t>
            </w:r>
            <w:r>
              <w:rPr>
                <w:rFonts w:hint="eastAsia" w:ascii="宋体" w:hAnsi="宋体" w:cs="宋体"/>
                <w:szCs w:val="21"/>
                <w:lang w:eastAsia="zh-CN"/>
              </w:rPr>
              <w:t>，</w:t>
            </w:r>
            <w:r>
              <w:rPr>
                <w:rFonts w:hint="eastAsia" w:ascii="宋体" w:hAnsi="宋体" w:cs="宋体"/>
                <w:szCs w:val="21"/>
              </w:rPr>
              <w:t>加1分</w:t>
            </w:r>
            <w:r>
              <w:rPr>
                <w:rFonts w:hint="eastAsia" w:ascii="宋体" w:hAnsi="宋体" w:cs="宋体"/>
                <w:szCs w:val="21"/>
                <w:lang w:eastAsia="zh-CN"/>
              </w:rPr>
              <w:t>；</w:t>
            </w:r>
            <w:r>
              <w:rPr>
                <w:rFonts w:hint="eastAsia" w:ascii="宋体" w:hAnsi="宋体" w:cs="宋体"/>
                <w:szCs w:val="21"/>
                <w:lang w:eastAsia="zh-CN"/>
              </w:rPr>
              <w:br w:type="textWrapping"/>
            </w:r>
            <w:r>
              <w:rPr>
                <w:rFonts w:hint="eastAsia"/>
              </w:rPr>
              <w:t>评审为差（实施方案内容不具体、内容针对性低)，不加分。</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2"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lang w:val="zh-CN"/>
              </w:rPr>
            </w:pPr>
            <w:r>
              <w:rPr>
                <w:rFonts w:hint="eastAsia" w:ascii="宋体" w:hAnsi="宋体" w:cs="宋体"/>
                <w:szCs w:val="21"/>
              </w:rPr>
              <w:t>2</w:t>
            </w:r>
          </w:p>
        </w:tc>
        <w:tc>
          <w:tcPr>
            <w:tcW w:w="1143"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kern w:val="0"/>
                <w:szCs w:val="21"/>
              </w:rPr>
            </w:pPr>
            <w:r>
              <w:rPr>
                <w:rFonts w:hint="eastAsia" w:ascii="宋体" w:hAnsi="宋体" w:cs="宋体"/>
                <w:szCs w:val="21"/>
              </w:rPr>
              <w:t>项目重点难点分析、应对措施及相关的合理化建议</w:t>
            </w:r>
          </w:p>
        </w:tc>
        <w:tc>
          <w:tcPr>
            <w:tcW w:w="709" w:type="dxa"/>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kern w:val="0"/>
                <w:szCs w:val="21"/>
                <w:lang w:val="en-US" w:eastAsia="zh-CN"/>
              </w:rPr>
            </w:pPr>
            <w:r>
              <w:rPr>
                <w:rFonts w:hint="eastAsia" w:ascii="宋体" w:hAnsi="宋体" w:cs="宋体"/>
                <w:szCs w:val="21"/>
              </w:rPr>
              <w:t>1</w:t>
            </w:r>
            <w:r>
              <w:rPr>
                <w:rFonts w:hint="eastAsia" w:ascii="宋体" w:hAnsi="宋体" w:cs="宋体"/>
                <w:szCs w:val="21"/>
                <w:lang w:val="en-US" w:eastAsia="zh-CN"/>
              </w:rPr>
              <w:t>4</w:t>
            </w:r>
          </w:p>
        </w:tc>
        <w:tc>
          <w:tcPr>
            <w:tcW w:w="5953" w:type="dxa"/>
            <w:vAlign w:val="center"/>
          </w:tcPr>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kern w:val="0"/>
                <w:szCs w:val="21"/>
              </w:rPr>
              <w:t>（一）</w:t>
            </w:r>
            <w:r>
              <w:rPr>
                <w:rFonts w:hint="eastAsia" w:ascii="宋体" w:hAnsi="宋体" w:cs="宋体"/>
                <w:szCs w:val="21"/>
              </w:rPr>
              <w:t>评分内容：</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投标文件中重难点内容应包括但不限于以下内容：</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1.项目重点难点分析；</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2.项目重点难点应对措施；</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3.项目重点难点相关合理化建议。</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（二）评审标准：</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满足以上三项要求的得12分，满足其中二项要求的得8分，满足其中一项要求的得4分，其他情况不得分。</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在此基础上，按投标文件响应情况进一步评审：</w:t>
            </w:r>
            <w:r>
              <w:rPr>
                <w:rFonts w:hint="eastAsia" w:ascii="宋体" w:hAnsi="宋体" w:cs="宋体"/>
                <w:szCs w:val="21"/>
              </w:rPr>
              <w:br w:type="textWrapping"/>
            </w:r>
            <w:r>
              <w:rPr>
                <w:rFonts w:hint="eastAsia" w:ascii="宋体" w:hAnsi="宋体" w:cs="宋体"/>
                <w:szCs w:val="21"/>
              </w:rPr>
              <w:t>评审为优(重点难点分析内容全面、针对性强、科学合理)的</w:t>
            </w:r>
            <w:r>
              <w:rPr>
                <w:rFonts w:hint="eastAsia" w:ascii="宋体" w:hAnsi="宋体" w:cs="宋体"/>
                <w:szCs w:val="21"/>
                <w:lang w:eastAsia="zh-CN"/>
              </w:rPr>
              <w:t>，</w:t>
            </w:r>
            <w:r>
              <w:rPr>
                <w:rFonts w:hint="eastAsia" w:ascii="宋体" w:hAnsi="宋体" w:cs="宋体"/>
                <w:szCs w:val="21"/>
              </w:rPr>
              <w:t>加</w:t>
            </w:r>
            <w:r>
              <w:rPr>
                <w:rFonts w:hint="eastAsia" w:ascii="宋体" w:hAnsi="宋体" w:cs="宋体"/>
                <w:szCs w:val="21"/>
                <w:lang w:val="en-US" w:eastAsia="zh-CN"/>
              </w:rPr>
              <w:t>2</w:t>
            </w:r>
            <w:r>
              <w:rPr>
                <w:rFonts w:hint="eastAsia" w:ascii="宋体" w:hAnsi="宋体" w:cs="宋体"/>
                <w:szCs w:val="21"/>
              </w:rPr>
              <w:t>分；</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评审为良(重点难点分析内容较全面、针对性较强、较科学合理)的</w:t>
            </w:r>
            <w:r>
              <w:rPr>
                <w:rFonts w:hint="eastAsia" w:ascii="宋体" w:hAnsi="宋体" w:cs="宋体"/>
                <w:szCs w:val="21"/>
                <w:lang w:eastAsia="zh-CN"/>
              </w:rPr>
              <w:t>，</w:t>
            </w:r>
            <w:r>
              <w:rPr>
                <w:rFonts w:hint="eastAsia" w:ascii="宋体" w:hAnsi="宋体" w:cs="宋体"/>
                <w:szCs w:val="21"/>
              </w:rPr>
              <w:t>加</w:t>
            </w:r>
            <w:r>
              <w:rPr>
                <w:rFonts w:hint="eastAsia" w:ascii="宋体" w:hAnsi="宋体" w:cs="宋体"/>
                <w:szCs w:val="21"/>
                <w:lang w:val="en-US" w:eastAsia="zh-CN"/>
              </w:rPr>
              <w:t>1.5</w:t>
            </w:r>
            <w:r>
              <w:rPr>
                <w:rFonts w:hint="eastAsia" w:ascii="宋体" w:hAnsi="宋体" w:cs="宋体"/>
                <w:szCs w:val="21"/>
              </w:rPr>
              <w:t>分；</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评审为中(重点难点分析内容全面性一般、针对性一般、科学合理性一般)的</w:t>
            </w:r>
            <w:r>
              <w:rPr>
                <w:rFonts w:hint="eastAsia" w:ascii="宋体" w:hAnsi="宋体" w:cs="宋体"/>
                <w:szCs w:val="21"/>
                <w:lang w:eastAsia="zh-CN"/>
              </w:rPr>
              <w:t>，</w:t>
            </w:r>
            <w:r>
              <w:rPr>
                <w:rFonts w:hint="eastAsia" w:ascii="宋体" w:hAnsi="宋体" w:cs="宋体"/>
                <w:szCs w:val="21"/>
              </w:rPr>
              <w:t>加1分</w:t>
            </w:r>
            <w:r>
              <w:rPr>
                <w:rFonts w:hint="eastAsia" w:ascii="宋体" w:hAnsi="宋体" w:cs="宋体"/>
                <w:szCs w:val="21"/>
                <w:lang w:eastAsia="zh-CN"/>
              </w:rPr>
              <w:t>；</w:t>
            </w:r>
            <w:r>
              <w:rPr>
                <w:rFonts w:hint="eastAsia" w:ascii="宋体" w:hAnsi="宋体" w:cs="宋体"/>
                <w:szCs w:val="21"/>
                <w:lang w:eastAsia="zh-CN"/>
              </w:rPr>
              <w:br w:type="textWrapping"/>
            </w:r>
            <w:r>
              <w:rPr>
                <w:rFonts w:hint="eastAsia"/>
              </w:rPr>
              <w:t>评审为差（重点难点分析内容不全面、内容针对性低，不科学合理)</w:t>
            </w:r>
            <w:r>
              <w:rPr>
                <w:rFonts w:hint="eastAsia" w:ascii="宋体" w:hAnsi="宋体" w:cs="宋体"/>
                <w:szCs w:val="21"/>
                <w:lang w:eastAsia="zh-CN"/>
              </w:rPr>
              <w:t>，</w:t>
            </w:r>
            <w:r>
              <w:rPr>
                <w:rFonts w:hint="eastAsia" w:ascii="宋体" w:hAnsi="宋体" w:cs="宋体"/>
                <w:szCs w:val="21"/>
              </w:rPr>
              <w:t>不加分。</w:t>
            </w:r>
          </w:p>
        </w:tc>
        <w:tc>
          <w:tcPr>
            <w:tcW w:w="1187"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zCs w:val="21"/>
                <w:lang w:val="zh-CN"/>
              </w:rPr>
            </w:pPr>
            <w:r>
              <w:rPr>
                <w:rFonts w:hint="eastAsia" w:ascii="宋体" w:hAnsi="宋体" w:cs="宋体"/>
                <w:szCs w:val="21"/>
              </w:rPr>
              <w:t>评委</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0"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1143"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kern w:val="0"/>
                <w:szCs w:val="21"/>
                <w:highlight w:val="none"/>
              </w:rPr>
            </w:pPr>
            <w:r>
              <w:rPr>
                <w:rFonts w:hint="eastAsia" w:ascii="宋体" w:hAnsi="宋体" w:cs="宋体"/>
                <w:szCs w:val="21"/>
                <w:highlight w:val="none"/>
              </w:rPr>
              <w:t>质量（完成时间、安全、环保）保障措施及方案</w:t>
            </w:r>
          </w:p>
        </w:tc>
        <w:tc>
          <w:tcPr>
            <w:tcW w:w="709" w:type="dxa"/>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kern w:val="0"/>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4</w:t>
            </w:r>
          </w:p>
        </w:tc>
        <w:tc>
          <w:tcPr>
            <w:tcW w:w="5953" w:type="dxa"/>
            <w:vAlign w:val="center"/>
          </w:tcPr>
          <w:p>
            <w:pPr>
              <w:keepNext w:val="0"/>
              <w:keepLines w:val="0"/>
              <w:pageBreakBefore w:val="0"/>
              <w:kinsoku/>
              <w:wordWrap/>
              <w:overflowPunct/>
              <w:topLinePunct w:val="0"/>
              <w:bidi w:val="0"/>
              <w:spacing w:line="380" w:lineRule="exact"/>
              <w:textAlignment w:val="auto"/>
              <w:rPr>
                <w:rFonts w:ascii="宋体" w:hAnsi="宋体" w:cs="宋体"/>
                <w:szCs w:val="21"/>
                <w:highlight w:val="none"/>
              </w:rPr>
            </w:pPr>
            <w:r>
              <w:rPr>
                <w:rFonts w:hint="eastAsia" w:ascii="宋体" w:hAnsi="宋体" w:cs="宋体"/>
                <w:kern w:val="0"/>
                <w:szCs w:val="21"/>
                <w:highlight w:val="none"/>
              </w:rPr>
              <w:t>（一）</w:t>
            </w:r>
            <w:r>
              <w:rPr>
                <w:rFonts w:hint="eastAsia" w:ascii="宋体" w:hAnsi="宋体" w:cs="宋体"/>
                <w:szCs w:val="21"/>
                <w:highlight w:val="none"/>
              </w:rPr>
              <w:t>评分内容：</w:t>
            </w:r>
          </w:p>
          <w:p>
            <w:pPr>
              <w:keepNext w:val="0"/>
              <w:keepLines w:val="0"/>
              <w:pageBreakBefore w:val="0"/>
              <w:kinsoku/>
              <w:wordWrap/>
              <w:overflowPunct/>
              <w:topLinePunct w:val="0"/>
              <w:bidi w:val="0"/>
              <w:spacing w:line="380" w:lineRule="exact"/>
              <w:textAlignment w:val="auto"/>
              <w:rPr>
                <w:rFonts w:ascii="宋体" w:hAnsi="宋体" w:cs="宋体"/>
                <w:szCs w:val="21"/>
                <w:highlight w:val="none"/>
              </w:rPr>
            </w:pPr>
            <w:r>
              <w:rPr>
                <w:rFonts w:hint="eastAsia" w:ascii="宋体" w:hAnsi="宋体" w:cs="宋体"/>
                <w:szCs w:val="21"/>
                <w:highlight w:val="none"/>
              </w:rPr>
              <w:t>投标文件中质量保障措施及方案中内容应包括但不限于以下内容：</w:t>
            </w:r>
          </w:p>
          <w:p>
            <w:pPr>
              <w:keepNext w:val="0"/>
              <w:keepLines w:val="0"/>
              <w:pageBreakBefore w:val="0"/>
              <w:kinsoku/>
              <w:wordWrap/>
              <w:overflowPunct/>
              <w:topLinePunct w:val="0"/>
              <w:autoSpaceDE w:val="0"/>
              <w:autoSpaceDN w:val="0"/>
              <w:bidi w:val="0"/>
              <w:adjustRightInd w:val="0"/>
              <w:spacing w:line="380" w:lineRule="exact"/>
              <w:textAlignment w:val="auto"/>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1、</w:t>
            </w:r>
            <w:r>
              <w:rPr>
                <w:rFonts w:hint="eastAsia" w:ascii="宋体" w:hAnsi="宋体"/>
                <w:kern w:val="0"/>
                <w:szCs w:val="21"/>
                <w:highlight w:val="none"/>
              </w:rPr>
              <w:t>项目质量管理制度</w:t>
            </w:r>
            <w:r>
              <w:rPr>
                <w:rFonts w:hint="eastAsia" w:asciiTheme="minorEastAsia" w:hAnsiTheme="minorEastAsia" w:eastAsiaTheme="minorEastAsia"/>
                <w:kern w:val="0"/>
                <w:szCs w:val="21"/>
                <w:highlight w:val="none"/>
              </w:rPr>
              <w:t>；</w:t>
            </w:r>
          </w:p>
          <w:p>
            <w:pPr>
              <w:keepNext w:val="0"/>
              <w:keepLines w:val="0"/>
              <w:pageBreakBefore w:val="0"/>
              <w:kinsoku/>
              <w:wordWrap/>
              <w:overflowPunct/>
              <w:topLinePunct w:val="0"/>
              <w:autoSpaceDE w:val="0"/>
              <w:autoSpaceDN w:val="0"/>
              <w:bidi w:val="0"/>
              <w:adjustRightInd w:val="0"/>
              <w:spacing w:line="380" w:lineRule="exact"/>
              <w:textAlignment w:val="auto"/>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2、</w:t>
            </w:r>
            <w:r>
              <w:rPr>
                <w:rFonts w:hint="eastAsia" w:ascii="宋体" w:hAnsi="宋体"/>
                <w:kern w:val="0"/>
                <w:szCs w:val="21"/>
                <w:highlight w:val="none"/>
              </w:rPr>
              <w:t>服务质量检查、整改方案</w:t>
            </w:r>
            <w:r>
              <w:rPr>
                <w:rFonts w:hint="eastAsia" w:asciiTheme="minorEastAsia" w:hAnsiTheme="minorEastAsia" w:eastAsiaTheme="minorEastAsia"/>
                <w:kern w:val="0"/>
                <w:szCs w:val="21"/>
                <w:highlight w:val="none"/>
              </w:rPr>
              <w:t>；</w:t>
            </w:r>
          </w:p>
          <w:p>
            <w:pPr>
              <w:keepNext w:val="0"/>
              <w:keepLines w:val="0"/>
              <w:pageBreakBefore w:val="0"/>
              <w:kinsoku/>
              <w:wordWrap/>
              <w:overflowPunct/>
              <w:topLinePunct w:val="0"/>
              <w:autoSpaceDE w:val="0"/>
              <w:autoSpaceDN w:val="0"/>
              <w:bidi w:val="0"/>
              <w:adjustRightInd w:val="0"/>
              <w:spacing w:line="380" w:lineRule="exact"/>
              <w:textAlignment w:val="auto"/>
              <w:rPr>
                <w:rFonts w:hint="default"/>
                <w:highlight w:val="none"/>
                <w:lang w:val="en-US" w:eastAsia="zh-CN"/>
              </w:rPr>
            </w:pPr>
            <w:r>
              <w:rPr>
                <w:rFonts w:hint="eastAsia" w:asciiTheme="minorEastAsia" w:hAnsiTheme="minorEastAsia" w:eastAsiaTheme="minorEastAsia"/>
                <w:kern w:val="0"/>
                <w:szCs w:val="21"/>
                <w:highlight w:val="none"/>
              </w:rPr>
              <w:t>3、</w:t>
            </w:r>
            <w:r>
              <w:rPr>
                <w:rFonts w:hint="eastAsia" w:ascii="宋体" w:hAnsi="宋体"/>
                <w:kern w:val="0"/>
                <w:szCs w:val="21"/>
                <w:highlight w:val="none"/>
              </w:rPr>
              <w:t>项目成果保障措施</w:t>
            </w:r>
            <w:r>
              <w:rPr>
                <w:rFonts w:hint="eastAsia" w:asciiTheme="minorEastAsia" w:hAnsiTheme="minorEastAsia" w:eastAsiaTheme="minorEastAsia"/>
                <w:kern w:val="0"/>
                <w:szCs w:val="21"/>
                <w:highlight w:val="none"/>
              </w:rPr>
              <w:t>。</w:t>
            </w:r>
          </w:p>
          <w:p>
            <w:pPr>
              <w:keepNext w:val="0"/>
              <w:keepLines w:val="0"/>
              <w:pageBreakBefore w:val="0"/>
              <w:kinsoku/>
              <w:wordWrap/>
              <w:overflowPunct/>
              <w:topLinePunct w:val="0"/>
              <w:bidi w:val="0"/>
              <w:spacing w:line="380" w:lineRule="exact"/>
              <w:textAlignment w:val="auto"/>
              <w:rPr>
                <w:rFonts w:ascii="宋体" w:hAnsi="宋体" w:cs="宋体"/>
                <w:szCs w:val="21"/>
                <w:highlight w:val="none"/>
              </w:rPr>
            </w:pPr>
            <w:r>
              <w:rPr>
                <w:rFonts w:hint="eastAsia" w:ascii="宋体" w:hAnsi="宋体" w:cs="宋体"/>
                <w:szCs w:val="21"/>
                <w:highlight w:val="none"/>
              </w:rPr>
              <w:t>（二）评审标准：</w:t>
            </w:r>
          </w:p>
          <w:p>
            <w:pPr>
              <w:keepNext w:val="0"/>
              <w:keepLines w:val="0"/>
              <w:pageBreakBefore w:val="0"/>
              <w:kinsoku/>
              <w:wordWrap/>
              <w:overflowPunct/>
              <w:topLinePunct w:val="0"/>
              <w:bidi w:val="0"/>
              <w:spacing w:line="380" w:lineRule="exact"/>
              <w:textAlignment w:val="auto"/>
              <w:rPr>
                <w:rFonts w:ascii="宋体" w:hAnsi="宋体" w:cs="宋体"/>
                <w:szCs w:val="21"/>
                <w:highlight w:val="none"/>
              </w:rPr>
            </w:pPr>
            <w:r>
              <w:rPr>
                <w:rFonts w:hint="eastAsia" w:ascii="宋体" w:hAnsi="宋体" w:cs="宋体"/>
                <w:szCs w:val="21"/>
                <w:highlight w:val="none"/>
              </w:rPr>
              <w:t>满足其中三项要求的得</w:t>
            </w:r>
            <w:r>
              <w:rPr>
                <w:rFonts w:hint="eastAsia" w:ascii="宋体" w:hAnsi="宋体" w:cs="宋体"/>
                <w:szCs w:val="21"/>
                <w:highlight w:val="none"/>
                <w:lang w:val="en-US" w:eastAsia="zh-CN"/>
              </w:rPr>
              <w:t>12</w:t>
            </w:r>
            <w:r>
              <w:rPr>
                <w:rFonts w:hint="eastAsia" w:ascii="宋体" w:hAnsi="宋体" w:cs="宋体"/>
                <w:szCs w:val="21"/>
                <w:highlight w:val="none"/>
              </w:rPr>
              <w:t>分，满足其中二项要求的得</w:t>
            </w:r>
            <w:r>
              <w:rPr>
                <w:rFonts w:hint="eastAsia" w:ascii="宋体" w:hAnsi="宋体" w:cs="宋体"/>
                <w:szCs w:val="21"/>
                <w:highlight w:val="none"/>
                <w:lang w:val="en-US" w:eastAsia="zh-CN"/>
              </w:rPr>
              <w:t>8</w:t>
            </w:r>
            <w:r>
              <w:rPr>
                <w:rFonts w:hint="eastAsia" w:ascii="宋体" w:hAnsi="宋体" w:cs="宋体"/>
                <w:szCs w:val="21"/>
                <w:highlight w:val="none"/>
              </w:rPr>
              <w:t>分，满足以上任意一项要求得</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其他情况不得分。</w:t>
            </w:r>
          </w:p>
          <w:p>
            <w:pPr>
              <w:keepNext w:val="0"/>
              <w:keepLines w:val="0"/>
              <w:pageBreakBefore w:val="0"/>
              <w:kinsoku/>
              <w:wordWrap/>
              <w:overflowPunct/>
              <w:topLinePunct w:val="0"/>
              <w:bidi w:val="0"/>
              <w:spacing w:line="380" w:lineRule="exact"/>
              <w:jc w:val="left"/>
              <w:textAlignment w:val="auto"/>
              <w:rPr>
                <w:rFonts w:ascii="宋体" w:hAnsi="宋体" w:cs="宋体"/>
                <w:szCs w:val="21"/>
                <w:highlight w:val="none"/>
              </w:rPr>
            </w:pPr>
            <w:r>
              <w:rPr>
                <w:rFonts w:hint="eastAsia" w:ascii="宋体" w:hAnsi="宋体" w:cs="宋体"/>
                <w:szCs w:val="21"/>
                <w:highlight w:val="none"/>
              </w:rPr>
              <w:t>在此基础上，按投标文件响应情况进一步评审：</w:t>
            </w:r>
            <w:r>
              <w:rPr>
                <w:rFonts w:hint="eastAsia" w:ascii="宋体" w:hAnsi="宋体" w:cs="宋体"/>
                <w:szCs w:val="21"/>
                <w:highlight w:val="none"/>
              </w:rPr>
              <w:br w:type="textWrapping"/>
            </w:r>
            <w:r>
              <w:rPr>
                <w:rFonts w:hint="eastAsia" w:ascii="宋体" w:hAnsi="宋体" w:cs="宋体"/>
                <w:szCs w:val="21"/>
                <w:highlight w:val="none"/>
              </w:rPr>
              <w:t>评审为优(</w:t>
            </w:r>
            <w:r>
              <w:rPr>
                <w:rFonts w:hint="eastAsia" w:ascii="宋体" w:hAnsi="宋体"/>
                <w:kern w:val="0"/>
                <w:szCs w:val="21"/>
                <w:highlight w:val="none"/>
              </w:rPr>
              <w:t>质量管理制度科学完善，质量检查、整改方案和项目成果保障措施可行性高</w:t>
            </w:r>
            <w:r>
              <w:rPr>
                <w:rFonts w:hint="eastAsia" w:ascii="宋体" w:hAnsi="宋体" w:cs="宋体"/>
                <w:szCs w:val="21"/>
                <w:highlight w:val="none"/>
              </w:rPr>
              <w:t>)的</w:t>
            </w:r>
            <w:r>
              <w:rPr>
                <w:rFonts w:hint="eastAsia" w:ascii="宋体" w:hAnsi="宋体" w:cs="宋体"/>
                <w:szCs w:val="21"/>
                <w:highlight w:val="none"/>
                <w:lang w:eastAsia="zh-CN"/>
              </w:rPr>
              <w:t>，</w:t>
            </w:r>
            <w:r>
              <w:rPr>
                <w:rFonts w:hint="eastAsia" w:ascii="宋体" w:hAnsi="宋体" w:cs="宋体"/>
                <w:szCs w:val="21"/>
                <w:highlight w:val="none"/>
              </w:rPr>
              <w:t>加</w:t>
            </w:r>
            <w:r>
              <w:rPr>
                <w:rFonts w:hint="eastAsia" w:ascii="宋体" w:hAnsi="宋体" w:cs="宋体"/>
                <w:szCs w:val="21"/>
                <w:highlight w:val="none"/>
                <w:lang w:val="en-US" w:eastAsia="zh-CN"/>
              </w:rPr>
              <w:t>2</w:t>
            </w:r>
            <w:r>
              <w:rPr>
                <w:rFonts w:hint="eastAsia" w:ascii="宋体" w:hAnsi="宋体" w:cs="宋体"/>
                <w:szCs w:val="21"/>
                <w:highlight w:val="none"/>
              </w:rPr>
              <w:t>分；</w:t>
            </w:r>
          </w:p>
          <w:p>
            <w:pPr>
              <w:keepNext w:val="0"/>
              <w:keepLines w:val="0"/>
              <w:pageBreakBefore w:val="0"/>
              <w:kinsoku/>
              <w:wordWrap/>
              <w:overflowPunct/>
              <w:topLinePunct w:val="0"/>
              <w:bidi w:val="0"/>
              <w:spacing w:line="380" w:lineRule="exact"/>
              <w:jc w:val="left"/>
              <w:textAlignment w:val="auto"/>
              <w:rPr>
                <w:rFonts w:ascii="宋体" w:hAnsi="宋体" w:cs="宋体"/>
                <w:szCs w:val="21"/>
                <w:highlight w:val="none"/>
              </w:rPr>
            </w:pPr>
            <w:r>
              <w:rPr>
                <w:rFonts w:hint="eastAsia" w:ascii="宋体" w:hAnsi="宋体" w:cs="宋体"/>
                <w:szCs w:val="21"/>
                <w:highlight w:val="none"/>
              </w:rPr>
              <w:t>评审为良(</w:t>
            </w:r>
            <w:r>
              <w:rPr>
                <w:rFonts w:hint="eastAsia" w:ascii="宋体" w:hAnsi="宋体"/>
                <w:kern w:val="0"/>
                <w:szCs w:val="21"/>
                <w:highlight w:val="none"/>
              </w:rPr>
              <w:t>质量管理制度比较完善，质量检查、整改方案和项目成果保障措施可行性较高</w:t>
            </w:r>
            <w:r>
              <w:rPr>
                <w:rFonts w:hint="eastAsia" w:ascii="宋体" w:hAnsi="宋体" w:cs="宋体"/>
                <w:szCs w:val="21"/>
                <w:highlight w:val="none"/>
              </w:rPr>
              <w:t>)的</w:t>
            </w:r>
            <w:r>
              <w:rPr>
                <w:rFonts w:hint="eastAsia" w:ascii="宋体" w:hAnsi="宋体" w:cs="宋体"/>
                <w:szCs w:val="21"/>
                <w:highlight w:val="none"/>
                <w:lang w:eastAsia="zh-CN"/>
              </w:rPr>
              <w:t>，</w:t>
            </w:r>
            <w:r>
              <w:rPr>
                <w:rFonts w:hint="eastAsia" w:ascii="宋体" w:hAnsi="宋体" w:cs="宋体"/>
                <w:szCs w:val="21"/>
                <w:highlight w:val="none"/>
              </w:rPr>
              <w:t>加</w:t>
            </w:r>
            <w:r>
              <w:rPr>
                <w:rFonts w:hint="eastAsia" w:ascii="宋体" w:hAnsi="宋体" w:cs="宋体"/>
                <w:szCs w:val="21"/>
                <w:highlight w:val="none"/>
                <w:lang w:val="en-US" w:eastAsia="zh-CN"/>
              </w:rPr>
              <w:t>1.5</w:t>
            </w:r>
            <w:r>
              <w:rPr>
                <w:rFonts w:hint="eastAsia" w:ascii="宋体" w:hAnsi="宋体" w:cs="宋体"/>
                <w:szCs w:val="21"/>
                <w:highlight w:val="none"/>
              </w:rPr>
              <w:t>分；</w:t>
            </w:r>
          </w:p>
          <w:p>
            <w:pPr>
              <w:keepNext w:val="0"/>
              <w:keepLines w:val="0"/>
              <w:pageBreakBefore w:val="0"/>
              <w:kinsoku/>
              <w:wordWrap/>
              <w:overflowPunct/>
              <w:topLinePunct w:val="0"/>
              <w:bidi w:val="0"/>
              <w:spacing w:line="380" w:lineRule="exact"/>
              <w:jc w:val="left"/>
              <w:textAlignment w:val="auto"/>
              <w:rPr>
                <w:rFonts w:ascii="宋体" w:hAnsi="宋体" w:cs="宋体"/>
                <w:kern w:val="0"/>
                <w:szCs w:val="21"/>
                <w:highlight w:val="none"/>
              </w:rPr>
            </w:pPr>
            <w:r>
              <w:rPr>
                <w:rFonts w:hint="eastAsia" w:ascii="宋体" w:hAnsi="宋体" w:cs="宋体"/>
                <w:szCs w:val="21"/>
                <w:highlight w:val="none"/>
              </w:rPr>
              <w:t>评审为中(</w:t>
            </w:r>
            <w:r>
              <w:rPr>
                <w:rFonts w:hint="eastAsia" w:ascii="宋体" w:hAnsi="宋体"/>
                <w:kern w:val="0"/>
                <w:szCs w:val="21"/>
                <w:highlight w:val="none"/>
              </w:rPr>
              <w:t>质量管理制度不够完善，质量检查、整改方案和项目成果保障措施可行性一般</w:t>
            </w:r>
            <w:r>
              <w:rPr>
                <w:rFonts w:hint="eastAsia" w:ascii="宋体" w:hAnsi="宋体" w:cs="宋体"/>
                <w:szCs w:val="21"/>
                <w:highlight w:val="none"/>
              </w:rPr>
              <w:t>)的</w:t>
            </w:r>
            <w:r>
              <w:rPr>
                <w:rFonts w:hint="eastAsia" w:ascii="宋体" w:hAnsi="宋体" w:cs="宋体"/>
                <w:szCs w:val="21"/>
                <w:highlight w:val="none"/>
                <w:lang w:eastAsia="zh-CN"/>
              </w:rPr>
              <w:t>，</w:t>
            </w:r>
            <w:r>
              <w:rPr>
                <w:rFonts w:hint="eastAsia" w:ascii="宋体" w:hAnsi="宋体" w:cs="宋体"/>
                <w:szCs w:val="21"/>
                <w:highlight w:val="none"/>
              </w:rPr>
              <w:t>加1分</w:t>
            </w:r>
            <w:r>
              <w:rPr>
                <w:rFonts w:hint="eastAsia" w:ascii="宋体" w:hAnsi="宋体" w:cs="宋体"/>
                <w:szCs w:val="21"/>
                <w:highlight w:val="none"/>
                <w:lang w:eastAsia="zh-CN"/>
              </w:rPr>
              <w:t>；</w:t>
            </w:r>
            <w:r>
              <w:rPr>
                <w:rFonts w:hint="eastAsia" w:ascii="宋体" w:hAnsi="宋体" w:cs="宋体"/>
                <w:szCs w:val="21"/>
                <w:highlight w:val="none"/>
                <w:lang w:eastAsia="zh-CN"/>
              </w:rPr>
              <w:br w:type="textWrapping"/>
            </w:r>
            <w:r>
              <w:rPr>
                <w:rFonts w:hint="eastAsia"/>
                <w:highlight w:val="none"/>
              </w:rPr>
              <w:t>评审为差（</w:t>
            </w:r>
            <w:r>
              <w:rPr>
                <w:rFonts w:hint="eastAsia" w:ascii="宋体" w:hAnsi="宋体"/>
                <w:kern w:val="0"/>
                <w:szCs w:val="21"/>
                <w:highlight w:val="none"/>
              </w:rPr>
              <w:t>质量管理制度不完善，质量检查、整改方案和项目成果保障措施可行性低</w:t>
            </w:r>
            <w:r>
              <w:rPr>
                <w:rFonts w:hint="eastAsia" w:ascii="宋体" w:hAnsi="宋体"/>
                <w:kern w:val="0"/>
                <w:szCs w:val="21"/>
                <w:highlight w:val="none"/>
                <w:lang w:eastAsia="zh-CN"/>
              </w:rPr>
              <w:t>）</w:t>
            </w:r>
            <w:r>
              <w:rPr>
                <w:rFonts w:hint="eastAsia"/>
                <w:highlight w:val="none"/>
                <w:lang w:val="en-US" w:eastAsia="zh-CN"/>
              </w:rPr>
              <w:t>的，</w:t>
            </w:r>
            <w:r>
              <w:rPr>
                <w:rFonts w:hint="eastAsia" w:ascii="宋体" w:hAnsi="宋体" w:cs="宋体"/>
                <w:szCs w:val="21"/>
                <w:highlight w:val="none"/>
              </w:rPr>
              <w:t>不加分。</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highlight w:val="none"/>
              </w:rPr>
            </w:pPr>
            <w:r>
              <w:rPr>
                <w:rFonts w:hint="eastAsia" w:ascii="宋体" w:hAnsi="宋体" w:cs="宋体"/>
                <w:szCs w:val="21"/>
                <w:highlight w:val="none"/>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pPr>
              <w:keepNext w:val="0"/>
              <w:keepLines w:val="0"/>
              <w:pageBreakBefore w:val="0"/>
              <w:widowControl/>
              <w:kinsoku/>
              <w:wordWrap/>
              <w:overflowPunct/>
              <w:topLinePunct w:val="0"/>
              <w:bidi w:val="0"/>
              <w:snapToGrid w:val="0"/>
              <w:spacing w:line="380" w:lineRule="exact"/>
              <w:jc w:val="center"/>
              <w:textAlignment w:val="auto"/>
              <w:rPr>
                <w:rFonts w:ascii="宋体" w:hAnsi="宋体" w:cs="宋体"/>
                <w:kern w:val="0"/>
                <w:szCs w:val="21"/>
              </w:rPr>
            </w:pPr>
            <w:r>
              <w:rPr>
                <w:rFonts w:hint="eastAsia" w:ascii="宋体" w:hAnsi="宋体" w:cs="宋体"/>
                <w:kern w:val="0"/>
                <w:szCs w:val="21"/>
              </w:rPr>
              <w:t>4</w:t>
            </w:r>
          </w:p>
        </w:tc>
        <w:tc>
          <w:tcPr>
            <w:tcW w:w="1143"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zCs w:val="21"/>
              </w:rPr>
            </w:pPr>
            <w:r>
              <w:rPr>
                <w:rFonts w:hint="eastAsia" w:ascii="宋体" w:hAnsi="宋体" w:cs="宋体"/>
                <w:szCs w:val="21"/>
              </w:rPr>
              <w:t>拟安排的项目负责人情况（仅限一人）</w:t>
            </w:r>
          </w:p>
        </w:tc>
        <w:tc>
          <w:tcPr>
            <w:tcW w:w="709" w:type="dxa"/>
            <w:vAlign w:val="center"/>
          </w:tcPr>
          <w:p>
            <w:pPr>
              <w:keepNext w:val="0"/>
              <w:keepLines w:val="0"/>
              <w:pageBreakBefore w:val="0"/>
              <w:kinsoku/>
              <w:wordWrap/>
              <w:overflowPunct/>
              <w:topLinePunct w:val="0"/>
              <w:bidi w:val="0"/>
              <w:spacing w:line="380" w:lineRule="exact"/>
              <w:jc w:val="center"/>
              <w:textAlignment w:val="auto"/>
              <w:rPr>
                <w:rFonts w:hint="eastAsia" w:ascii="宋体" w:hAnsi="宋体" w:eastAsia="宋体" w:cs="宋体"/>
                <w:kern w:val="0"/>
                <w:szCs w:val="21"/>
                <w:lang w:eastAsia="zh-CN"/>
              </w:rPr>
            </w:pPr>
            <w:r>
              <w:rPr>
                <w:rFonts w:hint="eastAsia" w:ascii="宋体" w:hAnsi="宋体" w:cs="宋体"/>
                <w:szCs w:val="21"/>
                <w:lang w:val="en-US" w:eastAsia="zh-CN"/>
              </w:rPr>
              <w:t>8</w:t>
            </w:r>
          </w:p>
        </w:tc>
        <w:tc>
          <w:tcPr>
            <w:tcW w:w="5953" w:type="dxa"/>
          </w:tcPr>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(一)评分内容：</w:t>
            </w:r>
          </w:p>
          <w:p>
            <w:pPr>
              <w:pStyle w:val="18"/>
              <w:spacing w:line="380" w:lineRule="exact"/>
              <w:rPr>
                <w:rFonts w:ascii="宋体" w:hAnsi="宋体" w:cs="宋体"/>
                <w:szCs w:val="21"/>
                <w:highlight w:val="none"/>
              </w:rPr>
            </w:pPr>
            <w:r>
              <w:rPr>
                <w:rFonts w:hint="eastAsia" w:ascii="宋体" w:hAnsi="宋体" w:cs="宋体"/>
                <w:szCs w:val="21"/>
              </w:rPr>
              <w:t>拟安排的项目负责人必须具有经济类或管理类专业的研究生或以上学</w:t>
            </w:r>
            <w:r>
              <w:rPr>
                <w:rFonts w:hint="eastAsia" w:ascii="宋体" w:hAnsi="宋体" w:cs="宋体"/>
                <w:szCs w:val="21"/>
                <w:highlight w:val="none"/>
              </w:rPr>
              <w:t>历和质量</w:t>
            </w:r>
            <w:r>
              <w:rPr>
                <w:rFonts w:hint="eastAsia"/>
                <w:highlight w:val="none"/>
                <w:lang w:eastAsia="zh-CN"/>
              </w:rPr>
              <w:t>、计量</w:t>
            </w:r>
            <w:r>
              <w:rPr>
                <w:rFonts w:hint="eastAsia"/>
                <w:highlight w:val="none"/>
                <w:lang w:val="en-US" w:eastAsia="zh-CN"/>
              </w:rPr>
              <w:t>或</w:t>
            </w:r>
            <w:r>
              <w:rPr>
                <w:rFonts w:hint="eastAsia"/>
                <w:highlight w:val="none"/>
                <w:lang w:eastAsia="zh-CN"/>
              </w:rPr>
              <w:t>标准化专业</w:t>
            </w:r>
            <w:r>
              <w:rPr>
                <w:rFonts w:hint="eastAsia" w:ascii="宋体" w:hAnsi="宋体" w:cs="宋体"/>
                <w:szCs w:val="21"/>
                <w:highlight w:val="none"/>
              </w:rPr>
              <w:t>高级</w:t>
            </w:r>
            <w:r>
              <w:rPr>
                <w:rFonts w:hint="eastAsia" w:ascii="宋体" w:hAnsi="宋体" w:cs="宋体"/>
                <w:szCs w:val="21"/>
                <w:highlight w:val="none"/>
                <w:lang w:eastAsia="zh-CN"/>
              </w:rPr>
              <w:t>（</w:t>
            </w:r>
            <w:r>
              <w:rPr>
                <w:rFonts w:hint="eastAsia"/>
                <w:highlight w:val="none"/>
                <w:lang w:eastAsia="zh-CN"/>
              </w:rPr>
              <w:t>含副高）</w:t>
            </w:r>
            <w:r>
              <w:rPr>
                <w:rFonts w:hint="eastAsia" w:ascii="宋体" w:hAnsi="宋体" w:cs="宋体"/>
                <w:szCs w:val="21"/>
                <w:highlight w:val="none"/>
              </w:rPr>
              <w:t>工程师职称，且为投标单位员工，否则本项不得分。在此基础上,按以下标准评分：</w:t>
            </w:r>
          </w:p>
          <w:p>
            <w:pPr>
              <w:keepNext w:val="0"/>
              <w:keepLines w:val="0"/>
              <w:pageBreakBefore w:val="0"/>
              <w:numPr>
                <w:ilvl w:val="255"/>
                <w:numId w:val="0"/>
              </w:numPr>
              <w:kinsoku/>
              <w:wordWrap/>
              <w:overflowPunct/>
              <w:topLinePunct w:val="0"/>
              <w:bidi w:val="0"/>
              <w:spacing w:line="380" w:lineRule="exact"/>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2021年1月1日至本项目投标截止之日</w:t>
            </w:r>
            <w:r>
              <w:rPr>
                <w:rFonts w:hint="eastAsia" w:ascii="宋体" w:hAnsi="宋体" w:cs="宋体"/>
                <w:szCs w:val="21"/>
                <w:highlight w:val="none"/>
                <w:lang w:eastAsia="zh-CN"/>
              </w:rPr>
              <w:t>（</w:t>
            </w:r>
            <w:r>
              <w:rPr>
                <w:rFonts w:hint="eastAsia" w:ascii="宋体" w:hAnsi="宋体" w:cs="宋体"/>
                <w:szCs w:val="21"/>
                <w:highlight w:val="none"/>
                <w:lang w:val="en-US" w:eastAsia="zh-CN"/>
              </w:rPr>
              <w:t>以合同签订时间为准</w:t>
            </w:r>
            <w:r>
              <w:rPr>
                <w:rFonts w:hint="eastAsia" w:ascii="宋体" w:hAnsi="宋体" w:cs="宋体"/>
                <w:szCs w:val="21"/>
                <w:highlight w:val="none"/>
                <w:lang w:eastAsia="zh-CN"/>
              </w:rPr>
              <w:t>）</w:t>
            </w:r>
            <w:r>
              <w:rPr>
                <w:rFonts w:hint="eastAsia" w:ascii="宋体" w:hAnsi="宋体" w:cs="宋体"/>
                <w:szCs w:val="21"/>
                <w:highlight w:val="none"/>
              </w:rPr>
              <w:t>，项目负责人具有公共服务质量监测项目的承担经验，每提供一项得</w:t>
            </w:r>
            <w:r>
              <w:rPr>
                <w:rFonts w:hint="eastAsia" w:ascii="宋体" w:hAnsi="宋体" w:cs="宋体"/>
                <w:szCs w:val="21"/>
                <w:highlight w:val="none"/>
                <w:lang w:val="en-US" w:eastAsia="zh-CN"/>
              </w:rPr>
              <w:t>3</w:t>
            </w:r>
            <w:r>
              <w:rPr>
                <w:rFonts w:hint="eastAsia" w:ascii="宋体" w:hAnsi="宋体" w:cs="宋体"/>
                <w:szCs w:val="21"/>
                <w:highlight w:val="none"/>
              </w:rPr>
              <w:t>分，最高</w:t>
            </w:r>
            <w:r>
              <w:rPr>
                <w:rFonts w:hint="eastAsia" w:ascii="宋体" w:hAnsi="宋体" w:cs="宋体"/>
                <w:szCs w:val="21"/>
              </w:rPr>
              <w:t>得</w:t>
            </w:r>
            <w:r>
              <w:rPr>
                <w:rFonts w:hint="eastAsia" w:ascii="宋体" w:hAnsi="宋体" w:cs="宋体"/>
                <w:szCs w:val="21"/>
                <w:highlight w:val="none"/>
                <w:lang w:val="en-US" w:eastAsia="zh-CN"/>
              </w:rPr>
              <w:t>6</w:t>
            </w:r>
            <w:r>
              <w:rPr>
                <w:rFonts w:hint="eastAsia" w:ascii="宋体" w:hAnsi="宋体" w:cs="宋体"/>
                <w:szCs w:val="21"/>
                <w:highlight w:val="none"/>
              </w:rPr>
              <w:t>分。（续签合同不重复得分）</w:t>
            </w:r>
            <w:r>
              <w:rPr>
                <w:rFonts w:hint="eastAsia" w:ascii="宋体" w:hAnsi="宋体" w:cs="宋体"/>
                <w:szCs w:val="21"/>
                <w:highlight w:val="none"/>
                <w:lang w:eastAsia="zh-CN"/>
              </w:rPr>
              <w:t>。</w:t>
            </w:r>
          </w:p>
          <w:p>
            <w:pPr>
              <w:keepNext w:val="0"/>
              <w:keepLines w:val="0"/>
              <w:pageBreakBefore w:val="0"/>
              <w:numPr>
                <w:ilvl w:val="255"/>
                <w:numId w:val="0"/>
              </w:numPr>
              <w:kinsoku/>
              <w:wordWrap/>
              <w:overflowPunct/>
              <w:topLinePunct w:val="0"/>
              <w:bidi w:val="0"/>
              <w:spacing w:line="380" w:lineRule="exact"/>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2021年1月1日至本项目投标截止之日</w:t>
            </w:r>
            <w:r>
              <w:rPr>
                <w:rFonts w:hint="eastAsia" w:ascii="宋体" w:hAnsi="宋体" w:cs="宋体"/>
                <w:szCs w:val="21"/>
                <w:highlight w:val="none"/>
                <w:lang w:eastAsia="zh-CN"/>
              </w:rPr>
              <w:t>（</w:t>
            </w:r>
            <w:r>
              <w:rPr>
                <w:rFonts w:hint="eastAsia" w:ascii="宋体" w:hAnsi="宋体" w:cs="宋体"/>
                <w:szCs w:val="21"/>
                <w:highlight w:val="none"/>
                <w:lang w:val="en-US" w:eastAsia="zh-CN"/>
              </w:rPr>
              <w:t>以合同签订时间为准</w:t>
            </w:r>
            <w:r>
              <w:rPr>
                <w:rFonts w:hint="eastAsia" w:ascii="宋体" w:hAnsi="宋体" w:cs="宋体"/>
                <w:szCs w:val="21"/>
                <w:highlight w:val="none"/>
                <w:lang w:eastAsia="zh-CN"/>
              </w:rPr>
              <w:t>）</w:t>
            </w:r>
            <w:r>
              <w:rPr>
                <w:rFonts w:hint="eastAsia" w:ascii="宋体" w:hAnsi="宋体" w:cs="宋体"/>
                <w:szCs w:val="21"/>
                <w:highlight w:val="none"/>
              </w:rPr>
              <w:t>，项目负责人具有其他服务领域质量监测或质量指数测评等工作承担经验</w:t>
            </w:r>
            <w:r>
              <w:rPr>
                <w:rFonts w:hint="eastAsia" w:ascii="宋体" w:hAnsi="宋体" w:cs="宋体"/>
                <w:szCs w:val="21"/>
                <w:highlight w:val="none"/>
                <w:lang w:val="en-US" w:eastAsia="zh-CN"/>
              </w:rPr>
              <w:t>的</w:t>
            </w:r>
            <w:r>
              <w:rPr>
                <w:rFonts w:hint="eastAsia" w:ascii="宋体" w:hAnsi="宋体" w:cs="宋体"/>
                <w:szCs w:val="21"/>
                <w:highlight w:val="none"/>
              </w:rPr>
              <w:t>，每提供一项得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color w:val="auto"/>
                <w:szCs w:val="21"/>
                <w:highlight w:val="none"/>
              </w:rPr>
              <w:t>，最高</w:t>
            </w:r>
            <w:r>
              <w:rPr>
                <w:rFonts w:hint="eastAsia" w:ascii="宋体" w:hAnsi="宋体" w:cs="宋体"/>
                <w:color w:val="auto"/>
                <w:szCs w:val="21"/>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szCs w:val="21"/>
                <w:highlight w:val="none"/>
              </w:rPr>
              <w:t>（续签合同不重复得分）</w:t>
            </w:r>
            <w:r>
              <w:rPr>
                <w:rFonts w:hint="eastAsia" w:ascii="宋体" w:hAnsi="宋体" w:cs="宋体"/>
                <w:szCs w:val="21"/>
                <w:highlight w:val="none"/>
                <w:lang w:eastAsia="zh-CN"/>
              </w:rPr>
              <w:t>。</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(二)评分依据：</w:t>
            </w:r>
          </w:p>
          <w:p>
            <w:pPr>
              <w:keepNext w:val="0"/>
              <w:keepLines w:val="0"/>
              <w:pageBreakBefore w:val="0"/>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1.要求提供项目负责人通过投标人缴纳的近一个月(由于社保部门或税务部门原因最近一个月的社保证明无法提供的可往前顺延一个月)的社保证明作为本单位员工的证明依据。投标人为新成立单位且成立时间不足一个月的，可提供加盖公章的情况说明或者证明材料，无需提</w:t>
            </w:r>
            <w:r>
              <w:rPr>
                <w:rFonts w:hint="eastAsia" w:ascii="宋体" w:hAnsi="宋体" w:cs="宋体"/>
                <w:szCs w:val="21"/>
                <w:highlight w:val="none"/>
              </w:rPr>
              <w:t>供相关人员社保，亦可得分</w:t>
            </w:r>
            <w:r>
              <w:rPr>
                <w:rFonts w:hint="eastAsia" w:ascii="宋体" w:hAnsi="宋体" w:cs="宋体"/>
                <w:szCs w:val="21"/>
                <w:highlight w:val="none"/>
                <w:lang w:eastAsia="zh-CN"/>
              </w:rPr>
              <w:t>，</w:t>
            </w:r>
            <w:r>
              <w:rPr>
                <w:rFonts w:hint="eastAsia" w:ascii="宋体" w:hAnsi="宋体"/>
                <w:szCs w:val="21"/>
                <w:highlight w:val="none"/>
              </w:rPr>
              <w:t>如为退休返聘人员则提供劳动合同或返聘协议，</w:t>
            </w:r>
            <w:r>
              <w:rPr>
                <w:rFonts w:hint="eastAsia" w:ascii="宋体" w:hAnsi="宋体" w:cs="宋体"/>
                <w:highlight w:val="none"/>
              </w:rPr>
              <w:t>无需提供相关人员社保，亦视为符合</w:t>
            </w:r>
            <w:r>
              <w:rPr>
                <w:rFonts w:hint="eastAsia" w:ascii="宋体" w:hAnsi="宋体" w:cs="宋体"/>
                <w:szCs w:val="21"/>
                <w:highlight w:val="none"/>
              </w:rPr>
              <w:t>。</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2.如涉及考察人员工作经验,要求提供项目合同关键信息（项目合同关键信息包括但不限于合同主体、服务内容、服务期限、签订页）作为得分依据，通过合同关键信息无法判断是否得分的，还须同时提供合同甲方出具的证明文件。</w:t>
            </w:r>
          </w:p>
          <w:p>
            <w:pPr>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rPr>
              <w:t>3.提供项目负责人职称证书、</w:t>
            </w:r>
            <w:r>
              <w:rPr>
                <w:rFonts w:hint="eastAsia" w:ascii="宋体" w:hAnsi="宋体"/>
                <w:szCs w:val="21"/>
              </w:rPr>
              <w:t>毕业证书（或学位证书），</w:t>
            </w:r>
            <w:r>
              <w:rPr>
                <w:rFonts w:hint="eastAsia" w:ascii="宋体" w:hAnsi="宋体" w:cs="宋体"/>
                <w:szCs w:val="21"/>
              </w:rPr>
              <w:t>以及学信网信息查询截图：①如较早颁发的学历或学位证书，学信网无法查询的，可提供毕业院校或教育或人社部门等颁发机构或监管机构等出具的证明。②如海外留学（含港澳台）人学历无法通过学信网站查询的，应当提供教育部留学服务中心出具的国外学历学位认证证书以及教育部留学服务中心官网查询截图。若证明文件为其它语言，必须附中文译文，以中文译文为准。</w:t>
            </w:r>
            <w:r>
              <w:rPr>
                <w:rFonts w:hint="eastAsia" w:ascii="宋体" w:hAnsi="宋体" w:cs="宋体"/>
                <w:szCs w:val="21"/>
              </w:rPr>
              <w:br w:type="textWrapping"/>
            </w:r>
            <w:r>
              <w:rPr>
                <w:rFonts w:hint="eastAsia" w:ascii="宋体" w:hAnsi="宋体" w:cs="宋体"/>
                <w:szCs w:val="21"/>
              </w:rPr>
              <w:t>4.以上资料均要求提供复印件或扫描件加盖投标人公章（原件备查）。评分中出现无证明资料或专家无法凭所提供资料判断是否得分的情况，一律作不得分处理。</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754" w:type="dxa"/>
            <w:vAlign w:val="center"/>
          </w:tcPr>
          <w:p>
            <w:pPr>
              <w:keepNext w:val="0"/>
              <w:keepLines w:val="0"/>
              <w:pageBreakBefore w:val="0"/>
              <w:widowControl/>
              <w:kinsoku/>
              <w:wordWrap/>
              <w:overflowPunct/>
              <w:topLinePunct w:val="0"/>
              <w:bidi w:val="0"/>
              <w:snapToGrid w:val="0"/>
              <w:spacing w:line="380" w:lineRule="exact"/>
              <w:jc w:val="center"/>
              <w:textAlignment w:val="auto"/>
              <w:rPr>
                <w:rFonts w:ascii="宋体" w:hAnsi="宋体" w:cs="宋体"/>
                <w:kern w:val="0"/>
                <w:szCs w:val="21"/>
              </w:rPr>
            </w:pPr>
            <w:r>
              <w:rPr>
                <w:rFonts w:hint="eastAsia" w:ascii="宋体" w:hAnsi="宋体" w:cs="宋体"/>
                <w:kern w:val="0"/>
                <w:szCs w:val="21"/>
              </w:rPr>
              <w:t>5</w:t>
            </w:r>
          </w:p>
        </w:tc>
        <w:tc>
          <w:tcPr>
            <w:tcW w:w="1143"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zCs w:val="21"/>
              </w:rPr>
            </w:pPr>
            <w:r>
              <w:rPr>
                <w:rFonts w:hint="eastAsia" w:ascii="宋体" w:hAnsi="宋体" w:cs="宋体"/>
                <w:szCs w:val="21"/>
              </w:rPr>
              <w:t>拟安排的项目团队成员（主要技术人员）情况（项目负责人除外）</w:t>
            </w:r>
          </w:p>
        </w:tc>
        <w:tc>
          <w:tcPr>
            <w:tcW w:w="709"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kern w:val="0"/>
                <w:szCs w:val="21"/>
              </w:rPr>
            </w:pPr>
            <w:r>
              <w:rPr>
                <w:rFonts w:hint="eastAsia" w:ascii="宋体" w:hAnsi="宋体" w:cs="宋体"/>
                <w:szCs w:val="21"/>
              </w:rPr>
              <w:t>15</w:t>
            </w:r>
          </w:p>
        </w:tc>
        <w:tc>
          <w:tcPr>
            <w:tcW w:w="5953" w:type="dxa"/>
          </w:tcPr>
          <w:p>
            <w:pPr>
              <w:keepNext w:val="0"/>
              <w:keepLines w:val="0"/>
              <w:pageBreakBefore w:val="0"/>
              <w:kinsoku/>
              <w:wordWrap/>
              <w:overflowPunct/>
              <w:topLinePunct w:val="0"/>
              <w:bidi w:val="0"/>
              <w:spacing w:line="380" w:lineRule="exact"/>
              <w:jc w:val="left"/>
              <w:textAlignment w:val="auto"/>
              <w:rPr>
                <w:rFonts w:ascii="宋体" w:hAnsi="宋体" w:cs="宋体"/>
                <w:szCs w:val="21"/>
                <w:highlight w:val="none"/>
              </w:rPr>
            </w:pPr>
            <w:r>
              <w:rPr>
                <w:rFonts w:hint="eastAsia" w:ascii="宋体" w:hAnsi="宋体" w:cs="宋体"/>
                <w:szCs w:val="21"/>
              </w:rPr>
              <w:t>（一）评分内容：</w:t>
            </w:r>
            <w:r>
              <w:rPr>
                <w:rFonts w:hint="eastAsia" w:ascii="宋体" w:hAnsi="宋体" w:cs="宋体"/>
                <w:szCs w:val="21"/>
                <w:highlight w:val="none"/>
              </w:rPr>
              <w:br w:type="textWrapping"/>
            </w:r>
            <w:r>
              <w:rPr>
                <w:rFonts w:hint="eastAsia" w:ascii="宋体" w:hAnsi="宋体" w:cs="宋体"/>
                <w:szCs w:val="21"/>
                <w:highlight w:val="none"/>
              </w:rPr>
              <w:t>拟安排项目团队成员</w:t>
            </w:r>
            <w:r>
              <w:rPr>
                <w:rFonts w:hint="eastAsia"/>
                <w:highlight w:val="none"/>
              </w:rPr>
              <w:t>不少于</w:t>
            </w:r>
            <w:r>
              <w:rPr>
                <w:rFonts w:hint="eastAsia" w:ascii="宋体" w:hAnsi="宋体" w:cs="宋体"/>
                <w:szCs w:val="21"/>
                <w:highlight w:val="none"/>
              </w:rPr>
              <w:t>6人，且均具备本科(或以上)学历，且为投标单位正式员工，否则本项不得分。在此基础上,按以下标准评分：</w:t>
            </w:r>
          </w:p>
          <w:p>
            <w:pPr>
              <w:keepNext w:val="0"/>
              <w:keepLines w:val="0"/>
              <w:pageBreakBefore w:val="0"/>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2021年1月1日至本项目投标截止之日</w:t>
            </w:r>
            <w:r>
              <w:rPr>
                <w:rFonts w:hint="eastAsia" w:ascii="宋体" w:hAnsi="宋体" w:cs="宋体"/>
                <w:szCs w:val="21"/>
                <w:highlight w:val="none"/>
                <w:lang w:eastAsia="zh-CN"/>
              </w:rPr>
              <w:t>（</w:t>
            </w:r>
            <w:r>
              <w:rPr>
                <w:rFonts w:hint="eastAsia" w:ascii="宋体" w:hAnsi="宋体" w:cs="宋体"/>
                <w:szCs w:val="21"/>
                <w:highlight w:val="none"/>
                <w:lang w:val="en-US" w:eastAsia="zh-CN"/>
              </w:rPr>
              <w:t>以合同签订时间为准</w:t>
            </w:r>
            <w:r>
              <w:rPr>
                <w:rFonts w:hint="eastAsia" w:ascii="宋体" w:hAnsi="宋体" w:cs="宋体"/>
                <w:szCs w:val="21"/>
                <w:highlight w:val="none"/>
                <w:lang w:eastAsia="zh-CN"/>
              </w:rPr>
              <w:t>）</w:t>
            </w:r>
            <w:r>
              <w:rPr>
                <w:rFonts w:hint="eastAsia" w:ascii="宋体" w:hAnsi="宋体" w:cs="宋体"/>
                <w:szCs w:val="21"/>
                <w:highlight w:val="none"/>
              </w:rPr>
              <w:t>，主要项目成员参与过公共服务质量监测项目实施</w:t>
            </w:r>
            <w:r>
              <w:rPr>
                <w:rFonts w:hint="eastAsia" w:ascii="宋体" w:hAnsi="宋体" w:cs="宋体"/>
                <w:szCs w:val="21"/>
                <w:highlight w:val="none"/>
                <w:lang w:val="en-US" w:eastAsia="zh-CN"/>
              </w:rPr>
              <w:t>的</w:t>
            </w:r>
            <w:r>
              <w:rPr>
                <w:rFonts w:hint="eastAsia" w:ascii="宋体" w:hAnsi="宋体" w:cs="宋体"/>
                <w:szCs w:val="21"/>
                <w:highlight w:val="none"/>
              </w:rPr>
              <w:t>，每提供一人得2分；</w:t>
            </w:r>
            <w:r>
              <w:rPr>
                <w:rFonts w:hint="eastAsia" w:ascii="宋体" w:hAnsi="宋体" w:cs="宋体"/>
                <w:szCs w:val="21"/>
              </w:rPr>
              <w:t>最高得</w:t>
            </w:r>
            <w:r>
              <w:rPr>
                <w:rFonts w:hint="eastAsia" w:ascii="宋体" w:hAnsi="宋体" w:cs="宋体"/>
                <w:szCs w:val="21"/>
                <w:lang w:val="en-US" w:eastAsia="zh-CN"/>
              </w:rPr>
              <w:t>6</w:t>
            </w:r>
            <w:r>
              <w:rPr>
                <w:rFonts w:hint="eastAsia" w:ascii="宋体" w:hAnsi="宋体" w:cs="宋体"/>
                <w:szCs w:val="21"/>
              </w:rPr>
              <w:t>分；（续签合同不重复得分）；</w:t>
            </w:r>
            <w:r>
              <w:rPr>
                <w:rFonts w:hint="eastAsia" w:ascii="宋体" w:hAnsi="宋体" w:cs="宋体"/>
                <w:szCs w:val="21"/>
                <w:highlight w:val="none"/>
              </w:rPr>
              <w:br w:type="textWrapping"/>
            </w:r>
            <w:r>
              <w:rPr>
                <w:rFonts w:hint="eastAsia" w:ascii="宋体" w:hAnsi="宋体" w:cs="宋体"/>
                <w:szCs w:val="21"/>
                <w:highlight w:val="none"/>
                <w:lang w:val="en-US" w:eastAsia="zh-CN"/>
              </w:rPr>
              <w:t>2、</w:t>
            </w:r>
            <w:r>
              <w:rPr>
                <w:rFonts w:hint="eastAsia" w:ascii="宋体" w:hAnsi="宋体" w:cs="宋体"/>
                <w:szCs w:val="21"/>
                <w:highlight w:val="none"/>
              </w:rPr>
              <w:t>2021年1月1日至本项目投标截止之日</w:t>
            </w:r>
            <w:r>
              <w:rPr>
                <w:rFonts w:hint="eastAsia" w:ascii="宋体" w:hAnsi="宋体" w:cs="宋体"/>
                <w:szCs w:val="21"/>
                <w:highlight w:val="none"/>
                <w:lang w:eastAsia="zh-CN"/>
              </w:rPr>
              <w:t>（</w:t>
            </w:r>
            <w:r>
              <w:rPr>
                <w:rFonts w:hint="eastAsia" w:ascii="宋体" w:hAnsi="宋体" w:cs="宋体"/>
                <w:szCs w:val="21"/>
                <w:highlight w:val="none"/>
                <w:lang w:val="en-US" w:eastAsia="zh-CN"/>
              </w:rPr>
              <w:t>以合同签订时间为准</w:t>
            </w:r>
            <w:r>
              <w:rPr>
                <w:rFonts w:hint="eastAsia" w:ascii="宋体" w:hAnsi="宋体" w:cs="宋体"/>
                <w:szCs w:val="21"/>
                <w:highlight w:val="none"/>
                <w:lang w:eastAsia="zh-CN"/>
              </w:rPr>
              <w:t>），</w:t>
            </w:r>
            <w:r>
              <w:rPr>
                <w:rFonts w:hint="eastAsia" w:ascii="宋体" w:hAnsi="宋体" w:cs="宋体"/>
                <w:szCs w:val="21"/>
                <w:highlight w:val="none"/>
              </w:rPr>
              <w:t>主要项目成员参与过其他服务领域质量监测或质量指数测评等工作实施</w:t>
            </w:r>
            <w:r>
              <w:rPr>
                <w:rFonts w:hint="eastAsia" w:ascii="宋体" w:hAnsi="宋体" w:cs="宋体"/>
                <w:szCs w:val="21"/>
                <w:highlight w:val="none"/>
                <w:lang w:val="en-US" w:eastAsia="zh-CN"/>
              </w:rPr>
              <w:t>的</w:t>
            </w:r>
            <w:r>
              <w:rPr>
                <w:rFonts w:hint="eastAsia" w:ascii="宋体" w:hAnsi="宋体" w:cs="宋体"/>
                <w:szCs w:val="21"/>
                <w:highlight w:val="none"/>
              </w:rPr>
              <w:t>，每</w:t>
            </w:r>
            <w:r>
              <w:rPr>
                <w:rFonts w:hint="eastAsia" w:ascii="宋体" w:hAnsi="宋体" w:cs="宋体"/>
                <w:szCs w:val="21"/>
              </w:rPr>
              <w:t>提供一人得2分；最高得</w:t>
            </w:r>
            <w:r>
              <w:rPr>
                <w:rFonts w:hint="eastAsia" w:ascii="宋体" w:hAnsi="宋体" w:cs="宋体"/>
                <w:szCs w:val="21"/>
                <w:lang w:val="en-US" w:eastAsia="zh-CN"/>
              </w:rPr>
              <w:t>6</w:t>
            </w:r>
            <w:r>
              <w:rPr>
                <w:rFonts w:hint="eastAsia" w:ascii="宋体" w:hAnsi="宋体" w:cs="宋体"/>
                <w:szCs w:val="21"/>
              </w:rPr>
              <w:t>分；（续签合同不重复得分）；</w:t>
            </w:r>
          </w:p>
          <w:p>
            <w:pPr>
              <w:keepNext w:val="0"/>
              <w:keepLines w:val="0"/>
              <w:pageBreakBefore w:val="0"/>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具有管理类专业的研究生或以上学历的任一名成员，得1分；具有经济师职称的任一名成员，得2分。最高得3分。</w:t>
            </w:r>
          </w:p>
          <w:p>
            <w:pPr>
              <w:keepNext w:val="0"/>
              <w:keepLines w:val="0"/>
              <w:pageBreakBefore w:val="0"/>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以上合计得15分，同一人满足不同条件的可以重复计分。</w:t>
            </w:r>
          </w:p>
          <w:p>
            <w:pPr>
              <w:keepNext w:val="0"/>
              <w:keepLines w:val="0"/>
              <w:pageBreakBefore w:val="0"/>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（二）评分依据：</w:t>
            </w:r>
          </w:p>
          <w:p>
            <w:pPr>
              <w:keepNext w:val="0"/>
              <w:keepLines w:val="0"/>
              <w:pageBreakBefore w:val="0"/>
              <w:kinsoku/>
              <w:wordWrap/>
              <w:overflowPunct/>
              <w:topLinePunct w:val="0"/>
              <w:bidi w:val="0"/>
              <w:spacing w:line="380" w:lineRule="exact"/>
              <w:jc w:val="left"/>
              <w:textAlignment w:val="auto"/>
              <w:rPr>
                <w:rFonts w:ascii="宋体" w:hAnsi="宋体" w:cs="宋体"/>
                <w:szCs w:val="21"/>
                <w:highlight w:val="none"/>
              </w:rPr>
            </w:pPr>
            <w:r>
              <w:rPr>
                <w:rFonts w:hint="eastAsia" w:ascii="宋体" w:hAnsi="宋体" w:cs="宋体"/>
                <w:szCs w:val="21"/>
              </w:rPr>
              <w:t>1.</w:t>
            </w:r>
            <w:r>
              <w:rPr>
                <w:rFonts w:hint="eastAsia" w:ascii="宋体" w:hAnsi="宋体" w:cs="宋体"/>
                <w:szCs w:val="21"/>
                <w:highlight w:val="none"/>
              </w:rPr>
              <w:t xml:space="preserve"> 要求提供项目</w:t>
            </w:r>
            <w:r>
              <w:rPr>
                <w:rFonts w:hint="eastAsia" w:ascii="宋体" w:hAnsi="宋体" w:cs="宋体"/>
                <w:szCs w:val="21"/>
                <w:highlight w:val="none"/>
                <w:lang w:val="en-US" w:eastAsia="zh-CN"/>
              </w:rPr>
              <w:t>团队成员</w:t>
            </w:r>
            <w:r>
              <w:rPr>
                <w:rFonts w:hint="eastAsia" w:ascii="宋体" w:hAnsi="宋体" w:cs="宋体"/>
                <w:szCs w:val="21"/>
                <w:highlight w:val="none"/>
              </w:rPr>
              <w:t>通过投标人缴纳的近一个月(由于社保部门或税务部门原因最近一个月的社保证明无法提供的可往前顺延一个月)的社保证明作为本单位员工的证明依据。投标人为新成立单位且成立时间不足一个月的，可提供加盖公章的情况说明或者证明材料，无需提供相关人员社保，亦可得分</w:t>
            </w:r>
            <w:r>
              <w:rPr>
                <w:rFonts w:hint="eastAsia" w:ascii="宋体" w:hAnsi="宋体" w:cs="宋体"/>
                <w:szCs w:val="21"/>
                <w:highlight w:val="none"/>
                <w:lang w:eastAsia="zh-CN"/>
              </w:rPr>
              <w:t>，</w:t>
            </w:r>
            <w:r>
              <w:rPr>
                <w:rFonts w:hint="eastAsia" w:ascii="宋体" w:hAnsi="宋体"/>
                <w:szCs w:val="21"/>
                <w:highlight w:val="none"/>
              </w:rPr>
              <w:t>如为退休返聘人员则提供劳动合同或返聘协议，</w:t>
            </w:r>
            <w:r>
              <w:rPr>
                <w:rFonts w:hint="eastAsia" w:ascii="宋体" w:hAnsi="宋体" w:cs="宋体"/>
                <w:highlight w:val="none"/>
              </w:rPr>
              <w:t>无需提供相关人员社保，亦视为符合</w:t>
            </w:r>
            <w:r>
              <w:rPr>
                <w:rFonts w:hint="eastAsia" w:ascii="宋体" w:hAnsi="宋体" w:cs="宋体"/>
                <w:szCs w:val="21"/>
                <w:highlight w:val="none"/>
              </w:rPr>
              <w:t>。</w:t>
            </w:r>
          </w:p>
          <w:p>
            <w:pPr>
              <w:keepNext w:val="0"/>
              <w:keepLines w:val="0"/>
              <w:pageBreakBefore w:val="0"/>
              <w:kinsoku/>
              <w:wordWrap/>
              <w:overflowPunct/>
              <w:topLinePunct w:val="0"/>
              <w:bidi w:val="0"/>
              <w:spacing w:line="380" w:lineRule="exact"/>
              <w:jc w:val="left"/>
              <w:textAlignment w:val="auto"/>
              <w:rPr>
                <w:rFonts w:ascii="宋体" w:hAnsi="宋体" w:cs="宋体"/>
                <w:szCs w:val="21"/>
                <w:highlight w:val="none"/>
              </w:rPr>
            </w:pPr>
            <w:r>
              <w:rPr>
                <w:rFonts w:hint="eastAsia" w:ascii="宋体" w:hAnsi="宋体" w:cs="宋体"/>
                <w:szCs w:val="21"/>
                <w:highlight w:val="none"/>
              </w:rPr>
              <w:t>2. 如涉及考察人员工作经验，要求提供项目合同关键信息（包含但不限于服务时间、服务内容、服务人员信息、双方盖章页等）作为得分依据，通过合同关键信息无法判断是否得分的，还须同时提供合同甲方出具的证明文件。</w:t>
            </w:r>
          </w:p>
          <w:p>
            <w:pPr>
              <w:pStyle w:val="20"/>
              <w:keepNext w:val="0"/>
              <w:keepLines w:val="0"/>
              <w:pageBreakBefore w:val="0"/>
              <w:kinsoku/>
              <w:wordWrap/>
              <w:overflowPunct/>
              <w:topLinePunct w:val="0"/>
              <w:bidi w:val="0"/>
              <w:spacing w:line="380" w:lineRule="exact"/>
              <w:textAlignment w:val="auto"/>
              <w:rPr>
                <w:rFonts w:ascii="宋体" w:hAnsi="宋体" w:cs="宋体"/>
                <w:szCs w:val="21"/>
              </w:rPr>
            </w:pPr>
            <w:r>
              <w:rPr>
                <w:rFonts w:hint="eastAsia" w:ascii="宋体" w:hAnsi="宋体" w:cs="宋体"/>
                <w:szCs w:val="21"/>
                <w:highlight w:val="none"/>
              </w:rPr>
              <w:t>3.提供团队成员的职称证书、</w:t>
            </w:r>
            <w:r>
              <w:rPr>
                <w:rFonts w:hint="eastAsia" w:ascii="宋体" w:hAnsi="宋体"/>
                <w:szCs w:val="21"/>
                <w:highlight w:val="none"/>
              </w:rPr>
              <w:t>毕业证书（或学位证书），</w:t>
            </w:r>
            <w:r>
              <w:rPr>
                <w:rFonts w:hint="eastAsia" w:ascii="宋体" w:hAnsi="宋体" w:cs="宋体"/>
                <w:szCs w:val="21"/>
                <w:highlight w:val="none"/>
              </w:rPr>
              <w:t>以及学信网信息查询截图：①如较早颁发的学历或学位证书，学信网无法查询的，可提供毕业院校或教育或人社部门等颁发机构或监管机构等出具的证明。②如海外留学（含港澳台）人学历无法通过学信网站查询的，应当提供教育部留学服务中心出具的国外学历学位认证证书以及教育部留学服务中心官网查询截图。若证明文件为其它语言，必须附中文译文，以中文译文为准。</w:t>
            </w:r>
            <w:r>
              <w:rPr>
                <w:rFonts w:hint="eastAsia" w:ascii="宋体" w:hAnsi="宋体" w:cs="宋体"/>
                <w:szCs w:val="21"/>
                <w:highlight w:val="yellow"/>
              </w:rPr>
              <w:br w:type="textWrapping"/>
            </w:r>
            <w:r>
              <w:rPr>
                <w:rFonts w:hint="eastAsia" w:ascii="宋体" w:hAnsi="宋体" w:cs="宋体"/>
                <w:szCs w:val="21"/>
              </w:rPr>
              <w:t>4. 以上资料均要求提供复印件或扫描件加盖投标人公章，原件备查。评分中出现无证明资料或专家无法凭所提供资料判断是否得分的情况，一律作不得分处理。</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754" w:type="dxa"/>
            <w:vAlign w:val="center"/>
          </w:tcPr>
          <w:p>
            <w:pPr>
              <w:keepNext w:val="0"/>
              <w:keepLines w:val="0"/>
              <w:pageBreakBefore w:val="0"/>
              <w:widowControl/>
              <w:kinsoku/>
              <w:wordWrap/>
              <w:overflowPunct/>
              <w:topLinePunct w:val="0"/>
              <w:bidi w:val="0"/>
              <w:snapToGrid w:val="0"/>
              <w:spacing w:line="380" w:lineRule="exact"/>
              <w:jc w:val="center"/>
              <w:textAlignment w:val="auto"/>
              <w:rPr>
                <w:rFonts w:ascii="宋体" w:hAnsi="宋体" w:cs="宋体"/>
                <w:kern w:val="0"/>
                <w:szCs w:val="21"/>
              </w:rPr>
            </w:pPr>
            <w:bookmarkStart w:id="115" w:name="_GoBack" w:colFirst="0" w:colLast="4"/>
            <w:r>
              <w:rPr>
                <w:rFonts w:hint="eastAsia" w:ascii="宋体" w:hAnsi="宋体" w:cs="宋体"/>
                <w:kern w:val="0"/>
                <w:szCs w:val="21"/>
              </w:rPr>
              <w:t>6</w:t>
            </w:r>
          </w:p>
        </w:tc>
        <w:tc>
          <w:tcPr>
            <w:tcW w:w="1143"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zCs w:val="21"/>
              </w:rPr>
            </w:pPr>
            <w:r>
              <w:rPr>
                <w:rFonts w:hint="eastAsia" w:ascii="宋体" w:hAnsi="宋体" w:cs="宋体"/>
                <w:szCs w:val="21"/>
              </w:rPr>
              <w:t>拟投入的服务资源（车辆、场地、工具、机器等）情况</w:t>
            </w:r>
          </w:p>
        </w:tc>
        <w:tc>
          <w:tcPr>
            <w:tcW w:w="709"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kern w:val="0"/>
                <w:szCs w:val="21"/>
              </w:rPr>
            </w:pPr>
            <w:r>
              <w:rPr>
                <w:rFonts w:hint="eastAsia" w:ascii="宋体" w:hAnsi="宋体" w:cs="宋体"/>
                <w:szCs w:val="21"/>
              </w:rPr>
              <w:t>5</w:t>
            </w:r>
          </w:p>
        </w:tc>
        <w:tc>
          <w:tcPr>
            <w:tcW w:w="5953" w:type="dxa"/>
          </w:tcPr>
          <w:p>
            <w:pPr>
              <w:keepNext w:val="0"/>
              <w:keepLines w:val="0"/>
              <w:pageBreakBefore w:val="0"/>
              <w:kinsoku/>
              <w:wordWrap/>
              <w:overflowPunct/>
              <w:topLinePunct w:val="0"/>
              <w:autoSpaceDE w:val="0"/>
              <w:autoSpaceDN w:val="0"/>
              <w:bidi w:val="0"/>
              <w:adjustRightInd w:val="0"/>
              <w:snapToGrid w:val="0"/>
              <w:spacing w:line="380" w:lineRule="exact"/>
              <w:jc w:val="left"/>
              <w:textAlignment w:val="auto"/>
              <w:rPr>
                <w:rFonts w:ascii="宋体" w:hAnsi="宋体" w:cs="宋体"/>
                <w:kern w:val="0"/>
                <w:szCs w:val="21"/>
              </w:rPr>
            </w:pPr>
            <w:r>
              <w:rPr>
                <w:rFonts w:hint="eastAsia" w:ascii="宋体" w:hAnsi="宋体" w:cs="宋体"/>
                <w:kern w:val="0"/>
                <w:szCs w:val="21"/>
              </w:rPr>
              <w:t>（一）评分内容：</w:t>
            </w:r>
            <w:r>
              <w:rPr>
                <w:rFonts w:hint="eastAsia" w:ascii="宋体" w:hAnsi="宋体" w:cs="宋体"/>
                <w:kern w:val="0"/>
                <w:szCs w:val="21"/>
              </w:rPr>
              <w:br w:type="textWrapping"/>
            </w:r>
            <w:r>
              <w:rPr>
                <w:rFonts w:hint="eastAsia" w:ascii="宋体" w:hAnsi="宋体" w:cs="宋体"/>
                <w:kern w:val="0"/>
                <w:szCs w:val="21"/>
              </w:rPr>
              <w:t>投标人承诺提供项目拟使用的设施和工具，承诺内容包括保障项目服务车辆、具有调查访问室、调查人员，得5分。每缺1项，扣2分，扣完为止。</w:t>
            </w:r>
          </w:p>
          <w:p>
            <w:pPr>
              <w:keepNext w:val="0"/>
              <w:keepLines w:val="0"/>
              <w:pageBreakBefore w:val="0"/>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（二）评分依据:</w:t>
            </w:r>
          </w:p>
          <w:p>
            <w:pPr>
              <w:keepNext w:val="0"/>
              <w:keepLines w:val="0"/>
              <w:pageBreakBefore w:val="0"/>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要求投标人提供承诺函（格式自定）作为得分依据。未提供承诺或承诺内容不满足要求均不得分。</w:t>
            </w:r>
          </w:p>
        </w:tc>
        <w:tc>
          <w:tcPr>
            <w:tcW w:w="1187"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zCs w:val="21"/>
                <w:lang w:val="zh-CN"/>
              </w:rPr>
            </w:pPr>
            <w:r>
              <w:rPr>
                <w:rFonts w:hint="eastAsia" w:ascii="宋体" w:hAnsi="宋体" w:cs="宋体"/>
                <w:szCs w:val="21"/>
              </w:rPr>
              <w:t>评委</w:t>
            </w:r>
            <w:r>
              <w:rPr>
                <w:rFonts w:hint="eastAsia" w:ascii="宋体" w:hAnsi="宋体" w:cs="宋体"/>
                <w:szCs w:val="21"/>
                <w:lang w:val="zh-CN"/>
              </w:rPr>
              <w:t>打分</w:t>
            </w:r>
          </w:p>
        </w:tc>
      </w:tr>
      <w:bookmarkEnd w:id="115"/>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b/>
                <w:szCs w:val="21"/>
              </w:rPr>
            </w:pPr>
            <w:r>
              <w:rPr>
                <w:rFonts w:hint="eastAsia" w:ascii="宋体" w:hAnsi="宋体" w:cs="宋体"/>
                <w:b/>
                <w:szCs w:val="21"/>
                <w:lang w:val="zh-CN"/>
              </w:rPr>
              <w:t>三、商务部分</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b/>
                <w:szCs w:val="21"/>
              </w:rPr>
            </w:pPr>
            <w:r>
              <w:rPr>
                <w:rFonts w:hint="eastAsia" w:ascii="宋体" w:hAnsi="宋体" w:cs="宋体"/>
                <w:b/>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lang w:val="zh-CN"/>
              </w:rPr>
              <w:t>序号</w:t>
            </w:r>
          </w:p>
        </w:tc>
        <w:tc>
          <w:tcPr>
            <w:tcW w:w="1143"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lang w:val="zh-CN"/>
              </w:rPr>
              <w:t>内容</w:t>
            </w:r>
          </w:p>
        </w:tc>
        <w:tc>
          <w:tcPr>
            <w:tcW w:w="709"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lang w:val="zh-CN"/>
              </w:rPr>
              <w:t>权重</w:t>
            </w:r>
          </w:p>
        </w:tc>
        <w:tc>
          <w:tcPr>
            <w:tcW w:w="5953"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lang w:val="zh-CN"/>
              </w:rPr>
              <w:t>评分规则</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rPr>
            </w:pPr>
            <w:r>
              <w:rPr>
                <w:rFonts w:hint="eastAsia" w:ascii="宋体" w:hAnsi="宋体" w:cs="宋体"/>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lang w:val="zh-CN"/>
              </w:rPr>
            </w:pPr>
            <w:r>
              <w:rPr>
                <w:rFonts w:hint="eastAsia" w:ascii="宋体" w:hAnsi="宋体" w:cs="宋体"/>
                <w:szCs w:val="21"/>
                <w:lang w:val="zh-CN"/>
              </w:rPr>
              <w:t>1</w:t>
            </w:r>
          </w:p>
        </w:tc>
        <w:tc>
          <w:tcPr>
            <w:tcW w:w="1143"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kern w:val="0"/>
                <w:szCs w:val="21"/>
              </w:rPr>
            </w:pPr>
            <w:r>
              <w:rPr>
                <w:rFonts w:hint="eastAsia" w:ascii="宋体" w:hAnsi="宋体" w:cs="宋体"/>
                <w:szCs w:val="21"/>
              </w:rPr>
              <w:t>供应商认证情况</w:t>
            </w:r>
          </w:p>
        </w:tc>
        <w:tc>
          <w:tcPr>
            <w:tcW w:w="709"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kern w:val="0"/>
                <w:szCs w:val="21"/>
              </w:rPr>
            </w:pPr>
            <w:r>
              <w:rPr>
                <w:rFonts w:hint="eastAsia" w:ascii="宋体" w:hAnsi="宋体" w:cs="宋体"/>
                <w:szCs w:val="21"/>
              </w:rPr>
              <w:t>3</w:t>
            </w:r>
          </w:p>
        </w:tc>
        <w:tc>
          <w:tcPr>
            <w:tcW w:w="5953" w:type="dxa"/>
          </w:tcPr>
          <w:p>
            <w:pPr>
              <w:keepNext w:val="0"/>
              <w:keepLines w:val="0"/>
              <w:pageBreakBefore w:val="0"/>
              <w:numPr>
                <w:ilvl w:val="0"/>
                <w:numId w:val="4"/>
              </w:numPr>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评分内容：</w:t>
            </w:r>
          </w:p>
          <w:p>
            <w:pPr>
              <w:keepNext w:val="0"/>
              <w:keepLines w:val="0"/>
              <w:pageBreakBefore w:val="0"/>
              <w:kinsoku/>
              <w:wordWrap/>
              <w:overflowPunct/>
              <w:topLinePunct w:val="0"/>
              <w:bidi w:val="0"/>
              <w:snapToGrid w:val="0"/>
              <w:spacing w:line="380" w:lineRule="exact"/>
              <w:jc w:val="left"/>
              <w:textAlignment w:val="auto"/>
              <w:rPr>
                <w:rFonts w:ascii="宋体" w:hAnsi="宋体" w:cs="宋体"/>
                <w:szCs w:val="21"/>
              </w:rPr>
            </w:pPr>
            <w:r>
              <w:rPr>
                <w:rFonts w:hint="eastAsia" w:ascii="宋体" w:hAnsi="宋体" w:cs="宋体"/>
                <w:szCs w:val="21"/>
              </w:rPr>
              <w:t>投标人具有质量管理体系认证证书的，得3分，否则不得分；</w:t>
            </w:r>
          </w:p>
          <w:p>
            <w:pPr>
              <w:keepNext w:val="0"/>
              <w:keepLines w:val="0"/>
              <w:pageBreakBefore w:val="0"/>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（二）评分依据：</w:t>
            </w:r>
          </w:p>
          <w:p>
            <w:pPr>
              <w:keepNext w:val="0"/>
              <w:keepLines w:val="0"/>
              <w:pageBreakBefore w:val="0"/>
              <w:kinsoku/>
              <w:wordWrap/>
              <w:overflowPunct/>
              <w:topLinePunct w:val="0"/>
              <w:bidi w:val="0"/>
              <w:spacing w:line="380" w:lineRule="exact"/>
              <w:jc w:val="left"/>
              <w:textAlignment w:val="auto"/>
              <w:rPr>
                <w:rFonts w:hint="eastAsia" w:ascii="宋体" w:hAnsi="宋体" w:cs="宋体"/>
                <w:kern w:val="0"/>
                <w:szCs w:val="21"/>
                <w:highlight w:val="none"/>
              </w:rPr>
            </w:pPr>
            <w:r>
              <w:rPr>
                <w:rFonts w:hint="eastAsia" w:ascii="宋体" w:hAnsi="宋体" w:cs="宋体"/>
                <w:kern w:val="0"/>
                <w:szCs w:val="21"/>
                <w:highlight w:val="none"/>
              </w:rPr>
              <w:t>1.提供有效认证证书（如认证证书注明年审要求的，必须按规定年审且证书在有效期内的方为有效；如未注明年审要求的，证书必须在有效期内的方为有效）；</w:t>
            </w:r>
          </w:p>
          <w:p>
            <w:pPr>
              <w:keepNext w:val="0"/>
              <w:keepLines w:val="0"/>
              <w:pageBreakBefore w:val="0"/>
              <w:kinsoku/>
              <w:wordWrap/>
              <w:overflowPunct/>
              <w:topLinePunct w:val="0"/>
              <w:bidi w:val="0"/>
              <w:spacing w:line="380" w:lineRule="exact"/>
              <w:jc w:val="left"/>
              <w:textAlignment w:val="auto"/>
              <w:rPr>
                <w:rFonts w:ascii="宋体" w:hAnsi="宋体" w:cs="宋体"/>
                <w:szCs w:val="21"/>
                <w:lang w:val="zh-CN"/>
              </w:rPr>
            </w:pPr>
            <w:r>
              <w:rPr>
                <w:rFonts w:hint="eastAsia" w:ascii="宋体" w:hAnsi="宋体" w:cs="宋体"/>
                <w:kern w:val="0"/>
                <w:szCs w:val="21"/>
              </w:rPr>
              <w:t>2</w:t>
            </w:r>
            <w:r>
              <w:rPr>
                <w:rFonts w:hint="eastAsia" w:ascii="宋体" w:hAnsi="宋体" w:cs="宋体"/>
                <w:szCs w:val="21"/>
              </w:rPr>
              <w:t>.提供证书官网或权威机构【如：全国认证认可信息公共服务平台（cx.cnca.cn）】认证信息查询截图（截图需显示证书状态为有效）。</w:t>
            </w:r>
            <w:r>
              <w:rPr>
                <w:rFonts w:hint="eastAsia" w:ascii="宋体" w:hAnsi="宋体" w:cs="宋体"/>
                <w:szCs w:val="21"/>
                <w:lang w:val="zh-CN"/>
              </w:rPr>
              <w:t>相关证书在公开渠道无法查询的，投标人需提供颁发部门或者监管机构的证明材料，证明证书真实有效且为合法机构颁发；</w:t>
            </w:r>
          </w:p>
          <w:p>
            <w:pPr>
              <w:keepNext w:val="0"/>
              <w:keepLines w:val="0"/>
              <w:pageBreakBefore w:val="0"/>
              <w:kinsoku/>
              <w:wordWrap/>
              <w:overflowPunct/>
              <w:topLinePunct w:val="0"/>
              <w:bidi w:val="0"/>
              <w:spacing w:line="380" w:lineRule="exact"/>
              <w:jc w:val="left"/>
              <w:textAlignment w:val="auto"/>
            </w:pPr>
            <w:r>
              <w:rPr>
                <w:rFonts w:hint="eastAsia" w:ascii="宋体" w:hAnsi="宋体" w:cs="宋体"/>
                <w:szCs w:val="21"/>
              </w:rPr>
              <w:t>3.证书由行业协会颁发的，需提供该行业协会在“中国社会组织政务服务平台”（网址：https://chinanpo.mca.gov.cn/）查询的已合法登记且状态正常截图，否则不予认可，视为无效证书。</w:t>
            </w:r>
            <w:r>
              <w:rPr>
                <w:rFonts w:hint="eastAsia" w:ascii="宋体" w:hAnsi="宋体" w:cs="宋体"/>
                <w:szCs w:val="21"/>
              </w:rPr>
              <w:br w:type="textWrapping"/>
            </w:r>
            <w:r>
              <w:rPr>
                <w:rFonts w:hint="eastAsia" w:ascii="宋体" w:hAnsi="宋体" w:cs="宋体"/>
                <w:szCs w:val="21"/>
              </w:rPr>
              <w:t>4.</w:t>
            </w:r>
            <w:r>
              <w:rPr>
                <w:rFonts w:hint="eastAsia" w:ascii="宋体" w:hAnsi="宋体"/>
                <w:szCs w:val="21"/>
              </w:rPr>
              <w:t>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cs="仿宋"/>
                <w:szCs w:val="21"/>
                <w:lang w:val="zh-CN"/>
              </w:rPr>
              <w:t>。</w:t>
            </w:r>
          </w:p>
        </w:tc>
        <w:tc>
          <w:tcPr>
            <w:tcW w:w="1187"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lang w:val="zh-CN"/>
              </w:rPr>
            </w:pPr>
            <w:r>
              <w:rPr>
                <w:rFonts w:hint="eastAsia" w:ascii="宋体" w:hAnsi="宋体" w:cs="宋体"/>
                <w:szCs w:val="21"/>
              </w:rPr>
              <w:t>评委</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lang w:val="zh-CN"/>
              </w:rPr>
            </w:pPr>
            <w:r>
              <w:rPr>
                <w:rFonts w:hint="eastAsia" w:ascii="宋体" w:hAnsi="宋体" w:cs="宋体"/>
                <w:szCs w:val="21"/>
              </w:rPr>
              <w:t>2</w:t>
            </w:r>
          </w:p>
        </w:tc>
        <w:tc>
          <w:tcPr>
            <w:tcW w:w="1143"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napToGrid w:val="0"/>
                <w:kern w:val="0"/>
                <w:szCs w:val="21"/>
              </w:rPr>
            </w:pPr>
            <w:r>
              <w:rPr>
                <w:rFonts w:hint="eastAsia" w:ascii="宋体" w:hAnsi="宋体" w:cs="宋体"/>
                <w:szCs w:val="21"/>
              </w:rPr>
              <w:t>供应商同类项目业绩情况</w:t>
            </w:r>
          </w:p>
        </w:tc>
        <w:tc>
          <w:tcPr>
            <w:tcW w:w="709"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napToGrid w:val="0"/>
                <w:kern w:val="0"/>
                <w:szCs w:val="21"/>
              </w:rPr>
            </w:pPr>
            <w:r>
              <w:rPr>
                <w:rFonts w:hint="eastAsia" w:ascii="宋体" w:hAnsi="宋体" w:cs="宋体"/>
                <w:szCs w:val="21"/>
              </w:rPr>
              <w:t>12</w:t>
            </w:r>
          </w:p>
        </w:tc>
        <w:tc>
          <w:tcPr>
            <w:tcW w:w="5953" w:type="dxa"/>
          </w:tcPr>
          <w:p>
            <w:pPr>
              <w:keepNext w:val="0"/>
              <w:keepLines w:val="0"/>
              <w:pageBreakBefore w:val="0"/>
              <w:kinsoku/>
              <w:wordWrap/>
              <w:overflowPunct/>
              <w:topLinePunct w:val="0"/>
              <w:bidi w:val="0"/>
              <w:spacing w:line="380" w:lineRule="exact"/>
              <w:jc w:val="left"/>
              <w:textAlignment w:val="auto"/>
              <w:rPr>
                <w:rFonts w:ascii="宋体" w:hAnsi="宋体" w:cs="宋体"/>
                <w:szCs w:val="21"/>
              </w:rPr>
            </w:pPr>
            <w:r>
              <w:rPr>
                <w:rFonts w:hint="eastAsia" w:ascii="宋体" w:hAnsi="宋体" w:cs="宋体"/>
                <w:szCs w:val="21"/>
              </w:rPr>
              <w:t>（一）评分内容：</w:t>
            </w:r>
          </w:p>
          <w:p>
            <w:pPr>
              <w:keepNext w:val="0"/>
              <w:keepLines w:val="0"/>
              <w:pageBreakBefore w:val="0"/>
              <w:kinsoku/>
              <w:wordWrap/>
              <w:overflowPunct/>
              <w:topLinePunct w:val="0"/>
              <w:bidi w:val="0"/>
              <w:spacing w:line="380" w:lineRule="exact"/>
              <w:jc w:val="left"/>
              <w:textAlignment w:val="auto"/>
              <w:rPr>
                <w:rFonts w:ascii="宋体" w:hAnsi="宋体" w:cs="宋体"/>
                <w:color w:val="auto"/>
                <w:szCs w:val="21"/>
                <w:highlight w:val="none"/>
              </w:rPr>
            </w:pPr>
            <w:r>
              <w:rPr>
                <w:rFonts w:hint="eastAsia" w:ascii="宋体" w:hAnsi="宋体" w:cs="宋体"/>
                <w:szCs w:val="21"/>
              </w:rPr>
              <w:t>2021年1月1日至本项目投标截止之日（以合同签订日期</w:t>
            </w:r>
            <w:r>
              <w:rPr>
                <w:rFonts w:hint="eastAsia" w:ascii="宋体" w:hAnsi="宋体"/>
                <w:szCs w:val="21"/>
              </w:rPr>
              <w:t>或合同中载明的履约起始日期</w:t>
            </w:r>
            <w:r>
              <w:rPr>
                <w:rFonts w:hint="eastAsia" w:ascii="宋体" w:hAnsi="宋体" w:cs="宋体"/>
                <w:szCs w:val="21"/>
              </w:rPr>
              <w:t>为准），投标人承担的同类项目业绩,根据承担的以下项目数量</w:t>
            </w:r>
            <w:r>
              <w:rPr>
                <w:rFonts w:hint="eastAsia" w:ascii="宋体" w:hAnsi="宋体" w:cs="宋体"/>
                <w:color w:val="auto"/>
                <w:szCs w:val="21"/>
                <w:highlight w:val="none"/>
              </w:rPr>
              <w:t>情况得分，满分12分：</w:t>
            </w:r>
          </w:p>
          <w:p>
            <w:pPr>
              <w:keepNext w:val="0"/>
              <w:keepLines w:val="0"/>
              <w:pageBreakBefore w:val="0"/>
              <w:kinsoku/>
              <w:wordWrap/>
              <w:overflowPunct/>
              <w:topLinePunct w:val="0"/>
              <w:bidi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1.承担过公共服务质量监测项目</w:t>
            </w:r>
            <w:r>
              <w:rPr>
                <w:rFonts w:hint="eastAsia" w:ascii="宋体" w:hAnsi="宋体" w:cs="宋体"/>
                <w:color w:val="auto"/>
                <w:szCs w:val="21"/>
                <w:highlight w:val="none"/>
                <w:lang w:val="en-US" w:eastAsia="zh-CN"/>
              </w:rPr>
              <w:t>且履约评价为合格（含）以上或验收合格（含）以上的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，每提供一项得2分，最高6分。</w:t>
            </w:r>
          </w:p>
          <w:p>
            <w:pPr>
              <w:keepNext w:val="0"/>
              <w:keepLines w:val="0"/>
              <w:pageBreakBefore w:val="0"/>
              <w:kinsoku/>
              <w:wordWrap/>
              <w:overflowPunct/>
              <w:topLinePunct w:val="0"/>
              <w:bidi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2.承担过其他服务领域质量监测或质量指数测评等工作</w:t>
            </w:r>
            <w:r>
              <w:rPr>
                <w:rFonts w:hint="eastAsia" w:ascii="宋体" w:hAnsi="宋体" w:cs="宋体"/>
                <w:color w:val="auto"/>
                <w:szCs w:val="21"/>
                <w:highlight w:val="none"/>
                <w:lang w:val="en-US" w:eastAsia="zh-CN"/>
              </w:rPr>
              <w:t>且履约评价为合格（含）以上或验收合格（含）以上的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，每提供一项得1分，最高6分。</w:t>
            </w:r>
          </w:p>
          <w:p>
            <w:pPr>
              <w:keepNext w:val="0"/>
              <w:keepLines w:val="0"/>
              <w:pageBreakBefore w:val="0"/>
              <w:kinsoku/>
              <w:wordWrap/>
              <w:overflowPunct/>
              <w:topLinePunct w:val="0"/>
              <w:bidi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注：同一项目续签合同的不可重复得分，同一项目满足以上不同情况不可重复得分。</w:t>
            </w:r>
          </w:p>
          <w:p>
            <w:pPr>
              <w:keepNext w:val="0"/>
              <w:keepLines w:val="0"/>
              <w:pageBreakBefore w:val="0"/>
              <w:kinsoku/>
              <w:wordWrap/>
              <w:overflowPunct/>
              <w:topLinePunct w:val="0"/>
              <w:bidi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（二）评分依据：</w:t>
            </w:r>
          </w:p>
          <w:p>
            <w:pPr>
              <w:pStyle w:val="18"/>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1.提供合同关键页（关键信息包括但不仅限于合同的项目名称、服务内容、合同服务期限、甲乙双方签字盖章页）且提供的材料各项信息不得有任何遮挡；</w:t>
            </w:r>
          </w:p>
          <w:p>
            <w:pPr>
              <w:keepNext w:val="0"/>
              <w:keepLines w:val="0"/>
              <w:pageBreakBefore w:val="0"/>
              <w:kinsoku/>
              <w:wordWrap/>
              <w:overflowPunct/>
              <w:topLinePunct w:val="0"/>
              <w:bidi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2.通过合同关键信息无法判断是否得分的，还须同时提供能证明得分的其它证明资料，如项目报告或合同甲方出具的证明文件等。</w:t>
            </w:r>
            <w:r>
              <w:rPr>
                <w:rFonts w:hint="eastAsia" w:ascii="宋体" w:hAnsi="宋体" w:cs="宋体"/>
                <w:color w:val="auto"/>
                <w:szCs w:val="21"/>
                <w:highlight w:val="none"/>
              </w:rPr>
              <w:br w:type="textWrapping"/>
            </w:r>
            <w:r>
              <w:rPr>
                <w:rFonts w:hint="eastAsia" w:ascii="宋体" w:hAnsi="宋体" w:cs="宋体"/>
                <w:color w:val="auto"/>
                <w:szCs w:val="21"/>
                <w:highlight w:val="none"/>
              </w:rPr>
              <w:t>3.</w:t>
            </w:r>
            <w:r>
              <w:rPr>
                <w:rFonts w:hint="eastAsia" w:ascii="宋体" w:hAnsi="宋体" w:cs="仿宋"/>
                <w:color w:val="auto"/>
                <w:szCs w:val="21"/>
                <w:highlight w:val="none"/>
              </w:rPr>
              <w:t>提供加盖合同甲方公章或甲方业务章的</w:t>
            </w:r>
            <w:r>
              <w:rPr>
                <w:rFonts w:hint="eastAsia" w:ascii="宋体" w:hAnsi="宋体" w:cs="宋体"/>
                <w:color w:val="auto"/>
                <w:szCs w:val="21"/>
                <w:highlight w:val="none"/>
              </w:rPr>
              <w:t>履约评价</w:t>
            </w:r>
            <w:r>
              <w:rPr>
                <w:rFonts w:hint="eastAsia"/>
                <w:color w:val="auto"/>
                <w:highlight w:val="none"/>
                <w:lang w:eastAsia="zh-CN"/>
              </w:rPr>
              <w:t>或验收合格证明</w:t>
            </w:r>
            <w:r>
              <w:rPr>
                <w:rFonts w:hint="eastAsia" w:ascii="宋体" w:hAnsi="宋体" w:cs="宋体"/>
                <w:color w:val="auto"/>
                <w:szCs w:val="21"/>
                <w:highlight w:val="none"/>
              </w:rPr>
              <w:t>证明材料；</w:t>
            </w:r>
          </w:p>
          <w:p>
            <w:pPr>
              <w:keepNext w:val="0"/>
              <w:keepLines w:val="0"/>
              <w:pageBreakBefore w:val="0"/>
              <w:kinsoku/>
              <w:wordWrap/>
              <w:overflowPunct/>
              <w:topLinePunct w:val="0"/>
              <w:bidi w:val="0"/>
              <w:spacing w:line="380" w:lineRule="exact"/>
              <w:jc w:val="left"/>
              <w:textAlignment w:val="auto"/>
              <w:rPr>
                <w:rFonts w:ascii="宋体" w:hAnsi="宋体" w:cs="宋体"/>
                <w:b/>
                <w:bCs/>
                <w:kern w:val="0"/>
                <w:szCs w:val="21"/>
              </w:rPr>
            </w:pPr>
            <w:r>
              <w:rPr>
                <w:rFonts w:hint="eastAsia" w:ascii="宋体" w:hAnsi="宋体" w:cs="宋体"/>
                <w:color w:val="auto"/>
                <w:szCs w:val="21"/>
                <w:highlight w:val="none"/>
              </w:rPr>
              <w:t>4.以上资料均要求提供复印件或扫描件加盖投标人公章，原件备查。评分中出现无证明资料或专家无法凭所提供资料判断是否得分的情况，一律作不得分处理。</w:t>
            </w:r>
            <w:r>
              <w:rPr>
                <w:rFonts w:hint="eastAsia" w:ascii="宋体" w:hAnsi="宋体" w:cs="宋体"/>
                <w:color w:val="auto"/>
                <w:szCs w:val="21"/>
                <w:highlight w:val="none"/>
              </w:rPr>
              <w:br w:type="textWrapping"/>
            </w:r>
            <w:r>
              <w:rPr>
                <w:rFonts w:hint="eastAsia" w:ascii="宋体" w:hAnsi="宋体" w:cs="宋体"/>
                <w:color w:val="auto"/>
                <w:szCs w:val="21"/>
                <w:highlight w:val="none"/>
              </w:rPr>
              <w:t>注：为便于评委评审，履约评价</w:t>
            </w:r>
            <w:r>
              <w:rPr>
                <w:rFonts w:hint="eastAsia"/>
                <w:color w:val="auto"/>
                <w:highlight w:val="none"/>
                <w:lang w:eastAsia="zh-CN"/>
              </w:rPr>
              <w:t>或验收合格</w:t>
            </w:r>
            <w:r>
              <w:rPr>
                <w:rFonts w:hint="eastAsia" w:ascii="宋体" w:hAnsi="宋体" w:cs="宋体"/>
                <w:color w:val="auto"/>
                <w:szCs w:val="21"/>
                <w:highlight w:val="none"/>
              </w:rPr>
              <w:t>证明文件应附在同类项目业绩证明文件后，每个项目对应一份履约评价证明。</w:t>
            </w:r>
          </w:p>
        </w:tc>
        <w:tc>
          <w:tcPr>
            <w:tcW w:w="1187"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zCs w:val="21"/>
                <w:lang w:val="zh-CN"/>
              </w:rPr>
            </w:pPr>
            <w:r>
              <w:rPr>
                <w:rFonts w:hint="eastAsia" w:ascii="宋体" w:hAnsi="宋体" w:cs="宋体"/>
                <w:szCs w:val="21"/>
              </w:rPr>
              <w:t>评委</w:t>
            </w:r>
            <w:r>
              <w:rPr>
                <w:rFonts w:hint="eastAsia" w:ascii="宋体" w:hAnsi="宋体" w:cs="宋体"/>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80" w:lineRule="exact"/>
              <w:jc w:val="center"/>
              <w:textAlignment w:val="auto"/>
              <w:rPr>
                <w:rFonts w:ascii="宋体" w:hAnsi="宋体" w:cs="宋体"/>
                <w:szCs w:val="21"/>
                <w:lang w:val="zh-CN"/>
              </w:rPr>
            </w:pPr>
            <w:r>
              <w:rPr>
                <w:rFonts w:hint="eastAsia" w:ascii="宋体" w:hAnsi="宋体" w:cs="宋体"/>
                <w:szCs w:val="21"/>
              </w:rPr>
              <w:t>3</w:t>
            </w:r>
          </w:p>
        </w:tc>
        <w:tc>
          <w:tcPr>
            <w:tcW w:w="1143"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zCs w:val="21"/>
              </w:rPr>
            </w:pPr>
            <w:r>
              <w:rPr>
                <w:rFonts w:hint="eastAsia" w:ascii="宋体" w:hAnsi="宋体" w:cs="宋体"/>
                <w:szCs w:val="21"/>
              </w:rPr>
              <w:t>诚信评审</w:t>
            </w:r>
          </w:p>
        </w:tc>
        <w:tc>
          <w:tcPr>
            <w:tcW w:w="709"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zCs w:val="21"/>
              </w:rPr>
            </w:pPr>
            <w:r>
              <w:rPr>
                <w:rFonts w:hint="eastAsia" w:ascii="宋体" w:hAnsi="宋体" w:cs="宋体"/>
                <w:szCs w:val="21"/>
              </w:rPr>
              <w:t>5</w:t>
            </w:r>
          </w:p>
        </w:tc>
        <w:tc>
          <w:tcPr>
            <w:tcW w:w="5953" w:type="dxa"/>
            <w:vAlign w:val="center"/>
          </w:tcPr>
          <w:p>
            <w:pPr>
              <w:pStyle w:val="94"/>
              <w:keepNext w:val="0"/>
              <w:keepLines w:val="0"/>
              <w:pageBreakBefore w:val="0"/>
              <w:kinsoku/>
              <w:wordWrap/>
              <w:overflowPunct/>
              <w:topLinePunct w:val="0"/>
              <w:bidi w:val="0"/>
              <w:spacing w:line="380" w:lineRule="exact"/>
              <w:ind w:left="34" w:leftChars="16" w:firstLine="0" w:firstLineChars="0"/>
              <w:textAlignment w:val="auto"/>
              <w:rPr>
                <w:rFonts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keepNext w:val="0"/>
              <w:keepLines w:val="0"/>
              <w:pageBreakBefore w:val="0"/>
              <w:tabs>
                <w:tab w:val="left" w:pos="175"/>
              </w:tabs>
              <w:kinsoku/>
              <w:wordWrap/>
              <w:overflowPunct/>
              <w:topLinePunct w:val="0"/>
              <w:bidi w:val="0"/>
              <w:spacing w:line="380" w:lineRule="exact"/>
              <w:ind w:left="33"/>
              <w:jc w:val="left"/>
              <w:textAlignment w:val="auto"/>
              <w:rPr>
                <w:rFonts w:ascii="宋体" w:hAnsi="宋体" w:cs="宋体"/>
                <w:szCs w:val="21"/>
              </w:rPr>
            </w:pPr>
            <w:r>
              <w:rPr>
                <w:rFonts w:hint="eastAsia" w:ascii="宋体" w:hAnsi="宋体" w:cs="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keepNext w:val="0"/>
              <w:keepLines w:val="0"/>
              <w:pageBreakBefore w:val="0"/>
              <w:kinsoku/>
              <w:wordWrap/>
              <w:overflowPunct/>
              <w:topLinePunct w:val="0"/>
              <w:bidi w:val="0"/>
              <w:spacing w:line="380" w:lineRule="exact"/>
              <w:jc w:val="center"/>
              <w:textAlignment w:val="auto"/>
              <w:rPr>
                <w:rFonts w:ascii="宋体" w:hAnsi="宋体" w:cs="宋体"/>
                <w:szCs w:val="21"/>
                <w:lang w:val="zh-CN"/>
              </w:rPr>
            </w:pPr>
            <w:r>
              <w:rPr>
                <w:rFonts w:hint="eastAsia" w:ascii="宋体" w:hAnsi="宋体" w:cs="宋体"/>
                <w:szCs w:val="21"/>
              </w:rPr>
              <w:t>评委</w:t>
            </w:r>
            <w:r>
              <w:rPr>
                <w:rFonts w:hint="eastAsia" w:ascii="宋体" w:hAnsi="宋体" w:cs="宋体"/>
                <w:szCs w:val="21"/>
                <w:lang w:val="zh-CN"/>
              </w:rPr>
              <w:t>打分</w:t>
            </w:r>
          </w:p>
        </w:tc>
      </w:tr>
    </w:tbl>
    <w:p>
      <w:pPr>
        <w:pStyle w:val="2"/>
        <w:spacing w:before="0" w:after="0"/>
        <w:jc w:val="left"/>
        <w:rPr>
          <w:rFonts w:asciiTheme="minorEastAsia" w:hAnsiTheme="minorEastAsia"/>
          <w:bCs w:val="0"/>
          <w:sz w:val="21"/>
          <w:szCs w:val="21"/>
        </w:rPr>
      </w:pPr>
      <w:bookmarkStart w:id="15" w:name="_Toc44691162"/>
      <w:bookmarkStart w:id="16" w:name="_Toc135293165"/>
      <w:bookmarkStart w:id="17" w:name="_Toc44690430"/>
      <w:bookmarkStart w:id="18" w:name="_Toc44690703"/>
      <w:bookmarkStart w:id="19" w:name="_Toc44691394"/>
      <w:r>
        <w:rPr>
          <w:rFonts w:hint="eastAsia" w:asciiTheme="minorEastAsia" w:hAnsiTheme="minorEastAsia"/>
          <w:bCs w:val="0"/>
          <w:sz w:val="21"/>
          <w:szCs w:val="21"/>
        </w:rPr>
        <w:t>备注：</w:t>
      </w:r>
      <w:bookmarkEnd w:id="15"/>
      <w:bookmarkEnd w:id="16"/>
      <w:bookmarkEnd w:id="17"/>
      <w:bookmarkEnd w:id="18"/>
      <w:bookmarkEnd w:id="19"/>
    </w:p>
    <w:p>
      <w:pPr>
        <w:pStyle w:val="4"/>
        <w:spacing w:before="0" w:after="0"/>
      </w:pPr>
      <w:bookmarkStart w:id="20" w:name="_Toc135293166"/>
      <w:r>
        <w:rPr>
          <w:rFonts w:hint="eastAsia"/>
        </w:rPr>
        <w:t>1、资质证书有效期</w:t>
      </w:r>
      <w:bookmarkEnd w:id="20"/>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21" w:name="_Toc135293167"/>
      <w:r>
        <w:rPr>
          <w:rFonts w:hint="eastAsia" w:asciiTheme="minorEastAsia" w:hAnsiTheme="minorEastAsia" w:eastAsiaTheme="minorEastAsia"/>
        </w:rPr>
        <w:t>2、政府采购扶持政策</w:t>
      </w:r>
      <w:bookmarkEnd w:id="21"/>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spacing w:line="360" w:lineRule="auto"/>
        <w:ind w:firstLine="424" w:firstLineChars="202"/>
      </w:pPr>
    </w:p>
    <w:p>
      <w:pPr>
        <w:spacing w:line="360" w:lineRule="auto"/>
        <w:ind w:firstLine="424" w:firstLineChars="202"/>
      </w:pPr>
    </w:p>
    <w:p>
      <w:pPr>
        <w:widowControl/>
        <w:jc w:val="left"/>
      </w:pPr>
      <w:r>
        <w:br w:type="page"/>
      </w:r>
    </w:p>
    <w:p>
      <w:pPr>
        <w:widowControl/>
        <w:jc w:val="left"/>
      </w:pPr>
    </w:p>
    <w:p>
      <w:pPr>
        <w:pStyle w:val="3"/>
      </w:pPr>
      <w:bookmarkStart w:id="22" w:name="_Toc135293168"/>
      <w:r>
        <w:rPr>
          <w:rFonts w:hint="eastAsia"/>
        </w:rPr>
        <w:t>第五章  投标人须知前附表</w:t>
      </w:r>
      <w:bookmarkEnd w:id="22"/>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项号</w:t>
            </w:r>
          </w:p>
        </w:tc>
        <w:tc>
          <w:tcPr>
            <w:tcW w:w="1038" w:type="dxa"/>
            <w:vAlign w:val="center"/>
          </w:tcPr>
          <w:p>
            <w:pPr>
              <w:pStyle w:val="27"/>
              <w:spacing w:line="360" w:lineRule="auto"/>
              <w:jc w:val="center"/>
              <w:rPr>
                <w:rFonts w:hAnsi="宋体"/>
              </w:rPr>
            </w:pPr>
            <w:r>
              <w:rPr>
                <w:rFonts w:hint="eastAsia" w:hAnsi="宋体"/>
              </w:rPr>
              <w:t>条款号</w:t>
            </w:r>
          </w:p>
        </w:tc>
        <w:tc>
          <w:tcPr>
            <w:tcW w:w="1843" w:type="dxa"/>
            <w:vAlign w:val="center"/>
          </w:tcPr>
          <w:p>
            <w:pPr>
              <w:pStyle w:val="27"/>
              <w:spacing w:line="360" w:lineRule="auto"/>
              <w:jc w:val="center"/>
              <w:rPr>
                <w:rFonts w:hAnsi="宋体"/>
              </w:rPr>
            </w:pPr>
            <w:r>
              <w:rPr>
                <w:rFonts w:hint="eastAsia" w:hAnsi="宋体"/>
              </w:rPr>
              <w:t>内容</w:t>
            </w:r>
          </w:p>
        </w:tc>
        <w:tc>
          <w:tcPr>
            <w:tcW w:w="6520" w:type="dxa"/>
          </w:tcPr>
          <w:p>
            <w:pPr>
              <w:pStyle w:val="27"/>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Ansi="宋体"/>
              </w:rPr>
              <w:t>1</w:t>
            </w:r>
          </w:p>
        </w:tc>
        <w:tc>
          <w:tcPr>
            <w:tcW w:w="1038" w:type="dxa"/>
            <w:vAlign w:val="center"/>
          </w:tcPr>
          <w:p>
            <w:pPr>
              <w:pStyle w:val="27"/>
              <w:spacing w:line="360" w:lineRule="auto"/>
              <w:jc w:val="center"/>
              <w:rPr>
                <w:rFonts w:hAnsi="宋体"/>
              </w:rPr>
            </w:pPr>
            <w:r>
              <w:rPr>
                <w:rFonts w:hAnsi="宋体"/>
              </w:rPr>
              <w:t>1.1</w:t>
            </w:r>
          </w:p>
        </w:tc>
        <w:tc>
          <w:tcPr>
            <w:tcW w:w="1843" w:type="dxa"/>
            <w:vAlign w:val="center"/>
          </w:tcPr>
          <w:p>
            <w:pPr>
              <w:pStyle w:val="27"/>
              <w:spacing w:line="360" w:lineRule="exact"/>
              <w:jc w:val="center"/>
              <w:rPr>
                <w:rFonts w:hAnsi="宋体"/>
              </w:rPr>
            </w:pPr>
            <w:r>
              <w:rPr>
                <w:rFonts w:hint="eastAsia" w:hAnsi="宋体"/>
              </w:rPr>
              <w:t>项目名称</w:t>
            </w:r>
          </w:p>
        </w:tc>
        <w:tc>
          <w:tcPr>
            <w:tcW w:w="6520" w:type="dxa"/>
            <w:vAlign w:val="center"/>
          </w:tcPr>
          <w:p>
            <w:pPr>
              <w:pStyle w:val="27"/>
              <w:spacing w:line="360" w:lineRule="exact"/>
            </w:pPr>
            <w:r>
              <w:rPr>
                <w:rFonts w:hint="eastAsia"/>
              </w:rPr>
              <w:t>深圳市公共服务质量监测项目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2</w:t>
            </w:r>
          </w:p>
        </w:tc>
        <w:tc>
          <w:tcPr>
            <w:tcW w:w="1038" w:type="dxa"/>
            <w:vAlign w:val="center"/>
          </w:tcPr>
          <w:p>
            <w:pPr>
              <w:pStyle w:val="27"/>
              <w:spacing w:line="360" w:lineRule="auto"/>
              <w:jc w:val="center"/>
              <w:rPr>
                <w:rFonts w:hAnsi="宋体"/>
              </w:rPr>
            </w:pPr>
            <w:r>
              <w:rPr>
                <w:rFonts w:hAnsi="宋体"/>
              </w:rPr>
              <w:t>2.1</w:t>
            </w:r>
          </w:p>
        </w:tc>
        <w:tc>
          <w:tcPr>
            <w:tcW w:w="1843" w:type="dxa"/>
            <w:vAlign w:val="center"/>
          </w:tcPr>
          <w:p>
            <w:pPr>
              <w:pStyle w:val="27"/>
              <w:spacing w:line="360" w:lineRule="exact"/>
              <w:jc w:val="center"/>
              <w:rPr>
                <w:rFonts w:hAnsi="宋体"/>
              </w:rPr>
            </w:pPr>
            <w:r>
              <w:rPr>
                <w:rFonts w:hint="eastAsia" w:hAnsi="宋体"/>
              </w:rPr>
              <w:t>采购人</w:t>
            </w:r>
          </w:p>
        </w:tc>
        <w:tc>
          <w:tcPr>
            <w:tcW w:w="6520" w:type="dxa"/>
            <w:vAlign w:val="center"/>
          </w:tcPr>
          <w:p>
            <w:pPr>
              <w:pStyle w:val="27"/>
              <w:spacing w:line="360" w:lineRule="exact"/>
              <w:rPr>
                <w:rFonts w:hAnsi="宋体"/>
                <w:szCs w:val="24"/>
              </w:rPr>
            </w:pPr>
            <w:r>
              <w:rPr>
                <w:rFonts w:hint="eastAsia" w:hAnsi="宋体" w:cs="宋体"/>
                <w:szCs w:val="21"/>
                <w:shd w:val="clear" w:color="auto" w:fill="FFFFFF"/>
              </w:rPr>
              <w:t>深圳市市场监督管理局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3</w:t>
            </w:r>
          </w:p>
        </w:tc>
        <w:tc>
          <w:tcPr>
            <w:tcW w:w="1038" w:type="dxa"/>
            <w:vAlign w:val="center"/>
          </w:tcPr>
          <w:p>
            <w:pPr>
              <w:pStyle w:val="27"/>
              <w:spacing w:line="360" w:lineRule="auto"/>
              <w:jc w:val="center"/>
              <w:rPr>
                <w:rFonts w:hAnsi="宋体"/>
              </w:rPr>
            </w:pPr>
            <w:r>
              <w:rPr>
                <w:rFonts w:hAnsi="宋体"/>
              </w:rPr>
              <w:t>2.2</w:t>
            </w:r>
          </w:p>
        </w:tc>
        <w:tc>
          <w:tcPr>
            <w:tcW w:w="1843" w:type="dxa"/>
            <w:vAlign w:val="center"/>
          </w:tcPr>
          <w:p>
            <w:pPr>
              <w:pStyle w:val="27"/>
              <w:spacing w:line="360" w:lineRule="exact"/>
              <w:jc w:val="center"/>
              <w:rPr>
                <w:rFonts w:hAnsi="宋体"/>
              </w:rPr>
            </w:pPr>
            <w:r>
              <w:rPr>
                <w:rFonts w:hint="eastAsia" w:hAnsi="宋体"/>
              </w:rPr>
              <w:t>采购代理机构</w:t>
            </w:r>
          </w:p>
        </w:tc>
        <w:tc>
          <w:tcPr>
            <w:tcW w:w="6520" w:type="dxa"/>
            <w:vAlign w:val="center"/>
          </w:tcPr>
          <w:p>
            <w:pPr>
              <w:pStyle w:val="27"/>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7"/>
              <w:spacing w:line="360" w:lineRule="auto"/>
              <w:jc w:val="center"/>
              <w:rPr>
                <w:rFonts w:hAnsi="宋体"/>
              </w:rPr>
            </w:pPr>
            <w:r>
              <w:rPr>
                <w:rFonts w:hint="eastAsia" w:hAnsi="宋体"/>
              </w:rPr>
              <w:t>4</w:t>
            </w:r>
          </w:p>
        </w:tc>
        <w:tc>
          <w:tcPr>
            <w:tcW w:w="1038" w:type="dxa"/>
            <w:vAlign w:val="center"/>
          </w:tcPr>
          <w:p>
            <w:pPr>
              <w:pStyle w:val="27"/>
              <w:spacing w:line="360" w:lineRule="auto"/>
              <w:jc w:val="center"/>
              <w:rPr>
                <w:rFonts w:hAnsi="宋体"/>
              </w:rPr>
            </w:pPr>
            <w:r>
              <w:rPr>
                <w:rFonts w:hint="eastAsia" w:hAnsi="宋体"/>
              </w:rPr>
              <w:t>3.1</w:t>
            </w:r>
          </w:p>
        </w:tc>
        <w:tc>
          <w:tcPr>
            <w:tcW w:w="1843" w:type="dxa"/>
            <w:vAlign w:val="center"/>
          </w:tcPr>
          <w:p>
            <w:pPr>
              <w:pStyle w:val="27"/>
              <w:spacing w:line="360" w:lineRule="exact"/>
              <w:jc w:val="center"/>
              <w:rPr>
                <w:rFonts w:hAnsi="宋体"/>
              </w:rPr>
            </w:pPr>
            <w:r>
              <w:rPr>
                <w:rFonts w:hint="eastAsia" w:hAnsi="宋体"/>
              </w:rPr>
              <w:t>资金来源</w:t>
            </w:r>
          </w:p>
        </w:tc>
        <w:tc>
          <w:tcPr>
            <w:tcW w:w="6520" w:type="dxa"/>
            <w:vAlign w:val="center"/>
          </w:tcPr>
          <w:p>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7"/>
              <w:spacing w:line="360" w:lineRule="auto"/>
              <w:jc w:val="center"/>
              <w:rPr>
                <w:rFonts w:hAnsi="宋体"/>
              </w:rPr>
            </w:pPr>
            <w:r>
              <w:rPr>
                <w:rFonts w:hint="eastAsia" w:hAnsi="宋体"/>
              </w:rPr>
              <w:t>5</w:t>
            </w:r>
          </w:p>
        </w:tc>
        <w:tc>
          <w:tcPr>
            <w:tcW w:w="1038" w:type="dxa"/>
            <w:vAlign w:val="center"/>
          </w:tcPr>
          <w:p>
            <w:pPr>
              <w:pStyle w:val="27"/>
              <w:spacing w:line="360" w:lineRule="auto"/>
              <w:jc w:val="center"/>
              <w:rPr>
                <w:rFonts w:hAnsi="宋体"/>
              </w:rPr>
            </w:pPr>
            <w:r>
              <w:rPr>
                <w:rFonts w:hint="eastAsia" w:hAnsi="宋体"/>
              </w:rPr>
              <w:t>4.7</w:t>
            </w:r>
          </w:p>
        </w:tc>
        <w:tc>
          <w:tcPr>
            <w:tcW w:w="1843" w:type="dxa"/>
            <w:vAlign w:val="center"/>
          </w:tcPr>
          <w:p>
            <w:pPr>
              <w:pStyle w:val="27"/>
              <w:spacing w:line="360" w:lineRule="auto"/>
              <w:jc w:val="center"/>
              <w:rPr>
                <w:rFonts w:hAnsi="宋体"/>
              </w:rPr>
            </w:pPr>
            <w:r>
              <w:rPr>
                <w:rFonts w:hint="eastAsia" w:hAnsi="宋体"/>
              </w:rPr>
              <w:t>投标人资格要求</w:t>
            </w:r>
          </w:p>
        </w:tc>
        <w:tc>
          <w:tcPr>
            <w:tcW w:w="6520" w:type="dxa"/>
            <w:vAlign w:val="center"/>
          </w:tcPr>
          <w:p>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7"/>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6</w:t>
            </w:r>
          </w:p>
        </w:tc>
        <w:tc>
          <w:tcPr>
            <w:tcW w:w="1038" w:type="dxa"/>
            <w:vAlign w:val="center"/>
          </w:tcPr>
          <w:p>
            <w:pPr>
              <w:pStyle w:val="27"/>
              <w:spacing w:line="360" w:lineRule="auto"/>
              <w:jc w:val="center"/>
              <w:rPr>
                <w:rFonts w:hAnsi="宋体"/>
              </w:rPr>
            </w:pPr>
            <w:r>
              <w:rPr>
                <w:rFonts w:hint="eastAsia" w:hAnsi="宋体"/>
              </w:rPr>
              <w:t>4.8</w:t>
            </w:r>
          </w:p>
        </w:tc>
        <w:tc>
          <w:tcPr>
            <w:tcW w:w="1843" w:type="dxa"/>
            <w:vAlign w:val="center"/>
          </w:tcPr>
          <w:p>
            <w:pPr>
              <w:pStyle w:val="27"/>
              <w:spacing w:line="360" w:lineRule="auto"/>
              <w:jc w:val="center"/>
              <w:rPr>
                <w:rFonts w:hAnsi="宋体"/>
              </w:rPr>
            </w:pPr>
            <w:r>
              <w:rPr>
                <w:rFonts w:hint="eastAsia" w:hAnsi="宋体"/>
              </w:rPr>
              <w:t>联合体投标</w:t>
            </w:r>
          </w:p>
        </w:tc>
        <w:tc>
          <w:tcPr>
            <w:tcW w:w="6520" w:type="dxa"/>
          </w:tcPr>
          <w:p>
            <w:pPr>
              <w:pStyle w:val="27"/>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7</w:t>
            </w:r>
          </w:p>
        </w:tc>
        <w:tc>
          <w:tcPr>
            <w:tcW w:w="1038" w:type="dxa"/>
            <w:vAlign w:val="center"/>
          </w:tcPr>
          <w:p>
            <w:pPr>
              <w:pStyle w:val="27"/>
              <w:spacing w:line="360" w:lineRule="auto"/>
              <w:jc w:val="center"/>
              <w:rPr>
                <w:rFonts w:hAnsi="宋体"/>
              </w:rPr>
            </w:pPr>
            <w:r>
              <w:rPr>
                <w:rFonts w:hint="eastAsia" w:hAnsi="宋体"/>
              </w:rPr>
              <w:t>6.1</w:t>
            </w:r>
          </w:p>
        </w:tc>
        <w:tc>
          <w:tcPr>
            <w:tcW w:w="1843" w:type="dxa"/>
            <w:vAlign w:val="center"/>
          </w:tcPr>
          <w:p>
            <w:pPr>
              <w:pStyle w:val="27"/>
              <w:spacing w:line="360" w:lineRule="auto"/>
              <w:jc w:val="center"/>
              <w:rPr>
                <w:rFonts w:hAnsi="宋体"/>
              </w:rPr>
            </w:pPr>
            <w:r>
              <w:rPr>
                <w:rFonts w:hint="eastAsia" w:hAnsi="宋体"/>
              </w:rPr>
              <w:t>踏勘现场</w:t>
            </w:r>
          </w:p>
        </w:tc>
        <w:tc>
          <w:tcPr>
            <w:tcW w:w="6520" w:type="dxa"/>
          </w:tcPr>
          <w:p>
            <w:pPr>
              <w:pStyle w:val="27"/>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8</w:t>
            </w:r>
          </w:p>
        </w:tc>
        <w:tc>
          <w:tcPr>
            <w:tcW w:w="1038" w:type="dxa"/>
            <w:vAlign w:val="center"/>
          </w:tcPr>
          <w:p>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7"/>
              <w:spacing w:line="360" w:lineRule="auto"/>
              <w:jc w:val="center"/>
              <w:rPr>
                <w:rFonts w:hAnsi="宋体"/>
              </w:rPr>
            </w:pPr>
            <w:r>
              <w:rPr>
                <w:rFonts w:hint="eastAsia" w:hAnsi="宋体"/>
              </w:rPr>
              <w:t>投标有效期</w:t>
            </w:r>
          </w:p>
        </w:tc>
        <w:tc>
          <w:tcPr>
            <w:tcW w:w="6520" w:type="dxa"/>
          </w:tcPr>
          <w:p>
            <w:pPr>
              <w:pStyle w:val="27"/>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7"/>
              <w:spacing w:line="360" w:lineRule="auto"/>
              <w:jc w:val="center"/>
              <w:rPr>
                <w:rFonts w:hAnsi="宋体"/>
              </w:rPr>
            </w:pPr>
            <w:r>
              <w:rPr>
                <w:rFonts w:hint="eastAsia" w:hAnsi="宋体"/>
              </w:rPr>
              <w:t>9</w:t>
            </w:r>
          </w:p>
        </w:tc>
        <w:tc>
          <w:tcPr>
            <w:tcW w:w="1038" w:type="dxa"/>
            <w:vAlign w:val="center"/>
          </w:tcPr>
          <w:p>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7"/>
              <w:spacing w:line="360" w:lineRule="auto"/>
              <w:jc w:val="center"/>
              <w:rPr>
                <w:rFonts w:hAnsi="宋体"/>
              </w:rPr>
            </w:pPr>
            <w:r>
              <w:rPr>
                <w:rFonts w:hint="eastAsia" w:hAnsi="宋体"/>
              </w:rPr>
              <w:t>10</w:t>
            </w:r>
          </w:p>
        </w:tc>
        <w:tc>
          <w:tcPr>
            <w:tcW w:w="1038" w:type="dxa"/>
            <w:vAlign w:val="center"/>
          </w:tcPr>
          <w:p>
            <w:pPr>
              <w:pStyle w:val="27"/>
              <w:spacing w:line="360" w:lineRule="auto"/>
              <w:jc w:val="center"/>
              <w:rPr>
                <w:rFonts w:hAnsi="宋体"/>
              </w:rPr>
            </w:pPr>
            <w:r>
              <w:rPr>
                <w:rFonts w:hint="eastAsia" w:hAnsi="宋体"/>
              </w:rPr>
              <w:t>16.1</w:t>
            </w:r>
          </w:p>
        </w:tc>
        <w:tc>
          <w:tcPr>
            <w:tcW w:w="1843" w:type="dxa"/>
            <w:vAlign w:val="center"/>
          </w:tcPr>
          <w:p>
            <w:pPr>
              <w:pStyle w:val="27"/>
              <w:spacing w:line="360" w:lineRule="auto"/>
              <w:jc w:val="center"/>
              <w:rPr>
                <w:rFonts w:hAnsi="宋体"/>
              </w:rPr>
            </w:pPr>
            <w:r>
              <w:rPr>
                <w:rFonts w:hint="eastAsia" w:hAnsi="宋体"/>
              </w:rPr>
              <w:t>投标预备会</w:t>
            </w:r>
          </w:p>
          <w:p>
            <w:pPr>
              <w:pStyle w:val="27"/>
              <w:spacing w:line="360" w:lineRule="auto"/>
              <w:jc w:val="center"/>
              <w:rPr>
                <w:rFonts w:hAnsi="宋体"/>
              </w:rPr>
            </w:pPr>
            <w:r>
              <w:rPr>
                <w:rFonts w:hint="eastAsia" w:hAnsi="宋体"/>
              </w:rPr>
              <w:t>（答疑会）</w:t>
            </w:r>
          </w:p>
        </w:tc>
        <w:tc>
          <w:tcPr>
            <w:tcW w:w="6520" w:type="dxa"/>
            <w:vAlign w:val="center"/>
          </w:tcPr>
          <w:p>
            <w:pPr>
              <w:pStyle w:val="27"/>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11</w:t>
            </w:r>
          </w:p>
        </w:tc>
        <w:tc>
          <w:tcPr>
            <w:tcW w:w="1038" w:type="dxa"/>
            <w:vAlign w:val="center"/>
          </w:tcPr>
          <w:p>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7"/>
              <w:spacing w:line="360" w:lineRule="auto"/>
              <w:jc w:val="center"/>
              <w:rPr>
                <w:rFonts w:hAnsi="宋体"/>
              </w:rPr>
            </w:pPr>
            <w:r>
              <w:rPr>
                <w:rFonts w:hint="eastAsia" w:hAnsi="宋体"/>
              </w:rPr>
              <w:t>投标文件份数</w:t>
            </w:r>
          </w:p>
        </w:tc>
        <w:tc>
          <w:tcPr>
            <w:tcW w:w="6520" w:type="dxa"/>
          </w:tcPr>
          <w:p>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12</w:t>
            </w:r>
          </w:p>
        </w:tc>
        <w:tc>
          <w:tcPr>
            <w:tcW w:w="1038" w:type="dxa"/>
            <w:vAlign w:val="center"/>
          </w:tcPr>
          <w:p>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7"/>
              <w:spacing w:line="360" w:lineRule="auto"/>
              <w:jc w:val="center"/>
              <w:rPr>
                <w:rFonts w:hAnsi="宋体"/>
              </w:rPr>
            </w:pPr>
            <w:r>
              <w:rPr>
                <w:rFonts w:hint="eastAsia" w:hAnsi="宋体"/>
              </w:rPr>
              <w:t>开标</w:t>
            </w:r>
          </w:p>
        </w:tc>
        <w:tc>
          <w:tcPr>
            <w:tcW w:w="6520" w:type="dxa"/>
          </w:tcPr>
          <w:p>
            <w:pPr>
              <w:pStyle w:val="27"/>
              <w:spacing w:line="360" w:lineRule="auto"/>
              <w:rPr>
                <w:rFonts w:hAnsi="宋体"/>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13</w:t>
            </w:r>
          </w:p>
        </w:tc>
        <w:tc>
          <w:tcPr>
            <w:tcW w:w="1038" w:type="dxa"/>
            <w:vAlign w:val="center"/>
          </w:tcPr>
          <w:p>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投标截止时间</w:t>
            </w:r>
          </w:p>
        </w:tc>
        <w:tc>
          <w:tcPr>
            <w:tcW w:w="6520" w:type="dxa"/>
          </w:tcPr>
          <w:p>
            <w:pPr>
              <w:pStyle w:val="27"/>
              <w:spacing w:line="360" w:lineRule="auto"/>
              <w:rPr>
                <w:rFonts w:hAnsi="宋体"/>
                <w:b/>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14</w:t>
            </w:r>
          </w:p>
        </w:tc>
        <w:tc>
          <w:tcPr>
            <w:tcW w:w="1038" w:type="dxa"/>
            <w:vAlign w:val="center"/>
          </w:tcPr>
          <w:p>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7"/>
              <w:spacing w:line="360" w:lineRule="auto"/>
              <w:jc w:val="center"/>
              <w:rPr>
                <w:rFonts w:hAnsi="宋体"/>
              </w:rPr>
            </w:pPr>
            <w:r>
              <w:rPr>
                <w:rFonts w:hint="eastAsia" w:hAnsi="宋体"/>
              </w:rPr>
              <w:t>评标办法</w:t>
            </w:r>
          </w:p>
        </w:tc>
        <w:tc>
          <w:tcPr>
            <w:tcW w:w="6520" w:type="dxa"/>
          </w:tcPr>
          <w:p>
            <w:pPr>
              <w:pStyle w:val="2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15</w:t>
            </w:r>
          </w:p>
        </w:tc>
        <w:tc>
          <w:tcPr>
            <w:tcW w:w="1038" w:type="dxa"/>
            <w:vAlign w:val="center"/>
          </w:tcPr>
          <w:p>
            <w:pPr>
              <w:pStyle w:val="27"/>
              <w:spacing w:line="360" w:lineRule="auto"/>
              <w:jc w:val="center"/>
              <w:rPr>
                <w:rFonts w:hAnsi="宋体"/>
              </w:rPr>
            </w:pPr>
            <w:r>
              <w:rPr>
                <w:rFonts w:hint="eastAsia" w:hAnsi="宋体"/>
              </w:rPr>
              <w:t>33</w:t>
            </w:r>
            <w:r>
              <w:rPr>
                <w:rFonts w:hAnsi="宋体"/>
              </w:rPr>
              <w:t>.1</w:t>
            </w:r>
          </w:p>
        </w:tc>
        <w:tc>
          <w:tcPr>
            <w:tcW w:w="1843" w:type="dxa"/>
            <w:vAlign w:val="center"/>
          </w:tcPr>
          <w:p>
            <w:pPr>
              <w:pStyle w:val="27"/>
              <w:spacing w:line="360" w:lineRule="auto"/>
              <w:jc w:val="center"/>
              <w:rPr>
                <w:snapToGrid w:val="0"/>
                <w:kern w:val="0"/>
              </w:rPr>
            </w:pPr>
            <w:r>
              <w:rPr>
                <w:rFonts w:hint="eastAsia"/>
                <w:snapToGrid w:val="0"/>
                <w:kern w:val="0"/>
              </w:rPr>
              <w:t>履约保证金</w:t>
            </w:r>
          </w:p>
        </w:tc>
        <w:tc>
          <w:tcPr>
            <w:tcW w:w="6520" w:type="dxa"/>
          </w:tcPr>
          <w:p>
            <w:pPr>
              <w:pStyle w:val="27"/>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16</w:t>
            </w:r>
          </w:p>
        </w:tc>
        <w:tc>
          <w:tcPr>
            <w:tcW w:w="1038" w:type="dxa"/>
            <w:vAlign w:val="center"/>
          </w:tcPr>
          <w:p>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7"/>
              <w:spacing w:line="360" w:lineRule="auto"/>
              <w:jc w:val="center"/>
              <w:rPr>
                <w:rFonts w:hAnsi="宋体"/>
              </w:rPr>
            </w:pPr>
            <w:r>
              <w:rPr>
                <w:rFonts w:hint="eastAsia" w:hAnsi="宋体"/>
              </w:rPr>
              <w:t>中标服务费</w:t>
            </w:r>
          </w:p>
        </w:tc>
        <w:tc>
          <w:tcPr>
            <w:tcW w:w="6520" w:type="dxa"/>
          </w:tcPr>
          <w:p>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%，最低收取人民币6000元。</w:t>
            </w:r>
          </w:p>
          <w:p>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
    <w:p/>
    <w:p>
      <w:pPr>
        <w:pStyle w:val="3"/>
      </w:pPr>
      <w:bookmarkStart w:id="23" w:name="_Toc135293169"/>
      <w:r>
        <w:rPr>
          <w:rFonts w:hint="eastAsia"/>
        </w:rPr>
        <w:t>第六章  投标人须知</w:t>
      </w:r>
      <w:bookmarkEnd w:id="23"/>
    </w:p>
    <w:p>
      <w:pPr>
        <w:pStyle w:val="2"/>
        <w:spacing w:before="0" w:after="0"/>
      </w:pPr>
      <w:bookmarkStart w:id="24" w:name="_Toc135293170"/>
      <w:r>
        <w:rPr>
          <w:rFonts w:hint="eastAsia"/>
        </w:rPr>
        <w:t>一、说</w:t>
      </w:r>
      <w:r>
        <w:t xml:space="preserve">  </w:t>
      </w:r>
      <w:r>
        <w:rPr>
          <w:rFonts w:hint="eastAsia"/>
        </w:rPr>
        <w:t>明</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5" w:name="q5"/>
      <w:bookmarkEnd w:id="25"/>
    </w:p>
    <w:p>
      <w:pPr>
        <w:pStyle w:val="2"/>
        <w:spacing w:before="0" w:after="0"/>
      </w:pPr>
      <w:bookmarkStart w:id="26" w:name="_Toc135293171"/>
      <w:r>
        <w:rPr>
          <w:rFonts w:hint="eastAsia"/>
        </w:rPr>
        <w:t>二、招标文件说明</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2"/>
        <w:spacing w:before="0" w:after="0"/>
      </w:pPr>
      <w:bookmarkStart w:id="27" w:name="q6"/>
      <w:bookmarkEnd w:id="27"/>
      <w:bookmarkStart w:id="28" w:name="_Toc135293172"/>
      <w:r>
        <w:rPr>
          <w:rFonts w:hint="eastAsia"/>
        </w:rPr>
        <w:t>三、投标文件的编写</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2"/>
        <w:spacing w:before="0" w:after="0"/>
      </w:pPr>
      <w:bookmarkStart w:id="29" w:name="q7"/>
      <w:bookmarkEnd w:id="29"/>
      <w:bookmarkStart w:id="30" w:name="_Toc135293173"/>
      <w:r>
        <w:rPr>
          <w:rFonts w:hint="eastAsia"/>
        </w:rPr>
        <w:t>四、投标文件的递交</w:t>
      </w:r>
      <w:bookmarkEnd w:id="30"/>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1" w:name="_Hlt35050056"/>
      <w:bookmarkEnd w:id="31"/>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2"/>
        <w:spacing w:before="0" w:after="0"/>
      </w:pPr>
      <w:bookmarkStart w:id="32" w:name="q8"/>
      <w:bookmarkEnd w:id="32"/>
      <w:bookmarkStart w:id="33" w:name="_Toc135293174"/>
      <w:r>
        <w:rPr>
          <w:rFonts w:hint="eastAsia"/>
        </w:rPr>
        <w:t>五、开标和评标</w:t>
      </w:r>
      <w:bookmarkEnd w:id="3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4" w:name="q9"/>
      <w:bookmarkEnd w:id="34"/>
    </w:p>
    <w:p>
      <w:pPr>
        <w:pStyle w:val="2"/>
        <w:spacing w:before="0" w:after="0"/>
      </w:pPr>
      <w:bookmarkStart w:id="35" w:name="_Toc135293175"/>
      <w:r>
        <w:rPr>
          <w:rFonts w:hint="eastAsia"/>
        </w:rPr>
        <w:t>六、授予合同</w:t>
      </w:r>
      <w:bookmarkEnd w:id="35"/>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2"/>
        <w:spacing w:before="0" w:after="0"/>
      </w:pPr>
      <w:bookmarkStart w:id="36" w:name="_Toc135293176"/>
      <w:r>
        <w:rPr>
          <w:rFonts w:hint="eastAsia"/>
        </w:rPr>
        <w:t>七、质疑处理</w:t>
      </w:r>
      <w:bookmarkEnd w:id="36"/>
    </w:p>
    <w:p>
      <w:pPr>
        <w:spacing w:line="360" w:lineRule="auto"/>
        <w:rPr>
          <w:rFonts w:asciiTheme="majorEastAsia" w:hAnsiTheme="majorEastAsia" w:eastAsiaTheme="majorEastAsia"/>
          <w:b/>
          <w:bCs/>
          <w:szCs w:val="21"/>
        </w:rPr>
      </w:pPr>
      <w:bookmarkStart w:id="37"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8" w:name="_Hlk75374941"/>
      <w:r>
        <w:rPr>
          <w:rFonts w:hint="eastAsia" w:asciiTheme="majorEastAsia" w:hAnsiTheme="majorEastAsia" w:eastAsiaTheme="majorEastAsia"/>
          <w:szCs w:val="21"/>
        </w:rPr>
        <w:t>以联合体形式参与的，质疑应当由组成联合体的所有成员共同提出</w:t>
      </w:r>
      <w:bookmarkEnd w:id="38"/>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7"/>
    </w:p>
    <w:p/>
    <w:p/>
    <w:p/>
    <w:p/>
    <w:p/>
    <w:p/>
    <w:p/>
    <w:p/>
    <w:p/>
    <w:p/>
    <w:p/>
    <w:p/>
    <w:p/>
    <w:p/>
    <w:p/>
    <w:p/>
    <w:p/>
    <w:p>
      <w:pPr>
        <w:pStyle w:val="3"/>
      </w:pPr>
      <w:bookmarkStart w:id="39" w:name="_Toc135293177"/>
      <w:r>
        <w:rPr>
          <w:rFonts w:hint="eastAsia"/>
        </w:rPr>
        <w:t>第七章  投标文件格式</w:t>
      </w:r>
      <w:bookmarkEnd w:id="39"/>
    </w:p>
    <w:p>
      <w:pPr>
        <w:jc w:val="center"/>
        <w:rPr>
          <w:b/>
          <w:sz w:val="52"/>
          <w:szCs w:val="52"/>
        </w:rPr>
      </w:pPr>
    </w:p>
    <w:p>
      <w:pPr>
        <w:pStyle w:val="2"/>
        <w:spacing w:line="400" w:lineRule="exact"/>
        <w:rPr>
          <w:rFonts w:ascii="仿宋" w:hAnsi="仿宋" w:eastAsia="仿宋"/>
        </w:rPr>
      </w:pPr>
      <w:bookmarkStart w:id="40" w:name="_Toc31468"/>
      <w:bookmarkStart w:id="41" w:name="_Toc44691163"/>
      <w:bookmarkStart w:id="42" w:name="_Toc14934"/>
      <w:bookmarkStart w:id="43" w:name="_Toc44691395"/>
      <w:bookmarkStart w:id="44" w:name="_Toc25194"/>
      <w:bookmarkStart w:id="45" w:name="_Toc44690704"/>
      <w:bookmarkStart w:id="46" w:name="_Toc135293178"/>
      <w:bookmarkStart w:id="47" w:name="_Toc11772"/>
      <w:bookmarkStart w:id="48" w:name="_Toc44690431"/>
      <w:r>
        <w:rPr>
          <w:rFonts w:hint="eastAsia" w:ascii="仿宋" w:hAnsi="仿宋" w:eastAsia="仿宋"/>
        </w:rPr>
        <w:t>投标文件编制说明</w:t>
      </w:r>
      <w:bookmarkEnd w:id="40"/>
      <w:bookmarkEnd w:id="41"/>
      <w:bookmarkEnd w:id="42"/>
      <w:bookmarkEnd w:id="43"/>
      <w:bookmarkEnd w:id="44"/>
      <w:bookmarkEnd w:id="45"/>
      <w:bookmarkEnd w:id="46"/>
      <w:bookmarkEnd w:id="47"/>
      <w:bookmarkEnd w:id="48"/>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9" w:name="_投标文件格式（第一册）"/>
      <w:bookmarkEnd w:id="49"/>
      <w:bookmarkStart w:id="50" w:name="q0"/>
    </w:p>
    <w:p>
      <w:pPr>
        <w:spacing w:line="400" w:lineRule="exact"/>
        <w:rPr>
          <w:rFonts w:ascii="仿宋" w:hAnsi="仿宋" w:eastAsia="仿宋"/>
        </w:rPr>
      </w:pPr>
    </w:p>
    <w:p>
      <w:pPr>
        <w:spacing w:line="400" w:lineRule="exact"/>
        <w:rPr>
          <w:rFonts w:ascii="仿宋" w:hAnsi="仿宋" w:eastAsia="仿宋"/>
        </w:rPr>
      </w:pPr>
    </w:p>
    <w:p>
      <w:pPr>
        <w:pStyle w:val="2"/>
        <w:spacing w:line="400" w:lineRule="exact"/>
        <w:rPr>
          <w:rFonts w:ascii="仿宋" w:hAnsi="仿宋" w:eastAsia="仿宋"/>
        </w:rPr>
      </w:pPr>
      <w:bookmarkStart w:id="51" w:name="_Toc135293179"/>
      <w:r>
        <w:rPr>
          <w:rFonts w:hint="eastAsia" w:ascii="仿宋" w:hAnsi="仿宋" w:eastAsia="仿宋"/>
        </w:rPr>
        <w:t>投标文件格式</w:t>
      </w:r>
      <w:bookmarkEnd w:id="51"/>
    </w:p>
    <w:bookmarkEnd w:id="50"/>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52" w:name="_格式1__投标人资格证明文件"/>
      <w:bookmarkEnd w:id="52"/>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2"/>
        <w:spacing w:line="400" w:lineRule="exact"/>
        <w:rPr>
          <w:rFonts w:ascii="仿宋" w:hAnsi="仿宋" w:eastAsia="仿宋"/>
        </w:rPr>
      </w:pPr>
      <w:bookmarkStart w:id="53" w:name="_Toc135293180"/>
      <w:bookmarkStart w:id="54" w:name="_Toc73613640"/>
      <w:r>
        <w:rPr>
          <w:rFonts w:hint="eastAsia" w:ascii="仿宋" w:hAnsi="仿宋" w:eastAsia="仿宋"/>
        </w:rPr>
        <w:t>政府采购违法行为风险知悉确认书</w:t>
      </w:r>
      <w:bookmarkEnd w:id="53"/>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2"/>
        <w:spacing w:line="400" w:lineRule="exact"/>
        <w:rPr>
          <w:rFonts w:ascii="仿宋" w:hAnsi="仿宋" w:eastAsia="仿宋"/>
        </w:rPr>
      </w:pPr>
      <w:bookmarkStart w:id="55" w:name="_Toc135293181"/>
      <w:r>
        <w:rPr>
          <w:rFonts w:hint="eastAsia" w:ascii="仿宋" w:hAnsi="仿宋" w:eastAsia="仿宋"/>
        </w:rPr>
        <w:t>评标指引表</w:t>
      </w:r>
      <w:bookmarkEnd w:id="54"/>
      <w:bookmarkEnd w:id="55"/>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2"/>
      <w:bookmarkStart w:id="57" w:name="_Toc44691396"/>
      <w:bookmarkStart w:id="58" w:name="_Toc44690432"/>
      <w:bookmarkStart w:id="59" w:name="_Toc44690705"/>
      <w:bookmarkStart w:id="60" w:name="_Toc44691164"/>
      <w:r>
        <w:rPr>
          <w:rFonts w:hint="eastAsia" w:asciiTheme="minorEastAsia" w:hAnsiTheme="minorEastAsia" w:eastAsiaTheme="minorEastAsia"/>
        </w:rPr>
        <w:t>格式1  投标人资格证明文件</w:t>
      </w:r>
      <w:bookmarkEnd w:id="56"/>
      <w:bookmarkEnd w:id="57"/>
      <w:bookmarkEnd w:id="58"/>
      <w:bookmarkEnd w:id="59"/>
      <w:bookmarkEnd w:id="60"/>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1" w:name="_Toc135293183"/>
      <w:r>
        <w:rPr>
          <w:rFonts w:hint="eastAsia" w:asciiTheme="minorEastAsia" w:hAnsiTheme="minorEastAsia" w:eastAsiaTheme="minorEastAsia"/>
        </w:rPr>
        <w:t>格式2  法定代表人（负责人）证明书及授权委托书</w:t>
      </w:r>
      <w:bookmarkEnd w:id="61"/>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62"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62"/>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tabs>
          <w:tab w:val="left" w:pos="720"/>
        </w:tabs>
        <w:adjustRightInd w:val="0"/>
        <w:snapToGrid w:val="0"/>
        <w:spacing w:line="300" w:lineRule="auto"/>
      </w:pPr>
    </w:p>
    <w:p>
      <w:pPr>
        <w:tabs>
          <w:tab w:val="left" w:pos="720"/>
        </w:tabs>
        <w:adjustRightInd w:val="0"/>
        <w:snapToGrid w:val="0"/>
        <w:spacing w:line="300" w:lineRule="auto"/>
        <w:rPr>
          <w:b/>
          <w:snapToGrid w:val="0"/>
          <w:kern w:val="0"/>
          <w:sz w:val="28"/>
        </w:rPr>
      </w:pPr>
    </w:p>
    <w:p>
      <w:pPr>
        <w:pStyle w:val="4"/>
        <w:tabs>
          <w:tab w:val="left" w:pos="371"/>
        </w:tabs>
        <w:spacing w:before="120" w:after="120"/>
        <w:ind w:left="-1" w:leftChars="-1" w:hanging="1"/>
        <w:jc w:val="center"/>
        <w:rPr>
          <w:rFonts w:asciiTheme="minorEastAsia" w:hAnsiTheme="minorEastAsia" w:eastAsiaTheme="minorEastAsia"/>
        </w:rPr>
      </w:pPr>
      <w:bookmarkStart w:id="63"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3"/>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tabs>
          <w:tab w:val="left" w:pos="371"/>
        </w:tabs>
        <w:spacing w:before="120" w:after="120"/>
        <w:ind w:left="-1" w:leftChars="-1" w:hanging="1"/>
        <w:jc w:val="center"/>
        <w:rPr>
          <w:rFonts w:asciiTheme="minorEastAsia" w:hAnsiTheme="minorEastAsia" w:eastAsiaTheme="minorEastAsia"/>
          <w:sz w:val="24"/>
        </w:rPr>
      </w:pPr>
    </w:p>
    <w:p>
      <w:pPr>
        <w:pStyle w:val="4"/>
        <w:tabs>
          <w:tab w:val="left" w:pos="371"/>
        </w:tabs>
        <w:spacing w:before="120" w:after="120"/>
        <w:ind w:left="-1" w:leftChars="-1" w:hanging="1"/>
        <w:jc w:val="center"/>
        <w:rPr>
          <w:rFonts w:asciiTheme="minorEastAsia" w:hAnsiTheme="minorEastAsia" w:eastAsiaTheme="minorEastAsia"/>
        </w:rPr>
      </w:pPr>
      <w:bookmarkStart w:id="64" w:name="_Toc135293185"/>
      <w:r>
        <w:rPr>
          <w:rFonts w:hint="eastAsia" w:asciiTheme="minorEastAsia" w:hAnsiTheme="minorEastAsia" w:eastAsiaTheme="minorEastAsia"/>
        </w:rPr>
        <w:t>格式4  评分中涉及的承诺及声明函</w:t>
      </w:r>
      <w:bookmarkEnd w:id="64"/>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5" w:name="_Hlk71925120"/>
      <w:r>
        <w:rPr>
          <w:rFonts w:hint="eastAsia" w:asciiTheme="minorEastAsia" w:hAnsiTheme="minorEastAsia" w:eastAsiaTheme="minorEastAsia"/>
          <w:kern w:val="0"/>
          <w:szCs w:val="21"/>
        </w:rPr>
        <w:t>《关于印发中小企业划型标准规定的通知》（工信部联企业〔2011〕300 号</w:t>
      </w:r>
      <w:bookmarkEnd w:id="65"/>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，供应商如有疑问，可根据《国民经济行业分类》（GB/T4754-2002），结合《关于印发中小企业划型标准规定的通知》（工信部联企业〔2011〕300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pStyle w:val="5"/>
        <w:tabs>
          <w:tab w:val="left" w:pos="0"/>
        </w:tabs>
        <w:jc w:val="center"/>
        <w:rPr>
          <w:rFonts w:ascii="宋体" w:hAnsi="宋体" w:eastAsia="宋体"/>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6" w:name="_Toc44690433"/>
      <w:bookmarkStart w:id="67" w:name="_Toc135293186"/>
      <w:bookmarkStart w:id="68" w:name="_Toc44691397"/>
      <w:bookmarkStart w:id="69" w:name="_Toc44690706"/>
      <w:bookmarkStart w:id="70" w:name="_Toc44691165"/>
    </w:p>
    <w:p/>
    <w:p>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3"/>
            <w:vAlign w:val="center"/>
          </w:tcPr>
          <w:p>
            <w:pPr>
              <w:jc w:val="center"/>
              <w:rPr>
                <w:b/>
                <w:szCs w:val="21"/>
              </w:rPr>
            </w:pPr>
            <w:r>
              <w:rPr>
                <w:rFonts w:hint="eastAsia"/>
                <w:b/>
                <w:szCs w:val="21"/>
              </w:rPr>
              <w:t>投标产品报价</w:t>
            </w:r>
          </w:p>
        </w:tc>
        <w:tc>
          <w:tcPr>
            <w:tcW w:w="1503" w:type="dxa"/>
            <w:vMerge w:val="restart"/>
            <w:vAlign w:val="center"/>
          </w:tcPr>
          <w:p>
            <w:pPr>
              <w:jc w:val="center"/>
              <w:rPr>
                <w:b/>
                <w:szCs w:val="21"/>
              </w:rPr>
            </w:pPr>
            <w:r>
              <w:rPr>
                <w:rFonts w:hint="eastAsia"/>
                <w:b/>
                <w:szCs w:val="21"/>
              </w:rPr>
              <w:t>属于优先采购清单的类别</w:t>
            </w:r>
          </w:p>
        </w:tc>
        <w:tc>
          <w:tcPr>
            <w:tcW w:w="720" w:type="dxa"/>
            <w:vMerge w:val="restar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1241" w:type="dxa"/>
            <w:vAlign w:val="center"/>
          </w:tcPr>
          <w:p>
            <w:pPr>
              <w:jc w:val="center"/>
              <w:rPr>
                <w:szCs w:val="21"/>
              </w:rPr>
            </w:pPr>
            <w:r>
              <w:rPr>
                <w:rFonts w:hint="eastAsia"/>
                <w:szCs w:val="21"/>
              </w:rPr>
              <w:t>投标单价（元）</w:t>
            </w:r>
          </w:p>
        </w:tc>
        <w:tc>
          <w:tcPr>
            <w:tcW w:w="2292" w:type="dxa"/>
            <w:vAlign w:val="center"/>
          </w:tcPr>
          <w:p>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widowControl/>
        <w:jc w:val="left"/>
      </w:pPr>
      <w:r>
        <w:br w:type="page"/>
      </w:r>
    </w:p>
    <w:p/>
    <w:p>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6"/>
      <w:bookmarkEnd w:id="67"/>
      <w:bookmarkEnd w:id="68"/>
      <w:bookmarkEnd w:id="69"/>
      <w:bookmarkEnd w:id="70"/>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深圳市公共服务质量监测项目</w:t>
            </w:r>
          </w:p>
        </w:tc>
        <w:tc>
          <w:tcPr>
            <w:tcW w:w="4034" w:type="dxa"/>
            <w:tcBorders>
              <w:top w:val="single" w:color="auto" w:sz="4" w:space="0"/>
            </w:tcBorders>
            <w:vAlign w:val="center"/>
          </w:tcPr>
          <w:p>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4"/>
        <w:tabs>
          <w:tab w:val="left" w:pos="371"/>
        </w:tabs>
        <w:spacing w:before="120" w:after="120"/>
        <w:ind w:left="-1" w:leftChars="-1" w:hanging="1"/>
        <w:jc w:val="center"/>
        <w:rPr>
          <w:rFonts w:asciiTheme="minorEastAsia" w:hAnsiTheme="minorEastAsia" w:eastAsiaTheme="minorEastAsia"/>
        </w:rPr>
      </w:pPr>
      <w:bookmarkStart w:id="71" w:name="_Toc135293187"/>
      <w:bookmarkStart w:id="72" w:name="_Toc44691398"/>
      <w:bookmarkStart w:id="73" w:name="_Toc44690434"/>
      <w:bookmarkStart w:id="74" w:name="_Toc44690707"/>
      <w:bookmarkStart w:id="75" w:name="_Toc44691166"/>
      <w:r>
        <w:rPr>
          <w:rFonts w:hint="eastAsia" w:asciiTheme="minorEastAsia" w:hAnsiTheme="minorEastAsia" w:eastAsiaTheme="minorEastAsia"/>
        </w:rPr>
        <w:t>格式6  报价表</w:t>
      </w:r>
      <w:bookmarkEnd w:id="71"/>
      <w:bookmarkEnd w:id="72"/>
      <w:bookmarkEnd w:id="73"/>
      <w:bookmarkEnd w:id="74"/>
      <w:bookmarkEnd w:id="75"/>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29"/>
        <w:adjustRightInd w:val="0"/>
        <w:snapToGrid w:val="0"/>
        <w:spacing w:line="312" w:lineRule="auto"/>
        <w:jc w:val="center"/>
        <w:rPr>
          <w:rFonts w:ascii="Times New Roman" w:hAnsi="Times New Roman"/>
          <w:b/>
          <w:sz w:val="28"/>
        </w:rPr>
      </w:pPr>
    </w:p>
    <w:p/>
    <w:p/>
    <w:p/>
    <w:p/>
    <w:p/>
    <w:p/>
    <w:p/>
    <w:p/>
    <w:p/>
    <w:p/>
    <w:p/>
    <w:p>
      <w:pPr>
        <w:pStyle w:val="4"/>
        <w:tabs>
          <w:tab w:val="left" w:pos="371"/>
        </w:tabs>
        <w:spacing w:before="120" w:after="120"/>
        <w:ind w:left="-1" w:leftChars="-1" w:hanging="1"/>
        <w:jc w:val="center"/>
        <w:rPr>
          <w:rFonts w:asciiTheme="minorEastAsia" w:hAnsiTheme="minorEastAsia" w:eastAsiaTheme="minorEastAsia"/>
        </w:rPr>
      </w:pPr>
      <w:bookmarkStart w:id="76" w:name="_Toc44690435"/>
      <w:bookmarkStart w:id="77" w:name="_Toc44690708"/>
      <w:bookmarkStart w:id="78" w:name="_Toc44691167"/>
      <w:bookmarkStart w:id="79" w:name="_Toc44691399"/>
      <w:bookmarkStart w:id="80" w:name="_Toc135293188"/>
      <w:r>
        <w:rPr>
          <w:rFonts w:hint="eastAsia" w:asciiTheme="minorEastAsia" w:hAnsiTheme="minorEastAsia" w:eastAsiaTheme="minorEastAsia"/>
        </w:rPr>
        <w:t>格式7  服务方案</w:t>
      </w:r>
      <w:bookmarkEnd w:id="76"/>
      <w:bookmarkEnd w:id="77"/>
      <w:bookmarkEnd w:id="78"/>
      <w:bookmarkEnd w:id="79"/>
      <w:bookmarkEnd w:id="80"/>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color w:val="auto"/>
          <w:szCs w:val="21"/>
        </w:rPr>
      </w:pPr>
      <w:r>
        <w:rPr>
          <w:rFonts w:hint="eastAsia" w:ascii="宋体" w:hAnsi="宋体"/>
          <w:color w:val="auto"/>
          <w:szCs w:val="21"/>
        </w:rPr>
        <w:t>1、</w:t>
      </w:r>
      <w:r>
        <w:rPr>
          <w:rFonts w:hint="eastAsia" w:ascii="宋体" w:hAnsi="宋体" w:cs="宋体"/>
          <w:color w:val="auto"/>
          <w:szCs w:val="21"/>
        </w:rPr>
        <w:t>实施方案</w:t>
      </w:r>
    </w:p>
    <w:p>
      <w:pPr>
        <w:spacing w:line="360" w:lineRule="auto"/>
        <w:ind w:firstLine="420" w:firstLineChars="200"/>
        <w:rPr>
          <w:rFonts w:ascii="宋体" w:hAnsi="宋体" w:cs="宋体"/>
          <w:color w:val="auto"/>
          <w:szCs w:val="21"/>
        </w:rPr>
      </w:pPr>
      <w:r>
        <w:rPr>
          <w:rFonts w:hint="eastAsia" w:ascii="宋体" w:hAnsi="宋体"/>
          <w:color w:val="auto"/>
          <w:szCs w:val="21"/>
        </w:rPr>
        <w:t>2、</w:t>
      </w:r>
      <w:r>
        <w:rPr>
          <w:rFonts w:hint="eastAsia" w:ascii="宋体" w:hAnsi="宋体" w:cs="宋体"/>
          <w:color w:val="auto"/>
          <w:szCs w:val="21"/>
        </w:rPr>
        <w:t>项目重点难点分析、应对措施及相关的合理化建议</w:t>
      </w:r>
    </w:p>
    <w:p>
      <w:pPr>
        <w:spacing w:line="360" w:lineRule="auto"/>
        <w:ind w:firstLine="420" w:firstLineChars="200"/>
        <w:rPr>
          <w:rFonts w:ascii="宋体" w:hAnsi="宋体" w:cs="宋体"/>
          <w:color w:val="auto"/>
          <w:szCs w:val="21"/>
        </w:rPr>
      </w:pPr>
      <w:r>
        <w:rPr>
          <w:rFonts w:hint="eastAsia" w:ascii="宋体" w:hAnsi="宋体" w:cs="宋体"/>
          <w:color w:val="auto"/>
          <w:szCs w:val="21"/>
        </w:rPr>
        <w:t>3、质量（完成时间、安全、环保）保障措施及方案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4、拟投入的服务资源（车辆、场地、工具、机器等）情况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供应商认证情况</w:t>
      </w:r>
    </w:p>
    <w:p>
      <w:pPr>
        <w:ind w:firstLine="420" w:firstLineChars="200"/>
        <w:rPr>
          <w:rFonts w:ascii="宋体" w:hAnsi="宋体" w:cs="宋体"/>
          <w:color w:val="auto"/>
          <w:szCs w:val="21"/>
        </w:rPr>
      </w:pPr>
      <w:r>
        <w:rPr>
          <w:rFonts w:hint="eastAsia" w:ascii="宋体" w:hAnsi="宋体" w:cs="宋体"/>
          <w:color w:val="auto"/>
          <w:szCs w:val="21"/>
        </w:rPr>
        <w:t>6、供应商同类项目业绩情况</w:t>
      </w:r>
    </w:p>
    <w:p>
      <w:pPr>
        <w:spacing w:line="360" w:lineRule="auto"/>
        <w:ind w:firstLine="420" w:firstLineChars="200"/>
        <w:rPr>
          <w:rFonts w:ascii="宋体" w:hAnsi="宋体"/>
          <w:color w:val="auto"/>
          <w:szCs w:val="21"/>
        </w:rPr>
      </w:pPr>
      <w:r>
        <w:rPr>
          <w:rFonts w:hint="eastAsia" w:ascii="宋体" w:hAnsi="宋体"/>
          <w:color w:val="auto"/>
          <w:szCs w:val="21"/>
        </w:rPr>
        <w:t>7、拟投入人员情况：包括</w:t>
      </w:r>
      <w:r>
        <w:rPr>
          <w:rFonts w:hint="eastAsia" w:ascii="宋体" w:hAnsi="宋体"/>
          <w:color w:val="auto"/>
          <w:kern w:val="0"/>
          <w:szCs w:val="21"/>
        </w:rPr>
        <w:t>项目负责人、</w:t>
      </w:r>
      <w:r>
        <w:rPr>
          <w:rFonts w:hint="eastAsia" w:ascii="宋体" w:hAnsi="宋体" w:cs="宋体"/>
          <w:color w:val="auto"/>
          <w:szCs w:val="21"/>
        </w:rPr>
        <w:t>项目团队成员</w:t>
      </w:r>
      <w:r>
        <w:rPr>
          <w:rFonts w:hint="eastAsia" w:ascii="宋体" w:hAnsi="宋体"/>
          <w:color w:val="auto"/>
          <w:szCs w:val="21"/>
        </w:rPr>
        <w:t>的数量、资质等（附《项目人员情况一览表》）</w:t>
      </w:r>
    </w:p>
    <w:p>
      <w:pPr>
        <w:spacing w:line="360" w:lineRule="auto"/>
        <w:ind w:left="420"/>
        <w:rPr>
          <w:rFonts w:ascii="宋体" w:hAnsi="宋体"/>
          <w:bCs/>
          <w:color w:val="auto"/>
        </w:rPr>
      </w:pPr>
      <w:r>
        <w:rPr>
          <w:rFonts w:hint="eastAsia" w:ascii="宋体" w:hAnsi="宋体"/>
          <w:bCs/>
          <w:color w:val="auto"/>
        </w:rPr>
        <w:t>8、投标人认为必要的其他方案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9"/>
        <w:adjustRightInd w:val="0"/>
        <w:snapToGrid w:val="0"/>
        <w:spacing w:line="312" w:lineRule="auto"/>
        <w:jc w:val="center"/>
        <w:rPr>
          <w:rFonts w:ascii="Times New Roman" w:hAnsi="Times New Roman"/>
          <w:b/>
          <w:sz w:val="28"/>
        </w:rPr>
      </w:pPr>
    </w:p>
    <w:p/>
    <w:p/>
    <w:p/>
    <w:p/>
    <w:p/>
    <w:p>
      <w:pPr>
        <w:pStyle w:val="4"/>
        <w:tabs>
          <w:tab w:val="left" w:pos="371"/>
        </w:tabs>
        <w:spacing w:before="120" w:after="120"/>
        <w:ind w:left="-1" w:leftChars="-1" w:hanging="1"/>
        <w:jc w:val="center"/>
        <w:rPr>
          <w:rFonts w:asciiTheme="minorEastAsia" w:hAnsiTheme="minorEastAsia" w:eastAsiaTheme="minorEastAsia"/>
        </w:rPr>
      </w:pPr>
      <w:bookmarkStart w:id="81"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1"/>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
    <w:p/>
    <w:p>
      <w:pPr>
        <w:pStyle w:val="4"/>
        <w:tabs>
          <w:tab w:val="left" w:pos="371"/>
        </w:tabs>
        <w:spacing w:before="120" w:after="120"/>
        <w:ind w:left="-1" w:leftChars="-1" w:hanging="1"/>
        <w:jc w:val="center"/>
        <w:rPr>
          <w:rFonts w:asciiTheme="minorEastAsia" w:hAnsiTheme="minorEastAsia" w:eastAsiaTheme="minorEastAsia"/>
        </w:rPr>
      </w:pPr>
      <w:bookmarkStart w:id="82" w:name="_Toc44691168"/>
      <w:bookmarkStart w:id="83" w:name="_Toc44691400"/>
      <w:bookmarkStart w:id="84" w:name="_Toc44690436"/>
      <w:bookmarkStart w:id="85" w:name="_Toc44690709"/>
      <w:bookmarkStart w:id="86" w:name="_Toc135293190"/>
      <w:r>
        <w:rPr>
          <w:rFonts w:hint="eastAsia" w:asciiTheme="minorEastAsia" w:hAnsiTheme="minorEastAsia" w:eastAsiaTheme="minorEastAsia"/>
        </w:rPr>
        <w:t>格式9  偏离表</w:t>
      </w:r>
      <w:bookmarkEnd w:id="82"/>
      <w:bookmarkEnd w:id="83"/>
      <w:bookmarkEnd w:id="84"/>
      <w:bookmarkEnd w:id="85"/>
      <w:bookmarkEnd w:id="86"/>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4"/>
        <w:tabs>
          <w:tab w:val="left" w:pos="371"/>
        </w:tabs>
        <w:spacing w:before="120" w:after="120"/>
        <w:ind w:left="-1" w:leftChars="-1" w:hanging="1"/>
        <w:jc w:val="center"/>
        <w:rPr>
          <w:rFonts w:asciiTheme="minorEastAsia" w:hAnsiTheme="minorEastAsia" w:eastAsiaTheme="minorEastAsia"/>
        </w:rPr>
      </w:pPr>
      <w:bookmarkStart w:id="87" w:name="q15"/>
      <w:bookmarkEnd w:id="87"/>
      <w:bookmarkStart w:id="88" w:name="q16"/>
      <w:bookmarkEnd w:id="88"/>
      <w:bookmarkStart w:id="89" w:name="_格式3__"/>
      <w:bookmarkEnd w:id="89"/>
      <w:bookmarkStart w:id="90" w:name="_格式5__"/>
      <w:bookmarkEnd w:id="90"/>
      <w:bookmarkStart w:id="91" w:name="q17"/>
      <w:bookmarkEnd w:id="91"/>
      <w:bookmarkStart w:id="92" w:name="_格式4__"/>
      <w:bookmarkEnd w:id="92"/>
      <w:bookmarkStart w:id="93" w:name="_格式2__投标保证金凭证"/>
      <w:bookmarkEnd w:id="93"/>
      <w:r>
        <w:rPr>
          <w:rFonts w:asciiTheme="minorEastAsia" w:hAnsiTheme="minorEastAsia" w:eastAsiaTheme="minorEastAsia"/>
        </w:rPr>
        <w:tab/>
      </w:r>
      <w:bookmarkStart w:id="94" w:name="_Toc44691401"/>
      <w:bookmarkStart w:id="95" w:name="_Toc44690710"/>
      <w:bookmarkStart w:id="96" w:name="_Toc44691169"/>
      <w:bookmarkStart w:id="97" w:name="_Toc44690437"/>
      <w:bookmarkStart w:id="98" w:name="_Toc135293191"/>
      <w:r>
        <w:rPr>
          <w:rFonts w:hint="eastAsia" w:asciiTheme="minorEastAsia" w:hAnsiTheme="minorEastAsia" w:eastAsiaTheme="minorEastAsia"/>
        </w:rPr>
        <w:t xml:space="preserve">格式10  </w:t>
      </w:r>
      <w:bookmarkEnd w:id="94"/>
      <w:bookmarkEnd w:id="95"/>
      <w:bookmarkEnd w:id="96"/>
      <w:bookmarkEnd w:id="97"/>
      <w:r>
        <w:rPr>
          <w:rFonts w:hint="eastAsia" w:asciiTheme="minorEastAsia" w:hAnsiTheme="minorEastAsia" w:eastAsiaTheme="minorEastAsia"/>
        </w:rPr>
        <w:t>招标文件要求的其他资料或投标人认为需要补充的资料</w:t>
      </w:r>
      <w:bookmarkEnd w:id="98"/>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jc w:val="left"/>
        <w:rPr>
          <w:snapToGrid w:val="0"/>
          <w:kern w:val="0"/>
          <w:sz w:val="52"/>
          <w:szCs w:val="52"/>
        </w:rPr>
      </w:pPr>
    </w:p>
    <w:p/>
    <w:p/>
    <w:p/>
    <w:p/>
    <w:p/>
    <w:p/>
    <w:p/>
    <w:p/>
    <w:p/>
    <w:p/>
    <w:p/>
    <w:p/>
    <w:p/>
    <w:p>
      <w:pPr>
        <w:tabs>
          <w:tab w:val="left" w:pos="1875"/>
        </w:tabs>
      </w:pPr>
    </w:p>
    <w:p>
      <w:pPr>
        <w:widowControl/>
        <w:jc w:val="left"/>
        <w:rPr>
          <w:rFonts w:eastAsiaTheme="minorEastAsia"/>
          <w:b/>
          <w:kern w:val="44"/>
          <w:sz w:val="44"/>
          <w:szCs w:val="28"/>
        </w:rPr>
      </w:pPr>
    </w:p>
    <w:p/>
    <w:p>
      <w:pPr>
        <w:pStyle w:val="3"/>
      </w:pPr>
      <w:bookmarkStart w:id="99" w:name="_Toc135293192"/>
      <w:r>
        <w:rPr>
          <w:rFonts w:hint="eastAsia"/>
        </w:rPr>
        <w:t>第八章  合同条款</w:t>
      </w:r>
      <w:bookmarkEnd w:id="99"/>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7"/>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7"/>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7"/>
        <w:snapToGrid w:val="0"/>
        <w:spacing w:line="360" w:lineRule="auto"/>
        <w:ind w:firstLine="422" w:firstLineChars="200"/>
        <w:rPr>
          <w:rFonts w:hAnsi="宋体"/>
          <w:b/>
          <w:szCs w:val="21"/>
        </w:rPr>
      </w:pPr>
      <w:r>
        <w:rPr>
          <w:rFonts w:hint="eastAsia" w:hAnsi="宋体"/>
          <w:b/>
          <w:szCs w:val="21"/>
        </w:rPr>
        <w:t>二、合同金额</w:t>
      </w:r>
    </w:p>
    <w:p>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7"/>
        <w:snapToGrid w:val="0"/>
        <w:spacing w:line="360" w:lineRule="auto"/>
        <w:ind w:firstLine="422" w:firstLineChars="200"/>
        <w:rPr>
          <w:rFonts w:hAnsi="宋体"/>
          <w:b/>
          <w:szCs w:val="21"/>
        </w:rPr>
      </w:pPr>
      <w:r>
        <w:rPr>
          <w:rFonts w:hint="eastAsia" w:hAnsi="宋体"/>
          <w:b/>
          <w:szCs w:val="21"/>
        </w:rPr>
        <w:t>三、技术资料</w:t>
      </w:r>
    </w:p>
    <w:p>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7"/>
        <w:snapToGrid w:val="0"/>
        <w:spacing w:line="360" w:lineRule="auto"/>
        <w:ind w:firstLine="422" w:firstLineChars="200"/>
        <w:rPr>
          <w:rFonts w:hAnsi="宋体"/>
          <w:b/>
          <w:szCs w:val="21"/>
        </w:rPr>
      </w:pPr>
      <w:r>
        <w:rPr>
          <w:rFonts w:hint="eastAsia" w:hAnsi="宋体"/>
          <w:b/>
          <w:szCs w:val="21"/>
        </w:rPr>
        <w:t>四、知识产权</w:t>
      </w:r>
    </w:p>
    <w:p>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7"/>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7"/>
        <w:snapToGrid w:val="0"/>
        <w:spacing w:line="360" w:lineRule="auto"/>
        <w:ind w:firstLine="422" w:firstLineChars="200"/>
        <w:rPr>
          <w:rFonts w:hAnsi="宋体"/>
          <w:b/>
          <w:szCs w:val="21"/>
        </w:rPr>
      </w:pPr>
      <w:r>
        <w:rPr>
          <w:rFonts w:hint="eastAsia" w:hAnsi="宋体"/>
          <w:b/>
          <w:szCs w:val="21"/>
        </w:rPr>
        <w:t>十、付款方式和税费</w:t>
      </w:r>
    </w:p>
    <w:p>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7"/>
        <w:snapToGrid w:val="0"/>
        <w:spacing w:line="360" w:lineRule="auto"/>
        <w:ind w:firstLine="422" w:firstLineChars="200"/>
        <w:rPr>
          <w:rFonts w:hAnsi="宋体"/>
          <w:b/>
          <w:szCs w:val="21"/>
        </w:rPr>
      </w:pPr>
      <w:r>
        <w:rPr>
          <w:rFonts w:hint="eastAsia" w:hAnsi="宋体"/>
          <w:b/>
          <w:szCs w:val="21"/>
        </w:rPr>
        <w:t>十二、违约责任</w:t>
      </w:r>
    </w:p>
    <w:p>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7"/>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100" w:name="_Toc73610161"/>
      <w:bookmarkStart w:id="101" w:name="_Toc135293193"/>
      <w:r>
        <w:rPr>
          <w:rFonts w:hint="eastAsia"/>
        </w:rPr>
        <w:t>第九章  附件</w:t>
      </w:r>
      <w:bookmarkEnd w:id="100"/>
      <w:bookmarkEnd w:id="101"/>
    </w:p>
    <w:p>
      <w:pPr>
        <w:pStyle w:val="2"/>
        <w:spacing w:before="0" w:after="0"/>
      </w:pPr>
      <w:bookmarkStart w:id="102" w:name="_Toc73610162"/>
      <w:bookmarkStart w:id="103" w:name="_Toc73613644"/>
      <w:bookmarkStart w:id="104" w:name="_Toc135293194"/>
      <w:r>
        <w:rPr>
          <w:rFonts w:hint="eastAsia"/>
        </w:rPr>
        <w:t>一、财政部 工业和信息化部关于印发《政府采购促进中小企业发展管理办法》的通知</w:t>
      </w:r>
      <w:bookmarkEnd w:id="102"/>
      <w:bookmarkEnd w:id="103"/>
      <w:bookmarkEnd w:id="104"/>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2"/>
        <w:spacing w:before="0" w:after="0"/>
      </w:pPr>
      <w:bookmarkStart w:id="105" w:name="_Toc73613645"/>
      <w:bookmarkStart w:id="106" w:name="_Toc73610163"/>
      <w:bookmarkStart w:id="107" w:name="_Toc135293195"/>
      <w:r>
        <w:rPr>
          <w:rFonts w:hint="eastAsia"/>
        </w:rPr>
        <w:t>二、关于印发中小企业划型标准规定的通知</w:t>
      </w:r>
      <w:bookmarkEnd w:id="105"/>
      <w:bookmarkEnd w:id="106"/>
      <w:bookmarkEnd w:id="107"/>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2"/>
        <w:spacing w:before="0" w:after="0"/>
      </w:pPr>
      <w:bookmarkStart w:id="108" w:name="_Toc135293196"/>
      <w:bookmarkStart w:id="109" w:name="_Toc73610164"/>
      <w:bookmarkStart w:id="110" w:name="_Toc73613646"/>
      <w:r>
        <w:rPr>
          <w:rFonts w:hint="eastAsia"/>
        </w:rPr>
        <w:t>三、</w:t>
      </w:r>
      <w:r>
        <w:t>国家统计局关于印发《统计上大中小微型企业划分办法 （2017）》的通知</w:t>
      </w:r>
      <w:bookmarkEnd w:id="108"/>
      <w:bookmarkEnd w:id="109"/>
      <w:bookmarkEnd w:id="110"/>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2"/>
        <w:spacing w:before="0" w:after="0"/>
      </w:pPr>
      <w:bookmarkStart w:id="111" w:name="_Toc73613647"/>
      <w:bookmarkStart w:id="112" w:name="_Toc135293197"/>
      <w:bookmarkStart w:id="113" w:name="_Toc73610165"/>
      <w:r>
        <w:rPr>
          <w:rFonts w:hint="eastAsia"/>
        </w:rPr>
        <w:t>四、</w:t>
      </w:r>
      <w:r>
        <w:t>财政部 民政部 中国残疾人联合会关于促进残疾人就业 政府采购政策的通知</w:t>
      </w:r>
      <w:bookmarkEnd w:id="111"/>
      <w:bookmarkEnd w:id="112"/>
      <w:bookmarkEnd w:id="113"/>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2"/>
        <w:spacing w:before="0" w:after="0"/>
      </w:pPr>
      <w:bookmarkStart w:id="114" w:name="_Toc135293198"/>
      <w:r>
        <w:rPr>
          <w:rFonts w:hint="eastAsia"/>
        </w:rPr>
        <w:t>五、财政部 司法部关于政府采购支持监狱企业发展有关问题的通知</w:t>
      </w:r>
      <w:bookmarkEnd w:id="114"/>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华文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华文仿宋"/>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55</w:t>
    </w:r>
    <w:r>
      <w:rPr>
        <w:rStyle w:val="54"/>
      </w:rPr>
      <w:fldChar w:fldCharType="end"/>
    </w:r>
  </w:p>
  <w:p>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right" w:pos="9638"/>
      </w:tabs>
      <w:jc w:val="left"/>
    </w:pPr>
    <w:r>
      <w:rPr>
        <w:rFonts w:hint="eastAsia"/>
      </w:rPr>
      <w:t>项目名称：</w:t>
    </w:r>
    <w:r>
      <w:rPr>
        <w:rFonts w:hint="eastAsia" w:asciiTheme="minorEastAsia" w:hAnsiTheme="minorEastAsia" w:eastAsiaTheme="minorEastAsia"/>
      </w:rPr>
      <w:t xml:space="preserve">深圳市公共服务质量监测项目       </w:t>
    </w:r>
    <w:r>
      <w:rPr>
        <w:rFonts w:hint="eastAsia"/>
      </w:rPr>
      <w:t xml:space="preserve">                                      项目编号：</w:t>
    </w:r>
    <w:r>
      <w:rPr>
        <w:rFonts w:hint="eastAsia" w:asciiTheme="minorEastAsia" w:hAnsiTheme="minorEastAsia" w:eastAsiaTheme="minorEastAsia"/>
      </w:rPr>
      <w:t>SZZZ2024-QC0233</w:t>
    </w:r>
    <w:r>
      <w:tab/>
    </w:r>
  </w:p>
  <w:p>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988C6"/>
    <w:multiLevelType w:val="singleLevel"/>
    <w:tmpl w:val="E3E988C6"/>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GVkYTNiOTU2NTQ1Nzc0OTI5NDMzOTUxZDg0ZWI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AE8"/>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E7E3E"/>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0F05"/>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27E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90002"/>
    <w:rsid w:val="0029069C"/>
    <w:rsid w:val="00291560"/>
    <w:rsid w:val="00291AF5"/>
    <w:rsid w:val="0029244F"/>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17DC"/>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D4C"/>
    <w:rsid w:val="00545FC1"/>
    <w:rsid w:val="00546C0C"/>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4915"/>
    <w:rsid w:val="00565126"/>
    <w:rsid w:val="0056605B"/>
    <w:rsid w:val="005664D0"/>
    <w:rsid w:val="00566509"/>
    <w:rsid w:val="00566610"/>
    <w:rsid w:val="00566C96"/>
    <w:rsid w:val="0056736F"/>
    <w:rsid w:val="00567D1B"/>
    <w:rsid w:val="005705DB"/>
    <w:rsid w:val="005709EF"/>
    <w:rsid w:val="0057109F"/>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A16"/>
    <w:rsid w:val="005C4C1F"/>
    <w:rsid w:val="005C4D87"/>
    <w:rsid w:val="005C5F97"/>
    <w:rsid w:val="005C6799"/>
    <w:rsid w:val="005C6E78"/>
    <w:rsid w:val="005C7036"/>
    <w:rsid w:val="005C7053"/>
    <w:rsid w:val="005C79A0"/>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AA6"/>
    <w:rsid w:val="005E0D2C"/>
    <w:rsid w:val="005E0FBF"/>
    <w:rsid w:val="005E1A94"/>
    <w:rsid w:val="005E1E5E"/>
    <w:rsid w:val="005E1EC8"/>
    <w:rsid w:val="005E1F76"/>
    <w:rsid w:val="005E2578"/>
    <w:rsid w:val="005E285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06C"/>
    <w:rsid w:val="00607A47"/>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17CB1"/>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1F"/>
    <w:rsid w:val="006D23E7"/>
    <w:rsid w:val="006D2762"/>
    <w:rsid w:val="006D2A1D"/>
    <w:rsid w:val="006D32D2"/>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4E5"/>
    <w:rsid w:val="00802C82"/>
    <w:rsid w:val="008033B8"/>
    <w:rsid w:val="008033C1"/>
    <w:rsid w:val="00803689"/>
    <w:rsid w:val="00803C2E"/>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1581"/>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CC7"/>
    <w:rsid w:val="00991D80"/>
    <w:rsid w:val="00991EA5"/>
    <w:rsid w:val="009920AC"/>
    <w:rsid w:val="009923F6"/>
    <w:rsid w:val="00992863"/>
    <w:rsid w:val="00992AD4"/>
    <w:rsid w:val="00992B33"/>
    <w:rsid w:val="00992B8E"/>
    <w:rsid w:val="00993DE9"/>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4D72"/>
    <w:rsid w:val="009C53AE"/>
    <w:rsid w:val="009C59C1"/>
    <w:rsid w:val="009C5AD0"/>
    <w:rsid w:val="009C6134"/>
    <w:rsid w:val="009C6703"/>
    <w:rsid w:val="009C69CD"/>
    <w:rsid w:val="009C6D2B"/>
    <w:rsid w:val="009C730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3C6A"/>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F04"/>
    <w:rsid w:val="00B13082"/>
    <w:rsid w:val="00B134E7"/>
    <w:rsid w:val="00B13A79"/>
    <w:rsid w:val="00B14075"/>
    <w:rsid w:val="00B14FC0"/>
    <w:rsid w:val="00B159F7"/>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730"/>
    <w:rsid w:val="00CD28B2"/>
    <w:rsid w:val="00CD2DD0"/>
    <w:rsid w:val="00CD2E3B"/>
    <w:rsid w:val="00CD33EE"/>
    <w:rsid w:val="00CD3776"/>
    <w:rsid w:val="00CD4D65"/>
    <w:rsid w:val="00CD4ED7"/>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8A6"/>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2FC7"/>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4E0B"/>
    <w:rsid w:val="00E94FD2"/>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07C5"/>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029"/>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1375A8"/>
    <w:rsid w:val="01EA12DE"/>
    <w:rsid w:val="01F0299B"/>
    <w:rsid w:val="02274EC8"/>
    <w:rsid w:val="026E4F91"/>
    <w:rsid w:val="031C07A5"/>
    <w:rsid w:val="03993BA4"/>
    <w:rsid w:val="041D095D"/>
    <w:rsid w:val="04702B56"/>
    <w:rsid w:val="052C25C6"/>
    <w:rsid w:val="053E676B"/>
    <w:rsid w:val="05C12329"/>
    <w:rsid w:val="05C87DB9"/>
    <w:rsid w:val="06EE2C6F"/>
    <w:rsid w:val="0733430F"/>
    <w:rsid w:val="078A0A8F"/>
    <w:rsid w:val="0808579C"/>
    <w:rsid w:val="08B33959"/>
    <w:rsid w:val="08F024B8"/>
    <w:rsid w:val="093305F6"/>
    <w:rsid w:val="0961739E"/>
    <w:rsid w:val="098E6083"/>
    <w:rsid w:val="09A07067"/>
    <w:rsid w:val="0AD16319"/>
    <w:rsid w:val="0B205B2B"/>
    <w:rsid w:val="0B782559"/>
    <w:rsid w:val="0BF26547"/>
    <w:rsid w:val="0C676F35"/>
    <w:rsid w:val="0D566BC9"/>
    <w:rsid w:val="0DEB5194"/>
    <w:rsid w:val="0E1327A4"/>
    <w:rsid w:val="0E180322"/>
    <w:rsid w:val="0E547045"/>
    <w:rsid w:val="0E8C4995"/>
    <w:rsid w:val="0EF27BFB"/>
    <w:rsid w:val="0EFE5203"/>
    <w:rsid w:val="0F113188"/>
    <w:rsid w:val="0FBC50EF"/>
    <w:rsid w:val="0FED14FF"/>
    <w:rsid w:val="10C36704"/>
    <w:rsid w:val="10DB1C9F"/>
    <w:rsid w:val="112B13FA"/>
    <w:rsid w:val="115F3FD7"/>
    <w:rsid w:val="11A259DD"/>
    <w:rsid w:val="11B83D8F"/>
    <w:rsid w:val="11F9269A"/>
    <w:rsid w:val="11F92E2E"/>
    <w:rsid w:val="120474A0"/>
    <w:rsid w:val="12170AB5"/>
    <w:rsid w:val="12993BC0"/>
    <w:rsid w:val="13022517"/>
    <w:rsid w:val="13102ABE"/>
    <w:rsid w:val="14674DB7"/>
    <w:rsid w:val="15793835"/>
    <w:rsid w:val="157D6CEC"/>
    <w:rsid w:val="15C727F2"/>
    <w:rsid w:val="15D6004F"/>
    <w:rsid w:val="15DD3DC4"/>
    <w:rsid w:val="15E52C78"/>
    <w:rsid w:val="167D280D"/>
    <w:rsid w:val="16952851"/>
    <w:rsid w:val="17047766"/>
    <w:rsid w:val="1719707D"/>
    <w:rsid w:val="17935895"/>
    <w:rsid w:val="17F52C18"/>
    <w:rsid w:val="17FA6EAF"/>
    <w:rsid w:val="184530EF"/>
    <w:rsid w:val="18910E95"/>
    <w:rsid w:val="189270E7"/>
    <w:rsid w:val="18A1732B"/>
    <w:rsid w:val="18C13529"/>
    <w:rsid w:val="19227A4B"/>
    <w:rsid w:val="196C5B8A"/>
    <w:rsid w:val="19874772"/>
    <w:rsid w:val="1A4E7B88"/>
    <w:rsid w:val="1AB84DFF"/>
    <w:rsid w:val="1B3E182A"/>
    <w:rsid w:val="1B4B5195"/>
    <w:rsid w:val="1B972C67"/>
    <w:rsid w:val="1B9A62B3"/>
    <w:rsid w:val="1BA710FC"/>
    <w:rsid w:val="1C174C6F"/>
    <w:rsid w:val="1C2E35CB"/>
    <w:rsid w:val="1C3D380E"/>
    <w:rsid w:val="1C7C020D"/>
    <w:rsid w:val="1C8F78BA"/>
    <w:rsid w:val="1C9B0D84"/>
    <w:rsid w:val="1CBD494F"/>
    <w:rsid w:val="1CDD3F3B"/>
    <w:rsid w:val="1D4D6869"/>
    <w:rsid w:val="1E180A71"/>
    <w:rsid w:val="1EF6578A"/>
    <w:rsid w:val="1F941997"/>
    <w:rsid w:val="2000527E"/>
    <w:rsid w:val="202065D3"/>
    <w:rsid w:val="20707345"/>
    <w:rsid w:val="21562C7C"/>
    <w:rsid w:val="21760101"/>
    <w:rsid w:val="22B25284"/>
    <w:rsid w:val="22C07D9F"/>
    <w:rsid w:val="22E5075C"/>
    <w:rsid w:val="23056CBA"/>
    <w:rsid w:val="23203542"/>
    <w:rsid w:val="234C1E42"/>
    <w:rsid w:val="23C6059E"/>
    <w:rsid w:val="23C95079"/>
    <w:rsid w:val="23C95987"/>
    <w:rsid w:val="24031A53"/>
    <w:rsid w:val="24307C26"/>
    <w:rsid w:val="248E5D4C"/>
    <w:rsid w:val="24C47897"/>
    <w:rsid w:val="24E337F8"/>
    <w:rsid w:val="24F44C86"/>
    <w:rsid w:val="258C0D15"/>
    <w:rsid w:val="258D3B57"/>
    <w:rsid w:val="262336EE"/>
    <w:rsid w:val="268D0EEE"/>
    <w:rsid w:val="268F2F81"/>
    <w:rsid w:val="269E4C0C"/>
    <w:rsid w:val="27024D1A"/>
    <w:rsid w:val="272A2BE1"/>
    <w:rsid w:val="28795BCE"/>
    <w:rsid w:val="294A08AC"/>
    <w:rsid w:val="2AD85037"/>
    <w:rsid w:val="2BC90C1A"/>
    <w:rsid w:val="2BD0253B"/>
    <w:rsid w:val="2C444480"/>
    <w:rsid w:val="2C564DC3"/>
    <w:rsid w:val="2D381522"/>
    <w:rsid w:val="2D6C141D"/>
    <w:rsid w:val="2E1819E5"/>
    <w:rsid w:val="2E3F6F72"/>
    <w:rsid w:val="2E980D64"/>
    <w:rsid w:val="2EB64B4B"/>
    <w:rsid w:val="2ECF067B"/>
    <w:rsid w:val="2ED0406E"/>
    <w:rsid w:val="2EDB590A"/>
    <w:rsid w:val="2EEA15D4"/>
    <w:rsid w:val="2F0A29E3"/>
    <w:rsid w:val="2F126434"/>
    <w:rsid w:val="2F2A1F1F"/>
    <w:rsid w:val="2F8704F1"/>
    <w:rsid w:val="30817D6A"/>
    <w:rsid w:val="30DB597B"/>
    <w:rsid w:val="30F77FD8"/>
    <w:rsid w:val="314E1F19"/>
    <w:rsid w:val="3157114E"/>
    <w:rsid w:val="31F2037F"/>
    <w:rsid w:val="32471088"/>
    <w:rsid w:val="32877139"/>
    <w:rsid w:val="329B11F6"/>
    <w:rsid w:val="33266952"/>
    <w:rsid w:val="33590AD6"/>
    <w:rsid w:val="336E087E"/>
    <w:rsid w:val="33A85DA6"/>
    <w:rsid w:val="33C3087D"/>
    <w:rsid w:val="35961B12"/>
    <w:rsid w:val="364523AD"/>
    <w:rsid w:val="36700D38"/>
    <w:rsid w:val="36C4673D"/>
    <w:rsid w:val="37227431"/>
    <w:rsid w:val="37B10B63"/>
    <w:rsid w:val="37D17C49"/>
    <w:rsid w:val="38950836"/>
    <w:rsid w:val="38A547BD"/>
    <w:rsid w:val="390721D7"/>
    <w:rsid w:val="393B510C"/>
    <w:rsid w:val="393F4767"/>
    <w:rsid w:val="39A97E97"/>
    <w:rsid w:val="3A015A23"/>
    <w:rsid w:val="3A260C29"/>
    <w:rsid w:val="3B451940"/>
    <w:rsid w:val="3B57268D"/>
    <w:rsid w:val="3B6176CE"/>
    <w:rsid w:val="3B936B4F"/>
    <w:rsid w:val="3BF9504C"/>
    <w:rsid w:val="3C784EC1"/>
    <w:rsid w:val="3C7D55A2"/>
    <w:rsid w:val="3CF11603"/>
    <w:rsid w:val="3D7507FB"/>
    <w:rsid w:val="3D8B21D4"/>
    <w:rsid w:val="3E5D51F2"/>
    <w:rsid w:val="3EB5127A"/>
    <w:rsid w:val="3F161F71"/>
    <w:rsid w:val="3F434E19"/>
    <w:rsid w:val="3F503E5E"/>
    <w:rsid w:val="3F676329"/>
    <w:rsid w:val="3FC16214"/>
    <w:rsid w:val="3FCC6AD3"/>
    <w:rsid w:val="40224945"/>
    <w:rsid w:val="41232723"/>
    <w:rsid w:val="41576FF8"/>
    <w:rsid w:val="41D9164E"/>
    <w:rsid w:val="41DD521D"/>
    <w:rsid w:val="423B7022"/>
    <w:rsid w:val="425C5EED"/>
    <w:rsid w:val="42A87124"/>
    <w:rsid w:val="42CD2946"/>
    <w:rsid w:val="4389060E"/>
    <w:rsid w:val="43A713E9"/>
    <w:rsid w:val="43BA15D7"/>
    <w:rsid w:val="43C8028A"/>
    <w:rsid w:val="43D51667"/>
    <w:rsid w:val="443B2C25"/>
    <w:rsid w:val="448421F1"/>
    <w:rsid w:val="44BD63AB"/>
    <w:rsid w:val="45927E77"/>
    <w:rsid w:val="4597548E"/>
    <w:rsid w:val="45D37D9B"/>
    <w:rsid w:val="46D061FB"/>
    <w:rsid w:val="474E69BC"/>
    <w:rsid w:val="47EA7AF7"/>
    <w:rsid w:val="480D55F0"/>
    <w:rsid w:val="48194FD5"/>
    <w:rsid w:val="484514CB"/>
    <w:rsid w:val="48C86EE1"/>
    <w:rsid w:val="49417BEA"/>
    <w:rsid w:val="49EC5CB1"/>
    <w:rsid w:val="49FA6EF8"/>
    <w:rsid w:val="4A271167"/>
    <w:rsid w:val="4A4C2CEB"/>
    <w:rsid w:val="4A784961"/>
    <w:rsid w:val="4ACF3A3C"/>
    <w:rsid w:val="4B1700DF"/>
    <w:rsid w:val="4B78366B"/>
    <w:rsid w:val="4B8E6AC8"/>
    <w:rsid w:val="4C2F4672"/>
    <w:rsid w:val="4CB15087"/>
    <w:rsid w:val="4CBD1C7E"/>
    <w:rsid w:val="4CD80866"/>
    <w:rsid w:val="4D0B36F8"/>
    <w:rsid w:val="4D73233C"/>
    <w:rsid w:val="4DBF1A26"/>
    <w:rsid w:val="4E453CD9"/>
    <w:rsid w:val="4EC12DE5"/>
    <w:rsid w:val="4EC72940"/>
    <w:rsid w:val="4F0F6A19"/>
    <w:rsid w:val="4FF62807"/>
    <w:rsid w:val="50487AB0"/>
    <w:rsid w:val="50EF43D0"/>
    <w:rsid w:val="51823496"/>
    <w:rsid w:val="51D10A66"/>
    <w:rsid w:val="51D727A0"/>
    <w:rsid w:val="520D0FB1"/>
    <w:rsid w:val="528A390F"/>
    <w:rsid w:val="528C6991"/>
    <w:rsid w:val="52C3297B"/>
    <w:rsid w:val="53E126F6"/>
    <w:rsid w:val="54054633"/>
    <w:rsid w:val="540605E4"/>
    <w:rsid w:val="54436F0C"/>
    <w:rsid w:val="547F0032"/>
    <w:rsid w:val="54A02A20"/>
    <w:rsid w:val="554233D8"/>
    <w:rsid w:val="556A671B"/>
    <w:rsid w:val="55C14DA7"/>
    <w:rsid w:val="55C87B3E"/>
    <w:rsid w:val="5650772A"/>
    <w:rsid w:val="56730F8A"/>
    <w:rsid w:val="56BF4844"/>
    <w:rsid w:val="57B40121"/>
    <w:rsid w:val="57C20213"/>
    <w:rsid w:val="58D67D8C"/>
    <w:rsid w:val="58E10577"/>
    <w:rsid w:val="59165EF7"/>
    <w:rsid w:val="59376914"/>
    <w:rsid w:val="594554D5"/>
    <w:rsid w:val="59702A12"/>
    <w:rsid w:val="597D67A7"/>
    <w:rsid w:val="598D4786"/>
    <w:rsid w:val="5A455061"/>
    <w:rsid w:val="5A4A3B04"/>
    <w:rsid w:val="5A5E41C2"/>
    <w:rsid w:val="5AB26B9A"/>
    <w:rsid w:val="5AB7588F"/>
    <w:rsid w:val="5AED2A9C"/>
    <w:rsid w:val="5B092452"/>
    <w:rsid w:val="5B411CCC"/>
    <w:rsid w:val="5B834C97"/>
    <w:rsid w:val="5BC746C9"/>
    <w:rsid w:val="5C34151F"/>
    <w:rsid w:val="5C537F09"/>
    <w:rsid w:val="5C643EC4"/>
    <w:rsid w:val="5C8A0A15"/>
    <w:rsid w:val="5C9D1465"/>
    <w:rsid w:val="5CC61F72"/>
    <w:rsid w:val="5CF206F7"/>
    <w:rsid w:val="5D866FFA"/>
    <w:rsid w:val="5DE51034"/>
    <w:rsid w:val="5EA0340D"/>
    <w:rsid w:val="5ED66C3C"/>
    <w:rsid w:val="5F77220E"/>
    <w:rsid w:val="5F971A72"/>
    <w:rsid w:val="5F9B7B27"/>
    <w:rsid w:val="5F9D057C"/>
    <w:rsid w:val="5FD96977"/>
    <w:rsid w:val="5FDD643B"/>
    <w:rsid w:val="609D79A4"/>
    <w:rsid w:val="60BA3E42"/>
    <w:rsid w:val="60C05441"/>
    <w:rsid w:val="60EF5D26"/>
    <w:rsid w:val="61776447"/>
    <w:rsid w:val="6194383B"/>
    <w:rsid w:val="61CB5375"/>
    <w:rsid w:val="623348CA"/>
    <w:rsid w:val="62D24934"/>
    <w:rsid w:val="634E142A"/>
    <w:rsid w:val="63730E90"/>
    <w:rsid w:val="64630F05"/>
    <w:rsid w:val="64C51278"/>
    <w:rsid w:val="653512EF"/>
    <w:rsid w:val="65C92FEA"/>
    <w:rsid w:val="65CA685B"/>
    <w:rsid w:val="65CF34A7"/>
    <w:rsid w:val="65F660EF"/>
    <w:rsid w:val="6673798C"/>
    <w:rsid w:val="66770C98"/>
    <w:rsid w:val="673905B6"/>
    <w:rsid w:val="674D37A6"/>
    <w:rsid w:val="67BF28F6"/>
    <w:rsid w:val="681C3942"/>
    <w:rsid w:val="68460AAC"/>
    <w:rsid w:val="68787AAA"/>
    <w:rsid w:val="6881195A"/>
    <w:rsid w:val="68A65864"/>
    <w:rsid w:val="68AC1CFE"/>
    <w:rsid w:val="68EC626C"/>
    <w:rsid w:val="693E784B"/>
    <w:rsid w:val="6AE12D9C"/>
    <w:rsid w:val="6BCD1DE6"/>
    <w:rsid w:val="6C505023"/>
    <w:rsid w:val="6D14299F"/>
    <w:rsid w:val="6D672A1E"/>
    <w:rsid w:val="6D8466D8"/>
    <w:rsid w:val="6D94212F"/>
    <w:rsid w:val="6DA57E98"/>
    <w:rsid w:val="6DB109BD"/>
    <w:rsid w:val="6DC237D1"/>
    <w:rsid w:val="6DCB27F6"/>
    <w:rsid w:val="6E8566C3"/>
    <w:rsid w:val="6E8B52E0"/>
    <w:rsid w:val="6ED36C87"/>
    <w:rsid w:val="6F3C2A7E"/>
    <w:rsid w:val="6F40725E"/>
    <w:rsid w:val="6F4C2770"/>
    <w:rsid w:val="6F745D74"/>
    <w:rsid w:val="70293003"/>
    <w:rsid w:val="707149AA"/>
    <w:rsid w:val="711172CF"/>
    <w:rsid w:val="71FD54DD"/>
    <w:rsid w:val="72BF37AA"/>
    <w:rsid w:val="739A7F5B"/>
    <w:rsid w:val="73BB61C1"/>
    <w:rsid w:val="7410294D"/>
    <w:rsid w:val="741A56D6"/>
    <w:rsid w:val="745B39A7"/>
    <w:rsid w:val="74C7103C"/>
    <w:rsid w:val="75220020"/>
    <w:rsid w:val="766C59F7"/>
    <w:rsid w:val="766F3739"/>
    <w:rsid w:val="76D71644"/>
    <w:rsid w:val="77256439"/>
    <w:rsid w:val="776C2FB6"/>
    <w:rsid w:val="77D25D2E"/>
    <w:rsid w:val="784B5AE0"/>
    <w:rsid w:val="78CA42CE"/>
    <w:rsid w:val="79304AF9"/>
    <w:rsid w:val="793839BA"/>
    <w:rsid w:val="79982284"/>
    <w:rsid w:val="7998662D"/>
    <w:rsid w:val="7A0E6DF0"/>
    <w:rsid w:val="7A4606C0"/>
    <w:rsid w:val="7A8C5878"/>
    <w:rsid w:val="7AB02ADE"/>
    <w:rsid w:val="7ABB0CFB"/>
    <w:rsid w:val="7B1D3764"/>
    <w:rsid w:val="7B471854"/>
    <w:rsid w:val="7BB5399C"/>
    <w:rsid w:val="7C552333"/>
    <w:rsid w:val="7C5F6F1C"/>
    <w:rsid w:val="7CA86C55"/>
    <w:rsid w:val="7CF019C1"/>
    <w:rsid w:val="7D376633"/>
    <w:rsid w:val="7D461CAD"/>
    <w:rsid w:val="7D4E6DDA"/>
    <w:rsid w:val="7DFE0712"/>
    <w:rsid w:val="7E026C41"/>
    <w:rsid w:val="7E28286A"/>
    <w:rsid w:val="7E4515FE"/>
    <w:rsid w:val="7EAD59B2"/>
    <w:rsid w:val="7F91273C"/>
    <w:rsid w:val="7FFD742C"/>
    <w:rsid w:val="E7FFC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99"/>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21"/>
    <w:link w:val="71"/>
    <w:qFormat/>
    <w:uiPriority w:val="0"/>
    <w:pPr>
      <w:spacing w:after="120"/>
    </w:pPr>
  </w:style>
  <w:style w:type="paragraph" w:styleId="21">
    <w:name w:val="Body Text 2"/>
    <w:basedOn w:val="1"/>
    <w:link w:val="306"/>
    <w:qFormat/>
    <w:uiPriority w:val="0"/>
    <w:rPr>
      <w:sz w:val="28"/>
      <w:szCs w:val="20"/>
    </w:r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5"/>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qFormat/>
    <w:uiPriority w:val="0"/>
    <w:pPr>
      <w:spacing w:after="120" w:line="480" w:lineRule="auto"/>
      <w:ind w:left="420" w:leftChars="200"/>
    </w:pPr>
  </w:style>
  <w:style w:type="paragraph" w:styleId="31">
    <w:name w:val="Balloon Text"/>
    <w:basedOn w:val="1"/>
    <w:link w:val="77"/>
    <w:qFormat/>
    <w:uiPriority w:val="0"/>
    <w:rPr>
      <w:sz w:val="18"/>
      <w:szCs w:val="18"/>
    </w:rPr>
  </w:style>
  <w:style w:type="paragraph" w:styleId="32">
    <w:name w:val="footer"/>
    <w:basedOn w:val="1"/>
    <w:link w:val="78"/>
    <w:qFormat/>
    <w:uiPriority w:val="99"/>
    <w:pPr>
      <w:tabs>
        <w:tab w:val="center" w:pos="4153"/>
        <w:tab w:val="right" w:pos="8306"/>
      </w:tabs>
      <w:snapToGrid w:val="0"/>
      <w:jc w:val="left"/>
    </w:pPr>
    <w:rPr>
      <w:sz w:val="18"/>
      <w:szCs w:val="18"/>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7"/>
    <w:qFormat/>
    <w:uiPriority w:val="0"/>
    <w:rPr>
      <w:rFonts w:ascii="宋体" w:hAnsi="Courier New" w:eastAsia="宋体"/>
      <w:kern w:val="2"/>
      <w:sz w:val="21"/>
      <w:lang w:val="en-US" w:eastAsia="zh-CN" w:bidi="ar-SA"/>
    </w:rPr>
  </w:style>
  <w:style w:type="character" w:customStyle="1" w:styleId="76">
    <w:name w:val="正文文本缩进 2 Char1"/>
    <w:link w:val="30"/>
    <w:qFormat/>
    <w:uiPriority w:val="0"/>
    <w:rPr>
      <w:kern w:val="2"/>
      <w:sz w:val="21"/>
      <w:szCs w:val="24"/>
    </w:rPr>
  </w:style>
  <w:style w:type="character" w:customStyle="1" w:styleId="77">
    <w:name w:val="批注框文本 Char"/>
    <w:basedOn w:val="52"/>
    <w:link w:val="31"/>
    <w:qFormat/>
    <w:uiPriority w:val="99"/>
    <w:rPr>
      <w:kern w:val="2"/>
      <w:sz w:val="18"/>
      <w:szCs w:val="18"/>
    </w:rPr>
  </w:style>
  <w:style w:type="character" w:customStyle="1" w:styleId="78">
    <w:name w:val="页脚 Char"/>
    <w:basedOn w:val="52"/>
    <w:link w:val="32"/>
    <w:qFormat/>
    <w:uiPriority w:val="99"/>
    <w:rPr>
      <w:kern w:val="2"/>
      <w:sz w:val="18"/>
      <w:szCs w:val="18"/>
    </w:rPr>
  </w:style>
  <w:style w:type="character" w:customStyle="1" w:styleId="79">
    <w:name w:val="页眉 Char"/>
    <w:link w:val="33"/>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21"/>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2"/>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9"/>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Char2"/>
    <w:basedOn w:val="52"/>
    <w:link w:val="39"/>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76</Pages>
  <Words>47879</Words>
  <Characters>51088</Characters>
  <Lines>406</Lines>
  <Paragraphs>114</Paragraphs>
  <TotalTime>5</TotalTime>
  <ScaleCrop>false</ScaleCrop>
  <LinksUpToDate>false</LinksUpToDate>
  <CharactersWithSpaces>53273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2019-11-08T17:16:00Z</dcterms:created>
  <dc:creator>微软用户</dc:creator>
  <cp:lastModifiedBy>中正招标罗敏仪</cp:lastModifiedBy>
  <cp:lastPrinted>2020-05-26T17:03:00Z</cp:lastPrinted>
  <dcterms:modified xsi:type="dcterms:W3CDTF">2024-05-30T03:50:10Z</dcterms:modified>
  <dc:title>招标编号：UHO2010-G0029</dc:title>
  <cp:revision>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E7EFCA99BA2A42C1A83BB3F37221F387</vt:lpwstr>
  </property>
</Properties>
</file>