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cs="仿宋" w:asciiTheme="minorEastAsia" w:hAnsiTheme="minorEastAsia" w:eastAsiaTheme="minorEastAsia"/>
          <w:snapToGrid w:val="0"/>
          <w:kern w:val="0"/>
          <w:sz w:val="28"/>
          <w:szCs w:val="28"/>
        </w:rPr>
      </w:pPr>
      <w:r>
        <w:rPr>
          <w:rFonts w:cs="仿宋" w:asciiTheme="minorEastAsia" w:hAnsiTheme="minorEastAsia" w:eastAsiaTheme="minorEastAsia"/>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0" t="0" r="8890" b="0"/>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hint="eastAsia" w:cs="仿宋" w:asciiTheme="minorEastAsia" w:hAnsiTheme="minorEastAsia" w:eastAsiaTheme="minorEastAsia"/>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rPr>
      </w:pPr>
    </w:p>
    <w:p>
      <w:pPr>
        <w:jc w:val="center"/>
        <w:rPr>
          <w:rFonts w:cs="仿宋" w:asciiTheme="minorEastAsia" w:hAnsiTheme="minorEastAsia" w:eastAsiaTheme="minorEastAsia"/>
          <w:b/>
          <w:bCs/>
          <w:sz w:val="72"/>
          <w:szCs w:val="72"/>
        </w:rPr>
      </w:pPr>
      <w:r>
        <w:rPr>
          <w:rFonts w:hint="eastAsia" w:cs="仿宋" w:asciiTheme="minorEastAsia" w:hAnsiTheme="minorEastAsia" w:eastAsiaTheme="minorEastAsia"/>
          <w:b/>
          <w:bCs/>
          <w:snapToGrid w:val="0"/>
          <w:kern w:val="0"/>
          <w:sz w:val="72"/>
          <w:szCs w:val="72"/>
        </w:rPr>
        <w:t>2023年龙华区道路交通安全领域督导检查工作项目</w:t>
      </w:r>
    </w:p>
    <w:p>
      <w:pPr>
        <w:rPr>
          <w:rFonts w:cs="仿宋" w:asciiTheme="minorEastAsia" w:hAnsiTheme="minorEastAsia" w:eastAsiaTheme="minorEastAsia"/>
        </w:rPr>
      </w:pPr>
    </w:p>
    <w:p>
      <w:pPr>
        <w:rPr>
          <w:rFonts w:cs="仿宋" w:asciiTheme="minorEastAsia" w:hAnsiTheme="minorEastAsia" w:eastAsiaTheme="minorEastAsia"/>
        </w:rPr>
      </w:pPr>
    </w:p>
    <w:p>
      <w:pPr>
        <w:pStyle w:val="20"/>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bCs/>
          <w:snapToGrid w:val="0"/>
          <w:kern w:val="0"/>
          <w:sz w:val="90"/>
        </w:rPr>
      </w:pPr>
      <w:r>
        <w:rPr>
          <w:rFonts w:hint="eastAsia" w:cs="仿宋" w:asciiTheme="minorEastAsia" w:hAnsiTheme="minorEastAsia" w:eastAsiaTheme="minorEastAsia"/>
          <w:b/>
          <w:bCs/>
          <w:snapToGrid w:val="0"/>
          <w:kern w:val="0"/>
          <w:sz w:val="90"/>
        </w:rPr>
        <w:t>招  标　文　件</w:t>
      </w:r>
    </w:p>
    <w:p>
      <w:pPr>
        <w:adjustRightInd w:val="0"/>
        <w:snapToGrid w:val="0"/>
        <w:spacing w:line="300" w:lineRule="auto"/>
        <w:jc w:val="center"/>
        <w:rPr>
          <w:rFonts w:cs="仿宋" w:asciiTheme="minorEastAsia" w:hAnsiTheme="minorEastAsia" w:eastAsiaTheme="minorEastAsia"/>
          <w:b/>
          <w:bCs/>
          <w:snapToGrid w:val="0"/>
          <w:kern w:val="0"/>
          <w:sz w:val="32"/>
        </w:rPr>
      </w:pPr>
    </w:p>
    <w:p>
      <w:pPr>
        <w:adjustRightInd w:val="0"/>
        <w:snapToGrid w:val="0"/>
        <w:spacing w:line="300" w:lineRule="auto"/>
        <w:jc w:val="center"/>
        <w:rPr>
          <w:rFonts w:cs="仿宋" w:asciiTheme="minorEastAsia" w:hAnsiTheme="minorEastAsia" w:eastAsiaTheme="minorEastAsia"/>
          <w:b/>
          <w:bCs/>
          <w:snapToGrid w:val="0"/>
          <w:kern w:val="0"/>
          <w:sz w:val="32"/>
        </w:rPr>
      </w:pPr>
    </w:p>
    <w:p>
      <w:pPr>
        <w:adjustRightInd w:val="0"/>
        <w:snapToGrid w:val="0"/>
        <w:spacing w:line="300" w:lineRule="auto"/>
        <w:jc w:val="center"/>
        <w:rPr>
          <w:rFonts w:cs="仿宋" w:asciiTheme="minorEastAsia" w:hAnsiTheme="minorEastAsia" w:eastAsiaTheme="minorEastAsia"/>
          <w:b/>
          <w:bCs/>
          <w:snapToGrid w:val="0"/>
          <w:kern w:val="0"/>
          <w:sz w:val="44"/>
        </w:rPr>
      </w:pPr>
      <w:r>
        <w:rPr>
          <w:rFonts w:hint="eastAsia" w:cs="仿宋" w:asciiTheme="minorEastAsia" w:hAnsiTheme="minorEastAsia" w:eastAsiaTheme="minorEastAsia"/>
          <w:b/>
          <w:bCs/>
          <w:snapToGrid w:val="0"/>
          <w:kern w:val="0"/>
          <w:sz w:val="32"/>
        </w:rPr>
        <w:t>项目编号：SZZZ2023-QC0214</w:t>
      </w:r>
    </w:p>
    <w:p>
      <w:pPr>
        <w:rPr>
          <w:rFonts w:cs="仿宋" w:asciiTheme="minorEastAsia" w:hAnsiTheme="minorEastAsia" w:eastAsiaTheme="minorEastAsia"/>
          <w:b/>
          <w:bCs/>
        </w:rPr>
      </w:pPr>
    </w:p>
    <w:p>
      <w:pPr>
        <w:rPr>
          <w:rFonts w:cs="仿宋" w:asciiTheme="minorEastAsia" w:hAnsiTheme="minorEastAsia" w:eastAsiaTheme="minorEastAsia"/>
          <w:b/>
          <w:bCs/>
        </w:rPr>
      </w:pPr>
    </w:p>
    <w:p>
      <w:pPr>
        <w:rPr>
          <w:rFonts w:cs="仿宋" w:asciiTheme="minorEastAsia" w:hAnsiTheme="minorEastAsia" w:eastAsiaTheme="minorEastAsia"/>
          <w:b/>
          <w:bCs/>
        </w:rPr>
      </w:pPr>
    </w:p>
    <w:p>
      <w:pPr>
        <w:pStyle w:val="9"/>
      </w:pPr>
    </w:p>
    <w:p>
      <w:pPr>
        <w:pStyle w:val="20"/>
        <w:ind w:left="0" w:leftChars="0" w:firstLine="0" w:firstLineChars="0"/>
        <w:rPr>
          <w:b/>
          <w:bCs/>
        </w:rPr>
      </w:pPr>
    </w:p>
    <w:p>
      <w:pPr>
        <w:pStyle w:val="20"/>
        <w:ind w:firstLine="422"/>
        <w:rPr>
          <w:b/>
          <w:bCs/>
        </w:rPr>
      </w:pPr>
    </w:p>
    <w:p>
      <w:pPr>
        <w:rPr>
          <w:rFonts w:cs="仿宋" w:asciiTheme="minorEastAsia" w:hAnsiTheme="minorEastAsia" w:eastAsiaTheme="minorEastAsia"/>
          <w:b/>
          <w:bCs/>
        </w:rPr>
      </w:pPr>
    </w:p>
    <w:p>
      <w:pPr>
        <w:pStyle w:val="14"/>
        <w:adjustRightInd w:val="0"/>
        <w:snapToGrid w:val="0"/>
        <w:spacing w:line="300" w:lineRule="auto"/>
        <w:jc w:val="center"/>
        <w:rPr>
          <w:rFonts w:cs="仿宋" w:asciiTheme="minorEastAsia" w:hAnsiTheme="minorEastAsia" w:eastAsiaTheme="minorEastAsia"/>
          <w:b/>
          <w:bCs/>
          <w:snapToGrid w:val="0"/>
          <w:sz w:val="30"/>
        </w:rPr>
      </w:pPr>
      <w:r>
        <w:rPr>
          <w:rFonts w:hint="eastAsia" w:cs="仿宋" w:asciiTheme="minorEastAsia" w:hAnsiTheme="minorEastAsia" w:eastAsiaTheme="minorEastAsia"/>
          <w:b/>
          <w:bCs/>
          <w:snapToGrid w:val="0"/>
          <w:sz w:val="30"/>
        </w:rPr>
        <w:t>二〇二三年五月</w:t>
      </w:r>
    </w:p>
    <w:p>
      <w:pPr>
        <w:widowControl/>
        <w:jc w:val="center"/>
        <w:rPr>
          <w:rFonts w:cs="仿宋" w:asciiTheme="minorEastAsia" w:hAnsiTheme="minorEastAsia" w:eastAsiaTheme="minorEastAsia"/>
          <w:snapToGrid w:val="0"/>
        </w:rPr>
      </w:pPr>
      <w:r>
        <w:rPr>
          <w:rFonts w:hint="eastAsia" w:cs="仿宋" w:asciiTheme="minorEastAsia" w:hAnsiTheme="minorEastAsia" w:eastAsiaTheme="minorEastAsia"/>
          <w:snapToGrid w:val="0"/>
        </w:rPr>
        <w:br w:type="page"/>
      </w:r>
    </w:p>
    <w:p>
      <w:pPr>
        <w:widowControl/>
        <w:rPr>
          <w:rFonts w:cs="仿宋" w:asciiTheme="minorEastAsia" w:hAnsiTheme="minorEastAsia" w:eastAsiaTheme="minorEastAsia"/>
          <w:snapToGrid w:val="0"/>
        </w:rPr>
      </w:pPr>
    </w:p>
    <w:p>
      <w:pPr>
        <w:widowControl/>
        <w:jc w:val="center"/>
        <w:rPr>
          <w:rFonts w:cs="仿宋" w:asciiTheme="minorEastAsia" w:hAnsiTheme="minorEastAsia" w:eastAsiaTheme="minorEastAsia"/>
          <w:snapToGrid w:val="0"/>
        </w:rPr>
      </w:pPr>
    </w:p>
    <w:p>
      <w:pPr>
        <w:widowControl/>
        <w:jc w:val="center"/>
        <w:rPr>
          <w:rFonts w:cs="仿宋" w:asciiTheme="minorEastAsia" w:hAnsiTheme="minorEastAsia" w:eastAsiaTheme="minorEastAsia"/>
          <w:b/>
          <w:bCs/>
          <w:snapToGrid w:val="0"/>
          <w:sz w:val="48"/>
          <w:szCs w:val="48"/>
        </w:rPr>
      </w:pPr>
      <w:r>
        <w:rPr>
          <w:rFonts w:hint="eastAsia" w:cs="仿宋" w:asciiTheme="minorEastAsia" w:hAnsiTheme="minorEastAsia" w:eastAsiaTheme="minorEastAsia"/>
          <w:b/>
          <w:bCs/>
          <w:snapToGrid w:val="0"/>
          <w:sz w:val="48"/>
          <w:szCs w:val="48"/>
        </w:rPr>
        <w:t>招标文件信息</w:t>
      </w:r>
    </w:p>
    <w:p>
      <w:pPr>
        <w:widowControl/>
        <w:jc w:val="left"/>
        <w:rPr>
          <w:rFonts w:cs="仿宋" w:asciiTheme="minorEastAsia" w:hAnsiTheme="minorEastAsia" w:eastAsiaTheme="minorEastAsia"/>
          <w:sz w:val="28"/>
        </w:rPr>
      </w:pPr>
    </w:p>
    <w:tbl>
      <w:tblPr>
        <w:tblStyle w:val="22"/>
        <w:tblW w:w="8490"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19"/>
        <w:gridCol w:w="6271"/>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项目名称</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2023年龙华区道路交通安全领域督导检查工作项目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项目编号</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SZZZ2023-QC0214</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项目类型</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采购方式</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是否评定分离</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评审方法</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定标方法</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中标候选人</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中标人</w:t>
            </w:r>
          </w:p>
        </w:tc>
        <w:tc>
          <w:tcPr>
            <w:tcW w:w="6271" w:type="dxa"/>
            <w:vAlign w:val="center"/>
          </w:tcPr>
          <w:p>
            <w:pPr>
              <w:widowControl/>
              <w:spacing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pPr>
        <w:widowControl/>
        <w:jc w:val="left"/>
        <w:rPr>
          <w:rFonts w:cs="仿宋" w:asciiTheme="minorEastAsia" w:hAnsiTheme="minorEastAsia" w:eastAsiaTheme="minorEastAsia"/>
          <w:sz w:val="36"/>
        </w:rPr>
      </w:pPr>
      <w:r>
        <w:rPr>
          <w:rFonts w:hint="eastAsia" w:cs="仿宋" w:asciiTheme="minorEastAsia" w:hAnsiTheme="minorEastAsia" w:eastAsiaTheme="minorEastAsia"/>
          <w:sz w:val="36"/>
        </w:rPr>
        <w:br w:type="page"/>
      </w:r>
    </w:p>
    <w:p>
      <w:pPr>
        <w:spacing w:line="360" w:lineRule="auto"/>
        <w:jc w:val="center"/>
        <w:rPr>
          <w:rFonts w:cs="仿宋" w:asciiTheme="minorEastAsia" w:hAnsiTheme="minorEastAsia" w:eastAsiaTheme="minorEastAsia"/>
          <w:b/>
          <w:bCs/>
          <w:sz w:val="48"/>
          <w:szCs w:val="48"/>
        </w:rPr>
      </w:pPr>
      <w:r>
        <w:rPr>
          <w:rFonts w:hint="eastAsia" w:cs="仿宋" w:asciiTheme="minorEastAsia" w:hAnsiTheme="minorEastAsia" w:eastAsiaTheme="minorEastAsia"/>
          <w:b/>
          <w:bCs/>
          <w:sz w:val="48"/>
          <w:szCs w:val="48"/>
        </w:rPr>
        <w:t>招标文件目录</w:t>
      </w:r>
    </w:p>
    <w:p>
      <w:pPr>
        <w:jc w:val="center"/>
        <w:rPr>
          <w:rFonts w:cs="仿宋" w:asciiTheme="minorEastAsia" w:hAnsiTheme="minorEastAsia" w:eastAsiaTheme="minorEastAsia"/>
          <w:sz w:val="20"/>
        </w:rPr>
      </w:pPr>
    </w:p>
    <w:tbl>
      <w:tblPr>
        <w:tblStyle w:val="2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第一部分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投标须知前附表及评审信息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第二部分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第三部分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格式1 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格式2 投标人资格证明文件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格式4 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格式5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格式6 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格式7 投标人情况介绍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格式8 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格式9 其他招标文件要求的资料或投标人认为需要补充的资料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第四部分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第五部分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通用条款（投标须知）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A、说明；B、招标文件说明；C、投标文件的编写；</w:t>
            </w:r>
          </w:p>
          <w:p>
            <w:pPr>
              <w:widowControl/>
              <w:spacing w:line="360" w:lineRule="auto"/>
              <w:rPr>
                <w:rFonts w:ascii="仿宋_GB2312" w:eastAsia="仿宋_GB2312" w:cs="仿宋" w:hAnsiTheme="minorEastAsia"/>
                <w:sz w:val="24"/>
              </w:rPr>
            </w:pPr>
            <w:r>
              <w:rPr>
                <w:rFonts w:hint="eastAsia" w:ascii="仿宋_GB2312" w:eastAsia="仿宋_GB2312" w:cs="仿宋" w:hAnsiTheme="minorEastAsia"/>
                <w:sz w:val="24"/>
              </w:rPr>
              <w:t>D、投标文件递交；E、开标和评审；F、授予合同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b/>
                <w:bCs/>
                <w:sz w:val="24"/>
              </w:rPr>
            </w:pPr>
            <w:r>
              <w:rPr>
                <w:rFonts w:hint="eastAsia" w:ascii="仿宋_GB2312" w:eastAsia="仿宋_GB2312" w:cs="仿宋" w:hAnsiTheme="minorEastAsia"/>
                <w:b/>
                <w:bCs/>
                <w:sz w:val="24"/>
              </w:rPr>
              <w:t>第六部分</w:t>
            </w:r>
          </w:p>
        </w:tc>
        <w:tc>
          <w:tcPr>
            <w:tcW w:w="6996" w:type="dxa"/>
            <w:vAlign w:val="center"/>
          </w:tcPr>
          <w:p>
            <w:pPr>
              <w:widowControl/>
              <w:spacing w:line="360" w:lineRule="auto"/>
              <w:rPr>
                <w:rFonts w:ascii="仿宋_GB2312" w:eastAsia="仿宋_GB2312" w:cs="仿宋" w:hAnsiTheme="minorEastAsia"/>
                <w:b/>
                <w:bCs/>
                <w:sz w:val="24"/>
              </w:rPr>
            </w:pPr>
            <w:r>
              <w:rPr>
                <w:rFonts w:hint="eastAsia" w:ascii="仿宋_GB2312" w:eastAsia="仿宋_GB2312" w:cs="仿宋" w:hAnsiTheme="minorEastAsia"/>
                <w:b/>
                <w:bCs/>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_GB2312" w:eastAsia="仿宋_GB2312" w:cs="仿宋" w:hAnsiTheme="minorEastAsia"/>
                <w:sz w:val="24"/>
              </w:rPr>
            </w:pPr>
          </w:p>
        </w:tc>
        <w:tc>
          <w:tcPr>
            <w:tcW w:w="6996" w:type="dxa"/>
            <w:vAlign w:val="center"/>
          </w:tcPr>
          <w:p>
            <w:pPr>
              <w:spacing w:line="360" w:lineRule="auto"/>
              <w:rPr>
                <w:rFonts w:ascii="仿宋_GB2312" w:eastAsia="仿宋_GB2312" w:cs="仿宋" w:hAnsiTheme="minorEastAsia"/>
                <w:sz w:val="24"/>
              </w:rPr>
            </w:pPr>
          </w:p>
        </w:tc>
      </w:tr>
    </w:tbl>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left"/>
        <w:rPr>
          <w:rFonts w:cs="仿宋" w:asciiTheme="minorEastAsia" w:hAnsiTheme="minorEastAsia" w:eastAsiaTheme="minorEastAsia"/>
        </w:rPr>
      </w:pPr>
    </w:p>
    <w:p>
      <w:pPr>
        <w:rPr>
          <w:rFonts w:cs="仿宋" w:asciiTheme="minorEastAsia" w:hAnsiTheme="minorEastAsia" w:eastAsiaTheme="minorEastAsia"/>
        </w:rPr>
      </w:pPr>
    </w:p>
    <w:p>
      <w:pPr>
        <w:pStyle w:val="3"/>
        <w:keepNext w:val="0"/>
        <w:rPr>
          <w:rFonts w:cs="仿宋" w:asciiTheme="minorEastAsia" w:hAnsiTheme="minorEastAsia" w:eastAsiaTheme="minorEastAsia"/>
          <w:snapToGrid w:val="0"/>
          <w:color w:val="auto"/>
          <w:kern w:val="0"/>
          <w:sz w:val="72"/>
        </w:rPr>
      </w:pPr>
    </w:p>
    <w:p>
      <w:pPr>
        <w:pStyle w:val="3"/>
        <w:keepNext w:val="0"/>
        <w:rPr>
          <w:rFonts w:cs="仿宋" w:asciiTheme="minorEastAsia" w:hAnsiTheme="minorEastAsia" w:eastAsiaTheme="minorEastAsia"/>
          <w:snapToGrid w:val="0"/>
          <w:color w:val="auto"/>
          <w:kern w:val="0"/>
          <w:sz w:val="72"/>
        </w:rPr>
      </w:pPr>
    </w:p>
    <w:p>
      <w:pPr>
        <w:pStyle w:val="3"/>
        <w:keepNext w:val="0"/>
        <w:rPr>
          <w:rFonts w:cs="仿宋" w:asciiTheme="minorEastAsia" w:hAnsiTheme="minorEastAsia" w:eastAsiaTheme="minorEastAsia"/>
          <w:snapToGrid w:val="0"/>
          <w:color w:val="auto"/>
          <w:kern w:val="0"/>
          <w:sz w:val="72"/>
        </w:rPr>
      </w:pPr>
    </w:p>
    <w:p>
      <w:pPr>
        <w:pStyle w:val="3"/>
        <w:keepNext w:val="0"/>
        <w:rPr>
          <w:rFonts w:cs="仿宋" w:asciiTheme="minorEastAsia" w:hAnsiTheme="minorEastAsia" w:eastAsiaTheme="minorEastAsia"/>
          <w:snapToGrid w:val="0"/>
          <w:color w:val="auto"/>
          <w:kern w:val="0"/>
          <w:sz w:val="72"/>
        </w:rPr>
      </w:pPr>
    </w:p>
    <w:p>
      <w:pPr>
        <w:pStyle w:val="3"/>
        <w:keepNext w:val="0"/>
        <w:rPr>
          <w:rFonts w:cs="仿宋" w:asciiTheme="minorEastAsia" w:hAnsiTheme="minorEastAsia" w:eastAsiaTheme="minorEastAsia"/>
          <w:snapToGrid w:val="0"/>
          <w:color w:val="auto"/>
          <w:kern w:val="0"/>
          <w:sz w:val="72"/>
        </w:rPr>
      </w:pPr>
    </w:p>
    <w:p>
      <w:pPr>
        <w:pStyle w:val="3"/>
        <w:keepNext w:val="0"/>
        <w:rPr>
          <w:rFonts w:cs="仿宋" w:asciiTheme="minorEastAsia" w:hAnsiTheme="minorEastAsia" w:eastAsiaTheme="minorEastAsia"/>
          <w:b/>
          <w:bCs/>
          <w:snapToGrid w:val="0"/>
          <w:color w:val="auto"/>
          <w:kern w:val="0"/>
          <w:sz w:val="72"/>
        </w:rPr>
      </w:pPr>
      <w:r>
        <w:rPr>
          <w:rFonts w:hint="eastAsia" w:cs="仿宋" w:asciiTheme="minorEastAsia" w:hAnsiTheme="minorEastAsia" w:eastAsiaTheme="minorEastAsia"/>
          <w:b/>
          <w:bCs/>
          <w:snapToGrid w:val="0"/>
          <w:color w:val="auto"/>
          <w:kern w:val="0"/>
          <w:sz w:val="96"/>
        </w:rPr>
        <w:t>采购公告</w:t>
      </w:r>
    </w:p>
    <w:p>
      <w:pPr>
        <w:rPr>
          <w:rFonts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2023年龙华区道路交通安全领域督导检查工作</w:t>
      </w:r>
    </w:p>
    <w:p>
      <w:pPr>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项目采购公告</w:t>
      </w:r>
    </w:p>
    <w:p>
      <w:pPr>
        <w:spacing w:line="360" w:lineRule="auto"/>
        <w:rPr>
          <w:rFonts w:cs="仿宋" w:asciiTheme="minorEastAsia" w:hAnsiTheme="minorEastAsia" w:eastAsiaTheme="minorEastAsia"/>
          <w:sz w:val="24"/>
          <w:szCs w:val="24"/>
        </w:rPr>
      </w:pP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b/>
          <w:bCs/>
          <w:szCs w:val="21"/>
        </w:rPr>
        <w:t>一、项目概况</w:t>
      </w:r>
    </w:p>
    <w:p>
      <w:pPr>
        <w:spacing w:line="360" w:lineRule="auto"/>
        <w:ind w:firstLine="424" w:firstLineChars="202"/>
        <w:rPr>
          <w:rFonts w:cs="仿宋" w:asciiTheme="minorEastAsia" w:hAnsiTheme="minorEastAsia" w:eastAsiaTheme="minorEastAsia"/>
          <w:szCs w:val="21"/>
        </w:rPr>
      </w:pPr>
      <w:r>
        <w:rPr>
          <w:rFonts w:hint="eastAsia" w:cs="仿宋" w:asciiTheme="minorEastAsia" w:hAnsiTheme="minorEastAsia" w:eastAsiaTheme="minorEastAsia"/>
          <w:szCs w:val="21"/>
          <w:u w:val="single"/>
        </w:rPr>
        <w:t>2023年龙华区道路交通安全领域督导检查工作项目</w:t>
      </w:r>
      <w:r>
        <w:rPr>
          <w:rFonts w:hint="eastAsia" w:cs="仿宋" w:asciiTheme="minorEastAsia" w:hAnsiTheme="minorEastAsia" w:eastAsiaTheme="minorEastAsia"/>
          <w:szCs w:val="21"/>
        </w:rPr>
        <w:t>项目的潜在投标人应在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获取招标文件，并于</w:t>
      </w:r>
      <w:r>
        <w:rPr>
          <w:rFonts w:hint="eastAsia" w:cs="仿宋" w:asciiTheme="minorEastAsia" w:hAnsiTheme="minorEastAsia" w:eastAsiaTheme="minorEastAsia"/>
          <w:szCs w:val="21"/>
          <w:u w:val="single"/>
        </w:rPr>
        <w:t>2023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02</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15</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w:t>
      </w:r>
      <w:r>
        <w:rPr>
          <w:rFonts w:hint="eastAsia" w:cs="仿宋" w:asciiTheme="minorEastAsia" w:hAnsiTheme="minorEastAsia" w:eastAsiaTheme="minorEastAsia"/>
          <w:szCs w:val="21"/>
          <w:u w:val="single"/>
        </w:rPr>
        <w:t>0</w:t>
      </w:r>
      <w:r>
        <w:rPr>
          <w:rFonts w:hint="eastAsia" w:cs="仿宋" w:asciiTheme="minorEastAsia" w:hAnsiTheme="minorEastAsia" w:eastAsiaTheme="minorEastAsia"/>
          <w:szCs w:val="21"/>
        </w:rPr>
        <w:t>分（北京时间）前递交投标文件。</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1、项目编号：SZZZ2023-QC0214</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2、项目名称：2023年龙华区道路交通安全领域督导检查工作项目</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3、预算金额：人民币80万元</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4、最高限价：人民币80万元</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5、采购方式：公开征集</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6、采购需求：</w:t>
      </w:r>
    </w:p>
    <w:tbl>
      <w:tblPr>
        <w:tblStyle w:val="21"/>
        <w:tblW w:w="851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4389"/>
        <w:gridCol w:w="934"/>
        <w:gridCol w:w="20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C6D9F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4389" w:type="dxa"/>
            <w:shd w:val="clear" w:color="auto" w:fill="C6D9F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标的名称</w:t>
            </w:r>
          </w:p>
        </w:tc>
        <w:tc>
          <w:tcPr>
            <w:tcW w:w="934" w:type="dxa"/>
            <w:shd w:val="clear" w:color="auto" w:fill="C6D9F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数量</w:t>
            </w:r>
          </w:p>
        </w:tc>
        <w:tc>
          <w:tcPr>
            <w:tcW w:w="2028" w:type="dxa"/>
            <w:shd w:val="clear" w:color="auto" w:fill="C6D9F1"/>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8"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4389"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2023年龙华区道路交通安全领域督导检查工作项目</w:t>
            </w:r>
          </w:p>
        </w:tc>
        <w:tc>
          <w:tcPr>
            <w:tcW w:w="934"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1项</w:t>
            </w:r>
          </w:p>
        </w:tc>
        <w:tc>
          <w:tcPr>
            <w:tcW w:w="2028"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详见附件内容</w:t>
            </w:r>
          </w:p>
        </w:tc>
      </w:tr>
    </w:tbl>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7、合同履行期限：详见招标文件。</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8、是否联合体：本项目不接受联合体投标。</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1、须是在中华人民共和国境内注册的法人或其他组织【须提供合法有效的营业执照或法人证书等证明材料的扫描件或复印件加盖投标供应商公章，原件备查】；</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2、参与本项目的投标供应商须满足《中华人民共和国政府采购法》第二十二条规定【由投标供应商按招标文件规定的格式在《承诺函》中作出声明】；</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3、参与本项目采购活动前三年内，在经营活动中没有重大违法记录【由投标供应商按招标文件规定的格式在《承诺函》中作出声明】；</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4、参与本项目政府采购活动时不存在被有关部门禁止参与政府采购活动且在有效期内的情况【由投标供应商按招标文件规定的格式在《承诺函》中作出声明】；</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5、除单一来源采购项目外，为采购项目提供整体设计、规范编制或者项目管理、监理、检测等服务的人，不得再参加该采购项目的其他采购活动【由投标供应商按招标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6、参与本项目政府采购活动不存在与其他采购参加人串通投标，隐瞒真实情况，提供虚假资料等违法违规情形【由投标供应商按招标文件规定的格式在《承诺函》中作出声明】；</w:t>
      </w:r>
    </w:p>
    <w:p>
      <w:pPr>
        <w:spacing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bCs/>
          <w:szCs w:val="21"/>
        </w:rPr>
        <w:t>8、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r>
        <w:rPr>
          <w:rFonts w:hint="eastAsia" w:cs="仿宋" w:asciiTheme="minorEastAsia" w:hAnsiTheme="minorEastAsia" w:eastAsiaTheme="minorEastAsia"/>
          <w:szCs w:val="21"/>
        </w:rPr>
        <w:t>；</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9、本项目不接受联合体投标，不允许非法分包或转包。</w:t>
      </w:r>
    </w:p>
    <w:p>
      <w:pPr>
        <w:pStyle w:val="20"/>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四、获取招标文件</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rPr>
        <w:t>2023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05</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26</w:t>
      </w:r>
      <w:r>
        <w:rPr>
          <w:rFonts w:hint="eastAsia" w:cs="仿宋" w:asciiTheme="minorEastAsia" w:hAnsiTheme="minorEastAsia" w:eastAsiaTheme="minorEastAsia"/>
          <w:szCs w:val="21"/>
        </w:rPr>
        <w:t>日至</w:t>
      </w:r>
      <w:r>
        <w:rPr>
          <w:rFonts w:hint="eastAsia" w:cs="仿宋" w:asciiTheme="minorEastAsia" w:hAnsiTheme="minorEastAsia" w:eastAsiaTheme="minorEastAsia"/>
          <w:szCs w:val="21"/>
          <w:u w:val="single"/>
        </w:rPr>
        <w:t>2023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05</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31</w:t>
      </w:r>
      <w:r>
        <w:rPr>
          <w:rFonts w:hint="eastAsia" w:cs="仿宋" w:asciiTheme="minorEastAsia" w:hAnsiTheme="minorEastAsia" w:eastAsiaTheme="minorEastAsia"/>
          <w:szCs w:val="21"/>
        </w:rPr>
        <w:t>日，每天上午</w:t>
      </w:r>
      <w:r>
        <w:rPr>
          <w:rFonts w:hint="eastAsia" w:cs="仿宋" w:asciiTheme="minorEastAsia" w:hAnsiTheme="minorEastAsia" w:eastAsiaTheme="minorEastAsia"/>
          <w:szCs w:val="21"/>
          <w:u w:val="single"/>
        </w:rPr>
        <w:t>09</w:t>
      </w:r>
      <w:r>
        <w:rPr>
          <w:rFonts w:hint="eastAsia" w:cs="仿宋" w:asciiTheme="minorEastAsia" w:hAnsiTheme="minorEastAsia" w:eastAsiaTheme="minorEastAsia"/>
          <w:szCs w:val="21"/>
        </w:rPr>
        <w:t>时至</w:t>
      </w:r>
      <w:r>
        <w:rPr>
          <w:rFonts w:hint="eastAsia" w:cs="仿宋" w:asciiTheme="minorEastAsia" w:hAnsiTheme="minorEastAsia" w:eastAsiaTheme="minorEastAsia"/>
          <w:szCs w:val="21"/>
          <w:u w:val="single"/>
        </w:rPr>
        <w:t>11</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分，下午</w:t>
      </w:r>
      <w:r>
        <w:rPr>
          <w:rFonts w:hint="eastAsia" w:cs="仿宋" w:asciiTheme="minorEastAsia" w:hAnsiTheme="minorEastAsia" w:eastAsiaTheme="minorEastAsia"/>
          <w:szCs w:val="21"/>
          <w:u w:val="single"/>
        </w:rPr>
        <w:t>02</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分至</w:t>
      </w:r>
      <w:r>
        <w:rPr>
          <w:rFonts w:hint="eastAsia" w:cs="仿宋" w:asciiTheme="minorEastAsia" w:hAnsiTheme="minorEastAsia" w:eastAsiaTheme="minorEastAsia"/>
          <w:szCs w:val="21"/>
          <w:u w:val="single"/>
        </w:rPr>
        <w:t>05</w:t>
      </w:r>
      <w:r>
        <w:rPr>
          <w:rFonts w:hint="eastAsia" w:cs="仿宋" w:asciiTheme="minorEastAsia" w:hAnsiTheme="minorEastAsia" w:eastAsiaTheme="minorEastAsia"/>
          <w:szCs w:val="21"/>
        </w:rPr>
        <w:t>时</w:t>
      </w:r>
      <w:r>
        <w:rPr>
          <w:rFonts w:hint="eastAsia" w:cs="仿宋" w:asciiTheme="minorEastAsia" w:hAnsiTheme="minorEastAsia" w:eastAsiaTheme="minorEastAsia"/>
          <w:szCs w:val="21"/>
          <w:u w:val="single"/>
        </w:rPr>
        <w:t>30</w:t>
      </w:r>
      <w:r>
        <w:rPr>
          <w:rFonts w:hint="eastAsia" w:cs="仿宋" w:asciiTheme="minorEastAsia" w:hAnsiTheme="minorEastAsia" w:eastAsiaTheme="minorEastAsia"/>
          <w:szCs w:val="21"/>
        </w:rPr>
        <w:t>分（北京时间，法定节假日除外）</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2、地点：深圳市福田区民田路171号新华保险大厦903中正招标（中正官网www.szzzt.com）</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3、方式：现场报名投标或网上报名投标</w:t>
      </w:r>
    </w:p>
    <w:p>
      <w:pPr>
        <w:spacing w:line="360" w:lineRule="auto"/>
        <w:ind w:left="2" w:firstLine="365" w:firstLineChars="174"/>
        <w:rPr>
          <w:rFonts w:cs="仿宋" w:asciiTheme="minorEastAsia" w:hAnsiTheme="minorEastAsia" w:eastAsiaTheme="minorEastAsia"/>
          <w:szCs w:val="21"/>
        </w:rPr>
      </w:pPr>
      <w:r>
        <w:rPr>
          <w:rFonts w:hint="eastAsia" w:cs="仿宋" w:asciiTheme="minorEastAsia" w:hAnsiTheme="minorEastAsia" w:eastAsiaTheme="minorEastAsia"/>
          <w:szCs w:val="21"/>
        </w:rPr>
        <w:t>备注：① 现场报名投标：须携带营业执照复印件或扫描件和法人授权委托书原件（均加盖公章）。</w:t>
      </w:r>
    </w:p>
    <w:p>
      <w:pPr>
        <w:spacing w:line="360" w:lineRule="auto"/>
        <w:ind w:left="2" w:firstLine="365" w:firstLineChars="174"/>
        <w:rPr>
          <w:rFonts w:cs="仿宋" w:asciiTheme="minorEastAsia" w:hAnsiTheme="minorEastAsia" w:eastAsiaTheme="minorEastAsia"/>
          <w:szCs w:val="21"/>
        </w:rPr>
      </w:pPr>
      <w:r>
        <w:rPr>
          <w:rFonts w:hint="eastAsia" w:cs="仿宋" w:asciiTheme="minorEastAsia" w:hAnsiTheme="minorEastAsia" w:eastAsiaTheme="minorEastAsia"/>
          <w:szCs w:val="21"/>
        </w:rPr>
        <w:t>② 网上报名投标：发送报名资料至我司邮箱进行报名登记及获取招标文件，邮箱地址：qtszzzzb@163.com。</w:t>
      </w:r>
    </w:p>
    <w:p>
      <w:pPr>
        <w:spacing w:line="360" w:lineRule="auto"/>
        <w:ind w:left="2" w:firstLine="365" w:firstLineChars="174"/>
        <w:rPr>
          <w:rFonts w:cs="仿宋" w:asciiTheme="minorEastAsia" w:hAnsiTheme="minorEastAsia" w:eastAsiaTheme="minorEastAsia"/>
          <w:szCs w:val="21"/>
        </w:rPr>
      </w:pPr>
      <w:r>
        <w:rPr>
          <w:rFonts w:hint="eastAsia" w:cs="仿宋" w:asciiTheme="minorEastAsia" w:hAnsiTheme="minorEastAsia" w:eastAsiaTheme="minorEastAsia"/>
          <w:szCs w:val="21"/>
        </w:rPr>
        <w:t>报名投标邮件需附以下资料: 1）加盖公章的《购买标书登记表》（下载地址：“www.szzzt.com”首页“下载中心”）；2）加盖公章的营业执照复印件扫描件；3）法人授权委托书扫描件；4）购买招标文件费用银行转帐凭证。报名时间以邮件发出时间为准，工作人员将在第二个工作日与报名投标资料完整的投标人联系。</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4、售价：人民币600元，招标文件售后不退。</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购买招标文件账号信息如下：</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银行账号：03003729353</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开户名称：深圳市中正招标有限公司</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开户银行：上海银行深圳天安支行</w:t>
      </w:r>
    </w:p>
    <w:p>
      <w:pPr>
        <w:spacing w:line="360" w:lineRule="auto"/>
        <w:ind w:firstLine="371" w:firstLineChars="177"/>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1、时间：</w:t>
      </w:r>
      <w:r>
        <w:rPr>
          <w:rFonts w:hint="eastAsia" w:cs="仿宋" w:asciiTheme="minorEastAsia" w:hAnsiTheme="minorEastAsia" w:eastAsiaTheme="minorEastAsia"/>
          <w:szCs w:val="21"/>
          <w:u w:val="single"/>
        </w:rPr>
        <w:t>2023</w:t>
      </w:r>
      <w:r>
        <w:rPr>
          <w:rFonts w:hint="eastAsia" w:cs="仿宋" w:asciiTheme="minorEastAsia" w:hAnsiTheme="minorEastAsia" w:eastAsiaTheme="minorEastAsia"/>
          <w:szCs w:val="21"/>
        </w:rPr>
        <w:t>年</w:t>
      </w:r>
      <w:r>
        <w:rPr>
          <w:rFonts w:hint="eastAsia" w:cs="仿宋" w:asciiTheme="minorEastAsia" w:hAnsiTheme="minorEastAsia" w:eastAsiaTheme="minorEastAsia"/>
          <w:szCs w:val="21"/>
          <w:u w:val="single"/>
          <w:lang w:val="en-US" w:eastAsia="zh-CN"/>
        </w:rPr>
        <w:t>06</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u w:val="single"/>
          <w:lang w:val="en-US" w:eastAsia="zh-CN"/>
        </w:rPr>
        <w:t>02</w:t>
      </w:r>
      <w:r>
        <w:rPr>
          <w:rFonts w:hint="eastAsia" w:cs="仿宋" w:asciiTheme="minorEastAsia" w:hAnsiTheme="minorEastAsia" w:eastAsiaTheme="minorEastAsia"/>
          <w:szCs w:val="21"/>
        </w:rPr>
        <w:t>日</w:t>
      </w:r>
      <w:r>
        <w:rPr>
          <w:rFonts w:hint="eastAsia" w:cs="仿宋" w:asciiTheme="minorEastAsia" w:hAnsiTheme="minorEastAsia" w:eastAsiaTheme="minorEastAsia"/>
          <w:szCs w:val="21"/>
          <w:u w:val="single"/>
          <w:lang w:val="en-US" w:eastAsia="zh-CN"/>
        </w:rPr>
        <w:t>15</w:t>
      </w:r>
      <w:r>
        <w:rPr>
          <w:rFonts w:hint="eastAsia" w:cs="仿宋" w:asciiTheme="minorEastAsia" w:hAnsiTheme="minorEastAsia" w:eastAsiaTheme="minorEastAsia"/>
          <w:szCs w:val="21"/>
        </w:rPr>
        <w:t>点</w:t>
      </w:r>
      <w:r>
        <w:rPr>
          <w:rFonts w:hint="eastAsia" w:cs="仿宋" w:asciiTheme="minorEastAsia" w:hAnsiTheme="minorEastAsia" w:eastAsiaTheme="minorEastAsia"/>
          <w:szCs w:val="21"/>
          <w:u w:val="single"/>
          <w:lang w:val="en-US" w:eastAsia="zh-CN"/>
        </w:rPr>
        <w:t>0</w:t>
      </w:r>
      <w:r>
        <w:rPr>
          <w:rFonts w:hint="eastAsia" w:cs="仿宋" w:asciiTheme="minorEastAsia" w:hAnsiTheme="minorEastAsia" w:eastAsiaTheme="minorEastAsia"/>
          <w:szCs w:val="21"/>
          <w:u w:val="single"/>
        </w:rPr>
        <w:t>0</w:t>
      </w:r>
      <w:r>
        <w:rPr>
          <w:rFonts w:hint="eastAsia" w:cs="仿宋" w:asciiTheme="minorEastAsia" w:hAnsiTheme="minorEastAsia" w:eastAsiaTheme="minorEastAsia"/>
          <w:szCs w:val="21"/>
        </w:rPr>
        <w:t>分（北京时间）</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2、地点：深圳市福田区民田路171号新华保险大厦903中正招标</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备注：投标人可以通过快递方式在投标截止时间前将《投标文件》送达到我司，快递单上应清晰写明投标人名称、项目编号和项目名称，递交时间为送达我司由我司工作人员签收的时间；投标人未参加现场开标的，视同认可开标结果。</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自本公告发布之日起5个日历日</w:t>
      </w:r>
    </w:p>
    <w:p>
      <w:pPr>
        <w:spacing w:line="360" w:lineRule="auto"/>
        <w:rPr>
          <w:rFonts w:cs="仿宋" w:asciiTheme="minorEastAsia" w:hAnsiTheme="minorEastAsia" w:eastAsiaTheme="minorEastAsia"/>
          <w:szCs w:val="21"/>
        </w:rPr>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2、本项目相关公告在以下媒体发布：</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① 深圳公共资源交易中心网（www.szzfcg.cn）</w:t>
      </w:r>
    </w:p>
    <w:p>
      <w:pPr>
        <w:spacing w:line="360" w:lineRule="auto"/>
        <w:ind w:firstLine="371" w:firstLineChars="177"/>
        <w:rPr>
          <w:rFonts w:cs="仿宋" w:asciiTheme="minorEastAsia" w:hAnsiTheme="minorEastAsia" w:eastAsiaTheme="minorEastAsia"/>
          <w:szCs w:val="21"/>
        </w:rPr>
      </w:pPr>
      <w:r>
        <w:rPr>
          <w:rFonts w:cs="仿宋" w:asciiTheme="minorEastAsia" w:hAnsiTheme="minorEastAsia" w:eastAsiaTheme="minorEastAsia"/>
          <w:szCs w:val="21"/>
        </w:rPr>
        <w:fldChar w:fldCharType="begin"/>
      </w:r>
      <w:r>
        <w:rPr>
          <w:rFonts w:cs="仿宋" w:asciiTheme="minorEastAsia" w:hAnsiTheme="minorEastAsia" w:eastAsiaTheme="minorEastAsia"/>
          <w:szCs w:val="21"/>
        </w:rPr>
        <w:instrText xml:space="preserve"> </w:instrText>
      </w:r>
      <w:r>
        <w:rPr>
          <w:rFonts w:hint="eastAsia" w:cs="仿宋" w:asciiTheme="minorEastAsia" w:hAnsiTheme="minorEastAsia" w:eastAsiaTheme="minorEastAsia"/>
          <w:szCs w:val="21"/>
        </w:rPr>
        <w:instrText xml:space="preserve">= 2 \* GB3</w:instrText>
      </w:r>
      <w:r>
        <w:rPr>
          <w:rFonts w:cs="仿宋" w:asciiTheme="minorEastAsia" w:hAnsiTheme="minorEastAsia" w:eastAsiaTheme="minorEastAsia"/>
          <w:szCs w:val="21"/>
        </w:rPr>
        <w:instrText xml:space="preserve"> </w:instrText>
      </w:r>
      <w:r>
        <w:rPr>
          <w:rFonts w:cs="仿宋" w:asciiTheme="minorEastAsia" w:hAnsiTheme="minorEastAsia" w:eastAsiaTheme="minorEastAsia"/>
          <w:szCs w:val="21"/>
        </w:rPr>
        <w:fldChar w:fldCharType="separate"/>
      </w:r>
      <w:r>
        <w:rPr>
          <w:rFonts w:hint="eastAsia" w:cs="仿宋" w:asciiTheme="minorEastAsia" w:hAnsiTheme="minorEastAsia" w:eastAsiaTheme="minorEastAsia"/>
          <w:szCs w:val="21"/>
        </w:rPr>
        <w:t>②</w:t>
      </w:r>
      <w:r>
        <w:rPr>
          <w:rFonts w:cs="仿宋" w:asciiTheme="minorEastAsia" w:hAnsiTheme="minorEastAsia" w:eastAsiaTheme="minorEastAsia"/>
          <w:szCs w:val="21"/>
        </w:rPr>
        <w:fldChar w:fldCharType="end"/>
      </w:r>
      <w:r>
        <w:rPr>
          <w:rFonts w:hint="eastAsia" w:cs="仿宋" w:asciiTheme="minorEastAsia" w:hAnsiTheme="minorEastAsia" w:eastAsiaTheme="minorEastAsia"/>
          <w:szCs w:val="21"/>
        </w:rPr>
        <w:t xml:space="preserve"> 采购代理机构网站（www.szzzt.com）</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相关公告在以上媒体上公布之日即视为有效送达，不再另行通知。</w:t>
      </w:r>
    </w:p>
    <w:p>
      <w:pPr>
        <w:pStyle w:val="8"/>
        <w:rPr>
          <w:rFonts w:cs="仿宋" w:asciiTheme="minorEastAsia" w:hAnsiTheme="minorEastAsia" w:eastAsiaTheme="minorEastAsia"/>
          <w:szCs w:val="21"/>
        </w:rPr>
      </w:pPr>
    </w:p>
    <w:p>
      <w:pPr>
        <w:pStyle w:val="9"/>
      </w:pPr>
    </w:p>
    <w:p>
      <w:pPr>
        <w:spacing w:line="360" w:lineRule="auto"/>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1、采购人信息</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称：深圳市公安局交通警察支队龙华大队</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w:t>
      </w:r>
      <w:r>
        <w:rPr>
          <w:rFonts w:hint="eastAsia"/>
        </w:rPr>
        <w:t>深圳市龙华区龙华街道东环二路459号</w:t>
      </w:r>
    </w:p>
    <w:p>
      <w:pPr>
        <w:spacing w:line="360" w:lineRule="auto"/>
        <w:ind w:firstLine="371" w:firstLineChars="177"/>
      </w:pPr>
      <w:r>
        <w:rPr>
          <w:rFonts w:hint="eastAsia" w:cs="仿宋" w:asciiTheme="minorEastAsia" w:hAnsiTheme="minorEastAsia" w:eastAsiaTheme="minorEastAsia"/>
          <w:szCs w:val="21"/>
        </w:rPr>
        <w:t>联系 方式：曾警官</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2、采购代理机构信息</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名　   称：深圳市中正招标有限公司</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地　   址：深圳市福田区民田路171号新华保险大厦903</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联系 方式：杨工，0755-83026699</w:t>
      </w:r>
    </w:p>
    <w:p>
      <w:pPr>
        <w:pStyle w:val="8"/>
        <w:rPr>
          <w:rFonts w:cs="仿宋" w:asciiTheme="minorEastAsia" w:hAnsiTheme="minorEastAsia" w:eastAsiaTheme="minorEastAsia"/>
          <w:szCs w:val="21"/>
        </w:rPr>
      </w:pPr>
    </w:p>
    <w:p>
      <w:pPr>
        <w:pStyle w:val="9"/>
      </w:pPr>
    </w:p>
    <w:p>
      <w:pPr>
        <w:spacing w:line="360" w:lineRule="auto"/>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pPr>
        <w:spacing w:line="360" w:lineRule="auto"/>
        <w:ind w:firstLine="411" w:firstLineChars="196"/>
        <w:jc w:val="left"/>
        <w:rPr>
          <w:rFonts w:cs="仿宋" w:asciiTheme="minorEastAsia" w:hAnsiTheme="minorEastAsia" w:eastAsiaTheme="minorEastAsia"/>
          <w:szCs w:val="21"/>
        </w:rPr>
      </w:pPr>
      <w:r>
        <w:rPr>
          <w:rFonts w:hint="eastAsia" w:cs="仿宋" w:asciiTheme="minorEastAsia" w:hAnsiTheme="minorEastAsia" w:eastAsiaTheme="minorEastAsia"/>
          <w:szCs w:val="21"/>
        </w:rPr>
        <w:t>招标文件</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（附件内容请登陆采购代理机构官网下载查阅）</w:t>
      </w:r>
    </w:p>
    <w:p>
      <w:pPr>
        <w:spacing w:line="360" w:lineRule="auto"/>
        <w:rPr>
          <w:rFonts w:cs="仿宋" w:asciiTheme="minorEastAsia" w:hAnsiTheme="minorEastAsia" w:eastAsiaTheme="minorEastAsia"/>
          <w:szCs w:val="21"/>
        </w:rPr>
      </w:pPr>
    </w:p>
    <w:p>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深圳市中正招标有限公司</w:t>
      </w:r>
    </w:p>
    <w:p>
      <w:pPr>
        <w:spacing w:line="360" w:lineRule="auto"/>
        <w:ind w:firstLine="743" w:firstLineChars="354"/>
        <w:jc w:val="right"/>
        <w:rPr>
          <w:rFonts w:cs="仿宋" w:asciiTheme="minorEastAsia" w:hAnsiTheme="minorEastAsia" w:eastAsiaTheme="minorEastAsia"/>
          <w:szCs w:val="21"/>
        </w:rPr>
      </w:pPr>
      <w:r>
        <w:rPr>
          <w:rFonts w:hint="eastAsia" w:cs="仿宋" w:asciiTheme="minorEastAsia" w:hAnsiTheme="minorEastAsia" w:eastAsiaTheme="minorEastAsia"/>
          <w:szCs w:val="21"/>
        </w:rPr>
        <w:t>2023年</w:t>
      </w:r>
      <w:r>
        <w:rPr>
          <w:rFonts w:hint="eastAsia" w:cs="仿宋" w:asciiTheme="minorEastAsia" w:hAnsiTheme="minorEastAsia" w:eastAsiaTheme="minorEastAsia"/>
          <w:szCs w:val="21"/>
          <w:lang w:val="en-US" w:eastAsia="zh-CN"/>
        </w:rPr>
        <w:t>05</w:t>
      </w:r>
      <w:r>
        <w:rPr>
          <w:rFonts w:hint="eastAsia" w:cs="仿宋" w:asciiTheme="minorEastAsia" w:hAnsiTheme="minorEastAsia" w:eastAsiaTheme="minorEastAsia"/>
          <w:szCs w:val="21"/>
        </w:rPr>
        <w:t>月</w:t>
      </w:r>
      <w:r>
        <w:rPr>
          <w:rFonts w:hint="eastAsia" w:cs="仿宋" w:asciiTheme="minorEastAsia" w:hAnsiTheme="minorEastAsia" w:eastAsiaTheme="minorEastAsia"/>
          <w:szCs w:val="21"/>
          <w:lang w:val="en-US" w:eastAsia="zh-CN"/>
        </w:rPr>
        <w:t>26</w:t>
      </w:r>
      <w:r>
        <w:rPr>
          <w:rFonts w:hint="eastAsia" w:cs="仿宋" w:asciiTheme="minorEastAsia" w:hAnsiTheme="minorEastAsia" w:eastAsiaTheme="minorEastAsia"/>
          <w:szCs w:val="21"/>
        </w:rPr>
        <w:t>日</w:t>
      </w:r>
    </w:p>
    <w:p>
      <w:pPr>
        <w:widowControl/>
        <w:jc w:val="left"/>
        <w:rPr>
          <w:rFonts w:cs="仿宋" w:asciiTheme="minorEastAsia" w:hAnsiTheme="minorEastAsia" w:eastAsiaTheme="minorEastAsia"/>
          <w:sz w:val="24"/>
        </w:rPr>
      </w:pPr>
      <w:r>
        <w:rPr>
          <w:rFonts w:hint="eastAsia" w:cs="仿宋" w:asciiTheme="minorEastAsia" w:hAnsiTheme="minorEastAsia" w:eastAsiaTheme="minorEastAsia"/>
          <w:sz w:val="24"/>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b/>
          <w:bCs/>
          <w:snapToGrid w:val="0"/>
          <w:kern w:val="0"/>
          <w:sz w:val="56"/>
          <w:szCs w:val="96"/>
        </w:rPr>
      </w:pPr>
      <w:r>
        <w:rPr>
          <w:rFonts w:hint="eastAsia" w:cs="仿宋" w:asciiTheme="minorEastAsia" w:hAnsiTheme="minorEastAsia" w:eastAsiaTheme="minorEastAsia"/>
          <w:b/>
          <w:bCs/>
          <w:snapToGrid w:val="0"/>
          <w:kern w:val="0"/>
          <w:sz w:val="56"/>
          <w:szCs w:val="96"/>
        </w:rPr>
        <w:t>第一部分</w:t>
      </w:r>
    </w:p>
    <w:p>
      <w:pPr>
        <w:spacing w:line="360" w:lineRule="auto"/>
        <w:jc w:val="center"/>
        <w:rPr>
          <w:rFonts w:cs="仿宋" w:asciiTheme="minorEastAsia" w:hAnsiTheme="minorEastAsia" w:eastAsiaTheme="minorEastAsia"/>
          <w:b/>
          <w:bCs/>
          <w:snapToGrid w:val="0"/>
          <w:kern w:val="0"/>
          <w:sz w:val="56"/>
          <w:szCs w:val="96"/>
        </w:rPr>
      </w:pPr>
      <w:r>
        <w:rPr>
          <w:rFonts w:hint="eastAsia" w:cs="仿宋" w:asciiTheme="minorEastAsia" w:hAnsiTheme="minorEastAsia" w:eastAsiaTheme="minorEastAsia"/>
          <w:b/>
          <w:bCs/>
          <w:snapToGrid w:val="0"/>
          <w:kern w:val="0"/>
          <w:sz w:val="56"/>
          <w:szCs w:val="96"/>
        </w:rPr>
        <w:t>投标须知前附表及评审信息</w:t>
      </w:r>
    </w:p>
    <w:p>
      <w:pPr>
        <w:widowControl/>
        <w:jc w:val="left"/>
        <w:rPr>
          <w:rFonts w:cs="仿宋" w:asciiTheme="minorEastAsia" w:hAnsiTheme="minorEastAsia" w:eastAsiaTheme="minorEastAsia"/>
          <w:snapToGrid w:val="0"/>
          <w:kern w:val="0"/>
          <w:sz w:val="72"/>
        </w:rPr>
      </w:pPr>
      <w:r>
        <w:rPr>
          <w:rFonts w:hint="eastAsia" w:cs="仿宋" w:asciiTheme="minorEastAsia" w:hAnsiTheme="minorEastAsia" w:eastAsiaTheme="minorEastAsia"/>
          <w:snapToGrid w:val="0"/>
          <w:kern w:val="0"/>
          <w:sz w:val="72"/>
        </w:rPr>
        <w:br w:type="page"/>
      </w:r>
    </w:p>
    <w:p>
      <w:pPr>
        <w:spacing w:line="360" w:lineRule="auto"/>
        <w:jc w:val="center"/>
        <w:rPr>
          <w:rFonts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21"/>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83"/>
        <w:gridCol w:w="1548"/>
        <w:gridCol w:w="585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629" w:type="dxa"/>
            <w:tcBorders>
              <w:top w:val="double" w:color="auto" w:sz="4" w:space="0"/>
              <w:bottom w:val="single" w:color="auto" w:sz="4" w:space="0"/>
            </w:tcBorders>
            <w:shd w:val="clear" w:color="auto" w:fill="C6D9F0" w:themeFill="text2" w:themeFillTint="33"/>
            <w:vAlign w:val="center"/>
          </w:tcPr>
          <w:p>
            <w:pPr>
              <w:pStyle w:val="13"/>
              <w:spacing w:line="360" w:lineRule="auto"/>
              <w:jc w:val="center"/>
              <w:rPr>
                <w:rFonts w:cs="仿宋" w:asciiTheme="minorEastAsia" w:hAnsiTheme="minorEastAsia"/>
                <w:b/>
                <w:bCs/>
              </w:rPr>
            </w:pPr>
            <w:r>
              <w:rPr>
                <w:rFonts w:hint="eastAsia" w:cs="仿宋" w:asciiTheme="minorEastAsia" w:hAnsiTheme="minorEastAsia"/>
                <w:b/>
                <w:bCs/>
              </w:rPr>
              <w:t>项号</w:t>
            </w:r>
          </w:p>
        </w:tc>
        <w:tc>
          <w:tcPr>
            <w:tcW w:w="883" w:type="dxa"/>
            <w:tcBorders>
              <w:top w:val="double" w:color="auto" w:sz="4" w:space="0"/>
              <w:bottom w:val="single" w:color="auto" w:sz="4" w:space="0"/>
            </w:tcBorders>
            <w:shd w:val="clear" w:color="auto" w:fill="C6D9F0" w:themeFill="text2" w:themeFillTint="33"/>
            <w:vAlign w:val="center"/>
          </w:tcPr>
          <w:p>
            <w:pPr>
              <w:pStyle w:val="13"/>
              <w:spacing w:line="360" w:lineRule="auto"/>
              <w:jc w:val="center"/>
              <w:rPr>
                <w:rFonts w:cs="仿宋" w:asciiTheme="minorEastAsia" w:hAnsiTheme="minorEastAsia"/>
                <w:b/>
                <w:bCs/>
              </w:rPr>
            </w:pPr>
            <w:r>
              <w:rPr>
                <w:rFonts w:hint="eastAsia" w:cs="仿宋" w:asciiTheme="minorEastAsia" w:hAnsiTheme="minorEastAsia"/>
                <w:b/>
                <w:bCs/>
              </w:rPr>
              <w:t>条款号</w:t>
            </w:r>
          </w:p>
        </w:tc>
        <w:tc>
          <w:tcPr>
            <w:tcW w:w="1548" w:type="dxa"/>
            <w:tcBorders>
              <w:top w:val="double" w:color="auto" w:sz="4" w:space="0"/>
              <w:bottom w:val="single" w:color="auto" w:sz="4" w:space="0"/>
            </w:tcBorders>
            <w:shd w:val="clear" w:color="auto" w:fill="C6D9F0" w:themeFill="text2" w:themeFillTint="33"/>
            <w:vAlign w:val="center"/>
          </w:tcPr>
          <w:p>
            <w:pPr>
              <w:pStyle w:val="13"/>
              <w:spacing w:line="360" w:lineRule="auto"/>
              <w:jc w:val="center"/>
              <w:rPr>
                <w:rFonts w:cs="仿宋" w:asciiTheme="minorEastAsia" w:hAnsiTheme="minorEastAsia"/>
                <w:b/>
                <w:bCs/>
              </w:rPr>
            </w:pPr>
            <w:r>
              <w:rPr>
                <w:rFonts w:hint="eastAsia" w:cs="仿宋" w:asciiTheme="minorEastAsia" w:hAnsiTheme="minorEastAsia"/>
                <w:b/>
                <w:bCs/>
              </w:rPr>
              <w:t>内容</w:t>
            </w:r>
          </w:p>
        </w:tc>
        <w:tc>
          <w:tcPr>
            <w:tcW w:w="5856" w:type="dxa"/>
            <w:tcBorders>
              <w:top w:val="double" w:color="auto" w:sz="4" w:space="0"/>
              <w:bottom w:val="single" w:color="auto" w:sz="4" w:space="0"/>
            </w:tcBorders>
            <w:shd w:val="clear" w:color="auto" w:fill="C6D9F0" w:themeFill="text2" w:themeFillTint="33"/>
            <w:vAlign w:val="center"/>
          </w:tcPr>
          <w:p>
            <w:pPr>
              <w:pStyle w:val="13"/>
              <w:spacing w:line="360" w:lineRule="auto"/>
              <w:jc w:val="center"/>
              <w:rPr>
                <w:rFonts w:cs="仿宋" w:asciiTheme="minorEastAsia" w:hAnsiTheme="minorEastAsia"/>
                <w:b/>
                <w:bCs/>
              </w:rPr>
            </w:pPr>
            <w:r>
              <w:rPr>
                <w:rFonts w:hint="eastAsia" w:cs="仿宋" w:asciiTheme="minorEastAsia" w:hAnsiTheme="minorEastAsia"/>
                <w:b/>
                <w:bCs/>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tcBorders>
              <w:top w:val="single" w:color="auto" w:sz="4" w:space="0"/>
            </w:tcBorders>
            <w:vAlign w:val="center"/>
          </w:tcPr>
          <w:p>
            <w:pPr>
              <w:pStyle w:val="13"/>
              <w:spacing w:line="360" w:lineRule="auto"/>
              <w:jc w:val="center"/>
              <w:rPr>
                <w:rFonts w:cs="仿宋" w:asciiTheme="minorEastAsia" w:hAnsiTheme="minorEastAsia"/>
              </w:rPr>
            </w:pPr>
            <w:r>
              <w:rPr>
                <w:rFonts w:hint="eastAsia" w:cs="仿宋" w:asciiTheme="minorEastAsia" w:hAnsiTheme="minorEastAsia"/>
              </w:rPr>
              <w:t>1</w:t>
            </w:r>
          </w:p>
        </w:tc>
        <w:tc>
          <w:tcPr>
            <w:tcW w:w="883" w:type="dxa"/>
            <w:tcBorders>
              <w:top w:val="single" w:color="auto" w:sz="4" w:space="0"/>
            </w:tcBorders>
            <w:vAlign w:val="center"/>
          </w:tcPr>
          <w:p>
            <w:pPr>
              <w:pStyle w:val="13"/>
              <w:spacing w:line="360" w:lineRule="auto"/>
              <w:jc w:val="center"/>
              <w:rPr>
                <w:rFonts w:cs="仿宋" w:asciiTheme="minorEastAsia" w:hAnsiTheme="minorEastAsia"/>
              </w:rPr>
            </w:pPr>
            <w:r>
              <w:rPr>
                <w:rFonts w:hint="eastAsia" w:cs="仿宋" w:asciiTheme="minorEastAsia" w:hAnsiTheme="minorEastAsia"/>
              </w:rPr>
              <w:t>1.1</w:t>
            </w:r>
          </w:p>
        </w:tc>
        <w:tc>
          <w:tcPr>
            <w:tcW w:w="1548" w:type="dxa"/>
            <w:tcBorders>
              <w:top w:val="single" w:color="auto" w:sz="4" w:space="0"/>
            </w:tcBorders>
            <w:vAlign w:val="center"/>
          </w:tcPr>
          <w:p>
            <w:pPr>
              <w:pStyle w:val="13"/>
              <w:spacing w:line="360" w:lineRule="auto"/>
              <w:jc w:val="center"/>
              <w:rPr>
                <w:rFonts w:cs="仿宋" w:asciiTheme="minorEastAsia" w:hAnsiTheme="minorEastAsia"/>
              </w:rPr>
            </w:pPr>
            <w:r>
              <w:rPr>
                <w:rFonts w:hint="eastAsia" w:cs="仿宋" w:asciiTheme="minorEastAsia" w:hAnsiTheme="minorEastAsia"/>
              </w:rPr>
              <w:t>项目名称</w:t>
            </w:r>
          </w:p>
        </w:tc>
        <w:tc>
          <w:tcPr>
            <w:tcW w:w="5856" w:type="dxa"/>
            <w:tcBorders>
              <w:top w:val="single" w:color="auto" w:sz="4" w:space="0"/>
            </w:tcBorders>
            <w:vAlign w:val="center"/>
          </w:tcPr>
          <w:p>
            <w:pPr>
              <w:pStyle w:val="13"/>
              <w:spacing w:line="360" w:lineRule="auto"/>
              <w:rPr>
                <w:rFonts w:cs="仿宋" w:asciiTheme="minorEastAsia" w:hAnsiTheme="minorEastAsia"/>
              </w:rPr>
            </w:pPr>
            <w:r>
              <w:rPr>
                <w:rFonts w:hint="eastAsia" w:cs="仿宋" w:asciiTheme="minorEastAsia" w:hAnsiTheme="minorEastAsia"/>
              </w:rPr>
              <w:t>2023年龙华区道路交通安全领域督导检查工作项目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2</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2.1</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采购人名称</w:t>
            </w:r>
          </w:p>
        </w:tc>
        <w:tc>
          <w:tcPr>
            <w:tcW w:w="5856" w:type="dxa"/>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深圳市公安局交通警察支队龙华大队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3</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2.2</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采购代理机构</w:t>
            </w:r>
          </w:p>
        </w:tc>
        <w:tc>
          <w:tcPr>
            <w:tcW w:w="5856" w:type="dxa"/>
            <w:vAlign w:val="center"/>
          </w:tcPr>
          <w:p>
            <w:pPr>
              <w:pStyle w:val="13"/>
              <w:spacing w:line="360" w:lineRule="auto"/>
              <w:rPr>
                <w:rFonts w:cs="仿宋" w:asciiTheme="minorEastAsia" w:hAnsiTheme="minorEastAsia"/>
              </w:rPr>
            </w:pPr>
            <w:r>
              <w:rPr>
                <w:rFonts w:hint="eastAsia" w:cs="仿宋" w:asciiTheme="minorEastAsia" w:hAnsiTheme="minorEastAsia"/>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4</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3.1</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资金来源</w:t>
            </w:r>
          </w:p>
        </w:tc>
        <w:tc>
          <w:tcPr>
            <w:tcW w:w="5856" w:type="dxa"/>
            <w:vAlign w:val="center"/>
          </w:tcPr>
          <w:p>
            <w:pPr>
              <w:pStyle w:val="13"/>
              <w:spacing w:line="360" w:lineRule="auto"/>
              <w:rPr>
                <w:rFonts w:cs="仿宋" w:asciiTheme="minorEastAsia" w:hAnsiTheme="minorEastAsia"/>
              </w:rPr>
            </w:pPr>
            <w:r>
              <w:rPr>
                <w:rFonts w:hint="eastAsia" w:cs="仿宋" w:asciiTheme="minorEastAsia" w:hAnsiTheme="minorEastAsia"/>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5</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4.7</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投标人资格要求</w:t>
            </w:r>
          </w:p>
        </w:tc>
        <w:tc>
          <w:tcPr>
            <w:tcW w:w="5856" w:type="dxa"/>
            <w:vAlign w:val="center"/>
          </w:tcPr>
          <w:p>
            <w:pPr>
              <w:spacing w:line="300" w:lineRule="auto"/>
              <w:rPr>
                <w:rFonts w:ascii="宋体" w:hAnsi="宋体"/>
                <w:szCs w:val="21"/>
              </w:rPr>
            </w:pPr>
            <w:r>
              <w:rPr>
                <w:rFonts w:hint="eastAsia" w:ascii="宋体" w:hAnsi="宋体"/>
                <w:szCs w:val="21"/>
              </w:rPr>
              <w:t>详见采购公告“申请人的资格要求”</w:t>
            </w:r>
            <w:r>
              <w:rPr>
                <w:rFonts w:ascii="宋体" w:hAnsi="宋体"/>
                <w:szCs w:val="21"/>
              </w:rPr>
              <w:t xml:space="preserve"> </w:t>
            </w:r>
          </w:p>
          <w:p>
            <w:pPr>
              <w:spacing w:line="400" w:lineRule="exact"/>
              <w:rPr>
                <w:rFonts w:cs="仿宋" w:asciiTheme="minorEastAsia" w:hAnsiTheme="minorEastAsia"/>
                <w:szCs w:val="21"/>
              </w:rPr>
            </w:pPr>
            <w:r>
              <w:rPr>
                <w:rFonts w:hint="eastAsia" w:ascii="Times New Roman" w:hAnsi="宋体"/>
                <w:szCs w:val="21"/>
              </w:rPr>
              <w:t>（资格证明文件详见第三部分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6</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6.1</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踏勘现场</w:t>
            </w:r>
          </w:p>
        </w:tc>
        <w:tc>
          <w:tcPr>
            <w:tcW w:w="5856" w:type="dxa"/>
            <w:vAlign w:val="center"/>
          </w:tcPr>
          <w:p>
            <w:pPr>
              <w:pStyle w:val="13"/>
              <w:spacing w:line="360" w:lineRule="auto"/>
              <w:rPr>
                <w:rFonts w:cs="仿宋" w:asciiTheme="minorEastAsia" w:hAnsiTheme="minorEastAsia"/>
              </w:rPr>
            </w:pPr>
            <w:r>
              <w:rPr>
                <w:rFonts w:hint="eastAsia" w:cs="仿宋" w:asciiTheme="minorEastAsia" w:hAnsiTheme="minorEastAsia"/>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7</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14.1</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投标文件有效期</w:t>
            </w:r>
          </w:p>
        </w:tc>
        <w:tc>
          <w:tcPr>
            <w:tcW w:w="5856" w:type="dxa"/>
            <w:vAlign w:val="center"/>
          </w:tcPr>
          <w:p>
            <w:pPr>
              <w:pStyle w:val="13"/>
              <w:spacing w:line="360" w:lineRule="auto"/>
              <w:rPr>
                <w:rFonts w:cs="仿宋" w:asciiTheme="minorEastAsia" w:hAnsiTheme="minorEastAsia"/>
              </w:rPr>
            </w:pPr>
            <w:r>
              <w:rPr>
                <w:rFonts w:hint="eastAsia" w:cs="仿宋" w:asciiTheme="minorEastAsia" w:hAnsiTheme="minorEastAsia"/>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8</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15.2</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项目保证金</w:t>
            </w:r>
          </w:p>
        </w:tc>
        <w:tc>
          <w:tcPr>
            <w:tcW w:w="5856" w:type="dxa"/>
            <w:vAlign w:val="center"/>
          </w:tcPr>
          <w:p>
            <w:pPr>
              <w:pStyle w:val="13"/>
              <w:spacing w:line="360" w:lineRule="auto"/>
              <w:rPr>
                <w:rFonts w:cs="仿宋" w:asciiTheme="minorEastAsia" w:hAnsiTheme="minorEastAsia"/>
              </w:rPr>
            </w:pPr>
            <w:r>
              <w:rPr>
                <w:rFonts w:hint="eastAsia" w:cs="仿宋" w:asciiTheme="minorEastAsia" w:hAnsiTheme="minorEastAsia"/>
              </w:rPr>
              <w:t>本项目不收取项目保证金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10</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17.1</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投标文件份数</w:t>
            </w:r>
          </w:p>
        </w:tc>
        <w:tc>
          <w:tcPr>
            <w:tcW w:w="5856" w:type="dxa"/>
            <w:vAlign w:val="center"/>
          </w:tcPr>
          <w:p>
            <w:pPr>
              <w:pStyle w:val="13"/>
              <w:rPr>
                <w:rFonts w:cs="仿宋" w:asciiTheme="minorEastAsia" w:hAnsiTheme="minorEastAsia"/>
              </w:rPr>
            </w:pPr>
            <w:r>
              <w:rPr>
                <w:rFonts w:hint="eastAsia" w:cs="仿宋" w:asciiTheme="minorEastAsia" w:hAnsiTheme="minorEastAsia"/>
              </w:rPr>
              <w:t>正本2份，副本 4 份，投标文件正文扫描件电子档2份。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11</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18.8</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开标</w:t>
            </w:r>
          </w:p>
        </w:tc>
        <w:tc>
          <w:tcPr>
            <w:tcW w:w="5856" w:type="dxa"/>
            <w:vAlign w:val="center"/>
          </w:tcPr>
          <w:p>
            <w:pPr>
              <w:pStyle w:val="13"/>
              <w:rPr>
                <w:rFonts w:cs="仿宋" w:asciiTheme="minorEastAsia" w:hAnsiTheme="minorEastAsia"/>
              </w:rPr>
            </w:pPr>
            <w:r>
              <w:rPr>
                <w:rFonts w:hint="eastAsia" w:cs="仿宋" w:asciiTheme="minorEastAsia" w:hAnsiTheme="minorEastAsia"/>
              </w:rPr>
              <w:t>时间：</w:t>
            </w:r>
            <w:r>
              <w:rPr>
                <w:rFonts w:hint="eastAsia" w:cs="仿宋" w:asciiTheme="minorEastAsia" w:hAnsiTheme="minorEastAsia"/>
                <w:snapToGrid w:val="0"/>
              </w:rPr>
              <w:t>2023年</w:t>
            </w:r>
            <w:r>
              <w:rPr>
                <w:rFonts w:hint="eastAsia" w:cs="仿宋" w:asciiTheme="minorEastAsia" w:hAnsiTheme="minorEastAsia"/>
                <w:snapToGrid w:val="0"/>
                <w:lang w:val="en-US" w:eastAsia="zh-CN"/>
              </w:rPr>
              <w:t>06</w:t>
            </w:r>
            <w:r>
              <w:rPr>
                <w:rFonts w:hint="eastAsia" w:cs="仿宋" w:asciiTheme="minorEastAsia" w:hAnsiTheme="minorEastAsia"/>
                <w:snapToGrid w:val="0"/>
              </w:rPr>
              <w:t>月</w:t>
            </w:r>
            <w:r>
              <w:rPr>
                <w:rFonts w:hint="eastAsia" w:cs="仿宋" w:asciiTheme="minorEastAsia" w:hAnsiTheme="minorEastAsia"/>
                <w:snapToGrid w:val="0"/>
                <w:lang w:val="en-US" w:eastAsia="zh-CN"/>
              </w:rPr>
              <w:t>02</w:t>
            </w:r>
            <w:r>
              <w:rPr>
                <w:rFonts w:hint="eastAsia" w:cs="仿宋" w:asciiTheme="minorEastAsia" w:hAnsiTheme="minorEastAsia"/>
                <w:snapToGrid w:val="0"/>
              </w:rPr>
              <w:t>日</w:t>
            </w:r>
            <w:r>
              <w:rPr>
                <w:rFonts w:hint="eastAsia" w:cs="仿宋" w:asciiTheme="minorEastAsia" w:hAnsiTheme="minorEastAsia"/>
                <w:snapToGrid w:val="0"/>
                <w:lang w:val="en-US" w:eastAsia="zh-CN"/>
              </w:rPr>
              <w:t>15</w:t>
            </w:r>
            <w:r>
              <w:rPr>
                <w:rFonts w:hint="eastAsia" w:cs="仿宋" w:asciiTheme="minorEastAsia" w:hAnsiTheme="minorEastAsia"/>
                <w:snapToGrid w:val="0"/>
              </w:rPr>
              <w:t>：</w:t>
            </w:r>
            <w:r>
              <w:rPr>
                <w:rFonts w:hint="eastAsia" w:cs="仿宋" w:asciiTheme="minorEastAsia" w:hAnsiTheme="minorEastAsia"/>
                <w:snapToGrid w:val="0"/>
                <w:lang w:val="en-US" w:eastAsia="zh-CN"/>
              </w:rPr>
              <w:t>0</w:t>
            </w:r>
            <w:r>
              <w:rPr>
                <w:rFonts w:hint="eastAsia" w:cs="仿宋" w:asciiTheme="minorEastAsia" w:hAnsiTheme="minorEastAsia"/>
                <w:snapToGrid w:val="0"/>
              </w:rPr>
              <w:t>0时（北京时间）</w:t>
            </w:r>
          </w:p>
          <w:p>
            <w:pPr>
              <w:pStyle w:val="13"/>
              <w:spacing w:line="360" w:lineRule="auto"/>
              <w:ind w:left="4" w:hanging="4" w:hangingChars="2"/>
              <w:rPr>
                <w:rFonts w:cs="仿宋" w:asciiTheme="minorEastAsia" w:hAnsiTheme="minorEastAsia"/>
              </w:rPr>
            </w:pPr>
            <w:r>
              <w:rPr>
                <w:rFonts w:hint="eastAsia" w:cs="仿宋" w:asciiTheme="minorEastAsia" w:hAnsiTheme="minorEastAsia"/>
              </w:rPr>
              <w:t>地点：深圳市福田区民田路171号新华保险大厦903中正招标开标室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12</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19.2</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投标文件截止时间</w:t>
            </w:r>
          </w:p>
        </w:tc>
        <w:tc>
          <w:tcPr>
            <w:tcW w:w="5856" w:type="dxa"/>
            <w:vAlign w:val="center"/>
          </w:tcPr>
          <w:p>
            <w:pPr>
              <w:pStyle w:val="13"/>
              <w:spacing w:line="360" w:lineRule="auto"/>
              <w:rPr>
                <w:rFonts w:cs="仿宋" w:asciiTheme="minorEastAsia" w:hAnsiTheme="minorEastAsia"/>
              </w:rPr>
            </w:pPr>
            <w:r>
              <w:rPr>
                <w:rFonts w:hint="eastAsia" w:cs="仿宋" w:asciiTheme="minorEastAsia" w:hAnsiTheme="minorEastAsia"/>
                <w:snapToGrid w:val="0"/>
              </w:rPr>
              <w:t>2023年</w:t>
            </w:r>
            <w:r>
              <w:rPr>
                <w:rFonts w:hint="eastAsia" w:cs="仿宋" w:asciiTheme="minorEastAsia" w:hAnsiTheme="minorEastAsia"/>
                <w:snapToGrid w:val="0"/>
                <w:lang w:val="en-US" w:eastAsia="zh-CN"/>
              </w:rPr>
              <w:t>06</w:t>
            </w:r>
            <w:r>
              <w:rPr>
                <w:rFonts w:hint="eastAsia" w:cs="仿宋" w:asciiTheme="minorEastAsia" w:hAnsiTheme="minorEastAsia"/>
                <w:snapToGrid w:val="0"/>
              </w:rPr>
              <w:t>月</w:t>
            </w:r>
            <w:r>
              <w:rPr>
                <w:rFonts w:hint="eastAsia" w:cs="仿宋" w:asciiTheme="minorEastAsia" w:hAnsiTheme="minorEastAsia"/>
                <w:snapToGrid w:val="0"/>
                <w:lang w:val="en-US" w:eastAsia="zh-CN"/>
              </w:rPr>
              <w:t>02</w:t>
            </w:r>
            <w:r>
              <w:rPr>
                <w:rFonts w:hint="eastAsia" w:cs="仿宋" w:asciiTheme="minorEastAsia" w:hAnsiTheme="minorEastAsia"/>
                <w:snapToGrid w:val="0"/>
              </w:rPr>
              <w:t>日</w:t>
            </w:r>
            <w:r>
              <w:rPr>
                <w:rFonts w:hint="eastAsia" w:cs="仿宋" w:asciiTheme="minorEastAsia" w:hAnsiTheme="minorEastAsia"/>
                <w:snapToGrid w:val="0"/>
                <w:lang w:val="en-US" w:eastAsia="zh-CN"/>
              </w:rPr>
              <w:t>15</w:t>
            </w:r>
            <w:r>
              <w:rPr>
                <w:rFonts w:hint="eastAsia" w:cs="仿宋" w:asciiTheme="minorEastAsia" w:hAnsiTheme="minorEastAsia"/>
                <w:snapToGrid w:val="0"/>
              </w:rPr>
              <w:t>：</w:t>
            </w:r>
            <w:r>
              <w:rPr>
                <w:rFonts w:hint="eastAsia" w:cs="仿宋" w:asciiTheme="minorEastAsia" w:hAnsiTheme="minorEastAsia"/>
                <w:snapToGrid w:val="0"/>
                <w:lang w:val="en-US" w:eastAsia="zh-CN"/>
              </w:rPr>
              <w:t>0</w:t>
            </w:r>
            <w:r>
              <w:rPr>
                <w:rFonts w:hint="eastAsia" w:cs="仿宋" w:asciiTheme="minorEastAsia" w:hAnsiTheme="minorEastAsia"/>
                <w:snapToGrid w:val="0"/>
              </w:rPr>
              <w:t>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13</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26.5</w:t>
            </w:r>
          </w:p>
        </w:tc>
        <w:tc>
          <w:tcPr>
            <w:tcW w:w="1548"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评审方法</w:t>
            </w:r>
          </w:p>
        </w:tc>
        <w:tc>
          <w:tcPr>
            <w:tcW w:w="5856" w:type="dxa"/>
            <w:vAlign w:val="center"/>
          </w:tcPr>
          <w:p>
            <w:pPr>
              <w:pStyle w:val="13"/>
              <w:spacing w:line="360" w:lineRule="auto"/>
              <w:rPr>
                <w:rFonts w:cs="仿宋" w:asciiTheme="minorEastAsia" w:hAnsiTheme="minorEastAsia"/>
              </w:rPr>
            </w:pPr>
            <w:r>
              <w:rPr>
                <w:rFonts w:hint="eastAsia" w:cs="仿宋" w:asciiTheme="minorEastAsia" w:hAnsiTheme="minorEastAsia"/>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14</w:t>
            </w:r>
          </w:p>
        </w:tc>
        <w:tc>
          <w:tcPr>
            <w:tcW w:w="883"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33.1</w:t>
            </w:r>
          </w:p>
        </w:tc>
        <w:tc>
          <w:tcPr>
            <w:tcW w:w="1548" w:type="dxa"/>
            <w:vAlign w:val="center"/>
          </w:tcPr>
          <w:p>
            <w:pPr>
              <w:pStyle w:val="13"/>
              <w:spacing w:line="340" w:lineRule="exact"/>
              <w:jc w:val="center"/>
              <w:rPr>
                <w:rFonts w:cs="仿宋" w:asciiTheme="minorEastAsia" w:hAnsiTheme="minorEastAsia"/>
              </w:rPr>
            </w:pPr>
            <w:r>
              <w:rPr>
                <w:rFonts w:hint="eastAsia" w:cs="仿宋" w:asciiTheme="minorEastAsia" w:hAnsiTheme="minorEastAsia"/>
              </w:rPr>
              <w:t>采购代理服务费</w:t>
            </w:r>
          </w:p>
        </w:tc>
        <w:tc>
          <w:tcPr>
            <w:tcW w:w="5856" w:type="dxa"/>
            <w:vAlign w:val="center"/>
          </w:tcPr>
          <w:p>
            <w:pPr>
              <w:pStyle w:val="13"/>
              <w:spacing w:line="340" w:lineRule="exact"/>
              <w:rPr>
                <w:rFonts w:cs="仿宋" w:asciiTheme="minorEastAsia" w:hAnsiTheme="minorEastAsia"/>
              </w:rPr>
            </w:pPr>
            <w:r>
              <w:rPr>
                <w:rFonts w:hint="eastAsia" w:cs="仿宋" w:asciiTheme="minorEastAsia" w:hAnsiTheme="minorEastAsia"/>
              </w:rPr>
              <w:t>采购代理机构按中标金额的一定比例向中标人收取，最低收取人民币5000元。</w:t>
            </w:r>
          </w:p>
          <w:p>
            <w:pPr>
              <w:pStyle w:val="13"/>
              <w:spacing w:line="340" w:lineRule="exact"/>
              <w:rPr>
                <w:rFonts w:cs="仿宋" w:asciiTheme="minorEastAsia" w:hAnsiTheme="minorEastAsia"/>
              </w:rPr>
            </w:pPr>
            <w:r>
              <w:rPr>
                <w:rFonts w:hint="eastAsia" w:cs="仿宋" w:asciiTheme="minorEastAsia" w:hAnsiTheme="minorEastAsia"/>
              </w:rPr>
              <w:t>（详见“第五部分-通用条款（投标须知）第33条款”）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29" w:type="dxa"/>
            <w:vAlign w:val="center"/>
          </w:tcPr>
          <w:p>
            <w:pPr>
              <w:pStyle w:val="13"/>
              <w:spacing w:line="360" w:lineRule="auto"/>
              <w:jc w:val="center"/>
              <w:rPr>
                <w:rFonts w:cs="仿宋" w:asciiTheme="minorEastAsia" w:hAnsiTheme="minorEastAsia"/>
              </w:rPr>
            </w:pPr>
            <w:r>
              <w:rPr>
                <w:rFonts w:hint="eastAsia" w:cs="仿宋" w:asciiTheme="minorEastAsia" w:hAnsiTheme="minorEastAsia"/>
              </w:rPr>
              <w:t>15</w:t>
            </w:r>
          </w:p>
        </w:tc>
        <w:tc>
          <w:tcPr>
            <w:tcW w:w="883" w:type="dxa"/>
            <w:vAlign w:val="center"/>
          </w:tcPr>
          <w:p>
            <w:pPr>
              <w:pStyle w:val="13"/>
              <w:spacing w:line="360" w:lineRule="auto"/>
              <w:jc w:val="center"/>
              <w:rPr>
                <w:rFonts w:cs="仿宋" w:asciiTheme="minorEastAsia" w:hAnsiTheme="minorEastAsia"/>
              </w:rPr>
            </w:pPr>
          </w:p>
        </w:tc>
        <w:tc>
          <w:tcPr>
            <w:tcW w:w="1548" w:type="dxa"/>
            <w:vAlign w:val="center"/>
          </w:tcPr>
          <w:p>
            <w:pPr>
              <w:pStyle w:val="13"/>
              <w:spacing w:line="340" w:lineRule="exact"/>
              <w:jc w:val="center"/>
              <w:rPr>
                <w:rFonts w:cs="仿宋" w:asciiTheme="minorEastAsia" w:hAnsiTheme="minorEastAsia"/>
              </w:rPr>
            </w:pPr>
            <w:r>
              <w:rPr>
                <w:rFonts w:hint="eastAsia" w:cs="仿宋" w:asciiTheme="minorEastAsia" w:hAnsiTheme="minorEastAsia"/>
              </w:rPr>
              <w:t>采购控制金额</w:t>
            </w:r>
          </w:p>
          <w:p>
            <w:pPr>
              <w:pStyle w:val="13"/>
              <w:spacing w:line="340" w:lineRule="exact"/>
              <w:jc w:val="center"/>
              <w:rPr>
                <w:rFonts w:cs="仿宋" w:asciiTheme="minorEastAsia" w:hAnsiTheme="minorEastAsia"/>
              </w:rPr>
            </w:pPr>
            <w:r>
              <w:rPr>
                <w:rFonts w:hint="eastAsia" w:cs="仿宋" w:asciiTheme="minorEastAsia" w:hAnsiTheme="minorEastAsia"/>
              </w:rPr>
              <w:t>（最高限价）</w:t>
            </w:r>
          </w:p>
        </w:tc>
        <w:tc>
          <w:tcPr>
            <w:tcW w:w="5856" w:type="dxa"/>
            <w:vAlign w:val="center"/>
          </w:tcPr>
          <w:p>
            <w:pPr>
              <w:pStyle w:val="13"/>
              <w:spacing w:line="340" w:lineRule="exact"/>
              <w:rPr>
                <w:rFonts w:cs="仿宋" w:asciiTheme="minorEastAsia" w:hAnsiTheme="minorEastAsia"/>
              </w:rPr>
            </w:pPr>
            <w:r>
              <w:rPr>
                <w:rFonts w:hint="eastAsia" w:cs="仿宋" w:asciiTheme="minorEastAsia" w:hAnsiTheme="minorEastAsia"/>
              </w:rPr>
              <w:t>人民币80万元</w:t>
            </w:r>
          </w:p>
        </w:tc>
      </w:tr>
    </w:tbl>
    <w:p>
      <w:pPr>
        <w:jc w:val="center"/>
        <w:rPr>
          <w:rFonts w:cs="仿宋" w:asciiTheme="minorEastAsia" w:hAnsiTheme="minorEastAsia" w:eastAsiaTheme="minorEastAsia"/>
          <w:b/>
          <w:bCs/>
          <w:sz w:val="36"/>
          <w:szCs w:val="32"/>
        </w:rPr>
      </w:pPr>
      <w:r>
        <w:rPr>
          <w:rFonts w:hint="eastAsia" w:cs="仿宋" w:asciiTheme="minorEastAsia" w:hAnsiTheme="minorEastAsia" w:eastAsiaTheme="minorEastAsia"/>
        </w:rPr>
        <w:br w:type="page"/>
      </w:r>
      <w:r>
        <w:rPr>
          <w:rFonts w:hint="eastAsia" w:cs="仿宋" w:asciiTheme="minorEastAsia" w:hAnsiTheme="minorEastAsia" w:eastAsiaTheme="minorEastAsia"/>
          <w:b/>
          <w:bCs/>
          <w:sz w:val="36"/>
          <w:szCs w:val="32"/>
        </w:rPr>
        <w:t>投标须知前附件</w:t>
      </w:r>
    </w:p>
    <w:p>
      <w:pPr>
        <w:adjustRightInd w:val="0"/>
        <w:spacing w:line="360" w:lineRule="auto"/>
        <w:ind w:firstLine="420" w:firstLineChars="200"/>
        <w:rPr>
          <w:rFonts w:cs="仿宋" w:asciiTheme="minorEastAsia" w:hAnsiTheme="minorEastAsia" w:eastAsiaTheme="minorEastAsia"/>
          <w:snapToGrid w:val="0"/>
          <w:kern w:val="0"/>
        </w:rPr>
      </w:pP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请评委重点审查供应商是否存在《深圳经济特区政府采购条例实施细则》第七十九条规定的串通投标情形：</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（一）投标供应商之间相互约定给予未中标的供应商利益补偿；</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（四）不同投标供应商的投标文件或部分投标文件相互混装；</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（五）不同投标供应商的投标文件内容存在非正常一致；</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szCs w:val="24"/>
        </w:rPr>
      </w:pPr>
      <w:r>
        <w:rPr>
          <w:rFonts w:hint="eastAsia" w:ascii="宋体" w:hAnsi="宋体"/>
          <w:b/>
          <w:snapToGrid w:val="0"/>
          <w:kern w:val="0"/>
          <w:szCs w:val="24"/>
        </w:rPr>
        <w:t>（七）主管部门依照法律、法规认定的其他情形。</w:t>
      </w:r>
    </w:p>
    <w:p>
      <w:pPr>
        <w:adjustRightInd w:val="0"/>
        <w:spacing w:line="360" w:lineRule="auto"/>
        <w:rPr>
          <w:rFonts w:cs="仿宋" w:asciiTheme="minorEastAsia" w:hAnsiTheme="minorEastAsia" w:eastAsiaTheme="minorEastAsia"/>
          <w:snapToGrid w:val="0"/>
          <w:kern w:val="0"/>
        </w:rPr>
      </w:pPr>
    </w:p>
    <w:p>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pPr>
        <w:numPr>
          <w:ilvl w:val="0"/>
          <w:numId w:val="3"/>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zCs w:val="21"/>
        </w:rPr>
        <w:t>投标人</w:t>
      </w:r>
      <w:r>
        <w:rPr>
          <w:rFonts w:hint="eastAsia" w:cs="仿宋" w:asciiTheme="minorEastAsia" w:hAnsiTheme="minorEastAsia" w:eastAsiaTheme="minorEastAsia"/>
          <w:snapToGrid w:val="0"/>
          <w:kern w:val="0"/>
        </w:rPr>
        <w:t>的资格不符合招标文件要求或资格证明文件提供不全。</w:t>
      </w:r>
    </w:p>
    <w:p>
      <w:p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投标人提供的投标文件数量不符合招标文件要求。</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投标文件未按照招标文件要求制作、密封和标记。</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投标文件有关内容未按招标文件要求加盖投标人印章、或未经法定代表人或其委托代理人签字（或盖章）。</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投标报价有严重缺漏项的。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未实质性响应招标文件要求的。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pPr>
        <w:numPr>
          <w:ilvl w:val="0"/>
          <w:numId w:val="4"/>
        </w:numPr>
        <w:adjustRightInd w:val="0"/>
        <w:spacing w:line="360" w:lineRule="auto"/>
        <w:rPr>
          <w:rFonts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未按招标文件所提供的样式填写《声明函》。</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将一个项目包拆分投标，对同一货物及服务投标时，同时提供两套或以上的投标方案。</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出现违规行为：如以他人名义竞标、串通投标或者以其他弄虚作假方式投标的。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投标总价或单个采购条目的分项报价超过采购预算金额或最高限价的。</w:t>
      </w:r>
    </w:p>
    <w:p>
      <w:pPr>
        <w:numPr>
          <w:ilvl w:val="0"/>
          <w:numId w:val="4"/>
        </w:numPr>
        <w:adjustRightInd w:val="0"/>
        <w:spacing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p>
    <w:p>
      <w:pPr>
        <w:adjustRightInd w:val="0"/>
        <w:spacing w:line="360" w:lineRule="auto"/>
        <w:rPr>
          <w:rFonts w:ascii="宋体" w:hAnsi="宋体"/>
          <w:b/>
          <w:snapToGrid w:val="0"/>
          <w:kern w:val="0"/>
          <w:szCs w:val="24"/>
        </w:rPr>
      </w:pPr>
    </w:p>
    <w:p>
      <w:pPr>
        <w:pStyle w:val="16"/>
      </w:pPr>
    </w:p>
    <w:p>
      <w:pPr>
        <w:widowControl/>
        <w:jc w:val="left"/>
        <w:rPr>
          <w:rFonts w:cs="仿宋" w:asciiTheme="minorEastAsia" w:hAnsiTheme="minorEastAsia" w:eastAsiaTheme="minorEastAsia"/>
          <w:sz w:val="32"/>
        </w:rPr>
      </w:pPr>
      <w:r>
        <w:rPr>
          <w:rFonts w:hint="eastAsia" w:cs="仿宋" w:asciiTheme="minorEastAsia" w:hAnsiTheme="minorEastAsia" w:eastAsiaTheme="minorEastAsia"/>
          <w:sz w:val="32"/>
        </w:rPr>
        <w:br w:type="page"/>
      </w:r>
    </w:p>
    <w:p>
      <w:pPr>
        <w:spacing w:line="360" w:lineRule="auto"/>
        <w:jc w:val="center"/>
        <w:outlineLvl w:val="0"/>
        <w:rPr>
          <w:rFonts w:cs="仿宋" w:asciiTheme="minorEastAsia" w:hAnsiTheme="minorEastAsia" w:eastAsiaTheme="minorEastAsia"/>
          <w:b/>
          <w:bCs/>
          <w:sz w:val="36"/>
        </w:rPr>
      </w:pPr>
      <w:r>
        <w:rPr>
          <w:rFonts w:hint="eastAsia" w:cs="仿宋" w:asciiTheme="minorEastAsia" w:hAnsiTheme="minorEastAsia" w:eastAsiaTheme="minorEastAsia"/>
          <w:b/>
          <w:bCs/>
          <w:sz w:val="36"/>
        </w:rPr>
        <w:t>评审信息</w:t>
      </w:r>
    </w:p>
    <w:p>
      <w:pPr>
        <w:spacing w:line="360" w:lineRule="auto"/>
        <w:jc w:val="left"/>
        <w:rPr>
          <w:rFonts w:cs="仿宋" w:asciiTheme="minorEastAsia" w:hAnsiTheme="minorEastAsia" w:eastAsiaTheme="minorEastAsia"/>
          <w:szCs w:val="21"/>
        </w:rPr>
      </w:pPr>
    </w:p>
    <w:p>
      <w:pPr>
        <w:spacing w:line="360" w:lineRule="auto"/>
        <w:jc w:val="left"/>
        <w:rPr>
          <w:rFonts w:cs="仿宋" w:asciiTheme="minorEastAsia" w:hAnsiTheme="minorEastAsia" w:eastAsiaTheme="minorEastAsia"/>
          <w:szCs w:val="21"/>
        </w:rPr>
      </w:pPr>
      <w:r>
        <w:rPr>
          <w:rFonts w:hint="eastAsia" w:asciiTheme="minorEastAsia" w:hAnsiTheme="minorEastAsia" w:eastAsiaTheme="minorEastAsia"/>
          <w:b/>
          <w:szCs w:val="21"/>
        </w:rPr>
        <w:t>评标方法：</w:t>
      </w:r>
      <w:r>
        <w:rPr>
          <w:rFonts w:hint="eastAsia" w:cs="仿宋" w:asciiTheme="minorEastAsia" w:hAnsiTheme="minorEastAsia" w:eastAsiaTheme="minorEastAsia"/>
          <w:szCs w:val="21"/>
        </w:rPr>
        <w:t>综合评分法。</w:t>
      </w:r>
    </w:p>
    <w:p>
      <w:pPr>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综合评分法，是指投标文件满足招标文件全部实质性要求，且按照评审因素的量化指标评审得分最高的投标人为中标候选人的评审方法。</w:t>
      </w:r>
    </w:p>
    <w:tbl>
      <w:tblPr>
        <w:tblStyle w:val="21"/>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144"/>
        <w:gridCol w:w="85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65" w:type="dxa"/>
            <w:tcBorders>
              <w:top w:val="double" w:color="auto" w:sz="4" w:space="0"/>
              <w:left w:val="double" w:color="auto" w:sz="4" w:space="0"/>
              <w:bottom w:val="single" w:color="auto" w:sz="4" w:space="0"/>
            </w:tcBorders>
            <w:shd w:val="clear" w:color="auto" w:fill="8DB3E2"/>
            <w:vAlign w:val="center"/>
          </w:tcPr>
          <w:p>
            <w:pPr>
              <w:keepNext w:val="0"/>
              <w:keepLines w:val="0"/>
              <w:pageBreakBefore w:val="0"/>
              <w:kinsoku/>
              <w:overflowPunct/>
              <w:topLinePunct w:val="0"/>
              <w:bidi w:val="0"/>
              <w:adjustRightInd w:val="0"/>
              <w:snapToGri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类别</w:t>
            </w:r>
          </w:p>
        </w:tc>
        <w:tc>
          <w:tcPr>
            <w:tcW w:w="1144" w:type="dxa"/>
            <w:tcBorders>
              <w:top w:val="double" w:color="auto" w:sz="4" w:space="0"/>
            </w:tcBorders>
            <w:shd w:val="clear" w:color="auto" w:fill="8DB3E2"/>
            <w:vAlign w:val="center"/>
          </w:tcPr>
          <w:p>
            <w:pPr>
              <w:keepNext w:val="0"/>
              <w:keepLines w:val="0"/>
              <w:pageBreakBefore w:val="0"/>
              <w:kinsoku/>
              <w:overflowPunct/>
              <w:topLinePunct w:val="0"/>
              <w:bidi w:val="0"/>
              <w:adjustRightInd w:val="0"/>
              <w:snapToGri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评分项目</w:t>
            </w:r>
          </w:p>
        </w:tc>
        <w:tc>
          <w:tcPr>
            <w:tcW w:w="850" w:type="dxa"/>
            <w:tcBorders>
              <w:top w:val="double" w:color="auto" w:sz="4" w:space="0"/>
            </w:tcBorders>
            <w:shd w:val="clear" w:color="auto" w:fill="8DB3E2"/>
            <w:vAlign w:val="center"/>
          </w:tcPr>
          <w:p>
            <w:pPr>
              <w:keepNext w:val="0"/>
              <w:keepLines w:val="0"/>
              <w:pageBreakBefore w:val="0"/>
              <w:widowControl/>
              <w:kinsoku/>
              <w:overflowPunct/>
              <w:topLinePunct w:val="0"/>
              <w:bidi w:val="0"/>
              <w:adjustRightInd w:val="0"/>
              <w:snapToGri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权重</w:t>
            </w:r>
          </w:p>
        </w:tc>
        <w:tc>
          <w:tcPr>
            <w:tcW w:w="6261" w:type="dxa"/>
            <w:tcBorders>
              <w:top w:val="double" w:color="auto" w:sz="4" w:space="0"/>
              <w:right w:val="double" w:color="auto" w:sz="4" w:space="0"/>
            </w:tcBorders>
            <w:shd w:val="clear" w:color="auto" w:fill="8DB3E2"/>
            <w:vAlign w:val="center"/>
          </w:tcPr>
          <w:p>
            <w:pPr>
              <w:keepNext w:val="0"/>
              <w:keepLines w:val="0"/>
              <w:pageBreakBefore w:val="0"/>
              <w:kinsoku/>
              <w:overflowPunct/>
              <w:topLinePunct w:val="0"/>
              <w:bidi w:val="0"/>
              <w:adjustRightInd w:val="0"/>
              <w:snapToGri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价格部分（G）</w:t>
            </w:r>
          </w:p>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（总分10分）</w:t>
            </w:r>
          </w:p>
        </w:tc>
        <w:tc>
          <w:tcPr>
            <w:tcW w:w="1144" w:type="dxa"/>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kern w:val="0"/>
                <w:szCs w:val="21"/>
              </w:rPr>
            </w:pPr>
            <w:r>
              <w:rPr>
                <w:rFonts w:hint="eastAsia" w:ascii="宋体" w:hAnsi="宋体" w:cs="宋体"/>
                <w:kern w:val="0"/>
                <w:szCs w:val="21"/>
              </w:rPr>
              <w:t>投标报价</w:t>
            </w:r>
          </w:p>
        </w:tc>
        <w:tc>
          <w:tcPr>
            <w:tcW w:w="850" w:type="dxa"/>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kern w:val="0"/>
                <w:szCs w:val="21"/>
              </w:rPr>
            </w:pPr>
            <w:r>
              <w:rPr>
                <w:rFonts w:hint="eastAsia" w:ascii="宋体" w:hAnsi="宋体" w:cs="宋体"/>
                <w:kern w:val="0"/>
                <w:szCs w:val="21"/>
              </w:rPr>
              <w:t>10</w:t>
            </w:r>
          </w:p>
        </w:tc>
        <w:tc>
          <w:tcPr>
            <w:tcW w:w="6261" w:type="dxa"/>
            <w:tcBorders>
              <w:right w:val="double" w:color="auto" w:sz="4" w:space="0"/>
            </w:tcBorders>
            <w:vAlign w:val="center"/>
          </w:tcPr>
          <w:p>
            <w:pPr>
              <w:keepNext w:val="0"/>
              <w:keepLines w:val="0"/>
              <w:pageBreakBefore w:val="0"/>
              <w:widowControl/>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投标报价得分=(评标基准价／投标报价)×权重</w:t>
            </w:r>
          </w:p>
          <w:p>
            <w:pPr>
              <w:keepNext w:val="0"/>
              <w:keepLines w:val="0"/>
              <w:pageBreakBefore w:val="0"/>
              <w:kinsoku/>
              <w:overflowPunct/>
              <w:topLinePunct w:val="0"/>
              <w:bidi w:val="0"/>
              <w:adjustRightInd w:val="0"/>
              <w:snapToGrid w:val="0"/>
              <w:spacing w:line="360" w:lineRule="auto"/>
              <w:textAlignment w:val="auto"/>
              <w:rPr>
                <w:rFonts w:ascii="宋体" w:hAnsi="宋体" w:cs="宋体"/>
                <w:snapToGrid w:val="0"/>
                <w:kern w:val="0"/>
                <w:szCs w:val="21"/>
              </w:rPr>
            </w:pPr>
            <w:r>
              <w:rPr>
                <w:rFonts w:hint="eastAsia" w:ascii="宋体" w:hAnsi="宋体" w:cs="宋体"/>
                <w:snapToGrid w:val="0"/>
                <w:kern w:val="0"/>
                <w:szCs w:val="21"/>
              </w:rPr>
              <w:t>备注：</w:t>
            </w:r>
          </w:p>
          <w:p>
            <w:pPr>
              <w:keepNext w:val="0"/>
              <w:keepLines w:val="0"/>
              <w:pageBreakBefore w:val="0"/>
              <w:kinsoku/>
              <w:overflowPunct/>
              <w:topLinePunct w:val="0"/>
              <w:bidi w:val="0"/>
              <w:adjustRightInd w:val="0"/>
              <w:snapToGrid w:val="0"/>
              <w:spacing w:line="360" w:lineRule="auto"/>
              <w:textAlignment w:val="auto"/>
              <w:rPr>
                <w:rFonts w:ascii="宋体" w:hAnsi="宋体" w:cs="宋体"/>
                <w:bCs/>
                <w:snapToGrid w:val="0"/>
                <w:kern w:val="0"/>
                <w:szCs w:val="21"/>
              </w:rPr>
            </w:pPr>
            <w:r>
              <w:rPr>
                <w:rFonts w:hint="eastAsia" w:ascii="宋体" w:hAnsi="宋体" w:cs="宋体"/>
                <w:snapToGrid w:val="0"/>
                <w:kern w:val="0"/>
                <w:szCs w:val="21"/>
              </w:rPr>
              <w:t>1、因落实政府采购政策进行价格调整的，以调整后的价格计算评标基准价和投标报价</w:t>
            </w:r>
            <w:r>
              <w:rPr>
                <w:rFonts w:hint="eastAsia" w:ascii="宋体" w:hAnsi="宋体" w:cs="宋体"/>
                <w:bCs/>
                <w:snapToGrid w:val="0"/>
                <w:kern w:val="0"/>
                <w:szCs w:val="21"/>
              </w:rPr>
              <w:t>；</w:t>
            </w:r>
          </w:p>
          <w:p>
            <w:pPr>
              <w:pStyle w:val="9"/>
              <w:keepNext w:val="0"/>
              <w:keepLines w:val="0"/>
              <w:pageBreakBefore w:val="0"/>
              <w:kinsoku/>
              <w:overflowPunct/>
              <w:topLinePunct w:val="0"/>
              <w:bidi w:val="0"/>
              <w:spacing w:after="0" w:line="360" w:lineRule="auto"/>
              <w:textAlignment w:val="auto"/>
              <w:rPr>
                <w:rFonts w:ascii="宋体" w:hAnsi="宋体" w:cs="宋体"/>
                <w:szCs w:val="21"/>
              </w:rPr>
            </w:pP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restart"/>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技术部分（J）</w:t>
            </w:r>
          </w:p>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（总分40分）</w:t>
            </w: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kern w:val="0"/>
                <w:szCs w:val="21"/>
              </w:rPr>
            </w:pPr>
            <w:r>
              <w:rPr>
                <w:rFonts w:hint="eastAsia" w:ascii="宋体" w:hAnsi="宋体" w:cs="宋体"/>
                <w:szCs w:val="21"/>
              </w:rPr>
              <w:t>实施方案</w:t>
            </w:r>
          </w:p>
        </w:tc>
        <w:tc>
          <w:tcPr>
            <w:tcW w:w="850"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kern w:val="0"/>
                <w:szCs w:val="21"/>
              </w:rPr>
            </w:pPr>
            <w:r>
              <w:rPr>
                <w:rFonts w:ascii="宋体" w:hAnsi="宋体" w:cs="宋体"/>
                <w:szCs w:val="21"/>
              </w:rPr>
              <w:t>10</w:t>
            </w:r>
          </w:p>
        </w:tc>
        <w:tc>
          <w:tcPr>
            <w:tcW w:w="6261" w:type="dxa"/>
            <w:tcBorders>
              <w:right w:val="double" w:color="auto" w:sz="4" w:space="0"/>
            </w:tcBorders>
          </w:tcPr>
          <w:p>
            <w:pPr>
              <w:keepNext w:val="0"/>
              <w:keepLines w:val="0"/>
              <w:pageBreakBefore w:val="0"/>
              <w:kinsoku/>
              <w:overflowPunct/>
              <w:topLinePunct w:val="0"/>
              <w:bidi w:val="0"/>
              <w:spacing w:line="360" w:lineRule="auto"/>
              <w:jc w:val="left"/>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投标方的实施方案包括但不限于：</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（1）对本项目的理解及认识；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（2）项目技术路线；</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（3）项目管理与服务标准；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（4）项目人员团队管理；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（5）组织实施流程。</w:t>
            </w:r>
          </w:p>
          <w:p>
            <w:pPr>
              <w:keepNext w:val="0"/>
              <w:keepLines w:val="0"/>
              <w:pageBreakBefore w:val="0"/>
              <w:kinsoku/>
              <w:wordWrap w:val="0"/>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评分标准：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提供的方案内容包含以上</w:t>
            </w:r>
            <w:r>
              <w:rPr>
                <w:rFonts w:ascii="宋体" w:hAnsi="宋体" w:cs="宋体"/>
                <w:szCs w:val="21"/>
              </w:rPr>
              <w:t>5</w:t>
            </w:r>
            <w:r>
              <w:rPr>
                <w:rFonts w:hint="eastAsia" w:ascii="宋体" w:hAnsi="宋体" w:cs="宋体"/>
                <w:szCs w:val="21"/>
              </w:rPr>
              <w:t>项内容得</w:t>
            </w:r>
            <w:r>
              <w:rPr>
                <w:rFonts w:ascii="宋体" w:hAnsi="宋体" w:cs="宋体"/>
                <w:szCs w:val="21"/>
              </w:rPr>
              <w:t>5</w:t>
            </w:r>
            <w:r>
              <w:rPr>
                <w:rFonts w:hint="eastAsia" w:ascii="宋体" w:hAnsi="宋体" w:cs="宋体"/>
                <w:szCs w:val="21"/>
              </w:rPr>
              <w:t>分，包含以上4项内容得</w:t>
            </w:r>
            <w:r>
              <w:rPr>
                <w:rFonts w:ascii="宋体" w:hAnsi="宋体" w:cs="宋体"/>
                <w:szCs w:val="21"/>
              </w:rPr>
              <w:t>4</w:t>
            </w:r>
            <w:r>
              <w:rPr>
                <w:rFonts w:hint="eastAsia" w:ascii="宋体" w:hAnsi="宋体" w:cs="宋体"/>
                <w:szCs w:val="21"/>
              </w:rPr>
              <w:t>分，包含以上3项内容得</w:t>
            </w:r>
            <w:r>
              <w:rPr>
                <w:rFonts w:ascii="宋体" w:hAnsi="宋体" w:cs="宋体"/>
                <w:szCs w:val="21"/>
              </w:rPr>
              <w:t>3</w:t>
            </w:r>
            <w:r>
              <w:rPr>
                <w:rFonts w:hint="eastAsia" w:ascii="宋体" w:hAnsi="宋体" w:cs="宋体"/>
                <w:szCs w:val="21"/>
              </w:rPr>
              <w:t>分，包含以上2项内容得</w:t>
            </w:r>
            <w:r>
              <w:rPr>
                <w:rFonts w:ascii="宋体" w:hAnsi="宋体" w:cs="宋体"/>
                <w:szCs w:val="21"/>
              </w:rPr>
              <w:t>2</w:t>
            </w:r>
            <w:r>
              <w:rPr>
                <w:rFonts w:hint="eastAsia" w:ascii="宋体" w:hAnsi="宋体" w:cs="宋体"/>
                <w:szCs w:val="21"/>
              </w:rPr>
              <w:t>分，包含以上1项内容得</w:t>
            </w:r>
            <w:r>
              <w:rPr>
                <w:rFonts w:ascii="宋体" w:hAnsi="宋体" w:cs="宋体"/>
                <w:szCs w:val="21"/>
              </w:rPr>
              <w:t>1</w:t>
            </w:r>
            <w:r>
              <w:rPr>
                <w:rFonts w:hint="eastAsia" w:ascii="宋体" w:hAnsi="宋体" w:cs="宋体"/>
                <w:szCs w:val="21"/>
              </w:rPr>
              <w:t>分，其他情况不得分，在此基础上，根据方案响应情况进一步评审：</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1、内容全面、具体、科学合理，针对性强，可操作性强，加</w:t>
            </w:r>
            <w:r>
              <w:rPr>
                <w:rFonts w:ascii="宋体" w:hAnsi="宋体" w:cs="宋体"/>
                <w:szCs w:val="21"/>
              </w:rPr>
              <w:t>5</w:t>
            </w:r>
            <w:r>
              <w:rPr>
                <w:rFonts w:hint="eastAsia" w:ascii="宋体" w:hAnsi="宋体" w:cs="宋体"/>
                <w:szCs w:val="21"/>
              </w:rPr>
              <w:t>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2、内容较全面、较具体、较科学合理，针对性较强，可操作性较强，加</w:t>
            </w:r>
            <w:r>
              <w:rPr>
                <w:rFonts w:ascii="宋体" w:hAnsi="宋体" w:cs="宋体"/>
                <w:szCs w:val="21"/>
              </w:rPr>
              <w:t>2</w:t>
            </w:r>
            <w:r>
              <w:rPr>
                <w:rFonts w:hint="eastAsia" w:ascii="宋体" w:hAnsi="宋体" w:cs="宋体"/>
                <w:szCs w:val="21"/>
              </w:rPr>
              <w:t>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3、内容全面性一般，可操作性一般，加1分；</w:t>
            </w:r>
          </w:p>
          <w:p>
            <w:pPr>
              <w:keepNext w:val="0"/>
              <w:keepLines w:val="0"/>
              <w:pageBreakBefore w:val="0"/>
              <w:kinsoku/>
              <w:wordWrap w:val="0"/>
              <w:overflowPunct/>
              <w:topLinePunct w:val="0"/>
              <w:bidi w:val="0"/>
              <w:spacing w:line="360" w:lineRule="auto"/>
              <w:textAlignment w:val="auto"/>
              <w:rPr>
                <w:rFonts w:ascii="宋体" w:hAnsi="宋体" w:cs="宋体"/>
                <w:kern w:val="0"/>
                <w:szCs w:val="21"/>
              </w:rPr>
            </w:pPr>
            <w:r>
              <w:rPr>
                <w:rFonts w:hint="eastAsia" w:ascii="宋体" w:hAnsi="宋体" w:cs="宋体"/>
                <w:szCs w:val="21"/>
              </w:rPr>
              <w:t>4、内容全面性差，可操作性差，不加分。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kern w:val="0"/>
                <w:szCs w:val="21"/>
              </w:rPr>
            </w:pPr>
            <w:r>
              <w:rPr>
                <w:rFonts w:hint="eastAsia" w:ascii="宋体" w:hAnsi="宋体" w:cs="宋体"/>
                <w:szCs w:val="21"/>
              </w:rPr>
              <w:t>项目重点难点分析、应对措施及相关的合理化建议</w:t>
            </w:r>
          </w:p>
        </w:tc>
        <w:tc>
          <w:tcPr>
            <w:tcW w:w="850"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kern w:val="0"/>
                <w:szCs w:val="21"/>
              </w:rPr>
            </w:pPr>
            <w:r>
              <w:rPr>
                <w:rFonts w:hint="eastAsia" w:ascii="宋体" w:hAnsi="宋体" w:cs="宋体"/>
                <w:szCs w:val="21"/>
              </w:rPr>
              <w:t>10</w:t>
            </w:r>
          </w:p>
        </w:tc>
        <w:tc>
          <w:tcPr>
            <w:tcW w:w="6261" w:type="dxa"/>
            <w:tcBorders>
              <w:right w:val="double" w:color="auto" w:sz="4" w:space="0"/>
            </w:tcBorders>
            <w:vAlign w:val="center"/>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textAlignment w:val="auto"/>
              <w:rPr>
                <w:rFonts w:ascii="宋体" w:hAnsi="宋体" w:cs="宋体"/>
                <w:szCs w:val="21"/>
              </w:rPr>
            </w:pPr>
            <w:r>
              <w:rPr>
                <w:rFonts w:hint="eastAsia" w:ascii="宋体" w:hAnsi="宋体" w:cs="宋体"/>
                <w:szCs w:val="21"/>
              </w:rPr>
              <w:t>投标方针对本项目的项目重点难点分析、应对措施及相关的合理化建议，包括但不限于以下内容：</w:t>
            </w:r>
          </w:p>
          <w:p>
            <w:pPr>
              <w:keepNext w:val="0"/>
              <w:keepLines w:val="0"/>
              <w:pageBreakBefore w:val="0"/>
              <w:kinsoku/>
              <w:overflowPunct/>
              <w:topLinePunct w:val="0"/>
              <w:bidi w:val="0"/>
              <w:spacing w:line="360" w:lineRule="auto"/>
              <w:textAlignment w:val="auto"/>
              <w:rPr>
                <w:rFonts w:ascii="宋体" w:hAnsi="宋体" w:cs="宋体"/>
                <w:szCs w:val="21"/>
              </w:rPr>
            </w:pPr>
            <w:r>
              <w:rPr>
                <w:rFonts w:hint="eastAsia" w:ascii="宋体" w:hAnsi="宋体" w:cs="宋体"/>
                <w:szCs w:val="21"/>
              </w:rPr>
              <w:t>（1）项目重点、难点；</w:t>
            </w:r>
          </w:p>
          <w:p>
            <w:pPr>
              <w:keepNext w:val="0"/>
              <w:keepLines w:val="0"/>
              <w:pageBreakBefore w:val="0"/>
              <w:kinsoku/>
              <w:overflowPunct/>
              <w:topLinePunct w:val="0"/>
              <w:bidi w:val="0"/>
              <w:spacing w:line="360" w:lineRule="auto"/>
              <w:textAlignment w:val="auto"/>
              <w:rPr>
                <w:rFonts w:ascii="宋体" w:hAnsi="宋体" w:cs="宋体"/>
                <w:szCs w:val="21"/>
              </w:rPr>
            </w:pPr>
            <w:r>
              <w:rPr>
                <w:rFonts w:hint="eastAsia" w:ascii="宋体" w:hAnsi="宋体" w:cs="宋体"/>
                <w:szCs w:val="21"/>
              </w:rPr>
              <w:t>（2）应对措施及相关的合理化建议；</w:t>
            </w:r>
          </w:p>
          <w:p>
            <w:pPr>
              <w:keepNext w:val="0"/>
              <w:keepLines w:val="0"/>
              <w:pageBreakBefore w:val="0"/>
              <w:kinsoku/>
              <w:overflowPunct/>
              <w:topLinePunct w:val="0"/>
              <w:bidi w:val="0"/>
              <w:spacing w:line="360" w:lineRule="auto"/>
              <w:textAlignment w:val="auto"/>
              <w:rPr>
                <w:rFonts w:ascii="宋体" w:hAnsi="宋体" w:cs="宋体"/>
                <w:szCs w:val="21"/>
              </w:rPr>
            </w:pPr>
            <w:r>
              <w:rPr>
                <w:rFonts w:hint="eastAsia" w:ascii="宋体" w:hAnsi="宋体" w:cs="宋体"/>
                <w:szCs w:val="21"/>
              </w:rPr>
              <w:t>（3）项目可能应对的风险及突发状况。</w:t>
            </w:r>
          </w:p>
          <w:p>
            <w:pPr>
              <w:keepNext w:val="0"/>
              <w:keepLines w:val="0"/>
              <w:pageBreakBefore w:val="0"/>
              <w:kinsoku/>
              <w:wordWrap w:val="0"/>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评分标准：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提供的方案内容包括以上</w:t>
            </w:r>
            <w:r>
              <w:rPr>
                <w:rFonts w:ascii="宋体" w:hAnsi="宋体" w:cs="宋体"/>
                <w:szCs w:val="21"/>
              </w:rPr>
              <w:t>3</w:t>
            </w:r>
            <w:r>
              <w:rPr>
                <w:rFonts w:hint="eastAsia" w:ascii="宋体" w:hAnsi="宋体" w:cs="宋体"/>
                <w:szCs w:val="21"/>
              </w:rPr>
              <w:t>项内容得</w:t>
            </w:r>
            <w:r>
              <w:rPr>
                <w:rFonts w:ascii="宋体" w:hAnsi="宋体" w:cs="宋体"/>
                <w:szCs w:val="21"/>
              </w:rPr>
              <w:t>3</w:t>
            </w:r>
            <w:r>
              <w:rPr>
                <w:rFonts w:hint="eastAsia" w:ascii="宋体" w:hAnsi="宋体" w:cs="宋体"/>
                <w:szCs w:val="21"/>
              </w:rPr>
              <w:t>分，包含以上2项内容得</w:t>
            </w:r>
            <w:r>
              <w:rPr>
                <w:rFonts w:ascii="宋体" w:hAnsi="宋体" w:cs="宋体"/>
                <w:szCs w:val="21"/>
              </w:rPr>
              <w:t>2</w:t>
            </w:r>
            <w:r>
              <w:rPr>
                <w:rFonts w:hint="eastAsia" w:ascii="宋体" w:hAnsi="宋体" w:cs="宋体"/>
                <w:szCs w:val="21"/>
              </w:rPr>
              <w:t>分，包含以上1项内容得</w:t>
            </w:r>
            <w:r>
              <w:rPr>
                <w:rFonts w:ascii="宋体" w:hAnsi="宋体" w:cs="宋体"/>
                <w:szCs w:val="21"/>
              </w:rPr>
              <w:t>1</w:t>
            </w:r>
            <w:r>
              <w:rPr>
                <w:rFonts w:hint="eastAsia" w:ascii="宋体" w:hAnsi="宋体" w:cs="宋体"/>
                <w:szCs w:val="21"/>
              </w:rPr>
              <w:t>分，其他情况不得分，在此基础上，根据方案响应情况进一步评审：</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1、内容全面、具体、科学合理，针对性强，可操作性强，加</w:t>
            </w:r>
            <w:r>
              <w:rPr>
                <w:rFonts w:ascii="宋体" w:hAnsi="宋体" w:cs="宋体"/>
                <w:szCs w:val="21"/>
              </w:rPr>
              <w:t>7</w:t>
            </w:r>
            <w:r>
              <w:rPr>
                <w:rFonts w:hint="eastAsia" w:ascii="宋体" w:hAnsi="宋体" w:cs="宋体"/>
                <w:szCs w:val="21"/>
              </w:rPr>
              <w:t>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2、内容较全面、较具体、较科学合理，针对性较强，可操作性较强，加</w:t>
            </w:r>
            <w:r>
              <w:rPr>
                <w:rFonts w:ascii="宋体" w:hAnsi="宋体" w:cs="宋体"/>
                <w:szCs w:val="21"/>
              </w:rPr>
              <w:t>4</w:t>
            </w:r>
            <w:r>
              <w:rPr>
                <w:rFonts w:hint="eastAsia" w:ascii="宋体" w:hAnsi="宋体" w:cs="宋体"/>
                <w:szCs w:val="21"/>
              </w:rPr>
              <w:t>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3、内容全面性一般，可操作性一般，加</w:t>
            </w:r>
            <w:r>
              <w:rPr>
                <w:rFonts w:ascii="宋体" w:hAnsi="宋体" w:cs="宋体"/>
                <w:szCs w:val="21"/>
              </w:rPr>
              <w:t>1</w:t>
            </w:r>
            <w:r>
              <w:rPr>
                <w:rFonts w:hint="eastAsia" w:ascii="宋体" w:hAnsi="宋体" w:cs="宋体"/>
                <w:szCs w:val="21"/>
              </w:rPr>
              <w:t>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4、内容全面性差，可操作性差，不加分。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kern w:val="0"/>
                <w:szCs w:val="21"/>
              </w:rPr>
            </w:pPr>
            <w:r>
              <w:rPr>
                <w:rFonts w:hint="eastAsia" w:ascii="宋体" w:hAnsi="宋体" w:cs="宋体"/>
                <w:szCs w:val="21"/>
              </w:rPr>
              <w:t>质量（完成时间、安全、环保）保障措施及方案</w:t>
            </w:r>
          </w:p>
        </w:tc>
        <w:tc>
          <w:tcPr>
            <w:tcW w:w="850"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kern w:val="0"/>
                <w:szCs w:val="21"/>
              </w:rPr>
            </w:pPr>
            <w:r>
              <w:rPr>
                <w:rFonts w:ascii="宋体" w:hAnsi="宋体" w:cs="宋体"/>
                <w:szCs w:val="21"/>
              </w:rPr>
              <w:t>10</w:t>
            </w:r>
          </w:p>
        </w:tc>
        <w:tc>
          <w:tcPr>
            <w:tcW w:w="6261" w:type="dxa"/>
            <w:tcBorders>
              <w:right w:val="double" w:color="auto" w:sz="4" w:space="0"/>
            </w:tcBorders>
            <w:vAlign w:val="center"/>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textAlignment w:val="auto"/>
              <w:rPr>
                <w:rFonts w:ascii="宋体" w:hAnsi="宋体" w:cs="宋体"/>
                <w:szCs w:val="21"/>
              </w:rPr>
            </w:pPr>
            <w:r>
              <w:rPr>
                <w:rFonts w:hint="eastAsia" w:ascii="宋体" w:hAnsi="宋体" w:cs="宋体"/>
                <w:szCs w:val="21"/>
              </w:rPr>
              <w:t>投标方的质量保障措施及方案，包括但不限于以下内容：</w:t>
            </w:r>
          </w:p>
          <w:p>
            <w:pPr>
              <w:keepNext w:val="0"/>
              <w:keepLines w:val="0"/>
              <w:pageBreakBefore w:val="0"/>
              <w:kinsoku/>
              <w:overflowPunct/>
              <w:topLinePunct w:val="0"/>
              <w:bidi w:val="0"/>
              <w:spacing w:line="360" w:lineRule="auto"/>
              <w:textAlignment w:val="auto"/>
              <w:rPr>
                <w:rFonts w:ascii="宋体" w:hAnsi="宋体" w:cs="宋体"/>
                <w:szCs w:val="21"/>
              </w:rPr>
            </w:pPr>
            <w:r>
              <w:rPr>
                <w:rFonts w:hint="eastAsia" w:ascii="宋体" w:hAnsi="宋体" w:cs="宋体"/>
                <w:szCs w:val="21"/>
              </w:rPr>
              <w:t>（1）项目团队人员稳定性保障；</w:t>
            </w:r>
          </w:p>
          <w:p>
            <w:pPr>
              <w:keepNext w:val="0"/>
              <w:keepLines w:val="0"/>
              <w:pageBreakBefore w:val="0"/>
              <w:kinsoku/>
              <w:overflowPunct/>
              <w:topLinePunct w:val="0"/>
              <w:bidi w:val="0"/>
              <w:spacing w:line="360" w:lineRule="auto"/>
              <w:textAlignment w:val="auto"/>
              <w:rPr>
                <w:rFonts w:ascii="宋体" w:hAnsi="宋体" w:cs="宋体"/>
                <w:szCs w:val="21"/>
              </w:rPr>
            </w:pPr>
            <w:r>
              <w:rPr>
                <w:rFonts w:hint="eastAsia" w:ascii="宋体" w:hAnsi="宋体" w:cs="宋体"/>
                <w:szCs w:val="21"/>
              </w:rPr>
              <w:t>（2）项目数据质量控制措施；</w:t>
            </w:r>
          </w:p>
          <w:p>
            <w:pPr>
              <w:keepNext w:val="0"/>
              <w:keepLines w:val="0"/>
              <w:pageBreakBefore w:val="0"/>
              <w:kinsoku/>
              <w:overflowPunct/>
              <w:topLinePunct w:val="0"/>
              <w:bidi w:val="0"/>
              <w:spacing w:line="360" w:lineRule="auto"/>
              <w:textAlignment w:val="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）项目进度计划保障措施。</w:t>
            </w:r>
          </w:p>
          <w:p>
            <w:pPr>
              <w:keepNext w:val="0"/>
              <w:keepLines w:val="0"/>
              <w:pageBreakBefore w:val="0"/>
              <w:kinsoku/>
              <w:wordWrap w:val="0"/>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评分标准：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提供的方案内容包含以上</w:t>
            </w:r>
            <w:r>
              <w:rPr>
                <w:rFonts w:ascii="宋体" w:hAnsi="宋体" w:cs="宋体"/>
                <w:szCs w:val="21"/>
              </w:rPr>
              <w:t>3</w:t>
            </w:r>
            <w:r>
              <w:rPr>
                <w:rFonts w:hint="eastAsia" w:ascii="宋体" w:hAnsi="宋体" w:cs="宋体"/>
                <w:szCs w:val="21"/>
              </w:rPr>
              <w:t>项内容得</w:t>
            </w:r>
            <w:r>
              <w:rPr>
                <w:rFonts w:ascii="宋体" w:hAnsi="宋体" w:cs="宋体"/>
                <w:szCs w:val="21"/>
              </w:rPr>
              <w:t>3</w:t>
            </w:r>
            <w:r>
              <w:rPr>
                <w:rFonts w:hint="eastAsia" w:ascii="宋体" w:hAnsi="宋体" w:cs="宋体"/>
                <w:szCs w:val="21"/>
              </w:rPr>
              <w:t>分，包含以上2项内容得</w:t>
            </w:r>
            <w:r>
              <w:rPr>
                <w:rFonts w:ascii="宋体" w:hAnsi="宋体" w:cs="宋体"/>
                <w:szCs w:val="21"/>
              </w:rPr>
              <w:t>2</w:t>
            </w:r>
            <w:r>
              <w:rPr>
                <w:rFonts w:hint="eastAsia" w:ascii="宋体" w:hAnsi="宋体" w:cs="宋体"/>
                <w:szCs w:val="21"/>
              </w:rPr>
              <w:t>分，包含以上1项内容得</w:t>
            </w:r>
            <w:r>
              <w:rPr>
                <w:rFonts w:ascii="宋体" w:hAnsi="宋体" w:cs="宋体"/>
                <w:szCs w:val="21"/>
              </w:rPr>
              <w:t>1</w:t>
            </w:r>
            <w:r>
              <w:rPr>
                <w:rFonts w:hint="eastAsia" w:ascii="宋体" w:hAnsi="宋体" w:cs="宋体"/>
                <w:szCs w:val="21"/>
              </w:rPr>
              <w:t>分，其他情况不得分，在此基础上，根据方案响应情况进一步评审：</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1、内容全面、具体、科学合理，针对性强，可操作性强，加</w:t>
            </w:r>
            <w:r>
              <w:rPr>
                <w:rFonts w:ascii="宋体" w:hAnsi="宋体" w:cs="宋体"/>
                <w:szCs w:val="21"/>
              </w:rPr>
              <w:t>7</w:t>
            </w:r>
            <w:r>
              <w:rPr>
                <w:rFonts w:hint="eastAsia" w:ascii="宋体" w:hAnsi="宋体" w:cs="宋体"/>
                <w:szCs w:val="21"/>
              </w:rPr>
              <w:t>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2、内容较全面、较具体、较科学合理，针对性较强，可操作性较强，加</w:t>
            </w:r>
            <w:r>
              <w:rPr>
                <w:rFonts w:ascii="宋体" w:hAnsi="宋体" w:cs="宋体"/>
                <w:szCs w:val="21"/>
              </w:rPr>
              <w:t>4</w:t>
            </w:r>
            <w:r>
              <w:rPr>
                <w:rFonts w:hint="eastAsia" w:ascii="宋体" w:hAnsi="宋体" w:cs="宋体"/>
                <w:szCs w:val="21"/>
              </w:rPr>
              <w:t>分；</w:t>
            </w:r>
          </w:p>
          <w:p>
            <w:pPr>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szCs w:val="21"/>
              </w:rPr>
              <w:t>3、内容全面性一般，可操作性一般，加1分；</w:t>
            </w:r>
          </w:p>
          <w:p>
            <w:pPr>
              <w:keepNext w:val="0"/>
              <w:keepLines w:val="0"/>
              <w:pageBreakBefore w:val="0"/>
              <w:kinsoku/>
              <w:wordWrap w:val="0"/>
              <w:overflowPunct/>
              <w:topLinePunct w:val="0"/>
              <w:bidi w:val="0"/>
              <w:spacing w:line="360" w:lineRule="auto"/>
              <w:textAlignment w:val="auto"/>
              <w:rPr>
                <w:rFonts w:ascii="宋体" w:hAnsi="宋体" w:cs="宋体"/>
                <w:kern w:val="0"/>
                <w:szCs w:val="21"/>
              </w:rPr>
            </w:pPr>
            <w:r>
              <w:rPr>
                <w:rFonts w:hint="eastAsia" w:ascii="宋体" w:hAnsi="宋体" w:cs="宋体"/>
                <w:szCs w:val="21"/>
              </w:rPr>
              <w:t>4、内容全面性差，可操作性差，不加分。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hint="eastAsia" w:ascii="宋体" w:hAnsi="宋体" w:cs="宋体"/>
                <w:szCs w:val="21"/>
              </w:rPr>
              <w:t>项目完成（服务期满）后的服务承诺</w:t>
            </w:r>
          </w:p>
        </w:tc>
        <w:tc>
          <w:tcPr>
            <w:tcW w:w="850"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ascii="宋体" w:hAnsi="宋体" w:cs="宋体"/>
                <w:szCs w:val="21"/>
              </w:rPr>
              <w:t>5</w:t>
            </w:r>
          </w:p>
        </w:tc>
        <w:tc>
          <w:tcPr>
            <w:tcW w:w="6261" w:type="dxa"/>
            <w:tcBorders>
              <w:right w:val="double" w:color="auto" w:sz="4" w:space="0"/>
            </w:tcBorders>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投标方提供项目完成（服务期满）后的服务承诺，承诺以下全部三项的得</w:t>
            </w:r>
            <w:r>
              <w:rPr>
                <w:rFonts w:ascii="宋体" w:hAnsi="宋体" w:cs="宋体"/>
                <w:szCs w:val="21"/>
              </w:rPr>
              <w:t>5</w:t>
            </w:r>
            <w:r>
              <w:rPr>
                <w:rFonts w:hint="eastAsia" w:ascii="宋体" w:hAnsi="宋体" w:cs="宋体"/>
                <w:szCs w:val="21"/>
              </w:rPr>
              <w:t>分，否则不得分。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1）服务期满后主动离岗；</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2）与后续服务公司进行交接；</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3）服务期满，后续服务公司未到位前仍按原合同服务承诺提供服务。</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提供《</w:t>
            </w:r>
            <w:r>
              <w:rPr>
                <w:rFonts w:hint="eastAsia" w:ascii="宋体" w:hAnsi="宋体"/>
                <w:szCs w:val="21"/>
              </w:rPr>
              <w:t>项目完成（服务期满）后的服务</w:t>
            </w:r>
            <w:r>
              <w:rPr>
                <w:rFonts w:hint="eastAsia" w:ascii="宋体" w:hAnsi="宋体" w:cs="宋体"/>
                <w:szCs w:val="21"/>
              </w:rPr>
              <w:t>承诺</w:t>
            </w:r>
            <w:r>
              <w:rPr>
                <w:rFonts w:hint="eastAsia" w:ascii="宋体" w:hAnsi="宋体"/>
                <w:szCs w:val="21"/>
              </w:rPr>
              <w:t>函》</w:t>
            </w:r>
            <w:r>
              <w:rPr>
                <w:rFonts w:hint="eastAsia" w:ascii="宋体" w:hAnsi="宋体" w:cs="宋体"/>
                <w:szCs w:val="21"/>
              </w:rPr>
              <w:t>（格式自定）作为得分依据，未提供承诺或承诺内容不满足要求不得分。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hint="eastAsia" w:ascii="宋体" w:hAnsi="宋体" w:cs="宋体"/>
                <w:szCs w:val="21"/>
              </w:rPr>
              <w:t>违约承诺</w:t>
            </w:r>
          </w:p>
        </w:tc>
        <w:tc>
          <w:tcPr>
            <w:tcW w:w="850"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ascii="宋体" w:hAnsi="宋体" w:cs="宋体"/>
                <w:szCs w:val="21"/>
              </w:rPr>
              <w:t>5</w:t>
            </w:r>
          </w:p>
        </w:tc>
        <w:tc>
          <w:tcPr>
            <w:tcW w:w="6261" w:type="dxa"/>
            <w:tcBorders>
              <w:right w:val="double" w:color="auto" w:sz="4" w:space="0"/>
            </w:tcBorders>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投标方提供违约承诺，承诺以下全部三项的得</w:t>
            </w:r>
            <w:r>
              <w:rPr>
                <w:rFonts w:ascii="宋体" w:hAnsi="宋体" w:cs="宋体"/>
                <w:szCs w:val="21"/>
              </w:rPr>
              <w:t>5</w:t>
            </w:r>
            <w:r>
              <w:rPr>
                <w:rFonts w:hint="eastAsia" w:ascii="宋体" w:hAnsi="宋体" w:cs="宋体"/>
                <w:szCs w:val="21"/>
              </w:rPr>
              <w:t>分，否则不得分。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1）人员严格按照采购文件及投标承诺配置；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2）服务质量达到采购文件要求；</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3）对未能达到的管理要求承担管理责任。</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提供</w:t>
            </w:r>
            <w:r>
              <w:rPr>
                <w:rFonts w:hint="eastAsia" w:ascii="宋体" w:hAnsi="宋体"/>
                <w:szCs w:val="21"/>
              </w:rPr>
              <w:t>《违约</w:t>
            </w:r>
            <w:r>
              <w:rPr>
                <w:rFonts w:hint="eastAsia" w:ascii="宋体" w:hAnsi="宋体" w:cs="宋体"/>
                <w:szCs w:val="21"/>
              </w:rPr>
              <w:t>承诺</w:t>
            </w:r>
            <w:r>
              <w:rPr>
                <w:rFonts w:hint="eastAsia" w:ascii="宋体" w:hAnsi="宋体"/>
                <w:szCs w:val="21"/>
              </w:rPr>
              <w:t>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65" w:type="dxa"/>
            <w:vMerge w:val="restart"/>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商务部分（S）</w:t>
            </w:r>
          </w:p>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（总分50分）</w:t>
            </w: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hint="eastAsia" w:ascii="宋体" w:hAnsi="宋体" w:cs="宋体"/>
                <w:szCs w:val="21"/>
              </w:rPr>
              <w:t>供应商认证情况</w:t>
            </w:r>
          </w:p>
        </w:tc>
        <w:tc>
          <w:tcPr>
            <w:tcW w:w="850" w:type="dxa"/>
            <w:tcBorders>
              <w:right w:val="single" w:color="auto" w:sz="4" w:space="0"/>
            </w:tcBorders>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ascii="宋体" w:hAnsi="宋体" w:cs="宋体"/>
                <w:szCs w:val="21"/>
              </w:rPr>
              <w:t>6</w:t>
            </w:r>
          </w:p>
        </w:tc>
        <w:tc>
          <w:tcPr>
            <w:tcW w:w="6261" w:type="dxa"/>
            <w:tcBorders>
              <w:left w:val="single" w:color="auto" w:sz="4" w:space="0"/>
              <w:right w:val="double" w:color="auto" w:sz="4" w:space="0"/>
            </w:tcBorders>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投标人具有质量管理体系认证证书、环境管理体系认证证书、职业健康安全管理体系认证证书，以上所有证书认证范围要求包含统计调查</w:t>
            </w:r>
            <w:r>
              <w:rPr>
                <w:rFonts w:hint="eastAsia" w:ascii="宋体" w:hAnsi="宋体" w:cs="宋体"/>
                <w:szCs w:val="21"/>
                <w:lang w:val="en-US" w:eastAsia="zh-CN"/>
              </w:rPr>
              <w:t>及</w:t>
            </w:r>
            <w:r>
              <w:rPr>
                <w:rFonts w:hint="eastAsia" w:ascii="宋体" w:hAnsi="宋体" w:cs="宋体"/>
                <w:szCs w:val="21"/>
              </w:rPr>
              <w:t>信息采集服务</w:t>
            </w:r>
            <w:r>
              <w:rPr>
                <w:rFonts w:hint="eastAsia" w:ascii="宋体" w:hAnsi="宋体" w:cs="宋体"/>
                <w:szCs w:val="21"/>
                <w:lang w:val="en-US" w:eastAsia="zh-CN"/>
              </w:rPr>
              <w:t>及</w:t>
            </w:r>
            <w:r>
              <w:rPr>
                <w:rFonts w:hint="eastAsia" w:ascii="宋体" w:hAnsi="宋体" w:cs="宋体"/>
                <w:szCs w:val="21"/>
              </w:rPr>
              <w:t>数据应用的，每提供一个有效认证证书得2分，本小项最高得6分。</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1.要求提供有效认证证书</w:t>
            </w:r>
            <w:r>
              <w:rPr>
                <w:rFonts w:hint="eastAsia" w:ascii="宋体" w:hAnsi="宋体"/>
                <w:kern w:val="0"/>
                <w:szCs w:val="21"/>
              </w:rPr>
              <w:t>（如认证证书注明年审要求的，必须按规定年审且证书在有效期内的方为有效；如未注明年审要求的，证书必须在有效期内的方为有效）</w:t>
            </w:r>
            <w:r>
              <w:rPr>
                <w:rFonts w:hint="eastAsia" w:ascii="宋体" w:hAnsi="宋体" w:cs="宋体"/>
                <w:szCs w:val="21"/>
              </w:rPr>
              <w:t>及证书；</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3.提供以上证明文件复印件或扫描件，如涉及网站截图或照片等证明材料</w:t>
            </w:r>
            <w:r>
              <w:rPr>
                <w:rFonts w:hint="eastAsia" w:ascii="宋体" w:hAnsi="宋体" w:cs="宋体"/>
                <w:szCs w:val="21"/>
                <w:lang w:val="en-US" w:eastAsia="zh-CN"/>
              </w:rPr>
              <w:t>，</w:t>
            </w:r>
            <w:r>
              <w:rPr>
                <w:rFonts w:hint="eastAsia" w:ascii="宋体" w:hAnsi="宋体" w:cs="宋体"/>
                <w:szCs w:val="21"/>
              </w:rPr>
              <w:t>需提供清晰图片</w:t>
            </w:r>
            <w:r>
              <w:rPr>
                <w:rFonts w:hint="eastAsia" w:ascii="宋体" w:hAnsi="宋体" w:cs="宋体"/>
                <w:szCs w:val="21"/>
                <w:lang w:eastAsia="zh-CN"/>
              </w:rPr>
              <w:t>，</w:t>
            </w:r>
            <w:r>
              <w:rPr>
                <w:rFonts w:hint="eastAsia" w:ascii="宋体" w:hAnsi="宋体" w:cs="宋体"/>
                <w:szCs w:val="21"/>
              </w:rPr>
              <w:t>均要求加盖投标人公章</w:t>
            </w:r>
            <w:r>
              <w:rPr>
                <w:rFonts w:hint="eastAsia" w:ascii="宋体" w:hAnsi="宋体" w:cs="宋体"/>
                <w:szCs w:val="21"/>
                <w:lang w:eastAsia="zh-CN"/>
              </w:rPr>
              <w:t>，</w:t>
            </w:r>
            <w:r>
              <w:rPr>
                <w:rFonts w:hint="eastAsia" w:ascii="宋体" w:hAnsi="宋体" w:cs="宋体"/>
                <w:szCs w:val="21"/>
              </w:rPr>
              <w:t>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hint="eastAsia" w:ascii="宋体" w:hAnsi="宋体" w:cs="宋体"/>
                <w:szCs w:val="21"/>
              </w:rPr>
              <w:t>供应商项目业绩情况</w:t>
            </w:r>
          </w:p>
        </w:tc>
        <w:tc>
          <w:tcPr>
            <w:tcW w:w="850" w:type="dxa"/>
            <w:tcBorders>
              <w:right w:val="single" w:color="auto" w:sz="4" w:space="0"/>
            </w:tcBorders>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napToGrid w:val="0"/>
                <w:kern w:val="0"/>
                <w:szCs w:val="21"/>
              </w:rPr>
            </w:pPr>
            <w:r>
              <w:rPr>
                <w:rFonts w:ascii="宋体" w:hAnsi="宋体" w:cs="宋体"/>
                <w:szCs w:val="21"/>
              </w:rPr>
              <w:t>9</w:t>
            </w:r>
          </w:p>
        </w:tc>
        <w:tc>
          <w:tcPr>
            <w:tcW w:w="6261" w:type="dxa"/>
            <w:tcBorders>
              <w:left w:val="single" w:color="auto" w:sz="4" w:space="0"/>
              <w:right w:val="double" w:color="auto" w:sz="4" w:space="0"/>
            </w:tcBorders>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w:t>
            </w:r>
            <w:r>
              <w:rPr>
                <w:rFonts w:ascii="宋体" w:hAnsi="宋体" w:cs="宋体"/>
                <w:szCs w:val="21"/>
              </w:rPr>
              <w:t>020</w:t>
            </w:r>
            <w:r>
              <w:rPr>
                <w:rFonts w:hint="eastAsia" w:ascii="宋体" w:hAnsi="宋体" w:cs="宋体"/>
                <w:szCs w:val="21"/>
              </w:rPr>
              <w:t>年1月1日至本项目投标截止日（以合同签订日期为准），投标人具有统计调查类相关项目业绩，每提供一个项目得</w:t>
            </w:r>
            <w:r>
              <w:rPr>
                <w:rFonts w:ascii="宋体" w:hAnsi="宋体" w:cs="宋体"/>
                <w:szCs w:val="21"/>
              </w:rPr>
              <w:t>3</w:t>
            </w:r>
            <w:r>
              <w:rPr>
                <w:rFonts w:hint="eastAsia" w:ascii="宋体" w:hAnsi="宋体" w:cs="宋体"/>
                <w:szCs w:val="21"/>
              </w:rPr>
              <w:t>分，最高得</w:t>
            </w:r>
            <w:r>
              <w:rPr>
                <w:rFonts w:ascii="宋体" w:hAnsi="宋体" w:cs="宋体"/>
                <w:szCs w:val="21"/>
              </w:rPr>
              <w:t>9</w:t>
            </w:r>
            <w:r>
              <w:rPr>
                <w:rFonts w:hint="eastAsia" w:ascii="宋体" w:hAnsi="宋体" w:cs="宋体"/>
                <w:szCs w:val="21"/>
              </w:rPr>
              <w:t>分。同一项目续签合同的不可重复得分。</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szCs w:val="21"/>
              </w:rPr>
            </w:pPr>
            <w:r>
              <w:rPr>
                <w:rFonts w:hint="eastAsia" w:ascii="宋体" w:hAnsi="宋体" w:cs="宋体"/>
                <w:szCs w:val="21"/>
              </w:rPr>
              <w:t>1.要求提供合同关键</w:t>
            </w:r>
            <w:r>
              <w:rPr>
                <w:rFonts w:hint="eastAsia" w:ascii="宋体" w:hAnsi="宋体" w:cs="仿宋"/>
                <w:szCs w:val="21"/>
              </w:rPr>
              <w:t>页</w:t>
            </w:r>
            <w:r>
              <w:rPr>
                <w:rFonts w:cs="宋体" w:asciiTheme="minorEastAsia" w:hAnsiTheme="minorEastAsia" w:eastAsiaTheme="minorEastAsia"/>
                <w:szCs w:val="21"/>
              </w:rPr>
              <w:t>（关键信息包括但不仅限于合同的项目名称、服务内容、合同服务期限、合同签订日期</w:t>
            </w:r>
            <w:r>
              <w:rPr>
                <w:rFonts w:hint="eastAsia" w:cs="宋体" w:asciiTheme="minorEastAsia" w:hAnsiTheme="minorEastAsia" w:eastAsiaTheme="minorEastAsia"/>
                <w:szCs w:val="21"/>
              </w:rPr>
              <w:t>、</w:t>
            </w:r>
            <w:r>
              <w:rPr>
                <w:rFonts w:cs="宋体" w:asciiTheme="minorEastAsia" w:hAnsiTheme="minorEastAsia" w:eastAsiaTheme="minorEastAsia"/>
                <w:szCs w:val="21"/>
              </w:rPr>
              <w:t>甲乙双方签字盖章页）</w:t>
            </w:r>
            <w:r>
              <w:rPr>
                <w:rFonts w:hint="eastAsia" w:asciiTheme="minorEastAsia" w:hAnsiTheme="minorEastAsia" w:eastAsiaTheme="minorEastAsia"/>
                <w:bCs/>
                <w:szCs w:val="21"/>
              </w:rPr>
              <w:t>且提供的材料各项信息不得有任何遮挡</w:t>
            </w:r>
            <w:r>
              <w:rPr>
                <w:rFonts w:hint="eastAsia" w:ascii="宋体" w:hAnsi="宋体"/>
                <w:szCs w:val="21"/>
              </w:rPr>
              <w:t>；</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2.通过合同关键信息无法判断是否得分的，还须同时提供能证明得分的其它证明资料，如项目报告或合同甲方出具的证明文件；</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hint="eastAsia" w:ascii="宋体" w:hAnsi="宋体" w:cs="宋体"/>
                <w:szCs w:val="21"/>
              </w:rPr>
              <w:t>供应商获奖情况</w:t>
            </w:r>
          </w:p>
        </w:tc>
        <w:tc>
          <w:tcPr>
            <w:tcW w:w="850" w:type="dxa"/>
            <w:tcBorders>
              <w:right w:val="single" w:color="auto" w:sz="4" w:space="0"/>
            </w:tcBorders>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ascii="宋体" w:hAnsi="宋体" w:cs="宋体"/>
                <w:szCs w:val="21"/>
              </w:rPr>
              <w:t>8</w:t>
            </w:r>
          </w:p>
        </w:tc>
        <w:tc>
          <w:tcPr>
            <w:tcW w:w="6261" w:type="dxa"/>
            <w:tcBorders>
              <w:left w:val="single" w:color="auto" w:sz="4" w:space="0"/>
              <w:right w:val="double" w:color="auto" w:sz="4" w:space="0"/>
            </w:tcBorders>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2020年1月1日至本项目投标截止日（</w:t>
            </w:r>
            <w:r>
              <w:rPr>
                <w:rFonts w:hint="eastAsia" w:ascii="宋体" w:hAnsi="宋体" w:cs="宋体"/>
                <w:bCs/>
                <w:kern w:val="0"/>
                <w:szCs w:val="21"/>
              </w:rPr>
              <w:t>以证书颁发日期为准</w:t>
            </w:r>
            <w:r>
              <w:rPr>
                <w:rFonts w:hint="eastAsia" w:ascii="宋体" w:hAnsi="宋体" w:cs="宋体"/>
                <w:szCs w:val="21"/>
              </w:rPr>
              <w:t>）投标人获得政府部门颁发的统计调查服务相关的荣誉奖项：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省级或以上奖项，每个得</w:t>
            </w:r>
            <w:r>
              <w:rPr>
                <w:rFonts w:ascii="宋体" w:hAnsi="宋体" w:cs="宋体"/>
                <w:szCs w:val="21"/>
              </w:rPr>
              <w:t>3</w:t>
            </w:r>
            <w:r>
              <w:rPr>
                <w:rFonts w:hint="eastAsia" w:ascii="宋体" w:hAnsi="宋体" w:cs="宋体"/>
                <w:szCs w:val="21"/>
              </w:rPr>
              <w:t>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市级（含副省级）或以上奖项，每个得</w:t>
            </w:r>
            <w:r>
              <w:rPr>
                <w:rFonts w:ascii="宋体" w:hAnsi="宋体" w:cs="宋体"/>
                <w:szCs w:val="21"/>
              </w:rPr>
              <w:t>2</w:t>
            </w:r>
            <w:r>
              <w:rPr>
                <w:rFonts w:hint="eastAsia" w:ascii="宋体" w:hAnsi="宋体" w:cs="宋体"/>
                <w:szCs w:val="21"/>
              </w:rPr>
              <w:t>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区县级或以上奖项，每个得</w:t>
            </w:r>
            <w:r>
              <w:rPr>
                <w:rFonts w:ascii="宋体" w:hAnsi="宋体" w:cs="宋体"/>
                <w:szCs w:val="21"/>
              </w:rPr>
              <w:t>1</w:t>
            </w:r>
            <w:r>
              <w:rPr>
                <w:rFonts w:hint="eastAsia" w:ascii="宋体" w:hAnsi="宋体" w:cs="宋体"/>
                <w:szCs w:val="21"/>
              </w:rPr>
              <w:t>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其他不得分，累计最高得</w:t>
            </w:r>
            <w:r>
              <w:rPr>
                <w:rFonts w:ascii="宋体" w:hAnsi="宋体" w:cs="宋体"/>
                <w:szCs w:val="21"/>
              </w:rPr>
              <w:t>8</w:t>
            </w:r>
            <w:r>
              <w:rPr>
                <w:rFonts w:hint="eastAsia" w:ascii="宋体" w:hAnsi="宋体" w:cs="宋体"/>
                <w:szCs w:val="21"/>
              </w:rPr>
              <w:t>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注：同一项目获得多项奖项的，仅计算一次。</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1.要求提供奖项照片或获奖（荣誉）证书作为得分依据；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 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hint="eastAsia" w:ascii="宋体" w:hAnsi="宋体" w:cs="宋体"/>
                <w:szCs w:val="21"/>
                <w:lang w:bidi="ar"/>
              </w:rPr>
              <w:t>拟安排的项目技术负责人情况（仅限一人）</w:t>
            </w:r>
          </w:p>
        </w:tc>
        <w:tc>
          <w:tcPr>
            <w:tcW w:w="850" w:type="dxa"/>
            <w:tcBorders>
              <w:right w:val="single" w:color="auto" w:sz="4" w:space="0"/>
            </w:tcBorders>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ascii="宋体" w:hAnsi="宋体" w:cs="宋体"/>
                <w:szCs w:val="21"/>
                <w:lang w:bidi="ar"/>
              </w:rPr>
              <w:t>3</w:t>
            </w:r>
          </w:p>
        </w:tc>
        <w:tc>
          <w:tcPr>
            <w:tcW w:w="6261" w:type="dxa"/>
            <w:tcBorders>
              <w:left w:val="single" w:color="auto" w:sz="4" w:space="0"/>
              <w:right w:val="double" w:color="auto" w:sz="4" w:space="0"/>
            </w:tcBorders>
          </w:tcPr>
          <w:p>
            <w:pPr>
              <w:keepNext w:val="0"/>
              <w:keepLines w:val="0"/>
              <w:pageBreakBefore w:val="0"/>
              <w:kinsoku/>
              <w:overflowPunct/>
              <w:topLinePunct w:val="0"/>
              <w:bidi w:val="0"/>
              <w:spacing w:line="360" w:lineRule="auto"/>
              <w:jc w:val="left"/>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lang w:bidi="ar"/>
              </w:rPr>
              <w:t>拟安排项目技术负责人（仅限一人）为投标单位自有员工（以社保为准），否则本项不得分。</w:t>
            </w:r>
            <w:r>
              <w:rPr>
                <w:rFonts w:hint="eastAsia" w:ascii="宋体" w:hAnsi="宋体"/>
                <w:szCs w:val="21"/>
              </w:rPr>
              <w:t>在此基础上，按以下标准评分：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具有研究生或以上学历得1.5分，具有本科学历得</w:t>
            </w:r>
            <w:r>
              <w:rPr>
                <w:rFonts w:ascii="宋体" w:hAnsi="宋体" w:cs="宋体"/>
                <w:szCs w:val="21"/>
              </w:rPr>
              <w:t>1</w:t>
            </w:r>
            <w:r>
              <w:rPr>
                <w:rFonts w:hint="eastAsia" w:ascii="宋体" w:hAnsi="宋体" w:cs="宋体"/>
                <w:szCs w:val="21"/>
              </w:rPr>
              <w:t>分，本小项最高得1.5分。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具有高级统计师职称证书的得1.5分，具有其它高级职称的得1分，具有中级及以下职称得0.5分，本小项最高得1.5分。</w:t>
            </w:r>
          </w:p>
          <w:p>
            <w:pPr>
              <w:keepNext w:val="0"/>
              <w:keepLines w:val="0"/>
              <w:pageBreakBefore w:val="0"/>
              <w:kinsoku/>
              <w:overflowPunct/>
              <w:topLinePunct w:val="0"/>
              <w:bidi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 提供项目</w:t>
            </w:r>
            <w:r>
              <w:rPr>
                <w:rFonts w:hint="eastAsia" w:ascii="宋体" w:hAnsi="宋体" w:cs="宋体"/>
                <w:szCs w:val="21"/>
                <w:lang w:bidi="ar"/>
              </w:rPr>
              <w:t>技术</w:t>
            </w:r>
            <w:r>
              <w:rPr>
                <w:rFonts w:hint="eastAsia" w:ascii="宋体" w:hAnsi="宋体" w:cs="宋体"/>
                <w:szCs w:val="21"/>
              </w:rPr>
              <w:t>负责人通过投标单位缴纳的载有社保部门公章的近三个月的个人社保证明（</w:t>
            </w:r>
            <w:r>
              <w:rPr>
                <w:rFonts w:hint="eastAsia" w:ascii="宋体" w:hAnsi="宋体" w:cs="宋体"/>
                <w:szCs w:val="21"/>
                <w:lang w:bidi="ar"/>
              </w:rPr>
              <w:t>社保证明资料应当至少包含养老保险、医疗保险、生育、工伤保险和失业保险，证明资料可为社保收缴部门盖章证明资料、社保窗口打印资料或社保官网截图。由于社保部门原因，最近一个月的社保证明无法提供的，可往前顺延一个月）</w:t>
            </w:r>
            <w:r>
              <w:rPr>
                <w:rFonts w:hint="eastAsia" w:ascii="宋体" w:hAnsi="宋体" w:cs="宋体"/>
                <w:szCs w:val="21"/>
              </w:rPr>
              <w:t>，如供应商为新成立单位且成立时间不足三个月的，可提供加盖公章的情况说明或者证明材料亦视为符合。如为退休返聘人员则提供劳动合同或返聘协议；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 提供职称证书，毕业证书（或学位证书）以及学信网查询记录，对于较早颁发的学历学位证书，学信网无法查询的，还需提供毕业院校或者人社部门或者教育部门出具的证明，否则无效；</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3.提供以上证明文件复印件或扫描件，如涉及网站截图或照片等证明材料,需提供清晰图片,均要求加盖投标人公章,原件备查。未按要求提供有效证明材料或提供不清晰导致评委无法识别的不计得分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hint="eastAsia" w:ascii="宋体" w:hAnsi="宋体" w:cs="宋体"/>
                <w:szCs w:val="21"/>
                <w:lang w:bidi="ar"/>
              </w:rPr>
              <w:t>拟安排的项目主要团队成员（主要技术人员）情况（项目技术负责人除外）</w:t>
            </w:r>
          </w:p>
        </w:tc>
        <w:tc>
          <w:tcPr>
            <w:tcW w:w="850" w:type="dxa"/>
            <w:tcBorders>
              <w:right w:val="single" w:color="auto" w:sz="4" w:space="0"/>
            </w:tcBorders>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ascii="宋体" w:hAnsi="宋体" w:cs="宋体"/>
                <w:szCs w:val="21"/>
                <w:lang w:bidi="ar"/>
              </w:rPr>
              <w:t>8</w:t>
            </w:r>
          </w:p>
        </w:tc>
        <w:tc>
          <w:tcPr>
            <w:tcW w:w="6261" w:type="dxa"/>
            <w:tcBorders>
              <w:left w:val="single" w:color="auto" w:sz="4" w:space="0"/>
              <w:right w:val="double" w:color="auto" w:sz="4" w:space="0"/>
            </w:tcBorders>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lang w:bidi="ar"/>
              </w:rPr>
            </w:pPr>
            <w:r>
              <w:rPr>
                <w:rFonts w:hint="eastAsia" w:ascii="宋体" w:hAnsi="宋体" w:cs="宋体"/>
                <w:szCs w:val="21"/>
                <w:lang w:bidi="ar"/>
              </w:rPr>
              <w:t>1.投标人承诺为本项目配备不少于</w:t>
            </w:r>
            <w:r>
              <w:rPr>
                <w:rFonts w:ascii="宋体" w:hAnsi="宋体" w:cs="宋体"/>
                <w:szCs w:val="21"/>
                <w:lang w:bidi="ar"/>
              </w:rPr>
              <w:t>8</w:t>
            </w:r>
            <w:r>
              <w:rPr>
                <w:rFonts w:hint="eastAsia" w:ascii="宋体" w:hAnsi="宋体" w:cs="宋体"/>
                <w:szCs w:val="21"/>
                <w:lang w:bidi="ar"/>
              </w:rPr>
              <w:t>人的技术支持团队（项目技术负责人除外）的，得</w:t>
            </w:r>
            <w:bookmarkStart w:id="9" w:name="_GoBack"/>
            <w:r>
              <w:rPr>
                <w:rFonts w:ascii="宋体" w:hAnsi="宋体" w:cs="宋体"/>
                <w:szCs w:val="21"/>
                <w:lang w:bidi="ar"/>
              </w:rPr>
              <w:t>2</w:t>
            </w:r>
            <w:bookmarkEnd w:id="9"/>
            <w:r>
              <w:rPr>
                <w:rFonts w:hint="eastAsia" w:ascii="宋体" w:hAnsi="宋体" w:cs="宋体"/>
                <w:szCs w:val="21"/>
                <w:lang w:bidi="ar"/>
              </w:rPr>
              <w:t>分【提供《承诺函》（格式自拟）】；</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lang w:bidi="ar"/>
              </w:rPr>
              <w:t>2.拟安排项目主要团队成员（项目技术负责人除外）为投标单位自有员工（以社保为准），否则该人员情况不计分。</w:t>
            </w:r>
            <w:r>
              <w:rPr>
                <w:rFonts w:hint="eastAsia" w:ascii="宋体" w:hAnsi="宋体"/>
                <w:szCs w:val="21"/>
              </w:rPr>
              <w:t>在此基础上，按以下标准评分：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1）项目团队中不少于2名具有高级统计师职称证书的人员，得1.8分，在此基础上，每增加一名具有高级统计师职称证书的人员加0.6分，本小项最高得3分。</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2）项目团队不少于2名具有本科或以上学历的人员，得1.8分，在此基础上，每增加一名具有本科或以上学历的人员加0.6分。本小项最高得3分。</w:t>
            </w:r>
          </w:p>
          <w:p>
            <w:pPr>
              <w:keepNext w:val="0"/>
              <w:keepLines w:val="0"/>
              <w:pageBreakBefore w:val="0"/>
              <w:tabs>
                <w:tab w:val="left" w:pos="562"/>
                <w:tab w:val="left" w:pos="3372"/>
                <w:tab w:val="left" w:pos="3653"/>
              </w:tabs>
              <w:kinsoku/>
              <w:overflowPunct/>
              <w:topLinePunct w:val="0"/>
              <w:bidi w:val="0"/>
              <w:spacing w:line="360" w:lineRule="auto"/>
              <w:textAlignment w:val="auto"/>
              <w:rPr>
                <w:rFonts w:ascii="宋体" w:hAnsi="宋体" w:cs="宋体"/>
                <w:szCs w:val="21"/>
              </w:rPr>
            </w:pPr>
            <w:r>
              <w:rPr>
                <w:rFonts w:hint="eastAsia" w:ascii="宋体" w:hAnsi="宋体" w:cs="宋体"/>
                <w:szCs w:val="21"/>
              </w:rPr>
              <w:t>以上同一人不重复计算。</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 提供项目团队成员通过投标单位缴纳的载有社保部门公章的近三个月的个人社保证明（</w:t>
            </w:r>
            <w:r>
              <w:rPr>
                <w:rFonts w:hint="eastAsia" w:ascii="宋体" w:hAnsi="宋体" w:cs="宋体"/>
                <w:szCs w:val="21"/>
                <w:lang w:bidi="ar"/>
              </w:rPr>
              <w:t>社保证明资料应当至少包含养老保险、医疗保险、生育、工伤保险和失业保险，证明资料可为社保收缴部门盖章证明资料、社保窗口打印资料或社保官网截图。由于社保部门原因，最近一个月的社保证明无法提供的，可往前顺延一个月）</w:t>
            </w:r>
            <w:r>
              <w:rPr>
                <w:rFonts w:hint="eastAsia" w:ascii="宋体" w:hAnsi="宋体" w:cs="宋体"/>
                <w:szCs w:val="21"/>
              </w:rPr>
              <w:t>，如供应商为新成立单位且成立时间不足三个月的，可提供加盖公章的情况说明或者证明材料亦视为符合。如为退休返聘人员则提供劳动合同或返聘协议；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2. 提供《承诺函》（格式自</w:t>
            </w:r>
            <w:r>
              <w:rPr>
                <w:rFonts w:hint="eastAsia" w:ascii="宋体" w:hAnsi="宋体" w:cs="宋体"/>
                <w:szCs w:val="21"/>
                <w:lang w:bidi="ar"/>
              </w:rPr>
              <w:t>拟</w:t>
            </w:r>
            <w:r>
              <w:rPr>
                <w:rFonts w:hint="eastAsia" w:ascii="宋体" w:hAnsi="宋体" w:cs="宋体"/>
                <w:szCs w:val="21"/>
              </w:rPr>
              <w:t>）；</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3.提供职称证书，毕业证书（或学位证书）以及学信网查询记录，对于较早颁发的学历学位证书，学信网无法查询的，还需提供毕业院校或者人社部门或者教育部门出具的证明，否则无效；</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4.提供以上证明文件复印件或扫描件，如涉及网站截图或照片等证明材料,需提供清晰图片,均要求加盖投标人公章,原件备查。未按要求提供有效证明材料或提供不清晰导致评委无法识别的不计得分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ascii="宋体" w:hAnsi="宋体" w:cs="宋体"/>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lang w:bidi="ar"/>
              </w:rPr>
            </w:pPr>
            <w:r>
              <w:rPr>
                <w:rFonts w:hint="eastAsia" w:ascii="宋体" w:hAnsi="宋体" w:cs="宋体"/>
                <w:szCs w:val="21"/>
              </w:rPr>
              <w:t>供应商自主知识产权产品（创新、设计）情况</w:t>
            </w:r>
          </w:p>
        </w:tc>
        <w:tc>
          <w:tcPr>
            <w:tcW w:w="850" w:type="dxa"/>
            <w:tcBorders>
              <w:right w:val="single" w:color="auto" w:sz="4" w:space="0"/>
            </w:tcBorders>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lang w:bidi="ar"/>
              </w:rPr>
            </w:pPr>
            <w:r>
              <w:rPr>
                <w:rFonts w:hint="eastAsia" w:ascii="宋体" w:hAnsi="宋体" w:cs="宋体"/>
                <w:szCs w:val="21"/>
              </w:rPr>
              <w:t>8</w:t>
            </w:r>
          </w:p>
        </w:tc>
        <w:tc>
          <w:tcPr>
            <w:tcW w:w="6261" w:type="dxa"/>
            <w:tcBorders>
              <w:left w:val="single" w:color="auto" w:sz="4" w:space="0"/>
              <w:right w:val="double" w:color="auto" w:sz="4" w:space="0"/>
            </w:tcBorders>
          </w:tcPr>
          <w:p>
            <w:pPr>
              <w:keepNext w:val="0"/>
              <w:keepLines w:val="0"/>
              <w:pageBreakBefore w:val="0"/>
              <w:kinsoku/>
              <w:overflowPunct/>
              <w:topLinePunct w:val="0"/>
              <w:bidi w:val="0"/>
              <w:spacing w:line="360" w:lineRule="auto"/>
              <w:textAlignment w:val="auto"/>
              <w:rPr>
                <w:rFonts w:ascii="宋体" w:hAnsi="宋体" w:cs="宋体"/>
                <w:b/>
                <w:bCs/>
                <w:szCs w:val="21"/>
              </w:rPr>
            </w:pPr>
            <w:r>
              <w:rPr>
                <w:rFonts w:hint="eastAsia" w:ascii="宋体" w:hAnsi="宋体" w:cs="宋体"/>
                <w:b/>
                <w:bCs/>
                <w:szCs w:val="21"/>
              </w:rPr>
              <w:t>评审内容：</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至本项目投标截止日前，投标人具有</w:t>
            </w:r>
            <w:r>
              <w:rPr>
                <w:rFonts w:hint="eastAsia"/>
              </w:rPr>
              <w:t>数据采集类或</w:t>
            </w:r>
            <w:r>
              <w:rPr>
                <w:rFonts w:hint="eastAsia" w:ascii="宋体" w:hAnsi="宋体" w:cs="宋体"/>
                <w:szCs w:val="21"/>
              </w:rPr>
              <w:t>数据审核</w:t>
            </w:r>
            <w:r>
              <w:rPr>
                <w:rFonts w:hint="eastAsia"/>
              </w:rPr>
              <w:t>类</w:t>
            </w:r>
            <w:r>
              <w:rPr>
                <w:rFonts w:hint="eastAsia" w:ascii="宋体" w:hAnsi="宋体" w:cs="宋体"/>
                <w:szCs w:val="21"/>
              </w:rPr>
              <w:t>或数据质量</w:t>
            </w:r>
            <w:r>
              <w:rPr>
                <w:rFonts w:hint="eastAsia"/>
              </w:rPr>
              <w:t>类</w:t>
            </w:r>
            <w:r>
              <w:rPr>
                <w:rFonts w:hint="eastAsia" w:ascii="宋体" w:hAnsi="宋体" w:cs="宋体"/>
                <w:szCs w:val="21"/>
              </w:rPr>
              <w:t>或数据处理</w:t>
            </w:r>
            <w:r>
              <w:rPr>
                <w:rFonts w:hint="eastAsia"/>
              </w:rPr>
              <w:t>类</w:t>
            </w:r>
            <w:r>
              <w:rPr>
                <w:rFonts w:hint="eastAsia" w:ascii="宋体" w:hAnsi="宋体" w:cs="宋体"/>
                <w:szCs w:val="21"/>
              </w:rPr>
              <w:t>的专利证书，每提供1个得4分，最高得8分。</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cs="宋体"/>
                <w:szCs w:val="21"/>
              </w:rPr>
            </w:pPr>
            <w:r>
              <w:rPr>
                <w:rFonts w:hint="eastAsia" w:ascii="宋体" w:hAnsi="宋体" w:cs="宋体"/>
                <w:szCs w:val="21"/>
              </w:rPr>
              <w:t>1.要求提供有效的产权（专利）证书作为得分依据；</w:t>
            </w:r>
          </w:p>
          <w:p>
            <w:pPr>
              <w:keepNext w:val="0"/>
              <w:keepLines w:val="0"/>
              <w:pageBreakBefore w:val="0"/>
              <w:kinsoku/>
              <w:overflowPunct/>
              <w:topLinePunct w:val="0"/>
              <w:bidi w:val="0"/>
              <w:spacing w:line="360" w:lineRule="auto"/>
              <w:jc w:val="left"/>
              <w:textAlignment w:val="auto"/>
              <w:rPr>
                <w:rFonts w:ascii="宋体" w:hAnsi="宋体" w:cs="宋体"/>
                <w:szCs w:val="21"/>
                <w:lang w:bidi="ar"/>
              </w:rPr>
            </w:pPr>
            <w:r>
              <w:rPr>
                <w:rFonts w:hint="eastAsia" w:ascii="宋体" w:hAnsi="宋体" w:cs="宋体"/>
                <w:szCs w:val="21"/>
              </w:rPr>
              <w:t>2. 提供以上证明文件复印件或扫描件，如涉及网站截图或照片等证明材料,需提供清晰图片,均要求加盖投标人公章,原件备查。未按要求提供有效证明材料或提供不清晰导致评委无法识别的不计得分。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lang w:bidi="ar"/>
              </w:rPr>
            </w:pPr>
            <w:r>
              <w:rPr>
                <w:rFonts w:hint="eastAsia" w:ascii="宋体" w:hAnsi="宋体" w:cs="宋体"/>
                <w:szCs w:val="21"/>
              </w:rPr>
              <w:t>服务网点</w:t>
            </w:r>
          </w:p>
        </w:tc>
        <w:tc>
          <w:tcPr>
            <w:tcW w:w="850" w:type="dxa"/>
            <w:tcBorders>
              <w:right w:val="single" w:color="auto" w:sz="4" w:space="0"/>
            </w:tcBorders>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lang w:bidi="ar"/>
              </w:rPr>
            </w:pPr>
            <w:r>
              <w:rPr>
                <w:rFonts w:hint="eastAsia" w:ascii="宋体" w:hAnsi="宋体" w:cs="宋体"/>
                <w:szCs w:val="21"/>
              </w:rPr>
              <w:t>3</w:t>
            </w:r>
          </w:p>
        </w:tc>
        <w:tc>
          <w:tcPr>
            <w:tcW w:w="6261" w:type="dxa"/>
            <w:tcBorders>
              <w:left w:val="single" w:color="auto" w:sz="4" w:space="0"/>
              <w:right w:val="double" w:color="auto" w:sz="4" w:space="0"/>
            </w:tcBorders>
          </w:tcPr>
          <w:p>
            <w:pPr>
              <w:pStyle w:val="46"/>
              <w:keepNext w:val="0"/>
              <w:keepLines w:val="0"/>
              <w:pageBreakBefore w:val="0"/>
              <w:kinsoku/>
              <w:overflowPunct/>
              <w:topLinePunct w:val="0"/>
              <w:bidi w:val="0"/>
              <w:spacing w:line="360" w:lineRule="auto"/>
              <w:ind w:firstLine="0" w:firstLineChars="0"/>
              <w:textAlignment w:val="auto"/>
              <w:rPr>
                <w:rFonts w:ascii="宋体" w:hAnsi="宋体"/>
                <w:b/>
                <w:bCs/>
              </w:rPr>
            </w:pPr>
            <w:r>
              <w:rPr>
                <w:rFonts w:hint="eastAsia" w:ascii="宋体" w:hAnsi="宋体"/>
                <w:b/>
                <w:bCs/>
              </w:rPr>
              <w:t>评审内容：</w:t>
            </w:r>
          </w:p>
          <w:p>
            <w:pPr>
              <w:pStyle w:val="46"/>
              <w:keepNext w:val="0"/>
              <w:keepLines w:val="0"/>
              <w:pageBreakBefore w:val="0"/>
              <w:kinsoku/>
              <w:overflowPunct/>
              <w:topLinePunct w:val="0"/>
              <w:bidi w:val="0"/>
              <w:spacing w:line="360" w:lineRule="auto"/>
              <w:ind w:firstLine="0" w:firstLineChars="0"/>
              <w:textAlignment w:val="auto"/>
              <w:rPr>
                <w:rFonts w:ascii="宋体" w:hAnsi="宋体"/>
              </w:rPr>
            </w:pPr>
            <w:r>
              <w:rPr>
                <w:rFonts w:hint="eastAsia" w:ascii="宋体" w:hAnsi="宋体"/>
              </w:rPr>
              <w:t>投标人</w:t>
            </w:r>
            <w:r>
              <w:rPr>
                <w:rFonts w:hint="eastAsia" w:asciiTheme="minorEastAsia" w:hAnsiTheme="minorEastAsia" w:eastAsiaTheme="minorEastAsia"/>
              </w:rPr>
              <w:t>承诺中标后提供本地服务网点的，得</w:t>
            </w:r>
            <w:r>
              <w:rPr>
                <w:rFonts w:asciiTheme="minorEastAsia" w:hAnsiTheme="minorEastAsia" w:eastAsiaTheme="minorEastAsia"/>
              </w:rPr>
              <w:t>3</w:t>
            </w:r>
            <w:r>
              <w:rPr>
                <w:rFonts w:hint="eastAsia" w:asciiTheme="minorEastAsia" w:hAnsiTheme="minorEastAsia" w:eastAsiaTheme="minorEastAsia"/>
              </w:rPr>
              <w:t>分</w:t>
            </w:r>
            <w:r>
              <w:rPr>
                <w:rFonts w:hint="eastAsia" w:ascii="宋体" w:hAnsi="宋体"/>
              </w:rPr>
              <w:t>。</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keepNext w:val="0"/>
              <w:keepLines w:val="0"/>
              <w:pageBreakBefore w:val="0"/>
              <w:kinsoku/>
              <w:overflowPunct/>
              <w:topLinePunct w:val="0"/>
              <w:bidi w:val="0"/>
              <w:spacing w:line="360" w:lineRule="auto"/>
              <w:jc w:val="left"/>
              <w:textAlignment w:val="auto"/>
              <w:rPr>
                <w:rFonts w:ascii="宋体" w:hAnsi="宋体" w:cs="宋体"/>
                <w:szCs w:val="21"/>
                <w:lang w:bidi="ar"/>
              </w:rPr>
            </w:pPr>
            <w:r>
              <w:rPr>
                <w:rFonts w:hint="eastAsia" w:ascii="宋体" w:hAnsi="宋体"/>
                <w:szCs w:val="21"/>
              </w:rPr>
              <w:t>提供承诺函（格式自拟），未提供的不得分。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keepNext w:val="0"/>
              <w:keepLines w:val="0"/>
              <w:pageBreakBefore w:val="0"/>
              <w:kinsoku/>
              <w:overflowPunct/>
              <w:topLinePunct w:val="0"/>
              <w:bidi w:val="0"/>
              <w:adjustRightInd w:val="0"/>
              <w:spacing w:line="360" w:lineRule="auto"/>
              <w:jc w:val="center"/>
              <w:textAlignment w:val="auto"/>
              <w:rPr>
                <w:rFonts w:ascii="宋体" w:hAnsi="宋体" w:cs="宋体"/>
                <w:snapToGrid w:val="0"/>
                <w:kern w:val="0"/>
                <w:szCs w:val="21"/>
              </w:rPr>
            </w:pPr>
          </w:p>
        </w:tc>
        <w:tc>
          <w:tcPr>
            <w:tcW w:w="1144" w:type="dxa"/>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zCs w:val="21"/>
              </w:rPr>
            </w:pPr>
            <w:r>
              <w:rPr>
                <w:rFonts w:hint="eastAsia" w:ascii="宋体" w:hAnsi="宋体" w:cs="宋体"/>
                <w:szCs w:val="21"/>
              </w:rPr>
              <w:t>诚信情况</w:t>
            </w:r>
          </w:p>
        </w:tc>
        <w:tc>
          <w:tcPr>
            <w:tcW w:w="850" w:type="dxa"/>
            <w:tcBorders>
              <w:right w:val="single" w:color="auto" w:sz="4" w:space="0"/>
            </w:tcBorders>
            <w:vAlign w:val="center"/>
          </w:tcPr>
          <w:p>
            <w:pPr>
              <w:keepNext w:val="0"/>
              <w:keepLines w:val="0"/>
              <w:pageBreakBefore w:val="0"/>
              <w:kinsoku/>
              <w:wordWrap w:val="0"/>
              <w:overflowPunct/>
              <w:topLinePunct w:val="0"/>
              <w:bidi w:val="0"/>
              <w:spacing w:line="360" w:lineRule="auto"/>
              <w:jc w:val="center"/>
              <w:textAlignment w:val="auto"/>
              <w:rPr>
                <w:rFonts w:ascii="宋体" w:hAnsi="宋体" w:cs="宋体"/>
                <w:snapToGrid w:val="0"/>
                <w:kern w:val="0"/>
                <w:szCs w:val="21"/>
              </w:rPr>
            </w:pPr>
            <w:r>
              <w:rPr>
                <w:rFonts w:hint="eastAsia" w:ascii="宋体" w:hAnsi="宋体" w:cs="宋体"/>
                <w:szCs w:val="21"/>
              </w:rPr>
              <w:t>5</w:t>
            </w:r>
          </w:p>
        </w:tc>
        <w:tc>
          <w:tcPr>
            <w:tcW w:w="6261" w:type="dxa"/>
            <w:tcBorders>
              <w:left w:val="single" w:color="auto" w:sz="4" w:space="0"/>
              <w:right w:val="double" w:color="auto" w:sz="4" w:space="0"/>
            </w:tcBorders>
            <w:shd w:val="clear" w:color="auto" w:fill="auto"/>
          </w:tcPr>
          <w:p>
            <w:pPr>
              <w:pStyle w:val="46"/>
              <w:keepNext w:val="0"/>
              <w:keepLines w:val="0"/>
              <w:pageBreakBefore w:val="0"/>
              <w:kinsoku/>
              <w:overflowPunct/>
              <w:topLinePunct w:val="0"/>
              <w:bidi w:val="0"/>
              <w:spacing w:line="360" w:lineRule="auto"/>
              <w:ind w:firstLine="0" w:firstLineChars="0"/>
              <w:textAlignment w:val="auto"/>
              <w:rPr>
                <w:rFonts w:ascii="宋体" w:hAnsi="宋体"/>
                <w:b/>
                <w:bCs/>
              </w:rPr>
            </w:pPr>
            <w:r>
              <w:rPr>
                <w:rFonts w:hint="eastAsia" w:ascii="宋体" w:hAnsi="宋体"/>
                <w:b/>
                <w:bCs/>
              </w:rPr>
              <w:t>评审内容：</w:t>
            </w:r>
          </w:p>
          <w:p>
            <w:pPr>
              <w:keepNext w:val="0"/>
              <w:keepLines w:val="0"/>
              <w:pageBreakBefore w:val="0"/>
              <w:kinsoku/>
              <w:overflowPunct/>
              <w:topLinePunct w:val="0"/>
              <w:bidi w:val="0"/>
              <w:adjustRightInd w:val="0"/>
              <w:snapToGrid w:val="0"/>
              <w:spacing w:line="360" w:lineRule="auto"/>
              <w:textAlignment w:val="auto"/>
              <w:rPr>
                <w:rFonts w:ascii="宋体" w:hAnsi="宋体" w:cs="宋体"/>
                <w:szCs w:val="21"/>
              </w:rPr>
            </w:pPr>
            <w:r>
              <w:rPr>
                <w:rFonts w:hint="eastAsia" w:ascii="宋体" w:hAnsi="宋体" w:cs="宋体"/>
                <w:szCs w:val="21"/>
              </w:rPr>
              <w:t>投标人参与政府采购活动在诚信管理中受过主管部门通报处理且仍在实施期限内的本项不得分，</w:t>
            </w:r>
            <w:r>
              <w:rPr>
                <w:rFonts w:hint="eastAsia" w:asciiTheme="minorEastAsia" w:hAnsiTheme="minorEastAsia" w:eastAsiaTheme="minorEastAsia"/>
                <w:kern w:val="0"/>
                <w:szCs w:val="21"/>
              </w:rPr>
              <w:t>否则得5分</w:t>
            </w:r>
            <w:r>
              <w:rPr>
                <w:rFonts w:hint="eastAsia" w:ascii="宋体" w:hAnsi="宋体" w:cs="宋体"/>
                <w:szCs w:val="21"/>
              </w:rPr>
              <w:t>。</w:t>
            </w:r>
          </w:p>
          <w:p>
            <w:pPr>
              <w:keepNext w:val="0"/>
              <w:keepLines w:val="0"/>
              <w:pageBreakBefore w:val="0"/>
              <w:kinsoku/>
              <w:overflowPunct/>
              <w:topLinePunct w:val="0"/>
              <w:autoSpaceDE w:val="0"/>
              <w:autoSpaceDN w:val="0"/>
              <w:bidi w:val="0"/>
              <w:adjustRightInd w:val="0"/>
              <w:spacing w:line="360" w:lineRule="auto"/>
              <w:jc w:val="left"/>
              <w:textAlignment w:val="auto"/>
              <w:rPr>
                <w:rFonts w:ascii="宋体" w:hAnsi="宋体"/>
                <w:b/>
                <w:bCs/>
                <w:kern w:val="0"/>
                <w:szCs w:val="21"/>
              </w:rPr>
            </w:pPr>
            <w:r>
              <w:rPr>
                <w:rFonts w:hint="eastAsia" w:ascii="宋体" w:hAnsi="宋体"/>
                <w:b/>
                <w:bCs/>
                <w:kern w:val="0"/>
                <w:szCs w:val="21"/>
              </w:rPr>
              <w:t>评分依据：</w:t>
            </w:r>
          </w:p>
          <w:p>
            <w:pPr>
              <w:pStyle w:val="11"/>
              <w:keepNext w:val="0"/>
              <w:keepLines w:val="0"/>
              <w:pageBreakBefore w:val="0"/>
              <w:kinsoku/>
              <w:wordWrap w:val="0"/>
              <w:overflowPunct/>
              <w:topLinePunct w:val="0"/>
              <w:bidi w:val="0"/>
              <w:spacing w:line="360" w:lineRule="auto"/>
              <w:textAlignment w:val="auto"/>
              <w:rPr>
                <w:rFonts w:ascii="宋体" w:hAnsi="宋体" w:cs="宋体"/>
                <w:szCs w:val="21"/>
              </w:rPr>
            </w:pPr>
            <w:r>
              <w:rPr>
                <w:rFonts w:hint="eastAsia" w:ascii="宋体" w:hAnsi="宋体" w:cs="宋体"/>
                <w:bCs/>
                <w:kern w:val="0"/>
                <w:szCs w:val="21"/>
              </w:rPr>
              <w:t>按招标文件格式如实提供</w:t>
            </w:r>
            <w:r>
              <w:rPr>
                <w:rFonts w:hint="eastAsia" w:ascii="宋体" w:hAnsi="宋体" w:cs="宋体"/>
                <w:szCs w:val="21"/>
              </w:rPr>
              <w:t>《诚信承诺函》</w:t>
            </w:r>
            <w:r>
              <w:rPr>
                <w:rFonts w:hint="eastAsia" w:ascii="宋体" w:hAnsi="宋体" w:cs="宋体"/>
                <w:bCs/>
                <w:kern w:val="0"/>
                <w:szCs w:val="21"/>
              </w:rPr>
              <w:t>原件加盖投标人公章，且承诺函格式及内容不得修改，否则不得分</w:t>
            </w:r>
            <w:r>
              <w:rPr>
                <w:rFonts w:hint="eastAsia" w:ascii="宋体" w:hAnsi="宋体" w:cs="宋体"/>
                <w:szCs w:val="21"/>
              </w:rPr>
              <w:t>。</w:t>
            </w:r>
            <w:r>
              <w:rPr>
                <w:rFonts w:hint="eastAsia" w:ascii="宋体" w:hAnsi="宋体" w:cs="宋体"/>
                <w:bCs/>
                <w:kern w:val="0"/>
                <w:szCs w:val="21"/>
              </w:rPr>
              <w:t>如若投标人承诺与实际情况不相符，将按虚假应标报相关主管部门处理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left w:val="double" w:color="auto" w:sz="4" w:space="0"/>
              <w:bottom w:val="double" w:color="auto" w:sz="4" w:space="0"/>
            </w:tcBorders>
            <w:vAlign w:val="center"/>
          </w:tcPr>
          <w:p>
            <w:pPr>
              <w:keepNext w:val="0"/>
              <w:keepLines w:val="0"/>
              <w:pageBreakBefore w:val="0"/>
              <w:kinsoku/>
              <w:overflowPunct/>
              <w:topLinePunct w:val="0"/>
              <w:bidi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总得分（N）</w:t>
            </w:r>
          </w:p>
          <w:p>
            <w:pPr>
              <w:keepNext w:val="0"/>
              <w:keepLines w:val="0"/>
              <w:pageBreakBefore w:val="0"/>
              <w:kinsoku/>
              <w:overflowPunct/>
              <w:topLinePunct w:val="0"/>
              <w:bidi w:val="0"/>
              <w:adjustRightInd w:val="0"/>
              <w:snapToGri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（总分100分）</w:t>
            </w:r>
          </w:p>
        </w:tc>
        <w:tc>
          <w:tcPr>
            <w:tcW w:w="1144" w:type="dxa"/>
            <w:tcBorders>
              <w:bottom w:val="double" w:color="auto" w:sz="4" w:space="0"/>
            </w:tcBorders>
            <w:vAlign w:val="center"/>
          </w:tcPr>
          <w:p>
            <w:pPr>
              <w:keepNext w:val="0"/>
              <w:keepLines w:val="0"/>
              <w:pageBreakBefore w:val="0"/>
              <w:kinsoku/>
              <w:overflowPunct/>
              <w:topLinePunct w:val="0"/>
              <w:bidi w:val="0"/>
              <w:adjustRightInd w:val="0"/>
              <w:snapToGrid w:val="0"/>
              <w:spacing w:line="360" w:lineRule="auto"/>
              <w:jc w:val="center"/>
              <w:textAlignment w:val="auto"/>
              <w:rPr>
                <w:rFonts w:ascii="宋体" w:hAnsi="宋体" w:cs="宋体"/>
                <w:snapToGrid w:val="0"/>
                <w:kern w:val="0"/>
                <w:szCs w:val="21"/>
              </w:rPr>
            </w:pPr>
          </w:p>
        </w:tc>
        <w:tc>
          <w:tcPr>
            <w:tcW w:w="850" w:type="dxa"/>
            <w:tcBorders>
              <w:bottom w:val="double" w:color="auto" w:sz="4" w:space="0"/>
            </w:tcBorders>
            <w:vAlign w:val="center"/>
          </w:tcPr>
          <w:p>
            <w:pPr>
              <w:keepNext w:val="0"/>
              <w:keepLines w:val="0"/>
              <w:pageBreakBefore w:val="0"/>
              <w:kinsoku/>
              <w:overflowPunct/>
              <w:topLinePunct w:val="0"/>
              <w:bidi w:val="0"/>
              <w:adjustRightInd w:val="0"/>
              <w:snapToGrid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100</w:t>
            </w:r>
          </w:p>
        </w:tc>
        <w:tc>
          <w:tcPr>
            <w:tcW w:w="6261" w:type="dxa"/>
            <w:tcBorders>
              <w:bottom w:val="double" w:color="auto" w:sz="4" w:space="0"/>
              <w:right w:val="double" w:color="auto" w:sz="4" w:space="0"/>
            </w:tcBorders>
            <w:vAlign w:val="center"/>
          </w:tcPr>
          <w:p>
            <w:pPr>
              <w:keepNext w:val="0"/>
              <w:keepLines w:val="0"/>
              <w:pageBreakBefore w:val="0"/>
              <w:kinsoku/>
              <w:overflowPunct/>
              <w:topLinePunct w:val="0"/>
              <w:bidi w:val="0"/>
              <w:spacing w:line="360" w:lineRule="auto"/>
              <w:jc w:val="center"/>
              <w:textAlignment w:val="auto"/>
              <w:rPr>
                <w:rFonts w:ascii="宋体" w:hAnsi="宋体" w:cs="宋体"/>
                <w:snapToGrid w:val="0"/>
                <w:kern w:val="0"/>
                <w:szCs w:val="21"/>
              </w:rPr>
            </w:pPr>
            <w:r>
              <w:rPr>
                <w:rFonts w:hint="eastAsia" w:ascii="宋体" w:hAnsi="宋体" w:cs="宋体"/>
                <w:snapToGrid w:val="0"/>
                <w:kern w:val="0"/>
                <w:szCs w:val="21"/>
              </w:rPr>
              <w:t>N=J+G+S</w:t>
            </w:r>
          </w:p>
        </w:tc>
      </w:tr>
    </w:tbl>
    <w:p>
      <w:pPr>
        <w:widowControl/>
        <w:jc w:val="left"/>
        <w:rPr>
          <w:rFonts w:cs="仿宋" w:asciiTheme="minorEastAsia" w:hAnsiTheme="minorEastAsia" w:eastAsiaTheme="minorEastAsia"/>
          <w:color w:val="FF0000"/>
          <w:sz w:val="28"/>
          <w:szCs w:val="28"/>
        </w:rPr>
      </w:pPr>
    </w:p>
    <w:p>
      <w:pPr>
        <w:widowControl/>
        <w:jc w:val="left"/>
        <w:rPr>
          <w:rFonts w:cs="仿宋" w:asciiTheme="minorEastAsia" w:hAnsiTheme="minorEastAsia" w:eastAsiaTheme="minorEastAsia"/>
          <w:color w:val="FF0000"/>
          <w:sz w:val="28"/>
          <w:szCs w:val="28"/>
        </w:rPr>
      </w:pPr>
      <w:r>
        <w:rPr>
          <w:rFonts w:hint="eastAsia" w:cs="仿宋" w:asciiTheme="minorEastAsia" w:hAnsiTheme="minorEastAsia" w:eastAsiaTheme="minorEastAsia"/>
          <w:color w:val="FF0000"/>
          <w:sz w:val="28"/>
          <w:szCs w:val="28"/>
        </w:rPr>
        <w:t>注：</w:t>
      </w:r>
    </w:p>
    <w:p>
      <w:pPr>
        <w:widowControl/>
        <w:spacing w:line="360" w:lineRule="auto"/>
        <w:jc w:val="center"/>
        <w:rPr>
          <w:rFonts w:cs="仿宋" w:asciiTheme="minorEastAsia" w:hAnsiTheme="minorEastAsia" w:eastAsiaTheme="minorEastAsia"/>
          <w:b/>
          <w:bCs/>
          <w:sz w:val="28"/>
        </w:rPr>
      </w:pPr>
      <w:r>
        <w:rPr>
          <w:rFonts w:hint="eastAsia" w:cs="仿宋" w:asciiTheme="minorEastAsia" w:hAnsiTheme="minorEastAsia" w:eastAsiaTheme="minorEastAsia"/>
          <w:b/>
          <w:bCs/>
          <w:sz w:val="28"/>
        </w:rPr>
        <w:t>政府采购优惠政策</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（1）根据《财政部 工业和信息化部关于印发《政府采购促进中小企业发展管理办法》的通知》(财库〔2020〕46号)、《财政部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其投标报价扣除</w:t>
      </w:r>
      <w:r>
        <w:rPr>
          <w:rFonts w:hint="eastAsia" w:cs="仿宋" w:asciiTheme="minorEastAsia" w:hAnsiTheme="minorEastAsia" w:eastAsiaTheme="minorEastAsia"/>
          <w:szCs w:val="21"/>
          <w:u w:val="single"/>
        </w:rPr>
        <w:t xml:space="preserve"> 10 </w:t>
      </w:r>
      <w:r>
        <w:rPr>
          <w:rFonts w:hint="eastAsia" w:cs="仿宋" w:asciiTheme="minorEastAsia" w:hAnsiTheme="minorEastAsia" w:eastAsiaTheme="minorEastAsia"/>
          <w:szCs w:val="21"/>
        </w:rPr>
        <w:t>%（请在10%-20%范围内选择）后参与评审。对于同时属于小微企业、监狱企业或残疾人福利性单位的，不重复进行投标报价扣除。</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本项目所属行业为</w:t>
      </w:r>
      <w:r>
        <w:rPr>
          <w:rFonts w:hint="eastAsia" w:cs="仿宋" w:asciiTheme="minorEastAsia" w:hAnsiTheme="minorEastAsia" w:eastAsiaTheme="minorEastAsia"/>
          <w:szCs w:val="21"/>
          <w:u w:val="single"/>
        </w:rPr>
        <w:t xml:space="preserve">  其他未列明行业  </w:t>
      </w:r>
      <w:r>
        <w:rPr>
          <w:rFonts w:hint="eastAsia" w:cs="仿宋" w:asciiTheme="minorEastAsia" w:hAnsiTheme="minorEastAsia" w:eastAsiaTheme="minorEastAsia"/>
          <w:szCs w:val="21"/>
        </w:rPr>
        <w:t>，投标人应根据《工业和信息化部、国家统计局、国家发展和改革委员会、财政部关于印发中小企业划型标准规定的通知》(工信部联企业〔2011〕300号)规定的中小企业划型标准填写《中小企业声明函》。</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（2）联合协议中约定，小型、微型企业的协议合同金额占到联合体协议合同总金额30%以上的，可给予联合体__/__% （请在2%-3%范围内选择）的价格扣除。</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联合体各方均为小型、微型企业、监狱企业和残疾人福利性单位的，联合体视同为小型、微型企业、监狱企业和残疾人福利性单位，均享受政府采购优惠政策第一款的优惠政策。</w:t>
      </w:r>
    </w:p>
    <w:p>
      <w:pPr>
        <w:widowControl/>
        <w:spacing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3）优惠主体资格的认定资料为《中小企业声明函》、《残疾人福利性单位声明函》以及《监狱企业声明函》等承诺性质的资料（格式详见招标文件第三章）；监狱企业或者代理提供监狱企业货物的投标人如需享受优惠政策，除上述资料外，还须提供省级以上监狱管理局、戒毒管理局出具的监狱企业证明文件。</w:t>
      </w:r>
    </w:p>
    <w:p>
      <w:pPr>
        <w:spacing w:line="360" w:lineRule="auto"/>
        <w:ind w:firstLine="405" w:firstLineChars="193"/>
        <w:jc w:val="left"/>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4）投标产品属于《关于调整优化节能产品环境标志产品政府采购执行机制的通知》（财库〔2019〕9号）、《关于印发环境标志产品政府采购品目清单的通知》（财库〔2019〕18号）和《关于印发节能产品政府采购品目清单的通知》（财库〔2019〕19号）品目清单范围内的，应依据国家确定的认证机构出具的、处于有效期之内的节能产品、环境标志产品认证证书，对获得证书的产品实施政府优先采购或强制采购。对符合条件的获证产品（强制采购产品除外），根据该投标产品报价给予</w:t>
      </w:r>
      <w:r>
        <w:rPr>
          <w:rFonts w:hint="eastAsia" w:cs="仿宋" w:asciiTheme="minorEastAsia" w:hAnsiTheme="minorEastAsia" w:eastAsiaTheme="minorEastAsia"/>
          <w:szCs w:val="21"/>
          <w:u w:val="single"/>
        </w:rPr>
        <w:t xml:space="preserve"> 1 </w:t>
      </w:r>
      <w:r>
        <w:rPr>
          <w:rFonts w:hint="eastAsia" w:cs="仿宋" w:asciiTheme="minorEastAsia" w:hAnsiTheme="minorEastAsia" w:eastAsiaTheme="minorEastAsia"/>
          <w:szCs w:val="21"/>
        </w:rPr>
        <w:t>%的价格扣除，用扣除后的价格参与价格分的评审（需按投标文件格式部分“列入政府优先采购清单的投标产品一览表”的要求提供证明材料，否则不予价格扣除）。</w:t>
      </w: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pStyle w:val="16"/>
        <w:rPr>
          <w:rFonts w:cs="仿宋" w:asciiTheme="minorEastAsia" w:hAnsiTheme="minorEastAsia" w:eastAsiaTheme="minorEastAsia"/>
          <w:b/>
          <w:bCs/>
          <w:snapToGrid w:val="0"/>
          <w:kern w:val="0"/>
          <w:sz w:val="56"/>
          <w:szCs w:val="96"/>
        </w:rPr>
      </w:pPr>
    </w:p>
    <w:p>
      <w:pPr>
        <w:adjustRightInd w:val="0"/>
        <w:snapToGrid w:val="0"/>
        <w:spacing w:line="300" w:lineRule="auto"/>
        <w:jc w:val="center"/>
        <w:rPr>
          <w:rFonts w:cs="仿宋" w:asciiTheme="minorEastAsia" w:hAnsiTheme="minorEastAsia" w:eastAsiaTheme="minorEastAsia"/>
          <w:b/>
          <w:bCs/>
          <w:snapToGrid w:val="0"/>
          <w:kern w:val="0"/>
          <w:sz w:val="56"/>
          <w:szCs w:val="96"/>
        </w:rPr>
      </w:pPr>
      <w:r>
        <w:rPr>
          <w:rFonts w:hint="eastAsia" w:cs="仿宋" w:asciiTheme="minorEastAsia" w:hAnsiTheme="minorEastAsia" w:eastAsiaTheme="minorEastAsia"/>
          <w:b/>
          <w:bCs/>
          <w:snapToGrid w:val="0"/>
          <w:kern w:val="0"/>
          <w:sz w:val="56"/>
          <w:szCs w:val="96"/>
        </w:rPr>
        <w:t>第二部分</w:t>
      </w:r>
    </w:p>
    <w:p>
      <w:pPr>
        <w:jc w:val="center"/>
        <w:rPr>
          <w:rFonts w:cs="仿宋" w:asciiTheme="minorEastAsia" w:hAnsiTheme="minorEastAsia" w:eastAsiaTheme="minorEastAsia"/>
          <w:b/>
          <w:bCs/>
          <w:snapToGrid w:val="0"/>
          <w:kern w:val="0"/>
          <w:sz w:val="56"/>
          <w:szCs w:val="96"/>
        </w:rPr>
      </w:pPr>
      <w:r>
        <w:rPr>
          <w:rFonts w:hint="eastAsia" w:cs="仿宋" w:asciiTheme="minorEastAsia" w:hAnsiTheme="minorEastAsia" w:eastAsiaTheme="minorEastAsia"/>
          <w:b/>
          <w:bCs/>
          <w:snapToGrid w:val="0"/>
          <w:kern w:val="0"/>
          <w:sz w:val="56"/>
          <w:szCs w:val="96"/>
        </w:rPr>
        <w:t>采购项目需求</w:t>
      </w:r>
    </w:p>
    <w:p>
      <w:pPr>
        <w:widowControl/>
        <w:jc w:val="left"/>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br w:type="page"/>
      </w:r>
    </w:p>
    <w:p>
      <w:pPr>
        <w:spacing w:after="156" w:afterLines="50" w:line="360" w:lineRule="auto"/>
        <w:ind w:left="2"/>
        <w:jc w:val="center"/>
        <w:rPr>
          <w:rFonts w:ascii="宋体" w:hAnsi="宋体"/>
          <w:sz w:val="28"/>
          <w:szCs w:val="28"/>
        </w:rPr>
      </w:pPr>
      <w:r>
        <w:rPr>
          <w:rFonts w:hint="eastAsia" w:ascii="宋体" w:hAnsi="宋体"/>
          <w:b/>
          <w:bCs/>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1、采购项目需求中所出现的工艺、材料、设备或参照的品牌等仅为方便描述而没有限制性，投标人可以在其提供的文件资料中选用替代标准，但这些替代标准要优于或相当于采购项目需求中要求的标准。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采购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3、技术参数设置为区间要求的（例如：潮气量：</w:t>
      </w:r>
      <w:r>
        <w:rPr>
          <w:rFonts w:ascii="仿宋_GB2312" w:eastAsia="仿宋_GB2312"/>
          <w:sz w:val="24"/>
        </w:rPr>
        <w:t>0-2000ML</w:t>
      </w:r>
      <w:r>
        <w:rPr>
          <w:rFonts w:hint="eastAsia" w:ascii="仿宋_GB2312" w:eastAsia="仿宋_GB2312"/>
          <w:sz w:val="24"/>
        </w:rPr>
        <w:t>），投标产品参数区间与征集要求不完全一致的均视为负偏离。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5、加注▲的条款为重要条款要求，如不满足将按照第一部分“评审信息”进行扣分。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highlight w:val="yellow"/>
        </w:rPr>
        <w:t>6、加注★的条款为不可负偏离条款，任一项未响应或不满足要求的，将导致投标无效。</w:t>
      </w:r>
    </w:p>
    <w:p>
      <w:pPr>
        <w:rPr>
          <w:rFonts w:cs="仿宋" w:asciiTheme="minorEastAsia" w:hAnsiTheme="minorEastAsia" w:eastAsiaTheme="minorEastAsia"/>
          <w:sz w:val="36"/>
          <w:szCs w:val="36"/>
        </w:rPr>
      </w:pPr>
    </w:p>
    <w:p>
      <w:pP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br w:type="page"/>
      </w:r>
    </w:p>
    <w:p>
      <w:pPr>
        <w:spacing w:line="440" w:lineRule="exact"/>
        <w:ind w:firstLine="723" w:firstLineChars="200"/>
        <w:jc w:val="center"/>
        <w:rPr>
          <w:rFonts w:ascii="宋体" w:hAnsi="宋体" w:cs="宋体"/>
          <w:b/>
          <w:bCs/>
          <w:szCs w:val="21"/>
        </w:rPr>
      </w:pPr>
      <w:r>
        <w:rPr>
          <w:rFonts w:hint="eastAsia" w:cs="仿宋" w:asciiTheme="minorEastAsia" w:hAnsiTheme="minorEastAsia" w:eastAsiaTheme="minorEastAsia"/>
          <w:b/>
          <w:bCs/>
          <w:sz w:val="36"/>
          <w:szCs w:val="36"/>
        </w:rPr>
        <w:t>采购项目需求</w:t>
      </w:r>
    </w:p>
    <w:p>
      <w:pPr>
        <w:widowControl/>
        <w:numPr>
          <w:ilvl w:val="0"/>
          <w:numId w:val="5"/>
        </w:num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项目基本情况</w:t>
      </w:r>
    </w:p>
    <w:p>
      <w:pPr>
        <w:pStyle w:val="9"/>
        <w:spacing w:after="0" w:line="440" w:lineRule="exact"/>
        <w:ind w:firstLine="422" w:firstLineChars="200"/>
        <w:rPr>
          <w:rFonts w:ascii="宋体" w:hAnsi="宋体" w:cs="宋体"/>
          <w:b/>
          <w:bCs/>
          <w:szCs w:val="21"/>
        </w:rPr>
      </w:pPr>
      <w:r>
        <w:rPr>
          <w:rFonts w:hint="eastAsia" w:ascii="宋体" w:hAnsi="宋体" w:cs="宋体"/>
          <w:b/>
          <w:bCs/>
          <w:szCs w:val="21"/>
        </w:rPr>
        <w:t>（一）采购需求</w:t>
      </w:r>
    </w:p>
    <w:tbl>
      <w:tblPr>
        <w:tblStyle w:val="21"/>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170"/>
        <w:gridCol w:w="881"/>
        <w:gridCol w:w="883"/>
        <w:gridCol w:w="1979"/>
        <w:gridCol w:w="7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88" w:type="pct"/>
            <w:shd w:val="clear" w:color="auto" w:fill="C6D9F1"/>
            <w:vAlign w:val="center"/>
          </w:tcPr>
          <w:p>
            <w:pPr>
              <w:spacing w:line="440" w:lineRule="exact"/>
              <w:jc w:val="center"/>
              <w:rPr>
                <w:rFonts w:ascii="宋体" w:hAnsi="宋体" w:cs="宋体"/>
                <w:szCs w:val="21"/>
              </w:rPr>
            </w:pPr>
            <w:r>
              <w:rPr>
                <w:rFonts w:hint="eastAsia" w:ascii="宋体" w:hAnsi="宋体" w:cs="宋体"/>
                <w:szCs w:val="21"/>
              </w:rPr>
              <w:t>序号</w:t>
            </w:r>
          </w:p>
        </w:tc>
        <w:tc>
          <w:tcPr>
            <w:tcW w:w="1860" w:type="pct"/>
            <w:shd w:val="clear" w:color="auto" w:fill="C6D9F1"/>
            <w:vAlign w:val="center"/>
          </w:tcPr>
          <w:p>
            <w:pPr>
              <w:spacing w:line="440" w:lineRule="exact"/>
              <w:jc w:val="center"/>
              <w:rPr>
                <w:rFonts w:ascii="宋体" w:hAnsi="宋体" w:cs="宋体"/>
                <w:szCs w:val="21"/>
              </w:rPr>
            </w:pPr>
            <w:r>
              <w:rPr>
                <w:rFonts w:hint="eastAsia" w:ascii="宋体" w:hAnsi="宋体" w:cs="宋体"/>
                <w:szCs w:val="21"/>
              </w:rPr>
              <w:t>项目名称</w:t>
            </w:r>
          </w:p>
        </w:tc>
        <w:tc>
          <w:tcPr>
            <w:tcW w:w="517" w:type="pct"/>
            <w:shd w:val="clear" w:color="auto" w:fill="C6D9F1"/>
            <w:vAlign w:val="center"/>
          </w:tcPr>
          <w:p>
            <w:pPr>
              <w:spacing w:line="440" w:lineRule="exact"/>
              <w:jc w:val="center"/>
              <w:rPr>
                <w:rFonts w:ascii="宋体" w:hAnsi="宋体" w:cs="宋体"/>
                <w:szCs w:val="21"/>
              </w:rPr>
            </w:pPr>
            <w:r>
              <w:rPr>
                <w:rFonts w:hint="eastAsia" w:ascii="宋体" w:hAnsi="宋体" w:cs="宋体"/>
                <w:szCs w:val="21"/>
              </w:rPr>
              <w:t>数量</w:t>
            </w:r>
          </w:p>
        </w:tc>
        <w:tc>
          <w:tcPr>
            <w:tcW w:w="518" w:type="pct"/>
            <w:shd w:val="clear" w:color="auto" w:fill="C6D9F1"/>
            <w:vAlign w:val="center"/>
          </w:tcPr>
          <w:p>
            <w:pPr>
              <w:spacing w:line="440" w:lineRule="exact"/>
              <w:jc w:val="center"/>
              <w:rPr>
                <w:rFonts w:ascii="宋体" w:hAnsi="宋体" w:cs="宋体"/>
                <w:szCs w:val="21"/>
              </w:rPr>
            </w:pPr>
            <w:r>
              <w:rPr>
                <w:rFonts w:hint="eastAsia" w:ascii="宋体" w:hAnsi="宋体" w:cs="宋体"/>
                <w:szCs w:val="21"/>
              </w:rPr>
              <w:t>单位</w:t>
            </w:r>
          </w:p>
        </w:tc>
        <w:tc>
          <w:tcPr>
            <w:tcW w:w="1161" w:type="pct"/>
            <w:shd w:val="clear" w:color="auto" w:fill="C6D9F1"/>
            <w:vAlign w:val="center"/>
          </w:tcPr>
          <w:p>
            <w:pPr>
              <w:widowControl/>
              <w:adjustRightInd w:val="0"/>
              <w:snapToGrid w:val="0"/>
              <w:spacing w:line="440" w:lineRule="exact"/>
              <w:jc w:val="center"/>
              <w:textAlignment w:val="center"/>
              <w:rPr>
                <w:rFonts w:ascii="宋体" w:hAnsi="宋体" w:cs="宋体"/>
                <w:szCs w:val="21"/>
              </w:rPr>
            </w:pPr>
            <w:r>
              <w:rPr>
                <w:rFonts w:hint="eastAsia" w:ascii="宋体" w:hAnsi="宋体" w:cs="宋体"/>
                <w:szCs w:val="21"/>
              </w:rPr>
              <w:t>采购预算金额</w:t>
            </w:r>
          </w:p>
          <w:p>
            <w:pPr>
              <w:spacing w:line="440" w:lineRule="exact"/>
              <w:jc w:val="center"/>
              <w:rPr>
                <w:rFonts w:ascii="宋体" w:hAnsi="宋体" w:cs="宋体"/>
                <w:szCs w:val="21"/>
              </w:rPr>
            </w:pPr>
            <w:r>
              <w:rPr>
                <w:rFonts w:hint="eastAsia" w:ascii="宋体" w:hAnsi="宋体" w:cs="宋体"/>
                <w:szCs w:val="21"/>
              </w:rPr>
              <w:t>（人民币元）</w:t>
            </w:r>
          </w:p>
        </w:tc>
        <w:tc>
          <w:tcPr>
            <w:tcW w:w="454" w:type="pct"/>
            <w:shd w:val="clear" w:color="auto" w:fill="C6D9F1"/>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88" w:type="pct"/>
            <w:vAlign w:val="center"/>
          </w:tcPr>
          <w:p>
            <w:pPr>
              <w:spacing w:line="440" w:lineRule="exact"/>
              <w:jc w:val="center"/>
              <w:rPr>
                <w:rFonts w:ascii="宋体" w:hAnsi="宋体" w:cs="宋体"/>
                <w:szCs w:val="21"/>
              </w:rPr>
            </w:pPr>
            <w:r>
              <w:rPr>
                <w:rFonts w:hint="eastAsia" w:ascii="宋体" w:hAnsi="宋体" w:cs="宋体"/>
                <w:szCs w:val="21"/>
              </w:rPr>
              <w:t>1</w:t>
            </w:r>
          </w:p>
        </w:tc>
        <w:tc>
          <w:tcPr>
            <w:tcW w:w="1860" w:type="pct"/>
            <w:vAlign w:val="center"/>
          </w:tcPr>
          <w:p>
            <w:pPr>
              <w:spacing w:line="440" w:lineRule="exact"/>
              <w:jc w:val="center"/>
              <w:rPr>
                <w:rFonts w:ascii="宋体" w:hAnsi="宋体" w:cs="宋体"/>
                <w:szCs w:val="21"/>
              </w:rPr>
            </w:pPr>
            <w:r>
              <w:rPr>
                <w:rFonts w:hint="eastAsia" w:ascii="宋体" w:hAnsi="宋体" w:cs="宋体"/>
                <w:szCs w:val="21"/>
              </w:rPr>
              <w:t>2023年龙华区道路交通安全领域督导检查工作项目</w:t>
            </w:r>
          </w:p>
        </w:tc>
        <w:tc>
          <w:tcPr>
            <w:tcW w:w="517" w:type="pct"/>
            <w:vAlign w:val="center"/>
          </w:tcPr>
          <w:p>
            <w:pPr>
              <w:spacing w:line="440" w:lineRule="exact"/>
              <w:jc w:val="center"/>
              <w:rPr>
                <w:rFonts w:ascii="宋体" w:hAnsi="宋体" w:cs="宋体"/>
                <w:szCs w:val="21"/>
              </w:rPr>
            </w:pPr>
            <w:r>
              <w:rPr>
                <w:rFonts w:hint="eastAsia" w:ascii="宋体" w:hAnsi="宋体" w:cs="宋体"/>
                <w:szCs w:val="21"/>
              </w:rPr>
              <w:t>1</w:t>
            </w:r>
          </w:p>
        </w:tc>
        <w:tc>
          <w:tcPr>
            <w:tcW w:w="518" w:type="pct"/>
            <w:vAlign w:val="center"/>
          </w:tcPr>
          <w:p>
            <w:pPr>
              <w:spacing w:line="440" w:lineRule="exact"/>
              <w:jc w:val="center"/>
              <w:rPr>
                <w:rFonts w:ascii="宋体" w:hAnsi="宋体" w:cs="宋体"/>
                <w:szCs w:val="21"/>
              </w:rPr>
            </w:pPr>
            <w:r>
              <w:rPr>
                <w:rFonts w:hint="eastAsia" w:ascii="宋体" w:hAnsi="宋体" w:cs="宋体"/>
                <w:szCs w:val="21"/>
              </w:rPr>
              <w:t>项</w:t>
            </w:r>
          </w:p>
        </w:tc>
        <w:tc>
          <w:tcPr>
            <w:tcW w:w="1161" w:type="pct"/>
            <w:vAlign w:val="center"/>
          </w:tcPr>
          <w:p>
            <w:pPr>
              <w:spacing w:line="440" w:lineRule="exact"/>
              <w:jc w:val="center"/>
              <w:rPr>
                <w:rFonts w:ascii="宋体" w:hAnsi="宋体" w:cs="宋体"/>
                <w:szCs w:val="21"/>
              </w:rPr>
            </w:pPr>
            <w:r>
              <w:rPr>
                <w:rFonts w:hint="eastAsia" w:ascii="宋体" w:hAnsi="宋体" w:cs="宋体"/>
              </w:rPr>
              <w:t>800,000.00</w:t>
            </w:r>
          </w:p>
        </w:tc>
        <w:tc>
          <w:tcPr>
            <w:tcW w:w="454" w:type="pct"/>
            <w:vAlign w:val="center"/>
          </w:tcPr>
          <w:p>
            <w:pPr>
              <w:spacing w:line="440" w:lineRule="exact"/>
              <w:jc w:val="center"/>
              <w:rPr>
                <w:rFonts w:ascii="宋体" w:hAnsi="宋体" w:cs="宋体"/>
                <w:szCs w:val="21"/>
              </w:rPr>
            </w:pPr>
          </w:p>
        </w:tc>
      </w:tr>
    </w:tbl>
    <w:p>
      <w:pPr>
        <w:widowControl/>
        <w:spacing w:line="440" w:lineRule="exact"/>
        <w:ind w:firstLine="420" w:firstLineChars="200"/>
        <w:jc w:val="left"/>
        <w:rPr>
          <w:rFonts w:ascii="宋体" w:hAnsi="宋体" w:cs="宋体"/>
          <w:szCs w:val="21"/>
        </w:rPr>
      </w:pPr>
      <w:r>
        <w:rPr>
          <w:rFonts w:hint="eastAsia" w:ascii="宋体" w:hAnsi="宋体" w:cs="宋体"/>
          <w:color w:val="FF0000"/>
          <w:szCs w:val="21"/>
        </w:rPr>
        <w:t>注：</w:t>
      </w:r>
      <w:r>
        <w:rPr>
          <w:rFonts w:hint="eastAsia" w:ascii="宋体" w:hAnsi="宋体" w:cs="宋体"/>
          <w:szCs w:val="21"/>
          <w:highlight w:val="yellow"/>
        </w:rPr>
        <w:t>★投标人的投标报价超过采购预算金额的将导致投标无效。</w:t>
      </w:r>
    </w:p>
    <w:p>
      <w:pPr>
        <w:pStyle w:val="9"/>
        <w:numPr>
          <w:ilvl w:val="0"/>
          <w:numId w:val="6"/>
        </w:numPr>
        <w:spacing w:after="0" w:line="360" w:lineRule="auto"/>
        <w:ind w:firstLine="422" w:firstLineChars="200"/>
        <w:rPr>
          <w:rFonts w:ascii="宋体" w:hAnsi="宋体" w:cs="宋体"/>
          <w:b/>
          <w:bCs/>
          <w:szCs w:val="21"/>
        </w:rPr>
      </w:pPr>
      <w:r>
        <w:rPr>
          <w:rFonts w:hint="eastAsia" w:ascii="宋体" w:hAnsi="宋体" w:cs="宋体"/>
          <w:b/>
          <w:bCs/>
          <w:szCs w:val="21"/>
        </w:rPr>
        <w:t>项目背景与目的</w:t>
      </w:r>
    </w:p>
    <w:p>
      <w:pPr>
        <w:pStyle w:val="8"/>
        <w:spacing w:line="360" w:lineRule="auto"/>
        <w:rPr>
          <w:rFonts w:ascii="宋体" w:hAnsi="宋体" w:cs="宋体"/>
          <w:lang w:val="zh-CN"/>
        </w:rPr>
      </w:pPr>
      <w:r>
        <w:rPr>
          <w:rFonts w:hint="eastAsia" w:ascii="宋体" w:hAnsi="宋体" w:cs="宋体"/>
          <w:lang w:val="zh-CN"/>
        </w:rPr>
        <w:t>为进一步落实省、市、区系统防范化解道路交通安全风险工作要求，有效减少辖区道路交通事故，确保辖区居民出行交通安全。拟开展2023年龙华区交通安全督导工作项目，旨在以考促改、以考促进，不断规范、提升</w:t>
      </w:r>
      <w:r>
        <w:rPr>
          <w:rFonts w:hint="eastAsia" w:ascii="宋体" w:hAnsi="宋体" w:cs="宋体"/>
        </w:rPr>
        <w:t>龙华</w:t>
      </w:r>
      <w:r>
        <w:rPr>
          <w:rFonts w:hint="eastAsia" w:ascii="宋体" w:hAnsi="宋体" w:cs="宋体"/>
          <w:lang w:val="zh-CN"/>
        </w:rPr>
        <w:t>区道路交通安全等级系数和市民出行安全防范意识。</w:t>
      </w:r>
    </w:p>
    <w:p>
      <w:pPr>
        <w:pStyle w:val="8"/>
        <w:rPr>
          <w:lang w:val="zh-CN"/>
        </w:rPr>
      </w:pPr>
    </w:p>
    <w:p>
      <w:pPr>
        <w:pStyle w:val="9"/>
        <w:numPr>
          <w:ilvl w:val="0"/>
          <w:numId w:val="5"/>
        </w:numPr>
        <w:spacing w:after="0" w:line="440" w:lineRule="exact"/>
        <w:ind w:firstLine="482" w:firstLineChars="200"/>
        <w:rPr>
          <w:rFonts w:ascii="宋体" w:hAnsi="宋体" w:cs="宋体"/>
          <w:b/>
          <w:bCs/>
          <w:sz w:val="24"/>
          <w:szCs w:val="24"/>
        </w:rPr>
      </w:pPr>
      <w:r>
        <w:rPr>
          <w:rFonts w:hint="eastAsia" w:ascii="宋体" w:hAnsi="宋体" w:cs="宋体"/>
          <w:b/>
          <w:bCs/>
          <w:sz w:val="24"/>
          <w:szCs w:val="24"/>
        </w:rPr>
        <w:t>项目服务要求</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（一）项目工作内容要求</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中标人根据采购人工作要求安排，负责开展龙华区交通安全督导工作各项事宜，通过数据采集、整理和汇总分析等工作，形成区内各街道交通安全督导工作推进事项，具体工作安排要求如下：</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1、每月组织开展区内各街道共计24个路口不定期抽查，评估测算各路口安全规范程度，并出具相关数据分析报告。</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2、2023年6月1日-2023年12月5日，每周组织开展区内各街道社区上报路口的“三率”监测，动态评估各街道社区路口电动车形式规范程度，并以月度为单位形成数据分析报告。</w:t>
      </w:r>
    </w:p>
    <w:p>
      <w:pPr>
        <w:pStyle w:val="2"/>
        <w:spacing w:line="360" w:lineRule="auto"/>
        <w:ind w:left="0" w:firstLine="420" w:firstLineChars="200"/>
        <w:rPr>
          <w:rFonts w:ascii="宋体" w:hAnsi="宋体" w:cs="宋体"/>
          <w:smallCaps w:val="0"/>
          <w:kern w:val="0"/>
          <w:szCs w:val="21"/>
          <w:shd w:val="clear" w:color="auto" w:fill="FFFFFF"/>
        </w:rPr>
      </w:pPr>
      <w:r>
        <w:rPr>
          <w:rFonts w:hint="eastAsia" w:ascii="宋体" w:hAnsi="宋体" w:cs="宋体"/>
          <w:smallCaps w:val="0"/>
          <w:kern w:val="0"/>
          <w:szCs w:val="21"/>
          <w:shd w:val="clear" w:color="auto" w:fill="FFFFFF"/>
        </w:rPr>
        <w:t>3、2023年6月-</w:t>
      </w:r>
      <w:r>
        <w:rPr>
          <w:rFonts w:hint="eastAsia" w:ascii="宋体" w:hAnsi="宋体" w:cs="宋体"/>
          <w:kern w:val="0"/>
          <w:szCs w:val="21"/>
          <w:shd w:val="clear" w:color="auto" w:fill="FFFFFF"/>
        </w:rPr>
        <w:t>2023年</w:t>
      </w:r>
      <w:r>
        <w:rPr>
          <w:rFonts w:hint="eastAsia" w:ascii="宋体" w:hAnsi="宋体" w:cs="宋体"/>
          <w:smallCaps w:val="0"/>
          <w:kern w:val="0"/>
          <w:szCs w:val="21"/>
          <w:shd w:val="clear" w:color="auto" w:fill="FFFFFF"/>
        </w:rPr>
        <w:t>12月服务周期内,每月组织开展区内各街道社区上报路口的“三率”监测,动态评估各街道社区路口电动车形式规范程度,并形成数据分析报告。</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3、2023年6月-2023年12月服务周期内，以月度为单位随机抽取各街道各2个路口开展电动车上牌情况统计，统计单位时间内（10分钟内）的已悬挂白牌、蓝牌车辆数量比例、已悬挂黄色、绿色等临时标识车辆数量情况。</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4、2023年6月-2023年12月服务周期内，根据采购人要求选取4个月度“三率”监测情况及交通安全督导工作开展情况制作相关视频合集。</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（二）其他项目要求</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1、中标人为本项目配备不少于</w:t>
      </w:r>
      <w:r>
        <w:rPr>
          <w:rFonts w:ascii="宋体" w:hAnsi="宋体" w:cs="宋体"/>
          <w:kern w:val="0"/>
          <w:szCs w:val="21"/>
          <w:shd w:val="clear" w:color="auto" w:fill="FFFFFF"/>
        </w:rPr>
        <w:t>9</w:t>
      </w:r>
      <w:r>
        <w:rPr>
          <w:rFonts w:hint="eastAsia" w:ascii="宋体" w:hAnsi="宋体" w:cs="宋体"/>
          <w:kern w:val="0"/>
          <w:szCs w:val="21"/>
          <w:shd w:val="clear" w:color="auto" w:fill="FFFFFF"/>
        </w:rPr>
        <w:t>人的项目技术团队，包括包含项目</w:t>
      </w:r>
      <w:r>
        <w:rPr>
          <w:rFonts w:hint="eastAsia" w:ascii="宋体" w:hAnsi="宋体" w:cs="宋体"/>
          <w:kern w:val="0"/>
          <w:szCs w:val="21"/>
          <w:shd w:val="clear" w:color="auto" w:fill="FFFFFF"/>
          <w:lang w:eastAsia="zh-CN"/>
        </w:rPr>
        <w:t>技术负责人</w:t>
      </w:r>
      <w:r>
        <w:rPr>
          <w:rFonts w:hint="eastAsia" w:ascii="宋体" w:hAnsi="宋体" w:cs="宋体"/>
          <w:kern w:val="0"/>
          <w:szCs w:val="21"/>
          <w:shd w:val="clear" w:color="auto" w:fill="FFFFFF"/>
        </w:rPr>
        <w:t>、督导、若干名后台研究员和专业技术支持人员，确保本次工作正常实施。其中，研究技术支持人员应具备本科及以上学历和统计师职称；主控督导应具备5年及以上同类项目经验。</w:t>
      </w:r>
    </w:p>
    <w:p>
      <w:pPr>
        <w:widowControl/>
        <w:spacing w:line="360" w:lineRule="auto"/>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2、为保障本项目的数据采集及处理工作进度的顺利推进及保障数据采集及处理的质量，中标人须具备一定系统维护能力，能采用先进的数据审核方法及数据质量控制方法确保本项目高质量完成。</w:t>
      </w:r>
    </w:p>
    <w:p>
      <w:pPr>
        <w:pStyle w:val="16"/>
      </w:pPr>
    </w:p>
    <w:p>
      <w:pPr>
        <w:widowControl/>
        <w:spacing w:line="440" w:lineRule="exact"/>
        <w:ind w:firstLine="482" w:firstLineChars="200"/>
        <w:jc w:val="left"/>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三、项目商务要求：</w:t>
      </w:r>
    </w:p>
    <w:p>
      <w:pPr>
        <w:widowControl/>
        <w:spacing w:line="440" w:lineRule="exact"/>
        <w:ind w:firstLine="420" w:firstLineChars="200"/>
        <w:jc w:val="left"/>
        <w:rPr>
          <w:rFonts w:ascii="宋体" w:hAnsi="宋体" w:cs="宋体"/>
          <w:highlight w:val="yellow"/>
        </w:rPr>
      </w:pPr>
      <w:r>
        <w:rPr>
          <w:rFonts w:hint="eastAsia" w:ascii="宋体" w:hAnsi="宋体" w:cs="宋体"/>
          <w:highlight w:val="yellow"/>
        </w:rPr>
        <w:t>★（一）服务期限</w:t>
      </w:r>
      <w:r>
        <w:rPr>
          <w:rFonts w:hint="eastAsia"/>
          <w:highlight w:val="yellow"/>
        </w:rPr>
        <w:t>：</w:t>
      </w:r>
      <w:r>
        <w:rPr>
          <w:rFonts w:hint="eastAsia" w:ascii="宋体" w:hAnsi="宋体" w:cs="宋体"/>
          <w:highlight w:val="yellow"/>
        </w:rPr>
        <w:t>合同签订日起至2023年12月5日。</w:t>
      </w:r>
    </w:p>
    <w:p>
      <w:pPr>
        <w:widowControl/>
        <w:spacing w:line="440" w:lineRule="exact"/>
        <w:ind w:firstLine="420" w:firstLineChars="200"/>
        <w:jc w:val="left"/>
        <w:rPr>
          <w:rFonts w:ascii="宋体" w:hAnsi="宋体" w:cs="宋体"/>
        </w:rPr>
      </w:pPr>
      <w:r>
        <w:rPr>
          <w:rFonts w:hint="eastAsia" w:ascii="宋体" w:hAnsi="宋体" w:cs="宋体"/>
        </w:rPr>
        <w:t>（二）项目主要进度控制节点如下：</w:t>
      </w:r>
    </w:p>
    <w:p>
      <w:pPr>
        <w:widowControl/>
        <w:spacing w:line="440" w:lineRule="exact"/>
        <w:ind w:firstLine="420" w:firstLineChars="200"/>
        <w:jc w:val="left"/>
        <w:rPr>
          <w:rFonts w:ascii="宋体" w:hAnsi="宋体" w:cs="宋体"/>
        </w:rPr>
      </w:pPr>
      <w:r>
        <w:rPr>
          <w:rFonts w:hint="eastAsia" w:ascii="宋体" w:hAnsi="宋体" w:cs="宋体"/>
        </w:rPr>
        <w:t>1、自合同签订之日起至2023年12月5日前，组织开展区内各街道社区上报路口的“三率”监测，并形成每周数据报告。</w:t>
      </w:r>
    </w:p>
    <w:p>
      <w:pPr>
        <w:widowControl/>
        <w:spacing w:line="440" w:lineRule="exact"/>
        <w:ind w:firstLine="420" w:firstLineChars="200"/>
        <w:jc w:val="left"/>
        <w:rPr>
          <w:rFonts w:ascii="宋体" w:hAnsi="宋体" w:cs="宋体"/>
        </w:rPr>
      </w:pPr>
      <w:r>
        <w:rPr>
          <w:rFonts w:hint="eastAsia" w:ascii="宋体" w:hAnsi="宋体" w:cs="宋体"/>
        </w:rPr>
        <w:t>2、服务周期内每月汇总统计“三率”监测情况，形成《月度“三率”监测报告》。</w:t>
      </w:r>
    </w:p>
    <w:p>
      <w:pPr>
        <w:widowControl/>
        <w:spacing w:line="440" w:lineRule="exact"/>
        <w:ind w:firstLine="420" w:firstLineChars="200"/>
        <w:jc w:val="left"/>
        <w:rPr>
          <w:rFonts w:ascii="宋体" w:hAnsi="宋体" w:cs="宋体"/>
        </w:rPr>
      </w:pPr>
      <w:r>
        <w:rPr>
          <w:rFonts w:hint="eastAsia" w:ascii="宋体" w:hAnsi="宋体" w:cs="宋体"/>
        </w:rPr>
        <w:t>3、服务周期内每月组织开展区内各街道共计24个路口不定期抽查，并形成月度分析报告。</w:t>
      </w:r>
    </w:p>
    <w:p>
      <w:pPr>
        <w:widowControl/>
        <w:spacing w:line="440" w:lineRule="exact"/>
        <w:ind w:firstLine="420" w:firstLineChars="200"/>
        <w:jc w:val="left"/>
        <w:rPr>
          <w:rFonts w:ascii="宋体" w:hAnsi="宋体" w:cs="宋体"/>
        </w:rPr>
      </w:pPr>
      <w:r>
        <w:rPr>
          <w:rFonts w:hint="eastAsia" w:ascii="宋体" w:hAnsi="宋体" w:cs="宋体"/>
        </w:rPr>
        <w:t>4、服务周期内以月度为单位随机抽取各街道各2个路口开展电动车上牌情况统计，并形成月度数据报告。</w:t>
      </w:r>
    </w:p>
    <w:p>
      <w:pPr>
        <w:widowControl/>
        <w:spacing w:line="440" w:lineRule="exact"/>
        <w:ind w:firstLine="420" w:firstLineChars="200"/>
        <w:jc w:val="left"/>
        <w:rPr>
          <w:rFonts w:ascii="宋体" w:hAnsi="宋体" w:cs="宋体"/>
        </w:rPr>
      </w:pPr>
      <w:r>
        <w:rPr>
          <w:rFonts w:hint="eastAsia" w:ascii="宋体" w:hAnsi="宋体" w:cs="宋体"/>
        </w:rPr>
        <w:t>（三）付款要求</w:t>
      </w:r>
    </w:p>
    <w:p>
      <w:pPr>
        <w:widowControl/>
        <w:spacing w:line="440" w:lineRule="exact"/>
        <w:ind w:firstLine="420" w:firstLineChars="200"/>
        <w:jc w:val="left"/>
        <w:rPr>
          <w:rFonts w:ascii="宋体" w:hAnsi="宋体" w:cs="宋体"/>
        </w:rPr>
      </w:pPr>
      <w:r>
        <w:rPr>
          <w:rFonts w:hint="eastAsia" w:ascii="宋体" w:hAnsi="宋体" w:cs="宋体"/>
        </w:rPr>
        <w:t>1、合同签订后15天内，采购人向中标人支付合同总价50%的款项。</w:t>
      </w:r>
    </w:p>
    <w:p>
      <w:pPr>
        <w:widowControl/>
        <w:spacing w:line="440" w:lineRule="exact"/>
        <w:ind w:firstLine="420" w:firstLineChars="200"/>
        <w:jc w:val="left"/>
        <w:rPr>
          <w:rFonts w:ascii="宋体" w:hAnsi="宋体" w:cs="宋体"/>
        </w:rPr>
      </w:pPr>
      <w:r>
        <w:rPr>
          <w:rFonts w:hint="eastAsia" w:ascii="宋体" w:hAnsi="宋体" w:cs="宋体"/>
        </w:rPr>
        <w:t>2、提交2023年8月月度成果材料后，2023年9月30日前采购人向中标人支付合同总价25%的款项。</w:t>
      </w:r>
    </w:p>
    <w:p>
      <w:pPr>
        <w:widowControl/>
        <w:spacing w:line="440" w:lineRule="exact"/>
        <w:ind w:firstLine="420" w:firstLineChars="200"/>
        <w:jc w:val="left"/>
        <w:rPr>
          <w:rFonts w:ascii="宋体" w:hAnsi="宋体" w:cs="宋体"/>
        </w:rPr>
      </w:pPr>
      <w:r>
        <w:rPr>
          <w:rFonts w:hint="eastAsia" w:ascii="宋体" w:hAnsi="宋体" w:cs="宋体"/>
        </w:rPr>
        <w:t>3、项目验收完毕后，2023年12月15日前采购人向中标人支付合同总价25%的款项。</w:t>
      </w:r>
    </w:p>
    <w:p>
      <w:pPr>
        <w:widowControl/>
        <w:spacing w:line="440" w:lineRule="exact"/>
        <w:ind w:firstLine="420" w:firstLineChars="200"/>
        <w:jc w:val="left"/>
        <w:rPr>
          <w:rFonts w:ascii="宋体" w:hAnsi="宋体" w:cs="宋体"/>
        </w:rPr>
      </w:pPr>
      <w:r>
        <w:rPr>
          <w:rFonts w:hint="eastAsia" w:ascii="宋体" w:hAnsi="宋体" w:cs="宋体"/>
        </w:rPr>
        <w:t>（四）项目验收要求</w:t>
      </w:r>
    </w:p>
    <w:p>
      <w:pPr>
        <w:widowControl/>
        <w:spacing w:line="440" w:lineRule="exact"/>
        <w:ind w:firstLine="420" w:firstLineChars="200"/>
        <w:jc w:val="left"/>
        <w:rPr>
          <w:rFonts w:ascii="宋体" w:hAnsi="宋体" w:cs="宋体"/>
        </w:rPr>
      </w:pPr>
      <w:r>
        <w:rPr>
          <w:rFonts w:hint="eastAsia" w:ascii="宋体" w:hAnsi="宋体" w:cs="宋体"/>
        </w:rPr>
        <w:t>采购人应当按照招标文件和合同规定的标准和方法，及时组织验收。</w:t>
      </w:r>
    </w:p>
    <w:p>
      <w:pPr>
        <w:widowControl/>
        <w:spacing w:line="440" w:lineRule="exact"/>
        <w:ind w:firstLine="420" w:firstLineChars="200"/>
        <w:jc w:val="left"/>
        <w:rPr>
          <w:rFonts w:ascii="宋体" w:hAnsi="宋体" w:cs="宋体"/>
        </w:rPr>
      </w:pPr>
      <w:r>
        <w:rPr>
          <w:rFonts w:hint="eastAsia" w:ascii="宋体" w:hAnsi="宋体" w:cs="宋体"/>
        </w:rPr>
        <w:t>1、服务经过双方检验认可后，签署验收报告。</w:t>
      </w:r>
    </w:p>
    <w:p>
      <w:pPr>
        <w:widowControl/>
        <w:spacing w:line="440" w:lineRule="exact"/>
        <w:ind w:firstLine="420" w:firstLineChars="200"/>
        <w:jc w:val="left"/>
        <w:rPr>
          <w:rFonts w:ascii="宋体" w:hAnsi="宋体" w:cs="宋体"/>
        </w:rPr>
      </w:pPr>
      <w:r>
        <w:rPr>
          <w:rFonts w:hint="eastAsia" w:ascii="宋体" w:hAnsi="宋体" w:cs="宋体"/>
        </w:rPr>
        <w:t>2、当满足以下条件时，采购人才向中标人签发验收报告：</w:t>
      </w:r>
    </w:p>
    <w:p>
      <w:pPr>
        <w:widowControl/>
        <w:spacing w:line="440" w:lineRule="exact"/>
        <w:ind w:firstLine="420" w:firstLineChars="200"/>
        <w:jc w:val="left"/>
        <w:rPr>
          <w:rFonts w:ascii="宋体" w:hAnsi="宋体" w:cs="宋体"/>
        </w:rPr>
      </w:pPr>
      <w:r>
        <w:rPr>
          <w:rFonts w:hint="eastAsia" w:ascii="宋体" w:hAnsi="宋体" w:cs="宋体"/>
        </w:rPr>
        <w:t>①中标人已按照合同规定提供了全部技术资料。</w:t>
      </w:r>
    </w:p>
    <w:p>
      <w:pPr>
        <w:widowControl/>
        <w:spacing w:line="440" w:lineRule="exact"/>
        <w:ind w:firstLine="420" w:firstLineChars="200"/>
        <w:jc w:val="left"/>
        <w:rPr>
          <w:rFonts w:ascii="宋体" w:hAnsi="宋体" w:cs="宋体"/>
        </w:rPr>
      </w:pPr>
      <w:r>
        <w:rPr>
          <w:rFonts w:hint="eastAsia" w:ascii="宋体" w:hAnsi="宋体" w:cs="宋体"/>
        </w:rPr>
        <w:t>②服务项目符合招标文件的服务要求。</w:t>
      </w: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p>
    <w:p>
      <w:pPr>
        <w:adjustRightInd w:val="0"/>
        <w:snapToGrid w:val="0"/>
        <w:spacing w:line="300" w:lineRule="auto"/>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第三部分</w:t>
      </w:r>
    </w:p>
    <w:p>
      <w:pPr>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投标文件格式</w:t>
      </w:r>
    </w:p>
    <w:p>
      <w:pPr>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pPr>
        <w:widowControl/>
        <w:jc w:val="left"/>
        <w:rPr>
          <w:rFonts w:cs="仿宋" w:asciiTheme="minorEastAsia" w:hAnsiTheme="minorEastAsia" w:eastAsiaTheme="minorEastAsia"/>
        </w:rPr>
      </w:pPr>
    </w:p>
    <w:p>
      <w:pPr>
        <w:jc w:val="cente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t>投标文件格式</w:t>
      </w:r>
    </w:p>
    <w:tbl>
      <w:tblPr>
        <w:tblStyle w:val="22"/>
        <w:tblpPr w:leftFromText="180" w:rightFromText="180" w:vertAnchor="text" w:horzAnchor="page" w:tblpX="1785" w:tblpY="301"/>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line="360" w:lineRule="auto"/>
              <w:rPr>
                <w:rFonts w:asciiTheme="minorEastAsia" w:hAnsiTheme="minorEastAsia" w:eastAsiaTheme="minorEastAsia"/>
              </w:rPr>
            </w:pPr>
            <w:r>
              <w:rPr>
                <w:rFonts w:hint="eastAsia" w:cs="仿宋" w:asciiTheme="minorEastAsia" w:hAnsiTheme="minorEastAsia" w:eastAsiaTheme="minorEastAsia"/>
                <w:sz w:val="24"/>
              </w:rPr>
              <w:t>一、投标文件目录（自拟）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五、投标人资格证明文件（格式2）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pPr>
              <w:widowControl/>
              <w:spacing w:line="360" w:lineRule="auto"/>
              <w:rPr>
                <w:rFonts w:cs="仿宋" w:asciiTheme="minorEastAsia" w:hAnsiTheme="minorEastAsia" w:eastAsiaTheme="minorEastAsia"/>
                <w:color w:val="FF0000"/>
                <w:sz w:val="24"/>
              </w:rPr>
            </w:pPr>
            <w:r>
              <w:rPr>
                <w:rFonts w:hint="eastAsia" w:cs="仿宋" w:asciiTheme="minorEastAsia" w:hAnsiTheme="minorEastAsia" w:eastAsiaTheme="minorEastAsia"/>
                <w:sz w:val="24"/>
              </w:rPr>
              <w:t xml:space="preserve">    </w:t>
            </w:r>
            <w:r>
              <w:rPr>
                <w:rFonts w:hint="eastAsia" w:cs="仿宋" w:asciiTheme="minorEastAsia" w:hAnsiTheme="minorEastAsia" w:eastAsiaTheme="minorEastAsia"/>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九、服务方案（格式6）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十、投标人情况介绍（格式7）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十一、偏离表（格式8）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十二、其他招标文件要求的资料或投标人认为需要补充的资料（格式9）</w:t>
            </w:r>
          </w:p>
        </w:tc>
      </w:tr>
    </w:tbl>
    <w:p>
      <w:pPr>
        <w:rPr>
          <w:rFonts w:cs="仿宋" w:asciiTheme="minorEastAsia" w:hAnsiTheme="minorEastAsia" w:eastAsiaTheme="minorEastAsia"/>
        </w:rPr>
      </w:pPr>
    </w:p>
    <w:p>
      <w:pPr>
        <w:rPr>
          <w:rFonts w:cs="仿宋" w:asciiTheme="minorEastAsia" w:hAnsiTheme="minorEastAsia" w:eastAsiaTheme="minorEastAsia"/>
        </w:rPr>
      </w:pPr>
    </w:p>
    <w:p>
      <w:pPr>
        <w:jc w:val="left"/>
        <w:rPr>
          <w:rFonts w:cs="仿宋" w:asciiTheme="minorEastAsia" w:hAnsiTheme="minorEastAsia" w:eastAsiaTheme="minorEastAsia"/>
        </w:rPr>
      </w:pPr>
      <w:r>
        <w:rPr>
          <w:rFonts w:hint="eastAsia" w:cs="仿宋" w:asciiTheme="minorEastAsia" w:hAnsiTheme="minorEastAsia" w:eastAsiaTheme="minorEastAsia"/>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sz w:val="56"/>
          <w:szCs w:val="56"/>
        </w:rPr>
      </w:pPr>
      <w:r>
        <w:rPr>
          <w:rFonts w:hint="eastAsia" w:cs="仿宋" w:asciiTheme="minorEastAsia" w:hAnsiTheme="minorEastAsia" w:eastAsiaTheme="minorEastAsia"/>
          <w:sz w:val="56"/>
          <w:szCs w:val="56"/>
        </w:rPr>
        <w:t>投 标 文 件</w:t>
      </w:r>
    </w:p>
    <w:p>
      <w:pPr>
        <w:rPr>
          <w:rFonts w:cs="仿宋" w:asciiTheme="minorEastAsia" w:hAnsiTheme="minorEastAsia" w:eastAsiaTheme="minorEastAsia"/>
        </w:rPr>
      </w:pPr>
    </w:p>
    <w:p>
      <w:pPr>
        <w:rPr>
          <w:rFonts w:cs="仿宋" w:asciiTheme="minorEastAsia" w:hAnsiTheme="minorEastAsia" w:eastAsiaTheme="minorEastAsia"/>
        </w:rPr>
      </w:pPr>
    </w:p>
    <w:p>
      <w:pPr>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tbl>
      <w:tblPr>
        <w:tblStyle w:val="22"/>
        <w:tblW w:w="6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项 目 名 称：</w:t>
            </w:r>
          </w:p>
        </w:tc>
        <w:tc>
          <w:tcPr>
            <w:tcW w:w="4774" w:type="dxa"/>
            <w:vAlign w:val="center"/>
          </w:tcPr>
          <w:p>
            <w:pPr>
              <w:widowControl/>
              <w:spacing w:line="480" w:lineRule="auto"/>
              <w:rPr>
                <w:rFonts w:cs="仿宋" w:asciiTheme="minorEastAsia" w:hAnsiTheme="minorEastAsia" w:eastAsiaTheme="minorEastAsia"/>
                <w:sz w:val="24"/>
                <w:u w:val="single"/>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法定代表人：</w:t>
            </w:r>
          </w:p>
          <w:p>
            <w:pPr>
              <w:widowControl/>
              <w:spacing w:line="276"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（授权代理人）</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投标人：</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日       期：</w:t>
            </w:r>
          </w:p>
        </w:tc>
        <w:tc>
          <w:tcPr>
            <w:tcW w:w="4774" w:type="dxa"/>
            <w:vAlign w:val="center"/>
          </w:tcPr>
          <w:p>
            <w:pPr>
              <w:widowControl/>
              <w:spacing w:line="480" w:lineRule="auto"/>
              <w:rPr>
                <w:rFonts w:cs="仿宋" w:asciiTheme="minorEastAsia" w:hAnsiTheme="minorEastAsia" w:eastAsiaTheme="minorEastAsia"/>
                <w:sz w:val="24"/>
              </w:rPr>
            </w:pPr>
            <w:r>
              <w:rPr>
                <w:rFonts w:hint="eastAsia" w:cs="仿宋" w:asciiTheme="minorEastAsia" w:hAnsiTheme="minorEastAsia" w:eastAsiaTheme="minorEastAsia"/>
                <w:sz w:val="24"/>
                <w:u w:val="single"/>
              </w:rPr>
              <w:t xml:space="preserve">                              </w:t>
            </w:r>
          </w:p>
        </w:tc>
      </w:tr>
    </w:tbl>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keepNext/>
        <w:keepLines/>
        <w:spacing w:before="260" w:after="260" w:line="400" w:lineRule="exact"/>
        <w:jc w:val="center"/>
        <w:outlineLvl w:val="1"/>
        <w:rPr>
          <w:rFonts w:asciiTheme="minorEastAsia" w:hAnsiTheme="minorEastAsia" w:eastAsiaTheme="minorEastAsia"/>
          <w:sz w:val="28"/>
          <w:szCs w:val="32"/>
        </w:rPr>
      </w:pPr>
      <w:bookmarkStart w:id="0" w:name="_Toc110410380"/>
      <w:r>
        <w:rPr>
          <w:rFonts w:hint="eastAsia" w:asciiTheme="minorEastAsia" w:hAnsiTheme="minorEastAsia" w:eastAsiaTheme="minorEastAsia"/>
          <w:sz w:val="28"/>
          <w:szCs w:val="32"/>
        </w:rPr>
        <w:t>政府采购违法行为风险知悉确认书</w:t>
      </w:r>
      <w:bookmarkEnd w:id="0"/>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一、本公司已充分知悉“隐瞒真实情况，提供虚假资料”的法定情形，相关情形包括但不限于：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（二）由其他单位或者其他单位负责人在投标人编制的投标文件上加盖印章或者签字的。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（四）投标保证金不是从投标人基本账户转出的。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二、本公司已充分知悉“与其他采购参加人串通投标”的法定情形，相关情形包括但不限于：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（一）投标人之间相互约定给予未中标的人利益补偿。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（二）不同投标人的法定代表人、主要经营负责人、项目投标授权代表人、项目负责人、主要技术人员为同一人、属同一单位或者在同一单位缴纳社会保险。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（三）不同投标人的投标文件由同一单位或者同一人编制，或者由同一人分阶段参与编制的。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（四）不同投标人的投标文件或部分投标文件相互混装。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（五）不同投标人的投标文件内容存在非正常一致。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（六）由同一单位工作人员为两家以上（含两家）人进行同一项投标活动的。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（七）不同投标人的投标报价呈规律性差异。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（八）不同投标人的投标保证金从同一单位或者个人的账户转出。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三、本公司已充分知悉下列情形所对应的法律风险，并在投标前已对相关风险事项进行排查。</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对于从其他主体获取的投标资料，人应审慎核查，确保投标资料的真实性。如主管部门查实投标文件中存在虚假资料的，无论相关资料是否由第三方或本公司员工提供，均不影响主管部门对人存在“隐瞒真实情况，提供虚假资料”违法行为的认定。</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（三）对于涉及安全生产、特种作业、抢险救灾、防疫等政府采购项目，人实施提供虚假资料、串通投标等违法行为的，主管部门将依法从严处理。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人应严格规范项目授权代表、员工参与招标投标的行为，加强对投标文件的审核。项目授权代表、员工编制、上传投标文件等行为违反政府采购法律法规或招标文件要求的，投标人应当依法承担相应法律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人对投标电子密钥负有妥善保管、及时变更和续期等主体责任。人使用电子密钥在深圳政府采购网站进行的活动，均具有法律效力，须承担相应的法律后果。人擅自将投标密钥出借他人使用所造成的法律后果，由人自行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（六）单位负责人为同一人或者存在直接控股、管理关系的不同人，不得参加同一合同项下的政府采购活动。相关情形如查实，依法作投标无效处理；涉嫌串通投标等违法行为的，主管部门将依法调查处理。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本公司已充分知悉政府采购违法、违规行为的法律后果。经查实，若投标人存在政府采购违法、违规行为，主管部门将依据《深圳经济特区政府采购条例》第五十七条的规定，处以一至三年内禁止参与本市政府采购，并由主管部门记入人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以下文字请投标人抄写并确认：“本公司已仔细阅读《政府采购违法行为风险知悉确认书》，充分知悉违法行为的法律后果，并承诺将严谨、诚信、依法依规参与政府采购活动”。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rPr>
          <w:rFonts w:asciiTheme="minorEastAsia" w:hAnsiTheme="minorEastAsia" w:eastAsiaTheme="minorEastAsia" w:cstheme="minorBidi"/>
          <w:szCs w:val="21"/>
          <w:u w:val="single"/>
        </w:rPr>
      </w:pPr>
      <w:r>
        <w:rPr>
          <w:rFonts w:hint="eastAsia" w:asciiTheme="minorEastAsia" w:hAnsiTheme="minorEastAsia" w:eastAsiaTheme="minorEastAsia" w:cstheme="minorBidi"/>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知悉人（公章）：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p>
    <w:p>
      <w:pP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br w:type="page"/>
      </w:r>
    </w:p>
    <w:p>
      <w:pPr>
        <w:jc w:val="center"/>
        <w:rPr>
          <w:rFonts w:cs="仿宋" w:asciiTheme="minorEastAsia" w:hAnsiTheme="minorEastAsia" w:eastAsiaTheme="minorEastAsia"/>
          <w:sz w:val="36"/>
          <w:szCs w:val="36"/>
        </w:rPr>
      </w:pPr>
      <w:r>
        <w:rPr>
          <w:rFonts w:hint="eastAsia" w:cs="仿宋" w:asciiTheme="minorEastAsia" w:hAnsiTheme="minorEastAsia" w:eastAsiaTheme="minorEastAsia"/>
          <w:sz w:val="36"/>
          <w:szCs w:val="36"/>
        </w:rPr>
        <w:t>评审指引表</w:t>
      </w:r>
    </w:p>
    <w:p>
      <w:pPr>
        <w:ind w:left="424" w:leftChars="202" w:firstLine="424" w:firstLineChars="202"/>
        <w:rPr>
          <w:rFonts w:cs="仿宋" w:asciiTheme="minorEastAsia" w:hAnsiTheme="minorEastAsia" w:eastAsiaTheme="minorEastAsia"/>
        </w:rPr>
      </w:pPr>
    </w:p>
    <w:p>
      <w:pPr>
        <w:tabs>
          <w:tab w:val="left" w:pos="8306"/>
        </w:tabs>
        <w:spacing w:line="360" w:lineRule="auto"/>
        <w:ind w:right="-57" w:rightChars="-27" w:firstLine="425"/>
        <w:rPr>
          <w:rFonts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为方便参与该项目的评委专家的评审，快速找到评审事项与该项目投标文件所对应的位置，请投标人参照下表格式，编制本项目评审指引表。</w:t>
      </w:r>
    </w:p>
    <w:p>
      <w:pPr>
        <w:pStyle w:val="16"/>
      </w:pPr>
    </w:p>
    <w:tbl>
      <w:tblPr>
        <w:tblStyle w:val="21"/>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一、综合评分指引（评分内容见“评审信息”）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134"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szCs w:val="24"/>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1516" w:type="dxa"/>
            <w:vAlign w:val="center"/>
          </w:tcPr>
          <w:p>
            <w:pPr>
              <w:spacing w:line="360" w:lineRule="exact"/>
              <w:jc w:val="center"/>
              <w:rPr>
                <w:rFonts w:ascii="宋体" w:hAnsi="宋体"/>
                <w:b/>
                <w:szCs w:val="21"/>
              </w:rPr>
            </w:pPr>
          </w:p>
        </w:tc>
        <w:tc>
          <w:tcPr>
            <w:tcW w:w="1134" w:type="dxa"/>
            <w:vAlign w:val="center"/>
          </w:tcPr>
          <w:p>
            <w:pPr>
              <w:spacing w:line="360" w:lineRule="exact"/>
              <w:jc w:val="center"/>
              <w:rPr>
                <w:rFonts w:ascii="宋体" w:hAnsi="宋体"/>
                <w:b/>
                <w:szCs w:val="21"/>
              </w:rPr>
            </w:pPr>
          </w:p>
        </w:tc>
      </w:tr>
    </w:tbl>
    <w:p>
      <w:pPr>
        <w:pStyle w:val="16"/>
      </w:pPr>
    </w:p>
    <w:p>
      <w:pPr>
        <w:ind w:left="424" w:leftChars="202" w:right="792" w:rightChars="377" w:firstLine="444" w:firstLineChars="202"/>
        <w:rPr>
          <w:rFonts w:cs="仿宋" w:asciiTheme="minorEastAsia" w:hAnsiTheme="minorEastAsia" w:eastAsiaTheme="minorEastAsia"/>
          <w:sz w:val="22"/>
        </w:rPr>
      </w:pPr>
    </w:p>
    <w:p>
      <w:pPr>
        <w:spacing w:line="360" w:lineRule="auto"/>
        <w:ind w:firstLine="424" w:firstLineChars="193"/>
        <w:rPr>
          <w:rFonts w:cs="仿宋" w:asciiTheme="minorEastAsia" w:hAnsiTheme="minorEastAsia" w:eastAsiaTheme="minorEastAsia"/>
        </w:rPr>
      </w:pPr>
      <w:r>
        <w:rPr>
          <w:rFonts w:hint="eastAsia" w:cs="仿宋" w:asciiTheme="minorEastAsia" w:hAnsiTheme="minorEastAsia" w:eastAsiaTheme="minorEastAsia"/>
          <w:sz w:val="22"/>
          <w:szCs w:val="24"/>
        </w:rPr>
        <w:t>注：请投标供应商按照招标文件规定的审查和评分内容，自上而下的顺序填写本表。因项目次序混乱而影响评标结果者，投标供应商自负其责。</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t>格式1  声 明 函</w:t>
      </w:r>
    </w:p>
    <w:p>
      <w:pPr>
        <w:jc w:val="center"/>
        <w:rPr>
          <w:rFonts w:cs="仿宋" w:asciiTheme="minorEastAsia" w:hAnsiTheme="minorEastAsia" w:eastAsiaTheme="minorEastAsia"/>
          <w:sz w:val="36"/>
          <w:szCs w:val="36"/>
        </w:rPr>
      </w:pPr>
    </w:p>
    <w:p>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我们收到你们组织的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）招标文件，经详细研究，我们决定参加该项目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pPr>
        <w:spacing w:line="360" w:lineRule="auto"/>
        <w:ind w:firstLine="424" w:firstLineChars="202"/>
        <w:jc w:val="left"/>
        <w:rPr>
          <w:rFonts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1．我方愿以《开标一览表》中填写的投标总价并按照招标文件中的一切要求，承担上述项目的全部工作。</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2．我方提交的投标文件为：投标书正本两份，副本四份，电子档文件（正本彩色扫描件PDF格式）一份。</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3．如果我们投标文件被接受，我们将履行招标文件中规定的每一项要求，按期、按质、按量完成任务。</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4．我们愿意提供采购代理机构在招标文件中要求的所有资料，且所递交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5．我们理解，最低报价不是中标的唯一条件。我们认为你们有选择或拒绝任何投标者中标的权利。</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7．我们同意招标文件之规定，遵守有关采购的各项规定。</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8. 我们同意中标后向采购代理机构支付招标文件要求数额的采购代理服务费。</w:t>
      </w:r>
    </w:p>
    <w:p>
      <w:pPr>
        <w:spacing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pPr>
        <w:adjustRightInd w:val="0"/>
        <w:snapToGrid w:val="0"/>
        <w:spacing w:line="360" w:lineRule="auto"/>
        <w:ind w:firstLine="600"/>
        <w:rPr>
          <w:rFonts w:cs="仿宋" w:asciiTheme="minorEastAsia" w:hAnsiTheme="minorEastAsia" w:eastAsiaTheme="minorEastAsia"/>
        </w:rPr>
      </w:pP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单    位： （盖章）</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授权代表或法定代表人： （签字）</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地    址：</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电    话：</w:t>
      </w:r>
    </w:p>
    <w:p>
      <w:pPr>
        <w:adjustRightInd w:val="0"/>
        <w:snapToGrid w:val="0"/>
        <w:spacing w:line="360" w:lineRule="auto"/>
        <w:ind w:firstLine="600"/>
        <w:rPr>
          <w:rFonts w:cs="仿宋" w:asciiTheme="minorEastAsia" w:hAnsiTheme="minorEastAsia" w:eastAsiaTheme="minorEastAsia"/>
        </w:rPr>
      </w:pPr>
      <w:r>
        <w:rPr>
          <w:rFonts w:hint="eastAsia" w:cs="仿宋" w:asciiTheme="minorEastAsia" w:hAnsiTheme="minorEastAsia" w:eastAsiaTheme="minorEastAsia"/>
        </w:rPr>
        <w:t>联 系 人：</w:t>
      </w:r>
    </w:p>
    <w:p>
      <w:pPr>
        <w:jc w:val="right"/>
        <w:rPr>
          <w:rFonts w:cs="仿宋" w:asciiTheme="minorEastAsia" w:hAnsiTheme="minorEastAsia" w:eastAsiaTheme="minorEastAsia"/>
        </w:rPr>
      </w:pPr>
      <w:r>
        <w:rPr>
          <w:rFonts w:hint="eastAsia" w:cs="仿宋" w:asciiTheme="minorEastAsia" w:hAnsiTheme="minorEastAsia" w:eastAsiaTheme="minorEastAsia"/>
        </w:rPr>
        <w:t>年    月    日</w:t>
      </w:r>
    </w:p>
    <w:p>
      <w:pPr>
        <w:jc w:val="left"/>
        <w:rPr>
          <w:rFonts w:cs="仿宋" w:asciiTheme="minorEastAsia" w:hAnsiTheme="minorEastAsia" w:eastAsiaTheme="minorEastAsia"/>
        </w:rPr>
      </w:pPr>
    </w:p>
    <w:p>
      <w:pPr>
        <w:widowControl/>
        <w:jc w:val="left"/>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br w:type="page"/>
      </w: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t>格式2  投标人资格证明文件</w:t>
      </w:r>
    </w:p>
    <w:p>
      <w:pPr>
        <w:ind w:firstLine="1274" w:firstLineChars="607"/>
        <w:rPr>
          <w:rFonts w:cs="仿宋" w:asciiTheme="minorEastAsia" w:hAnsiTheme="minorEastAsia" w:eastAsiaTheme="minorEastAsia"/>
        </w:rPr>
      </w:pPr>
    </w:p>
    <w:p>
      <w:pPr>
        <w:jc w:val="center"/>
        <w:rPr>
          <w:rFonts w:cs="仿宋" w:asciiTheme="minorEastAsia" w:hAnsiTheme="minorEastAsia" w:eastAsiaTheme="minorEastAsia"/>
        </w:rPr>
      </w:pPr>
    </w:p>
    <w:p>
      <w:pPr>
        <w:spacing w:line="360" w:lineRule="auto"/>
        <w:ind w:firstLine="955" w:firstLineChars="455"/>
        <w:rPr>
          <w:rFonts w:cs="仿宋" w:asciiTheme="minorEastAsia" w:hAnsiTheme="minorEastAsia" w:eastAsiaTheme="minorEastAsia"/>
        </w:rPr>
      </w:pPr>
      <w:r>
        <w:rPr>
          <w:rFonts w:hint="eastAsia" w:cs="仿宋" w:asciiTheme="minorEastAsia" w:hAnsiTheme="minorEastAsia" w:eastAsiaTheme="minorEastAsia"/>
        </w:rPr>
        <w:t>1、营业执照或法人证书等证明文件【扫描件或复印件】</w:t>
      </w:r>
    </w:p>
    <w:p>
      <w:pPr>
        <w:spacing w:line="360" w:lineRule="auto"/>
        <w:ind w:firstLine="955" w:firstLineChars="455"/>
        <w:rPr>
          <w:rFonts w:cs="仿宋" w:asciiTheme="minorEastAsia" w:hAnsiTheme="minorEastAsia" w:eastAsiaTheme="minorEastAsia"/>
        </w:rPr>
      </w:pPr>
      <w:r>
        <w:rPr>
          <w:rFonts w:hint="eastAsia" w:cs="仿宋" w:asciiTheme="minorEastAsia" w:hAnsiTheme="minorEastAsia" w:eastAsiaTheme="minorEastAsia"/>
        </w:rPr>
        <w:t>2、法定代表人（负责人）证明书【原件】</w:t>
      </w:r>
    </w:p>
    <w:p>
      <w:pPr>
        <w:spacing w:line="360" w:lineRule="auto"/>
        <w:ind w:firstLine="955" w:firstLineChars="455"/>
        <w:rPr>
          <w:rFonts w:cs="仿宋" w:asciiTheme="minorEastAsia" w:hAnsiTheme="minorEastAsia" w:eastAsiaTheme="minorEastAsia"/>
        </w:rPr>
      </w:pPr>
      <w:r>
        <w:rPr>
          <w:rFonts w:hint="eastAsia" w:cs="仿宋" w:asciiTheme="minorEastAsia" w:hAnsiTheme="minorEastAsia" w:eastAsiaTheme="minorEastAsia"/>
        </w:rPr>
        <w:t>3、法定代表人（负责人）授权委托书【原件】</w:t>
      </w:r>
    </w:p>
    <w:p>
      <w:pPr>
        <w:spacing w:line="360" w:lineRule="auto"/>
        <w:ind w:firstLine="955" w:firstLineChars="455"/>
        <w:rPr>
          <w:rFonts w:cs="仿宋" w:asciiTheme="minorEastAsia" w:hAnsiTheme="minorEastAsia" w:eastAsiaTheme="minorEastAsia"/>
        </w:rPr>
      </w:pPr>
      <w:r>
        <w:rPr>
          <w:rFonts w:hint="eastAsia" w:cs="仿宋" w:asciiTheme="minorEastAsia" w:hAnsiTheme="minorEastAsia" w:eastAsiaTheme="minorEastAsia"/>
        </w:rPr>
        <w:t>4、承诺函【详见格式《承诺函》】</w:t>
      </w:r>
    </w:p>
    <w:p>
      <w:pPr>
        <w:spacing w:line="360" w:lineRule="auto"/>
        <w:ind w:left="1394" w:leftChars="474" w:hanging="399" w:hangingChars="190"/>
        <w:rPr>
          <w:rFonts w:cs="仿宋" w:asciiTheme="minorEastAsia" w:hAnsiTheme="minorEastAsia" w:eastAsiaTheme="minorEastAsia"/>
          <w:color w:val="FF0000"/>
          <w:sz w:val="22"/>
        </w:rPr>
      </w:pPr>
      <w:r>
        <w:rPr>
          <w:rFonts w:hint="eastAsia" w:cs="仿宋" w:asciiTheme="minorEastAsia" w:hAnsiTheme="minorEastAsia" w:eastAsiaTheme="minorEastAsia"/>
        </w:rPr>
        <w:t>5、其他【如有，按采购公告“申请人的资格要求”提供】</w:t>
      </w:r>
    </w:p>
    <w:p>
      <w:pPr>
        <w:adjustRightInd w:val="0"/>
        <w:snapToGrid w:val="0"/>
        <w:spacing w:line="360" w:lineRule="auto"/>
        <w:ind w:firstLine="991" w:firstLineChars="472"/>
        <w:rPr>
          <w:rFonts w:cs="仿宋" w:asciiTheme="minorEastAsia" w:hAnsiTheme="minorEastAsia" w:eastAsiaTheme="minorEastAsia"/>
        </w:rPr>
      </w:pPr>
    </w:p>
    <w:p>
      <w:pPr>
        <w:spacing w:line="360" w:lineRule="auto"/>
        <w:ind w:left="1394" w:leftChars="474" w:hanging="399" w:hangingChars="190"/>
        <w:rPr>
          <w:rFonts w:cs="仿宋" w:asciiTheme="minorEastAsia" w:hAnsiTheme="minorEastAsia" w:eastAsiaTheme="minorEastAsia"/>
        </w:rPr>
      </w:pPr>
    </w:p>
    <w:p>
      <w:pPr>
        <w:spacing w:line="360" w:lineRule="auto"/>
        <w:ind w:left="1413" w:leftChars="474" w:hanging="418" w:hangingChars="190"/>
        <w:rPr>
          <w:rFonts w:cs="仿宋" w:asciiTheme="minorEastAsia" w:hAnsiTheme="minorEastAsia" w:eastAsiaTheme="minorEastAsia"/>
          <w:color w:val="FF0000"/>
          <w:sz w:val="22"/>
        </w:rPr>
      </w:pPr>
      <w:r>
        <w:rPr>
          <w:rFonts w:hint="eastAsia" w:cs="仿宋" w:asciiTheme="minorEastAsia" w:hAnsiTheme="minorEastAsia" w:eastAsiaTheme="minorEastAsia"/>
          <w:color w:val="FF0000"/>
          <w:sz w:val="22"/>
        </w:rPr>
        <w:t>注：以上资料均须加盖投标人公章，原件备查</w:t>
      </w:r>
    </w:p>
    <w:p>
      <w:pPr>
        <w:spacing w:line="360" w:lineRule="auto"/>
        <w:ind w:left="1413" w:leftChars="474" w:hanging="418" w:hangingChars="190"/>
        <w:rPr>
          <w:rFonts w:cs="仿宋" w:asciiTheme="minorEastAsia" w:hAnsiTheme="minorEastAsia" w:eastAsiaTheme="minorEastAsia"/>
          <w:color w:val="FF0000"/>
          <w:sz w:val="22"/>
        </w:rPr>
      </w:pPr>
    </w:p>
    <w:p>
      <w:pPr>
        <w:widowControl/>
        <w:jc w:val="left"/>
        <w:rPr>
          <w:rFonts w:cs="仿宋" w:asciiTheme="minorEastAsia" w:hAnsiTheme="minorEastAsia" w:eastAsiaTheme="minorEastAsia"/>
          <w:color w:val="FF0000"/>
          <w:sz w:val="22"/>
        </w:rPr>
      </w:pPr>
      <w:r>
        <w:rPr>
          <w:rFonts w:hint="eastAsia" w:cs="仿宋" w:asciiTheme="minorEastAsia" w:hAnsiTheme="minorEastAsia" w:eastAsiaTheme="minorEastAsia"/>
          <w:color w:val="FF0000"/>
          <w:sz w:val="22"/>
        </w:rPr>
        <w:br w:type="page"/>
      </w:r>
    </w:p>
    <w:p>
      <w:pPr>
        <w:adjustRightInd w:val="0"/>
        <w:spacing w:line="300" w:lineRule="auto"/>
        <w:ind w:hanging="2"/>
        <w:jc w:val="center"/>
        <w:rPr>
          <w:rFonts w:cs="仿宋" w:asciiTheme="minorEastAsia" w:hAnsiTheme="minorEastAsia" w:eastAsiaTheme="minorEastAsia"/>
        </w:rPr>
      </w:pPr>
      <w:r>
        <w:rPr>
          <w:rFonts w:hint="eastAsia" w:cs="仿宋" w:asciiTheme="minorEastAsia" w:hAnsiTheme="minorEastAsia" w:eastAsiaTheme="minorEastAsia"/>
          <w:snapToGrid w:val="0"/>
          <w:kern w:val="0"/>
          <w:sz w:val="28"/>
        </w:rPr>
        <w:t>承诺函</w:t>
      </w:r>
    </w:p>
    <w:p>
      <w:pPr>
        <w:spacing w:line="400" w:lineRule="exac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line="400" w:lineRule="exact"/>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我单位承诺：</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1.我单位参与本项目</w:t>
      </w:r>
      <w:r>
        <w:rPr>
          <w:rFonts w:hint="eastAsia" w:cs="仿宋" w:asciiTheme="minorEastAsia" w:hAnsiTheme="minorEastAsia" w:eastAsiaTheme="minorEastAsia"/>
          <w:snapToGrid w:val="0"/>
        </w:rPr>
        <w:t>采购活动</w:t>
      </w:r>
      <w:r>
        <w:rPr>
          <w:rFonts w:hint="eastAsia" w:cs="仿宋" w:asciiTheme="minorEastAsia" w:hAnsiTheme="minorEastAsia" w:eastAsiaTheme="minorEastAsia"/>
          <w:szCs w:val="21"/>
        </w:rPr>
        <w:t>前三年内，在经营活动中没有重大违法记录。</w:t>
      </w:r>
    </w:p>
    <w:p>
      <w:pPr>
        <w:spacing w:line="40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szCs w:val="21"/>
        </w:rPr>
        <w:t>2.我单位参与本项目</w:t>
      </w:r>
      <w:r>
        <w:rPr>
          <w:rFonts w:hint="eastAsia" w:cs="仿宋" w:asciiTheme="minorEastAsia" w:hAnsiTheme="minorEastAsia" w:eastAsiaTheme="minorEastAsia"/>
        </w:rPr>
        <w:t>采购活动时不存在被有关部门禁止参与政府采购活动且在有效期内的情况。</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3.我单位满足《中华人民共和国政府采购法》第二十二条规定</w:t>
      </w:r>
      <w:r>
        <w:rPr>
          <w:rFonts w:hint="eastAsia" w:cs="仿宋" w:asciiTheme="minorEastAsia" w:hAnsiTheme="minorEastAsia" w:eastAsiaTheme="minorEastAsia"/>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4.我单位</w:t>
      </w:r>
      <w:r>
        <w:rPr>
          <w:rFonts w:hint="eastAsia" w:cs="仿宋" w:asciiTheme="minorEastAsia" w:hAnsiTheme="minorEastAsia" w:eastAsiaTheme="minorEastAsia"/>
          <w:snapToGrid w:val="0"/>
          <w:szCs w:val="18"/>
        </w:rPr>
        <w:t>与其他投标人不存在“单位负责人为同一人或者存在直接控股、管理关系”的情况；</w:t>
      </w:r>
      <w:r>
        <w:rPr>
          <w:rFonts w:hint="eastAsia" w:cs="仿宋" w:asciiTheme="minorEastAsia" w:hAnsiTheme="minorEastAsia" w:eastAsiaTheme="minorEastAsia"/>
          <w:szCs w:val="21"/>
        </w:rPr>
        <w:t>除单一来源采购项目外，如为采购项目提供整体设计、规范编制或者项目管理、监理、检测等服务，不再参加该采购项目的其他采购活动</w:t>
      </w:r>
      <w:r>
        <w:rPr>
          <w:rFonts w:hint="eastAsia" w:cs="仿宋" w:asciiTheme="minorEastAsia" w:hAnsiTheme="minorEastAsia" w:eastAsiaTheme="minorEastAsia"/>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5.我单位承诺非联合体投标，不非法转包或分包。</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6.我单位参与本项目所提供的货物或服务未侵犯知识产权。</w:t>
      </w:r>
    </w:p>
    <w:p>
      <w:pPr>
        <w:spacing w:line="400" w:lineRule="exact"/>
        <w:ind w:firstLine="420" w:firstLineChars="200"/>
        <w:rPr>
          <w:rFonts w:ascii="宋体" w:hAnsi="宋体"/>
          <w:szCs w:val="21"/>
        </w:rPr>
      </w:pPr>
      <w:r>
        <w:rPr>
          <w:rFonts w:hint="eastAsia" w:cs="仿宋" w:asciiTheme="minorEastAsia" w:hAnsiTheme="minorEastAsia" w:eastAsiaTheme="minorEastAsia"/>
          <w:szCs w:val="21"/>
        </w:rPr>
        <w:t>7.</w:t>
      </w:r>
      <w:r>
        <w:rPr>
          <w:rFonts w:hint="eastAsia" w:ascii="宋体" w:hAnsi="宋体"/>
          <w:szCs w:val="21"/>
        </w:rPr>
        <w:t>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cs="仿宋" w:asciiTheme="minorEastAsia" w:hAnsiTheme="minorEastAsia" w:eastAsiaTheme="minorEastAsia"/>
          <w:szCs w:val="21"/>
        </w:rPr>
      </w:pPr>
      <w:r>
        <w:rPr>
          <w:rFonts w:hint="eastAsia" w:ascii="宋体" w:hAnsi="宋体"/>
          <w:szCs w:val="21"/>
        </w:rPr>
        <w:t>（7）主管部门依照法律、法规认定的其他情形</w:t>
      </w:r>
      <w:r>
        <w:rPr>
          <w:rFonts w:hint="eastAsia" w:cs="仿宋" w:asciiTheme="minorEastAsia" w:hAnsiTheme="minorEastAsia" w:eastAsiaTheme="minorEastAsia"/>
          <w:szCs w:val="21"/>
        </w:rPr>
        <w:t>。</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8.我单位如果中标，做到守信，不偷工减料，依照本项目招标文件需求内容、签署的采购合同及本单位在投标中所作的一切承诺履约。</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以上承诺，如有违反，愿依照相关法律法规处理，并承担由此给采购人带来的损失。</w:t>
      </w:r>
    </w:p>
    <w:p>
      <w:pPr>
        <w:spacing w:line="360" w:lineRule="auto"/>
        <w:ind w:firstLine="600"/>
        <w:rPr>
          <w:rFonts w:cs="仿宋" w:asciiTheme="minorEastAsia" w:hAnsiTheme="minorEastAsia" w:eastAsiaTheme="minorEastAsia"/>
          <w:snapToGrid w:val="0"/>
          <w:szCs w:val="18"/>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投标人：（盖章）</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授权代表或法定代表人：（签字）</w:t>
      </w:r>
    </w:p>
    <w:p>
      <w:pPr>
        <w:adjustRightInd w:val="0"/>
        <w:snapToGrid w:val="0"/>
        <w:spacing w:line="300" w:lineRule="auto"/>
        <w:ind w:right="420"/>
        <w:rPr>
          <w:rFonts w:cs="仿宋" w:asciiTheme="minorEastAsia" w:hAnsiTheme="minorEastAsia" w:eastAsiaTheme="minorEastAsia"/>
          <w:snapToGrid w:val="0"/>
          <w:kern w:val="0"/>
        </w:rPr>
      </w:pPr>
    </w:p>
    <w:p>
      <w:pPr>
        <w:snapToGrid w:val="0"/>
        <w:spacing w:line="360" w:lineRule="auto"/>
        <w:ind w:left="560"/>
        <w:jc w:val="right"/>
        <w:rPr>
          <w:rFonts w:cs="仿宋" w:asciiTheme="minorEastAsia" w:hAnsiTheme="minorEastAsia" w:eastAsiaTheme="minorEastAsia"/>
        </w:rPr>
      </w:pPr>
      <w:r>
        <w:rPr>
          <w:rFonts w:hint="eastAsia" w:cs="仿宋" w:asciiTheme="minorEastAsia" w:hAnsiTheme="minorEastAsia" w:eastAsiaTheme="minorEastAsia"/>
        </w:rPr>
        <w:t>年     月    日</w:t>
      </w:r>
      <w:r>
        <w:rPr>
          <w:rFonts w:hint="eastAsia" w:cs="仿宋" w:asciiTheme="minorEastAsia" w:hAnsiTheme="minorEastAsia" w:eastAsiaTheme="minorEastAsia"/>
        </w:rPr>
        <w:br w:type="page"/>
      </w:r>
    </w:p>
    <w:p>
      <w:pPr>
        <w:widowControl/>
        <w:jc w:val="left"/>
        <w:rPr>
          <w:rFonts w:cs="仿宋" w:asciiTheme="minorEastAsia" w:hAnsiTheme="minorEastAsia" w:eastAsiaTheme="minorEastAsia"/>
        </w:rPr>
      </w:pP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t>法定代表人（负责人）证明书（格式）</w:t>
      </w:r>
    </w:p>
    <w:p>
      <w:pPr>
        <w:jc w:val="center"/>
        <w:rPr>
          <w:rFonts w:cs="仿宋" w:asciiTheme="minorEastAsia" w:hAnsiTheme="minorEastAsia" w:eastAsiaTheme="minorEastAsia"/>
          <w:sz w:val="32"/>
          <w:szCs w:val="36"/>
        </w:rPr>
      </w:pPr>
    </w:p>
    <w:p>
      <w:pPr>
        <w:tabs>
          <w:tab w:val="left" w:pos="900"/>
        </w:tabs>
        <w:spacing w:line="360" w:lineRule="auto"/>
        <w:ind w:firstLine="630" w:firstLineChars="300"/>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同志，现任我单位</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职务，为法定代表人（负责人），特此证明。</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月</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pPr>
        <w:spacing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pPr>
        <w:spacing w:line="360" w:lineRule="auto"/>
        <w:jc w:val="right"/>
        <w:rPr>
          <w:rFonts w:cs="仿宋" w:asciiTheme="minorEastAsia" w:hAnsiTheme="minorEastAsia" w:eastAsiaTheme="minorEastAsia"/>
        </w:rPr>
      </w:pPr>
      <w:r>
        <w:rPr>
          <w:rFonts w:hint="eastAsia" w:cs="仿宋" w:asciiTheme="minorEastAsia" w:hAnsiTheme="minorEastAsia" w:eastAsiaTheme="minorEastAsia"/>
        </w:rPr>
        <w:t>单位名称：（公章）：</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w:t>
      </w:r>
    </w:p>
    <w:p>
      <w:pPr>
        <w:spacing w:line="360" w:lineRule="auto"/>
        <w:ind w:firstLine="743" w:firstLineChars="354"/>
        <w:jc w:val="right"/>
        <w:rPr>
          <w:rFonts w:cs="仿宋" w:asciiTheme="minorEastAsia" w:hAnsiTheme="minorEastAsia" w:eastAsiaTheme="minorEastAsia"/>
        </w:rPr>
      </w:pPr>
      <w:r>
        <w:rPr>
          <w:rFonts w:hint="eastAsia" w:cs="仿宋" w:asciiTheme="minorEastAsia" w:hAnsiTheme="minorEastAsia" w:eastAsiaTheme="minorEastAsia"/>
        </w:rPr>
        <w:t>日期：</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ind w:firstLine="849" w:firstLineChars="354"/>
        <w:jc w:val="right"/>
        <w:rPr>
          <w:rFonts w:cs="仿宋" w:asciiTheme="minorEastAsia" w:hAnsiTheme="minorEastAsia" w:eastAsiaTheme="minorEastAsia"/>
          <w:sz w:val="24"/>
        </w:rPr>
      </w:pPr>
    </w:p>
    <w:p>
      <w:pPr>
        <w:spacing w:line="360" w:lineRule="auto"/>
        <w:rPr>
          <w:rFonts w:cs="仿宋" w:asciiTheme="minorEastAsia" w:hAnsiTheme="minorEastAsia" w:eastAsiaTheme="minorEastAsia"/>
        </w:rPr>
      </w:pPr>
      <w:r>
        <w:rPr>
          <w:rFonts w:cs="仿宋" w:asciiTheme="minorEastAsia" w:hAnsiTheme="minorEastAsia" w:eastAsiaTheme="minorEastAsia"/>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136525</wp:posOffset>
                </wp:positionV>
                <wp:extent cx="2705100" cy="1981200"/>
                <wp:effectExtent l="0" t="0" r="0" b="0"/>
                <wp:wrapNone/>
                <wp:docPr id="4"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1312;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LwpIj7AQAAOwQAAA4AAABkcnMvZTJvRG9jLnhtbK1T&#10;TY/TMBC9I/EfLN9pkorCbtR0D5RyQbBi4Qe4ziSx5C953Cb994yd0u0uHHogh+Q5Hr+Z92a8fpiM&#10;ZkcIqJxteLUoOQMrXats3/BfP3fv7jjDKGwrtLPQ8BMgf9i8fbMefQ1LNzjdQmBEYrEefcOHGH1d&#10;FCgHMAIXzoOlzc4FIyItQ1+0QYzEbnSxLMsPxehC64OTgEh/t/MmPzOGWwhd1ykJWycPBmycWQNo&#10;EUkSDsoj3+Rquw5k/N51CJHphpPSmN+UhPA+vYvNWtR9EH5Q8lyCuKWEV5qMUJaSXqi2Igp2COov&#10;KqNkcOi6uJDOFLOQ7AipqMpX3jwNwkPWQlajv5iO/49Wfjs+Bqbahr/nzApDDf9Bpgnba2CrZM/o&#10;saaoJ/8YziskmLROXTDpSyrYlC09XSyFKTJJP5cfy1VVktuS9qr7u4pGILEWz8d9wPgFnGEJNDxQ&#10;+mylOH7FOIf+CUnZ0GnV7pTWeRH6/Scd2FFQf3f5ObO/CNOWjQ2/Xy1XVIigoe1oWAgaT8LR9jnf&#10;ixN4TVzm51/EqbCtwGEuIDOkMFEbFSFkNIBoP9uWxZMncy3dKZ6KMdBypoGuYEI5Mgqlb4kk77RN&#10;SSAP+Nml1Ke5MwnFaT8RaYJ7156oxwcfVD+QwVUWknZopnInzvOfhvZ6Tfj6zm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cT0NvZAAAACgEAAA8AAAAAAAAAAQAgAAAAIgAAAGRycy9kb3ducmV2&#10;LnhtbFBLAQIUABQAAAAIAIdO4kCS8KSI+wEAADsEAAAOAAAAAAAAAAEAIAAAACgBAABkcnMvZTJv&#10;RG9jLnhtbFBLBQYAAAAABgAGAFkBAACVBQAAAAA=&#10;">
                <v:fill on="t" focussize="0,0"/>
                <v:stroke color="#000000" joinstyle="miter"/>
                <v:imagedata o:title=""/>
                <o:lock v:ext="edit" aspectratio="f"/>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136525</wp:posOffset>
                </wp:positionV>
                <wp:extent cx="2705100" cy="1981200"/>
                <wp:effectExtent l="0" t="0" r="0" b="0"/>
                <wp:wrapNone/>
                <wp:docPr id="3"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0288;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A8oiWz7AQAAOwQAAA4AAABkcnMvZTJvRG9jLnhtbK1T&#10;TY/TMBC9I/EfLN9pkkJhN2q6B0q5IFix8ANcZ5JY8pc8bpP+e8ZuKN2FQw/kkDzH4zfz3ozXD5PR&#10;7AgBlbMNrxYlZ2Cla5XtG/7zx+7NHWcYhW2FdhYafgLkD5vXr9ajr2HpBqdbCIxILNajb/gQo6+L&#10;AuUARuDCebC02blgRKRl6Is2iJHYjS6WZfm+GF1ofXASEOnv9rzJZ8ZwC6HrOiVh6+TBgI1n1gBa&#10;RJKEg/LIN7nargMZv3UdQmS64aQ05jclIbxP72KzFnUfhB+UnEsQt5TwQpMRylLSC9VWRMEOQf1F&#10;ZZQMDl0XF9KZ4iwkO0IqqvKFN0+D8JC1kNXoL6bj/6OVX4+Pgam24W85s8JQw7+TacL2Gti7ZM/o&#10;saaoJ/8Y5hUSTFqnLpj0JRVsypaeLpbCFJmkn8sP5aoqyW1Je9X9XUUjkFiLP8d9wPgZnGEJNDxQ&#10;+mylOH7BeA79HZKyodOq3Smt8yL0+486sKOg/u7yM7M/C9OWjQ2/Xy1XVIigoe1oWAgaT8LR9jnf&#10;sxN4TVzm51/EqbCtwOFcQGZIYaI2KkLIaADRfrItiydP5lq6UzwVY6DlTANdwYRyZBRK3xJJ3mmb&#10;kkAe8Nml1KdzZxKK034i0gT3rj1Rjw8+qH4gg6ssJO3QTOVOzPOfhvZ6Tfj6zm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ErvZAAAACgEAAA8AAAAAAAAAAQAgAAAAIgAAAGRycy9kb3ducmV2&#10;LnhtbFBLAQIUABQAAAAIAIdO4kAPKIls+wEAADsEAAAOAAAAAAAAAAEAIAAAACgBAABkcnMvZTJv&#10;RG9jLnhtbFBLBQYAAAAABgAGAFkBAACVBQ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 xml:space="preserve">                         </w:t>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sz w:val="32"/>
          <w:szCs w:val="36"/>
        </w:rPr>
        <w:t>法定代表人（负责人）授权委托书（格式）</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pPr>
        <w:spacing w:line="360" w:lineRule="auto"/>
        <w:rPr>
          <w:rFonts w:cs="仿宋" w:asciiTheme="minorEastAsia" w:hAnsiTheme="minorEastAsia" w:eastAsiaTheme="minorEastAsia"/>
        </w:rPr>
      </w:pP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附授权代表情况：</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姓       名：</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性       别：</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年       龄：</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职       务：</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身 份证号码：</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通 讯 地 址： </w:t>
      </w:r>
    </w:p>
    <w:p>
      <w:pPr>
        <w:adjustRightInd w:val="0"/>
        <w:snapToGrid w:val="0"/>
        <w:spacing w:line="360" w:lineRule="auto"/>
        <w:ind w:firstLine="629"/>
        <w:rPr>
          <w:rFonts w:cs="仿宋" w:asciiTheme="minorEastAsia" w:hAnsiTheme="minorEastAsia" w:eastAsiaTheme="minorEastAsia"/>
        </w:rPr>
      </w:pPr>
      <w:r>
        <w:rPr>
          <w:rFonts w:hint="eastAsia" w:cs="仿宋" w:asciiTheme="minorEastAsia" w:hAnsiTheme="minorEastAsia" w:eastAsiaTheme="minorEastAsia"/>
        </w:rPr>
        <w:t xml:space="preserve">联 系 方 式： </w:t>
      </w:r>
    </w:p>
    <w:p>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单 位 名 称：（公章）</w:t>
      </w:r>
    </w:p>
    <w:p>
      <w:pPr>
        <w:spacing w:line="360" w:lineRule="auto"/>
        <w:ind w:firstLine="630"/>
        <w:rPr>
          <w:rFonts w:cs="仿宋" w:asciiTheme="minorEastAsia" w:hAnsiTheme="minorEastAsia" w:eastAsiaTheme="minorEastAsia"/>
        </w:rPr>
      </w:pPr>
      <w:r>
        <w:rPr>
          <w:rFonts w:hint="eastAsia" w:cs="仿宋" w:asciiTheme="minorEastAsia" w:hAnsiTheme="minorEastAsia" w:eastAsiaTheme="minorEastAsia"/>
        </w:rPr>
        <w:t>法 人 代 表：（签章）</w:t>
      </w:r>
    </w:p>
    <w:p>
      <w:pPr>
        <w:spacing w:line="360" w:lineRule="auto"/>
        <w:ind w:firstLine="630"/>
        <w:rPr>
          <w:rFonts w:cs="仿宋" w:asciiTheme="minorEastAsia" w:hAnsiTheme="minorEastAsia" w:eastAsiaTheme="minorEastAsia"/>
        </w:rPr>
      </w:pPr>
    </w:p>
    <w:p>
      <w:pPr>
        <w:adjustRightInd w:val="0"/>
        <w:snapToGrid w:val="0"/>
        <w:spacing w:line="360" w:lineRule="auto"/>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spacing w:line="360" w:lineRule="auto"/>
        <w:rPr>
          <w:rFonts w:cs="仿宋" w:asciiTheme="minorEastAsia" w:hAnsiTheme="minorEastAsia" w:eastAsiaTheme="minorEastAsia"/>
        </w:rPr>
      </w:pPr>
      <w:bookmarkStart w:id="1" w:name="_Toc226217114"/>
      <w:r>
        <w:rPr>
          <w:rFonts w:cs="仿宋"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71120</wp:posOffset>
                </wp:positionV>
                <wp:extent cx="2619375" cy="1722755"/>
                <wp:effectExtent l="0" t="0" r="9525" b="0"/>
                <wp:wrapNone/>
                <wp:docPr id="5"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2336;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AU6nsx+wEAADsEAAAOAAAAZHJzL2Uyb0RvYy54bWytU02P&#10;0zAQvSPxHyzfadqg7rJR0z1QygXBioUf4DqTxJK/5HGb9N8zdkLpLhx6IIfkOR6/mfdmvHkcjWYn&#10;CKicrflqseQMrHSNsl3Nf/7Yv/vAGUZhG6GdhZqfAfnj9u2bzeArKF3vdAOBEYnFavA172P0VVGg&#10;7MEIXDgPljZbF4yItAxd0QQxELvRRblc3hWDC40PTgIi/d1Nm3xmDLcQurZVEnZOHg3YOLEG0CKS&#10;JOyVR77N1bYtyPitbREi0zUnpTG/KQnhQ3oX242ouiB8r+RcgrilhFeajFCWkl6odiIKdgzqLyqj&#10;ZHDo2riQzhSTkOwIqVgtX3nz3AsPWQtZjf5iOv4/Wvn19BSYamq+5swKQw3/TqYJ22lgZbJn8FhR&#10;1LN/CvMKCSatYxtM+pIKNmZLzxdLYYxM0s/ybvXw/p64Je2t7svyfr1OrMWf4z5g/AzOsARqHih9&#10;tlKcvmCcQn+HpGzotGr2Suu8CN3how7sJKi/+/zM7C/CtGVDzR/WZSpE0NC2NCwEjSfhaLuc78UJ&#10;vCZe5udfxKmwncB+KiAzpDBRGRUhZNSDaD7ZhsWzJ3Mt3SmeijHQcKaBrmBCOTIKpW+JJO+0TUkg&#10;D/jsUurT1JmE4ngYiTTBg2vO1OOjD6rryeBVFpJ2aKZyJ+b5T0N7vSZ8fee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FOp7MfsBAAA7BAAADgAAAAAAAAABACAAAAAmAQAAZHJzL2Uyb0Rv&#10;Yy54bWxQSwUGAAAAAAYABgBZAQAAkwUAAAAA&#10;">
                <v:fill on="t" focussize="0,0"/>
                <v:stroke color="#000000" joinstyle="miter"/>
                <v:imagedata o:title=""/>
                <o:lock v:ext="edit" aspectratio="f"/>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71120</wp:posOffset>
                </wp:positionV>
                <wp:extent cx="2533650" cy="1722755"/>
                <wp:effectExtent l="0" t="0" r="0" b="0"/>
                <wp:wrapNone/>
                <wp:docPr id="6"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wps:txbx>
                      <wps:bodyPr upright="1"/>
                    </wps:wsp>
                  </a:graphicData>
                </a:graphic>
              </wp:anchor>
            </w:drawing>
          </mc:Choice>
          <mc:Fallback>
            <w:pict>
              <v:rect id="Rectangle 3" o:spid="_x0000_s1026" o:spt="1" style="position:absolute;left:0pt;margin-left:222.15pt;margin-top:5.6pt;height:135.65pt;width:199.5pt;z-index:251663360;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l9KqL+wEAADsEAAAOAAAAZHJzL2Uyb0RvYy54bWytU02P&#10;0zAQvSPxHyzfadpU6ULUdA+UckGwYuEHuPYkseQv2W6T/nvGTijdhUMP5JA8x+M3896Mt4+jVuQM&#10;PkhrGrpaLCkBw62Qpmvozx+Hd+8pCZEZwZQ10NALBPq4e/tmO7gaSttbJcATJDGhHlxD+xhdXRSB&#10;96BZWFgHBjdb6zWLuPRdITwbkF2rolwuN8VgvXDecggB/+6nTToz+nsIbdtKDnvLTxpMnFg9KBZR&#10;UuilC3SXq21b4PFb2waIRDUUlcb8xiSIj+ld7Las7jxzveRzCeyeEl5p0kwaTHql2rPIyMnLv6i0&#10;5N4G28YFt7qYhGRHUMVq+cqb5545yFrQ6uCupof/R8u/np88kaKhG0oM09jw72gaM50Csk72DC7U&#10;GPXsnvy8CgiT1rH1On1RBRmzpZerpTBGwvFnWa3Xmwrd5ri3eijLh6pKrMWf486H+BmsJgk01GP6&#10;bCU7fwlxCv0dkrIFq6Q4SKXywnfHj8qTM8P+HvIzs78IU4YMDf1QlRUWwnBoWxwWhNqh8GC6nO/F&#10;iXBLvMzPv4hTYXsW+qmAzJDCWK1lBJ9RD0x8MoLEi0NzDd4pmorRIChRgFcwoRwZmVT3RKJ3yqQk&#10;kAd8din1aepMQnE8jkia4NGKC/b45LzsejR4lYWkHZyp3Il5/tPQ3q4R39753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OyHU1wAAAAoBAAAPAAAAAAAAAAEAIAAAACIAAABkcnMvZG93bnJldi54&#10;bWxQSwECFAAUAAAACACHTuJApfSqi/sBAAA7BAAADgAAAAAAAAABACAAAAAmAQAAZHJzL2Uyb0Rv&#10;Yy54bWxQSwUGAAAAAAYABgBZAQAAkwU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mc:Fallback>
        </mc:AlternateContent>
      </w:r>
      <w:bookmarkEnd w:id="1"/>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p>
    <w:p>
      <w:pPr>
        <w:tabs>
          <w:tab w:val="left" w:pos="5115"/>
        </w:tabs>
        <w:spacing w:line="360" w:lineRule="auto"/>
        <w:rPr>
          <w:rFonts w:cs="仿宋" w:asciiTheme="minorEastAsia" w:hAnsiTheme="minorEastAsia" w:eastAsiaTheme="minorEastAsia"/>
        </w:rPr>
      </w:pPr>
      <w:r>
        <w:rPr>
          <w:rFonts w:hint="eastAsia" w:cs="仿宋" w:asciiTheme="minorEastAsia" w:hAnsiTheme="minorEastAsia" w:eastAsiaTheme="minorEastAsia"/>
        </w:rPr>
        <w:tab/>
      </w:r>
    </w:p>
    <w:p>
      <w:pPr>
        <w:spacing w:line="360" w:lineRule="auto"/>
        <w:rPr>
          <w:rFonts w:cs="仿宋" w:asciiTheme="minorEastAsia" w:hAnsiTheme="minorEastAsia" w:eastAsiaTheme="minorEastAsia"/>
        </w:rPr>
      </w:pPr>
    </w:p>
    <w:p>
      <w:pPr>
        <w:adjustRightInd w:val="0"/>
        <w:snapToGrid w:val="0"/>
        <w:spacing w:line="360" w:lineRule="auto"/>
        <w:ind w:firstLine="5008" w:firstLineChars="2385"/>
        <w:rPr>
          <w:rFonts w:cs="仿宋" w:asciiTheme="minorEastAsia" w:hAnsiTheme="minorEastAsia" w:eastAsiaTheme="minorEastAsia"/>
        </w:rPr>
      </w:pPr>
    </w:p>
    <w:p>
      <w:pPr>
        <w:ind w:left="431" w:hanging="431" w:hangingChars="196"/>
        <w:rPr>
          <w:rFonts w:cs="仿宋" w:asciiTheme="minorEastAsia" w:hAnsiTheme="minorEastAsia" w:eastAsiaTheme="minorEastAsia"/>
          <w:color w:val="FF0000"/>
          <w:sz w:val="22"/>
        </w:rPr>
      </w:pPr>
      <w:r>
        <w:rPr>
          <w:rFonts w:hint="eastAsia" w:cs="仿宋" w:asciiTheme="minorEastAsia" w:hAnsiTheme="minorEastAsia" w:eastAsiaTheme="minorEastAsia"/>
          <w:color w:val="FF0000"/>
          <w:sz w:val="22"/>
        </w:rPr>
        <w:t>注：法定代表人（负责人）授权委托书除装订于投标文件中外，还须另置一份按“投标须知”18.5项要求单独密封。</w:t>
      </w:r>
    </w:p>
    <w:p>
      <w:pPr>
        <w:widowControl/>
        <w:jc w:val="center"/>
        <w:rPr>
          <w:rFonts w:cs="仿宋" w:asciiTheme="minorEastAsia" w:hAnsiTheme="minorEastAsia" w:eastAsiaTheme="minorEastAsia"/>
        </w:rPr>
      </w:pPr>
      <w:r>
        <w:rPr>
          <w:rFonts w:hint="eastAsia" w:cs="仿宋" w:asciiTheme="minorEastAsia" w:hAnsiTheme="minorEastAsia" w:eastAsiaTheme="minorEastAsia"/>
          <w:sz w:val="32"/>
          <w:szCs w:val="36"/>
        </w:rPr>
        <w:t xml:space="preserve"> </w:t>
      </w:r>
    </w:p>
    <w:p>
      <w:pPr>
        <w:jc w:val="center"/>
        <w:rPr>
          <w:rFonts w:cs="仿宋" w:asciiTheme="minorEastAsia" w:hAnsiTheme="minorEastAsia" w:eastAsiaTheme="minorEastAsia"/>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sz w:val="32"/>
          <w:szCs w:val="36"/>
        </w:rPr>
        <w:t>格式3  评分中涉及的承诺及声明函</w:t>
      </w:r>
    </w:p>
    <w:p>
      <w:pPr>
        <w:widowControl/>
        <w:snapToGrid w:val="0"/>
        <w:spacing w:line="360" w:lineRule="auto"/>
        <w:jc w:val="left"/>
        <w:outlineLvl w:val="4"/>
        <w:rPr>
          <w:rFonts w:ascii="仿宋" w:hAnsi="仿宋" w:eastAsia="仿宋"/>
          <w:b/>
          <w:bCs/>
          <w:color w:val="FF0000"/>
          <w:kern w:val="0"/>
          <w:sz w:val="25"/>
          <w:szCs w:val="25"/>
        </w:rPr>
      </w:pPr>
    </w:p>
    <w:p>
      <w:pPr>
        <w:widowControl/>
        <w:snapToGrid w:val="0"/>
        <w:spacing w:line="360" w:lineRule="auto"/>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2" w:name="_Hlk71925120"/>
      <w:r>
        <w:rPr>
          <w:rFonts w:hint="eastAsia" w:asciiTheme="minorEastAsia" w:hAnsiTheme="minorEastAsia" w:eastAsiaTheme="minorEastAsia"/>
          <w:kern w:val="0"/>
          <w:szCs w:val="21"/>
        </w:rPr>
        <w:t>《关于印发中小企业划型标准规定的通知》（工信部联企业〔2011〕300 号</w:t>
      </w:r>
      <w:bookmarkEnd w:id="2"/>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（详见评审信息）</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（5）在“企业名称”下划线处如实填写</w:t>
      </w:r>
      <w:r>
        <w:rPr>
          <w:rFonts w:hint="eastAsia" w:asciiTheme="minorEastAsia" w:hAnsiTheme="minorEastAsia" w:eastAsiaTheme="minorEastAsia"/>
          <w:b/>
          <w:color w:val="FF0000"/>
          <w:kern w:val="0"/>
          <w:szCs w:val="21"/>
        </w:rPr>
        <w:t>制造商（货物类）或承接企业名称（服务或工程类）</w:t>
      </w:r>
      <w:r>
        <w:rPr>
          <w:rFonts w:hint="eastAsia" w:asciiTheme="minorEastAsia" w:hAnsiTheme="minorEastAsia" w:eastAsiaTheme="minorEastAsia"/>
          <w:kern w:val="0"/>
          <w:szCs w:val="21"/>
        </w:rPr>
        <w:t>；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widowControl/>
        <w:snapToGrid w:val="0"/>
        <w:spacing w:line="360" w:lineRule="auto"/>
        <w:jc w:val="left"/>
        <w:rPr>
          <w:b/>
          <w:bCs/>
          <w:color w:val="FF0000"/>
        </w:rPr>
      </w:pPr>
      <w:r>
        <w:rPr>
          <w:rFonts w:hint="eastAsia" w:asciiTheme="minorEastAsia" w:hAnsiTheme="minorEastAsia" w:eastAsiaTheme="minorEastAsia"/>
          <w:kern w:val="0"/>
          <w:szCs w:val="21"/>
        </w:rPr>
        <w:t xml:space="preserve">    </w:t>
      </w:r>
    </w:p>
    <w:p>
      <w:pPr>
        <w:pStyle w:val="6"/>
        <w:tabs>
          <w:tab w:val="left" w:pos="0"/>
        </w:tabs>
        <w:jc w:val="center"/>
        <w:rPr>
          <w:rFonts w:ascii="宋体" w:hAnsi="宋体"/>
        </w:rPr>
      </w:pPr>
      <w:r>
        <w:rPr>
          <w:rFonts w:hint="eastAsia" w:ascii="宋体" w:hAnsi="宋体"/>
        </w:rPr>
        <w:t>中小企业声明函</w:t>
      </w:r>
    </w:p>
    <w:p>
      <w:pPr>
        <w:pStyle w:val="9"/>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9"/>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9"/>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9"/>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9"/>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9"/>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9"/>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pStyle w:val="6"/>
        <w:tabs>
          <w:tab w:val="left" w:pos="0"/>
        </w:tabs>
        <w:jc w:val="center"/>
        <w:rPr>
          <w:rFonts w:ascii="宋体" w:hAnsi="宋体"/>
        </w:rPr>
      </w:pPr>
      <w:r>
        <w:rPr>
          <w:rFonts w:hint="eastAsia" w:ascii="宋体" w:hAnsi="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6"/>
        <w:tabs>
          <w:tab w:val="left" w:pos="0"/>
        </w:tabs>
        <w:jc w:val="center"/>
        <w:rPr>
          <w:rFonts w:ascii="宋体" w:hAnsi="宋体"/>
        </w:rPr>
      </w:pPr>
      <w:r>
        <w:rPr>
          <w:rFonts w:hint="eastAsia" w:ascii="宋体" w:hAnsi="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adjustRightInd w:val="0"/>
        <w:snapToGrid w:val="0"/>
        <w:spacing w:line="360" w:lineRule="auto"/>
        <w:ind w:firstLine="600"/>
        <w:jc w:val="right"/>
      </w:pPr>
      <w:r>
        <w:t xml:space="preserve">                                          </w:t>
      </w:r>
      <w:r>
        <w:rPr>
          <w:b/>
          <w:bCs/>
        </w:rPr>
        <w:t xml:space="preserve">  </w:t>
      </w:r>
    </w:p>
    <w:p>
      <w:pPr>
        <w:adjustRightInd w:val="0"/>
        <w:spacing w:line="300" w:lineRule="auto"/>
        <w:ind w:hanging="2"/>
        <w:jc w:val="center"/>
        <w:rPr>
          <w:b/>
          <w:snapToGrid w:val="0"/>
          <w:kern w:val="0"/>
          <w:sz w:val="28"/>
        </w:rPr>
      </w:pPr>
      <w:r>
        <w:br w:type="page"/>
      </w:r>
      <w:r>
        <w:rPr>
          <w:rFonts w:hint="eastAsia"/>
          <w:b/>
          <w:snapToGrid w:val="0"/>
          <w:kern w:val="0"/>
          <w:sz w:val="28"/>
        </w:rPr>
        <w:t>诚信承诺函</w:t>
      </w:r>
    </w:p>
    <w:p>
      <w:pPr>
        <w:pStyle w:val="56"/>
        <w:keepNext w:val="0"/>
        <w:adjustRightInd/>
        <w:spacing w:before="0" w:after="0" w:line="240" w:lineRule="auto"/>
        <w:outlineLvl w:val="2"/>
        <w:rPr>
          <w:rFonts w:hAnsi="宋体"/>
          <w:szCs w:val="24"/>
        </w:rPr>
      </w:pPr>
    </w:p>
    <w:p>
      <w:pPr>
        <w:spacing w:line="360" w:lineRule="auto"/>
        <w:rPr>
          <w:rFonts w:cs="Courier New"/>
          <w:snapToGrid w:val="0"/>
          <w:szCs w:val="18"/>
        </w:rPr>
      </w:pPr>
      <w:r>
        <w:rPr>
          <w:rFonts w:hint="eastAsia" w:cs="Courier New"/>
          <w:snapToGrid w:val="0"/>
          <w:szCs w:val="18"/>
        </w:rPr>
        <w:t>深圳市中正招标有限公司：</w:t>
      </w:r>
    </w:p>
    <w:p>
      <w:pPr>
        <w:spacing w:line="360" w:lineRule="auto"/>
        <w:ind w:firstLine="420" w:firstLineChars="200"/>
        <w:rPr>
          <w:rFonts w:cs="Courier New"/>
          <w:snapToGrid w:val="0"/>
          <w:szCs w:val="18"/>
        </w:rPr>
      </w:pPr>
      <w:r>
        <w:rPr>
          <w:rFonts w:hint="eastAsia" w:cs="Courier New"/>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pPr>
        <w:spacing w:line="360" w:lineRule="auto"/>
        <w:ind w:firstLine="420" w:firstLineChars="200"/>
        <w:rPr>
          <w:rFonts w:cs="Courier New"/>
          <w:snapToGrid w:val="0"/>
          <w:szCs w:val="18"/>
        </w:rPr>
      </w:pPr>
      <w:r>
        <w:rPr>
          <w:rFonts w:hint="eastAsia" w:cs="Courier New"/>
          <w:snapToGrid w:val="0"/>
          <w:szCs w:val="18"/>
        </w:rPr>
        <w:t>我单位承诺，在参加政府采购活动中没有出现下列行为之一：</w:t>
      </w:r>
    </w:p>
    <w:p>
      <w:pPr>
        <w:spacing w:line="360" w:lineRule="auto"/>
        <w:ind w:firstLine="420" w:firstLineChars="200"/>
        <w:rPr>
          <w:rFonts w:cs="Courier New"/>
          <w:snapToGrid w:val="0"/>
          <w:szCs w:val="18"/>
        </w:rPr>
      </w:pPr>
      <w:r>
        <w:rPr>
          <w:rFonts w:hint="eastAsia" w:cs="Courier New"/>
          <w:snapToGrid w:val="0"/>
          <w:szCs w:val="18"/>
        </w:rPr>
        <w:t>（一）投标截止后，无正当理由撤销其投标行为，导致项目无法正常开评标的；</w:t>
      </w:r>
    </w:p>
    <w:p>
      <w:pPr>
        <w:spacing w:line="360" w:lineRule="auto"/>
        <w:ind w:firstLine="420" w:firstLineChars="200"/>
        <w:rPr>
          <w:rFonts w:cs="Courier New"/>
          <w:snapToGrid w:val="0"/>
          <w:szCs w:val="18"/>
        </w:rPr>
      </w:pPr>
      <w:r>
        <w:rPr>
          <w:rFonts w:hint="eastAsia" w:cs="Courier New"/>
          <w:snapToGrid w:val="0"/>
          <w:szCs w:val="18"/>
        </w:rPr>
        <w:t>（二）未按《采购条例》规定签订、履行采购合同，严重影响采购人日常工作的；</w:t>
      </w:r>
    </w:p>
    <w:p>
      <w:pPr>
        <w:spacing w:line="360" w:lineRule="auto"/>
        <w:ind w:firstLine="420" w:firstLineChars="200"/>
        <w:rPr>
          <w:rFonts w:cs="Courier New"/>
          <w:snapToGrid w:val="0"/>
          <w:szCs w:val="18"/>
        </w:rPr>
      </w:pPr>
      <w:r>
        <w:rPr>
          <w:rFonts w:hint="eastAsia" w:cs="Courier New"/>
          <w:snapToGrid w:val="0"/>
          <w:szCs w:val="18"/>
        </w:rPr>
        <w:t>（三）在投标文件中未说明且未经采购人同意，将中标项目分包给他人，情节严重的；</w:t>
      </w:r>
    </w:p>
    <w:p>
      <w:pPr>
        <w:spacing w:line="360" w:lineRule="auto"/>
        <w:ind w:firstLine="420" w:firstLineChars="200"/>
        <w:rPr>
          <w:rFonts w:cs="Courier New"/>
          <w:snapToGrid w:val="0"/>
          <w:szCs w:val="18"/>
        </w:rPr>
      </w:pPr>
      <w:r>
        <w:rPr>
          <w:rFonts w:hint="eastAsia" w:cs="Courier New"/>
          <w:snapToGrid w:val="0"/>
          <w:szCs w:val="18"/>
        </w:rPr>
        <w:t>（四）严重违反合同约定，擅自降低货物质量等次和售后服务，货物、工程或者服务存在严重质量问题的；</w:t>
      </w:r>
    </w:p>
    <w:p>
      <w:pPr>
        <w:spacing w:line="360" w:lineRule="auto"/>
        <w:ind w:firstLine="420" w:firstLineChars="200"/>
        <w:rPr>
          <w:rFonts w:cs="Courier New"/>
          <w:snapToGrid w:val="0"/>
          <w:szCs w:val="18"/>
        </w:rPr>
      </w:pPr>
      <w:r>
        <w:rPr>
          <w:rFonts w:hint="eastAsia" w:cs="Courier New"/>
          <w:snapToGrid w:val="0"/>
          <w:szCs w:val="18"/>
        </w:rPr>
        <w:t>（五）严重违反合同约定，未能完成全部货物、服务或工程项目，中途停止配送或者变相增加费用的；</w:t>
      </w:r>
    </w:p>
    <w:p>
      <w:pPr>
        <w:spacing w:line="360" w:lineRule="auto"/>
        <w:ind w:firstLine="420" w:firstLineChars="200"/>
        <w:rPr>
          <w:rFonts w:cs="Courier New"/>
          <w:snapToGrid w:val="0"/>
          <w:szCs w:val="18"/>
        </w:rPr>
      </w:pPr>
      <w:r>
        <w:rPr>
          <w:rFonts w:hint="eastAsia" w:cs="Courier New"/>
          <w:snapToGrid w:val="0"/>
          <w:szCs w:val="18"/>
        </w:rPr>
        <w:t>（六）捏造事实、提供虚假材料进行质疑的；</w:t>
      </w:r>
    </w:p>
    <w:p>
      <w:pPr>
        <w:spacing w:line="360" w:lineRule="auto"/>
        <w:ind w:firstLine="420" w:firstLineChars="200"/>
        <w:rPr>
          <w:rFonts w:cs="Courier New"/>
          <w:snapToGrid w:val="0"/>
          <w:szCs w:val="18"/>
        </w:rPr>
      </w:pPr>
      <w:r>
        <w:rPr>
          <w:rFonts w:hint="eastAsia" w:cs="Courier New"/>
          <w:snapToGrid w:val="0"/>
          <w:szCs w:val="18"/>
        </w:rPr>
        <w:t>（七）假冒他人名义质疑的；</w:t>
      </w:r>
    </w:p>
    <w:p>
      <w:pPr>
        <w:spacing w:line="360" w:lineRule="auto"/>
        <w:ind w:firstLine="420" w:firstLineChars="200"/>
        <w:rPr>
          <w:rFonts w:cs="Courier New"/>
          <w:snapToGrid w:val="0"/>
          <w:szCs w:val="18"/>
        </w:rPr>
      </w:pPr>
      <w:r>
        <w:rPr>
          <w:rFonts w:hint="eastAsia" w:cs="Courier New"/>
          <w:snapToGrid w:val="0"/>
          <w:szCs w:val="18"/>
        </w:rPr>
        <w:t>（八）无正当理由拒不配合进行质疑调查的。</w:t>
      </w:r>
    </w:p>
    <w:p>
      <w:pPr>
        <w:spacing w:line="360" w:lineRule="auto"/>
        <w:ind w:firstLine="420" w:firstLineChars="200"/>
        <w:rPr>
          <w:rFonts w:cs="Courier New"/>
          <w:snapToGrid w:val="0"/>
          <w:szCs w:val="18"/>
        </w:rPr>
      </w:pPr>
      <w:r>
        <w:rPr>
          <w:rFonts w:hint="eastAsia" w:cs="Courier New"/>
          <w:snapToGrid w:val="0"/>
          <w:szCs w:val="18"/>
        </w:rPr>
        <w:t>特此承诺。</w:t>
      </w:r>
    </w:p>
    <w:p>
      <w:pPr>
        <w:spacing w:line="360" w:lineRule="auto"/>
        <w:ind w:firstLine="420" w:firstLineChars="200"/>
        <w:rPr>
          <w:rFonts w:cs="Courier New"/>
          <w:snapToGrid w:val="0"/>
          <w:szCs w:val="18"/>
        </w:rPr>
      </w:pPr>
    </w:p>
    <w:p>
      <w:pPr>
        <w:adjustRightInd w:val="0"/>
        <w:snapToGrid w:val="0"/>
        <w:spacing w:line="300" w:lineRule="auto"/>
        <w:rPr>
          <w:snapToGrid w:val="0"/>
          <w:kern w:val="0"/>
        </w:rPr>
      </w:pPr>
      <w:r>
        <w:rPr>
          <w:rFonts w:hint="eastAsia"/>
          <w:snapToGrid w:val="0"/>
          <w:kern w:val="0"/>
        </w:rPr>
        <w:t>投标人：（盖章）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授权代表或法定代表人：（签字）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60" w:lineRule="auto"/>
        <w:ind w:firstLine="600"/>
        <w:jc w:val="right"/>
        <w:rPr>
          <w:b/>
          <w:snapToGrid w:val="0"/>
          <w:kern w:val="0"/>
          <w:sz w:val="28"/>
        </w:rPr>
      </w:pPr>
      <w:r>
        <w:rPr>
          <w:rFonts w:hint="eastAsia"/>
        </w:rPr>
        <w:t>年     月    日</w:t>
      </w:r>
    </w:p>
    <w:p>
      <w:pPr>
        <w:widowControl/>
        <w:spacing w:line="360" w:lineRule="auto"/>
        <w:jc w:val="left"/>
        <w:rPr>
          <w:rFonts w:cs="仿宋" w:asciiTheme="minorEastAsia" w:hAnsiTheme="minorEastAsia" w:eastAsiaTheme="minorEastAsia"/>
          <w:snapToGrid w:val="0"/>
          <w:szCs w:val="18"/>
        </w:rPr>
      </w:pPr>
    </w:p>
    <w:p>
      <w:pPr>
        <w:jc w:val="center"/>
        <w:rPr>
          <w:rFonts w:cs="仿宋" w:asciiTheme="minorEastAsia" w:hAnsiTheme="minorEastAsia" w:eastAsiaTheme="minorEastAsia"/>
          <w:snapToGrid w:val="0"/>
          <w:szCs w:val="18"/>
        </w:rPr>
      </w:pPr>
    </w:p>
    <w:p>
      <w:pP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br w:type="page"/>
      </w:r>
    </w:p>
    <w:p>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格式4  开标一览表</w:t>
      </w:r>
    </w:p>
    <w:p>
      <w:pPr>
        <w:rPr>
          <w:rFonts w:cs="仿宋" w:asciiTheme="minorEastAsia" w:hAnsiTheme="minorEastAsia" w:eastAsiaTheme="minorEastAsia"/>
        </w:rPr>
      </w:pP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r>
        <w:rPr>
          <w:rFonts w:hint="eastAsia" w:cs="仿宋" w:asciiTheme="minorEastAsia" w:hAnsiTheme="minorEastAsia" w:eastAsiaTheme="minorEastAsia"/>
          <w:u w:val="single"/>
        </w:rPr>
        <w:t xml:space="preserve">                </w:t>
      </w:r>
    </w:p>
    <w:p>
      <w:pPr>
        <w:spacing w:line="360" w:lineRule="auto"/>
        <w:jc w:val="left"/>
        <w:rPr>
          <w:rFonts w:cs="仿宋" w:asciiTheme="minorEastAsia" w:hAnsiTheme="minorEastAsia" w:eastAsiaTheme="minorEastAsia"/>
        </w:rPr>
      </w:pPr>
      <w:r>
        <w:rPr>
          <w:rFonts w:hint="eastAsia" w:cs="仿宋" w:asciiTheme="minorEastAsia" w:hAnsiTheme="minorEastAsia" w:eastAsiaTheme="minorEastAsia"/>
        </w:rPr>
        <w:t>项目编号：</w:t>
      </w:r>
      <w:r>
        <w:rPr>
          <w:rFonts w:hint="eastAsia" w:cs="仿宋" w:asciiTheme="minorEastAsia" w:hAnsiTheme="minorEastAsia" w:eastAsiaTheme="minorEastAsia"/>
          <w:u w:val="single"/>
        </w:rPr>
        <w:t xml:space="preserve">                </w:t>
      </w:r>
    </w:p>
    <w:tbl>
      <w:tblPr>
        <w:tblStyle w:val="22"/>
        <w:tblW w:w="8520"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74"/>
        <w:gridCol w:w="3914"/>
        <w:gridCol w:w="153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74" w:type="dxa"/>
            <w:shd w:val="clear" w:color="auto" w:fill="C6D9F0" w:themeFill="text2" w:themeFillTint="33"/>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项目名称</w:t>
            </w:r>
          </w:p>
        </w:tc>
        <w:tc>
          <w:tcPr>
            <w:tcW w:w="3914" w:type="dxa"/>
            <w:shd w:val="clear" w:color="auto" w:fill="C6D9F0" w:themeFill="text2" w:themeFillTint="33"/>
            <w:vAlign w:val="center"/>
          </w:tcPr>
          <w:p>
            <w:pPr>
              <w:jc w:val="center"/>
            </w:pPr>
            <w:r>
              <w:rPr>
                <w:rFonts w:hint="eastAsia"/>
              </w:rPr>
              <w:t>投标报价</w:t>
            </w:r>
          </w:p>
          <w:p>
            <w:pPr>
              <w:pStyle w:val="20"/>
              <w:ind w:firstLine="840" w:firstLineChars="400"/>
              <w:rPr>
                <w:rFonts w:eastAsiaTheme="minorEastAsia"/>
              </w:rPr>
            </w:pPr>
            <w:r>
              <w:rPr>
                <w:rFonts w:hint="eastAsia" w:eastAsiaTheme="minorEastAsia"/>
              </w:rPr>
              <w:t>（人民币元）</w:t>
            </w:r>
          </w:p>
        </w:tc>
        <w:tc>
          <w:tcPr>
            <w:tcW w:w="1532" w:type="dxa"/>
            <w:shd w:val="clear" w:color="auto" w:fill="C6D9F0" w:themeFill="text2" w:themeFillTint="33"/>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9" w:hRule="atLeast"/>
          <w:jc w:val="center"/>
        </w:trPr>
        <w:tc>
          <w:tcPr>
            <w:tcW w:w="3074" w:type="dxa"/>
            <w:vAlign w:val="center"/>
          </w:tcPr>
          <w:p>
            <w:pPr>
              <w:spacing w:line="360" w:lineRule="auto"/>
              <w:jc w:val="center"/>
              <w:rPr>
                <w:rFonts w:cs="仿宋" w:asciiTheme="minorEastAsia" w:hAnsiTheme="minorEastAsia" w:eastAsiaTheme="minorEastAsia"/>
              </w:rPr>
            </w:pPr>
            <w:r>
              <w:rPr>
                <w:rFonts w:hint="eastAsia" w:cs="仿宋" w:asciiTheme="minorEastAsia" w:hAnsiTheme="minorEastAsia" w:eastAsiaTheme="minorEastAsia"/>
              </w:rPr>
              <w:t>2023年龙华区道路交通安全领域督导检查工作项目</w:t>
            </w:r>
          </w:p>
        </w:tc>
        <w:tc>
          <w:tcPr>
            <w:tcW w:w="3914" w:type="dxa"/>
            <w:vAlign w:val="center"/>
          </w:tcPr>
          <w:p>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pPr>
              <w:spacing w:line="360" w:lineRule="auto"/>
              <w:rPr>
                <w:rFonts w:cs="仿宋" w:asciiTheme="minorEastAsia" w:hAnsiTheme="minorEastAsia" w:eastAsiaTheme="minorEastAsia"/>
                <w:u w:val="single"/>
              </w:rPr>
            </w:pPr>
            <w:r>
              <w:rPr>
                <w:snapToGrid w:val="0"/>
                <w:kern w:val="0"/>
              </w:rPr>
              <w:t>小写：</w:t>
            </w:r>
            <w:r>
              <w:rPr>
                <w:snapToGrid w:val="0"/>
                <w:kern w:val="0"/>
                <w:u w:val="single"/>
              </w:rPr>
              <w:t xml:space="preserve">                   </w:t>
            </w:r>
            <w:r>
              <w:rPr>
                <w:rFonts w:hint="eastAsia"/>
                <w:snapToGrid w:val="0"/>
                <w:kern w:val="0"/>
                <w:u w:val="single"/>
              </w:rPr>
              <w:t xml:space="preserve">             </w:t>
            </w:r>
            <w:r>
              <w:rPr>
                <w:rFonts w:hint="eastAsia" w:cs="仿宋" w:asciiTheme="minorEastAsia" w:hAnsiTheme="minorEastAsia" w:eastAsiaTheme="minorEastAsia"/>
              </w:rPr>
              <w:t xml:space="preserve">                          </w:t>
            </w:r>
          </w:p>
        </w:tc>
        <w:tc>
          <w:tcPr>
            <w:tcW w:w="1532" w:type="dxa"/>
            <w:vAlign w:val="center"/>
          </w:tcPr>
          <w:p>
            <w:pPr>
              <w:spacing w:line="360" w:lineRule="auto"/>
              <w:jc w:val="center"/>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投标人：（公章）</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法定代表人或授权代表：（签章）</w:t>
      </w:r>
    </w:p>
    <w:p>
      <w:pPr>
        <w:spacing w:line="360" w:lineRule="auto"/>
        <w:ind w:firstLine="630"/>
        <w:rPr>
          <w:rFonts w:cs="仿宋" w:asciiTheme="minorEastAsia" w:hAnsiTheme="minorEastAsia" w:eastAsiaTheme="minorEastAsia"/>
        </w:rPr>
      </w:pPr>
    </w:p>
    <w:p>
      <w:pPr>
        <w:jc w:val="right"/>
        <w:rPr>
          <w:rFonts w:cs="仿宋" w:asciiTheme="minorEastAsia" w:hAnsiTheme="minorEastAsia" w:eastAsiaTheme="minorEastAsia"/>
        </w:rPr>
      </w:pP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年</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 xml:space="preserve">月 </w:t>
      </w:r>
      <w:r>
        <w:rPr>
          <w:rFonts w:hint="eastAsia" w:cs="仿宋" w:asciiTheme="minorEastAsia" w:hAnsiTheme="minorEastAsia" w:eastAsiaTheme="minorEastAsia"/>
          <w:u w:val="single"/>
        </w:rPr>
        <w:t xml:space="preserve">      </w:t>
      </w:r>
      <w:r>
        <w:rPr>
          <w:rFonts w:hint="eastAsia" w:cs="仿宋" w:asciiTheme="minorEastAsia" w:hAnsiTheme="minorEastAsia" w:eastAsiaTheme="minorEastAsia"/>
        </w:rPr>
        <w:t>日</w:t>
      </w:r>
    </w:p>
    <w:p>
      <w:pPr>
        <w:jc w:val="left"/>
        <w:rPr>
          <w:rFonts w:cs="仿宋" w:asciiTheme="minorEastAsia" w:hAnsiTheme="minorEastAsia" w:eastAsiaTheme="minorEastAsia"/>
        </w:rPr>
      </w:pPr>
    </w:p>
    <w:p>
      <w:pPr>
        <w:spacing w:line="440" w:lineRule="exact"/>
        <w:jc w:val="left"/>
        <w:rPr>
          <w:rFonts w:cs="仿宋" w:asciiTheme="minorEastAsia" w:hAnsiTheme="minorEastAsia" w:eastAsiaTheme="minorEastAsia"/>
          <w:color w:val="FF0000"/>
        </w:rPr>
      </w:pPr>
      <w:r>
        <w:rPr>
          <w:rFonts w:hint="eastAsia" w:cs="仿宋" w:asciiTheme="minorEastAsia" w:hAnsiTheme="minorEastAsia" w:eastAsiaTheme="minorEastAsia"/>
          <w:color w:val="FF0000"/>
        </w:rPr>
        <w:t>注：</w:t>
      </w:r>
    </w:p>
    <w:p>
      <w:pPr>
        <w:spacing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1、价格应按“招标文件”中规定的货币单位填写。</w:t>
      </w:r>
    </w:p>
    <w:p>
      <w:pPr>
        <w:spacing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2、投标总价为综合报价，包含完成本项目所需的全部费用。</w:t>
      </w:r>
    </w:p>
    <w:p>
      <w:pPr>
        <w:spacing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3、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4、此表应经法定代表人或其授权委托人签名，并加盖投标人公章。</w:t>
      </w:r>
    </w:p>
    <w:p>
      <w:pPr>
        <w:spacing w:line="440" w:lineRule="exact"/>
        <w:ind w:firstLine="482" w:firstLineChars="200"/>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5、</w:t>
      </w:r>
      <w:r>
        <w:rPr>
          <w:rFonts w:cs="仿宋" w:asciiTheme="minorEastAsia" w:hAnsiTheme="minorEastAsia" w:eastAsiaTheme="minorEastAsia"/>
          <w:b/>
          <w:bCs/>
          <w:sz w:val="24"/>
          <w:szCs w:val="24"/>
        </w:rPr>
        <w:t>此表毋需装订于正副本内，应按“</w:t>
      </w:r>
      <w:r>
        <w:rPr>
          <w:rFonts w:hint="eastAsia" w:cs="仿宋" w:asciiTheme="minorEastAsia" w:hAnsiTheme="minorEastAsia" w:eastAsiaTheme="minorEastAsia"/>
          <w:b/>
          <w:bCs/>
          <w:sz w:val="24"/>
          <w:szCs w:val="24"/>
        </w:rPr>
        <w:t>投标须知”</w:t>
      </w:r>
      <w:r>
        <w:rPr>
          <w:rFonts w:cs="仿宋" w:asciiTheme="minorEastAsia" w:hAnsiTheme="minorEastAsia" w:eastAsiaTheme="minorEastAsia"/>
          <w:b/>
          <w:bCs/>
          <w:sz w:val="24"/>
          <w:szCs w:val="24"/>
        </w:rPr>
        <w:t>18.5项要求，与“法定代表人（负责人）证明书、法定代表人（负责人）授权委托书”一起单独密封提交</w:t>
      </w:r>
      <w:r>
        <w:rPr>
          <w:rFonts w:hint="eastAsia" w:cs="仿宋" w:asciiTheme="minorEastAsia" w:hAnsiTheme="minorEastAsia" w:eastAsiaTheme="minorEastAsia"/>
          <w:b/>
          <w:bCs/>
          <w:sz w:val="24"/>
          <w:szCs w:val="24"/>
        </w:rPr>
        <w:t>。</w:t>
      </w:r>
    </w:p>
    <w:p>
      <w:pPr>
        <w:jc w:val="center"/>
        <w:rPr>
          <w:rFonts w:cs="仿宋" w:asciiTheme="minorEastAsia" w:hAnsiTheme="minorEastAsia" w:eastAsiaTheme="minorEastAsia"/>
          <w:sz w:val="32"/>
          <w:szCs w:val="32"/>
        </w:rPr>
      </w:pPr>
    </w:p>
    <w:p>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格式5  报价表</w:t>
      </w:r>
    </w:p>
    <w:p>
      <w:pPr>
        <w:rPr>
          <w:rFonts w:cs="仿宋" w:asciiTheme="minorEastAsia" w:hAnsiTheme="minorEastAsia" w:eastAsiaTheme="minorEastAsia"/>
        </w:rPr>
      </w:pPr>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2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rPr>
                <w:rFonts w:ascii="宋体" w:hAnsi="宋体"/>
                <w:snapToGrid w:val="0"/>
                <w:kern w:val="0"/>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428"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pPr>
              <w:adjustRightInd w:val="0"/>
              <w:snapToGrid w:val="0"/>
              <w:spacing w:line="300" w:lineRule="auto"/>
              <w:rPr>
                <w:rFonts w:ascii="宋体" w:hAnsi="宋体"/>
                <w:szCs w:val="21"/>
                <w:lang w:val="zh-CN"/>
              </w:rPr>
            </w:pP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pStyle w:val="20"/>
        <w:ind w:left="0" w:leftChars="0" w:firstLine="0" w:firstLineChars="0"/>
      </w:pPr>
    </w:p>
    <w:p>
      <w:pPr>
        <w:adjustRightInd w:val="0"/>
        <w:snapToGrid w:val="0"/>
        <w:spacing w:line="300" w:lineRule="auto"/>
        <w:rPr>
          <w:snapToGrid w:val="0"/>
          <w:kern w:val="0"/>
        </w:rPr>
      </w:pPr>
    </w:p>
    <w:p>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报</w:t>
      </w:r>
      <w:r>
        <w:rPr>
          <w:rFonts w:hint="eastAsia" w:asciiTheme="minorEastAsia" w:hAnsiTheme="minorEastAsia" w:eastAsiaTheme="minorEastAsia"/>
        </w:rPr>
        <w:t>价应与本表中的人员管理服务费报价金额一致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br w:type="page"/>
      </w:r>
    </w:p>
    <w:p>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格式6   服务方案</w:t>
      </w:r>
    </w:p>
    <w:p>
      <w:pPr>
        <w:rPr>
          <w:rFonts w:cs="仿宋" w:asciiTheme="minorEastAsia" w:hAnsiTheme="minorEastAsia" w:eastAsiaTheme="minorEastAsia"/>
          <w:highlight w:val="yellow"/>
        </w:rPr>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实施方案</w:t>
      </w:r>
    </w:p>
    <w:p>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szCs w:val="21"/>
        </w:rPr>
        <w:t>质量（完成时间、安全、环保）保障措施及方案</w:t>
      </w:r>
    </w:p>
    <w:p>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pPr>
        <w:spacing w:line="360" w:lineRule="auto"/>
        <w:ind w:firstLine="420" w:firstLineChars="200"/>
        <w:rPr>
          <w:rFonts w:ascii="宋体" w:hAnsi="宋体" w:cs="宋体"/>
          <w:szCs w:val="21"/>
        </w:rPr>
      </w:pPr>
      <w:r>
        <w:rPr>
          <w:rFonts w:hint="eastAsia" w:ascii="宋体" w:hAnsi="宋体" w:cs="宋体"/>
          <w:szCs w:val="21"/>
        </w:rPr>
        <w:t>5、违约承诺</w:t>
      </w:r>
    </w:p>
    <w:p>
      <w:pPr>
        <w:spacing w:line="360" w:lineRule="auto"/>
        <w:ind w:firstLine="420" w:firstLineChars="200"/>
        <w:rPr>
          <w:rFonts w:ascii="宋体" w:hAnsi="宋体"/>
          <w:szCs w:val="21"/>
        </w:rPr>
      </w:pPr>
      <w:r>
        <w:rPr>
          <w:rFonts w:hint="eastAsia" w:ascii="宋体" w:hAnsi="宋体"/>
          <w:szCs w:val="21"/>
        </w:rPr>
        <w:t>6、供应商认证情况</w:t>
      </w:r>
    </w:p>
    <w:p>
      <w:pPr>
        <w:spacing w:line="360" w:lineRule="auto"/>
        <w:ind w:firstLine="420" w:firstLineChars="200"/>
        <w:rPr>
          <w:rFonts w:ascii="宋体" w:hAnsi="宋体"/>
          <w:szCs w:val="21"/>
        </w:rPr>
      </w:pPr>
      <w:r>
        <w:rPr>
          <w:rFonts w:hint="eastAsia" w:ascii="宋体" w:hAnsi="宋体"/>
          <w:szCs w:val="21"/>
        </w:rPr>
        <w:t>7、供应商项目业绩情况</w:t>
      </w:r>
    </w:p>
    <w:p>
      <w:pPr>
        <w:spacing w:line="360" w:lineRule="auto"/>
        <w:ind w:firstLine="420" w:firstLineChars="200"/>
        <w:rPr>
          <w:rFonts w:ascii="宋体" w:hAnsi="宋体"/>
          <w:szCs w:val="21"/>
        </w:rPr>
      </w:pPr>
      <w:r>
        <w:rPr>
          <w:rFonts w:hint="eastAsia" w:ascii="宋体" w:hAnsi="宋体"/>
          <w:szCs w:val="21"/>
        </w:rPr>
        <w:t>8、供应商获奖情况</w:t>
      </w:r>
    </w:p>
    <w:p>
      <w:pPr>
        <w:spacing w:line="360" w:lineRule="auto"/>
        <w:ind w:firstLine="420" w:firstLineChars="200"/>
        <w:rPr>
          <w:rFonts w:ascii="宋体" w:hAnsi="宋体"/>
          <w:szCs w:val="21"/>
        </w:rPr>
      </w:pPr>
      <w:r>
        <w:rPr>
          <w:rFonts w:hint="eastAsia" w:ascii="宋体" w:hAnsi="宋体"/>
          <w:szCs w:val="21"/>
        </w:rPr>
        <w:t>9、拟安排的项目负责人情况（仅限一人）</w:t>
      </w:r>
    </w:p>
    <w:p>
      <w:pPr>
        <w:spacing w:line="360" w:lineRule="auto"/>
        <w:ind w:left="420"/>
        <w:rPr>
          <w:rFonts w:ascii="宋体" w:hAnsi="宋体"/>
          <w:bCs/>
        </w:rPr>
      </w:pPr>
      <w:r>
        <w:rPr>
          <w:rFonts w:hint="eastAsia" w:ascii="宋体" w:hAnsi="宋体"/>
          <w:bCs/>
        </w:rPr>
        <w:t>10、拟安排的项目主要团队成员（主要技术人员）情况（项目负责人除外）</w:t>
      </w:r>
    </w:p>
    <w:p>
      <w:pPr>
        <w:spacing w:line="360" w:lineRule="auto"/>
        <w:ind w:left="420"/>
        <w:rPr>
          <w:rFonts w:ascii="宋体" w:hAnsi="宋体"/>
          <w:bCs/>
        </w:rPr>
      </w:pPr>
      <w:r>
        <w:rPr>
          <w:rFonts w:hint="eastAsia" w:ascii="宋体" w:hAnsi="宋体"/>
          <w:bCs/>
        </w:rPr>
        <w:t>11、供应商自主知识产权产品（创新、设计）情况</w:t>
      </w:r>
    </w:p>
    <w:p>
      <w:pPr>
        <w:spacing w:line="360" w:lineRule="auto"/>
        <w:ind w:left="420"/>
        <w:rPr>
          <w:rFonts w:ascii="宋体" w:hAnsi="宋体"/>
          <w:bCs/>
        </w:rPr>
      </w:pPr>
      <w:r>
        <w:rPr>
          <w:rFonts w:hint="eastAsia" w:ascii="宋体" w:hAnsi="宋体"/>
          <w:bCs/>
        </w:rPr>
        <w:t>12、服务网点</w:t>
      </w:r>
    </w:p>
    <w:p>
      <w:pPr>
        <w:spacing w:line="360" w:lineRule="auto"/>
        <w:ind w:left="420"/>
        <w:rPr>
          <w:rFonts w:ascii="宋体" w:hAnsi="宋体"/>
          <w:bCs/>
        </w:rPr>
      </w:pPr>
      <w:r>
        <w:rPr>
          <w:rFonts w:hint="eastAsia" w:ascii="宋体" w:hAnsi="宋体"/>
          <w:bCs/>
        </w:rPr>
        <w:t>13、诚信情况</w:t>
      </w:r>
    </w:p>
    <w:p>
      <w:pPr>
        <w:spacing w:line="360" w:lineRule="auto"/>
        <w:ind w:left="420"/>
        <w:rPr>
          <w:rFonts w:ascii="宋体" w:hAnsi="宋体"/>
          <w:bCs/>
        </w:rPr>
      </w:pPr>
      <w:r>
        <w:rPr>
          <w:rFonts w:hint="eastAsia" w:ascii="宋体" w:hAnsi="宋体"/>
          <w:bCs/>
        </w:rPr>
        <w:t>14、投标人认为必要的其他方案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投标人：（盖章）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rPr>
          <w:rFonts w:cs="仿宋" w:asciiTheme="minorEastAsia" w:hAnsiTheme="minorEastAsia" w:eastAsiaTheme="minorEastAsia"/>
          <w:highlight w:val="yellow"/>
        </w:rPr>
      </w:pPr>
    </w:p>
    <w:p>
      <w:pPr>
        <w:widowControl/>
        <w:jc w:val="left"/>
        <w:rPr>
          <w:rFonts w:cs="仿宋" w:asciiTheme="minorEastAsia" w:hAnsiTheme="minorEastAsia" w:eastAsiaTheme="minorEastAsia"/>
        </w:rPr>
      </w:pPr>
      <w:r>
        <w:rPr>
          <w:rFonts w:cs="仿宋" w:asciiTheme="minorEastAsia" w:hAnsiTheme="minorEastAsia" w:eastAsiaTheme="minorEastAsia"/>
        </w:rPr>
        <w:br w:type="page"/>
      </w:r>
    </w:p>
    <w:p>
      <w:pPr>
        <w:widowControl/>
        <w:jc w:val="left"/>
        <w:rPr>
          <w:rFonts w:cs="仿宋" w:asciiTheme="minorEastAsia" w:hAnsiTheme="minorEastAsia" w:eastAsiaTheme="minorEastAsia"/>
        </w:rPr>
      </w:pPr>
    </w:p>
    <w:p>
      <w:pPr>
        <w:tabs>
          <w:tab w:val="left" w:pos="8248"/>
          <w:tab w:val="left" w:pos="9368"/>
        </w:tabs>
        <w:spacing w:line="360" w:lineRule="auto"/>
      </w:pPr>
      <w:r>
        <w:rPr>
          <w:rFonts w:hint="eastAsia"/>
        </w:rPr>
        <w:t>附表：</w:t>
      </w:r>
    </w:p>
    <w:p>
      <w:pPr>
        <w:pStyle w:val="52"/>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2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br w:type="page"/>
      </w:r>
    </w:p>
    <w:p>
      <w:pPr>
        <w:tabs>
          <w:tab w:val="left" w:pos="170"/>
        </w:tabs>
        <w:autoSpaceDE w:val="0"/>
        <w:autoSpaceDN w:val="0"/>
        <w:adjustRightInd w:val="0"/>
        <w:spacing w:line="360" w:lineRule="auto"/>
        <w:ind w:firstLine="320" w:firstLineChars="100"/>
        <w:jc w:val="center"/>
        <w:rPr>
          <w:rFonts w:cs="仿宋" w:asciiTheme="minorEastAsia" w:hAnsiTheme="minorEastAsia" w:eastAsiaTheme="minorEastAsia"/>
        </w:rPr>
      </w:pPr>
      <w:r>
        <w:rPr>
          <w:rFonts w:hint="eastAsia" w:cs="仿宋" w:asciiTheme="minorEastAsia" w:hAnsiTheme="minorEastAsia" w:eastAsiaTheme="minorEastAsia"/>
          <w:sz w:val="32"/>
          <w:szCs w:val="32"/>
        </w:rPr>
        <w:t>格式7  投标人情况介绍</w:t>
      </w:r>
    </w:p>
    <w:p>
      <w:pPr>
        <w:rPr>
          <w:rFonts w:cs="仿宋" w:asciiTheme="minorEastAsia" w:hAnsiTheme="minorEastAsia" w:eastAsiaTheme="minorEastAsia"/>
        </w:rPr>
      </w:pPr>
    </w:p>
    <w:p>
      <w:pPr>
        <w:adjustRightInd w:val="0"/>
        <w:snapToGrid w:val="0"/>
        <w:spacing w:line="360" w:lineRule="auto"/>
        <w:rPr>
          <w:rFonts w:ascii="宋体" w:hAnsi="宋体"/>
          <w:bCs/>
          <w:snapToGrid w:val="0"/>
          <w:kern w:val="0"/>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pStyle w:val="5"/>
        <w:spacing w:before="0"/>
        <w:rPr>
          <w:rFonts w:ascii="宋体" w:hAnsi="宋体"/>
          <w:sz w:val="28"/>
        </w:rPr>
      </w:pPr>
    </w:p>
    <w:p>
      <w:pPr>
        <w:pStyle w:val="5"/>
        <w:spacing w:before="0"/>
        <w:rPr>
          <w:rFonts w:ascii="宋体" w:hAnsi="宋体"/>
          <w:b w:val="0"/>
          <w:bCs w:val="0"/>
          <w:sz w:val="28"/>
        </w:rPr>
      </w:pPr>
    </w:p>
    <w:p>
      <w:pPr>
        <w:rPr>
          <w:rFonts w:cs="仿宋" w:asciiTheme="minorEastAsia" w:hAnsiTheme="minorEastAsia" w:eastAsiaTheme="minorEastAsia"/>
          <w:sz w:val="28"/>
          <w:szCs w:val="32"/>
        </w:rPr>
      </w:pPr>
      <w:r>
        <w:rPr>
          <w:rFonts w:hint="eastAsia" w:cs="仿宋" w:asciiTheme="minorEastAsia" w:hAnsiTheme="minorEastAsia" w:eastAsiaTheme="minorEastAsia"/>
          <w:sz w:val="28"/>
          <w:szCs w:val="32"/>
        </w:rPr>
        <w:br w:type="page"/>
      </w:r>
    </w:p>
    <w:p>
      <w:pPr>
        <w:tabs>
          <w:tab w:val="left" w:pos="170"/>
        </w:tabs>
        <w:autoSpaceDE w:val="0"/>
        <w:autoSpaceDN w:val="0"/>
        <w:adjustRightInd w:val="0"/>
        <w:spacing w:line="360" w:lineRule="auto"/>
        <w:ind w:firstLine="320" w:firstLineChars="100"/>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格式8  偏离表</w:t>
      </w:r>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1680"/>
        <w:gridCol w:w="2963"/>
        <w:gridCol w:w="1658"/>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31" w:type="pct"/>
            <w:vAlign w:val="center"/>
          </w:tcPr>
          <w:p>
            <w:pPr>
              <w:rPr>
                <w:rFonts w:ascii="宋体" w:hAnsi="宋体"/>
                <w:szCs w:val="21"/>
              </w:rPr>
            </w:pPr>
            <w:r>
              <w:rPr>
                <w:rFonts w:hint="eastAsia" w:ascii="宋体" w:hAnsi="宋体"/>
                <w:szCs w:val="21"/>
              </w:rPr>
              <w:t>序号</w:t>
            </w:r>
          </w:p>
        </w:tc>
        <w:tc>
          <w:tcPr>
            <w:tcW w:w="986" w:type="pct"/>
            <w:vAlign w:val="center"/>
          </w:tcPr>
          <w:p>
            <w:pPr>
              <w:ind w:left="136" w:leftChars="65"/>
              <w:jc w:val="center"/>
              <w:rPr>
                <w:rFonts w:ascii="宋体" w:hAnsi="宋体"/>
                <w:szCs w:val="21"/>
              </w:rPr>
            </w:pPr>
            <w:r>
              <w:rPr>
                <w:rFonts w:hint="eastAsia" w:ascii="宋体" w:hAnsi="宋体"/>
                <w:szCs w:val="21"/>
              </w:rPr>
              <w:t>招标项目需求</w:t>
            </w:r>
          </w:p>
        </w:tc>
        <w:tc>
          <w:tcPr>
            <w:tcW w:w="1739" w:type="pct"/>
            <w:vAlign w:val="center"/>
          </w:tcPr>
          <w:p>
            <w:pPr>
              <w:ind w:left="136" w:leftChars="65"/>
              <w:jc w:val="center"/>
              <w:rPr>
                <w:rFonts w:ascii="宋体" w:hAnsi="宋体"/>
                <w:szCs w:val="21"/>
              </w:rPr>
            </w:pPr>
            <w:r>
              <w:rPr>
                <w:rFonts w:hint="eastAsia" w:ascii="宋体" w:hAnsi="宋体"/>
                <w:szCs w:val="21"/>
              </w:rPr>
              <w:t>投标文件响应</w:t>
            </w:r>
          </w:p>
        </w:tc>
        <w:tc>
          <w:tcPr>
            <w:tcW w:w="973" w:type="pct"/>
            <w:vAlign w:val="center"/>
          </w:tcPr>
          <w:p>
            <w:pPr>
              <w:ind w:left="136" w:leftChars="65"/>
              <w:jc w:val="center"/>
              <w:rPr>
                <w:rFonts w:ascii="宋体" w:hAnsi="宋体"/>
                <w:szCs w:val="21"/>
              </w:rPr>
            </w:pPr>
            <w:r>
              <w:rPr>
                <w:rFonts w:hint="eastAsia" w:ascii="宋体" w:hAnsi="宋体"/>
                <w:szCs w:val="21"/>
              </w:rPr>
              <w:t>偏离情况</w:t>
            </w:r>
          </w:p>
        </w:tc>
        <w:tc>
          <w:tcPr>
            <w:tcW w:w="969" w:type="pct"/>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00" w:type="pct"/>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331" w:type="pct"/>
            <w:vAlign w:val="center"/>
          </w:tcPr>
          <w:p>
            <w:pPr>
              <w:ind w:left="136" w:leftChars="65"/>
              <w:jc w:val="center"/>
              <w:rPr>
                <w:rFonts w:ascii="宋体" w:hAnsi="宋体"/>
                <w:szCs w:val="21"/>
              </w:rPr>
            </w:pPr>
            <w:r>
              <w:rPr>
                <w:rFonts w:hint="eastAsia" w:ascii="宋体" w:hAnsi="宋体"/>
                <w:szCs w:val="21"/>
              </w:rPr>
              <w:t>1</w:t>
            </w:r>
          </w:p>
        </w:tc>
        <w:tc>
          <w:tcPr>
            <w:tcW w:w="986" w:type="pct"/>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1739" w:type="pct"/>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973" w:type="pct"/>
            <w:vAlign w:val="center"/>
          </w:tcPr>
          <w:p>
            <w:pPr>
              <w:ind w:left="136" w:leftChars="65"/>
              <w:jc w:val="center"/>
              <w:rPr>
                <w:rFonts w:ascii="宋体" w:hAnsi="宋体"/>
                <w:szCs w:val="21"/>
              </w:rPr>
            </w:pPr>
          </w:p>
        </w:tc>
        <w:tc>
          <w:tcPr>
            <w:tcW w:w="969" w:type="pct"/>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000" w:type="pct"/>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331" w:type="pct"/>
            <w:vAlign w:val="center"/>
          </w:tcPr>
          <w:p>
            <w:pPr>
              <w:jc w:val="center"/>
              <w:rPr>
                <w:rFonts w:ascii="宋体" w:hAnsi="宋体"/>
                <w:szCs w:val="21"/>
              </w:rPr>
            </w:pPr>
            <w:r>
              <w:rPr>
                <w:rFonts w:hint="eastAsia" w:ascii="宋体" w:hAnsi="宋体"/>
              </w:rPr>
              <w:t>1</w:t>
            </w:r>
          </w:p>
        </w:tc>
        <w:tc>
          <w:tcPr>
            <w:tcW w:w="986" w:type="pct"/>
            <w:vAlign w:val="center"/>
          </w:tcPr>
          <w:p>
            <w:pPr>
              <w:rPr>
                <w:rFonts w:ascii="宋体" w:hAnsi="宋体"/>
                <w:color w:val="FF0000"/>
                <w:szCs w:val="21"/>
              </w:rPr>
            </w:pPr>
            <w:r>
              <w:rPr>
                <w:rFonts w:hint="eastAsia" w:ascii="宋体" w:hAnsi="宋体"/>
                <w:b/>
                <w:color w:val="FF0000"/>
                <w:szCs w:val="21"/>
              </w:rPr>
              <w:t>招标文件第二章《项目需求》中未带★号的所有条款要求</w:t>
            </w:r>
          </w:p>
        </w:tc>
        <w:tc>
          <w:tcPr>
            <w:tcW w:w="1739" w:type="pct"/>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973" w:type="pct"/>
            <w:vAlign w:val="center"/>
          </w:tcPr>
          <w:p>
            <w:pPr>
              <w:ind w:left="136" w:leftChars="65"/>
              <w:jc w:val="center"/>
              <w:rPr>
                <w:rFonts w:ascii="宋体" w:hAnsi="宋体"/>
                <w:szCs w:val="21"/>
              </w:rPr>
            </w:pPr>
          </w:p>
        </w:tc>
        <w:tc>
          <w:tcPr>
            <w:tcW w:w="969" w:type="pct"/>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法定代表人或授权代表：（签字）</w:t>
      </w:r>
    </w:p>
    <w:p>
      <w:pPr>
        <w:wordWrap w:val="0"/>
        <w:adjustRightInd w:val="0"/>
        <w:snapToGrid w:val="0"/>
        <w:spacing w:line="300" w:lineRule="auto"/>
        <w:jc w:val="right"/>
        <w:rPr>
          <w:snapToGrid w:val="0"/>
          <w:kern w:val="0"/>
        </w:rPr>
      </w:pPr>
      <w:r>
        <w:rPr>
          <w:rFonts w:hint="eastAsia"/>
          <w:snapToGrid w:val="0"/>
          <w:kern w:val="0"/>
        </w:rPr>
        <w:t>年    月   日</w:t>
      </w:r>
    </w:p>
    <w:p>
      <w:pPr>
        <w:ind w:firstLine="3360" w:firstLineChars="1200"/>
        <w:rPr>
          <w:rFonts w:cs="仿宋" w:asciiTheme="minorEastAsia" w:hAnsiTheme="minorEastAsia" w:eastAsiaTheme="minorEastAsia"/>
          <w:sz w:val="28"/>
          <w:szCs w:val="32"/>
        </w:rPr>
      </w:pPr>
    </w:p>
    <w:p>
      <w:pPr>
        <w:rPr>
          <w:rFonts w:cs="仿宋" w:asciiTheme="minorEastAsia" w:hAnsiTheme="minorEastAsia" w:eastAsiaTheme="minorEastAsia"/>
          <w:sz w:val="28"/>
          <w:szCs w:val="32"/>
        </w:rPr>
      </w:pPr>
      <w:r>
        <w:rPr>
          <w:rFonts w:hint="eastAsia" w:cs="仿宋" w:asciiTheme="minorEastAsia" w:hAnsiTheme="minorEastAsia" w:eastAsiaTheme="minorEastAsia"/>
          <w:sz w:val="28"/>
          <w:szCs w:val="32"/>
        </w:rPr>
        <w:br w:type="page"/>
      </w:r>
    </w:p>
    <w:p>
      <w:pPr>
        <w:rPr>
          <w:rFonts w:cs="仿宋" w:asciiTheme="minorEastAsia" w:hAnsiTheme="minorEastAsia" w:eastAsiaTheme="minorEastAsia"/>
          <w:sz w:val="28"/>
          <w:szCs w:val="32"/>
        </w:rPr>
      </w:pPr>
      <w:r>
        <w:rPr>
          <w:rFonts w:hint="eastAsia" w:cs="仿宋" w:asciiTheme="minorEastAsia" w:hAnsiTheme="minorEastAsia" w:eastAsiaTheme="minorEastAsia"/>
          <w:sz w:val="28"/>
          <w:szCs w:val="32"/>
        </w:rPr>
        <w:t>格式9  其他招标文件要求的资料或投标人认为需要补充的资料</w:t>
      </w:r>
    </w:p>
    <w:p>
      <w:pPr>
        <w:rPr>
          <w:rFonts w:cs="仿宋" w:asciiTheme="minorEastAsia" w:hAnsiTheme="minorEastAsia" w:eastAsiaTheme="minorEastAsia"/>
        </w:rPr>
      </w:pPr>
    </w:p>
    <w:p>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第七十九条规定：供应商有下列情形的，属于采购条例所称的串通投标行为。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投标供应商提供以下资料（格式自拟）：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2、其他招标文件要求的资料或投标供应商认为需要补充的资料。</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widowControl/>
        <w:jc w:val="left"/>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第四部分</w:t>
      </w:r>
    </w:p>
    <w:p>
      <w:pPr>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合同条款</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adjustRightInd w:val="0"/>
        <w:snapToGrid w:val="0"/>
        <w:spacing w:line="300" w:lineRule="auto"/>
        <w:ind w:left="2"/>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合同条款</w:t>
      </w:r>
    </w:p>
    <w:p>
      <w:pPr>
        <w:pStyle w:val="40"/>
        <w:widowControl w:val="0"/>
        <w:pBdr>
          <w:bottom w:val="none" w:color="auto" w:sz="0" w:space="0"/>
        </w:pBdr>
        <w:adjustRightInd w:val="0"/>
        <w:snapToGrid w:val="0"/>
        <w:spacing w:before="0" w:beforeAutospacing="0" w:after="0" w:afterAutospacing="0" w:line="360" w:lineRule="auto"/>
        <w:textAlignment w:val="auto"/>
        <w:rPr>
          <w:rFonts w:cs="仿宋" w:asciiTheme="minorEastAsia" w:hAnsiTheme="minorEastAsia" w:eastAsiaTheme="minorEastAsia"/>
          <w:snapToGrid w:val="0"/>
          <w:sz w:val="32"/>
          <w:szCs w:val="32"/>
        </w:rPr>
      </w:pPr>
      <w:r>
        <w:rPr>
          <w:rFonts w:hint="eastAsia" w:cs="仿宋" w:asciiTheme="minorEastAsia" w:hAnsiTheme="minorEastAsia" w:eastAsiaTheme="minorEastAsia"/>
          <w:snapToGrid w:val="0"/>
          <w:sz w:val="32"/>
          <w:szCs w:val="32"/>
        </w:rPr>
        <w:t>（仅供参考）</w:t>
      </w:r>
    </w:p>
    <w:p>
      <w:pPr>
        <w:jc w:val="center"/>
        <w:rPr>
          <w:szCs w:val="21"/>
        </w:rPr>
      </w:pPr>
    </w:p>
    <w:p>
      <w:pPr>
        <w:pStyle w:val="13"/>
        <w:spacing w:line="360" w:lineRule="auto"/>
        <w:ind w:firstLine="480" w:firstLineChars="200"/>
        <w:rPr>
          <w:rFonts w:ascii="Times New Roman" w:hAnsi="Times New Roman"/>
          <w:sz w:val="24"/>
        </w:rPr>
      </w:pPr>
      <w:r>
        <w:rPr>
          <w:rFonts w:hint="eastAsia" w:ascii="Times New Roman" w:hAnsi="Times New Roman"/>
          <w:sz w:val="24"/>
        </w:rPr>
        <w:t>重要说明：采购人在签订合同前有权依据招标文件要求和项目实际情况对以下合同内容进行删改或补充。</w:t>
      </w:r>
    </w:p>
    <w:p>
      <w:pPr>
        <w:adjustRightInd w:val="0"/>
        <w:snapToGrid w:val="0"/>
        <w:spacing w:line="360" w:lineRule="auto"/>
        <w:jc w:val="center"/>
        <w:rPr>
          <w:snapToGrid w:val="0"/>
          <w:kern w:val="0"/>
          <w:sz w:val="28"/>
        </w:rPr>
      </w:pPr>
    </w:p>
    <w:p>
      <w:pPr>
        <w:spacing w:line="360" w:lineRule="auto"/>
        <w:rPr>
          <w:rFonts w:asciiTheme="minorEastAsia" w:hAnsiTheme="minorEastAsia"/>
          <w:szCs w:val="21"/>
        </w:rPr>
      </w:pPr>
      <w:r>
        <w:rPr>
          <w:rFonts w:hint="eastAsia" w:asciiTheme="minorEastAsia" w:hAnsiTheme="minorEastAsia"/>
          <w:szCs w:val="21"/>
        </w:rPr>
        <w:t>甲方（采购人）：</w:t>
      </w:r>
    </w:p>
    <w:p>
      <w:pPr>
        <w:spacing w:line="360" w:lineRule="auto"/>
        <w:rPr>
          <w:rFonts w:asciiTheme="minorEastAsia" w:hAnsiTheme="minorEastAsia"/>
          <w:szCs w:val="21"/>
        </w:rPr>
      </w:pPr>
      <w:r>
        <w:rPr>
          <w:rFonts w:hint="eastAsia" w:asciiTheme="minorEastAsia" w:hAnsiTheme="minorEastAsia"/>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征集项目（项目编号__________________）的成交结果，由_______________________单位为中标人。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snapToGrid w:val="0"/>
          <w:kern w:val="0"/>
          <w:szCs w:val="21"/>
          <w:lang w:val="zh-CN"/>
        </w:rPr>
        <w:t>项目</w:t>
      </w:r>
      <w:r>
        <w:rPr>
          <w:rFonts w:hint="eastAsia" w:ascii="宋体" w:hAnsi="宋体"/>
          <w:szCs w:val="21"/>
        </w:rPr>
        <w:t>，达成以下合同条款：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第一条</w:t>
      </w:r>
      <w:r>
        <w:rPr>
          <w:rFonts w:asciiTheme="minorEastAsia" w:hAnsiTheme="minorEastAsia"/>
          <w:szCs w:val="21"/>
        </w:rPr>
        <w:t xml:space="preserve">  </w:t>
      </w:r>
      <w:r>
        <w:rPr>
          <w:rFonts w:hint="eastAsia" w:asciiTheme="minorEastAsia" w:hAnsiTheme="minorEastAsia"/>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szCs w:val="21"/>
          <w:u w:val="single"/>
        </w:rPr>
        <w:t xml:space="preserve">                  </w:t>
      </w:r>
      <w:r>
        <w:rPr>
          <w:rFonts w:hint="eastAsia" w:asciiTheme="minorEastAsia" w:hAnsiTheme="minorEastAsia"/>
          <w:szCs w:val="21"/>
        </w:rPr>
        <w:t>。</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第二条</w:t>
      </w:r>
      <w:r>
        <w:rPr>
          <w:rFonts w:asciiTheme="minorEastAsia" w:hAnsiTheme="minorEastAsia"/>
          <w:szCs w:val="21"/>
        </w:rPr>
        <w:t xml:space="preserve">  </w:t>
      </w:r>
      <w:r>
        <w:rPr>
          <w:rFonts w:hint="eastAsia" w:asciiTheme="minorEastAsia" w:hAnsiTheme="minorEastAsia"/>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第三条</w:t>
      </w:r>
      <w:r>
        <w:rPr>
          <w:rFonts w:asciiTheme="minorEastAsia" w:hAnsiTheme="minorEastAsia"/>
          <w:szCs w:val="21"/>
        </w:rPr>
        <w:t xml:space="preserve">  </w:t>
      </w:r>
      <w:r>
        <w:rPr>
          <w:rFonts w:hint="eastAsia" w:asciiTheme="minorEastAsia" w:hAnsiTheme="minorEastAsia"/>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第四条</w:t>
      </w:r>
      <w:r>
        <w:rPr>
          <w:rFonts w:asciiTheme="minorEastAsia" w:hAnsiTheme="minorEastAsia"/>
          <w:szCs w:val="21"/>
        </w:rPr>
        <w:t xml:space="preserve">  </w:t>
      </w:r>
      <w:r>
        <w:rPr>
          <w:rFonts w:hint="eastAsia" w:asciiTheme="minorEastAsia" w:hAnsiTheme="minorEastAsia"/>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第五条</w:t>
      </w:r>
      <w:r>
        <w:rPr>
          <w:rFonts w:asciiTheme="minorEastAsia" w:hAnsiTheme="minorEastAsia"/>
          <w:szCs w:val="21"/>
        </w:rPr>
        <w:t xml:space="preserve">  </w:t>
      </w:r>
      <w:r>
        <w:rPr>
          <w:rFonts w:hint="eastAsia" w:asciiTheme="minorEastAsia" w:hAnsiTheme="minorEastAsia"/>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第六条</w:t>
      </w:r>
      <w:r>
        <w:rPr>
          <w:rFonts w:asciiTheme="minorEastAsia" w:hAnsiTheme="minorEastAsia"/>
          <w:szCs w:val="21"/>
        </w:rPr>
        <w:t xml:space="preserve">  </w:t>
      </w:r>
      <w:r>
        <w:rPr>
          <w:rFonts w:hint="eastAsia" w:asciiTheme="minorEastAsia" w:hAnsiTheme="minorEastAsia"/>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第七条</w:t>
      </w:r>
      <w:r>
        <w:rPr>
          <w:rFonts w:asciiTheme="minorEastAsia" w:hAnsiTheme="minorEastAsia"/>
          <w:szCs w:val="21"/>
        </w:rPr>
        <w:t xml:space="preserve">  </w:t>
      </w:r>
      <w:r>
        <w:rPr>
          <w:rFonts w:hint="eastAsia" w:asciiTheme="minorEastAsia" w:hAnsiTheme="minorEastAsia"/>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第八条</w:t>
      </w:r>
      <w:r>
        <w:rPr>
          <w:rFonts w:asciiTheme="minorEastAsia" w:hAnsiTheme="minorEastAsia"/>
          <w:szCs w:val="21"/>
        </w:rPr>
        <w:t xml:space="preserve">  </w:t>
      </w:r>
      <w:r>
        <w:rPr>
          <w:rFonts w:hint="eastAsia" w:asciiTheme="minorEastAsia" w:hAnsiTheme="minorEastAsia"/>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第九条</w:t>
      </w:r>
      <w:r>
        <w:rPr>
          <w:rFonts w:asciiTheme="minorEastAsia" w:hAnsiTheme="minorEastAsia"/>
          <w:szCs w:val="21"/>
        </w:rPr>
        <w:t xml:space="preserve">  </w:t>
      </w:r>
      <w:r>
        <w:rPr>
          <w:rFonts w:hint="eastAsia" w:asciiTheme="minorEastAsia" w:hAnsiTheme="minorEastAsia"/>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第十条</w:t>
      </w:r>
      <w:r>
        <w:rPr>
          <w:rFonts w:asciiTheme="minorEastAsia" w:hAnsiTheme="minorEastAsia"/>
          <w:szCs w:val="21"/>
        </w:rPr>
        <w:t xml:space="preserve">  </w:t>
      </w:r>
      <w:r>
        <w:rPr>
          <w:rFonts w:hint="eastAsia" w:asciiTheme="minorEastAsia" w:hAnsiTheme="minorEastAsia"/>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第十一条</w:t>
      </w:r>
      <w:r>
        <w:rPr>
          <w:rFonts w:asciiTheme="minorEastAsia" w:hAnsiTheme="minorEastAsia"/>
          <w:szCs w:val="21"/>
        </w:rPr>
        <w:t xml:space="preserve">  </w:t>
      </w:r>
      <w:r>
        <w:rPr>
          <w:rFonts w:hint="eastAsia" w:asciiTheme="minorEastAsia" w:hAnsiTheme="minorEastAsia"/>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第十二条</w:t>
      </w:r>
      <w:r>
        <w:rPr>
          <w:rFonts w:asciiTheme="minorEastAsia" w:hAnsiTheme="minorEastAsia"/>
          <w:szCs w:val="21"/>
        </w:rPr>
        <w:t xml:space="preserve">  </w:t>
      </w:r>
      <w:r>
        <w:rPr>
          <w:rFonts w:hint="eastAsia" w:asciiTheme="minorEastAsia" w:hAnsiTheme="minorEastAsia"/>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第十三条</w:t>
      </w:r>
      <w:r>
        <w:rPr>
          <w:rFonts w:asciiTheme="minorEastAsia" w:hAnsiTheme="minorEastAsia"/>
          <w:szCs w:val="21"/>
        </w:rPr>
        <w:t xml:space="preserve">  </w:t>
      </w:r>
      <w:r>
        <w:rPr>
          <w:rFonts w:hint="eastAsia" w:asciiTheme="minorEastAsia" w:hAnsiTheme="minorEastAsia"/>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第十四条</w:t>
      </w:r>
      <w:r>
        <w:rPr>
          <w:rFonts w:asciiTheme="minorEastAsia" w:hAnsiTheme="minorEastAsia"/>
          <w:szCs w:val="21"/>
        </w:rPr>
        <w:t xml:space="preserve">  </w:t>
      </w:r>
      <w:r>
        <w:rPr>
          <w:rFonts w:hint="eastAsia" w:asciiTheme="minorEastAsia" w:hAnsiTheme="minorEastAsia"/>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13"/>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1、《成交结果通知书》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委托代理人：</w:t>
      </w:r>
    </w:p>
    <w:p>
      <w:pPr>
        <w:ind w:firstLine="424" w:firstLineChars="202"/>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日期：   年     月    日</w:t>
      </w:r>
    </w:p>
    <w:p>
      <w:pPr>
        <w:jc w:val="center"/>
        <w:rPr>
          <w:sz w:val="52"/>
          <w:szCs w:val="52"/>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第五部分</w:t>
      </w:r>
    </w:p>
    <w:p>
      <w:pPr>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通用条款（投标须知）</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通用条款（投标须知）</w:t>
      </w:r>
    </w:p>
    <w:p>
      <w:pPr>
        <w:adjustRightInd w:val="0"/>
        <w:spacing w:line="360" w:lineRule="auto"/>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Ａ  说  明</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适用范围</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本招标文件仅适用于投标须知前附表（以下简称“前附表”）第1项所叙述项目的货物、工程及服务采购。</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定义</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“采购人”系指前附表第2项所述。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“采购代理机构”系前附表第3项所述。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“投标人”系指向采购代理机构提交投标文件的投标人。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“货物”系指投标人按招标文件规定，须向采购人提供的设备及材料。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“工程”系指投标人按招标文件规定，须向采购人提供的设备及材料的安装。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“服务”系指招标文件规定卖方须承担设计和其它类似的义务。</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 资金来源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 合格的投标人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以下有关联合体投标的条款仅适用于允许投标人组成联合体投标的项目。是否允许联合体投标以“前附表”中的规定或说明为准。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由两个或两个以上的自然人、法人或者其他组织可以组成一个联合体，以一个投标人的身份共同投标时，应符合以下原则：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pPr>
        <w:adjustRightInd w:val="0"/>
        <w:spacing w:line="360" w:lineRule="auto"/>
        <w:ind w:firstLine="567" w:firstLineChars="27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（3）联合体中有同类资质的投标人按照联合体分工承担相同工作的，应当按照资质等级较低的投标人确定资质等级。</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（4）是否允许联合体参加投标，应当由采购人和采购代理机构根据项目的实际情况和潜在投标人的数量自主决定，如果决定接受联合体投标则应当在采购公告中明示。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人特定条件的，联合体各方中至少应当有一方符合采购人规定的特定条件。对于采购公告对投标人某一资格有要求的，按照联合体各方中最低资质等级确定联合体的资质等级；联合体各方的不同资质可优势互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（6）投标人的投标文件及中标后签署的合同协议对联合体各方均具法律约束力；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人另外组成联合体参加同一合同项下的政府采购活动，出现上述情况者，其投标和与此有关的联合体、总包单位的投标将被拒绝；</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（11）本次采购中“投标人”一词亦指联合体各方，“前附表”另有规定或说明的除外。</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 采购活动费用的承担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无论采购过程中的做法和结果如何，投标人自行承担所有与参加采购活动有关的全部费用。</w:t>
      </w:r>
    </w:p>
    <w:p>
      <w:pPr>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  踏勘现场</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将按前附表第6项的规定，组织投标人对现场及周围环境进行踏勘，以便投标人获取须自己负责的有关编制投标文件和签署合同所需的所有资料。踏勘现场所发生的费用由投标人自己承担。</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6.2  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向投标人提供的有关现场的资料和数据，是采购人和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现有的能使投标人利用的资料。采购人和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对投标人由此而做出的推论、理解和结论概不负责。</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6.3  投标人及其人员经过采购人和</w:t>
      </w:r>
      <w:r>
        <w:rPr>
          <w:rFonts w:hint="eastAsia" w:cs="仿宋" w:asciiTheme="minorEastAsia" w:hAnsiTheme="minorEastAsia" w:eastAsiaTheme="minorEastAsia"/>
          <w:snapToGrid w:val="0"/>
          <w:kern w:val="0"/>
          <w:szCs w:val="21"/>
        </w:rPr>
        <w:t>采购代理机构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snapToGrid w:val="0"/>
          <w:kern w:val="0"/>
          <w:szCs w:val="21"/>
        </w:rPr>
        <w:t>采购人</w:t>
      </w:r>
      <w:r>
        <w:rPr>
          <w:rFonts w:hint="eastAsia" w:cs="仿宋" w:asciiTheme="minorEastAsia" w:hAnsiTheme="minorEastAsia" w:eastAsiaTheme="minorEastAsia"/>
          <w:szCs w:val="21"/>
        </w:rPr>
        <w:t>的现场，但投标人及其人员不得因此使采购人及其人员承担有关的责任和蒙受损失。投标人并应对由此次踏勘现场面造成的死亡、人身伤害、财产损失、损害以及任何其它损失、损害和引起的费用和开支承担责任。</w:t>
      </w:r>
    </w:p>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6.4   如果投标人认为需要再次进行现场踏勘，采购人将予以支持，费用自理。</w:t>
      </w:r>
    </w:p>
    <w:p>
      <w:pPr>
        <w:rPr>
          <w:rFonts w:cs="仿宋" w:asciiTheme="minorEastAsia" w:hAnsiTheme="minorEastAsia" w:eastAsiaTheme="minorEastAsia"/>
        </w:rPr>
      </w:pPr>
      <w:bookmarkStart w:id="3" w:name="q5"/>
      <w:bookmarkEnd w:id="3"/>
    </w:p>
    <w:p>
      <w:pPr>
        <w:adjustRightInd w:val="0"/>
        <w:spacing w:line="360" w:lineRule="auto"/>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Ｂ　招标文件说明</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 招标文件的构成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招标文件是用以阐明所需设备及服务的情况，以及采购、投标程序和相应的合同条款。招标文件由下述部份组成：</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  招标文件的澄清及修改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人对招标文件如有疑点，可要求澄清，应在投标截止日5日前按采购公告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在投标截止日3日前，采购代理机构可依据投标人要求澄清的问题修改招标文件，并以书面形式通知所有购买招标文件的每一投标人，对方在收到该通知后应立即以书面的形式予以确认。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为了使投标人在准备投标文件时有合理的时间考虑招标文件的修改，采购代理机构可酌情推迟投标截止时间和开标时间，并以书面形式通知已购买招标文件的每一投标人。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招标文件的修改将构成招标文件的一部分，对投标人有约束力。</w:t>
      </w:r>
    </w:p>
    <w:p>
      <w:pPr>
        <w:adjustRightInd w:val="0"/>
        <w:spacing w:line="360" w:lineRule="auto"/>
        <w:rPr>
          <w:rFonts w:cs="仿宋" w:asciiTheme="minorEastAsia" w:hAnsiTheme="minorEastAsia" w:eastAsiaTheme="minorEastAsia"/>
          <w:snapToGrid w:val="0"/>
          <w:kern w:val="0"/>
          <w:szCs w:val="21"/>
        </w:rPr>
      </w:pPr>
    </w:p>
    <w:p>
      <w:pPr>
        <w:adjustRightInd w:val="0"/>
        <w:spacing w:line="360" w:lineRule="auto"/>
        <w:ind w:firstLine="600"/>
        <w:jc w:val="center"/>
        <w:rPr>
          <w:rFonts w:cs="仿宋" w:asciiTheme="minorEastAsia" w:hAnsiTheme="minorEastAsia" w:eastAsiaTheme="minorEastAsia"/>
          <w:snapToGrid w:val="0"/>
          <w:kern w:val="0"/>
          <w:sz w:val="32"/>
          <w:szCs w:val="32"/>
        </w:rPr>
      </w:pPr>
      <w:bookmarkStart w:id="4" w:name="q6"/>
      <w:bookmarkEnd w:id="4"/>
      <w:r>
        <w:rPr>
          <w:rFonts w:hint="eastAsia" w:cs="仿宋" w:asciiTheme="minorEastAsia" w:hAnsiTheme="minorEastAsia" w:eastAsiaTheme="minorEastAsia"/>
          <w:snapToGrid w:val="0"/>
          <w:kern w:val="0"/>
          <w:sz w:val="32"/>
          <w:szCs w:val="32"/>
        </w:rPr>
        <w:t>Ｃ  投标文件的编写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 投标语言及计量单位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投标文件及投标人和采购代理机构就投标交换的文件和往来的信件，应以中文书写。</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除在招标文件的设计思路和方案中另有规定外，计量单位应使用中华人民共和国法定计量单位（国际单位制和国家选定的其他计量单位）。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 投标文件的组成</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pPr>
        <w:adjustRightInd w:val="0"/>
        <w:spacing w:line="360" w:lineRule="auto"/>
        <w:ind w:left="945" w:leftChars="100" w:hanging="735" w:hangingChars="3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pPr>
        <w:adjustRightInd w:val="0"/>
        <w:spacing w:line="360" w:lineRule="auto"/>
        <w:ind w:firstLine="210" w:firstLine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（5）投标人资格证明文件（格式2）</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（9）技术规格（格式6）</w:t>
      </w:r>
    </w:p>
    <w:p>
      <w:pPr>
        <w:adjustRightInd w:val="0"/>
        <w:spacing w:line="360" w:lineRule="auto"/>
        <w:ind w:firstLine="315" w:firstLineChars="150"/>
      </w:pPr>
      <w:r>
        <w:rPr>
          <w:rFonts w:hint="eastAsia" w:cs="仿宋" w:asciiTheme="minorEastAsia" w:hAnsiTheme="minorEastAsia" w:eastAsiaTheme="minorEastAsia"/>
          <w:snapToGrid w:val="0"/>
          <w:kern w:val="0"/>
          <w:szCs w:val="21"/>
        </w:rPr>
        <w:t>（10）</w:t>
      </w:r>
      <w:r>
        <w:rPr>
          <w:rFonts w:hint="eastAsia"/>
        </w:rPr>
        <w:t>交付进度</w:t>
      </w:r>
      <w:r>
        <w:rPr>
          <w:rFonts w:hint="eastAsia" w:cs="仿宋" w:asciiTheme="minorEastAsia" w:hAnsiTheme="minorEastAsia" w:eastAsiaTheme="minorEastAsia"/>
          <w:snapToGrid w:val="0"/>
          <w:kern w:val="0"/>
          <w:szCs w:val="21"/>
        </w:rPr>
        <w:t>（格式7）</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w:t>
      </w:r>
      <w:r>
        <w:rPr>
          <w:rFonts w:hint="eastAsia"/>
        </w:rPr>
        <w:t>售后服务和质量承诺</w:t>
      </w:r>
      <w:r>
        <w:rPr>
          <w:rFonts w:hint="eastAsia" w:cs="仿宋" w:asciiTheme="minorEastAsia" w:hAnsiTheme="minorEastAsia" w:eastAsiaTheme="minorEastAsia"/>
          <w:snapToGrid w:val="0"/>
          <w:kern w:val="0"/>
          <w:szCs w:val="21"/>
        </w:rPr>
        <w:t>（格式8）</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（12）偏离表（格式9）</w:t>
      </w:r>
    </w:p>
    <w:p>
      <w:pPr>
        <w:adjustRightInd w:val="0"/>
        <w:spacing w:line="360" w:lineRule="auto"/>
        <w:ind w:firstLine="315" w:firstLineChars="1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（13）其他招标文件要求的资料或投标人认为需要补充的资料（格式10）</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投标文件格式</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投标文件必须毫无遗漏地包括本须知第10条规定的内容，投标人提交的投标文件必须毫无例外地使用招标文件所提供投标文件格式（表格可以按同样格式扩展）。</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color w:val="FF0000"/>
          <w:kern w:val="0"/>
          <w:szCs w:val="21"/>
          <w:highlight w:val="yellow"/>
        </w:rPr>
        <w:t>注：如招标文件第三部分投标格式与本须知第10条规定的内容不一致，以投标文件第三部分投标格式为准。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投标报价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投标报价应为到指定地点价，以人民币为结算单位。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投标人应在招标文件所附的“开标一览表”（格式3）和“报价表”（格式4）上写明投标货物的单价和投标总价。投标人对每种项目只允许有一个报价，采购代理机构不接受有任何选择的报价。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此报价作为评审委员会评审标准，但不能限制采购人以其它方式签订合同的权力。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 投标人资格的证明文件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投标人必须提交证明其有资格进行投标，和中标后有能力履行合同的证明文件（格式1与格式2），作为投标文件的一部份。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 投标有效期</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代理机构可于投标有效期期满之前，要求投标人同意延长投标有效期。投标人可以拒绝或同意上述要求，但要求与答复均须是书面文件。对于同意该要求的投标人，采购代理机构既不要求也不允许其修改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 项目保证金</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投标人应向采购代理机构提交一笔不少于前附表第8项所规定的项目保证金，以到账为准。</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项目保证金用于保护本次采购免受投标人的行为而引起的风险。</w:t>
      </w:r>
    </w:p>
    <w:p>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项目保证金应以支票、汇票、本票或采购机构能够接受的银行保函等其它非现金形式提交。（注：必须从投标人基本账户转出，否则其投标无效。）</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未中标的投标人的项目保证金，采购代理机构将在中标通知书发出且收到投标人的《项目保证金退还申请表》后5个工作日内退还。</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pPr>
        <w:adjustRightInd w:val="0"/>
        <w:spacing w:line="288" w:lineRule="auto"/>
        <w:ind w:left="630" w:hanging="630" w:hanging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（1）投标人在投标有效期内撤销投标文件；</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（3）投标人串通投标或者以其他弄虚作假方式投标；</w:t>
      </w:r>
    </w:p>
    <w:p>
      <w:pPr>
        <w:adjustRightInd w:val="0"/>
        <w:spacing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（4）如果中标方未能做到：</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按本须知第32条规定签订合同；或</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按本须知第33条规定提供履约保证金；或</w:t>
      </w:r>
    </w:p>
    <w:p>
      <w:pPr>
        <w:adjustRightInd w:val="0"/>
        <w:spacing w:line="288" w:lineRule="auto"/>
        <w:ind w:firstLine="630" w:firstLineChars="3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pPr>
        <w:pStyle w:val="11"/>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（5） 法律法规规定的其它情况。</w:t>
      </w:r>
    </w:p>
    <w:p>
      <w:pPr>
        <w:tabs>
          <w:tab w:val="left" w:pos="330"/>
        </w:tabs>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16. 投标预备会（</w:t>
      </w:r>
      <w:r>
        <w:rPr>
          <w:rFonts w:hint="eastAsia" w:cs="仿宋" w:asciiTheme="minorEastAsia" w:hAnsiTheme="minorEastAsia" w:eastAsiaTheme="minorEastAsia"/>
          <w:snapToGrid w:val="0"/>
          <w:kern w:val="0"/>
          <w:szCs w:val="21"/>
        </w:rPr>
        <w:t>答疑会）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投标预备会（答疑会），如采购代理机构认为有必要召开投标预备会，投标人应按照前附表第9项规定的或采购代理机构另行书面通知的时间和地点，派出代表出席采购代理机构主持的投标预备会。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投标预备会的目的是澄清、解答投标人在查阅招标文件后和现场踏勘中可能提出的任何方面的问题。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投标人提出的与投标有关的任何采购问题须以书面形式给采购代理机构。在投标预备会上，采购代理机构将做出澄清和解答。</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采购代理机构在投标预备会上所做出的澄清和解答，以书面答复为准，投标人在收到投标答疑纪要时应以书面形式予以确认。答疑纪要的有效性规定按照本须知第8.2、8.4款规定执行。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未出席投标预备会不作为否定投标人资格的理由。</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 投标文件的份数和签署</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为了便于投标文件保存，需提交一份投标文件正文盖章扫描件（.pdf）电子档一份。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除投标人对错处做必要修改外，投标文件中不许有加行、涂抹或改写，如有修改遗漏处，必须由投标人法定代表人或其授权代表签字和盖章。</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pPr>
        <w:pStyle w:val="20"/>
      </w:pPr>
    </w:p>
    <w:p>
      <w:pPr>
        <w:adjustRightInd w:val="0"/>
        <w:spacing w:line="360" w:lineRule="auto"/>
        <w:jc w:val="center"/>
        <w:rPr>
          <w:rFonts w:cs="仿宋" w:asciiTheme="minorEastAsia" w:hAnsiTheme="minorEastAsia" w:eastAsiaTheme="minorEastAsia"/>
          <w:snapToGrid w:val="0"/>
          <w:kern w:val="0"/>
          <w:sz w:val="32"/>
          <w:szCs w:val="32"/>
        </w:rPr>
      </w:pPr>
      <w:bookmarkStart w:id="5" w:name="q7"/>
      <w:bookmarkEnd w:id="5"/>
      <w:r>
        <w:rPr>
          <w:rFonts w:hint="eastAsia" w:cs="仿宋" w:asciiTheme="minorEastAsia" w:hAnsiTheme="minorEastAsia" w:eastAsiaTheme="minorEastAsia"/>
          <w:snapToGrid w:val="0"/>
          <w:kern w:val="0"/>
          <w:sz w:val="32"/>
          <w:szCs w:val="32"/>
        </w:rPr>
        <w:t>Ｄ   投标文件的递交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 投标文件的密封和标记</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18.3投标人应将投标文件正文扫描件电子档单独密封于一信封，在信封上注明“备份电子档”。</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写明采购代理机构名称；</w:t>
      </w:r>
    </w:p>
    <w:p>
      <w:pPr>
        <w:adjustRightInd w:val="0"/>
        <w:spacing w:line="360" w:lineRule="auto"/>
        <w:ind w:firstLine="359" w:firstLineChars="171"/>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C、投标人名称；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投标人应将“法定代表人（负责人）证明书、法定代表人（负责人）授权委托书”和“开标一览表”密封于一信封，在递交投标文件时单独交与采购代理机构，在信封上应：</w:t>
      </w:r>
    </w:p>
    <w:p>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写明采购代理机构名称；</w:t>
      </w:r>
    </w:p>
    <w:p>
      <w:pPr>
        <w:tabs>
          <w:tab w:val="left" w:pos="1470"/>
        </w:tabs>
        <w:adjustRightInd w:val="0"/>
        <w:spacing w:line="360" w:lineRule="auto"/>
        <w:ind w:left="629" w:leftChars="172" w:hanging="268" w:hangingChars="128"/>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C、投标人名称；</w:t>
      </w:r>
    </w:p>
    <w:p>
      <w:pPr>
        <w:adjustRightInd w:val="0"/>
        <w:spacing w:line="360" w:lineRule="auto"/>
        <w:ind w:firstLine="539" w:firstLineChars="257"/>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pPr>
        <w:adjustRightInd w:val="0"/>
        <w:spacing w:line="360" w:lineRule="auto"/>
        <w:ind w:firstLine="525" w:firstLineChars="2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年</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月</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日</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时</w:t>
      </w:r>
      <w:r>
        <w:rPr>
          <w:rFonts w:hint="eastAsia" w:cs="仿宋" w:asciiTheme="minorEastAsia" w:hAnsiTheme="minorEastAsia" w:eastAsiaTheme="minorEastAsia"/>
          <w:snapToGrid w:val="0"/>
          <w:kern w:val="0"/>
          <w:szCs w:val="21"/>
          <w:u w:val="single"/>
        </w:rPr>
        <w:t xml:space="preserve">      </w:t>
      </w:r>
      <w:r>
        <w:rPr>
          <w:rFonts w:hint="eastAsia" w:cs="仿宋" w:asciiTheme="minorEastAsia" w:hAnsiTheme="minorEastAsia" w:eastAsiaTheme="minorEastAsia"/>
          <w:snapToGrid w:val="0"/>
          <w:kern w:val="0"/>
          <w:szCs w:val="21"/>
        </w:rPr>
        <w:t>分（开标时间）前不得开封。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除了按本须知第18.4、18.5款所要求的识别字样外，在所有投标文件密封袋上还应写明投标人的名称与地址、邮政编码，以便投标按本须知第20条宣布“迟到”时，投标文件可以原封退回；</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所有投标文件的密封袋的封口处应加盖投标人印章。</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投标文件需由专人送交。投标人应按本投标须知第18.1至18.8款中的规定进行密封和标记后，将投标文件按照前附表第11项中注明的地址送至采购代理机构。</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投标人按招标文件要求如需提供实物，应随投标文件一起递交。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 递交投标文件的时间、地点以及截止时间</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所有投标文件都必须按采购代理机构在前附表第</w:t>
      </w:r>
      <w:bookmarkStart w:id="6" w:name="_Hlt35050056"/>
      <w:bookmarkEnd w:id="6"/>
      <w:r>
        <w:rPr>
          <w:rFonts w:hint="eastAsia" w:cs="仿宋" w:asciiTheme="minorEastAsia" w:hAnsiTheme="minorEastAsia" w:eastAsiaTheme="minorEastAsia"/>
          <w:snapToGrid w:val="0"/>
          <w:kern w:val="0"/>
          <w:szCs w:val="21"/>
        </w:rPr>
        <w:t>12项中规定的投标截止时间之前送至采购代理机构。</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出现第8.3款因招标文件修改或其他原因推迟投标截止时，则按采购代理机构修改通知规定的时间递交。</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采购代理机构</w:t>
      </w:r>
      <w:r>
        <w:rPr>
          <w:rFonts w:hint="eastAsia" w:cs="仿宋" w:asciiTheme="minorEastAsia" w:hAnsiTheme="minorEastAsia" w:eastAsiaTheme="minorEastAsia"/>
          <w:szCs w:val="21"/>
        </w:rPr>
        <w:t>在投标截止时间前30分钟开始接收投标文件。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 迟交的投标文件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采购代理机构将拒绝接收在投标截止时间后递交的投标文件。</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投标文件的修改和撤回</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投标人在提交投标文件后可对其投标文件进行修改或撤回，但采购代理机构须在投标截止时间之前收到该修改或撤回的书面通知，该通知须有经正式授权的投标人代表签字。</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投标人对投标文件修改的书面材料或撤回的通知应按本须知第17条和第18条规定进行编写、密封、标注和递交，并注明“修改投标文件”或“撤回投标”字样。</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投标人不得在开标时间起到投标文件有效期满前撤销投标文件。</w:t>
      </w:r>
    </w:p>
    <w:p>
      <w:pPr>
        <w:rPr>
          <w:rFonts w:cs="仿宋" w:asciiTheme="minorEastAsia" w:hAnsiTheme="minorEastAsia" w:eastAsiaTheme="minorEastAsia"/>
        </w:rPr>
      </w:pPr>
      <w:bookmarkStart w:id="7" w:name="q8"/>
      <w:bookmarkEnd w:id="7"/>
    </w:p>
    <w:p>
      <w:pPr>
        <w:adjustRightInd w:val="0"/>
        <w:spacing w:line="360" w:lineRule="auto"/>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Ｅ   开标和评审</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开标</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所有投标人法定代表人（负责人）或授权代表都须按时参加开标会，否则不接受其投标。【</w:t>
      </w:r>
      <w:r>
        <w:rPr>
          <w:rFonts w:hint="eastAsia" w:cs="仿宋" w:asciiTheme="minorEastAsia" w:hAnsiTheme="minorEastAsia" w:eastAsiaTheme="minorEastAsia"/>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pPr>
        <w:tabs>
          <w:tab w:val="left" w:pos="0"/>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评审委员会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23.1采购代理机构将根据采购货物的特点组建评审委员会，其成员由采购人代表和有关技术、经济等方面的专家组成。评审委员会对投标文件进行审查、质疑、评估和比较。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评审期间，投标人应由法定代表人或其授权代表参加询标。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对投标文件的审查和投标性的确定</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采购机构就投标文件中的资格证明文件内容对投标人进行资格核查：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24.1.1采购机构就投标文件中的资格证明等内容对投标人进行资格核查，核查不合格的，认定其投标无效。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pPr>
        <w:adjustRightInd w:val="0"/>
        <w:spacing w:line="360" w:lineRule="auto"/>
        <w:ind w:firstLine="105" w:firstLineChars="5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pPr>
        <w:adjustRightInd w:val="0"/>
        <w:spacing w:line="360" w:lineRule="auto"/>
        <w:ind w:firstLine="105" w:firstLineChars="5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pPr>
        <w:adjustRightInd w:val="0"/>
        <w:spacing w:line="360" w:lineRule="auto"/>
        <w:ind w:left="210" w:hanging="210" w:hanging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同时出现两种以上不一致的，按照前款规定的顺序修正。修正后的报价按照本须知25.2条的规定，经投标人确认后产生约束力，投标人不确认的，其投标无效。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在对投标文件进行详细评估之前，评审委员会将依据投标人提供的“资格证明或声明文件”审查投标人的财务、技术和生产能力。如果确定投标人无资格履行合同，其投标将被拒绝。</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的投标人的公平竞争地位。</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评审委员会判断投标文件的投标性，仅基于招标文件和投标文件本身而不靠外部证据。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评审委员会将拒绝被确定为非实质性投标的投标人。投标人不能通过修正或撤销不符之处，而使其投标成为实质性投标的投标。</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人的报价明显低于其他通过符合性审查投标人的报价，有可能影响产品质量或者不能诚信履约的，应当要求其在评审现场合理的时间内提供书面说明，必要时提交相关证明材料；投标人不能证明其报价合理性的，评审委员会应当将其作为无效投标处理。若评审委员会成员对是否须由投标人作出报价合理性说明，以及书面说明是否采纳等判断不一致的，按照“少数服从多数”的原则确定评审委员会的意见。</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投标文件的澄清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为了有助于对投标文件进行审查、评估和比较，评审委员会有权向投标人提出质疑，并请投标人澄清其投标内容。投标人有责任，按照采购代理机构通知的时间、地点，指派专人进行答疑和澄清。</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评审方法和详细评审</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pPr>
        <w:adjustRightInd w:val="0"/>
        <w:spacing w:line="360" w:lineRule="auto"/>
        <w:rPr>
          <w:rFonts w:cs="仿宋" w:asciiTheme="minorEastAsia" w:hAnsiTheme="minorEastAsia" w:eastAsiaTheme="minorEastAsia"/>
          <w:snapToGrid w:val="0"/>
          <w:kern w:val="0"/>
          <w:szCs w:val="21"/>
        </w:rPr>
      </w:pPr>
      <w:bookmarkStart w:id="8" w:name="q9"/>
      <w:bookmarkEnd w:id="8"/>
      <w:r>
        <w:rPr>
          <w:rFonts w:hint="eastAsia" w:cs="仿宋" w:asciiTheme="minorEastAsia" w:hAnsiTheme="minorEastAsia" w:eastAsiaTheme="minorEastAsia"/>
          <w:snapToGrid w:val="0"/>
          <w:kern w:val="0"/>
          <w:szCs w:val="21"/>
        </w:rPr>
        <w:t>26.5评委会按照招标文件规定的各项因素对各投标文件进行量化打分并加权汇总，对各评委的总评分取算术平均值确定该投标人的评审总得分(精确至小数点后二位)，评审总得分最高者将被推荐为中标人，并作出评审结论。若得分相同的，按投标报价由低到高顺序排列；得分且投标报价相同的，按技术服务优劣顺序（即技术分由高到低排序）排列。</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 保密及其它注意事项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评审期间，评委会将对投标文件中有关问题分别向投标人进行询问。各投标人应予以认真答复。重要或复杂问题的答复需以书面形式，并经法定代表人或授权人签署。澄清文件将作为投标文件的组成部份。</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在开标、投标期间，投标人不得向评委询问评审情况，不得进行旨在影响评审结果的活动。</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为保证定标的公正性，在评审过程中，评委不得与投标人私下交换意见。在采购工作结束后，凡与评审情况有接触的任何人，不得也不应将评审情况扩散出评委人员之外。</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pPr>
        <w:rPr>
          <w:rFonts w:cs="仿宋" w:asciiTheme="minorEastAsia" w:hAnsiTheme="minorEastAsia" w:eastAsiaTheme="minorEastAsia"/>
        </w:rPr>
      </w:pPr>
    </w:p>
    <w:p>
      <w:pPr>
        <w:adjustRightInd w:val="0"/>
        <w:spacing w:line="360" w:lineRule="auto"/>
        <w:jc w:val="center"/>
        <w:rPr>
          <w:rFonts w:cs="仿宋" w:asciiTheme="minorEastAsia" w:hAnsiTheme="minorEastAsia" w:eastAsiaTheme="minorEastAsia"/>
          <w:snapToGrid w:val="0"/>
          <w:kern w:val="0"/>
          <w:sz w:val="32"/>
          <w:szCs w:val="32"/>
        </w:rPr>
      </w:pPr>
      <w:r>
        <w:rPr>
          <w:rFonts w:hint="eastAsia" w:cs="仿宋" w:asciiTheme="minorEastAsia" w:hAnsiTheme="minorEastAsia" w:eastAsiaTheme="minorEastAsia"/>
          <w:snapToGrid w:val="0"/>
          <w:kern w:val="0"/>
          <w:sz w:val="32"/>
          <w:szCs w:val="32"/>
        </w:rPr>
        <w:t>Ｆ　　授予合同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28．合同授予标准</w:t>
      </w:r>
    </w:p>
    <w:p>
      <w:pPr>
        <w:tabs>
          <w:tab w:val="left" w:pos="5688"/>
        </w:tabs>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本项目采购合同授予本须知26.5款所确定的中标人。</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 中标通知</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30. 授予合同时变更数量的权力</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30.1  采购人在签订合同时，有权对招标文件中列明的货物或服务的数量，在法定范围内，依法定程序予以增加或减少。</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签订合同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中标方应按《中标通知书》或按采购人指定的时间、地点与采购人签订合同。</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招标文件、中标方的投标文件及其澄清文件等，均为签订合同的依据。</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  履约保证金</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中标人须按招标文件的规定或根据合同的规定向采购人提交履约保证金。</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 采购代理服务费</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采购代理服务费按前附表第14项所述，最低收取人民币6000元。</w:t>
      </w:r>
    </w:p>
    <w:p>
      <w:pPr>
        <w:adjustRightInd w:val="0"/>
        <w:spacing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21"/>
        <w:tblW w:w="7115" w:type="dxa"/>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line="360" w:lineRule="auto"/>
              <w:ind w:firstLine="420" w:firstLineChars="200"/>
              <w:rPr>
                <w:rFonts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33"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8gGPlbMBAAB+AwAADgAAAGRycy9lMm9Eb2MueG1srVPL&#10;btswELwX6D8QvNe04jZNBMsBAiNtgaItkORs0BRpEeALS9qS/75LSnLT9JJDL9RwdzncmaXWd4M1&#10;5CQhau8aWi2WlEgnfKvdoaHPTw8fbiiJibuWG+9kQ88y0rvN+3frPtTyynfetBIIkrhY96GhXUqh&#10;ZiyKTloeFz5Ih0nlwfKEWziwFniP7Nawq+XymvUe2gBeyBgxuh2TdGKEtxB6pbSQWy+OVro0soI0&#10;PKGk2OkQ6aZ0q5QU6adSUSZiGopKU1nxEsT7vLLNmtcH4KHTYmqBv6WFV5os1w4vvVBteeLkCPof&#10;KqsF+OhVWghv2SikOIIqquUrbx47HmTRglbHcDE9/j9a8eP0C4huG7paUeK4xYnvdk9fd/erzxhB&#10;e/oQa6x6DFiXhns/4KOZ4xGDWfWgwOYv6iGYR3PPF3PlkIjA4KeP1xUmBGaq6nZ1U7xnf84GiOmL&#10;9JZk0FDA0RVH+el7TNgHls4l+SrnH7QxZXzG/RXAwjEiy/yn01nG2G5GadgPk7a9b88ozXxzaGt+&#10;IjOAGexncAygDx02VwxgmQjHUlqbnlCe+8s94pe/z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PIBj5WzAQAAfg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32"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MU54CtAEAAH8DAAAOAAAAZHJzL2Uyb0RvYy54bWytU8tu&#10;2zAQvBfoPxC815RtJEgEywECI22Boi2Q9GzQ1NIiwBdI2pL/vktKctP0kkMv1HIfw53Z1eZhMJqc&#10;IUTlbEOXi4oSsMK1yh4b+uvl6dMdJTFx23LtLDT0ApE+bD9+2PS+hpXrnG4hEASxse59Q7uUfM1Y&#10;FB0YHhfOg8WgdMHwhNdwZG3gPaIbzVZVdct6F1ofnIAY0bsbg3RCDO8BdFIqATsnTgZsGlEDaJ6Q&#10;UuyUj3RbupUSRPohZYREdEORaSonPoL2IZ9su+H1MXDfKTG1wN/TwhtOhiuLj16hdjxxcgrqHyij&#10;RHDRybQQzrCRSFEEWSyrN9o8d9xD4YJSR38VPf4/WPH9/DMQ1TZ0vaLEcoMT3+9fvuwf17foQXl6&#10;H2vMevaYl4ZHN+DSzP6Izsx6kMHkL/IhGEdxL1dxYUhE5KLVTXV/Q4nA0HJ5v74r4rM/xT7E9Bmc&#10;IdloaMDZFUn5+VtM2Aimzin5LeuelNZlftr+5cDE0QNlAabqzGPsN1tpOAwTuYNrL8hNf7Woa96R&#10;2QizcZiNkw/q2GFzRQGWgXAupbVph/LgX9/Rfv3f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AxTngK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31"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LnD867MBAAB+AwAADgAAAGRycy9lMm9Eb2MueG1srVPL&#10;btswELwX6D8QvMe04qZIBMsBAiNtgaItkPRs0BRpEeALXNqS/75LSnLT9JJDLtRwdzncmaXW94M1&#10;5CQjaO8aWi2WlEgnfKvdoaG/nx+vbimBxF3LjXeyoWcJ9H7z8cO6D7W89p03rYwESRzUfWhol1Ko&#10;GQPRScth4YN0mFQ+Wp5wGw+sjbxHdmvY9XL5mfU+tiF6IQEwuh2TdGKMbyH0Smkht14crXRpZI3S&#10;8ISSoNMB6KZ0q5QU6adSIBMxDUWlqax4CeJ9XtlmzetD5KHTYmqBv6WFV5os1w4vvVBteeLkGPV/&#10;VFaL6MGrtBDeslFIcQRVVMtX3jx1PMiiBa2GcDEd3o9W/Dj9ikS3DV1VlDhuceK73fPX3cPqBiNo&#10;Tx+gxqqngHVpePADPpo5DhjMqgcVbf6iHoJ5NPd8MVcOiQgMfrq7WWFCYKaq7la3xXv292yIkL5I&#10;b0kGDY04uuIoP32HhH1g6VySr3L+URtTxmfcPwEsHCOyzH86nWWM7WaUhv0wadv79ozSzDeHtuYn&#10;MoM4g/0MjiHqQ4fNFQNYJsKxlNamJ5Tn/nKP+OVvs/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C5w/OuzAQAAfgMAAA4AAAAAAAAAAQAgAAAAJwEAAGRycy9lMm9Eb2MueG1sUEsFBgAAAAAG&#10;AAYAWQEAAEwFA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30"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me4A8sgEAAH8DAAAOAAAAZHJzL2Uyb0RvYy54bWytU8lu&#10;2zAQvRfoPxC81/TSJRUsBwiMtAGKNkDSs0FTpEWAG4a0Jf99hpTkLL3k0As1HA7fvPeGWl/31pCT&#10;hKi9q+liNqdEOuEb7Q41/ft4++mKkpi4a7jxTtb0LCO93nz8sO5CJZe+9aaRQBDExaoLNW1TChVj&#10;UbTS8jjzQTo8VB4sT7iFA2uAd4huDVvO519Z56EJ4IWMEbPb4ZCOiPAeQK+UFnLrxdFKlwZUkIYn&#10;lBRbHSLdFLZKSZH+KBVlIqamqDSVFZtgvM8r26x5dQAeWi1GCvw9FN5oslw7bHqB2vLEyRH0P1BW&#10;C/DRqzQT3rJBSHEEVSzmb7x5aHmQRQtaHcPF9Pj/YMXv0z0Q3dR0hZY4bnHiu93jz93N6jNm0J4u&#10;xAqrHgLWpf7G9/hopnzEZFbdK7D5i3oIniPS+WKu7BMR+dLyy7fcQ+DRYvF9dVXQ2fPlADH9kN6S&#10;HNQUcHbFUn76FRMSwdKpJPdy/lYbU+Zn3KsEFg4ZWR7AeDvrGPjmKPX7fhS3980ZtZk7h74iwTQF&#10;MAX7KTgG0IcWyRUHWAbCuRRq4xvKg3+5x/jlf7N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1q&#10;SHHXAAAABwEAAA8AAAAAAAAAAQAgAAAAIgAAAGRycy9kb3ducmV2LnhtbFBLAQIUABQAAAAIAIdO&#10;4kCme4A8sgEAAH8DAAAOAAAAAAAAAAEAIAAAACYBAABkcnMvZTJvRG9jLnhtbFBLBQYAAAAABgAG&#10;AFkBAABKBQ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29"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BU+LQdtAEAAH8DAAAOAAAAZHJzL2Uyb0RvYy54bWytU01v&#10;4yAQva/U/4C4N3YStWqsOJWqqO1Kq92V2j1HBEOMBAwCEjv/vgO202730sNe8DAfj3lvxuv73mhy&#10;Ej4osDWdz0pKhOXQKHuo6Z/Xx+s7SkJktmEarKjpWQR6v7n6tu5cJRbQgm6EJwhiQ9W5mrYxuqoo&#10;Am+FYWEGTlgMSvCGRbz6Q9F41iG60cWiLG+LDnzjPHARAnq3Q5COiP4rgCCl4mIL/GiEjQOqF5pF&#10;pBRa5QLd5G6lFDz+kjKISHRNkWnMJz6C9j6dxWbNqoNnrlV8bIF9pYVPnAxTFh+9QG1ZZOTo1T9Q&#10;RnEPAWSccTDFQCQrgizm5SdtXlrmROaCUgd3ET38P1j+8/TbE9XUdLGixDKDE9/tXp93D8slelCe&#10;zoUKs14c5sX+AXpcmskf0JlY99Kb9EU+BOMo7vkirugj4alocVOubijhGJrPV8u7LH7xXux8iE8C&#10;DElGTT3OLkvKTj9CxEYwdUpJb1l4VFrn+Wn7lwMTB4/ICzBWJx5Dv8mK/b4fye2hOSM3/d2irmlH&#10;JsNPxn4yjs6rQ4vNZQWKBIRzya2NO5QG//GO9sf/ZvM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FT4tB2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28"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BFGKsOzAQAAfwMAAA4AAABkcnMvZTJvRG9jLnhtbK1TTY/b&#10;IBC9V+p/QNwbEkdtt1aclVbRtpWqttJuzxHBECMBg4DEzr/vgO10u3vZw17wMB+PeW/Gm9vBGnKW&#10;IWpwDV0tlpRIJ6DV7tjQP4/3H24oiYm7lhtwsqEXGent9v27Te9rWUEHppWBIIiLde8b2qXka8ai&#10;6KTlcQFeOgwqCJYnvIYjawPvEd0aVi2Xn1gPofUBhIwRvbsxSCfE8BpAUEoLuQNxstKlETVIwxNS&#10;ip32kW5Lt0pJkX4pFWUipqHINJUTH0H7kE+23fD6GLjvtJha4K9p4Rkny7XDR69QO544OQX9Aspq&#10;ESCCSgsBlo1EiiLIYrV8ps1Dx70sXFDq6K+ix7eDFT/PvwPRbUMrnLvjFie+3z9+29+tK/SgPL2P&#10;NWY9eMxLwx0MuDSzP6Izsx5UsPmLfAjGUdzLVVw5JCJyUfXx8xojAkOr1Zf1TRGf/Sv2IaavEizJ&#10;RkMDzq5Iys8/YsJGMHVOyW85uNfGlPkZ958DE0ePLAswVWceY7/ZSsNhmMgdoL0gN/Pdoa55R2Yj&#10;zMZhNk4+6GOHzRUFWAbCuZTWph3Kg396R/vpf7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ARRirDswEAAH8DAAAOAAAAAAAAAAEAIAAAACUBAABkcnMvZTJvRG9jLnhtbFBLBQYAAAAABgAG&#10;AFkBAABKBQ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27"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B1omxi0AQAAfwMAAA4AAABkcnMvZTJvRG9jLnhtbK1TyW7b&#10;MBC9F+g/ELzHkhwkTQTLAQIjbYGgLZD0bNDU0CLADSRtyX/fISU5Sy855EINZ3mc92a0uhu0Ikfw&#10;QVrT0GpRUgKG21aafUP/Pj9c3FASIjMtU9ZAQ08Q6N3665dV72pY2s6qFjxBEBPq3jW0i9HVRRF4&#10;B5qFhXVgMCis1yzi1e+L1rMe0bUqlmV5XfTWt85bDiGgdzMG6YToPwJohZAcNpYfNJg4onpQLCKl&#10;0EkX6Dp3KwTw+FuIAJGohiLTmE98BO1dOov1itV7z1wn+dQC+0gL7zhpJg0+eobasMjIwcv/oLTk&#10;3gYr4oJbXYxEsiLIoirfafPUMQeZC0od3Fn08Hmw/NfxjyeybejyGyWGaZz4dvv8Y3t/WaEH5eld&#10;qDHryWFeHO7tgEsz+wM6E+tBeJ2+yIdgHMU9ncWFIRKeipZX5e0VJRxDVXV7eZPFL16KnQ/xO1hN&#10;ktFQj7PLkrLjY4jYCKbOKektYx+kUnl+yrxxYOLogbwAU3XiMfabrDjshonczrYn5KZ+GtQ17chs&#10;+NnYzcbBebn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HWibGLQBAAB/AwAADgAAAAAAAAABACAAAAAlAQAAZHJzL2Uyb0RvYy54bWxQSwUGAAAAAAYA&#10;BgBZAQAASwU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26"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95fufswEAAH8DAAAOAAAAZHJzL2Uyb0RvYy54bWytU8tu&#10;2zAQvBfoPxC815KFOk0EywECI22BIi2Q9GzQFGkRILkESVvy32dJSc6jlxx6oZb7GO7Mrta3g9Hk&#10;JHxQYBu6XJSUCMuhVfbQ0L9P91+uKQmR2ZZpsKKhZxHo7ebzp3XvalFBB7oVniCIDXXvGtrF6Oqi&#10;CLwThoUFOGExKMEbFvHqD0XrWY/oRhdVWV4VPfjWeeAiBPRuxyCdEP1HAEFKxcUW+NEIG0dULzSL&#10;SCl0ygW6yd1KKXj8LWUQkeiGItOYT3wE7X06i82a1QfPXKf41AL7SAvvOBmmLD56gdqyyMjRq3+g&#10;jOIeAsi44GCKkUhWBFksy3faPHbMicwFpQ7uInr4f7D84fTHE9U2tLqixDKDE9/tnn7s7qoKPShP&#10;70KNWY8O8+JwBwMuzewP6EysB+lN+iIfgnEU93wRVwyR8FRUrcqbFSUcQ8vl9bevq4RSvBQ7H+J3&#10;AYYko6EeZ5clZadfIY6pc0p6y8K90jrPT9s3DsQcPSIvwFSdeIz9JisO+2Eit4f2jNz0T4u6ph2Z&#10;DT8b+9k4Oq8OHTaXFSgSEM4ls5h2KA3+9R3t1//N5h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PeX7n7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3"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63EsYrMBAAB/AwAADgAAAGRycy9lMm9Eb2MueG1srVPLbtsw&#10;ELwX6D8QvNeyZCRNBcsBAiNtgSAtkPRs0NTSIsAXSNqS/z5LSnLS9JJDL9RyH8Od2dX6dtCKnMAH&#10;aU1Dy8WSEjDcttIcGvrn+f7LDSUhMtMyZQ009AyB3m4+f1r3robKdla14AmCmFD3rqFdjK4uisA7&#10;0CwsrAODQWG9ZhGv/lC0nvWIrlVRLZfXRW9967zlEAJ6t2OQToj+I4BWCMlha/lRg4kjqgfFIlIK&#10;nXSBbnK3QgCPv4QIEIlqKDKN+cRH0N6ns9isWX3wzHWSTy2wj7TwjpNm0uCjF6gti4wcvfwHSkvu&#10;bbAiLrjVxUgkK4IsyuU7bZ465iBzQamDu4ge/h8sfzz99kS2uAkrSgzTOPHd7vnH7q4qq6skT+9C&#10;jVlPDvPicGcHTJ39AZ2J9SC8Tl/kQzCO4p4v4sIQCU9F1dXXFUY4hsry2+omi1+8Fjsf4newmiSj&#10;oR5nlyVlp4cQsRFMnVPSW8beS6Xy/JT5y4GJowfyAkzVicfYb7LisB8mcnvbnpGb+mlQ17Qjs+Fn&#10;Yz8bR+flocPmsgJFAsK55NamHUqDf3tH++1/s3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OtxLGKzAQAAfwMAAA4AAAAAAAAAAQAgAAAAJAEAAGRycy9lMm9Eb2MueG1sUEsFBgAAAAAGAAYA&#10;WQEAAEkFA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2"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cpUVbIBAAB/AwAADgAAAGRycy9lMm9Eb2MueG1srVPJ&#10;btswEL0X6D8QvMeUBDtNBMsBAiNtgaAtkPRs0BRpEeAGkrbkv++QkpyllxxyoYazPM57M1rfDVqh&#10;E/dBWtPgclFgxA2zrTSHBv99fri6wShEalqqrOENPvOA7zZfv6x7V/PKdla13CMAMaHuXYO7GF1N&#10;SGAd1zQsrOMGgsJ6TSNc/YG0nvaArhWpiuKa9Na3zlvGQwDvdgziCdF/BNAKIRnfWnbU3MQR1XNF&#10;I1AKnXQBb3K3QnAWfwsReESqwcA05hMeAXufTrJZ0/rgqeskm1qgH2nhHSdNpYFHL1BbGik6evkf&#10;lJbM22BFXDCryUgkKwIsyuKdNk8ddTxzAamDu4gePg+W/Tr98Ui2sAkVRoZqmPhu9/xjd18uq2WS&#10;p3ehhqwnB3lxuLcDpM7+AM7EehBepy/wQRAHcc8XcfkQEUtF1aq4XWHEIFSWN9+Wq4RCXoqdD/E7&#10;txolo8EeZpclpafHEMfUOSW9ZeyDVCrPT5k3DsAcPTwvwFSdeIz9JisO+2Eit7ftGbipnwZ0TTsy&#10;G3429rNxdF4eOmguK0ASEMwls5h2KA3+9R3s1//N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1MkA2AAAAAkBAAAPAAAAAAAAAAEAIAAAACIAAABkcnMvZG93bnJldi54bWxQSwECFAAUAAAACACH&#10;TuJA/cpUVbIBAAB/AwAADgAAAAAAAAABACAAAAAnAQAAZHJzL2Uyb0RvYy54bWxQSwUGAAAAAAYA&#10;BgBZAQAASwU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1"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y7UNerMBAAB/AwAADgAAAGRycy9lMm9Eb2MueG1srVPJ&#10;btswEL0X6D8QvNeSbKRIBMsBAiNJgaItkORs0BRpEeCGIW3Jf98hJTlLLzn0Qg1neZz3ZrS+HYwm&#10;JwFBOdvQalFSIix3rbKHhr4833+7piREZlumnRUNPYtAbzdfv6x7X4ul65xuBRAEsaHufUO7GH1d&#10;FIF3wrCwcF5YDEoHhkW8wqFogfWIbnSxLMvvRe+g9eC4CAG92zFIJ0T4DKCTUnGxdfxohI0jKgjN&#10;IlIKnfKBbnK3Ugoef0sZRCS6ocg05hMfQXufzmKzZvUBmO8Un1pgn2nhAyfDlMVHL1BbFhk5gvoH&#10;yigOLjgZF9yZYiSSFUEWVflBm6eOeZG5oNTBX0QP/w+W/zr9AaJa3ISKEssMTny3e37c3VWr5SrJ&#10;0/tQY9aTx7w43LkBU2d/QGdiPUgw6Yt8CMZR3PNFXDFEwlPR8qq8uaKEY6iqblbXWfzitdhDiA/C&#10;GZKMhgLOLkvKTj9DxEYwdU5Jb1l3r7TO89P2nQMTR4/ICzBVJx5jv8mKw36YyO1de0Zu+odFXdOO&#10;zAbMxn42jh7UocPmsgJFAsK55NamHUqDf3tH++1/s/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Mu1DXqzAQAAfw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0"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UTpdk7IBAAB/AwAADgAAAGRycy9lMm9Eb2MueG1srVNN&#10;a9wwEL0X+h+E7l3ZLgmJWW8gLGkDoS0kPS9aWV4L9MVIu/b++4xke5umlxx6kUfz8TTvzXh9NxpN&#10;ThKCcrah5aqgRFrhWmUPDf398vDlhpIQuW25dlY29CwDvdt8/rQefC0r1zvdSiAIYkM9+Ib2Mfqa&#10;sSB6aXhYOS8tBjsHhke8woG1wAdEN5pVRXHNBgetBydkCOjdTkE6I8JHAF3XKSG3ThyNtHFCBal5&#10;REqhVz7QTe6266SIP7suyEh0Q5FpzCc+gvY+nWyz5vUBuO+VmFvgH2nhHSfDlcVHL1BbHjk5gvoH&#10;yigBLrguroQzbCKSFUEWZfFOm+eee5m5oNTBX0QP/w9W/Dj9AqJa3ASUxHKDE9/tXr7v7suqqpI8&#10;gw81Zj17zIvjvRsxdfEHdCbWYwcmfZEPwTginS/iyjESkYqqq+L2ihKBobK8/XqTxWd/ij2E+E06&#10;Q5LRUMDZZUn56SlEbARTl5T0lnUPSus8P23/cmDi5JF5AebqxGPqN1lx3I8zub1rz8hNP1rUNe3I&#10;YsBi7Bfj6EEdemwuK8ASEM4ltzbvUBr82zvab/+b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XzaP2AAAAAkBAAAPAAAAAAAAAAEAIAAAACIAAABkcnMvZG93bnJldi54bWxQSwECFAAUAAAACACH&#10;TuJAUTpdk7IBAAB/AwAADgAAAAAAAAABACAAAAAnAQAAZHJzL2Uyb0RvYy54bWxQSwUGAAAAAAYA&#10;BgBZAQAASwUAAAAA&#10;">
                      <v:fill on="f" focussize="0,0"/>
                      <v:stroke on="f"/>
                      <v:imagedata o:title=""/>
                      <o:lock v:ext="edit" aspectratio="f"/>
                      <v:textbox inset="0mm,0mm,0mm,0mm">
                        <w:txbxContent>
                          <w:p>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9"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T8SmUswEAAH4DAAAOAAAAZHJzL2Uyb0RvYy54bWytU8tu&#10;2zAQvBfoPxC815IcJIgFywECI0mBoi2Q9GzQFGkR4AtL2pL/PktKctP0kkMu1HB3OdyZpdZ3g9Hk&#10;JCAoZxtaLUpKhOWuVfbQ0D8vD99uKQmR2ZZpZ0VDzyLQu83XL+ve12LpOqdbAQRJbKh739AuRl8X&#10;ReCdMCwsnBcWk9KBYRG3cChaYD2yG10sy/Km6B20HhwXIWB0OybpxAgfIXRSKi62jh+NsHFkBaFZ&#10;REmhUz7QTe5WSsHjLymDiEQ3FJXGvOIliPdpLTZrVh+A+U7xqQX2kRbeaTJMWbz0QrVlkZEjqP+o&#10;jOLggpNxwZ0pRiHZEVRRle+8ee6YF1kLWh38xfTwebT85+k3ENU2dEWJZQYHvtu9PO3uq2pZJXd6&#10;H2osevZYFod7N+CbmeMBg0n0IMGkL8ohmEdvzxdvxRAJT4eW1+XqmhKOqapaXd1m74u/hz2E+Cic&#10;IQk0FHB02VF2+hEiNoKlc0m6y7oHpXUen7b/BLBwjIg8/+l00jH2m1Ac9sMkbu/aM2rT3y3amp7I&#10;DGAG+xkcPahDh81lB4pEhGPJrU1PKM397R7x299m8w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k/EplL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0" t="0" r="6350" b="2540"/>
                      <wp:wrapNone/>
                      <wp:docPr id="8"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YtgRffAQAA4gMAAA4AAABkcnMvZTJvRG9jLnhtbK1TTW/b&#10;MAy9D+h/EHRv7CRdMBhxemjW7VBsAdadA0WibQH6gqjGyb8fpWTpxy45zAeZlKhHvkdqeX+whu0h&#10;ovau5dNJzRk46ZV2fct/Pz/efuEMk3BKGO+g5UdAfr+6+bQcQwMzP3ijIDICcdiMoeVDSqGpKpQD&#10;WIETH8DRYeejFYnc2FcqipHQralmdb2oRh9ViF4CIu2uT4f8jBivAfRdpyWsvXyx4NIJNYIRiSjh&#10;oAPyVam260Cmn12HkJhpOTFNZaUkZO/yWq2WoumjCIOW5xLENSV84GSFdpT0ArUWSbCXqP+BslpG&#10;j75LE+ltdSJSFCEW0/qDNr8GEaBwIakxXETH/wcrf+w3kWnVcmq7E5Yavt0+f98+zYo2Y8CGQh7c&#10;JpJS2cOwiZnooYs2/4kCOxQ9jxc94ZCYpM3p/G5BLedM0tn8rp4vCmj1ejtETN/AW5aNlhvtMl/R&#10;iP0TJspIoX9D8rZxbGz5Yv45Ywoavo6aTqYNRABdX+6iN1o9amPyDYz97sFEthd5AMqXe06478Jy&#10;krXA4RRXjk6jMYBQX51i6RhIGkcvgucSLCjODNADylYZoiS0uSaSUhuXS4Mynmeer9Jma+fVsShe&#10;ZY9aXyo+j2merbc+2W+f5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uoAAtYAAAAKAQAADwAA&#10;AAAAAAABACAAAAAiAAAAZHJzL2Rvd25yZXYueG1sUEsBAhQAFAAAAAgAh07iQIYtgRffAQAA4gMA&#10;AA4AAAAAAAAAAQAgAAAAJQEAAGRycy9lMm9Eb2MueG1sUEsFBgAAAAAGAAYAWQEAAHYFA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0" t="0" r="12700" b="4445"/>
                      <wp:wrapNone/>
                      <wp:docPr id="7"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C86zQbeAQAA4QMAAA4AAABkcnMvZTJvRG9jLnhtbK1TTW/bMAy9&#10;D9h/EHRfnDRI2hlxemjW7VBsAdadA0aSYwH6gqjGyb8fJbtZ111ymA8yKVJPfI/U6v5kDTuqiNq7&#10;hs8mU86UE15qd2j4r+fHT3ecYQInwXinGn5WyO/XHz+s+lCrG995I1VkBOKw7kPDu5RCXVUoOmUB&#10;Jz4oR8HWRwuJ3HioZISe0K2pbqbTZdX7KEP0QiHS7mYI8hExXgPo21YLtfHixSqXBtSoDCSihJ0O&#10;yNel2rZVIv1oW1SJmYYT01RWuoTsfV6r9QrqQ4TQaTGWANeU8I6TBe3o0gvUBhKwl6j/gbJaRI++&#10;TRPhbTUQKYoQi9n0nTY/OwiqcCGpMVxEx/8HK74ft5Fp2fBbzhxYavhu9/xt9zT7nLXpA9aU8uC2&#10;cfQwbGMmemqjzX+iwE5Fz/NFT3VKTNDm8nY+m5LSgkLLu9l8sciY1Z/DIWL6qrxl2Wi40S7ThRqO&#10;T5iG1NeUvG0c6wlpvsiYQLPXUs/JtIHqR3coZ9EbLR+1MfkExsP+wUR2hNz/8o0l/JWWL9kAdkNe&#10;CeU0qDsF8ouTLJ0DKePoQfBcglWSM6Po/WSrZCbQ5ppMYm9chlZlOkeeWedB2WztvTwXwavsUeeL&#10;aOOU5tF665P99mW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3G1tN0wAAAAcBAAAPAAAAAAAA&#10;AAEAIAAAACIAAABkcnMvZG93bnJldi54bWxQSwECFAAUAAAACACHTuJALzrNBt4BAADhAwAADgAA&#10;AAAAAAABACAAAAAiAQAAZHJzL2Uyb0RvYy54bWxQSwUGAAAAAAYABgBZAQAAcgUAA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pPr>
              <w:spacing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0.70%</w:t>
            </w:r>
          </w:p>
        </w:tc>
      </w:tr>
    </w:tbl>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注：1、采购代理服务费按差额定率累进法计算。例如：某服务类项目中标金额为200万元，计算采购代理服务费额如下：</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100万元×1.5%=1.5万元</w:t>
      </w:r>
    </w:p>
    <w:p>
      <w:pPr>
        <w:spacing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（200-100）万元×0.8%=0.8万元</w:t>
      </w:r>
    </w:p>
    <w:p>
      <w:pPr>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合计收费=1.5+0.8＝2.3（万元）</w:t>
      </w:r>
    </w:p>
    <w:p>
      <w:pPr>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br w:type="page"/>
      </w: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rPr>
          <w:rFonts w:cs="仿宋" w:asciiTheme="minorEastAsia" w:hAnsiTheme="minorEastAsia" w:eastAsiaTheme="minorEastAsia"/>
        </w:rPr>
      </w:pPr>
    </w:p>
    <w:p>
      <w:pPr>
        <w:adjustRightInd w:val="0"/>
        <w:snapToGrid w:val="0"/>
        <w:spacing w:line="300" w:lineRule="auto"/>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第六部分</w:t>
      </w:r>
    </w:p>
    <w:p>
      <w:pPr>
        <w:jc w:val="center"/>
        <w:rPr>
          <w:rFonts w:cs="仿宋" w:asciiTheme="minorEastAsia" w:hAnsiTheme="minorEastAsia" w:eastAsiaTheme="minorEastAsia"/>
          <w:snapToGrid w:val="0"/>
          <w:kern w:val="0"/>
          <w:sz w:val="56"/>
          <w:szCs w:val="96"/>
        </w:rPr>
      </w:pPr>
      <w:r>
        <w:rPr>
          <w:rFonts w:hint="eastAsia" w:cs="仿宋" w:asciiTheme="minorEastAsia" w:hAnsiTheme="minorEastAsia" w:eastAsiaTheme="minorEastAsia"/>
          <w:snapToGrid w:val="0"/>
          <w:kern w:val="0"/>
          <w:sz w:val="56"/>
          <w:szCs w:val="96"/>
        </w:rPr>
        <w:t>附件</w:t>
      </w:r>
    </w:p>
    <w:p>
      <w:pPr>
        <w:widowControl/>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附件1</w:t>
      </w:r>
    </w:p>
    <w:p>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履约保证金</w:t>
      </w: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rPr>
          <w:rFonts w:cs="仿宋" w:asciiTheme="minorEastAsia" w:hAnsiTheme="minorEastAsia" w:eastAsiaTheme="minorEastAsia"/>
          <w:snapToGrid w:val="0"/>
          <w:kern w:val="0"/>
        </w:rPr>
      </w:pPr>
    </w:p>
    <w:p>
      <w:pPr>
        <w:adjustRightInd w:val="0"/>
        <w:snapToGrid w:val="0"/>
        <w:spacing w:line="300" w:lineRule="auto"/>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银行保函（格式）</w:t>
      </w:r>
    </w:p>
    <w:p>
      <w:pPr>
        <w:rPr>
          <w:rFonts w:cs="仿宋" w:asciiTheme="minorEastAsia" w:hAnsiTheme="minorEastAsia" w:eastAsiaTheme="minorEastAsia"/>
        </w:rPr>
      </w:pP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rPr>
        <w:t xml:space="preserve">  </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年</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月</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万元人民币的保证金。</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w:t>
      </w:r>
      <w:r>
        <w:rPr>
          <w:rFonts w:hint="eastAsia" w:cs="仿宋" w:asciiTheme="minorEastAsia" w:hAnsiTheme="minorEastAsia" w:eastAsiaTheme="minorEastAsia"/>
          <w:sz w:val="22"/>
          <w:u w:val="single"/>
        </w:rPr>
        <w:t xml:space="preserve">            </w:t>
      </w:r>
      <w:r>
        <w:rPr>
          <w:rFonts w:hint="eastAsia" w:cs="仿宋" w:asciiTheme="minorEastAsia" w:hAnsiTheme="minorEastAsia" w:eastAsiaTheme="minorEastAsia"/>
          <w:sz w:val="22"/>
        </w:rPr>
        <w:t>(公章)</w:t>
      </w:r>
    </w:p>
    <w:p>
      <w:pPr>
        <w:pStyle w:val="42"/>
        <w:adjustRightInd w:val="0"/>
        <w:snapToGrid w:val="0"/>
        <w:spacing w:line="360" w:lineRule="auto"/>
        <w:rPr>
          <w:rFonts w:cs="仿宋" w:asciiTheme="minorEastAsia" w:hAnsiTheme="minorEastAsia" w:eastAsiaTheme="minorEastAsia"/>
          <w:sz w:val="22"/>
        </w:rPr>
      </w:pPr>
      <w:r>
        <w:rPr>
          <w:rFonts w:hint="eastAsia" w:cs="仿宋" w:asciiTheme="minorEastAsia" w:hAnsiTheme="minorEastAsia" w:eastAsiaTheme="minorEastAsia"/>
          <w:sz w:val="22"/>
        </w:rPr>
        <w:t xml:space="preserve">    </w:t>
      </w:r>
    </w:p>
    <w:p>
      <w:pPr>
        <w:pStyle w:val="42"/>
        <w:adjustRightInd w:val="0"/>
        <w:snapToGrid w:val="0"/>
        <w:spacing w:line="360" w:lineRule="auto"/>
        <w:ind w:firstLine="420"/>
        <w:rPr>
          <w:rFonts w:cs="仿宋" w:asciiTheme="minorEastAsia" w:hAnsiTheme="minorEastAsia" w:eastAsiaTheme="minorEastAsia"/>
        </w:rPr>
      </w:pPr>
      <w:r>
        <w:rPr>
          <w:rFonts w:hint="eastAsia" w:cs="仿宋" w:asciiTheme="minorEastAsia" w:hAnsiTheme="minorEastAsia" w:eastAsiaTheme="minorEastAsia"/>
          <w:sz w:val="22"/>
        </w:rPr>
        <w:t xml:space="preserve">                                   签 发 人 签 字：</w:t>
      </w:r>
      <w:r>
        <w:rPr>
          <w:rFonts w:hint="eastAsia" w:cs="仿宋" w:asciiTheme="minorEastAsia" w:hAnsiTheme="minorEastAsia" w:eastAsiaTheme="minorEastAsia"/>
          <w:sz w:val="22"/>
          <w:u w:val="single"/>
        </w:rPr>
        <w:t xml:space="preserve">            </w:t>
      </w:r>
    </w:p>
    <w:p>
      <w:pPr>
        <w:pStyle w:val="43"/>
        <w:adjustRightInd w:val="0"/>
        <w:spacing w:line="360" w:lineRule="auto"/>
        <w:rPr>
          <w:rFonts w:cs="仿宋" w:asciiTheme="minorEastAsia" w:hAnsiTheme="minorEastAsia" w:eastAsiaTheme="minorEastAsia"/>
        </w:rPr>
      </w:pPr>
      <w:r>
        <w:rPr>
          <w:rFonts w:hint="eastAsia" w:cs="宋体" w:asciiTheme="minorEastAsia" w:hAnsiTheme="minorEastAsia" w:eastAsiaTheme="minorEastAsia"/>
        </w:rPr>
        <w:t> </w:t>
      </w:r>
    </w:p>
    <w:p>
      <w:pPr>
        <w:rPr>
          <w:rFonts w:cs="仿宋" w:asciiTheme="minorEastAsia" w:hAnsiTheme="minorEastAsia" w:eastAsiaTheme="minorEastAsia"/>
        </w:rPr>
      </w:pPr>
    </w:p>
    <w:p>
      <w:pPr>
        <w:pStyle w:val="8"/>
        <w:rPr>
          <w:rFonts w:cs="仿宋" w:asciiTheme="minorEastAsia" w:hAnsiTheme="minorEastAsia" w:eastAsiaTheme="minorEastAsia"/>
        </w:rPr>
      </w:pPr>
    </w:p>
    <w:p>
      <w:pPr>
        <w:pStyle w:val="9"/>
        <w:rPr>
          <w:rFonts w:cs="仿宋" w:asciiTheme="minorEastAsia" w:hAnsiTheme="minorEastAsia" w:eastAsiaTheme="minorEastAsia"/>
        </w:rPr>
      </w:pPr>
    </w:p>
    <w:p>
      <w:pPr>
        <w:rPr>
          <w:rFonts w:cs="仿宋" w:asciiTheme="minorEastAsia" w:hAnsiTheme="minorEastAsia" w:eastAsiaTheme="minorEastAsia"/>
        </w:rPr>
      </w:pPr>
    </w:p>
    <w:p>
      <w:pPr>
        <w:pStyle w:val="8"/>
        <w:rPr>
          <w:rFonts w:cs="仿宋" w:asciiTheme="minorEastAsia" w:hAnsiTheme="minorEastAsia" w:eastAsiaTheme="minorEastAsia"/>
        </w:rPr>
      </w:pPr>
    </w:p>
    <w:p>
      <w:pPr>
        <w:pStyle w:val="9"/>
        <w:rPr>
          <w:rFonts w:cs="仿宋" w:asciiTheme="minorEastAsia" w:hAnsiTheme="minorEastAsia" w:eastAsiaTheme="minorEastAsia"/>
        </w:rPr>
      </w:pPr>
    </w:p>
    <w:p>
      <w:pPr>
        <w:rPr>
          <w:rFonts w:cs="仿宋" w:asciiTheme="minorEastAsia" w:hAnsiTheme="minorEastAsia" w:eastAsiaTheme="minorEastAsia"/>
        </w:rPr>
      </w:pPr>
    </w:p>
    <w:p>
      <w:pPr>
        <w:pStyle w:val="8"/>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附件2：交警视频综合系统应用维护评价标准</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为提升信息化运维服务质量，保障业务应用系统安全稳定运行，规范信息化运维服务质量评价管理工作，参照《深圳市公安局信息化运维服务质量评价管理办法》进行运维服务质量评价，要求中标方配合落实好相关工作。</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1、故障维护及时性</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1.1、根据故障解决难易情况、故障对系统运行的影响、以及故障出现的主客观因素，可将故障分为以下三类：</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一般故障，故障容易解决，不影响系统运行，能使用，影响小。</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较大故障，故障较难解决，对系统运行影响较大，影响系统正常运行。</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重大故障，故障难以在短时间内解决，导致系统无法正常运行，如硬件故障导致的服务器无法正常启动、系统崩溃、数据库崩溃等。</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1.2、乙方接到故障通知后，须立即实施抢修，响应时间工作日为1小时（非工作日为3小时），故障排除后乙方须立即通知甲方值班人员及主管民警，同时记录接报和修复时间并填入当天日报表。</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响应时间项考核按时计算，超过1小时未响应扣罚 500元；之后每超过1小时加扣罚500元,并累计扣罚。</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1.3、根据故障情况分类，故障修复时间项考核按时计算。超过故障情况时限未修复扣罚500元，之后每超过1小时未排除故障加扣罚500元,并累计扣罚；</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一般故障：修复时限为1小时。</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较大故障：修复时限为4小时。</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重大故障：修复时限为8小时，未能及时修复提前汇报给甲方，修复时限由甲方确定。</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2、日常巡检</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（一）建立日巡检签到登记卡（详见附件2）,维护人员须每个工作日上午12：00以前对服务器磁盘使用情况、服务器程序运行状态、智能交警功能模块运行情况等进行例行检査。</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（二）建立周巡检签到登记卡（详见附件2）,维护人员每周第一个工作日完成对已接入交通警察支队一类点视频镜头一机一档进行核对整理，保障交通警察支队一类点视频镜头一机一档信息录入率。</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（三）建立月巡检签到登记卡（详见附件2）,维护人员每月第一周完成对交通警察支队视频资源的国标接入和国标共享进行一次例行检查，保障交通警察支队国标共享和接入视频资源正常稳定。</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3、日报周报月报评价</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（一）乙方应每个工作日向甲方提供视频综合系统应用管理平台服务器磁盘使用情况、服务器程序运行状态、智能交警模块运行情况等日报。</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日报应在每个工作日12点前送达甲方，节假日期间日报周报表提交可顺延至节假日后上班的第一天前。日报内容要真实、填写要规范、提交及时。</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日报应如实填写运行状态、故障原因、处理结果。</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1、运行状态指：系统各模块的运行状态。如：视频巡逻预案管理模块系统工作正常、异常等。</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2、故障原因指：经维修人员对设备、系统、软件等检査修复后明确造成故障的具体原因。</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3、处理结果指：故障处理后的状况。如：已修复、未修复、待修复等。</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该项考核按单日次计算、出现一次问题计一次违规，扣罚500元。</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乙方应每周向甲方提供视频综合系统应用管理平台交通警察支队一类点视频一机一档录入情况周报。</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周报应在每周一送达甲方，节假日期间日报周报表提交可顺延至节假日后上班的第一天前。周报内容要真实、填写要规范、提交及时。</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周报应如实填写交通警察支队各大队一类点视频一机一档录入情况、未录入原因、解决办法。</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录入情况指：成功上传一类点视频一机一档至市局一机一档数据库。</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未录入原因指：未上传一类点视频一机一档至市局一机一档数据库原因。</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解决办法指：如何确保一类点视频一机一档成功上传市局一机一档数据库。</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发生周报中数据不准确、统计不真实、分析不切实、提交不及时的情况按项计，每项计违规一次，加罚500元。</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（三）月报应如实填写故障维护统计、故障原因分析、措施。</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故障维护统计：月故障次数、原因分类统计、系统故障率统计、系统分类故障率统计、维护次数、超时限次数，同时提供故障清单。统计数据必须真实、准确。</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故障原因分析：对多发的、疑点的故障进行具体的技术分析，分析要深入、切实、准确。</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针对上述的故障原因分析出的结果，拟采取技术及管理上的解决办法。</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乙方每月三日前向甲方提交上月的维护工作报告。</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发生月报中数据不准确、统计不真实、分析不切实、提交不及时的情况按项计，每项计违规一次，加罚500元。</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4、驻点工作规范</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乙方要按照甲方单位相关管理规定，在工作日9点——18点期间，不得出现迟到，早退等现象，在驻点办公需穿戴甲方规定的工作服装以及工作证等，并在进出驻点时配合物业等人员做好出入登记、工牌核对、车辆停放等事宜，自觉维护好办公环境及内务秩序，如甲方发现乙方驻点工作不规范时，计违规一次，扣罚500元至1000元。</w:t>
      </w:r>
    </w:p>
    <w:p>
      <w:pPr>
        <w:spacing w:line="360" w:lineRule="auto"/>
        <w:rPr>
          <w:rFonts w:cs="仿宋" w:asciiTheme="minorEastAsia" w:hAnsiTheme="minorEastAsia" w:eastAsiaTheme="minorEastAsia"/>
        </w:rPr>
      </w:pP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5、系统安全及保密</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双方须在签订合同时同时签订保密协议，未经甲方书面许可，乙方不得在视频综合系统应用管理平台运行与视综控制系统无关的程序或数据库脚本，影响视综应用的正常运行；不得在视综应用服务器进行功能、性能、稳定性等测试；不得以任何形式向第三方泄露视综应用的数据；不得修改任何协议。经甲方许可后修改的设备软件，须经过功能、性能、稳定性等测试后，才能升级到真实环境运行。</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严格遵守保密原则，必须对工作中可能涉及的各种秘密承担保密责任和义务。甲方提供的任何文件、资料及维护过程中所接触的内部数据资料，未经许可，严禁提供给其它单位或个人查看或使用。</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此项考核按次计算，发现违反一次计违规一次，按项次扣罚500元；如因此影响视综应用的正常运行，每次扣罚500元；造成重大影响的，将视情节按项次扣罚1000元至2000元。</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br w:type="page"/>
      </w:r>
    </w:p>
    <w:p>
      <w:pPr>
        <w:spacing w:line="360" w:lineRule="auto"/>
        <w:rPr>
          <w:rFonts w:cs="仿宋" w:asciiTheme="minorEastAsia" w:hAnsiTheme="minorEastAsia" w:eastAsiaTheme="minorEastAsia"/>
          <w:lang w:val="zh-TW" w:eastAsia="zh-TW"/>
        </w:rPr>
      </w:pPr>
      <w:r>
        <w:rPr>
          <w:rFonts w:hint="eastAsia" w:cs="仿宋" w:asciiTheme="minorEastAsia" w:hAnsiTheme="minorEastAsia" w:eastAsiaTheme="minorEastAsia"/>
        </w:rPr>
        <w:t>附件3：巡检签到登记卡</w:t>
      </w:r>
    </w:p>
    <w:tbl>
      <w:tblPr>
        <w:tblStyle w:val="21"/>
        <w:tblW w:w="8746" w:type="dxa"/>
        <w:jc w:val="center"/>
        <w:tblLayout w:type="fixed"/>
        <w:tblCellMar>
          <w:top w:w="0" w:type="dxa"/>
          <w:left w:w="108" w:type="dxa"/>
          <w:bottom w:w="0" w:type="dxa"/>
          <w:right w:w="108" w:type="dxa"/>
        </w:tblCellMar>
      </w:tblPr>
      <w:tblGrid>
        <w:gridCol w:w="846"/>
        <w:gridCol w:w="3900"/>
        <w:gridCol w:w="728"/>
        <w:gridCol w:w="829"/>
        <w:gridCol w:w="900"/>
        <w:gridCol w:w="712"/>
        <w:gridCol w:w="831"/>
      </w:tblGrid>
      <w:tr>
        <w:tblPrEx>
          <w:tblCellMar>
            <w:top w:w="0" w:type="dxa"/>
            <w:left w:w="108" w:type="dxa"/>
            <w:bottom w:w="0" w:type="dxa"/>
            <w:right w:w="108" w:type="dxa"/>
          </w:tblCellMar>
        </w:tblPrEx>
        <w:trPr>
          <w:trHeight w:val="400" w:hRule="atLeast"/>
          <w:jc w:val="center"/>
        </w:trPr>
        <w:tc>
          <w:tcPr>
            <w:tcW w:w="8746"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日巡检签到登记卡</w:t>
            </w:r>
          </w:p>
        </w:tc>
      </w:tr>
      <w:tr>
        <w:tblPrEx>
          <w:tblCellMar>
            <w:top w:w="0" w:type="dxa"/>
            <w:left w:w="108" w:type="dxa"/>
            <w:bottom w:w="0" w:type="dxa"/>
            <w:right w:w="108" w:type="dxa"/>
          </w:tblCellMar>
        </w:tblPrEx>
        <w:trPr>
          <w:trHeight w:val="400" w:hRule="atLeast"/>
          <w:jc w:val="center"/>
        </w:trPr>
        <w:tc>
          <w:tcPr>
            <w:tcW w:w="8746"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功能模块运行情况日常巡检                  年          月            日</w:t>
            </w:r>
          </w:p>
        </w:tc>
      </w:tr>
      <w:tr>
        <w:tblPrEx>
          <w:tblCellMar>
            <w:top w:w="0" w:type="dxa"/>
            <w:left w:w="108" w:type="dxa"/>
            <w:bottom w:w="0" w:type="dxa"/>
            <w:right w:w="108" w:type="dxa"/>
          </w:tblCellMar>
        </w:tblPrEx>
        <w:trPr>
          <w:trHeight w:val="40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主要巡检</w:t>
            </w:r>
          </w:p>
        </w:tc>
        <w:tc>
          <w:tcPr>
            <w:tcW w:w="390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巡检内容</w:t>
            </w:r>
          </w:p>
        </w:tc>
        <w:tc>
          <w:tcPr>
            <w:tcW w:w="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巡检结果</w:t>
            </w:r>
          </w:p>
        </w:tc>
        <w:tc>
          <w:tcPr>
            <w:tcW w:w="82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故障原因</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处理结果</w:t>
            </w:r>
          </w:p>
        </w:tc>
        <w:tc>
          <w:tcPr>
            <w:tcW w:w="71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维护公司</w:t>
            </w:r>
          </w:p>
        </w:tc>
        <w:tc>
          <w:tcPr>
            <w:tcW w:w="83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巡检人</w:t>
            </w:r>
          </w:p>
        </w:tc>
      </w:tr>
      <w:tr>
        <w:tblPrEx>
          <w:tblCellMar>
            <w:top w:w="0" w:type="dxa"/>
            <w:left w:w="108" w:type="dxa"/>
            <w:bottom w:w="0" w:type="dxa"/>
            <w:right w:w="108" w:type="dxa"/>
          </w:tblCellMar>
        </w:tblPrEx>
        <w:trPr>
          <w:trHeight w:val="400" w:hRule="atLeast"/>
          <w:jc w:val="center"/>
        </w:trPr>
        <w:tc>
          <w:tcPr>
            <w:tcW w:w="846" w:type="dxa"/>
            <w:vMerge w:val="restart"/>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视综执法应用</w:t>
            </w:r>
          </w:p>
        </w:tc>
        <w:tc>
          <w:tcPr>
            <w:tcW w:w="3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视频巡逻预案管理</w:t>
            </w:r>
          </w:p>
        </w:tc>
        <w:tc>
          <w:tcPr>
            <w:tcW w:w="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29"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12" w:type="dxa"/>
            <w:vMerge w:val="restart"/>
            <w:tcBorders>
              <w:top w:val="single" w:color="000000" w:sz="4" w:space="0"/>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31" w:type="dxa"/>
            <w:vMerge w:val="restart"/>
            <w:tcBorders>
              <w:top w:val="single" w:color="000000" w:sz="4" w:space="0"/>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846"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视频交警交通智巡</w:t>
            </w:r>
          </w:p>
        </w:tc>
        <w:tc>
          <w:tcPr>
            <w:tcW w:w="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29"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846"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视频交警视频执法管理</w:t>
            </w:r>
          </w:p>
        </w:tc>
        <w:tc>
          <w:tcPr>
            <w:tcW w:w="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29"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846"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视频交警重点视频库管理</w:t>
            </w:r>
          </w:p>
        </w:tc>
        <w:tc>
          <w:tcPr>
            <w:tcW w:w="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29"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846"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视频交警系统数据字典管理</w:t>
            </w:r>
          </w:p>
        </w:tc>
        <w:tc>
          <w:tcPr>
            <w:tcW w:w="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29"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846"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视频巡逻绩效考核及统计分析管理</w:t>
            </w:r>
          </w:p>
        </w:tc>
        <w:tc>
          <w:tcPr>
            <w:tcW w:w="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29"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846"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900"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预置位综合调度巡航</w:t>
            </w:r>
          </w:p>
        </w:tc>
        <w:tc>
          <w:tcPr>
            <w:tcW w:w="7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29"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900"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12"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p>
    <w:tbl>
      <w:tblPr>
        <w:tblStyle w:val="21"/>
        <w:tblW w:w="8710" w:type="dxa"/>
        <w:jc w:val="center"/>
        <w:tblLayout w:type="fixed"/>
        <w:tblCellMar>
          <w:top w:w="0" w:type="dxa"/>
          <w:left w:w="108" w:type="dxa"/>
          <w:bottom w:w="0" w:type="dxa"/>
          <w:right w:w="108" w:type="dxa"/>
        </w:tblCellMar>
      </w:tblPr>
      <w:tblGrid>
        <w:gridCol w:w="1278"/>
        <w:gridCol w:w="1605"/>
        <w:gridCol w:w="1418"/>
        <w:gridCol w:w="836"/>
        <w:gridCol w:w="836"/>
        <w:gridCol w:w="836"/>
        <w:gridCol w:w="894"/>
        <w:gridCol w:w="1007"/>
      </w:tblGrid>
      <w:tr>
        <w:tblPrEx>
          <w:tblCellMar>
            <w:top w:w="0" w:type="dxa"/>
            <w:left w:w="108" w:type="dxa"/>
            <w:bottom w:w="0" w:type="dxa"/>
            <w:right w:w="108" w:type="dxa"/>
          </w:tblCellMar>
        </w:tblPrEx>
        <w:trPr>
          <w:trHeight w:val="400" w:hRule="atLeast"/>
          <w:jc w:val="center"/>
        </w:trPr>
        <w:tc>
          <w:tcPr>
            <w:tcW w:w="8710"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日巡检签到登记卡</w:t>
            </w:r>
          </w:p>
        </w:tc>
      </w:tr>
      <w:tr>
        <w:tblPrEx>
          <w:tblCellMar>
            <w:top w:w="0" w:type="dxa"/>
            <w:left w:w="108" w:type="dxa"/>
            <w:bottom w:w="0" w:type="dxa"/>
            <w:right w:w="108" w:type="dxa"/>
          </w:tblCellMar>
        </w:tblPrEx>
        <w:trPr>
          <w:trHeight w:val="400" w:hRule="atLeast"/>
          <w:jc w:val="center"/>
        </w:trPr>
        <w:tc>
          <w:tcPr>
            <w:tcW w:w="8710"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服务器磁盘空间使用率以及程序运行情况日常巡检         年      月     日</w:t>
            </w:r>
          </w:p>
        </w:tc>
      </w:tr>
      <w:tr>
        <w:tblPrEx>
          <w:tblCellMar>
            <w:top w:w="0" w:type="dxa"/>
            <w:left w:w="108" w:type="dxa"/>
            <w:bottom w:w="0" w:type="dxa"/>
            <w:right w:w="108" w:type="dxa"/>
          </w:tblCellMar>
        </w:tblPrEx>
        <w:trPr>
          <w:trHeight w:val="4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服务器IP地址</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磁盘空间使用情况</w:t>
            </w: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运行程序</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巡检结果</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故障原因</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处理结果</w:t>
            </w:r>
          </w:p>
        </w:tc>
        <w:tc>
          <w:tcPr>
            <w:tcW w:w="894" w:type="dxa"/>
            <w:tcBorders>
              <w:top w:val="single" w:color="000000"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维护公司</w:t>
            </w:r>
          </w:p>
        </w:tc>
        <w:tc>
          <w:tcPr>
            <w:tcW w:w="1007" w:type="dxa"/>
            <w:tcBorders>
              <w:top w:val="single" w:color="000000" w:sz="4" w:space="0"/>
              <w:left w:val="single" w:color="000000"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巡检人</w:t>
            </w:r>
          </w:p>
        </w:tc>
      </w:tr>
      <w:tr>
        <w:tblPrEx>
          <w:tblCellMar>
            <w:top w:w="0" w:type="dxa"/>
            <w:left w:w="108" w:type="dxa"/>
            <w:bottom w:w="0" w:type="dxa"/>
            <w:right w:w="108" w:type="dxa"/>
          </w:tblCellMar>
        </w:tblPrEx>
        <w:trPr>
          <w:trHeight w:val="400" w:hRule="atLeast"/>
          <w:jc w:val="center"/>
        </w:trPr>
        <w:tc>
          <w:tcPr>
            <w:tcW w:w="1278" w:type="dxa"/>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90" w:hRule="atLeast"/>
          <w:jc w:val="center"/>
        </w:trPr>
        <w:tc>
          <w:tcPr>
            <w:tcW w:w="1278" w:type="dxa"/>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tcBorders>
              <w:top w:val="nil"/>
              <w:left w:val="single" w:color="000000"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auto"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auto"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p>
        </w:tc>
        <w:tc>
          <w:tcPr>
            <w:tcW w:w="1418" w:type="dxa"/>
            <w:tcBorders>
              <w:top w:val="single" w:color="000000" w:sz="4" w:space="0"/>
              <w:left w:val="single" w:color="000000" w:sz="4" w:space="0"/>
              <w:bottom w:val="single" w:color="000000" w:sz="4" w:space="0"/>
              <w:right w:val="single" w:color="auto" w:sz="4" w:space="0"/>
            </w:tcBorders>
            <w:vAlign w:val="center"/>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36" w:type="dxa"/>
            <w:tcBorders>
              <w:top w:val="single" w:color="auto" w:sz="4" w:space="0"/>
              <w:left w:val="single" w:color="auto" w:sz="4" w:space="0"/>
              <w:bottom w:val="single" w:color="auto" w:sz="4" w:space="0"/>
              <w:right w:val="single" w:color="auto" w:sz="4" w:space="0"/>
            </w:tcBorders>
          </w:tcPr>
          <w:p>
            <w:pPr>
              <w:spacing w:line="360" w:lineRule="auto"/>
              <w:rPr>
                <w:rFonts w:cs="仿宋" w:asciiTheme="minorEastAsia" w:hAnsiTheme="minorEastAsia" w:eastAsiaTheme="minorEastAsia"/>
              </w:rPr>
            </w:pPr>
          </w:p>
        </w:tc>
        <w:tc>
          <w:tcPr>
            <w:tcW w:w="894" w:type="dxa"/>
            <w:vMerge w:val="continue"/>
            <w:tcBorders>
              <w:top w:val="single" w:color="auto" w:sz="4" w:space="0"/>
              <w:left w:val="single" w:color="auto" w:sz="4" w:space="0"/>
              <w:bottom w:val="single" w:color="auto"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top w:val="single" w:color="auto" w:sz="4" w:space="0"/>
              <w:left w:val="single" w:color="000000" w:sz="4" w:space="0"/>
              <w:bottom w:val="single" w:color="auto" w:sz="4" w:space="0"/>
              <w:right w:val="single" w:color="auto" w:sz="4" w:space="0"/>
            </w:tcBorders>
            <w:vAlign w:val="center"/>
          </w:tcPr>
          <w:p>
            <w:pPr>
              <w:spacing w:line="360" w:lineRule="auto"/>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r>
        <w:rPr>
          <w:rFonts w:hint="eastAsia" w:cs="仿宋" w:asciiTheme="minorEastAsia" w:hAnsiTheme="minorEastAsia" w:eastAsiaTheme="minorEastAsia"/>
        </w:rPr>
        <w:br w:type="page"/>
      </w:r>
    </w:p>
    <w:tbl>
      <w:tblPr>
        <w:tblStyle w:val="21"/>
        <w:tblW w:w="8710" w:type="dxa"/>
        <w:jc w:val="center"/>
        <w:tblLayout w:type="fixed"/>
        <w:tblCellMar>
          <w:top w:w="0" w:type="dxa"/>
          <w:left w:w="108" w:type="dxa"/>
          <w:bottom w:w="0" w:type="dxa"/>
          <w:right w:w="108" w:type="dxa"/>
        </w:tblCellMar>
      </w:tblPr>
      <w:tblGrid>
        <w:gridCol w:w="1278"/>
        <w:gridCol w:w="1605"/>
        <w:gridCol w:w="1418"/>
        <w:gridCol w:w="1417"/>
        <w:gridCol w:w="1091"/>
        <w:gridCol w:w="894"/>
        <w:gridCol w:w="1007"/>
      </w:tblGrid>
      <w:tr>
        <w:tblPrEx>
          <w:tblCellMar>
            <w:top w:w="0" w:type="dxa"/>
            <w:left w:w="108" w:type="dxa"/>
            <w:bottom w:w="0" w:type="dxa"/>
            <w:right w:w="108" w:type="dxa"/>
          </w:tblCellMar>
        </w:tblPrEx>
        <w:trPr>
          <w:trHeight w:val="400" w:hRule="atLeast"/>
          <w:jc w:val="center"/>
        </w:trPr>
        <w:tc>
          <w:tcPr>
            <w:tcW w:w="871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周巡检签到登记卡</w:t>
            </w:r>
          </w:p>
        </w:tc>
      </w:tr>
      <w:tr>
        <w:tblPrEx>
          <w:tblCellMar>
            <w:top w:w="0" w:type="dxa"/>
            <w:left w:w="108" w:type="dxa"/>
            <w:bottom w:w="0" w:type="dxa"/>
            <w:right w:w="108" w:type="dxa"/>
          </w:tblCellMar>
        </w:tblPrEx>
        <w:trPr>
          <w:trHeight w:val="400" w:hRule="atLeast"/>
          <w:jc w:val="center"/>
        </w:trPr>
        <w:tc>
          <w:tcPr>
            <w:tcW w:w="8710"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交通警察支队一类点视频一机一档录入情况             年      月     日</w:t>
            </w:r>
          </w:p>
        </w:tc>
      </w:tr>
      <w:tr>
        <w:tblPrEx>
          <w:tblCellMar>
            <w:top w:w="0" w:type="dxa"/>
            <w:left w:w="108" w:type="dxa"/>
            <w:bottom w:w="0" w:type="dxa"/>
            <w:right w:w="108" w:type="dxa"/>
          </w:tblCellMar>
        </w:tblPrEx>
        <w:trPr>
          <w:trHeight w:val="400" w:hRule="atLeast"/>
          <w:jc w:val="center"/>
        </w:trPr>
        <w:tc>
          <w:tcPr>
            <w:tcW w:w="12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主要巡检</w:t>
            </w:r>
          </w:p>
        </w:tc>
        <w:tc>
          <w:tcPr>
            <w:tcW w:w="160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巡检内容</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录入率</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未录入原因</w:t>
            </w:r>
          </w:p>
        </w:tc>
        <w:tc>
          <w:tcPr>
            <w:tcW w:w="109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处理结果</w:t>
            </w:r>
          </w:p>
        </w:tc>
        <w:tc>
          <w:tcPr>
            <w:tcW w:w="89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维护公司</w:t>
            </w:r>
          </w:p>
        </w:tc>
        <w:tc>
          <w:tcPr>
            <w:tcW w:w="100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巡检人</w:t>
            </w:r>
          </w:p>
        </w:tc>
      </w:tr>
      <w:tr>
        <w:tblPrEx>
          <w:tblCellMar>
            <w:top w:w="0" w:type="dxa"/>
            <w:left w:w="108" w:type="dxa"/>
            <w:bottom w:w="0" w:type="dxa"/>
            <w:right w:w="108" w:type="dxa"/>
          </w:tblCellMar>
        </w:tblPrEx>
        <w:trPr>
          <w:trHeight w:val="400" w:hRule="atLeast"/>
          <w:jc w:val="center"/>
        </w:trPr>
        <w:tc>
          <w:tcPr>
            <w:tcW w:w="1278" w:type="dxa"/>
            <w:vMerge w:val="restart"/>
            <w:tcBorders>
              <w:top w:val="nil"/>
              <w:left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交通警察支队一类点视频</w:t>
            </w: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宝安大队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restart"/>
            <w:tcBorders>
              <w:top w:val="single" w:color="000000" w:sz="4" w:space="0"/>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restart"/>
            <w:tcBorders>
              <w:top w:val="single" w:color="000000" w:sz="4" w:space="0"/>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大鹏大队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东部大队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福田大队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光明大队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机场大队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龙岗大队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龙华大队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罗湖大队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南山大队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坪山大队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深汕大队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西部大队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278" w:type="dxa"/>
            <w:vMerge w:val="continue"/>
            <w:tcBorders>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605"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盐田大队</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417"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1091"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94" w:type="dxa"/>
            <w:vMerge w:val="continue"/>
            <w:tcBorders>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1007" w:type="dxa"/>
            <w:vMerge w:val="continue"/>
            <w:tcBorders>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p>
    <w:tbl>
      <w:tblPr>
        <w:tblStyle w:val="21"/>
        <w:tblW w:w="8545" w:type="dxa"/>
        <w:jc w:val="center"/>
        <w:tblLayout w:type="fixed"/>
        <w:tblCellMar>
          <w:top w:w="0" w:type="dxa"/>
          <w:left w:w="108" w:type="dxa"/>
          <w:bottom w:w="0" w:type="dxa"/>
          <w:right w:w="108" w:type="dxa"/>
        </w:tblCellMar>
      </w:tblPr>
      <w:tblGrid>
        <w:gridCol w:w="1134"/>
        <w:gridCol w:w="3117"/>
        <w:gridCol w:w="1006"/>
        <w:gridCol w:w="932"/>
        <w:gridCol w:w="732"/>
        <w:gridCol w:w="851"/>
        <w:gridCol w:w="773"/>
      </w:tblGrid>
      <w:tr>
        <w:tblPrEx>
          <w:tblCellMar>
            <w:top w:w="0" w:type="dxa"/>
            <w:left w:w="108" w:type="dxa"/>
            <w:bottom w:w="0" w:type="dxa"/>
            <w:right w:w="108" w:type="dxa"/>
          </w:tblCellMar>
        </w:tblPrEx>
        <w:trPr>
          <w:trHeight w:val="400" w:hRule="atLeast"/>
          <w:jc w:val="center"/>
        </w:trPr>
        <w:tc>
          <w:tcPr>
            <w:tcW w:w="8545"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月巡检签到登记卡</w:t>
            </w:r>
          </w:p>
        </w:tc>
      </w:tr>
      <w:tr>
        <w:tblPrEx>
          <w:tblCellMar>
            <w:top w:w="0" w:type="dxa"/>
            <w:left w:w="108" w:type="dxa"/>
            <w:bottom w:w="0" w:type="dxa"/>
            <w:right w:w="108" w:type="dxa"/>
          </w:tblCellMar>
        </w:tblPrEx>
        <w:trPr>
          <w:trHeight w:val="400" w:hRule="atLeast"/>
          <w:jc w:val="center"/>
        </w:trPr>
        <w:tc>
          <w:tcPr>
            <w:tcW w:w="8545" w:type="dxa"/>
            <w:gridSpan w:val="7"/>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交通警察支队已对接平台                            年      月     日</w:t>
            </w:r>
          </w:p>
        </w:tc>
      </w:tr>
      <w:tr>
        <w:tblPrEx>
          <w:tblCellMar>
            <w:top w:w="0" w:type="dxa"/>
            <w:left w:w="108" w:type="dxa"/>
            <w:bottom w:w="0" w:type="dxa"/>
            <w:right w:w="108" w:type="dxa"/>
          </w:tblCellMar>
        </w:tblPrEx>
        <w:trPr>
          <w:trHeight w:val="400" w:hRule="atLeast"/>
          <w:jc w:val="center"/>
        </w:trPr>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主要</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w:t>
            </w:r>
          </w:p>
        </w:tc>
        <w:tc>
          <w:tcPr>
            <w:tcW w:w="31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巡检内容</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结果</w:t>
            </w:r>
          </w:p>
        </w:tc>
        <w:tc>
          <w:tcPr>
            <w:tcW w:w="9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故障原因</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处理结果</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维护公司</w:t>
            </w:r>
          </w:p>
        </w:tc>
        <w:tc>
          <w:tcPr>
            <w:tcW w:w="77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巡检人</w:t>
            </w:r>
          </w:p>
        </w:tc>
      </w:tr>
      <w:tr>
        <w:tblPrEx>
          <w:tblCellMar>
            <w:top w:w="0" w:type="dxa"/>
            <w:left w:w="108" w:type="dxa"/>
            <w:bottom w:w="0" w:type="dxa"/>
            <w:right w:w="108" w:type="dxa"/>
          </w:tblCellMar>
        </w:tblPrEx>
        <w:trPr>
          <w:trHeight w:val="400" w:hRule="atLeast"/>
          <w:jc w:val="center"/>
        </w:trPr>
        <w:tc>
          <w:tcPr>
            <w:tcW w:w="1134" w:type="dxa"/>
            <w:vMerge w:val="restart"/>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镜</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头</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国</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标</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共</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享</w:t>
            </w:r>
          </w:p>
        </w:tc>
        <w:tc>
          <w:tcPr>
            <w:tcW w:w="311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交警海康TIM平台</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9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51" w:type="dxa"/>
            <w:vMerge w:val="restart"/>
            <w:tcBorders>
              <w:top w:val="single" w:color="000000" w:sz="4" w:space="0"/>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773" w:type="dxa"/>
            <w:vMerge w:val="restart"/>
            <w:tcBorders>
              <w:top w:val="single" w:color="000000" w:sz="4" w:space="0"/>
              <w:left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11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交警集成指挥平台</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9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rPr>
          <w:trHeight w:val="40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11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交警省局平台</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9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11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交警盐田政数局</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9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11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交警科达视频上墙监控平台</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9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11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交警总队平台</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9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11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交警南山信义平台</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9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r>
        <w:tblPrEx>
          <w:tblCellMar>
            <w:top w:w="0" w:type="dxa"/>
            <w:left w:w="108" w:type="dxa"/>
            <w:bottom w:w="0" w:type="dxa"/>
            <w:right w:w="108" w:type="dxa"/>
          </w:tblCellMar>
        </w:tblPrEx>
        <w:trPr>
          <w:trHeight w:val="400" w:hRule="atLeast"/>
          <w:jc w:val="center"/>
        </w:trPr>
        <w:tc>
          <w:tcPr>
            <w:tcW w:w="1134" w:type="dxa"/>
            <w:vMerge w:val="continue"/>
            <w:tcBorders>
              <w:top w:val="nil"/>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3117" w:type="dxa"/>
            <w:tcBorders>
              <w:top w:val="single" w:color="000000" w:sz="4" w:space="0"/>
              <w:left w:val="single" w:color="000000" w:sz="4" w:space="0"/>
              <w:bottom w:val="single" w:color="000000" w:sz="4" w:space="0"/>
              <w:right w:val="single" w:color="000000" w:sz="4" w:space="0"/>
            </w:tcBorders>
            <w:vAlign w:val="bottom"/>
          </w:tcPr>
          <w:p>
            <w:pPr>
              <w:spacing w:line="360" w:lineRule="auto"/>
              <w:rPr>
                <w:rFonts w:cs="仿宋" w:asciiTheme="minorEastAsia" w:hAnsiTheme="minorEastAsia" w:eastAsiaTheme="minorEastAsia"/>
              </w:rPr>
            </w:pPr>
            <w:r>
              <w:rPr>
                <w:rFonts w:hint="eastAsia" w:cs="仿宋" w:asciiTheme="minorEastAsia" w:hAnsiTheme="minorEastAsia" w:eastAsiaTheme="minorEastAsia"/>
              </w:rPr>
              <w:t>交警中电科事件检测平台</w:t>
            </w:r>
          </w:p>
        </w:tc>
        <w:tc>
          <w:tcPr>
            <w:tcW w:w="10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9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732" w:type="dxa"/>
            <w:tcBorders>
              <w:top w:val="single" w:color="000000" w:sz="4" w:space="0"/>
              <w:left w:val="single" w:color="000000" w:sz="4" w:space="0"/>
              <w:bottom w:val="single" w:color="000000" w:sz="4" w:space="0"/>
              <w:right w:val="single" w:color="000000" w:sz="4" w:space="0"/>
            </w:tcBorders>
          </w:tcPr>
          <w:p>
            <w:pPr>
              <w:spacing w:line="360" w:lineRule="auto"/>
              <w:rPr>
                <w:rFonts w:cs="仿宋" w:asciiTheme="minorEastAsia" w:hAnsiTheme="minorEastAsia" w:eastAsiaTheme="minorEastAsia"/>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rPr>
            </w:pPr>
          </w:p>
        </w:tc>
      </w:tr>
    </w:tbl>
    <w:p>
      <w:pPr>
        <w:spacing w:line="360" w:lineRule="auto"/>
        <w:rPr>
          <w:rFonts w:cs="仿宋" w:asciiTheme="minorEastAsia" w:hAnsiTheme="minorEastAsia" w:eastAsiaTheme="minorEastAsia"/>
        </w:rPr>
      </w:pPr>
    </w:p>
    <w:p>
      <w:pPr>
        <w:pStyle w:val="9"/>
      </w:pP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pPr>
          <w:pStyle w:val="16"/>
          <w:jc w:val="center"/>
        </w:pPr>
        <w:r>
          <w:fldChar w:fldCharType="begin"/>
        </w:r>
        <w:r>
          <w:instrText xml:space="preserve"> PAGE   \* MERGEFORMAT </w:instrText>
        </w:r>
        <w:r>
          <w:fldChar w:fldCharType="separate"/>
        </w:r>
        <w:r>
          <w:rPr>
            <w:lang w:val="zh-CN"/>
          </w:rPr>
          <w:t>67</w:t>
        </w:r>
        <w:r>
          <w:rPr>
            <w:lang w:val="zh-CN"/>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pPr>
          <w:pStyle w:val="16"/>
          <w:jc w:val="center"/>
        </w:pP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sz w:val="16"/>
        <w:szCs w:val="16"/>
      </w:rPr>
    </w:pPr>
    <w:r>
      <w:rPr>
        <w:rFonts w:hint="eastAsia"/>
        <w:sz w:val="16"/>
        <w:szCs w:val="16"/>
      </w:rPr>
      <w:t>项目名称：</w:t>
    </w:r>
    <w:r>
      <w:rPr>
        <w:rFonts w:hint="eastAsia" w:ascii="宋体" w:hAnsi="宋体"/>
        <w:sz w:val="16"/>
        <w:szCs w:val="16"/>
      </w:rPr>
      <w:t xml:space="preserve">2023年龙华区道路交通安全领域督导检查工作项目 </w:t>
    </w:r>
    <w:r>
      <w:rPr>
        <w:rFonts w:hint="eastAsia"/>
        <w:sz w:val="16"/>
        <w:szCs w:val="16"/>
      </w:rPr>
      <w:t xml:space="preserve">                   项目编号：</w:t>
    </w:r>
    <w:r>
      <w:rPr>
        <w:rFonts w:hint="eastAsia" w:asciiTheme="minorEastAsia" w:hAnsiTheme="minorEastAsia" w:eastAsiaTheme="minorEastAsia"/>
        <w:sz w:val="16"/>
        <w:szCs w:val="16"/>
      </w:rPr>
      <w:t>SZZZ2023-QC0214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C987A"/>
    <w:multiLevelType w:val="singleLevel"/>
    <w:tmpl w:val="882C987A"/>
    <w:lvl w:ilvl="0" w:tentative="0">
      <w:start w:val="1"/>
      <w:numFmt w:val="chineseCounting"/>
      <w:suff w:val="nothing"/>
      <w:lvlText w:val="%1、"/>
      <w:lvlJc w:val="left"/>
      <w:rPr>
        <w:rFonts w:hint="eastAsia"/>
      </w:rPr>
    </w:lvl>
  </w:abstractNum>
  <w:abstractNum w:abstractNumId="1">
    <w:nsid w:val="ADFD3A00"/>
    <w:multiLevelType w:val="singleLevel"/>
    <w:tmpl w:val="ADFD3A00"/>
    <w:lvl w:ilvl="0" w:tentative="0">
      <w:start w:val="2"/>
      <w:numFmt w:val="chineseCounting"/>
      <w:suff w:val="nothing"/>
      <w:lvlText w:val="（%1）"/>
      <w:lvlJc w:val="left"/>
      <w:rPr>
        <w:rFonts w:hint="eastAsia"/>
      </w:rPr>
    </w:lvl>
  </w:abstractNum>
  <w:abstractNum w:abstractNumId="2">
    <w:nsid w:val="FFFFFF7F"/>
    <w:multiLevelType w:val="singleLevel"/>
    <w:tmpl w:val="FFFFFF7F"/>
    <w:lvl w:ilvl="0" w:tentative="0">
      <w:start w:val="1"/>
      <w:numFmt w:val="decimal"/>
      <w:pStyle w:val="10"/>
      <w:lvlText w:val="%1."/>
      <w:lvlJc w:val="left"/>
      <w:pPr>
        <w:tabs>
          <w:tab w:val="left" w:pos="780"/>
        </w:tabs>
        <w:ind w:left="780" w:leftChars="200" w:hanging="360" w:hangingChars="200"/>
      </w:pPr>
    </w:lvl>
  </w:abstractNum>
  <w:abstractNum w:abstractNumId="3">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7"/>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abstractNum w:abstractNumId="4">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8D6364"/>
    <w:multiLevelType w:val="multilevel"/>
    <w:tmpl w:val="518D6364"/>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M2Y2MTYwMDMxNDU2MTZiYjY1MzkzNDdkYmNhZGUifQ=="/>
    <w:docVar w:name="KSO_WPS_MARK_KEY" w:val="fa5e0f2b-db90-4da8-b712-b0eb05d89053"/>
  </w:docVars>
  <w:rsids>
    <w:rsidRoot w:val="00081812"/>
    <w:rsid w:val="00000560"/>
    <w:rsid w:val="00000DEE"/>
    <w:rsid w:val="00000FB1"/>
    <w:rsid w:val="00001625"/>
    <w:rsid w:val="000042A9"/>
    <w:rsid w:val="0000490F"/>
    <w:rsid w:val="00007ECB"/>
    <w:rsid w:val="000111D4"/>
    <w:rsid w:val="00012B85"/>
    <w:rsid w:val="0001453B"/>
    <w:rsid w:val="00014E98"/>
    <w:rsid w:val="000159CF"/>
    <w:rsid w:val="00017530"/>
    <w:rsid w:val="00023CDD"/>
    <w:rsid w:val="0002500E"/>
    <w:rsid w:val="00027833"/>
    <w:rsid w:val="000309C1"/>
    <w:rsid w:val="00031BF4"/>
    <w:rsid w:val="00032DB0"/>
    <w:rsid w:val="00036165"/>
    <w:rsid w:val="00037412"/>
    <w:rsid w:val="00037D52"/>
    <w:rsid w:val="00042A65"/>
    <w:rsid w:val="00044855"/>
    <w:rsid w:val="00046786"/>
    <w:rsid w:val="00047E37"/>
    <w:rsid w:val="00050F57"/>
    <w:rsid w:val="0005394E"/>
    <w:rsid w:val="00053B8A"/>
    <w:rsid w:val="000550D9"/>
    <w:rsid w:val="00055193"/>
    <w:rsid w:val="00056E7C"/>
    <w:rsid w:val="000600D8"/>
    <w:rsid w:val="00060560"/>
    <w:rsid w:val="00060B4F"/>
    <w:rsid w:val="0006220B"/>
    <w:rsid w:val="000679AB"/>
    <w:rsid w:val="00072AAB"/>
    <w:rsid w:val="00072F2B"/>
    <w:rsid w:val="00075875"/>
    <w:rsid w:val="00076401"/>
    <w:rsid w:val="000771B0"/>
    <w:rsid w:val="00080FB8"/>
    <w:rsid w:val="00081812"/>
    <w:rsid w:val="00081C0F"/>
    <w:rsid w:val="000851F4"/>
    <w:rsid w:val="00090B60"/>
    <w:rsid w:val="00091819"/>
    <w:rsid w:val="00094CF9"/>
    <w:rsid w:val="000A02CF"/>
    <w:rsid w:val="000A1CFD"/>
    <w:rsid w:val="000B1126"/>
    <w:rsid w:val="000B12D8"/>
    <w:rsid w:val="000B3159"/>
    <w:rsid w:val="000B44BC"/>
    <w:rsid w:val="000B59B4"/>
    <w:rsid w:val="000B61F1"/>
    <w:rsid w:val="000B7A52"/>
    <w:rsid w:val="000C05F3"/>
    <w:rsid w:val="000C1AEC"/>
    <w:rsid w:val="000C2FC4"/>
    <w:rsid w:val="000C4E01"/>
    <w:rsid w:val="000C5FD8"/>
    <w:rsid w:val="000C7610"/>
    <w:rsid w:val="000C7E05"/>
    <w:rsid w:val="000D3053"/>
    <w:rsid w:val="000D4339"/>
    <w:rsid w:val="000D4C91"/>
    <w:rsid w:val="000D74FE"/>
    <w:rsid w:val="000E1731"/>
    <w:rsid w:val="000E647C"/>
    <w:rsid w:val="000E6F68"/>
    <w:rsid w:val="000F4536"/>
    <w:rsid w:val="000F47BD"/>
    <w:rsid w:val="000F4EBB"/>
    <w:rsid w:val="000F5214"/>
    <w:rsid w:val="000F547E"/>
    <w:rsid w:val="000F5791"/>
    <w:rsid w:val="0010276A"/>
    <w:rsid w:val="001036FB"/>
    <w:rsid w:val="0010378A"/>
    <w:rsid w:val="00103A07"/>
    <w:rsid w:val="00103BD6"/>
    <w:rsid w:val="00103D0B"/>
    <w:rsid w:val="00103E57"/>
    <w:rsid w:val="00105AE0"/>
    <w:rsid w:val="00106334"/>
    <w:rsid w:val="001071FF"/>
    <w:rsid w:val="001075BE"/>
    <w:rsid w:val="00107717"/>
    <w:rsid w:val="0011046C"/>
    <w:rsid w:val="0011120F"/>
    <w:rsid w:val="00112047"/>
    <w:rsid w:val="001120AB"/>
    <w:rsid w:val="00113460"/>
    <w:rsid w:val="00113B16"/>
    <w:rsid w:val="00113EC5"/>
    <w:rsid w:val="0011733C"/>
    <w:rsid w:val="001206C4"/>
    <w:rsid w:val="00120905"/>
    <w:rsid w:val="00120DDA"/>
    <w:rsid w:val="0012286F"/>
    <w:rsid w:val="001235DF"/>
    <w:rsid w:val="001253C1"/>
    <w:rsid w:val="001300A8"/>
    <w:rsid w:val="001307EF"/>
    <w:rsid w:val="00130FFD"/>
    <w:rsid w:val="00131B9B"/>
    <w:rsid w:val="00132477"/>
    <w:rsid w:val="0013247D"/>
    <w:rsid w:val="001326B8"/>
    <w:rsid w:val="0013568E"/>
    <w:rsid w:val="0013577A"/>
    <w:rsid w:val="0013596A"/>
    <w:rsid w:val="001451A4"/>
    <w:rsid w:val="001504D1"/>
    <w:rsid w:val="00151DFD"/>
    <w:rsid w:val="0015310D"/>
    <w:rsid w:val="00155BE9"/>
    <w:rsid w:val="0016076C"/>
    <w:rsid w:val="00161DC5"/>
    <w:rsid w:val="00165708"/>
    <w:rsid w:val="001667AC"/>
    <w:rsid w:val="00166E7A"/>
    <w:rsid w:val="001713CD"/>
    <w:rsid w:val="001746A8"/>
    <w:rsid w:val="00174A8D"/>
    <w:rsid w:val="00180273"/>
    <w:rsid w:val="001802AD"/>
    <w:rsid w:val="001807E0"/>
    <w:rsid w:val="00180DC2"/>
    <w:rsid w:val="0018134E"/>
    <w:rsid w:val="00182643"/>
    <w:rsid w:val="001830D7"/>
    <w:rsid w:val="00183156"/>
    <w:rsid w:val="0018449F"/>
    <w:rsid w:val="00185010"/>
    <w:rsid w:val="001850C4"/>
    <w:rsid w:val="001906D1"/>
    <w:rsid w:val="0019175D"/>
    <w:rsid w:val="00192E27"/>
    <w:rsid w:val="00194764"/>
    <w:rsid w:val="00194B76"/>
    <w:rsid w:val="001970B8"/>
    <w:rsid w:val="00197685"/>
    <w:rsid w:val="0019777D"/>
    <w:rsid w:val="001A0D90"/>
    <w:rsid w:val="001A0EB6"/>
    <w:rsid w:val="001A1302"/>
    <w:rsid w:val="001A3D99"/>
    <w:rsid w:val="001A4995"/>
    <w:rsid w:val="001A529F"/>
    <w:rsid w:val="001A7897"/>
    <w:rsid w:val="001B0736"/>
    <w:rsid w:val="001B14D5"/>
    <w:rsid w:val="001B4B65"/>
    <w:rsid w:val="001B4C23"/>
    <w:rsid w:val="001C0532"/>
    <w:rsid w:val="001C1A99"/>
    <w:rsid w:val="001C1FFB"/>
    <w:rsid w:val="001C3A31"/>
    <w:rsid w:val="001D3874"/>
    <w:rsid w:val="001D6198"/>
    <w:rsid w:val="001D6B2F"/>
    <w:rsid w:val="001D7A7C"/>
    <w:rsid w:val="001E1BC7"/>
    <w:rsid w:val="001E1F63"/>
    <w:rsid w:val="001E398A"/>
    <w:rsid w:val="001E3C4F"/>
    <w:rsid w:val="001E4745"/>
    <w:rsid w:val="001E5169"/>
    <w:rsid w:val="001E60D1"/>
    <w:rsid w:val="001E6EA6"/>
    <w:rsid w:val="001E7031"/>
    <w:rsid w:val="001F0977"/>
    <w:rsid w:val="001F2061"/>
    <w:rsid w:val="001F259A"/>
    <w:rsid w:val="001F2D31"/>
    <w:rsid w:val="001F36D4"/>
    <w:rsid w:val="001F3E52"/>
    <w:rsid w:val="001F52C4"/>
    <w:rsid w:val="001F5A31"/>
    <w:rsid w:val="00200D8A"/>
    <w:rsid w:val="00201055"/>
    <w:rsid w:val="002013BE"/>
    <w:rsid w:val="002027F9"/>
    <w:rsid w:val="00202F40"/>
    <w:rsid w:val="00204553"/>
    <w:rsid w:val="00210328"/>
    <w:rsid w:val="00211E1C"/>
    <w:rsid w:val="002131F0"/>
    <w:rsid w:val="002134C1"/>
    <w:rsid w:val="00213858"/>
    <w:rsid w:val="00213A15"/>
    <w:rsid w:val="002140DF"/>
    <w:rsid w:val="002151EE"/>
    <w:rsid w:val="00215F43"/>
    <w:rsid w:val="00216C79"/>
    <w:rsid w:val="002172FA"/>
    <w:rsid w:val="00223218"/>
    <w:rsid w:val="0022493F"/>
    <w:rsid w:val="002259B7"/>
    <w:rsid w:val="00226BD7"/>
    <w:rsid w:val="00230218"/>
    <w:rsid w:val="002304B2"/>
    <w:rsid w:val="00232082"/>
    <w:rsid w:val="00232762"/>
    <w:rsid w:val="00233DAC"/>
    <w:rsid w:val="0023490A"/>
    <w:rsid w:val="00235A7C"/>
    <w:rsid w:val="002366EC"/>
    <w:rsid w:val="00240B70"/>
    <w:rsid w:val="00241247"/>
    <w:rsid w:val="00241A35"/>
    <w:rsid w:val="00244EDA"/>
    <w:rsid w:val="002463C2"/>
    <w:rsid w:val="0024707D"/>
    <w:rsid w:val="002515AC"/>
    <w:rsid w:val="00251EE6"/>
    <w:rsid w:val="00252A0E"/>
    <w:rsid w:val="00256F3C"/>
    <w:rsid w:val="0026095A"/>
    <w:rsid w:val="00260974"/>
    <w:rsid w:val="00264F5D"/>
    <w:rsid w:val="00265825"/>
    <w:rsid w:val="002666B6"/>
    <w:rsid w:val="00270AB4"/>
    <w:rsid w:val="0027125F"/>
    <w:rsid w:val="0027386D"/>
    <w:rsid w:val="00273CE7"/>
    <w:rsid w:val="00274BCF"/>
    <w:rsid w:val="00281900"/>
    <w:rsid w:val="00282D0F"/>
    <w:rsid w:val="00284440"/>
    <w:rsid w:val="00285487"/>
    <w:rsid w:val="00290049"/>
    <w:rsid w:val="0029352A"/>
    <w:rsid w:val="002938FD"/>
    <w:rsid w:val="00293E95"/>
    <w:rsid w:val="00294665"/>
    <w:rsid w:val="002965F8"/>
    <w:rsid w:val="002A06F5"/>
    <w:rsid w:val="002A179B"/>
    <w:rsid w:val="002A3990"/>
    <w:rsid w:val="002A78DB"/>
    <w:rsid w:val="002B11F2"/>
    <w:rsid w:val="002B306C"/>
    <w:rsid w:val="002C285E"/>
    <w:rsid w:val="002C3E2A"/>
    <w:rsid w:val="002C54D8"/>
    <w:rsid w:val="002C5740"/>
    <w:rsid w:val="002C5B23"/>
    <w:rsid w:val="002C5F7F"/>
    <w:rsid w:val="002D285F"/>
    <w:rsid w:val="002D4AE6"/>
    <w:rsid w:val="002D51A5"/>
    <w:rsid w:val="002D5D83"/>
    <w:rsid w:val="002D6413"/>
    <w:rsid w:val="002D767C"/>
    <w:rsid w:val="002D78BD"/>
    <w:rsid w:val="002E071E"/>
    <w:rsid w:val="002E6738"/>
    <w:rsid w:val="002F2CF6"/>
    <w:rsid w:val="002F30E6"/>
    <w:rsid w:val="002F323B"/>
    <w:rsid w:val="002F49D2"/>
    <w:rsid w:val="002F5D8F"/>
    <w:rsid w:val="002F5DF7"/>
    <w:rsid w:val="003007E9"/>
    <w:rsid w:val="00300F63"/>
    <w:rsid w:val="00302A03"/>
    <w:rsid w:val="00302EF1"/>
    <w:rsid w:val="00303151"/>
    <w:rsid w:val="0030484B"/>
    <w:rsid w:val="00305873"/>
    <w:rsid w:val="00305E56"/>
    <w:rsid w:val="00310D9B"/>
    <w:rsid w:val="00312539"/>
    <w:rsid w:val="00312A7C"/>
    <w:rsid w:val="003165DD"/>
    <w:rsid w:val="003206AD"/>
    <w:rsid w:val="003215BB"/>
    <w:rsid w:val="00321AB6"/>
    <w:rsid w:val="00321C69"/>
    <w:rsid w:val="00324BEB"/>
    <w:rsid w:val="00325DC4"/>
    <w:rsid w:val="0032699D"/>
    <w:rsid w:val="00331CBE"/>
    <w:rsid w:val="00331CEB"/>
    <w:rsid w:val="00331F0C"/>
    <w:rsid w:val="003366C3"/>
    <w:rsid w:val="00341029"/>
    <w:rsid w:val="00341DF6"/>
    <w:rsid w:val="003467AA"/>
    <w:rsid w:val="00347DED"/>
    <w:rsid w:val="0035266A"/>
    <w:rsid w:val="003533CB"/>
    <w:rsid w:val="003566C5"/>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1507"/>
    <w:rsid w:val="00372A41"/>
    <w:rsid w:val="00373358"/>
    <w:rsid w:val="003734A9"/>
    <w:rsid w:val="003749D0"/>
    <w:rsid w:val="003817C2"/>
    <w:rsid w:val="003821BD"/>
    <w:rsid w:val="00385F8F"/>
    <w:rsid w:val="003905FA"/>
    <w:rsid w:val="0039297C"/>
    <w:rsid w:val="00394101"/>
    <w:rsid w:val="003961A8"/>
    <w:rsid w:val="00397B90"/>
    <w:rsid w:val="003A0AF8"/>
    <w:rsid w:val="003A2361"/>
    <w:rsid w:val="003A2D80"/>
    <w:rsid w:val="003A2EE6"/>
    <w:rsid w:val="003A3825"/>
    <w:rsid w:val="003A45DB"/>
    <w:rsid w:val="003A6687"/>
    <w:rsid w:val="003B0701"/>
    <w:rsid w:val="003B09EB"/>
    <w:rsid w:val="003B1F2D"/>
    <w:rsid w:val="003B2517"/>
    <w:rsid w:val="003B3548"/>
    <w:rsid w:val="003B480F"/>
    <w:rsid w:val="003B72A9"/>
    <w:rsid w:val="003B73C7"/>
    <w:rsid w:val="003C007A"/>
    <w:rsid w:val="003C09AC"/>
    <w:rsid w:val="003C30B3"/>
    <w:rsid w:val="003C5421"/>
    <w:rsid w:val="003C5430"/>
    <w:rsid w:val="003C73B6"/>
    <w:rsid w:val="003D00F6"/>
    <w:rsid w:val="003D4C25"/>
    <w:rsid w:val="003D57D4"/>
    <w:rsid w:val="003D5DF4"/>
    <w:rsid w:val="003D6A99"/>
    <w:rsid w:val="003D7227"/>
    <w:rsid w:val="003D76AD"/>
    <w:rsid w:val="003E0109"/>
    <w:rsid w:val="003E0447"/>
    <w:rsid w:val="003E21AD"/>
    <w:rsid w:val="003E2E33"/>
    <w:rsid w:val="003E7DA3"/>
    <w:rsid w:val="003F2113"/>
    <w:rsid w:val="003F35A5"/>
    <w:rsid w:val="003F5A49"/>
    <w:rsid w:val="00400065"/>
    <w:rsid w:val="00401988"/>
    <w:rsid w:val="00410FE8"/>
    <w:rsid w:val="00414963"/>
    <w:rsid w:val="00415251"/>
    <w:rsid w:val="0041630C"/>
    <w:rsid w:val="004164C2"/>
    <w:rsid w:val="004168DC"/>
    <w:rsid w:val="00417BA6"/>
    <w:rsid w:val="00417C44"/>
    <w:rsid w:val="0042116F"/>
    <w:rsid w:val="00421DAD"/>
    <w:rsid w:val="00422693"/>
    <w:rsid w:val="00422C44"/>
    <w:rsid w:val="0042569B"/>
    <w:rsid w:val="0042757A"/>
    <w:rsid w:val="00427866"/>
    <w:rsid w:val="0043223F"/>
    <w:rsid w:val="004369DE"/>
    <w:rsid w:val="004430A5"/>
    <w:rsid w:val="0044367E"/>
    <w:rsid w:val="00446C65"/>
    <w:rsid w:val="00447F96"/>
    <w:rsid w:val="004501AD"/>
    <w:rsid w:val="0045273A"/>
    <w:rsid w:val="00453647"/>
    <w:rsid w:val="0045367A"/>
    <w:rsid w:val="0045369C"/>
    <w:rsid w:val="00453EAF"/>
    <w:rsid w:val="00454312"/>
    <w:rsid w:val="00454F13"/>
    <w:rsid w:val="00454FF9"/>
    <w:rsid w:val="00460267"/>
    <w:rsid w:val="00460AA2"/>
    <w:rsid w:val="00462399"/>
    <w:rsid w:val="004625C3"/>
    <w:rsid w:val="00465C8A"/>
    <w:rsid w:val="00466085"/>
    <w:rsid w:val="0046668A"/>
    <w:rsid w:val="00466DE8"/>
    <w:rsid w:val="00467D37"/>
    <w:rsid w:val="00475AAD"/>
    <w:rsid w:val="00476772"/>
    <w:rsid w:val="004807D8"/>
    <w:rsid w:val="0048492A"/>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A7D12"/>
    <w:rsid w:val="004B2C1C"/>
    <w:rsid w:val="004B3011"/>
    <w:rsid w:val="004B3E4E"/>
    <w:rsid w:val="004B5B8D"/>
    <w:rsid w:val="004B702D"/>
    <w:rsid w:val="004B7A5D"/>
    <w:rsid w:val="004C01E3"/>
    <w:rsid w:val="004C1824"/>
    <w:rsid w:val="004C1F8C"/>
    <w:rsid w:val="004C267E"/>
    <w:rsid w:val="004C2C97"/>
    <w:rsid w:val="004C3307"/>
    <w:rsid w:val="004C3BFC"/>
    <w:rsid w:val="004C4655"/>
    <w:rsid w:val="004C5A96"/>
    <w:rsid w:val="004C7580"/>
    <w:rsid w:val="004D1E7C"/>
    <w:rsid w:val="004D21F9"/>
    <w:rsid w:val="004D3C88"/>
    <w:rsid w:val="004D3EFD"/>
    <w:rsid w:val="004D5193"/>
    <w:rsid w:val="004D6C39"/>
    <w:rsid w:val="004E30ED"/>
    <w:rsid w:val="004E34DF"/>
    <w:rsid w:val="004E6514"/>
    <w:rsid w:val="004F0013"/>
    <w:rsid w:val="004F037B"/>
    <w:rsid w:val="004F1964"/>
    <w:rsid w:val="004F2741"/>
    <w:rsid w:val="004F2776"/>
    <w:rsid w:val="004F4A43"/>
    <w:rsid w:val="004F57EA"/>
    <w:rsid w:val="004F5A1F"/>
    <w:rsid w:val="0050673A"/>
    <w:rsid w:val="00507910"/>
    <w:rsid w:val="005101D8"/>
    <w:rsid w:val="00510938"/>
    <w:rsid w:val="005115F1"/>
    <w:rsid w:val="00513405"/>
    <w:rsid w:val="00516927"/>
    <w:rsid w:val="00517508"/>
    <w:rsid w:val="00520B5C"/>
    <w:rsid w:val="00524AB5"/>
    <w:rsid w:val="0052553C"/>
    <w:rsid w:val="00530955"/>
    <w:rsid w:val="00530EBB"/>
    <w:rsid w:val="00531594"/>
    <w:rsid w:val="005339CE"/>
    <w:rsid w:val="0053608D"/>
    <w:rsid w:val="00536394"/>
    <w:rsid w:val="00536771"/>
    <w:rsid w:val="0054086A"/>
    <w:rsid w:val="00541820"/>
    <w:rsid w:val="00541912"/>
    <w:rsid w:val="00541962"/>
    <w:rsid w:val="00544A1E"/>
    <w:rsid w:val="005454F7"/>
    <w:rsid w:val="00546FF3"/>
    <w:rsid w:val="00552EA1"/>
    <w:rsid w:val="0055372B"/>
    <w:rsid w:val="0055628A"/>
    <w:rsid w:val="00556603"/>
    <w:rsid w:val="00561EBC"/>
    <w:rsid w:val="00562A80"/>
    <w:rsid w:val="005659BA"/>
    <w:rsid w:val="00565F47"/>
    <w:rsid w:val="00571D74"/>
    <w:rsid w:val="00571DC0"/>
    <w:rsid w:val="00574D07"/>
    <w:rsid w:val="00580DD1"/>
    <w:rsid w:val="00581BAF"/>
    <w:rsid w:val="00581D61"/>
    <w:rsid w:val="00583885"/>
    <w:rsid w:val="0058457D"/>
    <w:rsid w:val="00584C51"/>
    <w:rsid w:val="00586DFB"/>
    <w:rsid w:val="005908A3"/>
    <w:rsid w:val="0059165F"/>
    <w:rsid w:val="00594812"/>
    <w:rsid w:val="00597492"/>
    <w:rsid w:val="005977CD"/>
    <w:rsid w:val="005A198A"/>
    <w:rsid w:val="005A2D99"/>
    <w:rsid w:val="005A556A"/>
    <w:rsid w:val="005A6A03"/>
    <w:rsid w:val="005B1387"/>
    <w:rsid w:val="005B39F5"/>
    <w:rsid w:val="005B3CF3"/>
    <w:rsid w:val="005B4677"/>
    <w:rsid w:val="005B6672"/>
    <w:rsid w:val="005C038C"/>
    <w:rsid w:val="005C1F40"/>
    <w:rsid w:val="005C26E6"/>
    <w:rsid w:val="005C297C"/>
    <w:rsid w:val="005C50DE"/>
    <w:rsid w:val="005C669E"/>
    <w:rsid w:val="005C6BAF"/>
    <w:rsid w:val="005D120E"/>
    <w:rsid w:val="005D2420"/>
    <w:rsid w:val="005E0B51"/>
    <w:rsid w:val="005E18E3"/>
    <w:rsid w:val="005E3AA1"/>
    <w:rsid w:val="005E3DDF"/>
    <w:rsid w:val="005E5481"/>
    <w:rsid w:val="005E5539"/>
    <w:rsid w:val="005E72A8"/>
    <w:rsid w:val="005F13C2"/>
    <w:rsid w:val="005F37DF"/>
    <w:rsid w:val="005F3B95"/>
    <w:rsid w:val="005F559B"/>
    <w:rsid w:val="006013DE"/>
    <w:rsid w:val="00602310"/>
    <w:rsid w:val="00603E1C"/>
    <w:rsid w:val="00606E51"/>
    <w:rsid w:val="0061010F"/>
    <w:rsid w:val="00610FBC"/>
    <w:rsid w:val="0061337A"/>
    <w:rsid w:val="0061385D"/>
    <w:rsid w:val="00614576"/>
    <w:rsid w:val="00615303"/>
    <w:rsid w:val="006163F2"/>
    <w:rsid w:val="00617AA3"/>
    <w:rsid w:val="00620D63"/>
    <w:rsid w:val="006231AA"/>
    <w:rsid w:val="0062393E"/>
    <w:rsid w:val="00624117"/>
    <w:rsid w:val="00624500"/>
    <w:rsid w:val="00626118"/>
    <w:rsid w:val="00626FA9"/>
    <w:rsid w:val="00627FC7"/>
    <w:rsid w:val="00630A1C"/>
    <w:rsid w:val="0063172A"/>
    <w:rsid w:val="00634058"/>
    <w:rsid w:val="00634059"/>
    <w:rsid w:val="006340B5"/>
    <w:rsid w:val="00635984"/>
    <w:rsid w:val="00635AAD"/>
    <w:rsid w:val="00636C5D"/>
    <w:rsid w:val="00640096"/>
    <w:rsid w:val="006414FA"/>
    <w:rsid w:val="00641597"/>
    <w:rsid w:val="00645DC0"/>
    <w:rsid w:val="00660043"/>
    <w:rsid w:val="006658FD"/>
    <w:rsid w:val="0067037C"/>
    <w:rsid w:val="006705E0"/>
    <w:rsid w:val="00670BEC"/>
    <w:rsid w:val="006724DC"/>
    <w:rsid w:val="0067485A"/>
    <w:rsid w:val="006755C2"/>
    <w:rsid w:val="00675C13"/>
    <w:rsid w:val="00680CAD"/>
    <w:rsid w:val="00681F30"/>
    <w:rsid w:val="00682237"/>
    <w:rsid w:val="00682B9C"/>
    <w:rsid w:val="0068357D"/>
    <w:rsid w:val="00683EB7"/>
    <w:rsid w:val="00686FF6"/>
    <w:rsid w:val="0068713A"/>
    <w:rsid w:val="006941AB"/>
    <w:rsid w:val="0069583C"/>
    <w:rsid w:val="00695B5B"/>
    <w:rsid w:val="006968E4"/>
    <w:rsid w:val="006A0A50"/>
    <w:rsid w:val="006A5038"/>
    <w:rsid w:val="006A535A"/>
    <w:rsid w:val="006A7A1E"/>
    <w:rsid w:val="006B009E"/>
    <w:rsid w:val="006B2857"/>
    <w:rsid w:val="006B36EE"/>
    <w:rsid w:val="006B752A"/>
    <w:rsid w:val="006B7F97"/>
    <w:rsid w:val="006C29E2"/>
    <w:rsid w:val="006C3937"/>
    <w:rsid w:val="006C57C7"/>
    <w:rsid w:val="006C5E75"/>
    <w:rsid w:val="006C7615"/>
    <w:rsid w:val="006D0A65"/>
    <w:rsid w:val="006D0B4B"/>
    <w:rsid w:val="006D0B9C"/>
    <w:rsid w:val="006D0CD7"/>
    <w:rsid w:val="006D125F"/>
    <w:rsid w:val="006D5C23"/>
    <w:rsid w:val="006D609F"/>
    <w:rsid w:val="006E0808"/>
    <w:rsid w:val="006E0C83"/>
    <w:rsid w:val="006E0F6E"/>
    <w:rsid w:val="006E26F4"/>
    <w:rsid w:val="006E561B"/>
    <w:rsid w:val="006E6138"/>
    <w:rsid w:val="006E7E40"/>
    <w:rsid w:val="006F0048"/>
    <w:rsid w:val="006F0C30"/>
    <w:rsid w:val="006F1F29"/>
    <w:rsid w:val="006F6DFA"/>
    <w:rsid w:val="007031AC"/>
    <w:rsid w:val="007045A7"/>
    <w:rsid w:val="007056CF"/>
    <w:rsid w:val="00707AC6"/>
    <w:rsid w:val="007101BF"/>
    <w:rsid w:val="007102BA"/>
    <w:rsid w:val="00710E18"/>
    <w:rsid w:val="00711D73"/>
    <w:rsid w:val="00712437"/>
    <w:rsid w:val="00712AB9"/>
    <w:rsid w:val="00712FBB"/>
    <w:rsid w:val="007202B8"/>
    <w:rsid w:val="007204CB"/>
    <w:rsid w:val="00725DCC"/>
    <w:rsid w:val="007264E7"/>
    <w:rsid w:val="00731470"/>
    <w:rsid w:val="00731E75"/>
    <w:rsid w:val="00732E65"/>
    <w:rsid w:val="00733A4C"/>
    <w:rsid w:val="0073473A"/>
    <w:rsid w:val="00734C96"/>
    <w:rsid w:val="00734FEE"/>
    <w:rsid w:val="00736877"/>
    <w:rsid w:val="00740C34"/>
    <w:rsid w:val="007421A3"/>
    <w:rsid w:val="007458E4"/>
    <w:rsid w:val="00747A74"/>
    <w:rsid w:val="007516CF"/>
    <w:rsid w:val="00752B5B"/>
    <w:rsid w:val="00753B18"/>
    <w:rsid w:val="0075631C"/>
    <w:rsid w:val="00761B09"/>
    <w:rsid w:val="00762130"/>
    <w:rsid w:val="0076307E"/>
    <w:rsid w:val="0076411D"/>
    <w:rsid w:val="00770D90"/>
    <w:rsid w:val="00772F41"/>
    <w:rsid w:val="0077521B"/>
    <w:rsid w:val="00776554"/>
    <w:rsid w:val="007811AB"/>
    <w:rsid w:val="00785E4F"/>
    <w:rsid w:val="0078680E"/>
    <w:rsid w:val="0079173E"/>
    <w:rsid w:val="00792109"/>
    <w:rsid w:val="007928C7"/>
    <w:rsid w:val="00793E36"/>
    <w:rsid w:val="00794D26"/>
    <w:rsid w:val="007A0AF9"/>
    <w:rsid w:val="007A1673"/>
    <w:rsid w:val="007A458B"/>
    <w:rsid w:val="007A47AB"/>
    <w:rsid w:val="007A47D0"/>
    <w:rsid w:val="007A50AA"/>
    <w:rsid w:val="007B00AD"/>
    <w:rsid w:val="007B0760"/>
    <w:rsid w:val="007B58FB"/>
    <w:rsid w:val="007B6A98"/>
    <w:rsid w:val="007B7EE3"/>
    <w:rsid w:val="007C035E"/>
    <w:rsid w:val="007C0EC0"/>
    <w:rsid w:val="007C1F32"/>
    <w:rsid w:val="007C30E7"/>
    <w:rsid w:val="007C6BBE"/>
    <w:rsid w:val="007C75FA"/>
    <w:rsid w:val="007D0F9A"/>
    <w:rsid w:val="007D1E4C"/>
    <w:rsid w:val="007D4329"/>
    <w:rsid w:val="007D4552"/>
    <w:rsid w:val="007D49B8"/>
    <w:rsid w:val="007D57B6"/>
    <w:rsid w:val="007D5AA1"/>
    <w:rsid w:val="007D6457"/>
    <w:rsid w:val="007D660A"/>
    <w:rsid w:val="007D759B"/>
    <w:rsid w:val="007E1CC4"/>
    <w:rsid w:val="007E2D1B"/>
    <w:rsid w:val="007E377A"/>
    <w:rsid w:val="007E422B"/>
    <w:rsid w:val="007E5778"/>
    <w:rsid w:val="007E6064"/>
    <w:rsid w:val="007E6F85"/>
    <w:rsid w:val="007F0A36"/>
    <w:rsid w:val="007F5B57"/>
    <w:rsid w:val="007F707C"/>
    <w:rsid w:val="0080097C"/>
    <w:rsid w:val="008030EA"/>
    <w:rsid w:val="00803317"/>
    <w:rsid w:val="008050C5"/>
    <w:rsid w:val="0081221B"/>
    <w:rsid w:val="008134A8"/>
    <w:rsid w:val="00816305"/>
    <w:rsid w:val="0081690D"/>
    <w:rsid w:val="008227C0"/>
    <w:rsid w:val="00822F18"/>
    <w:rsid w:val="008237AE"/>
    <w:rsid w:val="008245C9"/>
    <w:rsid w:val="00831DA8"/>
    <w:rsid w:val="008338E9"/>
    <w:rsid w:val="0083456A"/>
    <w:rsid w:val="00836C91"/>
    <w:rsid w:val="00837E5D"/>
    <w:rsid w:val="008400A9"/>
    <w:rsid w:val="00844709"/>
    <w:rsid w:val="00844881"/>
    <w:rsid w:val="00851111"/>
    <w:rsid w:val="0085139E"/>
    <w:rsid w:val="00851BAA"/>
    <w:rsid w:val="00854839"/>
    <w:rsid w:val="00855CDD"/>
    <w:rsid w:val="00857895"/>
    <w:rsid w:val="00860209"/>
    <w:rsid w:val="00861447"/>
    <w:rsid w:val="00862F1A"/>
    <w:rsid w:val="00866DC9"/>
    <w:rsid w:val="00867868"/>
    <w:rsid w:val="00867964"/>
    <w:rsid w:val="00867F26"/>
    <w:rsid w:val="00870B1C"/>
    <w:rsid w:val="00871FDA"/>
    <w:rsid w:val="00875E76"/>
    <w:rsid w:val="008760F4"/>
    <w:rsid w:val="00876C9B"/>
    <w:rsid w:val="00880E46"/>
    <w:rsid w:val="00884EE0"/>
    <w:rsid w:val="00885021"/>
    <w:rsid w:val="008857F3"/>
    <w:rsid w:val="00885F9F"/>
    <w:rsid w:val="0089097C"/>
    <w:rsid w:val="008913F6"/>
    <w:rsid w:val="00893234"/>
    <w:rsid w:val="00893345"/>
    <w:rsid w:val="008978BC"/>
    <w:rsid w:val="00897B8F"/>
    <w:rsid w:val="008A00DE"/>
    <w:rsid w:val="008A1135"/>
    <w:rsid w:val="008A5579"/>
    <w:rsid w:val="008A7105"/>
    <w:rsid w:val="008B0935"/>
    <w:rsid w:val="008B23ED"/>
    <w:rsid w:val="008B3CF6"/>
    <w:rsid w:val="008B66EB"/>
    <w:rsid w:val="008B6E3E"/>
    <w:rsid w:val="008C22C3"/>
    <w:rsid w:val="008C2872"/>
    <w:rsid w:val="008C4E93"/>
    <w:rsid w:val="008C5174"/>
    <w:rsid w:val="008C5331"/>
    <w:rsid w:val="008C7EF1"/>
    <w:rsid w:val="008D1C6E"/>
    <w:rsid w:val="008D589B"/>
    <w:rsid w:val="008D5F36"/>
    <w:rsid w:val="008D6F39"/>
    <w:rsid w:val="008D74D8"/>
    <w:rsid w:val="008E45DD"/>
    <w:rsid w:val="008E5BEA"/>
    <w:rsid w:val="008E61CF"/>
    <w:rsid w:val="008E62F3"/>
    <w:rsid w:val="008E66A7"/>
    <w:rsid w:val="008F0027"/>
    <w:rsid w:val="008F0BA2"/>
    <w:rsid w:val="008F13F4"/>
    <w:rsid w:val="008F2248"/>
    <w:rsid w:val="008F3427"/>
    <w:rsid w:val="008F3946"/>
    <w:rsid w:val="008F429A"/>
    <w:rsid w:val="008F4809"/>
    <w:rsid w:val="008F4885"/>
    <w:rsid w:val="008F5BA6"/>
    <w:rsid w:val="008F69B0"/>
    <w:rsid w:val="008F6DFC"/>
    <w:rsid w:val="00900FA9"/>
    <w:rsid w:val="00901C9D"/>
    <w:rsid w:val="0090254E"/>
    <w:rsid w:val="0090397D"/>
    <w:rsid w:val="00903B8A"/>
    <w:rsid w:val="0090531F"/>
    <w:rsid w:val="00906399"/>
    <w:rsid w:val="00907F35"/>
    <w:rsid w:val="0091449C"/>
    <w:rsid w:val="0091584E"/>
    <w:rsid w:val="00915C0A"/>
    <w:rsid w:val="00916394"/>
    <w:rsid w:val="00916B04"/>
    <w:rsid w:val="00916C61"/>
    <w:rsid w:val="00917853"/>
    <w:rsid w:val="00920BE6"/>
    <w:rsid w:val="00920D54"/>
    <w:rsid w:val="00922E91"/>
    <w:rsid w:val="00924A4D"/>
    <w:rsid w:val="009253A2"/>
    <w:rsid w:val="009260F9"/>
    <w:rsid w:val="00926811"/>
    <w:rsid w:val="009328BD"/>
    <w:rsid w:val="0093469C"/>
    <w:rsid w:val="00940D53"/>
    <w:rsid w:val="00942081"/>
    <w:rsid w:val="009447BD"/>
    <w:rsid w:val="0095085C"/>
    <w:rsid w:val="00950D6C"/>
    <w:rsid w:val="00952B8F"/>
    <w:rsid w:val="009545C5"/>
    <w:rsid w:val="00955935"/>
    <w:rsid w:val="00956877"/>
    <w:rsid w:val="009574EE"/>
    <w:rsid w:val="00964D8A"/>
    <w:rsid w:val="00964F16"/>
    <w:rsid w:val="0096690F"/>
    <w:rsid w:val="0096729D"/>
    <w:rsid w:val="00967A7A"/>
    <w:rsid w:val="00970692"/>
    <w:rsid w:val="00971686"/>
    <w:rsid w:val="00973719"/>
    <w:rsid w:val="00973845"/>
    <w:rsid w:val="009743E5"/>
    <w:rsid w:val="0097647D"/>
    <w:rsid w:val="00976946"/>
    <w:rsid w:val="00981766"/>
    <w:rsid w:val="00983A52"/>
    <w:rsid w:val="00984B13"/>
    <w:rsid w:val="00986AE7"/>
    <w:rsid w:val="00987773"/>
    <w:rsid w:val="00987A32"/>
    <w:rsid w:val="00987DB5"/>
    <w:rsid w:val="00993600"/>
    <w:rsid w:val="0099428B"/>
    <w:rsid w:val="00997D11"/>
    <w:rsid w:val="009A0526"/>
    <w:rsid w:val="009A09DC"/>
    <w:rsid w:val="009A0A96"/>
    <w:rsid w:val="009A271D"/>
    <w:rsid w:val="009A44F9"/>
    <w:rsid w:val="009A70D5"/>
    <w:rsid w:val="009B2507"/>
    <w:rsid w:val="009B2CC9"/>
    <w:rsid w:val="009B2E8E"/>
    <w:rsid w:val="009B3004"/>
    <w:rsid w:val="009B348C"/>
    <w:rsid w:val="009B482A"/>
    <w:rsid w:val="009B7712"/>
    <w:rsid w:val="009B7B83"/>
    <w:rsid w:val="009C0636"/>
    <w:rsid w:val="009C08BA"/>
    <w:rsid w:val="009C6F0A"/>
    <w:rsid w:val="009C6F32"/>
    <w:rsid w:val="009C797B"/>
    <w:rsid w:val="009D02E8"/>
    <w:rsid w:val="009D0C05"/>
    <w:rsid w:val="009D4274"/>
    <w:rsid w:val="009D461F"/>
    <w:rsid w:val="009D5C53"/>
    <w:rsid w:val="009D5D74"/>
    <w:rsid w:val="009D622C"/>
    <w:rsid w:val="009E1268"/>
    <w:rsid w:val="009E1EB4"/>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5C5A"/>
    <w:rsid w:val="00A17FEB"/>
    <w:rsid w:val="00A20772"/>
    <w:rsid w:val="00A214C8"/>
    <w:rsid w:val="00A21567"/>
    <w:rsid w:val="00A215C7"/>
    <w:rsid w:val="00A22C2D"/>
    <w:rsid w:val="00A24B13"/>
    <w:rsid w:val="00A25794"/>
    <w:rsid w:val="00A30451"/>
    <w:rsid w:val="00A3148A"/>
    <w:rsid w:val="00A324AB"/>
    <w:rsid w:val="00A33C11"/>
    <w:rsid w:val="00A34E09"/>
    <w:rsid w:val="00A35B35"/>
    <w:rsid w:val="00A375E8"/>
    <w:rsid w:val="00A44A6C"/>
    <w:rsid w:val="00A45819"/>
    <w:rsid w:val="00A4687A"/>
    <w:rsid w:val="00A47350"/>
    <w:rsid w:val="00A47C08"/>
    <w:rsid w:val="00A517BC"/>
    <w:rsid w:val="00A52F47"/>
    <w:rsid w:val="00A54695"/>
    <w:rsid w:val="00A54D83"/>
    <w:rsid w:val="00A61F5C"/>
    <w:rsid w:val="00A63384"/>
    <w:rsid w:val="00A6416E"/>
    <w:rsid w:val="00A71754"/>
    <w:rsid w:val="00A717E7"/>
    <w:rsid w:val="00A71EDB"/>
    <w:rsid w:val="00A7255F"/>
    <w:rsid w:val="00A74152"/>
    <w:rsid w:val="00A757D1"/>
    <w:rsid w:val="00A76A28"/>
    <w:rsid w:val="00A8284E"/>
    <w:rsid w:val="00A83243"/>
    <w:rsid w:val="00A83CC9"/>
    <w:rsid w:val="00A846DD"/>
    <w:rsid w:val="00A8789C"/>
    <w:rsid w:val="00A90111"/>
    <w:rsid w:val="00A90331"/>
    <w:rsid w:val="00A91528"/>
    <w:rsid w:val="00A95196"/>
    <w:rsid w:val="00A9738A"/>
    <w:rsid w:val="00AA1EFF"/>
    <w:rsid w:val="00AA5115"/>
    <w:rsid w:val="00AB14C7"/>
    <w:rsid w:val="00AB2264"/>
    <w:rsid w:val="00AB4E47"/>
    <w:rsid w:val="00AB67F7"/>
    <w:rsid w:val="00AC054F"/>
    <w:rsid w:val="00AC0715"/>
    <w:rsid w:val="00AC146C"/>
    <w:rsid w:val="00AC1F76"/>
    <w:rsid w:val="00AC2615"/>
    <w:rsid w:val="00AC4770"/>
    <w:rsid w:val="00AC5AB5"/>
    <w:rsid w:val="00AC64D8"/>
    <w:rsid w:val="00AD12D2"/>
    <w:rsid w:val="00AD1729"/>
    <w:rsid w:val="00AD2774"/>
    <w:rsid w:val="00AD31A1"/>
    <w:rsid w:val="00AD3941"/>
    <w:rsid w:val="00AD5261"/>
    <w:rsid w:val="00AE0009"/>
    <w:rsid w:val="00AE357A"/>
    <w:rsid w:val="00AE38B2"/>
    <w:rsid w:val="00AE5A4E"/>
    <w:rsid w:val="00AE76F9"/>
    <w:rsid w:val="00AF3694"/>
    <w:rsid w:val="00AF4B9E"/>
    <w:rsid w:val="00AF6636"/>
    <w:rsid w:val="00B11692"/>
    <w:rsid w:val="00B14116"/>
    <w:rsid w:val="00B1486E"/>
    <w:rsid w:val="00B15BDD"/>
    <w:rsid w:val="00B20443"/>
    <w:rsid w:val="00B2550B"/>
    <w:rsid w:val="00B259CE"/>
    <w:rsid w:val="00B25B50"/>
    <w:rsid w:val="00B30680"/>
    <w:rsid w:val="00B31DD7"/>
    <w:rsid w:val="00B32CAF"/>
    <w:rsid w:val="00B33432"/>
    <w:rsid w:val="00B336D5"/>
    <w:rsid w:val="00B35846"/>
    <w:rsid w:val="00B35F18"/>
    <w:rsid w:val="00B3657C"/>
    <w:rsid w:val="00B42372"/>
    <w:rsid w:val="00B423A4"/>
    <w:rsid w:val="00B437D6"/>
    <w:rsid w:val="00B43AB0"/>
    <w:rsid w:val="00B4446B"/>
    <w:rsid w:val="00B523FB"/>
    <w:rsid w:val="00B52E8F"/>
    <w:rsid w:val="00B54178"/>
    <w:rsid w:val="00B5525E"/>
    <w:rsid w:val="00B57738"/>
    <w:rsid w:val="00B63137"/>
    <w:rsid w:val="00B63604"/>
    <w:rsid w:val="00B63FA9"/>
    <w:rsid w:val="00B650CC"/>
    <w:rsid w:val="00B707BD"/>
    <w:rsid w:val="00B71457"/>
    <w:rsid w:val="00B750BF"/>
    <w:rsid w:val="00B75217"/>
    <w:rsid w:val="00B776B5"/>
    <w:rsid w:val="00B81AFD"/>
    <w:rsid w:val="00B85442"/>
    <w:rsid w:val="00B90851"/>
    <w:rsid w:val="00B91090"/>
    <w:rsid w:val="00B926B7"/>
    <w:rsid w:val="00B94A3A"/>
    <w:rsid w:val="00B95094"/>
    <w:rsid w:val="00BA5FF1"/>
    <w:rsid w:val="00BA7533"/>
    <w:rsid w:val="00BB7EDF"/>
    <w:rsid w:val="00BC04BD"/>
    <w:rsid w:val="00BC4096"/>
    <w:rsid w:val="00BC44EE"/>
    <w:rsid w:val="00BC65BA"/>
    <w:rsid w:val="00BD55FE"/>
    <w:rsid w:val="00BD75D2"/>
    <w:rsid w:val="00BE0383"/>
    <w:rsid w:val="00BE07A0"/>
    <w:rsid w:val="00BE1C3A"/>
    <w:rsid w:val="00BE611C"/>
    <w:rsid w:val="00BE70FF"/>
    <w:rsid w:val="00BF1079"/>
    <w:rsid w:val="00BF1D2D"/>
    <w:rsid w:val="00BF2768"/>
    <w:rsid w:val="00BF5859"/>
    <w:rsid w:val="00BF6DFF"/>
    <w:rsid w:val="00C00048"/>
    <w:rsid w:val="00C00239"/>
    <w:rsid w:val="00C00828"/>
    <w:rsid w:val="00C068F5"/>
    <w:rsid w:val="00C11842"/>
    <w:rsid w:val="00C12994"/>
    <w:rsid w:val="00C1363B"/>
    <w:rsid w:val="00C14D24"/>
    <w:rsid w:val="00C1538F"/>
    <w:rsid w:val="00C15926"/>
    <w:rsid w:val="00C16139"/>
    <w:rsid w:val="00C17609"/>
    <w:rsid w:val="00C177ED"/>
    <w:rsid w:val="00C2265C"/>
    <w:rsid w:val="00C23420"/>
    <w:rsid w:val="00C3036E"/>
    <w:rsid w:val="00C30985"/>
    <w:rsid w:val="00C33BB9"/>
    <w:rsid w:val="00C3464B"/>
    <w:rsid w:val="00C35140"/>
    <w:rsid w:val="00C35A34"/>
    <w:rsid w:val="00C3715A"/>
    <w:rsid w:val="00C421FF"/>
    <w:rsid w:val="00C425BE"/>
    <w:rsid w:val="00C44F2B"/>
    <w:rsid w:val="00C45A03"/>
    <w:rsid w:val="00C545D3"/>
    <w:rsid w:val="00C54A8C"/>
    <w:rsid w:val="00C56388"/>
    <w:rsid w:val="00C5675C"/>
    <w:rsid w:val="00C571C0"/>
    <w:rsid w:val="00C61233"/>
    <w:rsid w:val="00C61911"/>
    <w:rsid w:val="00C6200D"/>
    <w:rsid w:val="00C627D8"/>
    <w:rsid w:val="00C62EB5"/>
    <w:rsid w:val="00C6506B"/>
    <w:rsid w:val="00C65EB9"/>
    <w:rsid w:val="00C66F20"/>
    <w:rsid w:val="00C718D9"/>
    <w:rsid w:val="00C72850"/>
    <w:rsid w:val="00C73632"/>
    <w:rsid w:val="00C75175"/>
    <w:rsid w:val="00C7543D"/>
    <w:rsid w:val="00C759F9"/>
    <w:rsid w:val="00C75EE7"/>
    <w:rsid w:val="00C777E7"/>
    <w:rsid w:val="00C81E92"/>
    <w:rsid w:val="00C82343"/>
    <w:rsid w:val="00C837C1"/>
    <w:rsid w:val="00C91398"/>
    <w:rsid w:val="00C92269"/>
    <w:rsid w:val="00C92ED2"/>
    <w:rsid w:val="00C93239"/>
    <w:rsid w:val="00C94BF8"/>
    <w:rsid w:val="00C94F86"/>
    <w:rsid w:val="00CA180E"/>
    <w:rsid w:val="00CA23F1"/>
    <w:rsid w:val="00CA3D05"/>
    <w:rsid w:val="00CA4DB3"/>
    <w:rsid w:val="00CA574E"/>
    <w:rsid w:val="00CA69FF"/>
    <w:rsid w:val="00CA7FEE"/>
    <w:rsid w:val="00CB0B37"/>
    <w:rsid w:val="00CB0CBA"/>
    <w:rsid w:val="00CB11FA"/>
    <w:rsid w:val="00CC0138"/>
    <w:rsid w:val="00CC1F38"/>
    <w:rsid w:val="00CC4D3B"/>
    <w:rsid w:val="00CC6328"/>
    <w:rsid w:val="00CC69B1"/>
    <w:rsid w:val="00CC722D"/>
    <w:rsid w:val="00CC7D94"/>
    <w:rsid w:val="00CD17D9"/>
    <w:rsid w:val="00CD218F"/>
    <w:rsid w:val="00CD417B"/>
    <w:rsid w:val="00CD4EA9"/>
    <w:rsid w:val="00CD6CA5"/>
    <w:rsid w:val="00CE0A40"/>
    <w:rsid w:val="00CE0C33"/>
    <w:rsid w:val="00CE2480"/>
    <w:rsid w:val="00CE3871"/>
    <w:rsid w:val="00CE39D5"/>
    <w:rsid w:val="00CE5C29"/>
    <w:rsid w:val="00CE7671"/>
    <w:rsid w:val="00CF1043"/>
    <w:rsid w:val="00CF1336"/>
    <w:rsid w:val="00CF2265"/>
    <w:rsid w:val="00CF32D4"/>
    <w:rsid w:val="00CF38DA"/>
    <w:rsid w:val="00CF6B12"/>
    <w:rsid w:val="00CF6CA8"/>
    <w:rsid w:val="00CF797E"/>
    <w:rsid w:val="00D01079"/>
    <w:rsid w:val="00D018E6"/>
    <w:rsid w:val="00D02059"/>
    <w:rsid w:val="00D02D89"/>
    <w:rsid w:val="00D03B55"/>
    <w:rsid w:val="00D04D65"/>
    <w:rsid w:val="00D063F2"/>
    <w:rsid w:val="00D06DB2"/>
    <w:rsid w:val="00D10FDF"/>
    <w:rsid w:val="00D1111C"/>
    <w:rsid w:val="00D124E0"/>
    <w:rsid w:val="00D12EF4"/>
    <w:rsid w:val="00D15CC8"/>
    <w:rsid w:val="00D20615"/>
    <w:rsid w:val="00D20796"/>
    <w:rsid w:val="00D2538D"/>
    <w:rsid w:val="00D268C9"/>
    <w:rsid w:val="00D301ED"/>
    <w:rsid w:val="00D313B0"/>
    <w:rsid w:val="00D319D4"/>
    <w:rsid w:val="00D32569"/>
    <w:rsid w:val="00D325E3"/>
    <w:rsid w:val="00D36569"/>
    <w:rsid w:val="00D36FBF"/>
    <w:rsid w:val="00D40062"/>
    <w:rsid w:val="00D405E7"/>
    <w:rsid w:val="00D4133A"/>
    <w:rsid w:val="00D436F6"/>
    <w:rsid w:val="00D440FF"/>
    <w:rsid w:val="00D44DD1"/>
    <w:rsid w:val="00D50BC2"/>
    <w:rsid w:val="00D515C2"/>
    <w:rsid w:val="00D53AD6"/>
    <w:rsid w:val="00D53B9C"/>
    <w:rsid w:val="00D5622E"/>
    <w:rsid w:val="00D570CE"/>
    <w:rsid w:val="00D66F14"/>
    <w:rsid w:val="00D679C1"/>
    <w:rsid w:val="00D67A9D"/>
    <w:rsid w:val="00D72E7C"/>
    <w:rsid w:val="00D7638B"/>
    <w:rsid w:val="00D76DCC"/>
    <w:rsid w:val="00D77CA0"/>
    <w:rsid w:val="00D77D9E"/>
    <w:rsid w:val="00D81C8D"/>
    <w:rsid w:val="00D81D6D"/>
    <w:rsid w:val="00D8340F"/>
    <w:rsid w:val="00D86400"/>
    <w:rsid w:val="00D867D6"/>
    <w:rsid w:val="00D868DE"/>
    <w:rsid w:val="00D90503"/>
    <w:rsid w:val="00D913F0"/>
    <w:rsid w:val="00D94A33"/>
    <w:rsid w:val="00D97FE0"/>
    <w:rsid w:val="00DA1C78"/>
    <w:rsid w:val="00DA2F03"/>
    <w:rsid w:val="00DA6875"/>
    <w:rsid w:val="00DB0107"/>
    <w:rsid w:val="00DB18E3"/>
    <w:rsid w:val="00DB2825"/>
    <w:rsid w:val="00DB297D"/>
    <w:rsid w:val="00DB4314"/>
    <w:rsid w:val="00DB432A"/>
    <w:rsid w:val="00DB6163"/>
    <w:rsid w:val="00DB66A1"/>
    <w:rsid w:val="00DB75D0"/>
    <w:rsid w:val="00DB7C7C"/>
    <w:rsid w:val="00DB7D3B"/>
    <w:rsid w:val="00DC04D3"/>
    <w:rsid w:val="00DC0A19"/>
    <w:rsid w:val="00DC0C8E"/>
    <w:rsid w:val="00DC1BE6"/>
    <w:rsid w:val="00DC758E"/>
    <w:rsid w:val="00DD1317"/>
    <w:rsid w:val="00DD2F1D"/>
    <w:rsid w:val="00DD60CF"/>
    <w:rsid w:val="00DE02C0"/>
    <w:rsid w:val="00DE0C01"/>
    <w:rsid w:val="00DE3797"/>
    <w:rsid w:val="00DE5AB2"/>
    <w:rsid w:val="00DE671D"/>
    <w:rsid w:val="00DE6EFC"/>
    <w:rsid w:val="00DF4497"/>
    <w:rsid w:val="00DF4D3B"/>
    <w:rsid w:val="00DF4E4D"/>
    <w:rsid w:val="00DF5BBF"/>
    <w:rsid w:val="00DF715B"/>
    <w:rsid w:val="00E00C09"/>
    <w:rsid w:val="00E0147C"/>
    <w:rsid w:val="00E01840"/>
    <w:rsid w:val="00E03760"/>
    <w:rsid w:val="00E03EFD"/>
    <w:rsid w:val="00E0782E"/>
    <w:rsid w:val="00E07EFA"/>
    <w:rsid w:val="00E10D0C"/>
    <w:rsid w:val="00E10E49"/>
    <w:rsid w:val="00E168E6"/>
    <w:rsid w:val="00E16966"/>
    <w:rsid w:val="00E16B58"/>
    <w:rsid w:val="00E173A4"/>
    <w:rsid w:val="00E1777D"/>
    <w:rsid w:val="00E20B76"/>
    <w:rsid w:val="00E21B6D"/>
    <w:rsid w:val="00E22996"/>
    <w:rsid w:val="00E319E4"/>
    <w:rsid w:val="00E34FE8"/>
    <w:rsid w:val="00E368CB"/>
    <w:rsid w:val="00E377D4"/>
    <w:rsid w:val="00E406E1"/>
    <w:rsid w:val="00E4111A"/>
    <w:rsid w:val="00E418B7"/>
    <w:rsid w:val="00E419D1"/>
    <w:rsid w:val="00E41A8F"/>
    <w:rsid w:val="00E41A9E"/>
    <w:rsid w:val="00E425CE"/>
    <w:rsid w:val="00E47A9E"/>
    <w:rsid w:val="00E52810"/>
    <w:rsid w:val="00E57D01"/>
    <w:rsid w:val="00E61E2A"/>
    <w:rsid w:val="00E62870"/>
    <w:rsid w:val="00E63015"/>
    <w:rsid w:val="00E70E68"/>
    <w:rsid w:val="00E7106D"/>
    <w:rsid w:val="00E7126D"/>
    <w:rsid w:val="00E718C8"/>
    <w:rsid w:val="00E7401E"/>
    <w:rsid w:val="00E762FB"/>
    <w:rsid w:val="00E81DDF"/>
    <w:rsid w:val="00E82791"/>
    <w:rsid w:val="00E8332D"/>
    <w:rsid w:val="00E85DFB"/>
    <w:rsid w:val="00E85F74"/>
    <w:rsid w:val="00E865C1"/>
    <w:rsid w:val="00E87CCD"/>
    <w:rsid w:val="00E92C08"/>
    <w:rsid w:val="00E94054"/>
    <w:rsid w:val="00E94B32"/>
    <w:rsid w:val="00E94F48"/>
    <w:rsid w:val="00E95A5B"/>
    <w:rsid w:val="00EA02B6"/>
    <w:rsid w:val="00EA1009"/>
    <w:rsid w:val="00EA39E3"/>
    <w:rsid w:val="00EA50FC"/>
    <w:rsid w:val="00EA6123"/>
    <w:rsid w:val="00EB170B"/>
    <w:rsid w:val="00EB290D"/>
    <w:rsid w:val="00EB632A"/>
    <w:rsid w:val="00EB7D51"/>
    <w:rsid w:val="00EC36BC"/>
    <w:rsid w:val="00ED2203"/>
    <w:rsid w:val="00ED2569"/>
    <w:rsid w:val="00ED25B1"/>
    <w:rsid w:val="00ED2B17"/>
    <w:rsid w:val="00ED7FAF"/>
    <w:rsid w:val="00EE0104"/>
    <w:rsid w:val="00EE07DA"/>
    <w:rsid w:val="00EE2AD2"/>
    <w:rsid w:val="00EE324B"/>
    <w:rsid w:val="00EE56CB"/>
    <w:rsid w:val="00EE6C48"/>
    <w:rsid w:val="00EF0079"/>
    <w:rsid w:val="00EF3E79"/>
    <w:rsid w:val="00EF4E25"/>
    <w:rsid w:val="00EF73BF"/>
    <w:rsid w:val="00EF771A"/>
    <w:rsid w:val="00F009EB"/>
    <w:rsid w:val="00F03DD9"/>
    <w:rsid w:val="00F04AA4"/>
    <w:rsid w:val="00F06A8A"/>
    <w:rsid w:val="00F0761C"/>
    <w:rsid w:val="00F1054C"/>
    <w:rsid w:val="00F11975"/>
    <w:rsid w:val="00F1246B"/>
    <w:rsid w:val="00F243C8"/>
    <w:rsid w:val="00F24E11"/>
    <w:rsid w:val="00F26D6A"/>
    <w:rsid w:val="00F304A9"/>
    <w:rsid w:val="00F30C1A"/>
    <w:rsid w:val="00F31044"/>
    <w:rsid w:val="00F3139D"/>
    <w:rsid w:val="00F33F84"/>
    <w:rsid w:val="00F353F8"/>
    <w:rsid w:val="00F3568E"/>
    <w:rsid w:val="00F35A11"/>
    <w:rsid w:val="00F400ED"/>
    <w:rsid w:val="00F420CC"/>
    <w:rsid w:val="00F43840"/>
    <w:rsid w:val="00F43BBA"/>
    <w:rsid w:val="00F46253"/>
    <w:rsid w:val="00F50479"/>
    <w:rsid w:val="00F506E1"/>
    <w:rsid w:val="00F507CD"/>
    <w:rsid w:val="00F52083"/>
    <w:rsid w:val="00F52525"/>
    <w:rsid w:val="00F53C91"/>
    <w:rsid w:val="00F56191"/>
    <w:rsid w:val="00F577A8"/>
    <w:rsid w:val="00F6000A"/>
    <w:rsid w:val="00F64BB0"/>
    <w:rsid w:val="00F709AA"/>
    <w:rsid w:val="00F72CCB"/>
    <w:rsid w:val="00F75244"/>
    <w:rsid w:val="00F801B9"/>
    <w:rsid w:val="00F81F02"/>
    <w:rsid w:val="00F8304C"/>
    <w:rsid w:val="00F85A8C"/>
    <w:rsid w:val="00F903F4"/>
    <w:rsid w:val="00F90FCC"/>
    <w:rsid w:val="00F915F1"/>
    <w:rsid w:val="00F91721"/>
    <w:rsid w:val="00F920ED"/>
    <w:rsid w:val="00F95601"/>
    <w:rsid w:val="00FA07E3"/>
    <w:rsid w:val="00FA5879"/>
    <w:rsid w:val="00FA5CFA"/>
    <w:rsid w:val="00FB04D2"/>
    <w:rsid w:val="00FC3F5D"/>
    <w:rsid w:val="00FD01F4"/>
    <w:rsid w:val="00FD0B60"/>
    <w:rsid w:val="00FD2335"/>
    <w:rsid w:val="00FD29BA"/>
    <w:rsid w:val="00FD2AED"/>
    <w:rsid w:val="00FD739B"/>
    <w:rsid w:val="00FE0E36"/>
    <w:rsid w:val="00FE268E"/>
    <w:rsid w:val="00FE2790"/>
    <w:rsid w:val="00FE639A"/>
    <w:rsid w:val="00FE6EA5"/>
    <w:rsid w:val="00FE76EB"/>
    <w:rsid w:val="00FE7BE9"/>
    <w:rsid w:val="00FF344D"/>
    <w:rsid w:val="00FF39E5"/>
    <w:rsid w:val="00FF3C6E"/>
    <w:rsid w:val="00FF401B"/>
    <w:rsid w:val="00FF463F"/>
    <w:rsid w:val="00FF6E5A"/>
    <w:rsid w:val="00FF7F98"/>
    <w:rsid w:val="01417ED0"/>
    <w:rsid w:val="016531D1"/>
    <w:rsid w:val="01774B35"/>
    <w:rsid w:val="04360C9E"/>
    <w:rsid w:val="04967ABA"/>
    <w:rsid w:val="053E3955"/>
    <w:rsid w:val="06124B79"/>
    <w:rsid w:val="07AE2E69"/>
    <w:rsid w:val="0B412C7B"/>
    <w:rsid w:val="0B4B5358"/>
    <w:rsid w:val="0B64211D"/>
    <w:rsid w:val="0BE91440"/>
    <w:rsid w:val="0D2F4110"/>
    <w:rsid w:val="0DDB6F15"/>
    <w:rsid w:val="0E0911CC"/>
    <w:rsid w:val="0F5F3273"/>
    <w:rsid w:val="100B7158"/>
    <w:rsid w:val="12233583"/>
    <w:rsid w:val="12A56C4A"/>
    <w:rsid w:val="14531E29"/>
    <w:rsid w:val="14C866A5"/>
    <w:rsid w:val="15186782"/>
    <w:rsid w:val="15627E0D"/>
    <w:rsid w:val="16D2413C"/>
    <w:rsid w:val="185760F5"/>
    <w:rsid w:val="1A530970"/>
    <w:rsid w:val="1B4A1C67"/>
    <w:rsid w:val="1D1C3424"/>
    <w:rsid w:val="1D3F5CF8"/>
    <w:rsid w:val="1DB549D5"/>
    <w:rsid w:val="1E671976"/>
    <w:rsid w:val="1E9602D4"/>
    <w:rsid w:val="1F874D8A"/>
    <w:rsid w:val="20C37B32"/>
    <w:rsid w:val="22392D42"/>
    <w:rsid w:val="23476D20"/>
    <w:rsid w:val="25081A96"/>
    <w:rsid w:val="254C2BD9"/>
    <w:rsid w:val="27323D42"/>
    <w:rsid w:val="296126D3"/>
    <w:rsid w:val="2AEF6CEE"/>
    <w:rsid w:val="2AF578DD"/>
    <w:rsid w:val="2AFB0177"/>
    <w:rsid w:val="2B700009"/>
    <w:rsid w:val="2B7254AB"/>
    <w:rsid w:val="2B774A68"/>
    <w:rsid w:val="2CD30DAA"/>
    <w:rsid w:val="2CE50C68"/>
    <w:rsid w:val="2E051526"/>
    <w:rsid w:val="2F0E715B"/>
    <w:rsid w:val="31B85401"/>
    <w:rsid w:val="322E1B75"/>
    <w:rsid w:val="328E14B9"/>
    <w:rsid w:val="32A827E6"/>
    <w:rsid w:val="33590A0D"/>
    <w:rsid w:val="37866565"/>
    <w:rsid w:val="380145D2"/>
    <w:rsid w:val="38E4779C"/>
    <w:rsid w:val="390B5468"/>
    <w:rsid w:val="3919301F"/>
    <w:rsid w:val="39BD71D3"/>
    <w:rsid w:val="3A9E1150"/>
    <w:rsid w:val="3AB16C65"/>
    <w:rsid w:val="3AD544E9"/>
    <w:rsid w:val="3B2344B0"/>
    <w:rsid w:val="3C443C71"/>
    <w:rsid w:val="3ED83F87"/>
    <w:rsid w:val="3FDD483D"/>
    <w:rsid w:val="40017D8D"/>
    <w:rsid w:val="403B1435"/>
    <w:rsid w:val="40E45D03"/>
    <w:rsid w:val="436B0FC0"/>
    <w:rsid w:val="44187FD3"/>
    <w:rsid w:val="443C4228"/>
    <w:rsid w:val="446E75ED"/>
    <w:rsid w:val="44C91833"/>
    <w:rsid w:val="45136D0D"/>
    <w:rsid w:val="4823782A"/>
    <w:rsid w:val="492D2D74"/>
    <w:rsid w:val="497557AD"/>
    <w:rsid w:val="499524F4"/>
    <w:rsid w:val="4A6B6969"/>
    <w:rsid w:val="4B876EDE"/>
    <w:rsid w:val="4DA23BF2"/>
    <w:rsid w:val="4DB200A1"/>
    <w:rsid w:val="4E4B7E72"/>
    <w:rsid w:val="4E651D87"/>
    <w:rsid w:val="4ECE1A55"/>
    <w:rsid w:val="51ED3D91"/>
    <w:rsid w:val="53D05DA1"/>
    <w:rsid w:val="54656664"/>
    <w:rsid w:val="546E2408"/>
    <w:rsid w:val="549853D8"/>
    <w:rsid w:val="55BD3B21"/>
    <w:rsid w:val="5835613F"/>
    <w:rsid w:val="589635DD"/>
    <w:rsid w:val="59AA4A7D"/>
    <w:rsid w:val="5B306F10"/>
    <w:rsid w:val="5B494DFB"/>
    <w:rsid w:val="5B4F32E3"/>
    <w:rsid w:val="5B734C0E"/>
    <w:rsid w:val="5BC625E4"/>
    <w:rsid w:val="5D111766"/>
    <w:rsid w:val="5D1A7868"/>
    <w:rsid w:val="5D853D9E"/>
    <w:rsid w:val="5ECE01B8"/>
    <w:rsid w:val="5ED74E21"/>
    <w:rsid w:val="5FCB6071"/>
    <w:rsid w:val="61D830B5"/>
    <w:rsid w:val="62200AE8"/>
    <w:rsid w:val="62BB5D8E"/>
    <w:rsid w:val="64084829"/>
    <w:rsid w:val="646B48B3"/>
    <w:rsid w:val="65965302"/>
    <w:rsid w:val="6687560C"/>
    <w:rsid w:val="67195001"/>
    <w:rsid w:val="67565A36"/>
    <w:rsid w:val="68222C15"/>
    <w:rsid w:val="68815370"/>
    <w:rsid w:val="68B96DFC"/>
    <w:rsid w:val="68D67B65"/>
    <w:rsid w:val="695775DC"/>
    <w:rsid w:val="6A236CE5"/>
    <w:rsid w:val="6C39522C"/>
    <w:rsid w:val="6D866611"/>
    <w:rsid w:val="6EE636AD"/>
    <w:rsid w:val="6F3E65C1"/>
    <w:rsid w:val="716606CE"/>
    <w:rsid w:val="71E02129"/>
    <w:rsid w:val="71E11D56"/>
    <w:rsid w:val="71FD475B"/>
    <w:rsid w:val="740C0E97"/>
    <w:rsid w:val="74B0473C"/>
    <w:rsid w:val="74F72AA4"/>
    <w:rsid w:val="76067936"/>
    <w:rsid w:val="760D24CD"/>
    <w:rsid w:val="77684DA1"/>
    <w:rsid w:val="77812C28"/>
    <w:rsid w:val="78054671"/>
    <w:rsid w:val="780971C6"/>
    <w:rsid w:val="78271CFC"/>
    <w:rsid w:val="7B4E7A44"/>
    <w:rsid w:val="7D2F7E0B"/>
    <w:rsid w:val="7DC964F0"/>
    <w:rsid w:val="7E466F0D"/>
    <w:rsid w:val="7FE368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1"/>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53"/>
    <w:qFormat/>
    <w:uiPriority w:val="0"/>
    <w:pPr>
      <w:outlineLvl w:val="1"/>
    </w:pPr>
    <w:rPr>
      <w:rFonts w:ascii="Arial" w:hAnsi="Arial"/>
    </w:rPr>
  </w:style>
  <w:style w:type="paragraph" w:styleId="5">
    <w:name w:val="heading 3"/>
    <w:basedOn w:val="6"/>
    <w:next w:val="1"/>
    <w:link w:val="38"/>
    <w:semiHidden/>
    <w:unhideWhenUsed/>
    <w:qFormat/>
    <w:uiPriority w:val="9"/>
    <w:pPr>
      <w:spacing w:before="260" w:after="260" w:line="416" w:lineRule="auto"/>
      <w:outlineLvl w:val="2"/>
    </w:pPr>
    <w:rPr>
      <w:sz w:val="32"/>
      <w:szCs w:val="32"/>
    </w:rPr>
  </w:style>
  <w:style w:type="paragraph" w:styleId="6">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8"/>
    <w:qFormat/>
    <w:uiPriority w:val="0"/>
    <w:pPr>
      <w:keepNext/>
      <w:keepLines/>
      <w:numPr>
        <w:ilvl w:val="4"/>
        <w:numId w:val="1"/>
      </w:numPr>
      <w:tabs>
        <w:tab w:val="left" w:pos="371"/>
      </w:tabs>
      <w:spacing w:before="280" w:after="290" w:line="374" w:lineRule="auto"/>
      <w:outlineLvl w:val="4"/>
    </w:pPr>
    <w:rPr>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0"/>
    <w:pPr>
      <w:tabs>
        <w:tab w:val="right" w:leader="dot" w:pos="8296"/>
      </w:tabs>
      <w:ind w:left="210"/>
      <w:jc w:val="left"/>
    </w:pPr>
    <w:rPr>
      <w:smallCaps/>
    </w:rPr>
  </w:style>
  <w:style w:type="paragraph" w:styleId="8">
    <w:name w:val="Normal Indent"/>
    <w:basedOn w:val="1"/>
    <w:next w:val="9"/>
    <w:qFormat/>
    <w:uiPriority w:val="0"/>
    <w:pPr>
      <w:ind w:firstLine="420" w:firstLineChars="200"/>
    </w:pPr>
  </w:style>
  <w:style w:type="paragraph" w:styleId="9">
    <w:name w:val="Body Text"/>
    <w:basedOn w:val="1"/>
    <w:next w:val="1"/>
    <w:unhideWhenUsed/>
    <w:qFormat/>
    <w:uiPriority w:val="99"/>
    <w:pPr>
      <w:spacing w:after="120"/>
    </w:pPr>
  </w:style>
  <w:style w:type="paragraph" w:styleId="10">
    <w:name w:val="List Number 2"/>
    <w:basedOn w:val="1"/>
    <w:semiHidden/>
    <w:unhideWhenUsed/>
    <w:qFormat/>
    <w:uiPriority w:val="99"/>
    <w:pPr>
      <w:numPr>
        <w:ilvl w:val="0"/>
        <w:numId w:val="2"/>
      </w:numPr>
      <w:contextualSpacing/>
    </w:pPr>
  </w:style>
  <w:style w:type="paragraph" w:styleId="11">
    <w:name w:val="annotation text"/>
    <w:basedOn w:val="1"/>
    <w:link w:val="32"/>
    <w:unhideWhenUsed/>
    <w:qFormat/>
    <w:uiPriority w:val="99"/>
    <w:pPr>
      <w:jc w:val="left"/>
    </w:pPr>
  </w:style>
  <w:style w:type="paragraph" w:styleId="12">
    <w:name w:val="Body Text Indent"/>
    <w:basedOn w:val="1"/>
    <w:unhideWhenUsed/>
    <w:qFormat/>
    <w:uiPriority w:val="99"/>
    <w:pPr>
      <w:spacing w:after="120"/>
      <w:ind w:left="420" w:leftChars="200"/>
    </w:pPr>
  </w:style>
  <w:style w:type="paragraph" w:styleId="13">
    <w:name w:val="Plain Text"/>
    <w:basedOn w:val="1"/>
    <w:link w:val="35"/>
    <w:qFormat/>
    <w:uiPriority w:val="0"/>
    <w:rPr>
      <w:rFonts w:ascii="宋体" w:hAnsi="Courier New" w:eastAsiaTheme="minorEastAsia" w:cstheme="minorBidi"/>
    </w:rPr>
  </w:style>
  <w:style w:type="paragraph" w:styleId="14">
    <w:name w:val="Date"/>
    <w:basedOn w:val="1"/>
    <w:next w:val="1"/>
    <w:link w:val="27"/>
    <w:qFormat/>
    <w:uiPriority w:val="0"/>
    <w:rPr>
      <w:rFonts w:ascii="宋体" w:hAnsi="Courier New"/>
      <w:kern w:val="0"/>
      <w:sz w:val="32"/>
      <w:szCs w:val="20"/>
    </w:rPr>
  </w:style>
  <w:style w:type="paragraph" w:styleId="15">
    <w:name w:val="Balloon Text"/>
    <w:basedOn w:val="1"/>
    <w:link w:val="28"/>
    <w:semiHidden/>
    <w:unhideWhenUsed/>
    <w:qFormat/>
    <w:uiPriority w:val="99"/>
    <w:rPr>
      <w:sz w:val="18"/>
      <w:szCs w:val="18"/>
    </w:r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annotation subject"/>
    <w:basedOn w:val="11"/>
    <w:next w:val="11"/>
    <w:link w:val="33"/>
    <w:semiHidden/>
    <w:unhideWhenUsed/>
    <w:qFormat/>
    <w:uiPriority w:val="99"/>
    <w:rPr>
      <w:b/>
      <w:bCs/>
    </w:rPr>
  </w:style>
  <w:style w:type="paragraph" w:styleId="19">
    <w:name w:val="Body Text First Indent"/>
    <w:basedOn w:val="9"/>
    <w:qFormat/>
    <w:uiPriority w:val="0"/>
    <w:pPr>
      <w:ind w:firstLine="420" w:firstLineChars="100"/>
    </w:pPr>
    <w:rPr>
      <w:sz w:val="20"/>
    </w:rPr>
  </w:style>
  <w:style w:type="paragraph" w:styleId="20">
    <w:name w:val="Body Text First Indent 2"/>
    <w:basedOn w:val="12"/>
    <w:qFormat/>
    <w:uiPriority w:val="0"/>
    <w:pPr>
      <w:ind w:firstLine="420" w:firstLineChars="200"/>
    </w:pPr>
    <w:rPr>
      <w:szCs w:val="24"/>
    </w:rPr>
  </w:style>
  <w:style w:type="table" w:styleId="22">
    <w:name w:val="Table Grid"/>
    <w:basedOn w:val="2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Hyperlink"/>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日期 Char"/>
    <w:basedOn w:val="23"/>
    <w:qFormat/>
    <w:uiPriority w:val="0"/>
    <w:rPr>
      <w:rFonts w:ascii="宋体" w:hAnsi="Courier New" w:eastAsia="宋体" w:cs="Times New Roman"/>
      <w:kern w:val="0"/>
      <w:sz w:val="32"/>
      <w:szCs w:val="20"/>
    </w:rPr>
  </w:style>
  <w:style w:type="character" w:customStyle="1" w:styleId="27">
    <w:name w:val="日期 字符"/>
    <w:basedOn w:val="23"/>
    <w:link w:val="14"/>
    <w:semiHidden/>
    <w:qFormat/>
    <w:uiPriority w:val="99"/>
    <w:rPr>
      <w:rFonts w:ascii="Calibri" w:hAnsi="Calibri" w:eastAsia="宋体" w:cs="Times New Roman"/>
    </w:rPr>
  </w:style>
  <w:style w:type="character" w:customStyle="1" w:styleId="28">
    <w:name w:val="批注框文本 字符"/>
    <w:basedOn w:val="23"/>
    <w:link w:val="15"/>
    <w:semiHidden/>
    <w:qFormat/>
    <w:uiPriority w:val="99"/>
    <w:rPr>
      <w:rFonts w:ascii="Calibri" w:hAnsi="Calibri" w:eastAsia="宋体" w:cs="Times New Roman"/>
      <w:sz w:val="18"/>
      <w:szCs w:val="18"/>
    </w:rPr>
  </w:style>
  <w:style w:type="character" w:customStyle="1" w:styleId="29">
    <w:name w:val="页眉 字符"/>
    <w:basedOn w:val="23"/>
    <w:link w:val="17"/>
    <w:qFormat/>
    <w:uiPriority w:val="99"/>
    <w:rPr>
      <w:rFonts w:ascii="Calibri" w:hAnsi="Calibri" w:eastAsia="宋体" w:cs="Times New Roman"/>
      <w:sz w:val="18"/>
      <w:szCs w:val="18"/>
    </w:rPr>
  </w:style>
  <w:style w:type="character" w:customStyle="1" w:styleId="30">
    <w:name w:val="页脚 字符"/>
    <w:basedOn w:val="23"/>
    <w:link w:val="16"/>
    <w:qFormat/>
    <w:uiPriority w:val="99"/>
    <w:rPr>
      <w:rFonts w:ascii="Calibri" w:hAnsi="Calibri" w:eastAsia="宋体" w:cs="Times New Roman"/>
      <w:sz w:val="18"/>
      <w:szCs w:val="18"/>
    </w:rPr>
  </w:style>
  <w:style w:type="character" w:customStyle="1" w:styleId="31">
    <w:name w:val="标题 1 字符"/>
    <w:basedOn w:val="23"/>
    <w:link w:val="3"/>
    <w:qFormat/>
    <w:uiPriority w:val="0"/>
    <w:rPr>
      <w:rFonts w:ascii="宋体" w:hAnsi="Calibri" w:eastAsia="宋体" w:cs="Times New Roman"/>
      <w:color w:val="000000"/>
      <w:sz w:val="28"/>
      <w:szCs w:val="20"/>
    </w:rPr>
  </w:style>
  <w:style w:type="character" w:customStyle="1" w:styleId="32">
    <w:name w:val="批注文字 字符"/>
    <w:basedOn w:val="23"/>
    <w:link w:val="11"/>
    <w:qFormat/>
    <w:uiPriority w:val="99"/>
    <w:rPr>
      <w:rFonts w:ascii="Calibri" w:hAnsi="Calibri" w:eastAsia="宋体" w:cs="Times New Roman"/>
    </w:rPr>
  </w:style>
  <w:style w:type="character" w:customStyle="1" w:styleId="33">
    <w:name w:val="批注主题 字符"/>
    <w:basedOn w:val="32"/>
    <w:link w:val="18"/>
    <w:semiHidden/>
    <w:qFormat/>
    <w:uiPriority w:val="99"/>
    <w:rPr>
      <w:rFonts w:ascii="Calibri" w:hAnsi="Calibri" w:eastAsia="宋体" w:cs="Times New Roman"/>
      <w:b/>
      <w:bCs/>
    </w:rPr>
  </w:style>
  <w:style w:type="character" w:customStyle="1" w:styleId="34">
    <w:name w:val="纯文本 Char"/>
    <w:qFormat/>
    <w:uiPriority w:val="0"/>
    <w:rPr>
      <w:rFonts w:ascii="宋体" w:hAnsi="Courier New"/>
    </w:rPr>
  </w:style>
  <w:style w:type="character" w:customStyle="1" w:styleId="35">
    <w:name w:val="纯文本 字符"/>
    <w:basedOn w:val="23"/>
    <w:link w:val="13"/>
    <w:semiHidden/>
    <w:qFormat/>
    <w:uiPriority w:val="99"/>
    <w:rPr>
      <w:rFonts w:ascii="宋体" w:hAnsi="Courier New" w:eastAsia="宋体" w:cs="Courier New"/>
      <w:szCs w:val="21"/>
    </w:rPr>
  </w:style>
  <w:style w:type="character" w:customStyle="1" w:styleId="36">
    <w:name w:val="标题 2 Char"/>
    <w:basedOn w:val="23"/>
    <w:qFormat/>
    <w:uiPriority w:val="0"/>
    <w:rPr>
      <w:rFonts w:ascii="Arial" w:hAnsi="Arial" w:eastAsia="宋体" w:cs="Times New Roman"/>
      <w:b/>
      <w:bCs/>
      <w:sz w:val="32"/>
      <w:szCs w:val="32"/>
    </w:rPr>
  </w:style>
  <w:style w:type="paragraph" w:styleId="37">
    <w:name w:val="List Paragraph"/>
    <w:basedOn w:val="1"/>
    <w:qFormat/>
    <w:uiPriority w:val="34"/>
    <w:pPr>
      <w:ind w:firstLine="420" w:firstLineChars="200"/>
    </w:pPr>
  </w:style>
  <w:style w:type="character" w:customStyle="1" w:styleId="38">
    <w:name w:val="标题 3 字符"/>
    <w:basedOn w:val="23"/>
    <w:link w:val="5"/>
    <w:semiHidden/>
    <w:qFormat/>
    <w:uiPriority w:val="9"/>
    <w:rPr>
      <w:rFonts w:ascii="Calibri" w:hAnsi="Calibri" w:eastAsia="宋体" w:cs="Times New Roman"/>
      <w:b/>
      <w:bCs/>
      <w:sz w:val="32"/>
      <w:szCs w:val="32"/>
    </w:rPr>
  </w:style>
  <w:style w:type="character" w:customStyle="1" w:styleId="39">
    <w:name w:val="标题 4 字符"/>
    <w:basedOn w:val="23"/>
    <w:link w:val="6"/>
    <w:qFormat/>
    <w:uiPriority w:val="0"/>
    <w:rPr>
      <w:rFonts w:ascii="Cambria" w:hAnsi="Cambria" w:eastAsia="宋体" w:cs="Times New Roman"/>
      <w:b/>
      <w:bCs/>
      <w:sz w:val="28"/>
      <w:szCs w:val="28"/>
    </w:rPr>
  </w:style>
  <w:style w:type="paragraph" w:customStyle="1" w:styleId="40">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1">
    <w:name w:val="1"/>
    <w:basedOn w:val="1"/>
    <w:next w:val="13"/>
    <w:qFormat/>
    <w:uiPriority w:val="0"/>
    <w:rPr>
      <w:rFonts w:ascii="宋体" w:hAnsi="Courier New"/>
      <w:szCs w:val="20"/>
    </w:rPr>
  </w:style>
  <w:style w:type="paragraph" w:customStyle="1" w:styleId="42">
    <w:name w:val="8"/>
    <w:basedOn w:val="1"/>
    <w:next w:val="13"/>
    <w:qFormat/>
    <w:uiPriority w:val="0"/>
    <w:rPr>
      <w:rFonts w:ascii="宋体" w:hAnsi="Courier New"/>
      <w:szCs w:val="20"/>
    </w:rPr>
  </w:style>
  <w:style w:type="paragraph" w:customStyle="1" w:styleId="43">
    <w:name w:val="_Style 55"/>
    <w:basedOn w:val="1"/>
    <w:next w:val="13"/>
    <w:qFormat/>
    <w:uiPriority w:val="0"/>
    <w:rPr>
      <w:rFonts w:ascii="宋体" w:hAnsi="Courier New"/>
      <w:szCs w:val="20"/>
    </w:rPr>
  </w:style>
  <w:style w:type="paragraph" w:customStyle="1" w:styleId="44">
    <w:name w:val="7"/>
    <w:basedOn w:val="1"/>
    <w:next w:val="13"/>
    <w:link w:val="45"/>
    <w:qFormat/>
    <w:uiPriority w:val="0"/>
    <w:rPr>
      <w:rFonts w:ascii="宋体" w:hAnsi="Courier New"/>
      <w:szCs w:val="20"/>
    </w:rPr>
  </w:style>
  <w:style w:type="character" w:customStyle="1" w:styleId="45">
    <w:name w:val="Char1"/>
    <w:link w:val="44"/>
    <w:qFormat/>
    <w:uiPriority w:val="0"/>
    <w:rPr>
      <w:rFonts w:ascii="宋体" w:hAnsi="Courier New" w:eastAsia="宋体" w:cs="Times New Roman"/>
      <w:szCs w:val="20"/>
    </w:rPr>
  </w:style>
  <w:style w:type="paragraph" w:customStyle="1" w:styleId="46">
    <w:name w:val="列出段落1"/>
    <w:basedOn w:val="1"/>
    <w:qFormat/>
    <w:uiPriority w:val="0"/>
    <w:pPr>
      <w:ind w:firstLine="420" w:firstLineChars="200"/>
    </w:pPr>
    <w:rPr>
      <w:rFonts w:cs="Calibri"/>
      <w:szCs w:val="21"/>
    </w:rPr>
  </w:style>
  <w:style w:type="character" w:customStyle="1" w:styleId="47">
    <w:name w:val="font01"/>
    <w:basedOn w:val="23"/>
    <w:qFormat/>
    <w:uiPriority w:val="0"/>
    <w:rPr>
      <w:rFonts w:hint="eastAsia" w:ascii="宋体" w:hAnsi="宋体" w:eastAsia="宋体" w:cs="宋体"/>
      <w:color w:val="000000"/>
      <w:sz w:val="20"/>
      <w:szCs w:val="20"/>
      <w:u w:val="none"/>
    </w:rPr>
  </w:style>
  <w:style w:type="paragraph" w:customStyle="1" w:styleId="4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paragraph" w:customStyle="1" w:styleId="49">
    <w:name w:val="Table Paragraph"/>
    <w:basedOn w:val="1"/>
    <w:qFormat/>
    <w:uiPriority w:val="1"/>
    <w:rPr>
      <w:rFonts w:ascii="宋体" w:hAnsi="宋体" w:cs="宋体"/>
      <w:lang w:val="zh-CN" w:bidi="zh-CN"/>
    </w:rPr>
  </w:style>
  <w:style w:type="paragraph" w:customStyle="1" w:styleId="50">
    <w:name w:val="修订1"/>
    <w:hidden/>
    <w:semiHidden/>
    <w:qFormat/>
    <w:uiPriority w:val="99"/>
    <w:rPr>
      <w:rFonts w:ascii="Calibri" w:hAnsi="Calibri" w:eastAsia="宋体" w:cs="Times New Roman"/>
      <w:kern w:val="2"/>
      <w:sz w:val="21"/>
      <w:szCs w:val="22"/>
      <w:lang w:val="en-US" w:eastAsia="zh-CN" w:bidi="ar-SA"/>
    </w:rPr>
  </w:style>
  <w:style w:type="paragraph" w:customStyle="1" w:styleId="51">
    <w:name w:val="修订2"/>
    <w:hidden/>
    <w:semiHidden/>
    <w:qFormat/>
    <w:uiPriority w:val="99"/>
    <w:rPr>
      <w:rFonts w:ascii="Calibri" w:hAnsi="Calibri" w:eastAsia="宋体" w:cs="Times New Roman"/>
      <w:kern w:val="2"/>
      <w:sz w:val="21"/>
      <w:szCs w:val="22"/>
      <w:lang w:val="en-US" w:eastAsia="zh-CN" w:bidi="ar-SA"/>
    </w:rPr>
  </w:style>
  <w:style w:type="paragraph" w:customStyle="1" w:styleId="52">
    <w:name w:val="4"/>
    <w:basedOn w:val="1"/>
    <w:next w:val="1"/>
    <w:qFormat/>
    <w:uiPriority w:val="0"/>
  </w:style>
  <w:style w:type="character" w:customStyle="1" w:styleId="53">
    <w:name w:val="标题 2 字符"/>
    <w:link w:val="4"/>
    <w:qFormat/>
    <w:uiPriority w:val="0"/>
    <w:rPr>
      <w:kern w:val="0"/>
      <w:sz w:val="24"/>
      <w:szCs w:val="20"/>
    </w:rPr>
  </w:style>
  <w:style w:type="paragraph" w:customStyle="1" w:styleId="54">
    <w:name w:val="列表段落1"/>
    <w:basedOn w:val="1"/>
    <w:qFormat/>
    <w:uiPriority w:val="0"/>
    <w:pPr>
      <w:ind w:firstLine="420" w:firstLineChars="200"/>
    </w:pPr>
    <w:rPr>
      <w:szCs w:val="20"/>
    </w:rPr>
  </w:style>
  <w:style w:type="paragraph" w:customStyle="1" w:styleId="55">
    <w:name w:val="Header or footer|1"/>
    <w:basedOn w:val="1"/>
    <w:qFormat/>
    <w:uiPriority w:val="0"/>
    <w:rPr>
      <w:sz w:val="28"/>
      <w:szCs w:val="28"/>
      <w:lang w:val="zh-CN" w:bidi="zh-CN"/>
    </w:rPr>
  </w:style>
  <w:style w:type="paragraph" w:customStyle="1" w:styleId="5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57">
    <w:name w:val="修订3"/>
    <w:hidden/>
    <w:semiHidden/>
    <w:qFormat/>
    <w:uiPriority w:val="99"/>
    <w:rPr>
      <w:rFonts w:ascii="Calibri" w:hAnsi="Calibri" w:eastAsia="宋体" w:cs="Times New Roman"/>
      <w:kern w:val="2"/>
      <w:sz w:val="21"/>
      <w:szCs w:val="22"/>
      <w:lang w:val="en-US" w:eastAsia="zh-CN" w:bidi="ar-SA"/>
    </w:rPr>
  </w:style>
  <w:style w:type="paragraph" w:customStyle="1" w:styleId="58">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CAB2B-F48F-4998-9E01-BE073536ED1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75</Pages>
  <Words>33361</Words>
  <Characters>34964</Characters>
  <Lines>277</Lines>
  <Paragraphs>78</Paragraphs>
  <TotalTime>33</TotalTime>
  <ScaleCrop>false</ScaleCrop>
  <LinksUpToDate>false</LinksUpToDate>
  <CharactersWithSpaces>36929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2023-05-24T08:19:00Z</dcterms:created>
  <dc:creator>User</dc:creator>
  <cp:lastModifiedBy>mue祢</cp:lastModifiedBy>
  <cp:lastPrinted>2023-05-23T06:17:00Z</cp:lastPrinted>
  <dcterms:modified xsi:type="dcterms:W3CDTF">2023-05-26T05:17:14Z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DD29CE61CA58411DB0F59255C5F83ADA_13</vt:lpwstr>
  </property>
</Properties>
</file>