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F343C">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10795" b="10795"/>
                <wp:wrapNone/>
                <wp:docPr id="3"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6263481F">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14:paraId="1B73240C">
                            <w:pPr>
                              <w:spacing w:line="400" w:lineRule="exact"/>
                              <w:rPr>
                                <w:rFonts w:ascii="仿宋_GB2312" w:eastAsia="仿宋_GB2312"/>
                                <w:sz w:val="22"/>
                              </w:rPr>
                            </w:pPr>
                            <w:r>
                              <w:rPr>
                                <w:rFonts w:hint="eastAsia" w:ascii="仿宋_GB2312" w:eastAsia="仿宋_GB2312"/>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3zNcdcAAAAIAQAADwAAAAAAAAABACAA&#10;AAAiAAAAZHJzL2Rvd25yZXYueG1sUEsBAhQAFAAAAAgAh07iQPSTJisOAgAARgQAAA4AAAAAAAAA&#10;AQAgAAAAJgEAAGRycy9lMm9Eb2MueG1sUEsFBgAAAAAGAAYAWQEAAKYFAAAAAA==&#10;">
                <v:fill on="t" focussize="0,0"/>
                <v:stroke color="#FFFFFF" joinstyle="miter"/>
                <v:imagedata o:title=""/>
                <o:lock v:ext="edit" aspectratio="f"/>
                <v:textbox>
                  <w:txbxContent>
                    <w:p w14:paraId="6263481F">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14:paraId="1B73240C">
                      <w:pPr>
                        <w:spacing w:line="400" w:lineRule="exact"/>
                        <w:rPr>
                          <w:rFonts w:ascii="仿宋_GB2312" w:eastAsia="仿宋_GB2312"/>
                          <w:sz w:val="22"/>
                        </w:rPr>
                      </w:pPr>
                      <w:r>
                        <w:rPr>
                          <w:rFonts w:hint="eastAsia" w:ascii="仿宋_GB2312" w:eastAsia="仿宋_GB2312"/>
                          <w:sz w:val="22"/>
                        </w:rPr>
                        <w:t>SHENZHEN ZHONGZHENG TENDERING CO.,LTD.</w:t>
                      </w:r>
                    </w:p>
                  </w:txbxContent>
                </v:textbox>
              </v:shape>
            </w:pict>
          </mc:Fallback>
        </mc:AlternateContent>
      </w:r>
      <w:r>
        <w:rPr>
          <w:b/>
          <w:kern w:val="0"/>
          <w:sz w:val="28"/>
          <w:szCs w:val="28"/>
        </w:rPr>
        <w:drawing>
          <wp:inline distT="0" distB="0" distL="0" distR="0">
            <wp:extent cx="552450" cy="476250"/>
            <wp:effectExtent l="57150" t="19050" r="190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srcRect/>
                    <a:stretch>
                      <a:fillRect/>
                    </a:stretch>
                  </pic:blipFill>
                  <pic:spPr>
                    <a:xfrm>
                      <a:off x="0" y="0"/>
                      <a:ext cx="552450" cy="476250"/>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7321FA22">
      <w:pPr>
        <w:ind w:left="682" w:leftChars="-203" w:hanging="1108" w:hangingChars="154"/>
        <w:rPr>
          <w:sz w:val="72"/>
          <w:szCs w:val="72"/>
        </w:rPr>
      </w:pPr>
    </w:p>
    <w:p w14:paraId="7CE5DE53">
      <w:pPr>
        <w:adjustRightInd w:val="0"/>
        <w:snapToGrid w:val="0"/>
        <w:spacing w:line="300" w:lineRule="auto"/>
        <w:jc w:val="left"/>
        <w:rPr>
          <w:b/>
          <w:bCs/>
          <w:snapToGrid w:val="0"/>
          <w:kern w:val="0"/>
          <w:sz w:val="28"/>
          <w:szCs w:val="28"/>
        </w:rPr>
      </w:pPr>
    </w:p>
    <w:p w14:paraId="53C61080">
      <w:pPr>
        <w:adjustRightInd w:val="0"/>
        <w:snapToGrid w:val="0"/>
        <w:spacing w:line="300" w:lineRule="auto"/>
        <w:jc w:val="left"/>
        <w:rPr>
          <w:b/>
          <w:bCs/>
          <w:snapToGrid w:val="0"/>
          <w:kern w:val="0"/>
          <w:sz w:val="28"/>
          <w:szCs w:val="28"/>
        </w:rPr>
      </w:pPr>
    </w:p>
    <w:p w14:paraId="4B13625E">
      <w:pPr>
        <w:adjustRightInd w:val="0"/>
        <w:snapToGrid w:val="0"/>
        <w:spacing w:line="300" w:lineRule="auto"/>
        <w:jc w:val="left"/>
        <w:rPr>
          <w:b/>
          <w:bCs/>
          <w:snapToGrid w:val="0"/>
          <w:kern w:val="0"/>
          <w:sz w:val="28"/>
          <w:szCs w:val="28"/>
        </w:rPr>
      </w:pPr>
    </w:p>
    <w:p w14:paraId="163372DF">
      <w:pPr>
        <w:adjustRightInd w:val="0"/>
        <w:snapToGrid w:val="0"/>
        <w:spacing w:line="300" w:lineRule="auto"/>
        <w:jc w:val="center"/>
        <w:rPr>
          <w:rFonts w:hint="eastAsia" w:asciiTheme="minorEastAsia" w:hAnsiTheme="minorEastAsia" w:eastAsiaTheme="minorEastAsia"/>
          <w:b/>
          <w:snapToGrid w:val="0"/>
          <w:kern w:val="0"/>
          <w:sz w:val="70"/>
          <w:szCs w:val="70"/>
          <w:lang w:eastAsia="zh-CN"/>
        </w:rPr>
      </w:pPr>
      <w:r>
        <w:rPr>
          <w:rFonts w:hint="eastAsia" w:asciiTheme="minorEastAsia" w:hAnsiTheme="minorEastAsia" w:eastAsiaTheme="minorEastAsia"/>
          <w:b/>
          <w:bCs/>
          <w:snapToGrid w:val="0"/>
          <w:kern w:val="0"/>
          <w:sz w:val="70"/>
          <w:szCs w:val="70"/>
          <w:lang w:eastAsia="zh-CN"/>
        </w:rPr>
        <w:t>网络安全等级保护测评服务项目</w:t>
      </w:r>
    </w:p>
    <w:p w14:paraId="426A29EE">
      <w:pPr>
        <w:adjustRightInd w:val="0"/>
        <w:snapToGrid w:val="0"/>
        <w:spacing w:line="300" w:lineRule="auto"/>
        <w:jc w:val="center"/>
        <w:rPr>
          <w:rFonts w:asciiTheme="minorEastAsia" w:hAnsiTheme="minorEastAsia" w:eastAsiaTheme="minorEastAsia"/>
          <w:b/>
          <w:snapToGrid w:val="0"/>
          <w:kern w:val="0"/>
          <w:sz w:val="44"/>
          <w:szCs w:val="44"/>
        </w:rPr>
      </w:pPr>
    </w:p>
    <w:p w14:paraId="774FAACC">
      <w:pPr>
        <w:adjustRightInd w:val="0"/>
        <w:snapToGrid w:val="0"/>
        <w:spacing w:line="300" w:lineRule="auto"/>
        <w:jc w:val="center"/>
        <w:rPr>
          <w:rFonts w:asciiTheme="minorEastAsia" w:hAnsiTheme="minorEastAsia" w:eastAsiaTheme="minorEastAsia"/>
          <w:b/>
          <w:snapToGrid w:val="0"/>
          <w:kern w:val="0"/>
          <w:sz w:val="44"/>
          <w:szCs w:val="44"/>
        </w:rPr>
      </w:pPr>
    </w:p>
    <w:p w14:paraId="27566B1D">
      <w:pPr>
        <w:adjustRightInd w:val="0"/>
        <w:snapToGrid w:val="0"/>
        <w:spacing w:line="300" w:lineRule="auto"/>
        <w:jc w:val="center"/>
        <w:rPr>
          <w:rFonts w:asciiTheme="minorEastAsia" w:hAnsiTheme="minorEastAsia" w:eastAsiaTheme="minorEastAsia"/>
          <w:b/>
          <w:snapToGrid w:val="0"/>
          <w:kern w:val="0"/>
          <w:sz w:val="44"/>
          <w:szCs w:val="44"/>
        </w:rPr>
      </w:pPr>
    </w:p>
    <w:p w14:paraId="440B7251">
      <w:pPr>
        <w:adjustRightInd w:val="0"/>
        <w:snapToGrid w:val="0"/>
        <w:spacing w:line="300" w:lineRule="auto"/>
        <w:jc w:val="center"/>
        <w:rPr>
          <w:rFonts w:asciiTheme="minorEastAsia" w:hAnsiTheme="minorEastAsia" w:eastAsiaTheme="minorEastAsia"/>
          <w:b/>
          <w:snapToGrid w:val="0"/>
          <w:kern w:val="0"/>
          <w:sz w:val="70"/>
          <w:szCs w:val="70"/>
        </w:rPr>
      </w:pPr>
      <w:r>
        <w:rPr>
          <w:rFonts w:hint="eastAsia" w:asciiTheme="minorEastAsia" w:hAnsiTheme="minorEastAsia" w:eastAsiaTheme="minorEastAsia"/>
          <w:b/>
          <w:snapToGrid w:val="0"/>
          <w:kern w:val="0"/>
          <w:sz w:val="70"/>
          <w:szCs w:val="70"/>
        </w:rPr>
        <w:t>服务类</w:t>
      </w:r>
      <w:r>
        <w:rPr>
          <w:rFonts w:hint="eastAsia" w:asciiTheme="minorEastAsia" w:hAnsiTheme="minorEastAsia" w:eastAsiaTheme="minorEastAsia"/>
          <w:b/>
          <w:snapToGrid w:val="0"/>
          <w:kern w:val="0"/>
          <w:sz w:val="70"/>
          <w:szCs w:val="70"/>
          <w:lang w:eastAsia="zh-CN"/>
        </w:rPr>
        <w:t>自行采购</w:t>
      </w:r>
      <w:r>
        <w:rPr>
          <w:rFonts w:hint="eastAsia" w:asciiTheme="minorEastAsia" w:hAnsiTheme="minorEastAsia" w:eastAsiaTheme="minorEastAsia"/>
          <w:b/>
          <w:snapToGrid w:val="0"/>
          <w:kern w:val="0"/>
          <w:sz w:val="70"/>
          <w:szCs w:val="70"/>
        </w:rPr>
        <w:t>招标文件</w:t>
      </w:r>
    </w:p>
    <w:p w14:paraId="1AFE6182">
      <w:pPr>
        <w:adjustRightInd w:val="0"/>
        <w:snapToGrid w:val="0"/>
        <w:spacing w:line="300" w:lineRule="auto"/>
        <w:jc w:val="center"/>
        <w:rPr>
          <w:rFonts w:asciiTheme="minorEastAsia" w:hAnsiTheme="minorEastAsia" w:eastAsiaTheme="minorEastAsia"/>
          <w:b/>
          <w:snapToGrid w:val="0"/>
          <w:kern w:val="0"/>
          <w:sz w:val="32"/>
        </w:rPr>
      </w:pPr>
    </w:p>
    <w:p w14:paraId="32FBF0CB">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PSZXDL-2025-00120</w:t>
      </w:r>
    </w:p>
    <w:p w14:paraId="2AAC0771">
      <w:pPr>
        <w:adjustRightInd w:val="0"/>
        <w:snapToGrid w:val="0"/>
        <w:spacing w:line="300" w:lineRule="auto"/>
        <w:jc w:val="center"/>
        <w:rPr>
          <w:rFonts w:asciiTheme="minorEastAsia" w:hAnsiTheme="minorEastAsia" w:eastAsiaTheme="minorEastAsia"/>
          <w:b/>
          <w:snapToGrid w:val="0"/>
          <w:kern w:val="0"/>
          <w:sz w:val="18"/>
          <w:szCs w:val="18"/>
        </w:rPr>
      </w:pPr>
    </w:p>
    <w:p w14:paraId="779062A7">
      <w:pPr>
        <w:adjustRightInd w:val="0"/>
        <w:snapToGrid w:val="0"/>
        <w:spacing w:line="300" w:lineRule="auto"/>
        <w:jc w:val="center"/>
        <w:rPr>
          <w:rFonts w:asciiTheme="minorEastAsia" w:hAnsiTheme="minorEastAsia" w:eastAsiaTheme="minorEastAsia"/>
          <w:b/>
          <w:snapToGrid w:val="0"/>
          <w:kern w:val="0"/>
          <w:sz w:val="44"/>
        </w:rPr>
      </w:pPr>
    </w:p>
    <w:p w14:paraId="6C9FC3C5">
      <w:pPr>
        <w:adjustRightInd w:val="0"/>
        <w:snapToGrid w:val="0"/>
        <w:spacing w:line="300" w:lineRule="auto"/>
        <w:jc w:val="center"/>
        <w:rPr>
          <w:rFonts w:asciiTheme="minorEastAsia" w:hAnsiTheme="minorEastAsia" w:eastAsiaTheme="minorEastAsia"/>
          <w:b/>
          <w:snapToGrid w:val="0"/>
          <w:kern w:val="0"/>
          <w:sz w:val="44"/>
        </w:rPr>
      </w:pPr>
    </w:p>
    <w:p w14:paraId="7978D732">
      <w:pPr>
        <w:pStyle w:val="24"/>
        <w:adjustRightInd w:val="0"/>
        <w:snapToGrid w:val="0"/>
        <w:spacing w:line="300" w:lineRule="auto"/>
        <w:jc w:val="center"/>
        <w:rPr>
          <w:rFonts w:asciiTheme="minorEastAsia" w:hAnsiTheme="minorEastAsia" w:eastAsiaTheme="minorEastAsia"/>
          <w:b/>
          <w:snapToGrid w:val="0"/>
          <w:sz w:val="30"/>
        </w:rPr>
      </w:pPr>
    </w:p>
    <w:p w14:paraId="091D1C5D">
      <w:pPr>
        <w:rPr>
          <w:rFonts w:asciiTheme="minorEastAsia" w:hAnsiTheme="minorEastAsia" w:eastAsiaTheme="minorEastAsia"/>
        </w:rPr>
      </w:pPr>
    </w:p>
    <w:p w14:paraId="57850A51">
      <w:pPr>
        <w:rPr>
          <w:rFonts w:asciiTheme="minorEastAsia" w:hAnsiTheme="minorEastAsia" w:eastAsiaTheme="minorEastAsia"/>
        </w:rPr>
      </w:pPr>
    </w:p>
    <w:p w14:paraId="3E31F59B">
      <w:pPr>
        <w:rPr>
          <w:rFonts w:asciiTheme="minorEastAsia" w:hAnsiTheme="minorEastAsia" w:eastAsiaTheme="minorEastAsia"/>
        </w:rPr>
      </w:pPr>
    </w:p>
    <w:p w14:paraId="1F96C837">
      <w:pPr>
        <w:pStyle w:val="24"/>
        <w:adjustRightInd w:val="0"/>
        <w:snapToGrid w:val="0"/>
        <w:spacing w:line="300" w:lineRule="auto"/>
        <w:jc w:val="center"/>
        <w:rPr>
          <w:rFonts w:asciiTheme="minorEastAsia" w:hAnsiTheme="minorEastAsia" w:eastAsiaTheme="minorEastAsia"/>
        </w:rPr>
      </w:pPr>
      <w:r>
        <w:rPr>
          <w:rFonts w:hint="eastAsia" w:asciiTheme="minorEastAsia" w:hAnsiTheme="minorEastAsia" w:eastAsiaTheme="minorEastAsia"/>
          <w:b/>
          <w:snapToGrid w:val="0"/>
          <w:sz w:val="30"/>
        </w:rPr>
        <w:t>二〇二</w:t>
      </w:r>
      <w:r>
        <w:rPr>
          <w:rFonts w:hint="eastAsia" w:asciiTheme="minorEastAsia" w:hAnsiTheme="minorEastAsia" w:eastAsiaTheme="minorEastAsia"/>
          <w:b/>
          <w:snapToGrid w:val="0"/>
          <w:sz w:val="30"/>
          <w:lang w:eastAsia="zh-CN"/>
        </w:rPr>
        <w:t>五</w:t>
      </w:r>
      <w:r>
        <w:rPr>
          <w:rFonts w:hint="eastAsia" w:asciiTheme="minorEastAsia" w:hAnsiTheme="minorEastAsia" w:eastAsiaTheme="minorEastAsia"/>
          <w:b/>
          <w:snapToGrid w:val="0"/>
          <w:sz w:val="30"/>
        </w:rPr>
        <w:t>年</w:t>
      </w:r>
      <w:r>
        <w:rPr>
          <w:rFonts w:hint="eastAsia" w:asciiTheme="minorEastAsia" w:hAnsiTheme="minorEastAsia" w:eastAsiaTheme="minorEastAsia"/>
          <w:b/>
          <w:snapToGrid w:val="0"/>
          <w:sz w:val="30"/>
          <w:lang w:val="en-US" w:eastAsia="zh-CN"/>
        </w:rPr>
        <w:t>七</w:t>
      </w:r>
      <w:r>
        <w:rPr>
          <w:rFonts w:hint="eastAsia" w:asciiTheme="minorEastAsia" w:hAnsiTheme="minorEastAsia" w:eastAsiaTheme="minorEastAsia"/>
          <w:b/>
          <w:snapToGrid w:val="0"/>
          <w:sz w:val="30"/>
        </w:rPr>
        <w:t>月</w:t>
      </w:r>
    </w:p>
    <w:p w14:paraId="653FA35E">
      <w:pPr>
        <w:jc w:val="center"/>
        <w:rPr>
          <w:rFonts w:hint="eastAsia" w:asciiTheme="minorEastAsia" w:hAnsiTheme="minorEastAsia" w:eastAsiaTheme="minorEastAsia"/>
          <w:b/>
          <w:bCs/>
          <w:sz w:val="44"/>
          <w:szCs w:val="44"/>
        </w:rPr>
      </w:pPr>
    </w:p>
    <w:p w14:paraId="34443C2D">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665C3B9E">
      <w:pPr>
        <w:spacing w:line="360" w:lineRule="auto"/>
        <w:ind w:firstLine="480" w:firstLineChars="200"/>
        <w:rPr>
          <w:rFonts w:ascii="仿宋" w:hAnsi="仿宋" w:eastAsia="仿宋"/>
          <w:sz w:val="24"/>
        </w:rPr>
      </w:pPr>
    </w:p>
    <w:p w14:paraId="27A710D2">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一、《深圳经济特区政府采购条例》</w:t>
      </w:r>
    </w:p>
    <w:p w14:paraId="29A07F22">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B47F268">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（一）在采购活动中应当回避而未回避的；</w:t>
      </w:r>
    </w:p>
    <w:p w14:paraId="3FA760C2">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（二）未按本条例规定签订、履行采购合同，造成严重后果的；</w:t>
      </w:r>
    </w:p>
    <w:p w14:paraId="73C8ECDD">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（三）隐瞒真实情况，提供虚假资料的；</w:t>
      </w:r>
    </w:p>
    <w:p w14:paraId="4228B338">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（四）以非法手段排斥其他供应商参与竞争的；</w:t>
      </w:r>
    </w:p>
    <w:p w14:paraId="7537FC01">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（五）与其他采购参加人串通投标的；</w:t>
      </w:r>
    </w:p>
    <w:p w14:paraId="00D70220">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（六）恶意投诉的；</w:t>
      </w:r>
    </w:p>
    <w:p w14:paraId="23DC2B46">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（七）向采购项目相关人行贿或者提供其他不当利益的；</w:t>
      </w:r>
    </w:p>
    <w:p w14:paraId="179808DE">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（八）阻碍、抗拒主管部门监督检查的；</w:t>
      </w:r>
    </w:p>
    <w:p w14:paraId="62844FF2">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（九）其他违反本条例规定的行为。</w:t>
      </w:r>
    </w:p>
    <w:p w14:paraId="24ED9C4B">
      <w:pPr>
        <w:widowControl/>
        <w:spacing w:after="120"/>
        <w:jc w:val="left"/>
        <w:rPr>
          <w:rFonts w:ascii="Times New Roman" w:hAnsi="Times New Roman" w:eastAsiaTheme="minorEastAsia"/>
          <w:kern w:val="0"/>
          <w:sz w:val="24"/>
          <w:szCs w:val="24"/>
        </w:rPr>
      </w:pPr>
    </w:p>
    <w:p w14:paraId="43F96EBB">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二、《深圳经济特区政府采购条例实施细则》</w:t>
      </w:r>
    </w:p>
    <w:p w14:paraId="197F314A">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第七十五条 供应商有下列情形的，属于采购条例所称的串通投标行为，按照采购条例第五十七条有关规定处理：</w:t>
      </w:r>
    </w:p>
    <w:p w14:paraId="5DE8FAC3">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（一）投标供应商之间相互约定给予未中标的供应商利益补偿；</w:t>
      </w:r>
    </w:p>
    <w:p w14:paraId="458E2E7E">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 xml:space="preserve">（二）不同投标供应商的法定代表人、主要经营负责人、项目投标授权代表人、项目负责人、主要技术人员为同一人、属同一单位或者在同一单位缴纳社会保险；          </w:t>
      </w:r>
    </w:p>
    <w:p w14:paraId="1DFA7079">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（三）不同投标供应商的投标文件由同一单位或者同一人编制，或者由同一人分阶段参与编制的；</w:t>
      </w:r>
    </w:p>
    <w:p w14:paraId="3614A566">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（四）不同投标供应商的投标文件或部分投标文件相互混装；</w:t>
      </w:r>
    </w:p>
    <w:p w14:paraId="6B11F44B">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（五）不同投标供应商的投标文件内容存在非正常一致；</w:t>
      </w:r>
    </w:p>
    <w:p w14:paraId="2E714C4D">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（六）由同一单位工作人员为两家以上（含两家）供应商进行同一项投标活动的；</w:t>
      </w:r>
    </w:p>
    <w:p w14:paraId="64AB0F84">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（七）主管部门依照法律、法规认定的其他情形。</w:t>
      </w:r>
    </w:p>
    <w:p w14:paraId="2EA6442C">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第七十七条 供应商有下列情形之一的，属于隐瞒真实情况，提供虚假资料，按照采购条例第五十七的有关规定处理：</w:t>
      </w:r>
    </w:p>
    <w:p w14:paraId="77B8BFF9">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（一）通过转让或者租借等方式从其他单位获取资格或者资质证书投标的；</w:t>
      </w:r>
    </w:p>
    <w:p w14:paraId="079DD898">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（二）由其他单位或者其他单位负责人在投标供应商编制的投标文件上加盖印章或者签字的；</w:t>
      </w:r>
    </w:p>
    <w:p w14:paraId="6F2C17BB">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（三）项目负责人或者主要技术人员不是本单位人员的；</w:t>
      </w:r>
    </w:p>
    <w:p w14:paraId="6D2EED72">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（四）投标保证金不是从投标供应商基本账户转出的；</w:t>
      </w:r>
    </w:p>
    <w:p w14:paraId="0955C82D">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（五）其他隐瞒真实情况、提供虚假资料的行为。</w:t>
      </w:r>
    </w:p>
    <w:p w14:paraId="70E49C5B">
      <w:pPr>
        <w:spacing w:line="440" w:lineRule="exact"/>
        <w:ind w:firstLine="371" w:firstLineChars="177"/>
        <w:rPr>
          <w:rFonts w:asciiTheme="minorEastAsia" w:hAnsiTheme="minorEastAsia" w:eastAsiaTheme="minorEastAsia"/>
          <w:szCs w:val="21"/>
        </w:rPr>
      </w:pPr>
      <w:r>
        <w:rPr>
          <w:rFonts w:hint="eastAsia" w:asciiTheme="minorEastAsia" w:hAnsiTheme="minorEastAsia" w:eastAsiaTheme="minorEastAsia"/>
          <w:szCs w:val="21"/>
        </w:rPr>
        <w:t>投标供应商不能提供项目负责人或者主要技术人员的劳动合同、社会保险等劳动关系证明材料的，视为存在前款第（三）项规定的情形。</w:t>
      </w:r>
    </w:p>
    <w:p w14:paraId="1BA928ED">
      <w:pPr>
        <w:widowControl/>
        <w:spacing w:after="120"/>
        <w:jc w:val="left"/>
        <w:rPr>
          <w:rFonts w:ascii="Times New Roman" w:hAnsi="Times New Roman" w:eastAsiaTheme="minorEastAsia"/>
          <w:kern w:val="0"/>
          <w:sz w:val="24"/>
          <w:szCs w:val="24"/>
        </w:rPr>
      </w:pPr>
    </w:p>
    <w:p w14:paraId="6CB1AE65">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三、《中华人民共和国政府采购法实施条例》</w:t>
      </w:r>
    </w:p>
    <w:p w14:paraId="72A8D257">
      <w:pPr>
        <w:spacing w:line="440" w:lineRule="exact"/>
        <w:ind w:firstLine="371" w:firstLineChars="177"/>
        <w:rPr>
          <w:rFonts w:asciiTheme="minorEastAsia" w:hAnsiTheme="minorEastAsia" w:eastAsiaTheme="minorEastAsia"/>
          <w:szCs w:val="21"/>
        </w:rPr>
      </w:pPr>
      <w:r>
        <w:rPr>
          <w:rFonts w:hint="eastAsia" w:asciiTheme="minorEastAsia" w:hAnsiTheme="minorEastAsia" w:eastAsiaTheme="minorEastAsia"/>
          <w:szCs w:val="21"/>
        </w:rPr>
        <w:t>第十八条 单位负责人为同一人或者存在直接控股、管理关系的不同供应商，不得参加同一合同项下的政府采购活动。</w:t>
      </w:r>
    </w:p>
    <w:p w14:paraId="3DF2A58F">
      <w:pPr>
        <w:spacing w:line="440" w:lineRule="exact"/>
        <w:ind w:firstLine="371" w:firstLineChars="177"/>
        <w:rPr>
          <w:rFonts w:asciiTheme="minorEastAsia" w:hAnsiTheme="minorEastAsia" w:eastAsiaTheme="minorEastAsia"/>
          <w:szCs w:val="21"/>
        </w:rPr>
      </w:pPr>
      <w:r>
        <w:rPr>
          <w:rFonts w:hint="eastAsia" w:asciiTheme="minorEastAsia" w:hAnsiTheme="minorEastAsia" w:eastAsiaTheme="minorEastAsia"/>
          <w:szCs w:val="21"/>
        </w:rPr>
        <w:t>除单一来源采购项目外，为采购项目提供整体设计、规范编制或者项目管理、监理、检测等服务的供应商，不得再参加该采购项目的其他采购活动。</w:t>
      </w:r>
    </w:p>
    <w:p w14:paraId="6669F63C">
      <w:pPr>
        <w:spacing w:line="440" w:lineRule="exact"/>
        <w:ind w:firstLine="373" w:firstLineChars="177"/>
        <w:rPr>
          <w:rFonts w:asciiTheme="minorEastAsia" w:hAnsiTheme="minorEastAsia" w:eastAsiaTheme="minorEastAsia"/>
          <w:b/>
          <w:color w:val="FF0000"/>
          <w:szCs w:val="21"/>
        </w:rPr>
      </w:pPr>
    </w:p>
    <w:p w14:paraId="46C6857F">
      <w:pPr>
        <w:spacing w:line="440" w:lineRule="exact"/>
        <w:ind w:left="0" w:leftChars="0"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49EA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noWrap w:val="0"/>
            <w:vAlign w:val="center"/>
          </w:tcPr>
          <w:p w14:paraId="6A61BF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7711" w:type="dxa"/>
            <w:noWrap w:val="0"/>
            <w:vAlign w:val="center"/>
          </w:tcPr>
          <w:p w14:paraId="4D67FC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供应商参与投标禁止情形</w:t>
            </w:r>
          </w:p>
        </w:tc>
      </w:tr>
      <w:tr w14:paraId="74CC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09D84C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711" w:type="dxa"/>
            <w:noWrap w:val="0"/>
            <w:vAlign w:val="center"/>
          </w:tcPr>
          <w:p w14:paraId="6FCE3B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lang w:val="en-US" w:eastAsia="zh-CN"/>
              </w:rPr>
              <w:t>同一人、属同一单位或者在同一单位缴纳社会保险</w:t>
            </w:r>
            <w:r>
              <w:rPr>
                <w:rFonts w:hint="eastAsia" w:ascii="宋体" w:hAnsi="宋体" w:eastAsia="宋体" w:cs="宋体"/>
                <w:color w:val="auto"/>
                <w:sz w:val="21"/>
                <w:szCs w:val="21"/>
                <w:highlight w:val="none"/>
                <w:lang w:val="en-US" w:eastAsia="zh-CN"/>
              </w:rPr>
              <w:t>。</w:t>
            </w:r>
          </w:p>
        </w:tc>
      </w:tr>
      <w:tr w14:paraId="1E53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noWrap w:val="0"/>
            <w:vAlign w:val="center"/>
          </w:tcPr>
          <w:p w14:paraId="1472A9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711" w:type="dxa"/>
            <w:noWrap w:val="0"/>
            <w:vAlign w:val="center"/>
          </w:tcPr>
          <w:p w14:paraId="5290C97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参与本项目政府采购活动时，与其他投标供应商存在单位负责人为</w:t>
            </w:r>
            <w:r>
              <w:rPr>
                <w:rFonts w:hint="eastAsia" w:ascii="宋体" w:hAnsi="宋体" w:eastAsia="宋体" w:cs="宋体"/>
                <w:b/>
                <w:bCs/>
                <w:color w:val="auto"/>
                <w:sz w:val="21"/>
                <w:szCs w:val="21"/>
                <w:highlight w:val="none"/>
                <w:lang w:val="en-US" w:eastAsia="zh-CN"/>
              </w:rPr>
              <w:t>同一人或直接控股、管理关系</w:t>
            </w:r>
            <w:r>
              <w:rPr>
                <w:rFonts w:hint="eastAsia" w:ascii="宋体" w:hAnsi="宋体" w:eastAsia="宋体" w:cs="宋体"/>
                <w:color w:val="auto"/>
                <w:sz w:val="21"/>
                <w:szCs w:val="21"/>
                <w:highlight w:val="none"/>
                <w:lang w:val="en-US" w:eastAsia="zh-CN"/>
              </w:rPr>
              <w:t>。</w:t>
            </w:r>
          </w:p>
        </w:tc>
      </w:tr>
      <w:tr w14:paraId="54E9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060E67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711" w:type="dxa"/>
            <w:noWrap w:val="0"/>
            <w:vAlign w:val="center"/>
          </w:tcPr>
          <w:p w14:paraId="43C09C6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与其他投标供应商的投标文件或部分投标文件</w:t>
            </w:r>
            <w:r>
              <w:rPr>
                <w:rFonts w:hint="eastAsia" w:ascii="宋体" w:hAnsi="宋体" w:eastAsia="宋体" w:cs="宋体"/>
                <w:b/>
                <w:bCs/>
                <w:color w:val="auto"/>
                <w:sz w:val="21"/>
                <w:szCs w:val="21"/>
                <w:highlight w:val="none"/>
                <w:lang w:val="en-US" w:eastAsia="zh-CN"/>
              </w:rPr>
              <w:t>相互混装或存在非正常一致</w:t>
            </w:r>
            <w:r>
              <w:rPr>
                <w:rFonts w:hint="eastAsia" w:ascii="宋体" w:hAnsi="宋体" w:eastAsia="宋体" w:cs="宋体"/>
                <w:color w:val="auto"/>
                <w:sz w:val="21"/>
                <w:szCs w:val="21"/>
                <w:highlight w:val="none"/>
                <w:lang w:val="en-US" w:eastAsia="zh-CN"/>
              </w:rPr>
              <w:t>。</w:t>
            </w:r>
          </w:p>
        </w:tc>
      </w:tr>
      <w:tr w14:paraId="5354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1" w:type="dxa"/>
            <w:noWrap w:val="0"/>
            <w:vAlign w:val="center"/>
          </w:tcPr>
          <w:p w14:paraId="5661C2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711" w:type="dxa"/>
            <w:noWrap w:val="0"/>
            <w:vAlign w:val="center"/>
          </w:tcPr>
          <w:p w14:paraId="296F5B3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与其他投标供应商的投标文件由</w:t>
            </w:r>
            <w:r>
              <w:rPr>
                <w:rFonts w:hint="eastAsia" w:ascii="宋体" w:hAnsi="宋体" w:eastAsia="宋体" w:cs="宋体"/>
                <w:b/>
                <w:bCs/>
                <w:color w:val="auto"/>
                <w:sz w:val="21"/>
                <w:szCs w:val="21"/>
                <w:highlight w:val="none"/>
                <w:lang w:val="en-US" w:eastAsia="zh-CN"/>
              </w:rPr>
              <w:t>同一单位或者同一人编制</w:t>
            </w:r>
            <w:r>
              <w:rPr>
                <w:rFonts w:hint="eastAsia" w:ascii="宋体" w:hAnsi="宋体" w:eastAsia="宋体" w:cs="宋体"/>
                <w:color w:val="auto"/>
                <w:sz w:val="21"/>
                <w:szCs w:val="21"/>
                <w:highlight w:val="none"/>
                <w:lang w:val="en-US" w:eastAsia="zh-CN"/>
              </w:rPr>
              <w:t>，或者使用</w:t>
            </w:r>
            <w:r>
              <w:rPr>
                <w:rFonts w:hint="eastAsia" w:ascii="宋体" w:hAnsi="宋体" w:eastAsia="宋体" w:cs="宋体"/>
                <w:b/>
                <w:bCs/>
                <w:color w:val="auto"/>
                <w:sz w:val="21"/>
                <w:szCs w:val="21"/>
                <w:highlight w:val="none"/>
                <w:lang w:val="en-US" w:eastAsia="zh-CN"/>
              </w:rPr>
              <w:t>同一设备编制</w:t>
            </w:r>
            <w:r>
              <w:rPr>
                <w:rFonts w:hint="eastAsia" w:ascii="宋体" w:hAnsi="宋体" w:eastAsia="宋体" w:cs="宋体"/>
                <w:color w:val="auto"/>
                <w:sz w:val="21"/>
                <w:szCs w:val="21"/>
                <w:highlight w:val="none"/>
                <w:lang w:val="en-US" w:eastAsia="zh-CN"/>
              </w:rPr>
              <w:t>（“文件制作机器码”“文件创建标识码”一致）。</w:t>
            </w:r>
          </w:p>
        </w:tc>
      </w:tr>
      <w:tr w14:paraId="7CC9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noWrap w:val="0"/>
            <w:vAlign w:val="center"/>
          </w:tcPr>
          <w:p w14:paraId="2FAF6D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711" w:type="dxa"/>
            <w:noWrap w:val="0"/>
            <w:vAlign w:val="center"/>
          </w:tcPr>
          <w:p w14:paraId="6CC032D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b/>
                <w:bCs/>
                <w:color w:val="auto"/>
                <w:sz w:val="21"/>
                <w:szCs w:val="21"/>
                <w:highlight w:val="none"/>
                <w:lang w:val="en-US" w:eastAsia="zh-CN"/>
              </w:rPr>
              <w:t>未经出具机构核实</w:t>
            </w:r>
            <w:r>
              <w:rPr>
                <w:rFonts w:hint="eastAsia" w:ascii="宋体" w:hAnsi="宋体" w:eastAsia="宋体" w:cs="宋体"/>
                <w:color w:val="auto"/>
                <w:sz w:val="21"/>
                <w:szCs w:val="21"/>
                <w:highlight w:val="none"/>
                <w:lang w:val="en-US" w:eastAsia="zh-CN"/>
              </w:rPr>
              <w:t>的虚假的检验检测报告、业绩材料、社保缴纳证明、学历学位证书、职称认证证书等材料。</w:t>
            </w:r>
          </w:p>
        </w:tc>
      </w:tr>
      <w:tr w14:paraId="4494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noWrap w:val="0"/>
            <w:vAlign w:val="center"/>
          </w:tcPr>
          <w:p w14:paraId="155334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711" w:type="dxa"/>
            <w:noWrap w:val="0"/>
            <w:vAlign w:val="center"/>
          </w:tcPr>
          <w:p w14:paraId="07440E3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擅自将投标密钥</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lang w:val="en-US" w:eastAsia="zh-CN"/>
              </w:rPr>
              <w:t>电子营业执照出借他人使用或未妥善保管。</w:t>
            </w:r>
          </w:p>
        </w:tc>
      </w:tr>
    </w:tbl>
    <w:p w14:paraId="13159908">
      <w:pPr>
        <w:widowControl/>
        <w:jc w:val="center"/>
        <w:rPr>
          <w:rFonts w:hint="eastAsia" w:eastAsia="仿宋"/>
          <w:sz w:val="40"/>
          <w:szCs w:val="40"/>
          <w:lang w:eastAsia="zh-CN"/>
        </w:rPr>
      </w:pPr>
      <w:r>
        <w:rPr>
          <w:rFonts w:hint="eastAsia" w:ascii="仿宋" w:hAnsi="仿宋" w:eastAsia="仿宋"/>
          <w:sz w:val="24"/>
        </w:rPr>
        <w:cr/>
      </w:r>
      <w:r>
        <w:rPr>
          <w:rFonts w:hint="eastAsia" w:eastAsia="仿宋"/>
          <w:sz w:val="40"/>
          <w:szCs w:val="40"/>
          <w:lang w:eastAsia="zh-CN"/>
        </w:rPr>
        <w:t>网络安全等级保护测评服务项目</w:t>
      </w:r>
    </w:p>
    <w:p w14:paraId="00E1F26D">
      <w:pPr>
        <w:pStyle w:val="37"/>
        <w:jc w:val="center"/>
        <w:outlineLvl w:val="1"/>
        <w:rPr>
          <w:rFonts w:ascii="黑体" w:hAnsi="黑体" w:eastAsia="黑体"/>
          <w:sz w:val="40"/>
          <w:szCs w:val="40"/>
        </w:rPr>
      </w:pPr>
      <w:r>
        <w:rPr>
          <w:rFonts w:hint="eastAsia" w:ascii="黑体" w:hAnsi="黑体" w:eastAsia="黑体"/>
          <w:sz w:val="40"/>
          <w:szCs w:val="40"/>
        </w:rPr>
        <w:t>招标文件信息</w:t>
      </w:r>
    </w:p>
    <w:tbl>
      <w:tblPr>
        <w:tblStyle w:val="42"/>
        <w:tblW w:w="7938" w:type="dxa"/>
        <w:jc w:val="center"/>
        <w:tblCellSpacing w:w="0" w:type="dxa"/>
        <w:tblLayout w:type="autofit"/>
        <w:tblCellMar>
          <w:top w:w="45" w:type="dxa"/>
          <w:left w:w="45" w:type="dxa"/>
          <w:bottom w:w="45" w:type="dxa"/>
          <w:right w:w="45" w:type="dxa"/>
        </w:tblCellMar>
      </w:tblPr>
      <w:tblGrid>
        <w:gridCol w:w="2722"/>
        <w:gridCol w:w="5216"/>
      </w:tblGrid>
      <w:tr w14:paraId="0BAA68B3">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6A6F64A4">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项目编号：</w:t>
            </w:r>
          </w:p>
        </w:tc>
        <w:tc>
          <w:tcPr>
            <w:tcW w:w="0" w:type="auto"/>
            <w:vAlign w:val="center"/>
          </w:tcPr>
          <w:p w14:paraId="15E76DBC">
            <w:pPr>
              <w:rPr>
                <w:rFonts w:hint="eastAsia" w:cs="宋体" w:asciiTheme="minorEastAsia" w:hAnsiTheme="minorEastAsia" w:eastAsiaTheme="minorEastAsia"/>
                <w:sz w:val="30"/>
                <w:szCs w:val="30"/>
                <w:lang w:eastAsia="zh-CN"/>
              </w:rPr>
            </w:pPr>
            <w:r>
              <w:rPr>
                <w:rFonts w:hint="eastAsia" w:asciiTheme="minorEastAsia" w:hAnsiTheme="minorEastAsia" w:eastAsiaTheme="minorEastAsia"/>
                <w:sz w:val="30"/>
                <w:szCs w:val="30"/>
                <w:lang w:eastAsia="zh-CN"/>
              </w:rPr>
              <w:t>PSZXDL-2025-00120</w:t>
            </w:r>
          </w:p>
        </w:tc>
      </w:tr>
      <w:tr w14:paraId="7BC59DFB">
        <w:tblPrEx>
          <w:tblCellMar>
            <w:top w:w="45" w:type="dxa"/>
            <w:left w:w="45" w:type="dxa"/>
            <w:bottom w:w="45" w:type="dxa"/>
            <w:right w:w="45" w:type="dxa"/>
          </w:tblCellMar>
        </w:tblPrEx>
        <w:trPr>
          <w:trHeight w:val="737" w:hRule="atLeast"/>
          <w:tblCellSpacing w:w="0" w:type="dxa"/>
          <w:jc w:val="center"/>
        </w:trPr>
        <w:tc>
          <w:tcPr>
            <w:tcW w:w="0" w:type="auto"/>
            <w:vAlign w:val="center"/>
          </w:tcPr>
          <w:p w14:paraId="540C1451">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项目名称：</w:t>
            </w:r>
          </w:p>
        </w:tc>
        <w:tc>
          <w:tcPr>
            <w:tcW w:w="0" w:type="auto"/>
            <w:vAlign w:val="center"/>
          </w:tcPr>
          <w:p w14:paraId="78C13A4B">
            <w:pPr>
              <w:rPr>
                <w:rFonts w:hint="eastAsia" w:cs="宋体" w:asciiTheme="minorEastAsia" w:hAnsiTheme="minorEastAsia" w:eastAsiaTheme="minorEastAsia"/>
                <w:sz w:val="30"/>
                <w:szCs w:val="30"/>
                <w:lang w:eastAsia="zh-CN"/>
              </w:rPr>
            </w:pPr>
            <w:r>
              <w:rPr>
                <w:rFonts w:hint="eastAsia" w:asciiTheme="minorEastAsia" w:hAnsiTheme="minorEastAsia" w:eastAsiaTheme="minorEastAsia"/>
                <w:sz w:val="30"/>
                <w:szCs w:val="30"/>
                <w:lang w:eastAsia="zh-CN"/>
              </w:rPr>
              <w:t>网络安全等级保护测评服务项目</w:t>
            </w:r>
          </w:p>
        </w:tc>
      </w:tr>
      <w:tr w14:paraId="7BF22C04">
        <w:tblPrEx>
          <w:tblCellMar>
            <w:top w:w="45" w:type="dxa"/>
            <w:left w:w="45" w:type="dxa"/>
            <w:bottom w:w="45" w:type="dxa"/>
            <w:right w:w="45" w:type="dxa"/>
          </w:tblCellMar>
        </w:tblPrEx>
        <w:trPr>
          <w:trHeight w:val="737" w:hRule="atLeast"/>
          <w:tblCellSpacing w:w="0" w:type="dxa"/>
          <w:jc w:val="center"/>
        </w:trPr>
        <w:tc>
          <w:tcPr>
            <w:tcW w:w="0" w:type="auto"/>
            <w:vAlign w:val="center"/>
          </w:tcPr>
          <w:p w14:paraId="311F04F5">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包 号：</w:t>
            </w:r>
          </w:p>
        </w:tc>
        <w:tc>
          <w:tcPr>
            <w:tcW w:w="0" w:type="auto"/>
            <w:vAlign w:val="center"/>
          </w:tcPr>
          <w:p w14:paraId="64D0197F">
            <w:pPr>
              <w:rPr>
                <w:rFonts w:cs="宋体" w:asciiTheme="minorEastAsia" w:hAnsiTheme="minorEastAsia" w:eastAsiaTheme="minorEastAsia"/>
                <w:sz w:val="30"/>
                <w:szCs w:val="30"/>
              </w:rPr>
            </w:pPr>
            <w:r>
              <w:rPr>
                <w:rFonts w:asciiTheme="minorEastAsia" w:hAnsiTheme="minorEastAsia" w:eastAsiaTheme="minorEastAsia"/>
                <w:sz w:val="30"/>
                <w:szCs w:val="30"/>
              </w:rPr>
              <w:t>A</w:t>
            </w:r>
          </w:p>
        </w:tc>
      </w:tr>
      <w:tr w14:paraId="5AAEC12D">
        <w:tblPrEx>
          <w:tblCellMar>
            <w:top w:w="45" w:type="dxa"/>
            <w:left w:w="45" w:type="dxa"/>
            <w:bottom w:w="45" w:type="dxa"/>
            <w:right w:w="45" w:type="dxa"/>
          </w:tblCellMar>
        </w:tblPrEx>
        <w:trPr>
          <w:trHeight w:val="737" w:hRule="atLeast"/>
          <w:tblCellSpacing w:w="0" w:type="dxa"/>
          <w:jc w:val="center"/>
        </w:trPr>
        <w:tc>
          <w:tcPr>
            <w:tcW w:w="0" w:type="auto"/>
            <w:vAlign w:val="center"/>
          </w:tcPr>
          <w:p w14:paraId="08370348">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项目类型：</w:t>
            </w:r>
          </w:p>
        </w:tc>
        <w:tc>
          <w:tcPr>
            <w:tcW w:w="0" w:type="auto"/>
            <w:vAlign w:val="center"/>
          </w:tcPr>
          <w:p w14:paraId="2B3DE53C">
            <w:pPr>
              <w:rPr>
                <w:rFonts w:cs="宋体" w:asciiTheme="minorEastAsia" w:hAnsiTheme="minorEastAsia" w:eastAsiaTheme="minorEastAsia"/>
                <w:sz w:val="30"/>
                <w:szCs w:val="30"/>
              </w:rPr>
            </w:pPr>
            <w:r>
              <w:rPr>
                <w:rFonts w:asciiTheme="minorEastAsia" w:hAnsiTheme="minorEastAsia" w:eastAsiaTheme="minorEastAsia"/>
                <w:sz w:val="30"/>
                <w:szCs w:val="30"/>
              </w:rPr>
              <w:t>服务类</w:t>
            </w:r>
          </w:p>
        </w:tc>
      </w:tr>
      <w:tr w14:paraId="6076B588">
        <w:tblPrEx>
          <w:tblCellMar>
            <w:top w:w="45" w:type="dxa"/>
            <w:left w:w="45" w:type="dxa"/>
            <w:bottom w:w="45" w:type="dxa"/>
            <w:right w:w="45" w:type="dxa"/>
          </w:tblCellMar>
        </w:tblPrEx>
        <w:trPr>
          <w:trHeight w:val="737" w:hRule="atLeast"/>
          <w:tblCellSpacing w:w="0" w:type="dxa"/>
          <w:jc w:val="center"/>
        </w:trPr>
        <w:tc>
          <w:tcPr>
            <w:tcW w:w="0" w:type="auto"/>
            <w:vAlign w:val="center"/>
          </w:tcPr>
          <w:p w14:paraId="5DCA4E6F">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采购方式：</w:t>
            </w:r>
          </w:p>
        </w:tc>
        <w:tc>
          <w:tcPr>
            <w:tcW w:w="0" w:type="auto"/>
            <w:vAlign w:val="center"/>
          </w:tcPr>
          <w:p w14:paraId="26AA52CC">
            <w:pPr>
              <w:rPr>
                <w:rFonts w:cs="宋体" w:asciiTheme="minorEastAsia" w:hAnsiTheme="minorEastAsia" w:eastAsiaTheme="minorEastAsia"/>
                <w:sz w:val="30"/>
                <w:szCs w:val="30"/>
              </w:rPr>
            </w:pPr>
            <w:r>
              <w:rPr>
                <w:rFonts w:asciiTheme="minorEastAsia" w:hAnsiTheme="minorEastAsia" w:eastAsiaTheme="minorEastAsia"/>
                <w:sz w:val="30"/>
                <w:szCs w:val="30"/>
              </w:rPr>
              <w:t>公开招标</w:t>
            </w:r>
          </w:p>
        </w:tc>
      </w:tr>
      <w:tr w14:paraId="6011E112">
        <w:tblPrEx>
          <w:tblCellMar>
            <w:top w:w="45" w:type="dxa"/>
            <w:left w:w="45" w:type="dxa"/>
            <w:bottom w:w="45" w:type="dxa"/>
            <w:right w:w="45" w:type="dxa"/>
          </w:tblCellMar>
        </w:tblPrEx>
        <w:trPr>
          <w:trHeight w:val="737" w:hRule="atLeast"/>
          <w:tblCellSpacing w:w="0" w:type="dxa"/>
          <w:jc w:val="center"/>
        </w:trPr>
        <w:tc>
          <w:tcPr>
            <w:tcW w:w="0" w:type="auto"/>
            <w:vAlign w:val="center"/>
          </w:tcPr>
          <w:p w14:paraId="279F7F07">
            <w:pPr>
              <w:jc w:val="right"/>
              <w:rPr>
                <w:rFonts w:ascii="宋体" w:hAnsi="宋体" w:cs="宋体"/>
                <w:sz w:val="30"/>
                <w:szCs w:val="30"/>
              </w:rPr>
            </w:pPr>
            <w:r>
              <w:rPr>
                <w:sz w:val="30"/>
                <w:szCs w:val="30"/>
              </w:rPr>
              <w:t>货币类型：</w:t>
            </w:r>
          </w:p>
        </w:tc>
        <w:tc>
          <w:tcPr>
            <w:tcW w:w="0" w:type="auto"/>
            <w:vAlign w:val="center"/>
          </w:tcPr>
          <w:p w14:paraId="3F5BBB4D">
            <w:pPr>
              <w:rPr>
                <w:rFonts w:ascii="宋体" w:hAnsi="宋体" w:cs="宋体"/>
                <w:sz w:val="30"/>
                <w:szCs w:val="30"/>
              </w:rPr>
            </w:pPr>
            <w:r>
              <w:rPr>
                <w:sz w:val="30"/>
                <w:szCs w:val="30"/>
              </w:rPr>
              <w:t>人民币</w:t>
            </w:r>
          </w:p>
        </w:tc>
      </w:tr>
      <w:tr w14:paraId="55E34971">
        <w:tblPrEx>
          <w:tblCellMar>
            <w:top w:w="45" w:type="dxa"/>
            <w:left w:w="45" w:type="dxa"/>
            <w:bottom w:w="45" w:type="dxa"/>
            <w:right w:w="45" w:type="dxa"/>
          </w:tblCellMar>
        </w:tblPrEx>
        <w:trPr>
          <w:trHeight w:val="737" w:hRule="atLeast"/>
          <w:tblCellSpacing w:w="0" w:type="dxa"/>
          <w:jc w:val="center"/>
        </w:trPr>
        <w:tc>
          <w:tcPr>
            <w:tcW w:w="0" w:type="auto"/>
            <w:vAlign w:val="center"/>
          </w:tcPr>
          <w:p w14:paraId="3E3C740A">
            <w:pPr>
              <w:jc w:val="right"/>
              <w:rPr>
                <w:rFonts w:ascii="宋体" w:hAnsi="宋体" w:cs="宋体"/>
                <w:sz w:val="30"/>
                <w:szCs w:val="30"/>
              </w:rPr>
            </w:pPr>
            <w:r>
              <w:rPr>
                <w:sz w:val="30"/>
                <w:szCs w:val="30"/>
              </w:rPr>
              <w:t>评标方法：</w:t>
            </w:r>
          </w:p>
        </w:tc>
        <w:tc>
          <w:tcPr>
            <w:tcW w:w="0" w:type="auto"/>
            <w:vAlign w:val="center"/>
          </w:tcPr>
          <w:p w14:paraId="029CDD2C">
            <w:pPr>
              <w:rPr>
                <w:rFonts w:ascii="宋体" w:hAnsi="宋体" w:cs="宋体"/>
                <w:sz w:val="30"/>
                <w:szCs w:val="30"/>
              </w:rPr>
            </w:pPr>
            <w:r>
              <w:rPr>
                <w:sz w:val="30"/>
                <w:szCs w:val="30"/>
              </w:rPr>
              <w:t>综合评分法（新价格分算法）</w:t>
            </w:r>
          </w:p>
        </w:tc>
      </w:tr>
    </w:tbl>
    <w:p w14:paraId="3AA75D2E">
      <w:pPr>
        <w:pStyle w:val="37"/>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38CD97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6BF7D59">
            <w:pPr>
              <w:jc w:val="center"/>
              <w:rPr>
                <w:rFonts w:hint="eastAsia" w:ascii="宋体" w:hAnsi="宋体" w:eastAsia="宋体" w:cs="宋体"/>
                <w:sz w:val="28"/>
                <w:szCs w:val="28"/>
              </w:rPr>
            </w:pPr>
            <w:r>
              <w:rPr>
                <w:rFonts w:hint="eastAsia" w:ascii="宋体" w:hAnsi="宋体" w:eastAsia="宋体" w:cs="宋体"/>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509CA1C4">
            <w:pPr>
              <w:jc w:val="center"/>
              <w:rPr>
                <w:rFonts w:hint="eastAsia" w:ascii="宋体" w:hAnsi="宋体" w:eastAsia="宋体" w:cs="宋体"/>
                <w:sz w:val="28"/>
                <w:szCs w:val="28"/>
              </w:rPr>
            </w:pPr>
            <w:r>
              <w:rPr>
                <w:rFonts w:hint="eastAsia" w:ascii="宋体" w:hAnsi="宋体" w:eastAsia="宋体" w:cs="宋体"/>
                <w:sz w:val="28"/>
                <w:szCs w:val="28"/>
              </w:rPr>
              <w:t>内容</w:t>
            </w:r>
          </w:p>
        </w:tc>
      </w:tr>
      <w:tr w14:paraId="08548A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4B78B5EF">
            <w:pPr>
              <w:jc w:val="center"/>
              <w:rPr>
                <w:rFonts w:hint="eastAsia" w:ascii="宋体" w:hAnsi="宋体" w:eastAsia="宋体" w:cs="宋体"/>
                <w:szCs w:val="21"/>
              </w:rPr>
            </w:pPr>
            <w:r>
              <w:rPr>
                <w:rFonts w:hint="eastAsia" w:ascii="宋体" w:hAnsi="宋体" w:eastAsia="宋体" w:cs="宋体"/>
                <w:szCs w:val="21"/>
              </w:rPr>
              <w:t>1</w:t>
            </w:r>
          </w:p>
        </w:tc>
        <w:tc>
          <w:tcPr>
            <w:tcW w:w="0" w:type="auto"/>
            <w:tcBorders>
              <w:top w:val="single" w:color="000000" w:sz="8" w:space="0"/>
              <w:left w:val="single" w:color="000000" w:sz="8" w:space="0"/>
              <w:bottom w:val="single" w:color="000000" w:sz="8" w:space="0"/>
              <w:right w:val="single" w:color="000000" w:sz="8" w:space="0"/>
            </w:tcBorders>
          </w:tcPr>
          <w:p w14:paraId="14D4D210">
            <w:pPr>
              <w:rPr>
                <w:rFonts w:hint="eastAsia" w:ascii="宋体" w:hAnsi="宋体" w:eastAsia="宋体" w:cs="宋体"/>
                <w:szCs w:val="21"/>
              </w:rPr>
            </w:pPr>
            <w:r>
              <w:rPr>
                <w:rFonts w:hint="eastAsia" w:ascii="宋体" w:hAnsi="宋体" w:eastAsia="宋体" w:cs="宋体"/>
                <w:szCs w:val="21"/>
              </w:rPr>
              <w:t>投标人具备招标文件所列的资格要求，且提交相应的资格证明资料（详见招标公告</w:t>
            </w:r>
            <w:r>
              <w:rPr>
                <w:rFonts w:hint="eastAsia" w:ascii="宋体" w:hAnsi="宋体" w:eastAsia="宋体" w:cs="宋体"/>
              </w:rPr>
              <w:t>申请人的资格要求</w:t>
            </w:r>
            <w:r>
              <w:rPr>
                <w:rFonts w:hint="eastAsia" w:ascii="宋体" w:hAnsi="宋体" w:eastAsia="宋体" w:cs="宋体"/>
                <w:szCs w:val="21"/>
              </w:rPr>
              <w:t>）</w:t>
            </w:r>
          </w:p>
        </w:tc>
      </w:tr>
    </w:tbl>
    <w:p w14:paraId="267C1539">
      <w:pPr>
        <w:pStyle w:val="37"/>
        <w:spacing w:before="280" w:beforeAutospacing="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7BD0F0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E1116A5">
            <w:pPr>
              <w:jc w:val="center"/>
              <w:rPr>
                <w:rFonts w:hint="eastAsia" w:ascii="宋体" w:hAnsi="宋体" w:eastAsia="宋体" w:cs="宋体"/>
                <w:sz w:val="28"/>
                <w:szCs w:val="28"/>
              </w:rPr>
            </w:pPr>
            <w:r>
              <w:rPr>
                <w:rFonts w:hint="eastAsia" w:ascii="宋体" w:hAnsi="宋体" w:eastAsia="宋体" w:cs="宋体"/>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53A44174">
            <w:pPr>
              <w:jc w:val="center"/>
              <w:rPr>
                <w:rFonts w:hint="eastAsia" w:ascii="宋体" w:hAnsi="宋体" w:eastAsia="宋体" w:cs="宋体"/>
                <w:sz w:val="28"/>
                <w:szCs w:val="28"/>
              </w:rPr>
            </w:pPr>
            <w:r>
              <w:rPr>
                <w:rFonts w:hint="eastAsia" w:ascii="宋体" w:hAnsi="宋体" w:eastAsia="宋体" w:cs="宋体"/>
                <w:sz w:val="28"/>
                <w:szCs w:val="28"/>
              </w:rPr>
              <w:t>内容</w:t>
            </w:r>
          </w:p>
        </w:tc>
      </w:tr>
      <w:tr w14:paraId="2BA87F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4ED2F411">
            <w:pPr>
              <w:jc w:val="center"/>
              <w:rPr>
                <w:rFonts w:hint="eastAsia" w:ascii="宋体" w:hAnsi="宋体" w:eastAsia="宋体" w:cs="宋体"/>
                <w:szCs w:val="21"/>
              </w:rPr>
            </w:pPr>
            <w:r>
              <w:rPr>
                <w:rFonts w:hint="eastAsia" w:ascii="宋体" w:hAnsi="宋体" w:eastAsia="宋体" w:cs="宋体"/>
                <w:szCs w:val="21"/>
              </w:rPr>
              <w:t>1</w:t>
            </w:r>
          </w:p>
        </w:tc>
        <w:tc>
          <w:tcPr>
            <w:tcW w:w="0" w:type="auto"/>
            <w:tcBorders>
              <w:top w:val="single" w:color="000000" w:sz="8" w:space="0"/>
              <w:left w:val="single" w:color="000000" w:sz="8" w:space="0"/>
              <w:bottom w:val="single" w:color="000000" w:sz="8" w:space="0"/>
              <w:right w:val="single" w:color="000000" w:sz="8" w:space="0"/>
            </w:tcBorders>
          </w:tcPr>
          <w:p w14:paraId="6D6B4C47">
            <w:pPr>
              <w:rPr>
                <w:rFonts w:hint="eastAsia" w:ascii="宋体" w:hAnsi="宋体" w:eastAsia="宋体" w:cs="宋体"/>
                <w:szCs w:val="21"/>
              </w:rPr>
            </w:pPr>
            <w:r>
              <w:rPr>
                <w:rFonts w:hint="eastAsia" w:ascii="宋体" w:hAnsi="宋体" w:eastAsia="宋体" w:cs="宋体"/>
                <w:szCs w:val="21"/>
              </w:rPr>
              <w:t>未将一个包或一个标段的内容拆开投标</w:t>
            </w:r>
          </w:p>
        </w:tc>
      </w:tr>
      <w:tr w14:paraId="5E0E14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4A6B3583">
            <w:pPr>
              <w:jc w:val="center"/>
              <w:rPr>
                <w:rFonts w:hint="eastAsia" w:ascii="宋体" w:hAnsi="宋体" w:eastAsia="宋体" w:cs="宋体"/>
                <w:szCs w:val="21"/>
              </w:rPr>
            </w:pPr>
            <w:r>
              <w:rPr>
                <w:rFonts w:hint="eastAsia" w:ascii="宋体" w:hAnsi="宋体" w:eastAsia="宋体" w:cs="宋体"/>
                <w:szCs w:val="21"/>
              </w:rPr>
              <w:t>2</w:t>
            </w:r>
          </w:p>
        </w:tc>
        <w:tc>
          <w:tcPr>
            <w:tcW w:w="0" w:type="auto"/>
            <w:tcBorders>
              <w:top w:val="single" w:color="000000" w:sz="8" w:space="0"/>
              <w:left w:val="single" w:color="000000" w:sz="8" w:space="0"/>
              <w:bottom w:val="single" w:color="000000" w:sz="8" w:space="0"/>
              <w:right w:val="single" w:color="000000" w:sz="8" w:space="0"/>
            </w:tcBorders>
          </w:tcPr>
          <w:p w14:paraId="60FDEE76">
            <w:pPr>
              <w:rPr>
                <w:rFonts w:hint="eastAsia" w:ascii="宋体" w:hAnsi="宋体" w:eastAsia="宋体" w:cs="宋体"/>
                <w:szCs w:val="21"/>
              </w:rPr>
            </w:pPr>
            <w:r>
              <w:rPr>
                <w:rFonts w:hint="eastAsia" w:ascii="宋体" w:hAnsi="宋体" w:eastAsia="宋体" w:cs="宋体"/>
                <w:szCs w:val="21"/>
              </w:rPr>
              <w:t>对同一项目投标时，未提供两套及以上的投标方案（招标文件另有规定的除外）</w:t>
            </w:r>
          </w:p>
        </w:tc>
      </w:tr>
      <w:tr w14:paraId="61C7FD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43A4CE1C">
            <w:pPr>
              <w:jc w:val="center"/>
              <w:rPr>
                <w:rFonts w:hint="eastAsia" w:ascii="宋体" w:hAnsi="宋体" w:eastAsia="宋体" w:cs="宋体"/>
                <w:szCs w:val="21"/>
              </w:rPr>
            </w:pPr>
            <w:r>
              <w:rPr>
                <w:rFonts w:hint="eastAsia" w:ascii="宋体" w:hAnsi="宋体" w:eastAsia="宋体" w:cs="宋体"/>
                <w:szCs w:val="21"/>
              </w:rPr>
              <w:t>3</w:t>
            </w:r>
          </w:p>
        </w:tc>
        <w:tc>
          <w:tcPr>
            <w:tcW w:w="0" w:type="auto"/>
            <w:tcBorders>
              <w:top w:val="single" w:color="000000" w:sz="8" w:space="0"/>
              <w:left w:val="single" w:color="000000" w:sz="8" w:space="0"/>
              <w:bottom w:val="single" w:color="000000" w:sz="8" w:space="0"/>
              <w:right w:val="single" w:color="000000" w:sz="8" w:space="0"/>
            </w:tcBorders>
          </w:tcPr>
          <w:p w14:paraId="49603B63">
            <w:pPr>
              <w:rPr>
                <w:rFonts w:hint="eastAsia" w:ascii="宋体" w:hAnsi="宋体" w:eastAsia="宋体" w:cs="宋体"/>
                <w:szCs w:val="21"/>
              </w:rPr>
            </w:pPr>
            <w:r>
              <w:rPr>
                <w:rFonts w:hint="eastAsia" w:ascii="宋体" w:hAnsi="宋体" w:eastAsia="宋体" w:cs="宋体"/>
                <w:szCs w:val="21"/>
              </w:rPr>
              <w:t>分项报价或投标总价未超过相应预算金额或最高投标限价</w:t>
            </w:r>
          </w:p>
        </w:tc>
      </w:tr>
      <w:tr w14:paraId="6BE199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2538059B">
            <w:pPr>
              <w:jc w:val="center"/>
              <w:rPr>
                <w:rFonts w:hint="eastAsia" w:ascii="宋体" w:hAnsi="宋体" w:eastAsia="宋体" w:cs="宋体"/>
                <w:szCs w:val="21"/>
              </w:rPr>
            </w:pPr>
            <w:r>
              <w:rPr>
                <w:rFonts w:hint="eastAsia" w:ascii="宋体" w:hAnsi="宋体" w:eastAsia="宋体" w:cs="宋体"/>
                <w:szCs w:val="21"/>
              </w:rPr>
              <w:t>4</w:t>
            </w:r>
          </w:p>
        </w:tc>
        <w:tc>
          <w:tcPr>
            <w:tcW w:w="0" w:type="auto"/>
            <w:tcBorders>
              <w:top w:val="single" w:color="000000" w:sz="8" w:space="0"/>
              <w:left w:val="single" w:color="000000" w:sz="8" w:space="0"/>
              <w:bottom w:val="single" w:color="000000" w:sz="8" w:space="0"/>
              <w:right w:val="single" w:color="000000" w:sz="8" w:space="0"/>
            </w:tcBorders>
          </w:tcPr>
          <w:p w14:paraId="3AD229D7">
            <w:pPr>
              <w:rPr>
                <w:rFonts w:hint="eastAsia" w:ascii="宋体" w:hAnsi="宋体" w:eastAsia="宋体" w:cs="宋体"/>
                <w:szCs w:val="21"/>
              </w:rPr>
            </w:pPr>
            <w:r>
              <w:rPr>
                <w:rFonts w:hint="eastAsia" w:ascii="宋体" w:hAnsi="宋体" w:eastAsia="宋体" w:cs="宋体"/>
                <w:szCs w:val="21"/>
              </w:rPr>
              <w:t>如评标委员会认为投标人的报价明显低于其他通过符合性审查投标人的报价，有可能影响产品质量或者不能诚信履约的，应当要求其在评标现场合理的时间内提供书面说明，必要时提交相关证明材料；投标人应证明其报价合理性（评审委员会成员对投标人提供的说明材料判断不一致的，按照“少数服从多数”的原则确定评审委员会的意见）</w:t>
            </w:r>
          </w:p>
        </w:tc>
      </w:tr>
      <w:tr w14:paraId="1C03F0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2090450B">
            <w:pPr>
              <w:jc w:val="center"/>
              <w:rPr>
                <w:rFonts w:hint="eastAsia" w:ascii="宋体" w:hAnsi="宋体" w:eastAsia="宋体" w:cs="宋体"/>
                <w:szCs w:val="21"/>
              </w:rPr>
            </w:pPr>
            <w:r>
              <w:rPr>
                <w:rFonts w:hint="eastAsia" w:ascii="宋体" w:hAnsi="宋体" w:eastAsia="宋体" w:cs="宋体"/>
                <w:szCs w:val="21"/>
              </w:rPr>
              <w:t>5</w:t>
            </w:r>
          </w:p>
        </w:tc>
        <w:tc>
          <w:tcPr>
            <w:tcW w:w="0" w:type="auto"/>
            <w:tcBorders>
              <w:top w:val="single" w:color="000000" w:sz="8" w:space="0"/>
              <w:left w:val="single" w:color="000000" w:sz="8" w:space="0"/>
              <w:bottom w:val="single" w:color="000000" w:sz="8" w:space="0"/>
              <w:right w:val="single" w:color="000000" w:sz="8" w:space="0"/>
            </w:tcBorders>
          </w:tcPr>
          <w:p w14:paraId="3E92962B">
            <w:pPr>
              <w:rPr>
                <w:rFonts w:hint="eastAsia" w:ascii="宋体" w:hAnsi="宋体" w:eastAsia="宋体" w:cs="宋体"/>
                <w:szCs w:val="21"/>
              </w:rPr>
            </w:pPr>
            <w:r>
              <w:rPr>
                <w:rFonts w:hint="eastAsia" w:ascii="宋体" w:hAnsi="宋体" w:eastAsia="宋体" w:cs="宋体"/>
                <w:szCs w:val="21"/>
              </w:rPr>
              <w:t>投标报价满足招标文件报价要求且无缺漏项目</w:t>
            </w:r>
          </w:p>
        </w:tc>
      </w:tr>
      <w:tr w14:paraId="67E2D8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73548D39">
            <w:pPr>
              <w:jc w:val="center"/>
              <w:rPr>
                <w:rFonts w:hint="eastAsia" w:ascii="宋体" w:hAnsi="宋体" w:eastAsia="宋体" w:cs="宋体"/>
                <w:szCs w:val="21"/>
              </w:rPr>
            </w:pPr>
            <w:r>
              <w:rPr>
                <w:rFonts w:hint="eastAsia" w:ascii="宋体" w:hAnsi="宋体" w:eastAsia="宋体" w:cs="宋体"/>
                <w:szCs w:val="21"/>
              </w:rPr>
              <w:t>6</w:t>
            </w:r>
          </w:p>
        </w:tc>
        <w:tc>
          <w:tcPr>
            <w:tcW w:w="0" w:type="auto"/>
            <w:tcBorders>
              <w:top w:val="single" w:color="000000" w:sz="8" w:space="0"/>
              <w:left w:val="single" w:color="000000" w:sz="8" w:space="0"/>
              <w:bottom w:val="single" w:color="000000" w:sz="8" w:space="0"/>
              <w:right w:val="single" w:color="000000" w:sz="8" w:space="0"/>
            </w:tcBorders>
          </w:tcPr>
          <w:p w14:paraId="53FA6FB9">
            <w:pPr>
              <w:rPr>
                <w:rFonts w:hint="eastAsia" w:ascii="宋体" w:hAnsi="宋体" w:eastAsia="宋体" w:cs="宋体"/>
                <w:szCs w:val="21"/>
              </w:rPr>
            </w:pPr>
            <w:r>
              <w:rPr>
                <w:rFonts w:hint="eastAsia" w:ascii="宋体" w:hAnsi="宋体" w:eastAsia="宋体" w:cs="宋体"/>
                <w:szCs w:val="21"/>
              </w:rPr>
              <w:t>投标文件不存在</w:t>
            </w:r>
            <w:r>
              <w:rPr>
                <w:rFonts w:hint="eastAsia" w:ascii="宋体" w:hAnsi="宋体" w:eastAsia="宋体" w:cs="宋体"/>
              </w:rPr>
              <w:t>对招标文件规定的货物或服务或工程量清单的项目或数量进行修改，评标委员会判定投标响应不满足采购需求的情形</w:t>
            </w:r>
          </w:p>
        </w:tc>
      </w:tr>
      <w:tr w14:paraId="49418E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3827A534">
            <w:pPr>
              <w:jc w:val="center"/>
              <w:rPr>
                <w:rFonts w:hint="eastAsia" w:ascii="宋体" w:hAnsi="宋体" w:eastAsia="宋体" w:cs="宋体"/>
                <w:szCs w:val="21"/>
              </w:rPr>
            </w:pPr>
            <w:r>
              <w:rPr>
                <w:rFonts w:hint="eastAsia" w:ascii="宋体" w:hAnsi="宋体" w:eastAsia="宋体" w:cs="宋体"/>
                <w:szCs w:val="21"/>
              </w:rPr>
              <w:t>7</w:t>
            </w:r>
          </w:p>
        </w:tc>
        <w:tc>
          <w:tcPr>
            <w:tcW w:w="0" w:type="auto"/>
            <w:tcBorders>
              <w:top w:val="single" w:color="000000" w:sz="8" w:space="0"/>
              <w:left w:val="single" w:color="000000" w:sz="8" w:space="0"/>
              <w:bottom w:val="single" w:color="000000" w:sz="8" w:space="0"/>
              <w:right w:val="single" w:color="000000" w:sz="8" w:space="0"/>
            </w:tcBorders>
          </w:tcPr>
          <w:p w14:paraId="231B6F3F">
            <w:pPr>
              <w:rPr>
                <w:rFonts w:hint="eastAsia" w:ascii="宋体" w:hAnsi="宋体" w:eastAsia="宋体" w:cs="宋体"/>
                <w:szCs w:val="21"/>
              </w:rPr>
            </w:pPr>
            <w:r>
              <w:rPr>
                <w:rFonts w:hint="eastAsia" w:ascii="宋体" w:hAnsi="宋体" w:eastAsia="宋体" w:cs="宋体"/>
                <w:szCs w:val="21"/>
              </w:rPr>
              <w:t>所投产品、工程、服务在商务、技术等方面实质性满足招标文件要求（是否实质性满足招标文件要求，由评标委员会根据《实质性条款响应情况表》做出评判）</w:t>
            </w:r>
          </w:p>
        </w:tc>
      </w:tr>
      <w:tr w14:paraId="4D5740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1A7A9FF6">
            <w:pPr>
              <w:jc w:val="center"/>
              <w:rPr>
                <w:rFonts w:hint="eastAsia" w:ascii="宋体" w:hAnsi="宋体" w:eastAsia="宋体" w:cs="宋体"/>
                <w:szCs w:val="21"/>
              </w:rPr>
            </w:pPr>
            <w:r>
              <w:rPr>
                <w:rFonts w:hint="eastAsia" w:ascii="宋体" w:hAnsi="宋体" w:eastAsia="宋体" w:cs="宋体"/>
                <w:szCs w:val="21"/>
              </w:rPr>
              <w:t>8</w:t>
            </w:r>
          </w:p>
        </w:tc>
        <w:tc>
          <w:tcPr>
            <w:tcW w:w="0" w:type="auto"/>
            <w:tcBorders>
              <w:top w:val="single" w:color="000000" w:sz="8" w:space="0"/>
              <w:left w:val="single" w:color="000000" w:sz="8" w:space="0"/>
              <w:bottom w:val="single" w:color="000000" w:sz="8" w:space="0"/>
              <w:right w:val="single" w:color="000000" w:sz="8" w:space="0"/>
            </w:tcBorders>
          </w:tcPr>
          <w:p w14:paraId="651334FD">
            <w:pPr>
              <w:rPr>
                <w:rFonts w:hint="eastAsia" w:ascii="宋体" w:hAnsi="宋体" w:eastAsia="宋体" w:cs="宋体"/>
                <w:szCs w:val="21"/>
              </w:rPr>
            </w:pPr>
            <w:r>
              <w:rPr>
                <w:rFonts w:hint="eastAsia" w:ascii="宋体" w:hAnsi="宋体" w:eastAsia="宋体" w:cs="宋体"/>
                <w:szCs w:val="21"/>
              </w:rPr>
              <w:t>按招标文件所提供的样</w:t>
            </w:r>
            <w:r>
              <w:rPr>
                <w:rFonts w:hint="eastAsia" w:ascii="宋体" w:hAnsi="宋体" w:eastAsia="宋体" w:cs="宋体"/>
                <w:szCs w:val="21"/>
                <w:highlight w:val="none"/>
              </w:rPr>
              <w:t>式填写《投标函》；按招标文件所提供的《政府采购投标及履约承诺函》进行承诺；</w:t>
            </w:r>
            <w:r>
              <w:rPr>
                <w:rFonts w:hint="eastAsia" w:ascii="宋体" w:hAnsi="宋体" w:cs="宋体"/>
                <w:szCs w:val="21"/>
                <w:highlight w:val="none"/>
                <w:lang w:eastAsia="zh-CN"/>
              </w:rPr>
              <w:t>并</w:t>
            </w:r>
            <w:r>
              <w:rPr>
                <w:rFonts w:hint="eastAsia" w:ascii="宋体" w:hAnsi="宋体" w:eastAsia="宋体" w:cs="宋体"/>
                <w:szCs w:val="21"/>
                <w:highlight w:val="none"/>
              </w:rPr>
              <w:t>按招标文件对投标文件组成的要求提供投标文件（投标文件组成完整）</w:t>
            </w:r>
          </w:p>
        </w:tc>
      </w:tr>
      <w:tr w14:paraId="77F96E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556F3402">
            <w:pPr>
              <w:jc w:val="center"/>
              <w:rPr>
                <w:rFonts w:hint="eastAsia" w:ascii="宋体" w:hAnsi="宋体" w:eastAsia="宋体" w:cs="宋体"/>
                <w:szCs w:val="21"/>
              </w:rPr>
            </w:pPr>
            <w:r>
              <w:rPr>
                <w:rFonts w:hint="eastAsia" w:ascii="宋体" w:hAnsi="宋体" w:eastAsia="宋体" w:cs="宋体"/>
                <w:szCs w:val="21"/>
              </w:rPr>
              <w:t>9</w:t>
            </w:r>
          </w:p>
        </w:tc>
        <w:tc>
          <w:tcPr>
            <w:tcW w:w="0" w:type="auto"/>
            <w:tcBorders>
              <w:top w:val="single" w:color="000000" w:sz="8" w:space="0"/>
              <w:left w:val="single" w:color="000000" w:sz="8" w:space="0"/>
              <w:bottom w:val="single" w:color="000000" w:sz="8" w:space="0"/>
              <w:right w:val="single" w:color="000000" w:sz="8" w:space="0"/>
            </w:tcBorders>
          </w:tcPr>
          <w:p w14:paraId="1E1D7ABE">
            <w:pPr>
              <w:rPr>
                <w:rFonts w:hint="eastAsia" w:ascii="宋体" w:hAnsi="宋体" w:eastAsia="宋体" w:cs="宋体"/>
                <w:szCs w:val="21"/>
              </w:rPr>
            </w:pPr>
            <w:r>
              <w:rPr>
                <w:rFonts w:hint="eastAsia" w:ascii="宋体" w:hAnsi="宋体" w:eastAsia="宋体" w:cs="宋体"/>
                <w:szCs w:val="21"/>
              </w:rPr>
              <w:t>投标文件不存在列放位置错误，导致属于信息公开内容没有被公开的情形</w:t>
            </w:r>
          </w:p>
        </w:tc>
      </w:tr>
      <w:tr w14:paraId="180529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7E223F8B">
            <w:pPr>
              <w:jc w:val="center"/>
              <w:rPr>
                <w:rFonts w:hint="eastAsia" w:ascii="宋体" w:hAnsi="宋体" w:eastAsia="宋体" w:cs="宋体"/>
                <w:szCs w:val="21"/>
              </w:rPr>
            </w:pPr>
            <w:r>
              <w:rPr>
                <w:rFonts w:hint="eastAsia" w:ascii="宋体" w:hAnsi="宋体" w:eastAsia="宋体" w:cs="宋体"/>
                <w:szCs w:val="21"/>
              </w:rPr>
              <w:t>10</w:t>
            </w:r>
          </w:p>
        </w:tc>
        <w:tc>
          <w:tcPr>
            <w:tcW w:w="0" w:type="auto"/>
            <w:tcBorders>
              <w:top w:val="single" w:color="000000" w:sz="8" w:space="0"/>
              <w:left w:val="single" w:color="000000" w:sz="8" w:space="0"/>
              <w:bottom w:val="single" w:color="000000" w:sz="8" w:space="0"/>
              <w:right w:val="single" w:color="000000" w:sz="8" w:space="0"/>
            </w:tcBorders>
          </w:tcPr>
          <w:p w14:paraId="43ECBBAC">
            <w:pPr>
              <w:rPr>
                <w:rFonts w:hint="eastAsia" w:ascii="宋体" w:hAnsi="宋体" w:eastAsia="宋体" w:cs="宋体"/>
                <w:szCs w:val="21"/>
              </w:rPr>
            </w:pPr>
            <w:r>
              <w:rPr>
                <w:rFonts w:hint="eastAsia" w:ascii="宋体" w:hAnsi="宋体" w:eastAsia="宋体" w:cs="宋体"/>
                <w:szCs w:val="21"/>
              </w:rPr>
              <w:t>投标文件不存在电子文档带病毒或使用其他投标人的电子密钥</w:t>
            </w:r>
            <w:r>
              <w:rPr>
                <w:rFonts w:hint="eastAsia" w:ascii="宋体" w:hAnsi="宋体" w:eastAsia="宋体" w:cs="宋体"/>
              </w:rPr>
              <w:t>或电子营业执照</w:t>
            </w:r>
            <w:r>
              <w:rPr>
                <w:rFonts w:hint="eastAsia" w:ascii="宋体" w:hAnsi="宋体" w:eastAsia="宋体" w:cs="宋体"/>
                <w:szCs w:val="21"/>
              </w:rPr>
              <w:t>进行加密的情形</w:t>
            </w:r>
          </w:p>
        </w:tc>
      </w:tr>
      <w:tr w14:paraId="19C83E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28C1D77E">
            <w:pPr>
              <w:jc w:val="center"/>
              <w:rPr>
                <w:rFonts w:hint="eastAsia" w:ascii="宋体" w:hAnsi="宋体" w:eastAsia="宋体" w:cs="宋体"/>
                <w:szCs w:val="21"/>
              </w:rPr>
            </w:pPr>
            <w:r>
              <w:rPr>
                <w:rFonts w:hint="eastAsia" w:ascii="宋体" w:hAnsi="宋体" w:eastAsia="宋体" w:cs="宋体"/>
                <w:szCs w:val="21"/>
              </w:rPr>
              <w:t>11</w:t>
            </w:r>
          </w:p>
        </w:tc>
        <w:tc>
          <w:tcPr>
            <w:tcW w:w="0" w:type="auto"/>
            <w:tcBorders>
              <w:top w:val="single" w:color="000000" w:sz="8" w:space="0"/>
              <w:left w:val="single" w:color="000000" w:sz="8" w:space="0"/>
              <w:bottom w:val="single" w:color="000000" w:sz="8" w:space="0"/>
              <w:right w:val="single" w:color="000000" w:sz="8" w:space="0"/>
            </w:tcBorders>
          </w:tcPr>
          <w:p w14:paraId="1C676CC1">
            <w:pPr>
              <w:rPr>
                <w:rFonts w:hint="eastAsia" w:ascii="宋体" w:hAnsi="宋体" w:eastAsia="宋体" w:cs="宋体"/>
                <w:szCs w:val="21"/>
              </w:rPr>
            </w:pPr>
            <w:r>
              <w:rPr>
                <w:rFonts w:hint="eastAsia" w:ascii="宋体" w:hAnsi="宋体" w:eastAsia="宋体" w:cs="宋体"/>
                <w:szCs w:val="24"/>
              </w:rPr>
              <w:t>法律、法规、规章、规范性文件规定的其他情形</w:t>
            </w:r>
          </w:p>
        </w:tc>
      </w:tr>
    </w:tbl>
    <w:p w14:paraId="7ECD31C1">
      <w:pPr>
        <w:spacing w:line="324" w:lineRule="auto"/>
        <w:ind w:firstLine="420"/>
        <w:rPr>
          <w:rFonts w:ascii="Times New Roman" w:hAnsi="Times New Roman"/>
          <w:b/>
          <w:color w:val="FF0000"/>
          <w:szCs w:val="21"/>
        </w:rPr>
      </w:pPr>
      <w:r>
        <w:rPr>
          <w:rFonts w:hint="eastAsia" w:ascii="Times New Roman" w:hAnsi="Times New Roman"/>
          <w:b/>
          <w:color w:val="FF0000"/>
          <w:szCs w:val="21"/>
        </w:rPr>
        <w:t>特别说明：</w:t>
      </w:r>
    </w:p>
    <w:p w14:paraId="20B93B29">
      <w:pPr>
        <w:spacing w:line="324" w:lineRule="auto"/>
        <w:ind w:firstLine="42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1、加密的投标文件须在开标当日的开标时间至解密截止时间内完成投标文件在线解密，逾期未解密的作无效处理。</w:t>
      </w:r>
    </w:p>
    <w:p w14:paraId="55894638">
      <w:pPr>
        <w:spacing w:line="324" w:lineRule="auto"/>
        <w:ind w:firstLine="42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2、投标人不符合《资格性审查表》或《符合性审查表》中任一情形的，初审不通过，投标无效。</w:t>
      </w:r>
    </w:p>
    <w:p w14:paraId="3DD0615D">
      <w:pPr>
        <w:spacing w:line="324" w:lineRule="auto"/>
        <w:ind w:firstLine="420"/>
        <w:rPr>
          <w:rFonts w:asciiTheme="minorEastAsia" w:hAnsiTheme="minorEastAsia" w:eastAsiaTheme="minorEastAsia"/>
          <w:b/>
          <w:color w:val="FF0000"/>
          <w:szCs w:val="21"/>
        </w:rPr>
      </w:pPr>
    </w:p>
    <w:p w14:paraId="50EE556E">
      <w:pPr>
        <w:pStyle w:val="37"/>
        <w:jc w:val="center"/>
        <w:outlineLvl w:val="1"/>
        <w:rPr>
          <w:rFonts w:ascii="黑体" w:hAnsi="黑体" w:eastAsia="黑体"/>
          <w:sz w:val="40"/>
          <w:szCs w:val="40"/>
        </w:rPr>
      </w:pPr>
      <w:r>
        <w:rPr>
          <w:rFonts w:hint="eastAsia" w:ascii="黑体" w:hAnsi="黑体" w:eastAsia="黑体"/>
          <w:sz w:val="40"/>
          <w:szCs w:val="40"/>
        </w:rPr>
        <w:t>评标信息</w:t>
      </w:r>
    </w:p>
    <w:tbl>
      <w:tblPr>
        <w:tblStyle w:val="42"/>
        <w:tblW w:w="9072" w:type="dxa"/>
        <w:jc w:val="center"/>
        <w:tblCellSpacing w:w="0" w:type="dxa"/>
        <w:tblLayout w:type="autofit"/>
        <w:tblCellMar>
          <w:top w:w="45" w:type="dxa"/>
          <w:left w:w="45" w:type="dxa"/>
          <w:bottom w:w="45" w:type="dxa"/>
          <w:right w:w="45" w:type="dxa"/>
        </w:tblCellMar>
      </w:tblPr>
      <w:tblGrid>
        <w:gridCol w:w="8824"/>
        <w:gridCol w:w="248"/>
      </w:tblGrid>
      <w:tr w14:paraId="2444BFE3">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14:paraId="1109982A">
            <w:pPr>
              <w:rPr>
                <w:rFonts w:ascii="宋体" w:hAnsi="宋体" w:cs="宋体"/>
                <w:b/>
                <w:bCs/>
                <w:sz w:val="24"/>
                <w:szCs w:val="24"/>
              </w:rPr>
            </w:pPr>
            <w:r>
              <w:rPr>
                <w:b/>
                <w:bCs/>
              </w:rPr>
              <w:t>评标方法：综合评分法（新价格分算法）</w:t>
            </w:r>
          </w:p>
        </w:tc>
        <w:tc>
          <w:tcPr>
            <w:tcW w:w="0" w:type="auto"/>
            <w:tcBorders>
              <w:top w:val="nil"/>
              <w:left w:val="nil"/>
              <w:bottom w:val="nil"/>
              <w:right w:val="nil"/>
            </w:tcBorders>
            <w:vAlign w:val="center"/>
          </w:tcPr>
          <w:p w14:paraId="71251DC8">
            <w:pPr>
              <w:jc w:val="right"/>
              <w:rPr>
                <w:rFonts w:ascii="宋体" w:hAnsi="宋体" w:cs="宋体"/>
                <w:b/>
                <w:bCs/>
                <w:sz w:val="24"/>
                <w:szCs w:val="24"/>
              </w:rPr>
            </w:pPr>
          </w:p>
        </w:tc>
      </w:tr>
      <w:tr w14:paraId="17C066E4">
        <w:tblPrEx>
          <w:tblCellMar>
            <w:top w:w="45" w:type="dxa"/>
            <w:left w:w="45" w:type="dxa"/>
            <w:bottom w:w="45" w:type="dxa"/>
            <w:right w:w="45" w:type="dxa"/>
          </w:tblCellMar>
        </w:tblPrEx>
        <w:trPr>
          <w:tblCellSpacing w:w="0" w:type="dxa"/>
          <w:jc w:val="center"/>
        </w:trPr>
        <w:tc>
          <w:tcPr>
            <w:tcW w:w="0" w:type="auto"/>
            <w:gridSpan w:val="2"/>
            <w:tcBorders>
              <w:top w:val="nil"/>
              <w:left w:val="nil"/>
              <w:bottom w:val="nil"/>
              <w:right w:val="nil"/>
            </w:tcBorders>
            <w:vAlign w:val="center"/>
          </w:tcPr>
          <w:p w14:paraId="76DE9687">
            <w:pPr>
              <w:pStyle w:val="37"/>
              <w:spacing w:line="324" w:lineRule="auto"/>
              <w:ind w:firstLine="420"/>
              <w:rPr>
                <w:sz w:val="21"/>
                <w:szCs w:val="21"/>
              </w:rPr>
            </w:pPr>
            <w:r>
              <w:rPr>
                <w:sz w:val="21"/>
                <w:szCs w:val="21"/>
              </w:rPr>
              <w:t>综合评分法，是指</w:t>
            </w:r>
            <w:r>
              <w:rPr>
                <w:rFonts w:hint="eastAsia"/>
                <w:sz w:val="21"/>
                <w:szCs w:val="21"/>
              </w:rPr>
              <w:t>在最大限度地满足招标文件实质性要求的前提下，按照招标文件中规定的各项因素进行综合评审，评标总得分排名前列的投标人，作为推荐的候选中标供应商</w:t>
            </w:r>
            <w:r>
              <w:rPr>
                <w:sz w:val="21"/>
                <w:szCs w:val="21"/>
              </w:rPr>
              <w:t xml:space="preserve">。 </w:t>
            </w:r>
          </w:p>
          <w:p w14:paraId="297C18CE">
            <w:pPr>
              <w:pStyle w:val="37"/>
              <w:ind w:firstLine="420"/>
              <w:rPr>
                <w:sz w:val="21"/>
                <w:szCs w:val="21"/>
              </w:rPr>
            </w:pPr>
            <w:r>
              <w:rPr>
                <w:sz w:val="21"/>
                <w:szCs w:val="21"/>
              </w:rPr>
              <w:t>价格分计算方法：</w:t>
            </w:r>
          </w:p>
          <w:p w14:paraId="1807E2B5">
            <w:pPr>
              <w:pStyle w:val="37"/>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 xml:space="preserve">评标过程中，不得去掉报价中的最高报价和最低报价。 </w:t>
            </w:r>
            <w:r>
              <w:rPr>
                <w:sz w:val="21"/>
                <w:szCs w:val="21"/>
              </w:rPr>
              <w:br w:type="textWrapping"/>
            </w:r>
            <w:r>
              <w:rPr>
                <w:rFonts w:hint="eastAsia"/>
                <w:sz w:val="21"/>
                <w:szCs w:val="21"/>
              </w:rPr>
              <w:t>因落实政府采购政策进行价格调整的，以调整后的价格计算评标基准价和投标报价</w:t>
            </w:r>
            <w:r>
              <w:rPr>
                <w:sz w:val="21"/>
                <w:szCs w:val="21"/>
              </w:rPr>
              <w:t xml:space="preserve">。 </w:t>
            </w:r>
          </w:p>
        </w:tc>
      </w:tr>
    </w:tbl>
    <w:p w14:paraId="625597E3">
      <w:pPr>
        <w:rPr>
          <w:vanish/>
        </w:rPr>
      </w:pPr>
    </w:p>
    <w:tbl>
      <w:tblPr>
        <w:tblStyle w:val="42"/>
        <w:tblW w:w="963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680"/>
        <w:gridCol w:w="680"/>
        <w:gridCol w:w="2835"/>
        <w:gridCol w:w="681"/>
        <w:gridCol w:w="4763"/>
      </w:tblGrid>
      <w:tr w14:paraId="164295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79C6A69">
            <w:pPr>
              <w:spacing w:line="360" w:lineRule="exact"/>
              <w:jc w:val="center"/>
              <w:rPr>
                <w:rFonts w:cs="宋体" w:asciiTheme="minorEastAsia" w:hAnsiTheme="minorEastAsia" w:eastAsiaTheme="minorEastAsia"/>
                <w:b/>
                <w:bCs/>
                <w:sz w:val="24"/>
                <w:szCs w:val="24"/>
              </w:rPr>
            </w:pPr>
            <w:r>
              <w:rPr>
                <w:rFonts w:asciiTheme="minorEastAsia" w:hAnsiTheme="minorEastAsia" w:eastAsiaTheme="minorEastAsia"/>
                <w:b/>
                <w:bCs/>
              </w:rPr>
              <w:t>序号</w:t>
            </w:r>
          </w:p>
        </w:tc>
        <w:tc>
          <w:tcPr>
            <w:tcW w:w="4196"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2A386A71">
            <w:pPr>
              <w:spacing w:line="360" w:lineRule="exact"/>
              <w:jc w:val="center"/>
              <w:rPr>
                <w:rFonts w:cs="宋体" w:asciiTheme="minorEastAsia" w:hAnsiTheme="minorEastAsia" w:eastAsiaTheme="minorEastAsia"/>
                <w:b/>
                <w:bCs/>
                <w:sz w:val="24"/>
                <w:szCs w:val="24"/>
              </w:rPr>
            </w:pPr>
            <w:r>
              <w:rPr>
                <w:rFonts w:asciiTheme="minorEastAsia" w:hAnsiTheme="minorEastAsia" w:eastAsiaTheme="minorEastAsia"/>
                <w:b/>
                <w:bCs/>
              </w:rPr>
              <w:t>评分项</w:t>
            </w:r>
          </w:p>
        </w:tc>
        <w:tc>
          <w:tcPr>
            <w:tcW w:w="4763"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5A3D804">
            <w:pPr>
              <w:spacing w:line="360" w:lineRule="exact"/>
              <w:jc w:val="center"/>
              <w:rPr>
                <w:rFonts w:cs="宋体" w:asciiTheme="minorEastAsia" w:hAnsiTheme="minorEastAsia" w:eastAsiaTheme="minorEastAsia"/>
                <w:b/>
                <w:bCs/>
                <w:sz w:val="24"/>
                <w:szCs w:val="24"/>
              </w:rPr>
            </w:pPr>
            <w:r>
              <w:rPr>
                <w:rFonts w:asciiTheme="minorEastAsia" w:hAnsiTheme="minorEastAsia" w:eastAsiaTheme="minorEastAsia"/>
                <w:b/>
                <w:bCs/>
              </w:rPr>
              <w:t>权重(%)</w:t>
            </w:r>
          </w:p>
        </w:tc>
      </w:tr>
      <w:tr w14:paraId="333D8E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right w:val="single" w:color="000000" w:sz="8" w:space="0"/>
            </w:tcBorders>
          </w:tcPr>
          <w:p w14:paraId="78FDADCA">
            <w:pPr>
              <w:spacing w:line="360" w:lineRule="exact"/>
              <w:jc w:val="center"/>
              <w:rPr>
                <w:rFonts w:cs="宋体" w:asciiTheme="minorEastAsia" w:hAnsiTheme="minorEastAsia" w:eastAsiaTheme="minorEastAsia"/>
                <w:b/>
                <w:bCs/>
                <w:color w:val="0000FF"/>
                <w:sz w:val="24"/>
                <w:szCs w:val="24"/>
              </w:rPr>
            </w:pPr>
            <w:r>
              <w:rPr>
                <w:rFonts w:asciiTheme="minorEastAsia" w:hAnsiTheme="minorEastAsia" w:eastAsiaTheme="minorEastAsia"/>
                <w:b/>
                <w:bCs/>
                <w:color w:val="0000FF"/>
              </w:rPr>
              <w:t>1</w:t>
            </w:r>
          </w:p>
        </w:tc>
        <w:tc>
          <w:tcPr>
            <w:tcW w:w="4196" w:type="dxa"/>
            <w:gridSpan w:val="3"/>
            <w:tcBorders>
              <w:top w:val="single" w:color="000000" w:sz="8" w:space="0"/>
              <w:left w:val="single" w:color="000000" w:sz="8" w:space="0"/>
              <w:bottom w:val="single" w:color="000000" w:sz="8" w:space="0"/>
              <w:right w:val="single" w:color="000000" w:sz="8" w:space="0"/>
            </w:tcBorders>
          </w:tcPr>
          <w:p w14:paraId="66227BE9">
            <w:pPr>
              <w:spacing w:line="360" w:lineRule="exact"/>
              <w:jc w:val="center"/>
              <w:rPr>
                <w:rFonts w:cs="宋体" w:asciiTheme="minorEastAsia" w:hAnsiTheme="minorEastAsia" w:eastAsiaTheme="minorEastAsia"/>
                <w:b/>
                <w:bCs/>
                <w:color w:val="0000FF"/>
                <w:sz w:val="24"/>
                <w:szCs w:val="24"/>
              </w:rPr>
            </w:pPr>
            <w:r>
              <w:rPr>
                <w:rFonts w:asciiTheme="minorEastAsia" w:hAnsiTheme="minorEastAsia" w:eastAsiaTheme="minorEastAsia"/>
                <w:b/>
                <w:bCs/>
                <w:color w:val="0000FF"/>
              </w:rPr>
              <w:t>价格</w:t>
            </w:r>
          </w:p>
        </w:tc>
        <w:tc>
          <w:tcPr>
            <w:tcW w:w="4763" w:type="dxa"/>
            <w:tcBorders>
              <w:top w:val="single" w:color="000000" w:sz="8" w:space="0"/>
              <w:left w:val="single" w:color="000000" w:sz="8" w:space="0"/>
              <w:bottom w:val="single" w:color="000000" w:sz="8" w:space="0"/>
              <w:right w:val="single" w:color="000000" w:sz="8" w:space="0"/>
            </w:tcBorders>
          </w:tcPr>
          <w:p w14:paraId="17053FBC">
            <w:pPr>
              <w:spacing w:line="360" w:lineRule="exact"/>
              <w:jc w:val="center"/>
              <w:rPr>
                <w:rFonts w:cs="宋体" w:asciiTheme="minorEastAsia" w:hAnsiTheme="minorEastAsia" w:eastAsiaTheme="minorEastAsia"/>
                <w:b/>
                <w:bCs/>
                <w:color w:val="0000FF"/>
                <w:sz w:val="24"/>
                <w:szCs w:val="24"/>
              </w:rPr>
            </w:pPr>
            <w:r>
              <w:rPr>
                <w:rFonts w:hint="eastAsia" w:asciiTheme="minorEastAsia" w:hAnsiTheme="minorEastAsia" w:eastAsiaTheme="minorEastAsia"/>
                <w:b/>
                <w:bCs/>
                <w:color w:val="0000FF"/>
                <w:lang w:val="en-US" w:eastAsia="zh-CN"/>
              </w:rPr>
              <w:t>2</w:t>
            </w:r>
            <w:r>
              <w:rPr>
                <w:rFonts w:hint="eastAsia" w:asciiTheme="minorEastAsia" w:hAnsiTheme="minorEastAsia" w:eastAsiaTheme="minorEastAsia"/>
                <w:b/>
                <w:bCs/>
                <w:color w:val="0000FF"/>
              </w:rPr>
              <w:t>0</w:t>
            </w:r>
          </w:p>
        </w:tc>
      </w:tr>
      <w:tr w14:paraId="15848D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tcPr>
          <w:p w14:paraId="58656974">
            <w:pPr>
              <w:spacing w:line="360" w:lineRule="exact"/>
              <w:jc w:val="center"/>
              <w:rPr>
                <w:rFonts w:cs="宋体" w:asciiTheme="minorEastAsia" w:hAnsiTheme="minorEastAsia" w:eastAsiaTheme="minorEastAsia"/>
                <w:b/>
                <w:bCs/>
                <w:color w:val="0000FF"/>
                <w:sz w:val="24"/>
                <w:szCs w:val="24"/>
              </w:rPr>
            </w:pPr>
            <w:r>
              <w:rPr>
                <w:rFonts w:asciiTheme="minorEastAsia" w:hAnsiTheme="minorEastAsia" w:eastAsiaTheme="minorEastAsia"/>
                <w:b/>
                <w:bCs/>
                <w:color w:val="0000FF"/>
              </w:rPr>
              <w:t>2</w:t>
            </w:r>
          </w:p>
        </w:tc>
        <w:tc>
          <w:tcPr>
            <w:tcW w:w="4196" w:type="dxa"/>
            <w:gridSpan w:val="3"/>
            <w:tcBorders>
              <w:top w:val="single" w:color="000000" w:sz="8" w:space="0"/>
              <w:left w:val="single" w:color="000000" w:sz="8" w:space="0"/>
              <w:bottom w:val="single" w:color="000000" w:sz="8" w:space="0"/>
              <w:right w:val="single" w:color="000000" w:sz="8" w:space="0"/>
            </w:tcBorders>
          </w:tcPr>
          <w:p w14:paraId="46082345">
            <w:pPr>
              <w:spacing w:line="360" w:lineRule="exact"/>
              <w:jc w:val="center"/>
              <w:rPr>
                <w:rFonts w:cs="宋体" w:asciiTheme="minorEastAsia" w:hAnsiTheme="minorEastAsia" w:eastAsiaTheme="minorEastAsia"/>
                <w:b/>
                <w:bCs/>
                <w:color w:val="0000FF"/>
                <w:sz w:val="24"/>
                <w:szCs w:val="24"/>
              </w:rPr>
            </w:pPr>
            <w:r>
              <w:rPr>
                <w:rFonts w:asciiTheme="minorEastAsia" w:hAnsiTheme="minorEastAsia" w:eastAsiaTheme="minorEastAsia"/>
                <w:b/>
                <w:bCs/>
                <w:color w:val="0000FF"/>
              </w:rPr>
              <w:t>技术</w:t>
            </w:r>
          </w:p>
        </w:tc>
        <w:tc>
          <w:tcPr>
            <w:tcW w:w="4763" w:type="dxa"/>
            <w:tcBorders>
              <w:top w:val="single" w:color="000000" w:sz="8" w:space="0"/>
              <w:left w:val="single" w:color="000000" w:sz="8" w:space="0"/>
              <w:bottom w:val="single" w:color="000000" w:sz="8" w:space="0"/>
              <w:right w:val="single" w:color="000000" w:sz="8" w:space="0"/>
            </w:tcBorders>
          </w:tcPr>
          <w:p w14:paraId="7D7D5C2C">
            <w:pPr>
              <w:spacing w:line="360" w:lineRule="exact"/>
              <w:jc w:val="center"/>
              <w:rPr>
                <w:rFonts w:hint="default" w:cs="宋体" w:asciiTheme="minorEastAsia" w:hAnsiTheme="minorEastAsia" w:eastAsiaTheme="minorEastAsia"/>
                <w:b/>
                <w:bCs/>
                <w:color w:val="0000FF"/>
                <w:sz w:val="24"/>
                <w:szCs w:val="24"/>
                <w:lang w:val="en-US" w:eastAsia="zh-CN"/>
              </w:rPr>
            </w:pPr>
            <w:r>
              <w:rPr>
                <w:rFonts w:hint="eastAsia" w:asciiTheme="minorEastAsia" w:hAnsiTheme="minorEastAsia" w:eastAsiaTheme="minorEastAsia"/>
                <w:b/>
                <w:bCs/>
                <w:color w:val="0000FF"/>
                <w:lang w:val="en-US" w:eastAsia="zh-CN"/>
              </w:rPr>
              <w:t>50</w:t>
            </w:r>
          </w:p>
        </w:tc>
      </w:tr>
      <w:tr w14:paraId="349CF1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633631B5">
            <w:pPr>
              <w:spacing w:line="360" w:lineRule="exact"/>
              <w:rPr>
                <w:rFonts w:cs="宋体" w:asciiTheme="minorEastAsia" w:hAnsiTheme="minorEastAsia" w:eastAsiaTheme="minorEastAsia"/>
                <w:b/>
                <w:bCs/>
                <w:color w:val="0000FF"/>
                <w:sz w:val="24"/>
                <w:szCs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70CC531">
            <w:pPr>
              <w:spacing w:line="360" w:lineRule="exact"/>
              <w:jc w:val="center"/>
              <w:rPr>
                <w:rFonts w:cs="宋体" w:asciiTheme="minorEastAsia" w:hAnsiTheme="minorEastAsia" w:eastAsiaTheme="minorEastAsia"/>
                <w:szCs w:val="21"/>
              </w:rPr>
            </w:pPr>
            <w:r>
              <w:rPr>
                <w:rFonts w:asciiTheme="minorEastAsia" w:hAnsiTheme="minorEastAsia" w:eastAsiaTheme="minorEastAsia"/>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0682FC8">
            <w:pPr>
              <w:spacing w:line="360" w:lineRule="exact"/>
              <w:jc w:val="center"/>
              <w:rPr>
                <w:rFonts w:cs="宋体" w:asciiTheme="minorEastAsia" w:hAnsiTheme="minorEastAsia" w:eastAsiaTheme="minorEastAsia"/>
                <w:szCs w:val="21"/>
              </w:rPr>
            </w:pPr>
            <w:r>
              <w:rPr>
                <w:rFonts w:asciiTheme="minorEastAsia" w:hAnsiTheme="minorEastAsia" w:eastAsiaTheme="minorEastAsia"/>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6AB9463">
            <w:pPr>
              <w:spacing w:line="360" w:lineRule="exact"/>
              <w:jc w:val="center"/>
              <w:rPr>
                <w:rFonts w:cs="宋体" w:asciiTheme="minorEastAsia" w:hAnsiTheme="minorEastAsia" w:eastAsiaTheme="minorEastAsia"/>
                <w:szCs w:val="21"/>
              </w:rPr>
            </w:pPr>
            <w:r>
              <w:rPr>
                <w:rFonts w:asciiTheme="minorEastAsia" w:hAnsiTheme="minorEastAsia" w:eastAsiaTheme="minorEastAsia"/>
                <w:szCs w:val="21"/>
              </w:rPr>
              <w:t>权重(%)</w:t>
            </w:r>
          </w:p>
        </w:tc>
        <w:tc>
          <w:tcPr>
            <w:tcW w:w="47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06893B2">
            <w:pPr>
              <w:spacing w:line="360" w:lineRule="exact"/>
              <w:jc w:val="center"/>
              <w:rPr>
                <w:rFonts w:cs="宋体" w:asciiTheme="minorEastAsia" w:hAnsiTheme="minorEastAsia" w:eastAsiaTheme="minorEastAsia"/>
                <w:szCs w:val="21"/>
              </w:rPr>
            </w:pPr>
            <w:r>
              <w:rPr>
                <w:rFonts w:asciiTheme="minorEastAsia" w:hAnsiTheme="minorEastAsia" w:eastAsiaTheme="minorEastAsia"/>
                <w:szCs w:val="21"/>
              </w:rPr>
              <w:t>评分准则</w:t>
            </w:r>
          </w:p>
        </w:tc>
      </w:tr>
      <w:tr w14:paraId="4595E5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7EA75C4B">
            <w:pPr>
              <w:spacing w:line="360" w:lineRule="exact"/>
              <w:rPr>
                <w:rFonts w:cs="宋体" w:asciiTheme="minorEastAsia" w:hAnsiTheme="minorEastAsia" w:eastAsiaTheme="minorEastAsia"/>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tcPr>
          <w:p w14:paraId="70D2773B">
            <w:pPr>
              <w:spacing w:line="360" w:lineRule="exact"/>
              <w:jc w:val="center"/>
              <w:rPr>
                <w:rFonts w:cs="宋体" w:asciiTheme="minorEastAsia" w:hAnsiTheme="minorEastAsia" w:eastAsiaTheme="minorEastAsia"/>
                <w:szCs w:val="21"/>
              </w:rPr>
            </w:pPr>
            <w:r>
              <w:rPr>
                <w:rFonts w:asciiTheme="minorEastAsia" w:hAnsiTheme="minorEastAsia" w:eastAsiaTheme="minorEastAsia"/>
                <w:szCs w:val="21"/>
              </w:rPr>
              <w:t>1</w:t>
            </w:r>
          </w:p>
        </w:tc>
        <w:tc>
          <w:tcPr>
            <w:tcW w:w="2835" w:type="dxa"/>
            <w:tcBorders>
              <w:top w:val="single" w:color="000000" w:sz="8" w:space="0"/>
              <w:left w:val="single" w:color="000000" w:sz="8" w:space="0"/>
              <w:bottom w:val="single" w:color="000000" w:sz="8" w:space="0"/>
              <w:right w:val="single" w:color="000000" w:sz="8" w:space="0"/>
            </w:tcBorders>
            <w:vAlign w:val="top"/>
          </w:tcPr>
          <w:p w14:paraId="2B6045B8">
            <w:pPr>
              <w:spacing w:line="360" w:lineRule="exact"/>
              <w:jc w:val="both"/>
              <w:rPr>
                <w:rFonts w:cs="宋体" w:asciiTheme="minorEastAsia" w:hAnsiTheme="minorEastAsia" w:eastAsiaTheme="minorEastAsia"/>
                <w:szCs w:val="21"/>
              </w:rPr>
            </w:pPr>
            <w:r>
              <w:rPr>
                <w:rFonts w:hint="eastAsia" w:asciiTheme="minorEastAsia" w:hAnsiTheme="minorEastAsia" w:eastAsiaTheme="minorEastAsia"/>
                <w:kern w:val="0"/>
                <w:szCs w:val="21"/>
              </w:rPr>
              <w:t>整体实施方案</w:t>
            </w:r>
          </w:p>
        </w:tc>
        <w:tc>
          <w:tcPr>
            <w:tcW w:w="681" w:type="dxa"/>
            <w:tcBorders>
              <w:top w:val="single" w:color="000000" w:sz="8" w:space="0"/>
              <w:left w:val="single" w:color="000000" w:sz="8" w:space="0"/>
              <w:bottom w:val="single" w:color="000000" w:sz="8" w:space="0"/>
              <w:right w:val="single" w:color="000000" w:sz="8" w:space="0"/>
            </w:tcBorders>
            <w:vAlign w:val="top"/>
          </w:tcPr>
          <w:p w14:paraId="74A42DC3">
            <w:pPr>
              <w:widowControl/>
              <w:spacing w:line="360" w:lineRule="exact"/>
              <w:jc w:val="both"/>
              <w:rPr>
                <w:rFonts w:cs="宋体" w:asciiTheme="minorEastAsia" w:hAnsiTheme="minorEastAsia" w:eastAsiaTheme="minorEastAsia"/>
                <w:szCs w:val="21"/>
              </w:rPr>
            </w:pPr>
            <w:r>
              <w:rPr>
                <w:rFonts w:hint="eastAsia" w:cs="宋体" w:asciiTheme="minorEastAsia" w:hAnsiTheme="minorEastAsia" w:eastAsiaTheme="minorEastAsia"/>
                <w:kern w:val="0"/>
                <w:szCs w:val="21"/>
                <w:lang w:val="en-US" w:eastAsia="zh-CN"/>
              </w:rPr>
              <w:t>5</w:t>
            </w:r>
          </w:p>
        </w:tc>
        <w:tc>
          <w:tcPr>
            <w:tcW w:w="4763" w:type="dxa"/>
            <w:tcBorders>
              <w:top w:val="single" w:color="000000" w:sz="8" w:space="0"/>
              <w:left w:val="single" w:color="000000" w:sz="8" w:space="0"/>
              <w:bottom w:val="single" w:color="000000" w:sz="8" w:space="0"/>
              <w:right w:val="single" w:color="000000" w:sz="8" w:space="0"/>
            </w:tcBorders>
            <w:vAlign w:val="center"/>
          </w:tcPr>
          <w:p w14:paraId="0F1C081F">
            <w:pPr>
              <w:pStyle w:val="139"/>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（一）评分内容：</w:t>
            </w:r>
          </w:p>
          <w:p w14:paraId="1CB6C994">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考察投标人提供的</w:t>
            </w:r>
            <w:r>
              <w:rPr>
                <w:rFonts w:hint="eastAsia"/>
                <w:lang w:val="en-US" w:eastAsia="zh-CN"/>
              </w:rPr>
              <w:t>整体实施方案</w:t>
            </w:r>
            <w:r>
              <w:rPr>
                <w:rFonts w:hint="eastAsia" w:asciiTheme="minorEastAsia" w:hAnsiTheme="minorEastAsia" w:eastAsiaTheme="minorEastAsia"/>
                <w:kern w:val="0"/>
                <w:szCs w:val="21"/>
              </w:rPr>
              <w:t>，包含以下内容：</w:t>
            </w:r>
          </w:p>
          <w:p w14:paraId="648A60E5">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1.方案总体设计；</w:t>
            </w:r>
          </w:p>
          <w:p w14:paraId="6050A952">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2.测评方案；</w:t>
            </w:r>
          </w:p>
          <w:p w14:paraId="4B986810">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rPr>
              <w:t>质量保障措施</w:t>
            </w:r>
            <w:r>
              <w:rPr>
                <w:rFonts w:hint="eastAsia" w:asciiTheme="minorEastAsia" w:hAnsiTheme="minorEastAsia" w:eastAsiaTheme="minorEastAsia"/>
                <w:kern w:val="0"/>
                <w:szCs w:val="21"/>
              </w:rPr>
              <w:t>；</w:t>
            </w:r>
          </w:p>
          <w:p w14:paraId="24009AF9">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4.售后服务方案；</w:t>
            </w:r>
          </w:p>
          <w:p w14:paraId="268E15AE">
            <w:pPr>
              <w:autoSpaceDE w:val="0"/>
              <w:autoSpaceDN w:val="0"/>
              <w:adjustRightIn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660FA4B5">
            <w:pPr>
              <w:pStyle w:val="139"/>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方案包含以上四项内容得</w:t>
            </w:r>
            <w:r>
              <w:rPr>
                <w:rFonts w:hint="eastAsia" w:asciiTheme="minorEastAsia" w:hAnsiTheme="minorEastAsia" w:eastAsiaTheme="minorEastAsia"/>
                <w:szCs w:val="21"/>
                <w:lang w:val="en-US" w:eastAsia="zh-CN"/>
              </w:rPr>
              <w:t>60</w:t>
            </w:r>
            <w:r>
              <w:rPr>
                <w:rFonts w:hint="eastAsia" w:asciiTheme="minorEastAsia" w:hAnsiTheme="minorEastAsia" w:eastAsiaTheme="minorEastAsia"/>
                <w:szCs w:val="21"/>
              </w:rPr>
              <w:t>分；包含以上三项内容得</w:t>
            </w:r>
            <w:r>
              <w:rPr>
                <w:rFonts w:hint="eastAsia" w:asciiTheme="minorEastAsia" w:hAnsiTheme="minorEastAsia" w:eastAsiaTheme="minorEastAsia"/>
                <w:szCs w:val="21"/>
                <w:lang w:val="en-US" w:eastAsia="zh-CN"/>
              </w:rPr>
              <w:t>45</w:t>
            </w:r>
            <w:r>
              <w:rPr>
                <w:rFonts w:hint="eastAsia" w:asciiTheme="minorEastAsia" w:hAnsiTheme="minorEastAsia" w:eastAsiaTheme="minorEastAsia"/>
                <w:szCs w:val="21"/>
              </w:rPr>
              <w:t>分；包含以上</w:t>
            </w:r>
            <w:r>
              <w:rPr>
                <w:rFonts w:hint="eastAsia" w:asciiTheme="minorEastAsia" w:hAnsiTheme="minorEastAsia" w:eastAsiaTheme="minorEastAsia"/>
                <w:szCs w:val="21"/>
                <w:lang w:val="en-US" w:eastAsia="zh-CN"/>
              </w:rPr>
              <w:t>两</w:t>
            </w:r>
            <w:r>
              <w:rPr>
                <w:rFonts w:hint="eastAsia" w:asciiTheme="minorEastAsia" w:hAnsiTheme="minorEastAsia" w:eastAsiaTheme="minorEastAsia"/>
                <w:szCs w:val="21"/>
              </w:rPr>
              <w:t>项内容得</w:t>
            </w:r>
            <w:r>
              <w:rPr>
                <w:rFonts w:hint="eastAsia" w:asciiTheme="minorEastAsia" w:hAnsiTheme="minorEastAsia" w:eastAsiaTheme="minorEastAsia"/>
                <w:szCs w:val="21"/>
                <w:lang w:val="en-US" w:eastAsia="zh-CN"/>
              </w:rPr>
              <w:t>30</w:t>
            </w:r>
            <w:r>
              <w:rPr>
                <w:rFonts w:hint="eastAsia" w:asciiTheme="minorEastAsia" w:hAnsiTheme="minorEastAsia" w:eastAsiaTheme="minorEastAsia"/>
                <w:szCs w:val="21"/>
              </w:rPr>
              <w:t>分；包含以上</w:t>
            </w:r>
            <w:r>
              <w:rPr>
                <w:rFonts w:hint="eastAsia" w:asciiTheme="minorEastAsia" w:hAnsiTheme="minorEastAsia" w:eastAsiaTheme="minorEastAsia"/>
                <w:szCs w:val="21"/>
                <w:lang w:val="en-US" w:eastAsia="zh-CN"/>
              </w:rPr>
              <w:t>一</w:t>
            </w:r>
            <w:r>
              <w:rPr>
                <w:rFonts w:hint="eastAsia" w:asciiTheme="minorEastAsia" w:hAnsiTheme="minorEastAsia" w:eastAsiaTheme="minorEastAsia"/>
                <w:szCs w:val="21"/>
              </w:rPr>
              <w:t>项内容得</w:t>
            </w: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rPr>
              <w:t>分</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其他情况不得分。</w:t>
            </w:r>
          </w:p>
          <w:p w14:paraId="3CBFA297">
            <w:pPr>
              <w:pStyle w:val="139"/>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在此基础上，根据方案响应情况进一步评审：</w:t>
            </w:r>
          </w:p>
          <w:p w14:paraId="2B5E3559">
            <w:pPr>
              <w:pStyle w:val="139"/>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kern w:val="0"/>
                <w:szCs w:val="21"/>
              </w:rPr>
              <w:t>方案总体设计</w:t>
            </w:r>
            <w:r>
              <w:rPr>
                <w:rFonts w:hint="eastAsia" w:asciiTheme="minorEastAsia" w:hAnsiTheme="minorEastAsia" w:eastAsiaTheme="minorEastAsia"/>
                <w:kern w:val="0"/>
                <w:szCs w:val="21"/>
                <w:lang w:eastAsia="zh-CN"/>
              </w:rPr>
              <w:t>符合项目特点，</w:t>
            </w:r>
            <w:r>
              <w:rPr>
                <w:rFonts w:hint="eastAsia" w:asciiTheme="minorEastAsia" w:hAnsiTheme="minorEastAsia" w:eastAsiaTheme="minorEastAsia"/>
                <w:kern w:val="0"/>
                <w:szCs w:val="21"/>
              </w:rPr>
              <w:t>测评方案</w:t>
            </w:r>
            <w:r>
              <w:rPr>
                <w:rFonts w:hint="eastAsia" w:asciiTheme="minorEastAsia" w:hAnsiTheme="minorEastAsia" w:eastAsiaTheme="minorEastAsia"/>
                <w:kern w:val="0"/>
                <w:szCs w:val="21"/>
                <w:lang w:eastAsia="zh-CN"/>
              </w:rPr>
              <w:t>可操作性高，</w:t>
            </w:r>
            <w:r>
              <w:rPr>
                <w:rFonts w:hint="eastAsia"/>
              </w:rPr>
              <w:t>质量保障措施</w:t>
            </w:r>
            <w:r>
              <w:rPr>
                <w:rFonts w:hint="eastAsia"/>
                <w:lang w:eastAsia="zh-CN"/>
              </w:rPr>
              <w:t>和售后服务方案科学完善的</w:t>
            </w:r>
            <w:r>
              <w:rPr>
                <w:rFonts w:hint="eastAsia" w:asciiTheme="minorEastAsia" w:hAnsiTheme="minorEastAsia" w:eastAsiaTheme="minorEastAsia"/>
                <w:szCs w:val="21"/>
              </w:rPr>
              <w:t>，加</w:t>
            </w:r>
            <w:r>
              <w:rPr>
                <w:rFonts w:hint="eastAsia" w:asciiTheme="minorEastAsia" w:hAnsiTheme="minorEastAsia" w:eastAsiaTheme="minorEastAsia"/>
                <w:szCs w:val="21"/>
                <w:lang w:val="en-US" w:eastAsia="zh-CN"/>
              </w:rPr>
              <w:t>40</w:t>
            </w:r>
            <w:r>
              <w:rPr>
                <w:rFonts w:hint="eastAsia" w:asciiTheme="minorEastAsia" w:hAnsiTheme="minorEastAsia" w:eastAsiaTheme="minorEastAsia"/>
                <w:szCs w:val="21"/>
              </w:rPr>
              <w:t>分；</w:t>
            </w:r>
          </w:p>
          <w:p w14:paraId="3CF5E2F1">
            <w:pPr>
              <w:pStyle w:val="139"/>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kern w:val="0"/>
                <w:szCs w:val="21"/>
              </w:rPr>
              <w:t>方案总体设计</w:t>
            </w:r>
            <w:r>
              <w:rPr>
                <w:rFonts w:hint="eastAsia" w:asciiTheme="minorEastAsia" w:hAnsiTheme="minorEastAsia" w:eastAsiaTheme="minorEastAsia"/>
                <w:kern w:val="0"/>
                <w:szCs w:val="21"/>
                <w:lang w:val="en-US" w:eastAsia="zh-CN"/>
              </w:rPr>
              <w:t>基本</w:t>
            </w:r>
            <w:r>
              <w:rPr>
                <w:rFonts w:hint="eastAsia" w:asciiTheme="minorEastAsia" w:hAnsiTheme="minorEastAsia" w:eastAsiaTheme="minorEastAsia"/>
                <w:kern w:val="0"/>
                <w:szCs w:val="21"/>
                <w:lang w:eastAsia="zh-CN"/>
              </w:rPr>
              <w:t>符合项目特点，</w:t>
            </w:r>
            <w:r>
              <w:rPr>
                <w:rFonts w:hint="eastAsia" w:asciiTheme="minorEastAsia" w:hAnsiTheme="minorEastAsia" w:eastAsiaTheme="minorEastAsia"/>
                <w:kern w:val="0"/>
                <w:szCs w:val="21"/>
              </w:rPr>
              <w:t>测评方案</w:t>
            </w:r>
            <w:r>
              <w:rPr>
                <w:rFonts w:hint="eastAsia" w:asciiTheme="minorEastAsia" w:hAnsiTheme="minorEastAsia" w:eastAsiaTheme="minorEastAsia"/>
                <w:kern w:val="0"/>
                <w:szCs w:val="21"/>
                <w:lang w:eastAsia="zh-CN"/>
              </w:rPr>
              <w:t>可操作性</w:t>
            </w:r>
            <w:r>
              <w:rPr>
                <w:rFonts w:hint="eastAsia" w:asciiTheme="minorEastAsia" w:hAnsiTheme="minorEastAsia" w:eastAsiaTheme="minorEastAsia"/>
                <w:kern w:val="0"/>
                <w:szCs w:val="21"/>
                <w:lang w:val="en-US" w:eastAsia="zh-CN"/>
              </w:rPr>
              <w:t>较</w:t>
            </w:r>
            <w:r>
              <w:rPr>
                <w:rFonts w:hint="eastAsia" w:asciiTheme="minorEastAsia" w:hAnsiTheme="minorEastAsia" w:eastAsiaTheme="minorEastAsia"/>
                <w:kern w:val="0"/>
                <w:szCs w:val="21"/>
                <w:lang w:eastAsia="zh-CN"/>
              </w:rPr>
              <w:t>高，</w:t>
            </w:r>
            <w:r>
              <w:rPr>
                <w:rFonts w:hint="eastAsia"/>
              </w:rPr>
              <w:t>质量保障措施</w:t>
            </w:r>
            <w:r>
              <w:rPr>
                <w:rFonts w:hint="eastAsia"/>
                <w:lang w:eastAsia="zh-CN"/>
              </w:rPr>
              <w:t>和售后服务方案</w:t>
            </w:r>
            <w:r>
              <w:rPr>
                <w:rFonts w:hint="eastAsia"/>
                <w:lang w:val="en-US" w:eastAsia="zh-CN"/>
              </w:rPr>
              <w:t>较</w:t>
            </w:r>
            <w:r>
              <w:rPr>
                <w:rFonts w:hint="eastAsia"/>
                <w:lang w:eastAsia="zh-CN"/>
              </w:rPr>
              <w:t>科学完善的，</w:t>
            </w:r>
            <w:r>
              <w:rPr>
                <w:rFonts w:hint="eastAsia" w:asciiTheme="minorEastAsia" w:hAnsiTheme="minorEastAsia" w:eastAsiaTheme="minorEastAsia"/>
                <w:szCs w:val="21"/>
              </w:rPr>
              <w:t>加</w:t>
            </w:r>
            <w:r>
              <w:rPr>
                <w:rFonts w:hint="eastAsia" w:asciiTheme="minorEastAsia" w:hAnsiTheme="minorEastAsia" w:eastAsiaTheme="minorEastAsia"/>
                <w:szCs w:val="21"/>
                <w:lang w:val="en-US" w:eastAsia="zh-CN"/>
              </w:rPr>
              <w:t>25</w:t>
            </w:r>
            <w:r>
              <w:rPr>
                <w:rFonts w:hint="eastAsia" w:asciiTheme="minorEastAsia" w:hAnsiTheme="minorEastAsia" w:eastAsiaTheme="minorEastAsia"/>
                <w:szCs w:val="21"/>
              </w:rPr>
              <w:t>分；</w:t>
            </w:r>
          </w:p>
          <w:p w14:paraId="1E40E99A">
            <w:pPr>
              <w:pStyle w:val="139"/>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kern w:val="0"/>
                <w:szCs w:val="21"/>
              </w:rPr>
              <w:t>方案总体设计</w:t>
            </w:r>
            <w:r>
              <w:rPr>
                <w:rFonts w:hint="eastAsia" w:asciiTheme="minorEastAsia" w:hAnsiTheme="minorEastAsia" w:eastAsiaTheme="minorEastAsia"/>
                <w:kern w:val="0"/>
                <w:szCs w:val="21"/>
                <w:lang w:val="en-US" w:eastAsia="zh-CN"/>
              </w:rPr>
              <w:t>不太</w:t>
            </w:r>
            <w:r>
              <w:rPr>
                <w:rFonts w:hint="eastAsia" w:asciiTheme="minorEastAsia" w:hAnsiTheme="minorEastAsia" w:eastAsiaTheme="minorEastAsia"/>
                <w:kern w:val="0"/>
                <w:szCs w:val="21"/>
                <w:lang w:eastAsia="zh-CN"/>
              </w:rPr>
              <w:t>符合项目特点，</w:t>
            </w:r>
            <w:r>
              <w:rPr>
                <w:rFonts w:hint="eastAsia" w:asciiTheme="minorEastAsia" w:hAnsiTheme="minorEastAsia" w:eastAsiaTheme="minorEastAsia"/>
                <w:kern w:val="0"/>
                <w:szCs w:val="21"/>
              </w:rPr>
              <w:t>测评方案</w:t>
            </w:r>
            <w:r>
              <w:rPr>
                <w:rFonts w:hint="eastAsia" w:asciiTheme="minorEastAsia" w:hAnsiTheme="minorEastAsia" w:eastAsiaTheme="minorEastAsia"/>
                <w:kern w:val="0"/>
                <w:szCs w:val="21"/>
                <w:lang w:eastAsia="zh-CN"/>
              </w:rPr>
              <w:t>可操作性</w:t>
            </w:r>
            <w:r>
              <w:rPr>
                <w:rFonts w:hint="eastAsia" w:asciiTheme="minorEastAsia" w:hAnsiTheme="minorEastAsia" w:eastAsiaTheme="minorEastAsia"/>
                <w:kern w:val="0"/>
                <w:szCs w:val="21"/>
                <w:lang w:val="en-US" w:eastAsia="zh-CN"/>
              </w:rPr>
              <w:t>一般</w:t>
            </w:r>
            <w:r>
              <w:rPr>
                <w:rFonts w:hint="eastAsia" w:asciiTheme="minorEastAsia" w:hAnsiTheme="minorEastAsia" w:eastAsiaTheme="minorEastAsia"/>
                <w:kern w:val="0"/>
                <w:szCs w:val="21"/>
                <w:lang w:eastAsia="zh-CN"/>
              </w:rPr>
              <w:t>，</w:t>
            </w:r>
            <w:r>
              <w:rPr>
                <w:rFonts w:hint="eastAsia"/>
              </w:rPr>
              <w:t>质量保障措施</w:t>
            </w:r>
            <w:r>
              <w:rPr>
                <w:rFonts w:hint="eastAsia"/>
                <w:lang w:eastAsia="zh-CN"/>
              </w:rPr>
              <w:t>和售后服务方案科学完善</w:t>
            </w:r>
            <w:r>
              <w:rPr>
                <w:rFonts w:hint="eastAsia"/>
                <w:lang w:val="en-US" w:eastAsia="zh-CN"/>
              </w:rPr>
              <w:t>行性一般</w:t>
            </w:r>
            <w:r>
              <w:rPr>
                <w:rFonts w:hint="eastAsia"/>
                <w:lang w:eastAsia="zh-CN"/>
              </w:rPr>
              <w:t>的，</w:t>
            </w:r>
            <w:r>
              <w:rPr>
                <w:rFonts w:hint="eastAsia"/>
                <w:lang w:val="en-US" w:eastAsia="zh-CN"/>
              </w:rPr>
              <w:t>加15分</w:t>
            </w:r>
            <w:r>
              <w:rPr>
                <w:rFonts w:hint="eastAsia" w:asciiTheme="minorEastAsia" w:hAnsiTheme="minorEastAsia" w:eastAsiaTheme="minorEastAsia"/>
                <w:szCs w:val="21"/>
              </w:rPr>
              <w:t>；</w:t>
            </w:r>
          </w:p>
          <w:p w14:paraId="24C75FE4">
            <w:pPr>
              <w:pStyle w:val="139"/>
              <w:spacing w:line="360" w:lineRule="exact"/>
              <w:ind w:firstLine="0" w:firstLineChars="0"/>
              <w:rPr>
                <w:rFonts w:cs="宋体"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eastAsiaTheme="minorEastAsia"/>
                <w:kern w:val="0"/>
                <w:szCs w:val="21"/>
              </w:rPr>
              <w:t>方案总体设计</w:t>
            </w:r>
            <w:r>
              <w:rPr>
                <w:rFonts w:hint="eastAsia" w:asciiTheme="minorEastAsia" w:hAnsiTheme="minorEastAsia" w:eastAsiaTheme="minorEastAsia"/>
                <w:kern w:val="0"/>
                <w:szCs w:val="21"/>
                <w:lang w:val="en-US" w:eastAsia="zh-CN"/>
              </w:rPr>
              <w:t>不</w:t>
            </w:r>
            <w:r>
              <w:rPr>
                <w:rFonts w:hint="eastAsia" w:asciiTheme="minorEastAsia" w:hAnsiTheme="minorEastAsia" w:eastAsiaTheme="minorEastAsia"/>
                <w:kern w:val="0"/>
                <w:szCs w:val="21"/>
                <w:lang w:eastAsia="zh-CN"/>
              </w:rPr>
              <w:t>符合项目特点，</w:t>
            </w:r>
            <w:r>
              <w:rPr>
                <w:rFonts w:hint="eastAsia" w:asciiTheme="minorEastAsia" w:hAnsiTheme="minorEastAsia" w:eastAsiaTheme="minorEastAsia"/>
                <w:kern w:val="0"/>
                <w:szCs w:val="21"/>
              </w:rPr>
              <w:t>测评方案</w:t>
            </w:r>
            <w:r>
              <w:rPr>
                <w:rFonts w:hint="eastAsia" w:asciiTheme="minorEastAsia" w:hAnsiTheme="minorEastAsia" w:eastAsiaTheme="minorEastAsia"/>
                <w:kern w:val="0"/>
                <w:szCs w:val="21"/>
                <w:lang w:eastAsia="zh-CN"/>
              </w:rPr>
              <w:t>可操作性</w:t>
            </w:r>
            <w:r>
              <w:rPr>
                <w:rFonts w:hint="eastAsia" w:asciiTheme="minorEastAsia" w:hAnsiTheme="minorEastAsia" w:eastAsiaTheme="minorEastAsia"/>
                <w:kern w:val="0"/>
                <w:szCs w:val="21"/>
                <w:lang w:val="en-US" w:eastAsia="zh-CN"/>
              </w:rPr>
              <w:t>差</w:t>
            </w:r>
            <w:r>
              <w:rPr>
                <w:rFonts w:hint="eastAsia" w:asciiTheme="minorEastAsia" w:hAnsiTheme="minorEastAsia" w:eastAsiaTheme="minorEastAsia"/>
                <w:kern w:val="0"/>
                <w:szCs w:val="21"/>
                <w:lang w:eastAsia="zh-CN"/>
              </w:rPr>
              <w:t>，</w:t>
            </w:r>
            <w:r>
              <w:rPr>
                <w:rFonts w:hint="eastAsia"/>
              </w:rPr>
              <w:t>质量保障措施</w:t>
            </w:r>
            <w:r>
              <w:rPr>
                <w:rFonts w:hint="eastAsia"/>
                <w:lang w:eastAsia="zh-CN"/>
              </w:rPr>
              <w:t>和售后服务方案</w:t>
            </w:r>
            <w:r>
              <w:rPr>
                <w:rFonts w:hint="eastAsia"/>
                <w:lang w:val="en-US" w:eastAsia="zh-CN"/>
              </w:rPr>
              <w:t>不</w:t>
            </w:r>
            <w:r>
              <w:rPr>
                <w:rFonts w:hint="eastAsia"/>
                <w:lang w:eastAsia="zh-CN"/>
              </w:rPr>
              <w:t>科学</w:t>
            </w:r>
            <w:r>
              <w:rPr>
                <w:rFonts w:hint="eastAsia"/>
                <w:lang w:val="en-US" w:eastAsia="zh-CN"/>
              </w:rPr>
              <w:t>不</w:t>
            </w:r>
            <w:r>
              <w:rPr>
                <w:rFonts w:hint="eastAsia"/>
                <w:lang w:eastAsia="zh-CN"/>
              </w:rPr>
              <w:t>完善</w:t>
            </w:r>
            <w:r>
              <w:rPr>
                <w:rFonts w:hint="eastAsia"/>
                <w:lang w:val="en-US" w:eastAsia="zh-CN"/>
              </w:rPr>
              <w:t>的</w:t>
            </w:r>
            <w:r>
              <w:rPr>
                <w:rFonts w:hint="eastAsia"/>
                <w:lang w:eastAsia="zh-CN"/>
              </w:rPr>
              <w:t>，</w:t>
            </w:r>
            <w:r>
              <w:rPr>
                <w:rFonts w:hint="eastAsia"/>
                <w:lang w:val="en-US" w:eastAsia="zh-CN"/>
              </w:rPr>
              <w:t>不加分</w:t>
            </w:r>
            <w:r>
              <w:rPr>
                <w:rFonts w:hint="eastAsia" w:asciiTheme="minorEastAsia" w:hAnsiTheme="minorEastAsia" w:eastAsiaTheme="minorEastAsia"/>
                <w:szCs w:val="21"/>
              </w:rPr>
              <w:t>。</w:t>
            </w:r>
          </w:p>
        </w:tc>
      </w:tr>
      <w:tr w14:paraId="03C995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07B9C854">
            <w:pPr>
              <w:spacing w:line="360" w:lineRule="exact"/>
              <w:rPr>
                <w:rFonts w:cs="宋体" w:asciiTheme="minorEastAsia" w:hAnsiTheme="minorEastAsia" w:eastAsiaTheme="minorEastAsia"/>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tcPr>
          <w:p w14:paraId="4F30E1C2">
            <w:pPr>
              <w:spacing w:line="360" w:lineRule="exact"/>
              <w:jc w:val="center"/>
              <w:rPr>
                <w:rFonts w:cs="宋体" w:asciiTheme="minorEastAsia" w:hAnsiTheme="minorEastAsia" w:eastAsiaTheme="minorEastAsia"/>
                <w:szCs w:val="21"/>
              </w:rPr>
            </w:pPr>
            <w:r>
              <w:rPr>
                <w:rFonts w:asciiTheme="minorEastAsia" w:hAnsiTheme="minorEastAsia" w:eastAsiaTheme="minorEastAsia"/>
                <w:szCs w:val="21"/>
              </w:rPr>
              <w:t>2</w:t>
            </w:r>
          </w:p>
        </w:tc>
        <w:tc>
          <w:tcPr>
            <w:tcW w:w="2835" w:type="dxa"/>
            <w:tcBorders>
              <w:top w:val="single" w:color="000000" w:sz="8" w:space="0"/>
              <w:left w:val="single" w:color="000000" w:sz="8" w:space="0"/>
              <w:bottom w:val="single" w:color="000000" w:sz="8" w:space="0"/>
              <w:right w:val="single" w:color="000000" w:sz="8" w:space="0"/>
            </w:tcBorders>
            <w:vAlign w:val="top"/>
          </w:tcPr>
          <w:p w14:paraId="66F7473B">
            <w:pPr>
              <w:spacing w:line="360" w:lineRule="exact"/>
              <w:jc w:val="both"/>
              <w:rPr>
                <w:rFonts w:cs="宋体" w:asciiTheme="minorEastAsia" w:hAnsiTheme="minorEastAsia" w:eastAsiaTheme="minorEastAsia"/>
                <w:szCs w:val="21"/>
              </w:rPr>
            </w:pPr>
            <w:r>
              <w:rPr>
                <w:rFonts w:hint="eastAsia" w:asciiTheme="minorEastAsia" w:hAnsiTheme="minorEastAsia" w:eastAsiaTheme="minorEastAsia"/>
                <w:szCs w:val="21"/>
              </w:rPr>
              <w:t>项目重点难点分析、应对措施及相关的合理化建议</w:t>
            </w:r>
          </w:p>
        </w:tc>
        <w:tc>
          <w:tcPr>
            <w:tcW w:w="681" w:type="dxa"/>
            <w:tcBorders>
              <w:top w:val="single" w:color="000000" w:sz="8" w:space="0"/>
              <w:left w:val="single" w:color="000000" w:sz="8" w:space="0"/>
              <w:bottom w:val="single" w:color="000000" w:sz="8" w:space="0"/>
              <w:right w:val="single" w:color="000000" w:sz="8" w:space="0"/>
            </w:tcBorders>
            <w:vAlign w:val="top"/>
          </w:tcPr>
          <w:p w14:paraId="28FD6E9D">
            <w:pPr>
              <w:widowControl/>
              <w:spacing w:line="360" w:lineRule="exact"/>
              <w:jc w:val="both"/>
              <w:rPr>
                <w:rFonts w:cs="宋体" w:asciiTheme="minorEastAsia" w:hAnsiTheme="minorEastAsia" w:eastAsiaTheme="minorEastAsia"/>
                <w:szCs w:val="21"/>
              </w:rPr>
            </w:pPr>
            <w:r>
              <w:rPr>
                <w:rFonts w:hint="eastAsia" w:asciiTheme="minorEastAsia" w:hAnsiTheme="minorEastAsia" w:eastAsiaTheme="minorEastAsia"/>
                <w:kern w:val="0"/>
                <w:szCs w:val="21"/>
              </w:rPr>
              <w:t>5</w:t>
            </w:r>
          </w:p>
        </w:tc>
        <w:tc>
          <w:tcPr>
            <w:tcW w:w="4763" w:type="dxa"/>
            <w:tcBorders>
              <w:top w:val="single" w:color="000000" w:sz="8" w:space="0"/>
              <w:left w:val="single" w:color="000000" w:sz="8" w:space="0"/>
              <w:bottom w:val="single" w:color="000000" w:sz="8" w:space="0"/>
              <w:right w:val="single" w:color="000000" w:sz="8" w:space="0"/>
            </w:tcBorders>
            <w:vAlign w:val="center"/>
          </w:tcPr>
          <w:p w14:paraId="2DBD88FF">
            <w:pPr>
              <w:pStyle w:val="139"/>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（一）评分内容：</w:t>
            </w:r>
          </w:p>
          <w:p w14:paraId="726C9C8A">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考察投标人提供的</w:t>
            </w:r>
            <w:r>
              <w:rPr>
                <w:rFonts w:hint="eastAsia" w:asciiTheme="minorEastAsia" w:hAnsiTheme="minorEastAsia" w:eastAsiaTheme="minorEastAsia"/>
                <w:szCs w:val="21"/>
              </w:rPr>
              <w:t>项目重点难点分析、应对措施及相关的合理化建议</w:t>
            </w:r>
            <w:r>
              <w:rPr>
                <w:rFonts w:hint="eastAsia" w:asciiTheme="minorEastAsia" w:hAnsiTheme="minorEastAsia" w:eastAsiaTheme="minorEastAsia"/>
                <w:kern w:val="0"/>
                <w:szCs w:val="21"/>
              </w:rPr>
              <w:t>，包含以下内容：</w:t>
            </w:r>
          </w:p>
          <w:p w14:paraId="0D8D97F4">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1. 梳理现状问题和判断痛点；</w:t>
            </w:r>
          </w:p>
          <w:p w14:paraId="63E2D667">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2．针对问题和痛点，提出应对措施和实施建议。</w:t>
            </w:r>
          </w:p>
          <w:p w14:paraId="64580C4F">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2E010FA0">
            <w:pPr>
              <w:pStyle w:val="139"/>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方案包含以上两项内容得</w:t>
            </w:r>
            <w:r>
              <w:rPr>
                <w:rFonts w:hint="eastAsia" w:asciiTheme="minorEastAsia" w:hAnsiTheme="minorEastAsia" w:eastAsiaTheme="minorEastAsia"/>
                <w:szCs w:val="21"/>
                <w:lang w:val="en-US" w:eastAsia="zh-CN"/>
              </w:rPr>
              <w:t>40</w:t>
            </w:r>
            <w:r>
              <w:rPr>
                <w:rFonts w:hint="eastAsia" w:asciiTheme="minorEastAsia" w:hAnsiTheme="minorEastAsia" w:eastAsiaTheme="minorEastAsia"/>
                <w:szCs w:val="21"/>
              </w:rPr>
              <w:t>分；包含以上一项内容得</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分；其他情况不得分。</w:t>
            </w:r>
          </w:p>
          <w:p w14:paraId="44F3CD1D">
            <w:pPr>
              <w:pStyle w:val="139"/>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在此基础上，根据方案响应情况进一步评审：</w:t>
            </w:r>
          </w:p>
          <w:p w14:paraId="3AE24B88">
            <w:pPr>
              <w:pStyle w:val="139"/>
              <w:numPr>
                <w:ilvl w:val="0"/>
                <w:numId w:val="0"/>
              </w:numPr>
              <w:spacing w:line="360" w:lineRule="exact"/>
              <w:ind w:firstLine="0" w:firstLineChars="0"/>
              <w:rPr>
                <w:rFonts w:hint="eastAsia" w:asciiTheme="minorEastAsia" w:hAnsiTheme="minorEastAsia" w:eastAsiaTheme="minorEastAsia"/>
                <w:szCs w:val="21"/>
              </w:rPr>
            </w:pPr>
            <w:r>
              <w:rPr>
                <w:rFonts w:hint="eastAsia" w:cs="Times New Roman" w:asciiTheme="minorEastAsia" w:hAnsiTheme="minorEastAsia" w:eastAsiaTheme="minorEastAsia"/>
                <w:kern w:val="2"/>
                <w:sz w:val="21"/>
                <w:szCs w:val="21"/>
                <w:lang w:val="en-US" w:eastAsia="zh-CN" w:bidi="ar-SA"/>
              </w:rPr>
              <w:t>1.</w:t>
            </w:r>
            <w:r>
              <w:rPr>
                <w:rFonts w:hint="eastAsia" w:asciiTheme="minorEastAsia" w:hAnsiTheme="minorEastAsia" w:eastAsiaTheme="minorEastAsia"/>
                <w:szCs w:val="21"/>
              </w:rPr>
              <w:t>项目重点难点分析、应对措施及技术保障相关的合理化建议内容</w:t>
            </w:r>
            <w:r>
              <w:rPr>
                <w:rFonts w:hint="eastAsia" w:asciiTheme="minorEastAsia" w:hAnsiTheme="minorEastAsia" w:eastAsiaTheme="minorEastAsia"/>
                <w:szCs w:val="21"/>
                <w:lang w:eastAsia="zh"/>
                <w:woUserID w:val="1"/>
              </w:rPr>
              <w:t>科学完善的，加60分；</w:t>
            </w:r>
          </w:p>
          <w:p w14:paraId="2F018414">
            <w:pPr>
              <w:pStyle w:val="139"/>
              <w:numPr>
                <w:ilvl w:val="0"/>
                <w:numId w:val="0"/>
              </w:numPr>
              <w:spacing w:line="360" w:lineRule="exact"/>
              <w:ind w:firstLine="0" w:firstLineChars="0"/>
              <w:rPr>
                <w:rFonts w:hint="eastAsia" w:asciiTheme="minorEastAsia" w:hAnsiTheme="minorEastAsia" w:eastAsiaTheme="minorEastAsia"/>
                <w:szCs w:val="21"/>
              </w:rPr>
            </w:pPr>
            <w:r>
              <w:rPr>
                <w:rFonts w:hint="eastAsia" w:cs="Times New Roman" w:asciiTheme="minorEastAsia" w:hAnsiTheme="minorEastAsia" w:eastAsiaTheme="minorEastAsia"/>
                <w:kern w:val="2"/>
                <w:sz w:val="21"/>
                <w:szCs w:val="21"/>
                <w:lang w:val="en-US" w:eastAsia="zh-CN" w:bidi="ar-SA"/>
              </w:rPr>
              <w:t>2.</w:t>
            </w:r>
            <w:r>
              <w:rPr>
                <w:rFonts w:hint="eastAsia" w:asciiTheme="minorEastAsia" w:hAnsiTheme="minorEastAsia" w:eastAsiaTheme="minorEastAsia"/>
                <w:szCs w:val="21"/>
              </w:rPr>
              <w:t>项目重点难点分析、应对措施及技术保障相关的合理化建议内容</w:t>
            </w:r>
            <w:r>
              <w:rPr>
                <w:rFonts w:hint="eastAsia" w:asciiTheme="minorEastAsia" w:hAnsiTheme="minorEastAsia" w:eastAsiaTheme="minorEastAsia"/>
                <w:szCs w:val="21"/>
                <w:lang w:eastAsia="zh"/>
                <w:woUserID w:val="1"/>
              </w:rPr>
              <w:t>较科学完善的，加40分；</w:t>
            </w:r>
          </w:p>
          <w:p w14:paraId="1E039046">
            <w:pPr>
              <w:pStyle w:val="139"/>
              <w:numPr>
                <w:ilvl w:val="0"/>
                <w:numId w:val="0"/>
              </w:numPr>
              <w:spacing w:line="360" w:lineRule="exact"/>
              <w:ind w:firstLine="0" w:firstLineChars="0"/>
              <w:rPr>
                <w:rFonts w:hint="eastAsia" w:asciiTheme="minorEastAsia" w:hAnsiTheme="minorEastAsia" w:eastAsiaTheme="minorEastAsia"/>
                <w:szCs w:val="21"/>
              </w:rPr>
            </w:pPr>
            <w:r>
              <w:rPr>
                <w:rFonts w:hint="eastAsia" w:cs="Times New Roman" w:asciiTheme="minorEastAsia" w:hAnsiTheme="minorEastAsia" w:eastAsiaTheme="minorEastAsia"/>
                <w:kern w:val="2"/>
                <w:sz w:val="21"/>
                <w:szCs w:val="21"/>
                <w:lang w:val="en-US" w:eastAsia="zh-CN" w:bidi="ar-SA"/>
              </w:rPr>
              <w:t>3.</w:t>
            </w:r>
            <w:r>
              <w:rPr>
                <w:rFonts w:hint="eastAsia" w:asciiTheme="minorEastAsia" w:hAnsiTheme="minorEastAsia" w:eastAsiaTheme="minorEastAsia"/>
                <w:szCs w:val="21"/>
              </w:rPr>
              <w:t>项目重点难点分析、应对措施及技术保障相关的合理化建议内容</w:t>
            </w:r>
            <w:r>
              <w:rPr>
                <w:rFonts w:hint="eastAsia" w:asciiTheme="minorEastAsia" w:hAnsiTheme="minorEastAsia" w:eastAsiaTheme="minorEastAsia"/>
                <w:szCs w:val="21"/>
                <w:lang w:eastAsia="zh"/>
                <w:woUserID w:val="1"/>
              </w:rPr>
              <w:t>科学完善性一般的，加20分；</w:t>
            </w:r>
          </w:p>
          <w:p w14:paraId="38F88987">
            <w:pPr>
              <w:autoSpaceDE w:val="0"/>
              <w:autoSpaceDN w:val="0"/>
              <w:adjustRightInd w:val="0"/>
              <w:spacing w:line="360" w:lineRule="exact"/>
              <w:rPr>
                <w:rFonts w:hint="eastAsia" w:cs="宋体" w:asciiTheme="minorEastAsia" w:hAnsiTheme="minorEastAsia" w:eastAsiaTheme="minorEastAsia"/>
                <w:szCs w:val="21"/>
                <w:lang w:eastAsia="zh-CN"/>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项目重点难点分析、应对措施及技术保障相关的合理化建议内容</w:t>
            </w:r>
            <w:r>
              <w:rPr>
                <w:rFonts w:hint="eastAsia" w:asciiTheme="minorEastAsia" w:hAnsiTheme="minorEastAsia" w:eastAsiaTheme="minorEastAsia"/>
                <w:szCs w:val="21"/>
                <w:lang w:eastAsia="zh"/>
                <w:woUserID w:val="1"/>
              </w:rPr>
              <w:t>不科学不完善的，</w:t>
            </w:r>
            <w:r>
              <w:rPr>
                <w:rFonts w:hint="eastAsia" w:asciiTheme="minorEastAsia" w:hAnsiTheme="minorEastAsia" w:eastAsiaTheme="minorEastAsia"/>
                <w:szCs w:val="21"/>
                <w:lang w:val="en-US" w:eastAsia="zh-CN"/>
                <w:woUserID w:val="1"/>
              </w:rPr>
              <w:t>不加分</w:t>
            </w:r>
            <w:r>
              <w:rPr>
                <w:rFonts w:hint="eastAsia" w:asciiTheme="minorEastAsia" w:hAnsiTheme="minorEastAsia" w:eastAsiaTheme="minorEastAsia"/>
                <w:szCs w:val="21"/>
                <w:lang w:eastAsia="zh-CN"/>
                <w:woUserID w:val="1"/>
              </w:rPr>
              <w:t>。</w:t>
            </w:r>
            <w:bookmarkStart w:id="82" w:name="_GoBack"/>
            <w:bookmarkEnd w:id="82"/>
          </w:p>
        </w:tc>
      </w:tr>
      <w:tr w14:paraId="778D16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03321F36">
            <w:pPr>
              <w:spacing w:line="360" w:lineRule="exact"/>
              <w:rPr>
                <w:rFonts w:cs="宋体" w:asciiTheme="minorEastAsia" w:hAnsiTheme="minorEastAsia" w:eastAsiaTheme="minorEastAsia"/>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tcPr>
          <w:p w14:paraId="08CB1857">
            <w:pPr>
              <w:spacing w:line="360" w:lineRule="exact"/>
              <w:jc w:val="center"/>
              <w:rPr>
                <w:rFonts w:cs="宋体" w:asciiTheme="minorEastAsia" w:hAnsiTheme="minorEastAsia" w:eastAsiaTheme="minorEastAsia"/>
                <w:szCs w:val="21"/>
              </w:rPr>
            </w:pPr>
            <w:r>
              <w:rPr>
                <w:rFonts w:asciiTheme="minorEastAsia" w:hAnsiTheme="minorEastAsia" w:eastAsiaTheme="minorEastAsia"/>
                <w:szCs w:val="21"/>
              </w:rPr>
              <w:t>3</w:t>
            </w:r>
          </w:p>
        </w:tc>
        <w:tc>
          <w:tcPr>
            <w:tcW w:w="2835" w:type="dxa"/>
            <w:tcBorders>
              <w:top w:val="single" w:color="000000" w:sz="8" w:space="0"/>
              <w:left w:val="single" w:color="000000" w:sz="8" w:space="0"/>
              <w:bottom w:val="single" w:color="000000" w:sz="8" w:space="0"/>
              <w:right w:val="single" w:color="000000" w:sz="8" w:space="0"/>
            </w:tcBorders>
            <w:vAlign w:val="top"/>
          </w:tcPr>
          <w:p w14:paraId="66362ECC">
            <w:pPr>
              <w:spacing w:line="360" w:lineRule="exact"/>
              <w:jc w:val="both"/>
              <w:rPr>
                <w:rFonts w:cs="宋体" w:asciiTheme="minorEastAsia" w:hAnsiTheme="minorEastAsia" w:eastAsiaTheme="minorEastAsia"/>
                <w:szCs w:val="21"/>
              </w:rPr>
            </w:pPr>
            <w:r>
              <w:rPr>
                <w:rFonts w:hint="eastAsia" w:asciiTheme="minorEastAsia" w:hAnsiTheme="minorEastAsia" w:eastAsiaTheme="minorEastAsia"/>
                <w:kern w:val="0"/>
                <w:szCs w:val="21"/>
              </w:rPr>
              <w:t>技术条款响应情况（测评工具）</w:t>
            </w:r>
          </w:p>
        </w:tc>
        <w:tc>
          <w:tcPr>
            <w:tcW w:w="681" w:type="dxa"/>
            <w:tcBorders>
              <w:top w:val="single" w:color="000000" w:sz="8" w:space="0"/>
              <w:left w:val="single" w:color="000000" w:sz="8" w:space="0"/>
              <w:bottom w:val="single" w:color="000000" w:sz="8" w:space="0"/>
              <w:right w:val="single" w:color="000000" w:sz="8" w:space="0"/>
            </w:tcBorders>
            <w:vAlign w:val="top"/>
          </w:tcPr>
          <w:p w14:paraId="3483C660">
            <w:pPr>
              <w:widowControl/>
              <w:spacing w:line="360" w:lineRule="exact"/>
              <w:jc w:val="both"/>
              <w:rPr>
                <w:rFonts w:cs="宋体" w:asciiTheme="minorEastAsia" w:hAnsiTheme="minorEastAsia" w:eastAsiaTheme="minorEastAsia"/>
                <w:szCs w:val="21"/>
              </w:rPr>
            </w:pPr>
            <w:r>
              <w:rPr>
                <w:rFonts w:hint="eastAsia" w:asciiTheme="minorEastAsia" w:hAnsiTheme="minorEastAsia" w:eastAsiaTheme="minorEastAsia"/>
                <w:kern w:val="0"/>
                <w:szCs w:val="21"/>
                <w:lang w:val="en-US" w:eastAsia="zh-CN"/>
              </w:rPr>
              <w:t>5</w:t>
            </w:r>
          </w:p>
        </w:tc>
        <w:tc>
          <w:tcPr>
            <w:tcW w:w="4763" w:type="dxa"/>
            <w:tcBorders>
              <w:top w:val="single" w:color="000000" w:sz="8" w:space="0"/>
              <w:left w:val="single" w:color="000000" w:sz="8" w:space="0"/>
              <w:bottom w:val="single" w:color="000000" w:sz="8" w:space="0"/>
              <w:right w:val="single" w:color="000000" w:sz="8" w:space="0"/>
            </w:tcBorders>
            <w:vAlign w:val="center"/>
          </w:tcPr>
          <w:p w14:paraId="533000AD">
            <w:r>
              <w:rPr>
                <w:rFonts w:hint="eastAsia" w:asciiTheme="minorEastAsia" w:hAnsiTheme="minorEastAsia" w:eastAsiaTheme="minorEastAsia"/>
                <w:kern w:val="0"/>
                <w:szCs w:val="21"/>
              </w:rPr>
              <w:t>投标人提供的测评工具须满足（二、项目服务要求（四）测评需求说明2、测评工具技术需求）的技术要求，全部满足的得</w:t>
            </w:r>
            <w:r>
              <w:rPr>
                <w:rFonts w:hint="eastAsia" w:asciiTheme="minorEastAsia" w:hAnsiTheme="minorEastAsia" w:eastAsiaTheme="minorEastAsia"/>
                <w:kern w:val="0"/>
                <w:szCs w:val="21"/>
                <w:lang w:val="en-US" w:eastAsia="zh-CN"/>
              </w:rPr>
              <w:t>100</w:t>
            </w:r>
            <w:r>
              <w:rPr>
                <w:rFonts w:hint="eastAsia" w:asciiTheme="minorEastAsia" w:hAnsiTheme="minorEastAsia" w:eastAsiaTheme="minorEastAsia"/>
                <w:kern w:val="0"/>
                <w:szCs w:val="21"/>
              </w:rPr>
              <w:t>分，</w:t>
            </w:r>
            <w:r>
              <w:rPr>
                <w:rFonts w:hint="eastAsia" w:asciiTheme="minorEastAsia" w:hAnsiTheme="minorEastAsia" w:eastAsiaTheme="minorEastAsia"/>
                <w:kern w:val="0"/>
                <w:szCs w:val="21"/>
                <w:lang w:eastAsia="zh-CN"/>
              </w:rPr>
              <w:t>每</w:t>
            </w:r>
            <w:r>
              <w:rPr>
                <w:rFonts w:hint="eastAsia" w:asciiTheme="minorEastAsia" w:hAnsiTheme="minorEastAsia" w:eastAsiaTheme="minorEastAsia"/>
                <w:kern w:val="0"/>
                <w:szCs w:val="21"/>
              </w:rPr>
              <w:t>负偏离一项扣</w:t>
            </w:r>
            <w:r>
              <w:rPr>
                <w:rFonts w:hint="eastAsia" w:asciiTheme="minorEastAsia" w:hAnsiTheme="minorEastAsia" w:eastAsiaTheme="minorEastAsia"/>
                <w:kern w:val="0"/>
                <w:szCs w:val="21"/>
                <w:lang w:val="en-US" w:eastAsia="zh-CN"/>
              </w:rPr>
              <w:t>6.25</w:t>
            </w:r>
            <w:r>
              <w:rPr>
                <w:rFonts w:hint="eastAsia" w:asciiTheme="minorEastAsia" w:hAnsiTheme="minorEastAsia" w:eastAsiaTheme="minorEastAsia"/>
                <w:kern w:val="0"/>
                <w:szCs w:val="21"/>
              </w:rPr>
              <w:t>分。</w:t>
            </w:r>
            <w:r>
              <w:rPr>
                <w:rFonts w:hint="eastAsia" w:asciiTheme="minorEastAsia" w:hAnsiTheme="minorEastAsia" w:eastAsiaTheme="minorEastAsia"/>
                <w:kern w:val="0"/>
                <w:szCs w:val="21"/>
                <w:lang w:eastAsia="zh-CN"/>
              </w:rPr>
              <w:t>最低得</w:t>
            </w:r>
            <w:r>
              <w:rPr>
                <w:rFonts w:hint="eastAsia" w:asciiTheme="minorEastAsia" w:hAnsiTheme="minorEastAsia" w:eastAsiaTheme="minorEastAsia"/>
                <w:kern w:val="0"/>
                <w:szCs w:val="21"/>
                <w:lang w:val="en-US" w:eastAsia="zh-CN"/>
              </w:rPr>
              <w:t>0分</w:t>
            </w:r>
            <w:r>
              <w:rPr>
                <w:rFonts w:hint="eastAsia" w:asciiTheme="minorEastAsia" w:hAnsiTheme="minorEastAsia" w:eastAsiaTheme="minorEastAsia"/>
                <w:kern w:val="0"/>
                <w:szCs w:val="21"/>
              </w:rPr>
              <w:t>。</w:t>
            </w:r>
          </w:p>
          <w:p w14:paraId="23698539">
            <w:pPr>
              <w:widowControl/>
              <w:snapToGrid w:val="0"/>
              <w:spacing w:line="360" w:lineRule="exact"/>
              <w:jc w:val="left"/>
              <w:rPr>
                <w:rFonts w:cs="宋体" w:asciiTheme="minorEastAsia" w:hAnsiTheme="minorEastAsia" w:eastAsiaTheme="minorEastAsia"/>
                <w:szCs w:val="21"/>
              </w:rPr>
            </w:pPr>
            <w:r>
              <w:rPr>
                <w:rFonts w:hint="eastAsia" w:ascii="宋体" w:hAnsi="宋体" w:cs="仿宋"/>
                <w:b/>
                <w:szCs w:val="21"/>
              </w:rPr>
              <w:t>特别提醒：投标人的“</w:t>
            </w:r>
            <w:r>
              <w:rPr>
                <w:rFonts w:hint="eastAsia" w:asciiTheme="minorEastAsia" w:hAnsiTheme="minorEastAsia" w:eastAsiaTheme="minorEastAsia"/>
                <w:kern w:val="0"/>
                <w:szCs w:val="21"/>
              </w:rPr>
              <w:t>测评工具技术需求</w:t>
            </w:r>
            <w:r>
              <w:rPr>
                <w:rFonts w:hint="eastAsia" w:ascii="宋体" w:hAnsi="宋体" w:cs="仿宋"/>
                <w:b/>
                <w:szCs w:val="21"/>
              </w:rPr>
              <w:t>偏离情况”必须与客观实际保持一致，响应不实且情节严重的，经查实，将依法记入供应商诚信档案或受到行政处罚。</w:t>
            </w:r>
          </w:p>
        </w:tc>
      </w:tr>
      <w:tr w14:paraId="446470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0C3CCC87">
            <w:pPr>
              <w:spacing w:line="360" w:lineRule="exact"/>
              <w:rPr>
                <w:rFonts w:cs="宋体" w:asciiTheme="minorEastAsia" w:hAnsiTheme="minorEastAsia" w:eastAsiaTheme="minorEastAsia"/>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tcPr>
          <w:p w14:paraId="5A6E4542">
            <w:pPr>
              <w:spacing w:line="360" w:lineRule="exact"/>
              <w:jc w:val="center"/>
              <w:rPr>
                <w:rFonts w:cs="宋体" w:asciiTheme="minorEastAsia" w:hAnsiTheme="minorEastAsia" w:eastAsiaTheme="minorEastAsia"/>
                <w:szCs w:val="21"/>
              </w:rPr>
            </w:pPr>
            <w:r>
              <w:rPr>
                <w:rFonts w:asciiTheme="minorEastAsia" w:hAnsiTheme="minorEastAsia" w:eastAsiaTheme="minorEastAsia"/>
                <w:szCs w:val="21"/>
              </w:rPr>
              <w:t>4</w:t>
            </w:r>
          </w:p>
        </w:tc>
        <w:tc>
          <w:tcPr>
            <w:tcW w:w="2835" w:type="dxa"/>
            <w:tcBorders>
              <w:top w:val="single" w:color="000000" w:sz="8" w:space="0"/>
              <w:left w:val="single" w:color="000000" w:sz="8" w:space="0"/>
              <w:bottom w:val="single" w:color="000000" w:sz="8" w:space="0"/>
              <w:right w:val="single" w:color="000000" w:sz="8" w:space="0"/>
            </w:tcBorders>
            <w:vAlign w:val="top"/>
          </w:tcPr>
          <w:p w14:paraId="299BB80F">
            <w:pPr>
              <w:adjustRightInd w:val="0"/>
              <w:snapToGrid w:val="0"/>
              <w:spacing w:line="360" w:lineRule="exact"/>
              <w:jc w:val="both"/>
              <w:rPr>
                <w:rFonts w:cs="宋体" w:asciiTheme="minorEastAsia" w:hAnsiTheme="minorEastAsia" w:eastAsiaTheme="minorEastAsia"/>
                <w:szCs w:val="21"/>
              </w:rPr>
            </w:pPr>
            <w:r>
              <w:rPr>
                <w:rFonts w:hint="eastAsia" w:asciiTheme="minorEastAsia" w:hAnsiTheme="minorEastAsia" w:eastAsiaTheme="minorEastAsia"/>
                <w:snapToGrid w:val="0"/>
                <w:kern w:val="0"/>
                <w:szCs w:val="21"/>
                <w:highlight w:val="none"/>
              </w:rPr>
              <w:t>拟安排项目负责人情况（仅限1人）</w:t>
            </w:r>
          </w:p>
        </w:tc>
        <w:tc>
          <w:tcPr>
            <w:tcW w:w="681" w:type="dxa"/>
            <w:tcBorders>
              <w:top w:val="single" w:color="000000" w:sz="8" w:space="0"/>
              <w:left w:val="single" w:color="000000" w:sz="8" w:space="0"/>
              <w:bottom w:val="single" w:color="000000" w:sz="8" w:space="0"/>
              <w:right w:val="single" w:color="000000" w:sz="8" w:space="0"/>
            </w:tcBorders>
            <w:vAlign w:val="top"/>
          </w:tcPr>
          <w:p w14:paraId="0CB23990">
            <w:pPr>
              <w:adjustRightInd w:val="0"/>
              <w:snapToGrid w:val="0"/>
              <w:spacing w:line="360" w:lineRule="exact"/>
              <w:jc w:val="both"/>
              <w:rPr>
                <w:rFonts w:cs="宋体" w:asciiTheme="minorEastAsia" w:hAnsiTheme="minorEastAsia" w:eastAsiaTheme="minorEastAsia"/>
                <w:szCs w:val="21"/>
              </w:rPr>
            </w:pPr>
            <w:r>
              <w:rPr>
                <w:rFonts w:hint="eastAsia" w:asciiTheme="minorEastAsia" w:hAnsiTheme="minorEastAsia" w:eastAsiaTheme="minorEastAsia"/>
                <w:snapToGrid w:val="0"/>
                <w:kern w:val="0"/>
                <w:szCs w:val="21"/>
                <w:highlight w:val="none"/>
                <w:lang w:val="en-US" w:eastAsia="zh-CN"/>
              </w:rPr>
              <w:t>15</w:t>
            </w:r>
          </w:p>
        </w:tc>
        <w:tc>
          <w:tcPr>
            <w:tcW w:w="4763" w:type="dxa"/>
            <w:tcBorders>
              <w:top w:val="single" w:color="000000" w:sz="8" w:space="0"/>
              <w:left w:val="single" w:color="000000" w:sz="8" w:space="0"/>
              <w:bottom w:val="single" w:color="000000" w:sz="8" w:space="0"/>
              <w:right w:val="single" w:color="000000" w:sz="8" w:space="0"/>
            </w:tcBorders>
            <w:vAlign w:val="center"/>
          </w:tcPr>
          <w:p w14:paraId="630F2407">
            <w:pP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评分内容：</w:t>
            </w:r>
          </w:p>
          <w:p w14:paraId="5D80BCE7">
            <w:pPr>
              <w:rPr>
                <w:rFonts w:hint="eastAsia" w:ascii="宋体" w:hAnsi="宋体" w:eastAsia="宋体" w:cs="宋体"/>
                <w:sz w:val="21"/>
                <w:szCs w:val="21"/>
                <w:highlight w:val="none"/>
              </w:rPr>
            </w:pPr>
            <w:r>
              <w:rPr>
                <w:rFonts w:hint="eastAsia" w:ascii="宋体" w:hAnsi="宋体" w:eastAsia="宋体" w:cs="宋体"/>
                <w:sz w:val="21"/>
                <w:szCs w:val="21"/>
                <w:highlight w:val="none"/>
              </w:rPr>
              <w:t>拟安排</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项目负责人为</w:t>
            </w:r>
            <w:r>
              <w:rPr>
                <w:rFonts w:hint="eastAsia" w:ascii="宋体" w:hAnsi="宋体" w:cs="宋体"/>
                <w:sz w:val="21"/>
                <w:szCs w:val="21"/>
                <w:highlight w:val="none"/>
                <w:lang w:val="en-US" w:eastAsia="zh-CN"/>
              </w:rPr>
              <w:t>投标</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单位</w:t>
            </w:r>
            <w:r>
              <w:rPr>
                <w:rFonts w:hint="eastAsia" w:ascii="宋体" w:hAnsi="宋体" w:cs="宋体"/>
                <w:sz w:val="21"/>
                <w:szCs w:val="21"/>
                <w:highlight w:val="none"/>
                <w:lang w:eastAsia="zh-CN"/>
              </w:rPr>
              <w:t>自有</w:t>
            </w:r>
            <w:r>
              <w:rPr>
                <w:rFonts w:hint="eastAsia" w:ascii="宋体" w:hAnsi="宋体" w:eastAsia="宋体" w:cs="宋体"/>
                <w:sz w:val="21"/>
                <w:szCs w:val="21"/>
                <w:highlight w:val="none"/>
              </w:rPr>
              <w:t>员工，否则本项不得分。在此基础上，按以下标准进行打分：</w:t>
            </w:r>
          </w:p>
          <w:p w14:paraId="78CF6F01">
            <w:pPr>
              <w:numPr>
                <w:ilvl w:val="-1"/>
                <w:numId w:val="0"/>
              </w:numP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拟安排的项目负责人</w:t>
            </w:r>
            <w:r>
              <w:rPr>
                <w:rFonts w:hint="eastAsia" w:ascii="宋体" w:hAnsi="宋体" w:eastAsia="宋体" w:cs="宋体"/>
                <w:sz w:val="21"/>
                <w:szCs w:val="21"/>
                <w:highlight w:val="none"/>
                <w:lang w:val="en-US" w:eastAsia="zh-CN"/>
              </w:rPr>
              <w:t>具有</w:t>
            </w:r>
            <w:r>
              <w:rPr>
                <w:rFonts w:hint="eastAsia" w:ascii="宋体" w:hAnsi="宋体" w:eastAsia="宋体" w:cs="宋体"/>
                <w:sz w:val="21"/>
                <w:szCs w:val="21"/>
                <w:highlight w:val="none"/>
              </w:rPr>
              <w:t>网络安全等级测评师证书（高级），得</w:t>
            </w:r>
            <w:r>
              <w:rPr>
                <w:rFonts w:hint="eastAsia" w:ascii="宋体" w:hAnsi="宋体" w:eastAsia="宋体" w:cs="宋体"/>
                <w:sz w:val="21"/>
                <w:szCs w:val="21"/>
                <w:highlight w:val="none"/>
                <w:lang w:val="en-US" w:eastAsia="zh-CN"/>
              </w:rPr>
              <w:t>15分</w:t>
            </w:r>
            <w:r>
              <w:rPr>
                <w:rFonts w:hint="eastAsia" w:ascii="宋体" w:hAnsi="宋体" w:eastAsia="宋体" w:cs="宋体"/>
                <w:sz w:val="21"/>
                <w:szCs w:val="21"/>
                <w:highlight w:val="none"/>
              </w:rPr>
              <w:t>；</w:t>
            </w:r>
          </w:p>
          <w:p w14:paraId="24F45BBA">
            <w:pPr>
              <w:numPr>
                <w:ilvl w:val="-1"/>
                <w:numId w:val="0"/>
              </w:numP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拟安排的项目负责人</w:t>
            </w:r>
            <w:r>
              <w:rPr>
                <w:rFonts w:hint="eastAsia" w:ascii="宋体" w:hAnsi="宋体" w:eastAsia="宋体" w:cs="宋体"/>
                <w:sz w:val="21"/>
                <w:szCs w:val="21"/>
                <w:highlight w:val="none"/>
                <w:lang w:val="en-US" w:eastAsia="zh-CN"/>
              </w:rPr>
              <w:t>具有</w:t>
            </w:r>
            <w:r>
              <w:rPr>
                <w:rFonts w:hint="eastAsia" w:ascii="宋体" w:hAnsi="宋体" w:eastAsia="宋体" w:cs="宋体"/>
                <w:sz w:val="21"/>
                <w:szCs w:val="21"/>
                <w:lang w:val="en-US" w:eastAsia="zh-CN"/>
              </w:rPr>
              <w:t>注册信息安全工</w:t>
            </w:r>
            <w:r>
              <w:rPr>
                <w:rFonts w:hint="eastAsia" w:ascii="宋体" w:hAnsi="宋体" w:eastAsia="宋体" w:cs="宋体"/>
                <w:sz w:val="21"/>
                <w:szCs w:val="21"/>
                <w:highlight w:val="none"/>
                <w:lang w:val="en-US" w:eastAsia="zh-CN"/>
              </w:rPr>
              <w:t>程师（CISP）</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15分；</w:t>
            </w:r>
          </w:p>
          <w:p w14:paraId="6E284CEE">
            <w:pPr>
              <w:numPr>
                <w:ilvl w:val="-1"/>
                <w:numId w:val="0"/>
              </w:numP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拟安排的项目负责人</w:t>
            </w:r>
            <w:r>
              <w:rPr>
                <w:rFonts w:hint="eastAsia" w:ascii="宋体" w:hAnsi="宋体" w:eastAsia="宋体" w:cs="宋体"/>
                <w:sz w:val="21"/>
                <w:szCs w:val="21"/>
                <w:highlight w:val="none"/>
                <w:lang w:val="en-US" w:eastAsia="zh-CN"/>
              </w:rPr>
              <w:t>具有</w:t>
            </w:r>
            <w:r>
              <w:rPr>
                <w:rFonts w:hint="eastAsia" w:ascii="宋体" w:hAnsi="宋体" w:cs="宋体"/>
                <w:szCs w:val="21"/>
                <w:highlight w:val="none"/>
              </w:rPr>
              <w:t>CISAW信息安全保障人员认证证书</w:t>
            </w:r>
            <w:r>
              <w:rPr>
                <w:rFonts w:hint="eastAsia" w:ascii="宋体" w:hAnsi="宋体" w:cs="宋体"/>
                <w:szCs w:val="21"/>
                <w:highlight w:val="none"/>
                <w:lang w:eastAsia="zh-CN"/>
              </w:rPr>
              <w:t>（</w:t>
            </w:r>
            <w:r>
              <w:rPr>
                <w:rFonts w:hint="eastAsia" w:ascii="宋体" w:hAnsi="宋体" w:cs="宋体"/>
                <w:szCs w:val="21"/>
                <w:highlight w:val="none"/>
                <w:lang w:val="en-US" w:eastAsia="zh-CN"/>
              </w:rPr>
              <w:t>认证方向：</w:t>
            </w:r>
            <w:r>
              <w:rPr>
                <w:rFonts w:hint="eastAsia" w:ascii="宋体" w:hAnsi="宋体" w:cs="宋体"/>
                <w:szCs w:val="21"/>
                <w:highlight w:val="none"/>
              </w:rPr>
              <w:t>安全运维</w:t>
            </w:r>
            <w:r>
              <w:rPr>
                <w:rFonts w:hint="eastAsia" w:ascii="宋体" w:hAnsi="宋体" w:cs="宋体"/>
                <w:szCs w:val="21"/>
                <w:highlight w:val="none"/>
                <w:lang w:eastAsia="zh-CN"/>
              </w:rPr>
              <w:t>）</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15分</w:t>
            </w:r>
            <w:r>
              <w:rPr>
                <w:rFonts w:hint="eastAsia" w:ascii="宋体" w:hAnsi="宋体" w:eastAsia="宋体" w:cs="宋体"/>
                <w:sz w:val="21"/>
                <w:szCs w:val="21"/>
                <w:highlight w:val="none"/>
              </w:rPr>
              <w:t>；</w:t>
            </w:r>
          </w:p>
          <w:p w14:paraId="79F65F3C">
            <w:pPr>
              <w:numPr>
                <w:ilvl w:val="-1"/>
                <w:numId w:val="0"/>
              </w:numP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拟安排的项目负责人</w:t>
            </w:r>
            <w:r>
              <w:rPr>
                <w:rFonts w:hint="eastAsia" w:ascii="宋体" w:hAnsi="宋体" w:eastAsia="宋体" w:cs="宋体"/>
                <w:sz w:val="21"/>
                <w:szCs w:val="21"/>
                <w:highlight w:val="none"/>
                <w:lang w:val="en-US" w:eastAsia="zh-CN"/>
              </w:rPr>
              <w:t>具有</w:t>
            </w:r>
            <w:r>
              <w:rPr>
                <w:rFonts w:hint="eastAsia" w:ascii="宋体" w:hAnsi="宋体" w:eastAsia="宋体" w:cs="宋体"/>
                <w:szCs w:val="21"/>
                <w:highlight w:val="none"/>
              </w:rPr>
              <w:t>数据安全官证书（CCRC-DSO）</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rPr>
              <w:t>；</w:t>
            </w:r>
          </w:p>
          <w:p w14:paraId="4A5F2672">
            <w:pPr>
              <w:numPr>
                <w:ilvl w:val="-1"/>
                <w:numId w:val="0"/>
              </w:numP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拟安排的项目负责人具备ISO27001内审员资格证书，得</w:t>
            </w:r>
            <w:r>
              <w:rPr>
                <w:rFonts w:hint="eastAsia" w:ascii="宋体" w:hAnsi="宋体" w:eastAsia="宋体" w:cs="宋体"/>
                <w:sz w:val="21"/>
                <w:szCs w:val="21"/>
                <w:highlight w:val="none"/>
                <w:lang w:val="en-US" w:eastAsia="zh-CN"/>
              </w:rPr>
              <w:t>20分</w:t>
            </w:r>
            <w:r>
              <w:rPr>
                <w:rFonts w:hint="eastAsia" w:ascii="宋体" w:hAnsi="宋体" w:eastAsia="宋体" w:cs="宋体"/>
                <w:sz w:val="21"/>
                <w:szCs w:val="21"/>
                <w:highlight w:val="none"/>
              </w:rPr>
              <w:t>。</w:t>
            </w:r>
          </w:p>
          <w:p w14:paraId="2250BE3E">
            <w:pPr>
              <w:numPr>
                <w:ilvl w:val="-1"/>
                <w:numId w:val="0"/>
              </w:numP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拟安排的项目负责人具备</w:t>
            </w:r>
            <w:r>
              <w:rPr>
                <w:rFonts w:hint="eastAsia" w:ascii="宋体" w:hAnsi="宋体" w:eastAsia="宋体" w:cs="宋体"/>
                <w:kern w:val="2"/>
                <w:sz w:val="21"/>
                <w:szCs w:val="21"/>
                <w:lang w:val="en-US" w:eastAsia="zh-CN" w:bidi="ar"/>
                <w:woUserID w:val="2"/>
              </w:rPr>
              <w:t>网络与信息安全管理师证书（高级）</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分。</w:t>
            </w:r>
          </w:p>
          <w:p w14:paraId="2A2B20B7">
            <w:pPr>
              <w:rPr>
                <w:rFonts w:hint="eastAsia" w:ascii="宋体" w:hAnsi="宋体" w:eastAsia="宋体" w:cs="宋体"/>
                <w:sz w:val="21"/>
                <w:szCs w:val="21"/>
                <w:highlight w:val="none"/>
              </w:rPr>
            </w:pPr>
            <w:r>
              <w:rPr>
                <w:rFonts w:hint="eastAsia" w:ascii="宋体" w:hAnsi="宋体" w:eastAsia="宋体" w:cs="宋体"/>
                <w:sz w:val="21"/>
                <w:szCs w:val="21"/>
                <w:highlight w:val="none"/>
              </w:rPr>
              <w:t>以上</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项累计计分，最高得</w:t>
            </w:r>
            <w:r>
              <w:rPr>
                <w:rFonts w:hint="eastAsia" w:ascii="宋体" w:hAnsi="宋体" w:eastAsia="宋体" w:cs="宋体"/>
                <w:sz w:val="21"/>
                <w:szCs w:val="21"/>
                <w:highlight w:val="none"/>
                <w:lang w:val="en-US" w:eastAsia="zh-CN"/>
              </w:rPr>
              <w:t>100分</w:t>
            </w:r>
            <w:r>
              <w:rPr>
                <w:rFonts w:hint="eastAsia" w:ascii="宋体" w:hAnsi="宋体" w:eastAsia="宋体" w:cs="宋体"/>
                <w:sz w:val="21"/>
                <w:szCs w:val="21"/>
                <w:highlight w:val="none"/>
              </w:rPr>
              <w:t>。</w:t>
            </w:r>
          </w:p>
          <w:p w14:paraId="2666E4DD">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（二）评分依据：</w:t>
            </w:r>
            <w:r>
              <w:rPr>
                <w:rFonts w:hint="eastAsia" w:ascii="宋体" w:hAnsi="宋体" w:eastAsia="宋体" w:cs="宋体"/>
                <w:sz w:val="21"/>
                <w:szCs w:val="21"/>
                <w:highlight w:val="none"/>
              </w:rPr>
              <w:t xml:space="preserve"> </w:t>
            </w:r>
          </w:p>
          <w:p w14:paraId="387B7003">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cs="宋体"/>
                <w:sz w:val="21"/>
                <w:szCs w:val="21"/>
                <w:highlight w:val="none"/>
                <w:lang w:eastAsia="zh-CN"/>
              </w:rPr>
              <w:t>提供项目负责人</w:t>
            </w:r>
            <w:r>
              <w:rPr>
                <w:rFonts w:hint="eastAsia" w:ascii="宋体" w:hAnsi="宋体" w:eastAsia="宋体" w:cs="宋体"/>
                <w:sz w:val="21"/>
                <w:szCs w:val="21"/>
                <w:highlight w:val="none"/>
              </w:rPr>
              <w:t>通过</w:t>
            </w:r>
            <w:r>
              <w:rPr>
                <w:rFonts w:hint="eastAsia" w:ascii="宋体" w:hAnsi="宋体" w:cs="宋体"/>
                <w:sz w:val="21"/>
                <w:szCs w:val="21"/>
                <w:highlight w:val="none"/>
                <w:lang w:val="en-US" w:eastAsia="zh-CN"/>
              </w:rPr>
              <w:t>投标人</w:t>
            </w:r>
            <w:r>
              <w:rPr>
                <w:rFonts w:hint="eastAsia" w:ascii="宋体" w:hAnsi="宋体" w:eastAsia="宋体" w:cs="宋体"/>
                <w:sz w:val="21"/>
                <w:szCs w:val="21"/>
                <w:highlight w:val="none"/>
              </w:rPr>
              <w:t>缴纳的</w:t>
            </w:r>
            <w:r>
              <w:rPr>
                <w:rFonts w:hint="eastAsia" w:asciiTheme="minorEastAsia" w:hAnsiTheme="minorEastAsia" w:eastAsiaTheme="minorEastAsia"/>
                <w:szCs w:val="21"/>
              </w:rPr>
              <w:t>载有社保部门或税务部门公章的</w:t>
            </w:r>
            <w:r>
              <w:rPr>
                <w:rFonts w:hint="eastAsia" w:ascii="宋体" w:hAnsi="宋体" w:eastAsia="宋体" w:cs="宋体"/>
                <w:sz w:val="21"/>
                <w:szCs w:val="21"/>
                <w:highlight w:val="none"/>
              </w:rPr>
              <w:t>近三个月（含开标当月）的任意一个月的社保证明作为本单位员工的证明依据，如供应商成立不足一个月或员工入职不足一个月的，提供情况说明函（格式自拟），无需提供相关人员社保，亦</w:t>
            </w:r>
            <w:r>
              <w:rPr>
                <w:rFonts w:hint="eastAsia" w:ascii="宋体" w:hAnsi="宋体" w:cs="宋体"/>
                <w:sz w:val="21"/>
                <w:szCs w:val="21"/>
                <w:highlight w:val="none"/>
                <w:lang w:val="en-US" w:eastAsia="zh-CN"/>
              </w:rPr>
              <w:t>视为符合</w:t>
            </w:r>
            <w:r>
              <w:rPr>
                <w:rFonts w:hint="eastAsia" w:ascii="宋体" w:hAnsi="宋体" w:eastAsia="宋体" w:cs="宋体"/>
                <w:sz w:val="21"/>
                <w:szCs w:val="21"/>
                <w:highlight w:val="none"/>
                <w:lang w:eastAsia="zh-CN"/>
              </w:rPr>
              <w:t>；</w:t>
            </w:r>
          </w:p>
          <w:p w14:paraId="6BDE621B">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2.要求提供</w:t>
            </w:r>
            <w:r>
              <w:rPr>
                <w:rFonts w:hint="eastAsia" w:ascii="宋体" w:hAnsi="宋体" w:cs="宋体"/>
                <w:sz w:val="21"/>
                <w:szCs w:val="21"/>
                <w:highlight w:val="none"/>
                <w:lang w:eastAsia="zh-CN"/>
              </w:rPr>
              <w:t>项目负责人</w:t>
            </w:r>
            <w:r>
              <w:rPr>
                <w:rFonts w:hint="eastAsia" w:ascii="宋体" w:hAnsi="宋体" w:eastAsia="宋体" w:cs="宋体"/>
                <w:sz w:val="21"/>
                <w:szCs w:val="21"/>
                <w:highlight w:val="none"/>
              </w:rPr>
              <w:t>相关</w:t>
            </w:r>
            <w:r>
              <w:rPr>
                <w:rFonts w:hint="eastAsia" w:ascii="宋体" w:hAnsi="宋体" w:cs="宋体"/>
                <w:sz w:val="21"/>
                <w:szCs w:val="21"/>
                <w:highlight w:val="none"/>
                <w:lang w:val="en-US" w:eastAsia="zh-CN"/>
              </w:rPr>
              <w:t>有效</w:t>
            </w:r>
            <w:r>
              <w:rPr>
                <w:rFonts w:hint="eastAsia" w:ascii="宋体" w:hAnsi="宋体" w:cs="宋体"/>
                <w:sz w:val="21"/>
                <w:szCs w:val="21"/>
                <w:highlight w:val="none"/>
                <w:lang w:eastAsia="zh-CN"/>
              </w:rPr>
              <w:t>证书</w:t>
            </w:r>
            <w:r>
              <w:rPr>
                <w:rFonts w:hint="eastAsia" w:ascii="宋体" w:hAnsi="宋体" w:eastAsia="宋体" w:cs="宋体"/>
                <w:sz w:val="21"/>
                <w:szCs w:val="21"/>
                <w:highlight w:val="none"/>
              </w:rPr>
              <w:t>作为得分依据</w:t>
            </w:r>
            <w:r>
              <w:rPr>
                <w:rFonts w:hint="eastAsia" w:ascii="宋体" w:hAnsi="宋体" w:eastAsia="宋体" w:cs="宋体"/>
                <w:sz w:val="21"/>
                <w:szCs w:val="21"/>
                <w:highlight w:val="none"/>
                <w:lang w:eastAsia="zh-CN"/>
              </w:rPr>
              <w:t>；</w:t>
            </w:r>
          </w:p>
          <w:p w14:paraId="2B72D70B">
            <w:pPr>
              <w:rPr>
                <w:rFonts w:cs="宋体" w:asciiTheme="minorEastAsia" w:hAnsiTheme="minorEastAsia" w:eastAsiaTheme="minorEastAsia"/>
                <w:szCs w:val="21"/>
              </w:rPr>
            </w:pPr>
            <w:r>
              <w:rPr>
                <w:rFonts w:hint="eastAsia" w:ascii="宋体" w:hAnsi="宋体" w:eastAsia="宋体" w:cs="宋体"/>
                <w:sz w:val="21"/>
                <w:szCs w:val="21"/>
                <w:highlight w:val="none"/>
              </w:rPr>
              <w:t>3.以上资料均要求提供扫描件。评分中出现无证明资料或专家无法凭所提供资料判断是否得分的情况，一律作不得分处理。</w:t>
            </w:r>
          </w:p>
        </w:tc>
      </w:tr>
      <w:tr w14:paraId="68CE35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bottom w:val="single" w:color="000000" w:sz="8" w:space="0"/>
              <w:right w:val="single" w:color="000000" w:sz="8" w:space="0"/>
            </w:tcBorders>
            <w:vAlign w:val="center"/>
          </w:tcPr>
          <w:p w14:paraId="389D1C46">
            <w:pPr>
              <w:spacing w:line="360" w:lineRule="exact"/>
              <w:rPr>
                <w:rFonts w:cs="宋体" w:asciiTheme="minorEastAsia" w:hAnsiTheme="minorEastAsia" w:eastAsiaTheme="minorEastAsia"/>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tcPr>
          <w:p w14:paraId="21F2D571">
            <w:pPr>
              <w:spacing w:line="360" w:lineRule="exact"/>
              <w:jc w:val="center"/>
              <w:rPr>
                <w:rFonts w:cs="宋体" w:asciiTheme="minorEastAsia" w:hAnsiTheme="minorEastAsia" w:eastAsiaTheme="minorEastAsia"/>
                <w:szCs w:val="21"/>
              </w:rPr>
            </w:pPr>
            <w:r>
              <w:rPr>
                <w:rFonts w:asciiTheme="minorEastAsia" w:hAnsiTheme="minorEastAsia" w:eastAsiaTheme="minorEastAsia"/>
                <w:szCs w:val="21"/>
              </w:rPr>
              <w:t>5</w:t>
            </w:r>
          </w:p>
        </w:tc>
        <w:tc>
          <w:tcPr>
            <w:tcW w:w="2835" w:type="dxa"/>
            <w:tcBorders>
              <w:top w:val="single" w:color="000000" w:sz="8" w:space="0"/>
              <w:left w:val="single" w:color="000000" w:sz="8" w:space="0"/>
              <w:bottom w:val="single" w:color="000000" w:sz="8" w:space="0"/>
              <w:right w:val="single" w:color="000000" w:sz="8" w:space="0"/>
            </w:tcBorders>
            <w:vAlign w:val="top"/>
          </w:tcPr>
          <w:p w14:paraId="48AF347E">
            <w:pPr>
              <w:spacing w:line="360" w:lineRule="exact"/>
              <w:jc w:val="both"/>
              <w:rPr>
                <w:rFonts w:cs="宋体" w:asciiTheme="minorEastAsia" w:hAnsiTheme="minorEastAsia" w:eastAsiaTheme="minorEastAsia"/>
                <w:szCs w:val="21"/>
              </w:rPr>
            </w:pPr>
            <w:r>
              <w:rPr>
                <w:rFonts w:hint="eastAsia" w:cs="仿宋" w:asciiTheme="minorEastAsia" w:hAnsiTheme="minorEastAsia" w:eastAsiaTheme="minorEastAsia"/>
                <w:szCs w:val="21"/>
              </w:rPr>
              <w:t>拟安排的项目团队成员（项目负责人除外）情况</w:t>
            </w:r>
          </w:p>
        </w:tc>
        <w:tc>
          <w:tcPr>
            <w:tcW w:w="681" w:type="dxa"/>
            <w:tcBorders>
              <w:top w:val="single" w:color="000000" w:sz="8" w:space="0"/>
              <w:left w:val="single" w:color="000000" w:sz="8" w:space="0"/>
              <w:bottom w:val="single" w:color="000000" w:sz="8" w:space="0"/>
              <w:right w:val="single" w:color="000000" w:sz="8" w:space="0"/>
            </w:tcBorders>
            <w:vAlign w:val="top"/>
          </w:tcPr>
          <w:p w14:paraId="0D5CC1C2">
            <w:pPr>
              <w:spacing w:line="360" w:lineRule="exact"/>
              <w:jc w:val="both"/>
              <w:rPr>
                <w:rFonts w:cs="宋体" w:asciiTheme="minorEastAsia" w:hAnsiTheme="minorEastAsia" w:eastAsiaTheme="minorEastAsia"/>
                <w:szCs w:val="21"/>
              </w:rPr>
            </w:pPr>
            <w:r>
              <w:rPr>
                <w:rFonts w:hint="eastAsia" w:cs="仿宋" w:asciiTheme="minorEastAsia" w:hAnsiTheme="minorEastAsia" w:eastAsiaTheme="minorEastAsia"/>
                <w:szCs w:val="21"/>
                <w:lang w:val="en-US" w:eastAsia="zh-CN"/>
              </w:rPr>
              <w:t>15</w:t>
            </w:r>
          </w:p>
        </w:tc>
        <w:tc>
          <w:tcPr>
            <w:tcW w:w="4763" w:type="dxa"/>
            <w:tcBorders>
              <w:top w:val="single" w:color="000000" w:sz="8" w:space="0"/>
              <w:left w:val="single" w:color="000000" w:sz="8" w:space="0"/>
              <w:bottom w:val="single" w:color="000000" w:sz="8" w:space="0"/>
              <w:right w:val="single" w:color="000000" w:sz="8" w:space="0"/>
            </w:tcBorders>
            <w:vAlign w:val="center"/>
          </w:tcPr>
          <w:p w14:paraId="678F2354">
            <w:pP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评分内容：</w:t>
            </w:r>
          </w:p>
          <w:p w14:paraId="10D74C74">
            <w:pPr>
              <w:rPr>
                <w:rFonts w:hint="eastAsia" w:ascii="宋体" w:hAnsi="宋体" w:eastAsia="宋体" w:cs="宋体"/>
                <w:sz w:val="21"/>
                <w:szCs w:val="21"/>
                <w:highlight w:val="none"/>
              </w:rPr>
            </w:pPr>
            <w:r>
              <w:rPr>
                <w:rFonts w:hint="eastAsia" w:ascii="宋体" w:hAnsi="宋体" w:eastAsia="宋体" w:cs="宋体"/>
                <w:sz w:val="21"/>
                <w:szCs w:val="21"/>
                <w:highlight w:val="none"/>
              </w:rPr>
              <w:t>拟安排项目主要团队成员为</w:t>
            </w:r>
            <w:r>
              <w:rPr>
                <w:rFonts w:hint="eastAsia" w:ascii="宋体" w:hAnsi="宋体" w:eastAsia="宋体" w:cs="宋体"/>
                <w:sz w:val="21"/>
                <w:szCs w:val="21"/>
                <w:highlight w:val="none"/>
                <w:lang w:val="en-US" w:eastAsia="zh-CN"/>
              </w:rPr>
              <w:t>应答供应商</w:t>
            </w:r>
            <w:r>
              <w:rPr>
                <w:rFonts w:hint="eastAsia" w:ascii="宋体" w:hAnsi="宋体" w:eastAsia="宋体" w:cs="宋体"/>
                <w:sz w:val="21"/>
                <w:szCs w:val="21"/>
                <w:highlight w:val="none"/>
              </w:rPr>
              <w:t>单位员工，否则该人员情况不计分。在此基础上，按以下标准进行打分：</w:t>
            </w:r>
          </w:p>
          <w:p w14:paraId="6BB4B7C9">
            <w:pPr>
              <w:numPr>
                <w:ilvl w:val="-1"/>
                <w:numId w:val="0"/>
              </w:numP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拟安排的项目主要团队成员中具</w:t>
            </w:r>
            <w:r>
              <w:rPr>
                <w:rFonts w:hint="eastAsia" w:ascii="宋体" w:hAnsi="宋体" w:eastAsia="宋体" w:cs="宋体"/>
                <w:sz w:val="21"/>
                <w:szCs w:val="21"/>
                <w:highlight w:val="none"/>
                <w:lang w:val="en-US" w:eastAsia="zh-CN"/>
              </w:rPr>
              <w:t>有</w:t>
            </w:r>
            <w:r>
              <w:rPr>
                <w:rFonts w:hint="eastAsia" w:ascii="宋体" w:hAnsi="宋体" w:eastAsia="宋体" w:cs="宋体"/>
                <w:sz w:val="21"/>
                <w:szCs w:val="21"/>
                <w:highlight w:val="none"/>
              </w:rPr>
              <w:t>网络安全等级测评师证书（中级</w:t>
            </w:r>
            <w:r>
              <w:rPr>
                <w:rFonts w:hint="eastAsia" w:ascii="宋体" w:hAnsi="宋体" w:eastAsia="宋体" w:cs="宋体"/>
                <w:sz w:val="21"/>
                <w:szCs w:val="21"/>
                <w:highlight w:val="none"/>
                <w:lang w:val="en-US" w:eastAsia="zh-CN"/>
              </w:rPr>
              <w:t>或以上</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，每提供</w:t>
            </w:r>
            <w:r>
              <w:rPr>
                <w:rFonts w:hint="eastAsia" w:ascii="宋体" w:hAnsi="宋体" w:eastAsia="宋体" w:cs="宋体"/>
                <w:sz w:val="21"/>
                <w:szCs w:val="21"/>
                <w:highlight w:val="none"/>
                <w:lang w:val="en-US" w:eastAsia="zh-CN"/>
              </w:rPr>
              <w:t>1人</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7</w:t>
            </w:r>
            <w:r>
              <w:rPr>
                <w:rFonts w:hint="eastAsia" w:ascii="宋体" w:hAnsi="宋体" w:cs="宋体"/>
                <w:sz w:val="21"/>
                <w:szCs w:val="21"/>
                <w:highlight w:val="none"/>
                <w:lang w:val="en-US" w:eastAsia="zh-CN"/>
              </w:rPr>
              <w:t>分</w:t>
            </w:r>
            <w:r>
              <w:rPr>
                <w:rFonts w:hint="eastAsia" w:ascii="宋体" w:hAnsi="宋体" w:eastAsia="宋体" w:cs="宋体"/>
                <w:sz w:val="21"/>
                <w:szCs w:val="21"/>
                <w:highlight w:val="none"/>
              </w:rPr>
              <w:t>，最高得</w:t>
            </w:r>
            <w:r>
              <w:rPr>
                <w:rFonts w:hint="eastAsia" w:ascii="宋体" w:hAnsi="宋体" w:eastAsia="宋体" w:cs="宋体"/>
                <w:sz w:val="21"/>
                <w:szCs w:val="21"/>
                <w:highlight w:val="none"/>
                <w:lang w:val="en-US" w:eastAsia="zh-CN"/>
              </w:rPr>
              <w:t>21</w:t>
            </w:r>
            <w:r>
              <w:rPr>
                <w:rFonts w:hint="eastAsia" w:ascii="宋体" w:hAnsi="宋体" w:cs="宋体"/>
                <w:sz w:val="21"/>
                <w:szCs w:val="21"/>
                <w:highlight w:val="none"/>
                <w:lang w:val="en-US" w:eastAsia="zh-CN"/>
              </w:rPr>
              <w:t>分</w:t>
            </w:r>
            <w:r>
              <w:rPr>
                <w:rFonts w:hint="eastAsia" w:ascii="宋体" w:hAnsi="宋体" w:eastAsia="宋体" w:cs="宋体"/>
                <w:sz w:val="21"/>
                <w:szCs w:val="21"/>
                <w:highlight w:val="none"/>
              </w:rPr>
              <w:t>；</w:t>
            </w:r>
          </w:p>
          <w:p w14:paraId="114D0C21">
            <w:pPr>
              <w:numPr>
                <w:ilvl w:val="-1"/>
                <w:numId w:val="0"/>
              </w:numP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拟安排的项目主要团队成员中</w:t>
            </w:r>
            <w:r>
              <w:rPr>
                <w:rFonts w:hint="eastAsia" w:ascii="宋体" w:hAnsi="宋体" w:eastAsia="宋体" w:cs="宋体"/>
                <w:sz w:val="21"/>
                <w:szCs w:val="21"/>
                <w:highlight w:val="none"/>
                <w:lang w:val="en-US" w:eastAsia="zh-CN"/>
              </w:rPr>
              <w:t>具有</w:t>
            </w:r>
            <w:r>
              <w:rPr>
                <w:rFonts w:hint="eastAsia" w:ascii="宋体" w:hAnsi="宋体" w:eastAsia="宋体" w:cs="宋体"/>
                <w:szCs w:val="21"/>
                <w:highlight w:val="none"/>
              </w:rPr>
              <w:t>数据安全官证书（CCRC-DSO）</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，每提供1</w:t>
            </w:r>
            <w:r>
              <w:rPr>
                <w:rFonts w:hint="eastAsia" w:ascii="宋体" w:hAnsi="宋体" w:eastAsia="宋体" w:cs="宋体"/>
                <w:sz w:val="21"/>
                <w:szCs w:val="21"/>
                <w:highlight w:val="none"/>
                <w:lang w:val="en-US" w:eastAsia="zh-CN"/>
              </w:rPr>
              <w:t>人</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13分</w:t>
            </w:r>
            <w:r>
              <w:rPr>
                <w:rFonts w:hint="eastAsia" w:ascii="宋体" w:hAnsi="宋体" w:eastAsia="宋体" w:cs="宋体"/>
                <w:sz w:val="21"/>
                <w:szCs w:val="21"/>
                <w:highlight w:val="none"/>
              </w:rPr>
              <w:t>，最高得</w:t>
            </w:r>
            <w:r>
              <w:rPr>
                <w:rFonts w:hint="eastAsia" w:ascii="宋体" w:hAnsi="宋体" w:eastAsia="宋体" w:cs="宋体"/>
                <w:sz w:val="21"/>
                <w:szCs w:val="21"/>
                <w:highlight w:val="none"/>
                <w:lang w:val="en-US" w:eastAsia="zh-CN"/>
              </w:rPr>
              <w:t>39</w:t>
            </w:r>
            <w:r>
              <w:rPr>
                <w:rFonts w:hint="eastAsia" w:ascii="宋体" w:hAnsi="宋体" w:eastAsia="宋体" w:cs="宋体"/>
                <w:sz w:val="21"/>
                <w:szCs w:val="21"/>
                <w:highlight w:val="none"/>
              </w:rPr>
              <w:t>；</w:t>
            </w:r>
          </w:p>
          <w:p w14:paraId="328C8236">
            <w:pPr>
              <w:numPr>
                <w:ilvl w:val="-1"/>
                <w:numId w:val="0"/>
              </w:numP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拟安排的项目主要团队成员中具</w:t>
            </w:r>
            <w:r>
              <w:rPr>
                <w:rFonts w:hint="eastAsia" w:ascii="宋体" w:hAnsi="宋体" w:eastAsia="宋体" w:cs="宋体"/>
                <w:sz w:val="21"/>
                <w:szCs w:val="21"/>
                <w:highlight w:val="none"/>
                <w:lang w:val="en-US" w:eastAsia="zh-CN"/>
              </w:rPr>
              <w:t>有</w:t>
            </w:r>
            <w:r>
              <w:rPr>
                <w:rFonts w:hint="eastAsia" w:ascii="宋体" w:hAnsi="宋体" w:eastAsia="宋体" w:cs="宋体"/>
                <w:sz w:val="21"/>
                <w:szCs w:val="21"/>
                <w:highlight w:val="none"/>
                <w:lang w:val="en-US" w:eastAsia="zh-CN"/>
                <w:woUserID w:val="2"/>
              </w:rPr>
              <w:t>CCRC信息系统审计师证书/ISA</w:t>
            </w:r>
            <w:r>
              <w:rPr>
                <w:rFonts w:hint="eastAsia" w:ascii="宋体" w:hAnsi="宋体" w:eastAsia="宋体" w:cs="宋体"/>
                <w:sz w:val="21"/>
                <w:szCs w:val="21"/>
                <w:highlight w:val="none"/>
              </w:rPr>
              <w:t>，每提供1</w:t>
            </w:r>
            <w:r>
              <w:rPr>
                <w:rFonts w:hint="eastAsia" w:ascii="宋体" w:hAnsi="宋体" w:eastAsia="宋体" w:cs="宋体"/>
                <w:sz w:val="21"/>
                <w:szCs w:val="21"/>
                <w:highlight w:val="none"/>
                <w:lang w:val="en-US" w:eastAsia="zh-CN"/>
              </w:rPr>
              <w:t>人</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10分</w:t>
            </w:r>
            <w:r>
              <w:rPr>
                <w:rFonts w:hint="eastAsia" w:ascii="宋体" w:hAnsi="宋体" w:eastAsia="宋体" w:cs="宋体"/>
                <w:sz w:val="21"/>
                <w:szCs w:val="21"/>
                <w:highlight w:val="none"/>
              </w:rPr>
              <w:t>，最高得</w:t>
            </w:r>
            <w:r>
              <w:rPr>
                <w:rFonts w:hint="eastAsia" w:ascii="宋体" w:hAnsi="宋体" w:eastAsia="宋体" w:cs="宋体"/>
                <w:sz w:val="21"/>
                <w:szCs w:val="21"/>
                <w:highlight w:val="none"/>
                <w:lang w:val="en-US" w:eastAsia="zh-CN"/>
              </w:rPr>
              <w:t>30分</w:t>
            </w:r>
            <w:r>
              <w:rPr>
                <w:rFonts w:hint="eastAsia" w:ascii="宋体" w:hAnsi="宋体" w:eastAsia="宋体" w:cs="宋体"/>
                <w:sz w:val="21"/>
                <w:szCs w:val="21"/>
                <w:highlight w:val="none"/>
                <w:lang w:eastAsia="zh-CN"/>
              </w:rPr>
              <w:t>；</w:t>
            </w:r>
          </w:p>
          <w:p w14:paraId="41E0531B">
            <w:pPr>
              <w:numPr>
                <w:ilvl w:val="-1"/>
                <w:numId w:val="0"/>
              </w:numP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拟安排的项目主要团队成员中具</w:t>
            </w:r>
            <w:r>
              <w:rPr>
                <w:rFonts w:hint="eastAsia" w:ascii="宋体" w:hAnsi="宋体" w:eastAsia="宋体" w:cs="宋体"/>
                <w:sz w:val="21"/>
                <w:szCs w:val="21"/>
                <w:highlight w:val="none"/>
                <w:lang w:val="en-US" w:eastAsia="zh-CN"/>
              </w:rPr>
              <w:t>有</w:t>
            </w:r>
            <w:r>
              <w:rPr>
                <w:rFonts w:hint="eastAsia" w:ascii="宋体" w:hAnsi="宋体" w:eastAsia="宋体" w:cs="宋体"/>
                <w:sz w:val="21"/>
                <w:szCs w:val="21"/>
                <w:highlight w:val="none"/>
              </w:rPr>
              <w:t>注册信息安全工程师证书（CISP）</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，每提供1</w:t>
            </w:r>
            <w:r>
              <w:rPr>
                <w:rFonts w:hint="eastAsia" w:ascii="宋体" w:hAnsi="宋体" w:eastAsia="宋体" w:cs="宋体"/>
                <w:sz w:val="21"/>
                <w:szCs w:val="21"/>
                <w:highlight w:val="none"/>
                <w:lang w:val="en-US" w:eastAsia="zh-CN"/>
              </w:rPr>
              <w:t>人</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分，最高得</w:t>
            </w:r>
            <w:r>
              <w:rPr>
                <w:rFonts w:hint="eastAsia" w:ascii="宋体" w:hAnsi="宋体" w:eastAsia="宋体" w:cs="宋体"/>
                <w:sz w:val="21"/>
                <w:szCs w:val="21"/>
                <w:highlight w:val="none"/>
                <w:lang w:val="en-US" w:eastAsia="zh-CN"/>
              </w:rPr>
              <w:t>10</w:t>
            </w:r>
            <w:r>
              <w:rPr>
                <w:rFonts w:hint="eastAsia" w:ascii="宋体" w:hAnsi="宋体" w:cs="宋体"/>
                <w:sz w:val="21"/>
                <w:szCs w:val="21"/>
                <w:highlight w:val="none"/>
                <w:lang w:val="en-US" w:eastAsia="zh-CN"/>
              </w:rPr>
              <w:t>分</w:t>
            </w:r>
            <w:r>
              <w:rPr>
                <w:rFonts w:hint="eastAsia" w:ascii="宋体" w:hAnsi="宋体" w:eastAsia="宋体" w:cs="宋体"/>
                <w:sz w:val="21"/>
                <w:szCs w:val="21"/>
                <w:highlight w:val="none"/>
              </w:rPr>
              <w:t>；</w:t>
            </w:r>
          </w:p>
          <w:p w14:paraId="17074CFF">
            <w:pPr>
              <w:rPr>
                <w:rFonts w:hint="eastAsia" w:ascii="宋体" w:hAnsi="宋体" w:eastAsia="宋体" w:cs="宋体"/>
                <w:sz w:val="21"/>
                <w:szCs w:val="21"/>
                <w:highlight w:val="none"/>
              </w:rPr>
            </w:pPr>
            <w:r>
              <w:rPr>
                <w:rFonts w:hint="eastAsia" w:ascii="宋体" w:hAnsi="宋体" w:eastAsia="宋体" w:cs="宋体"/>
                <w:sz w:val="21"/>
                <w:szCs w:val="21"/>
                <w:highlight w:val="none"/>
              </w:rPr>
              <w:t>以上</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项累计计分，</w:t>
            </w:r>
            <w:r>
              <w:rPr>
                <w:rFonts w:hint="eastAsia" w:ascii="宋体" w:hAnsi="宋体" w:cs="宋体"/>
                <w:sz w:val="21"/>
                <w:szCs w:val="21"/>
                <w:highlight w:val="none"/>
                <w:lang w:eastAsia="zh"/>
                <w:woUserID w:val="2"/>
              </w:rPr>
              <w:t>同一人员具备多项证书的，可以累计得分</w:t>
            </w:r>
            <w:r>
              <w:rPr>
                <w:rFonts w:hint="eastAsia" w:ascii="宋体" w:hAnsi="宋体" w:cs="宋体"/>
                <w:sz w:val="21"/>
                <w:szCs w:val="21"/>
                <w:highlight w:val="none"/>
                <w:lang w:eastAsia="zh-CN"/>
                <w:woUserID w:val="2"/>
              </w:rPr>
              <w:t>，</w:t>
            </w:r>
            <w:r>
              <w:rPr>
                <w:rFonts w:hint="eastAsia" w:ascii="宋体" w:hAnsi="宋体" w:eastAsia="宋体" w:cs="宋体"/>
                <w:sz w:val="21"/>
                <w:szCs w:val="21"/>
                <w:highlight w:val="none"/>
              </w:rPr>
              <w:t>最高得</w:t>
            </w:r>
            <w:r>
              <w:rPr>
                <w:rFonts w:hint="eastAsia" w:ascii="宋体" w:hAnsi="宋体" w:eastAsia="宋体" w:cs="宋体"/>
                <w:sz w:val="21"/>
                <w:szCs w:val="21"/>
                <w:highlight w:val="none"/>
                <w:lang w:val="en-US" w:eastAsia="zh-CN"/>
              </w:rPr>
              <w:t>100分</w:t>
            </w:r>
            <w:r>
              <w:rPr>
                <w:rFonts w:hint="eastAsia" w:ascii="宋体" w:hAnsi="宋体" w:eastAsia="宋体" w:cs="宋体"/>
                <w:sz w:val="21"/>
                <w:szCs w:val="21"/>
                <w:highlight w:val="none"/>
              </w:rPr>
              <w:t>。</w:t>
            </w:r>
          </w:p>
          <w:p w14:paraId="3FF5EEF4">
            <w:pP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（二）评分依据：</w:t>
            </w:r>
          </w:p>
          <w:p w14:paraId="0F5161BB">
            <w:pP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1.通过</w:t>
            </w:r>
            <w:r>
              <w:rPr>
                <w:rFonts w:hint="eastAsia" w:ascii="宋体" w:hAnsi="宋体" w:cs="宋体"/>
                <w:sz w:val="21"/>
                <w:szCs w:val="21"/>
                <w:highlight w:val="none"/>
                <w:lang w:val="en-US" w:eastAsia="zh-CN"/>
              </w:rPr>
              <w:t>投标人</w:t>
            </w:r>
            <w:r>
              <w:rPr>
                <w:rFonts w:hint="eastAsia" w:ascii="宋体" w:hAnsi="宋体" w:eastAsia="宋体" w:cs="宋体"/>
                <w:sz w:val="21"/>
                <w:szCs w:val="21"/>
                <w:highlight w:val="none"/>
              </w:rPr>
              <w:t>缴纳的</w:t>
            </w:r>
            <w:r>
              <w:rPr>
                <w:rFonts w:hint="eastAsia" w:asciiTheme="minorEastAsia" w:hAnsiTheme="minorEastAsia" w:eastAsiaTheme="minorEastAsia"/>
                <w:szCs w:val="21"/>
              </w:rPr>
              <w:t>载有社保部门或税务部门公章的</w:t>
            </w:r>
            <w:r>
              <w:rPr>
                <w:rFonts w:hint="eastAsia" w:ascii="宋体" w:hAnsi="宋体" w:eastAsia="宋体" w:cs="宋体"/>
                <w:sz w:val="21"/>
                <w:szCs w:val="21"/>
                <w:highlight w:val="none"/>
              </w:rPr>
              <w:t>近三个月（含开标当月）的任意一个月的社保证明作为本单位员工的证明依据，如供应商成立不足一个月或员工入职不足一个月的，提供情况说明函（格式自拟），无需提供相关人员社保，亦</w:t>
            </w:r>
            <w:r>
              <w:rPr>
                <w:rFonts w:hint="eastAsia" w:ascii="宋体" w:hAnsi="宋体" w:cs="宋体"/>
                <w:sz w:val="21"/>
                <w:szCs w:val="21"/>
                <w:highlight w:val="none"/>
                <w:lang w:val="en-US" w:eastAsia="zh-CN"/>
              </w:rPr>
              <w:t>视为符合；</w:t>
            </w:r>
          </w:p>
          <w:p w14:paraId="2C0E082D">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2.要求提供</w:t>
            </w:r>
            <w:r>
              <w:rPr>
                <w:rFonts w:hint="eastAsia" w:ascii="宋体" w:hAnsi="宋体" w:cs="宋体"/>
                <w:szCs w:val="21"/>
                <w:highlight w:val="none"/>
              </w:rPr>
              <w:t>项目团队成员</w:t>
            </w:r>
            <w:r>
              <w:rPr>
                <w:rFonts w:hint="eastAsia" w:ascii="宋体" w:hAnsi="宋体" w:eastAsia="宋体" w:cs="宋体"/>
                <w:sz w:val="21"/>
                <w:szCs w:val="21"/>
                <w:highlight w:val="none"/>
              </w:rPr>
              <w:t>相关</w:t>
            </w:r>
            <w:r>
              <w:rPr>
                <w:rFonts w:hint="eastAsia" w:ascii="宋体" w:hAnsi="宋体" w:cs="宋体"/>
                <w:sz w:val="21"/>
                <w:szCs w:val="21"/>
                <w:highlight w:val="none"/>
                <w:lang w:val="en-US" w:eastAsia="zh-CN"/>
              </w:rPr>
              <w:t>有效证书</w:t>
            </w:r>
            <w:r>
              <w:rPr>
                <w:rFonts w:hint="eastAsia" w:ascii="宋体" w:hAnsi="宋体" w:eastAsia="宋体" w:cs="宋体"/>
                <w:sz w:val="21"/>
                <w:szCs w:val="21"/>
                <w:highlight w:val="none"/>
              </w:rPr>
              <w:t>作为得分依据</w:t>
            </w:r>
            <w:r>
              <w:rPr>
                <w:rFonts w:hint="eastAsia" w:ascii="宋体" w:hAnsi="宋体" w:eastAsia="宋体" w:cs="宋体"/>
                <w:sz w:val="21"/>
                <w:szCs w:val="21"/>
                <w:highlight w:val="none"/>
                <w:lang w:eastAsia="zh-CN"/>
              </w:rPr>
              <w:t>；</w:t>
            </w:r>
          </w:p>
          <w:p w14:paraId="1664E259">
            <w:pPr>
              <w:rPr>
                <w:rFonts w:cs="宋体" w:asciiTheme="minorEastAsia" w:hAnsiTheme="minorEastAsia" w:eastAsiaTheme="minorEastAsia"/>
                <w:szCs w:val="21"/>
              </w:rPr>
            </w:pPr>
            <w:r>
              <w:rPr>
                <w:rFonts w:hint="eastAsia" w:ascii="宋体" w:hAnsi="宋体" w:eastAsia="宋体" w:cs="宋体"/>
                <w:sz w:val="21"/>
                <w:szCs w:val="21"/>
                <w:highlight w:val="none"/>
              </w:rPr>
              <w:t>3.以上资料均要求提供扫描件。评分中出现无证明资料或专家无法凭所提供资料判断是否得分的情况，一律作不得分处理。</w:t>
            </w:r>
          </w:p>
        </w:tc>
      </w:tr>
      <w:tr w14:paraId="72F464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tcBorders>
              <w:left w:val="single" w:color="000000" w:sz="8" w:space="0"/>
              <w:bottom w:val="single" w:color="000000" w:sz="8" w:space="0"/>
              <w:right w:val="single" w:color="000000" w:sz="8" w:space="0"/>
            </w:tcBorders>
            <w:vAlign w:val="center"/>
          </w:tcPr>
          <w:p w14:paraId="2916C239">
            <w:pPr>
              <w:spacing w:line="360" w:lineRule="exact"/>
              <w:rPr>
                <w:rFonts w:cs="宋体" w:asciiTheme="minorEastAsia" w:hAnsiTheme="minorEastAsia" w:eastAsiaTheme="minorEastAsia"/>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tcPr>
          <w:p w14:paraId="2B06ED02">
            <w:pPr>
              <w:spacing w:line="360" w:lineRule="exact"/>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w:t>
            </w:r>
          </w:p>
        </w:tc>
        <w:tc>
          <w:tcPr>
            <w:tcW w:w="2835" w:type="dxa"/>
            <w:tcBorders>
              <w:top w:val="single" w:color="000000" w:sz="8" w:space="0"/>
              <w:left w:val="single" w:color="000000" w:sz="8" w:space="0"/>
              <w:bottom w:val="single" w:color="000000" w:sz="8" w:space="0"/>
              <w:right w:val="single" w:color="000000" w:sz="8" w:space="0"/>
            </w:tcBorders>
            <w:vAlign w:val="top"/>
          </w:tcPr>
          <w:p w14:paraId="1F33322B">
            <w:pPr>
              <w:widowControl/>
              <w:spacing w:line="360" w:lineRule="exact"/>
              <w:jc w:val="both"/>
              <w:rPr>
                <w:rFonts w:hint="eastAsia" w:cs="仿宋" w:asciiTheme="minorEastAsia" w:hAnsiTheme="minorEastAsia" w:eastAsiaTheme="minorEastAsia"/>
                <w:szCs w:val="21"/>
              </w:rPr>
            </w:pPr>
            <w:r>
              <w:rPr>
                <w:rFonts w:hint="eastAsia" w:cs="宋体" w:asciiTheme="minorEastAsia" w:hAnsiTheme="minorEastAsia" w:eastAsiaTheme="minorEastAsia"/>
                <w:szCs w:val="21"/>
              </w:rPr>
              <w:t>违约承诺</w:t>
            </w:r>
          </w:p>
        </w:tc>
        <w:tc>
          <w:tcPr>
            <w:tcW w:w="681" w:type="dxa"/>
            <w:tcBorders>
              <w:top w:val="single" w:color="000000" w:sz="8" w:space="0"/>
              <w:left w:val="single" w:color="000000" w:sz="8" w:space="0"/>
              <w:bottom w:val="single" w:color="000000" w:sz="8" w:space="0"/>
              <w:right w:val="single" w:color="000000" w:sz="8" w:space="0"/>
            </w:tcBorders>
            <w:vAlign w:val="top"/>
          </w:tcPr>
          <w:p w14:paraId="1F7622F7">
            <w:pPr>
              <w:widowControl/>
              <w:spacing w:line="360" w:lineRule="exact"/>
              <w:jc w:val="both"/>
              <w:rPr>
                <w:rFonts w:hint="eastAsia" w:cs="仿宋" w:asciiTheme="minorEastAsia" w:hAnsiTheme="minorEastAsia" w:eastAsiaTheme="minorEastAsia"/>
                <w:szCs w:val="21"/>
                <w:lang w:val="en-US" w:eastAsia="zh-CN"/>
              </w:rPr>
            </w:pPr>
            <w:r>
              <w:rPr>
                <w:rFonts w:hint="default" w:cs="宋体" w:asciiTheme="minorEastAsia" w:hAnsiTheme="minorEastAsia" w:eastAsiaTheme="minorEastAsia"/>
                <w:kern w:val="0"/>
                <w:szCs w:val="21"/>
                <w:lang w:val="en-US"/>
              </w:rPr>
              <w:t>5</w:t>
            </w:r>
          </w:p>
        </w:tc>
        <w:tc>
          <w:tcPr>
            <w:tcW w:w="4763" w:type="dxa"/>
            <w:tcBorders>
              <w:top w:val="single" w:color="000000" w:sz="8" w:space="0"/>
              <w:left w:val="single" w:color="000000" w:sz="8" w:space="0"/>
              <w:bottom w:val="single" w:color="000000" w:sz="8" w:space="0"/>
              <w:right w:val="single" w:color="000000" w:sz="8" w:space="0"/>
            </w:tcBorders>
            <w:vAlign w:val="center"/>
          </w:tcPr>
          <w:p w14:paraId="3E1BD4EB">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投标人书面承诺：需在合同签订之日起10个工作日内，按时开展等保定级、备案、测评服务，如未能按时开展，将视为根本违约，采购方有权立即解除与其签订的采购合同，且中标方还需向采购方支付中标价的0.5%的违约金并赔偿其他损失，承诺内容满足以上要求的得</w:t>
            </w:r>
            <w:r>
              <w:rPr>
                <w:rFonts w:hint="eastAsia" w:asciiTheme="minorEastAsia" w:hAnsiTheme="minorEastAsia" w:eastAsiaTheme="minorEastAsia"/>
                <w:szCs w:val="21"/>
                <w:lang w:val="en-US" w:eastAsia="zh-CN"/>
              </w:rPr>
              <w:t>100</w:t>
            </w:r>
            <w:r>
              <w:rPr>
                <w:rFonts w:hint="eastAsia" w:asciiTheme="minorEastAsia" w:hAnsiTheme="minorEastAsia" w:eastAsiaTheme="minorEastAsia"/>
                <w:szCs w:val="21"/>
              </w:rPr>
              <w:t>分。</w:t>
            </w:r>
          </w:p>
          <w:p w14:paraId="630D5465">
            <w:pPr>
              <w:autoSpaceDE w:val="0"/>
              <w:autoSpaceDN w:val="0"/>
              <w:adjustRightInd w:val="0"/>
              <w:spacing w:line="360" w:lineRule="exact"/>
              <w:rPr>
                <w:rFonts w:hint="eastAsia" w:ascii="宋体" w:hAnsi="宋体" w:eastAsia="宋体" w:cs="宋体"/>
                <w:sz w:val="21"/>
                <w:szCs w:val="21"/>
                <w:highlight w:val="none"/>
              </w:rPr>
            </w:pPr>
            <w:r>
              <w:rPr>
                <w:rFonts w:hint="eastAsia" w:asciiTheme="minorEastAsia" w:hAnsiTheme="minorEastAsia" w:eastAsiaTheme="minorEastAsia"/>
                <w:szCs w:val="21"/>
              </w:rPr>
              <w:t>【须提供违约承诺函（格式自拟），未提供或未按要求提供的不得分。】</w:t>
            </w:r>
          </w:p>
        </w:tc>
      </w:tr>
      <w:tr w14:paraId="6BB471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tcPr>
          <w:p w14:paraId="1A09F577">
            <w:pPr>
              <w:spacing w:line="360" w:lineRule="exact"/>
              <w:jc w:val="center"/>
              <w:rPr>
                <w:rFonts w:cs="宋体" w:asciiTheme="minorEastAsia" w:hAnsiTheme="minorEastAsia" w:eastAsiaTheme="minorEastAsia"/>
                <w:b/>
                <w:bCs/>
                <w:color w:val="0000FF"/>
                <w:sz w:val="24"/>
                <w:szCs w:val="24"/>
              </w:rPr>
            </w:pPr>
            <w:r>
              <w:rPr>
                <w:rFonts w:asciiTheme="minorEastAsia" w:hAnsiTheme="minorEastAsia" w:eastAsiaTheme="minorEastAsia"/>
                <w:b/>
                <w:bCs/>
                <w:color w:val="0000FF"/>
              </w:rPr>
              <w:t>3</w:t>
            </w:r>
          </w:p>
        </w:tc>
        <w:tc>
          <w:tcPr>
            <w:tcW w:w="4196" w:type="dxa"/>
            <w:gridSpan w:val="3"/>
            <w:tcBorders>
              <w:top w:val="single" w:color="000000" w:sz="8" w:space="0"/>
              <w:left w:val="single" w:color="000000" w:sz="8" w:space="0"/>
              <w:bottom w:val="single" w:color="000000" w:sz="8" w:space="0"/>
              <w:right w:val="single" w:color="000000" w:sz="8" w:space="0"/>
            </w:tcBorders>
          </w:tcPr>
          <w:p w14:paraId="1CADEF69">
            <w:pPr>
              <w:spacing w:line="360" w:lineRule="exact"/>
              <w:jc w:val="center"/>
              <w:rPr>
                <w:rFonts w:cs="宋体" w:asciiTheme="minorEastAsia" w:hAnsiTheme="minorEastAsia" w:eastAsiaTheme="minorEastAsia"/>
                <w:b/>
                <w:bCs/>
                <w:color w:val="0000FF"/>
                <w:sz w:val="24"/>
                <w:szCs w:val="24"/>
              </w:rPr>
            </w:pPr>
            <w:r>
              <w:rPr>
                <w:rFonts w:asciiTheme="minorEastAsia" w:hAnsiTheme="minorEastAsia" w:eastAsiaTheme="minorEastAsia"/>
                <w:b/>
                <w:bCs/>
                <w:color w:val="0000FF"/>
              </w:rPr>
              <w:t>商务</w:t>
            </w:r>
          </w:p>
        </w:tc>
        <w:tc>
          <w:tcPr>
            <w:tcW w:w="4763" w:type="dxa"/>
            <w:tcBorders>
              <w:top w:val="single" w:color="000000" w:sz="8" w:space="0"/>
              <w:left w:val="single" w:color="000000" w:sz="8" w:space="0"/>
              <w:bottom w:val="single" w:color="000000" w:sz="8" w:space="0"/>
              <w:right w:val="single" w:color="000000" w:sz="8" w:space="0"/>
            </w:tcBorders>
          </w:tcPr>
          <w:p w14:paraId="02611112">
            <w:pPr>
              <w:spacing w:line="360" w:lineRule="exact"/>
              <w:jc w:val="center"/>
              <w:rPr>
                <w:rFonts w:hint="default" w:cs="宋体" w:asciiTheme="minorEastAsia" w:hAnsiTheme="minorEastAsia" w:eastAsiaTheme="minorEastAsia"/>
                <w:b/>
                <w:bCs/>
                <w:color w:val="0000FF"/>
                <w:sz w:val="24"/>
                <w:szCs w:val="24"/>
                <w:lang w:val="en-US" w:eastAsia="zh-CN"/>
              </w:rPr>
            </w:pPr>
            <w:r>
              <w:rPr>
                <w:rFonts w:hint="eastAsia" w:asciiTheme="minorEastAsia" w:hAnsiTheme="minorEastAsia" w:eastAsiaTheme="minorEastAsia"/>
                <w:b/>
                <w:bCs/>
                <w:color w:val="0000FF"/>
                <w:lang w:val="en-US" w:eastAsia="zh-CN"/>
              </w:rPr>
              <w:t>28</w:t>
            </w:r>
          </w:p>
        </w:tc>
      </w:tr>
      <w:tr w14:paraId="07F56A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45770EA3">
            <w:pPr>
              <w:spacing w:line="360" w:lineRule="exact"/>
              <w:rPr>
                <w:rFonts w:cs="宋体" w:asciiTheme="minorEastAsia" w:hAnsiTheme="minorEastAsia" w:eastAsiaTheme="minorEastAsia"/>
                <w:b/>
                <w:bCs/>
                <w:color w:val="0000FF"/>
                <w:sz w:val="24"/>
                <w:szCs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1B66A03">
            <w:pPr>
              <w:spacing w:line="360" w:lineRule="exact"/>
              <w:jc w:val="center"/>
              <w:rPr>
                <w:rFonts w:cs="宋体" w:asciiTheme="minorEastAsia" w:hAnsiTheme="minorEastAsia" w:eastAsiaTheme="minorEastAsia"/>
                <w:szCs w:val="21"/>
              </w:rPr>
            </w:pPr>
            <w:r>
              <w:rPr>
                <w:rFonts w:asciiTheme="minorEastAsia" w:hAnsiTheme="minorEastAsia" w:eastAsiaTheme="minorEastAsia"/>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5AD672A">
            <w:pPr>
              <w:spacing w:line="360" w:lineRule="exact"/>
              <w:jc w:val="center"/>
              <w:rPr>
                <w:rFonts w:cs="宋体" w:asciiTheme="minorEastAsia" w:hAnsiTheme="minorEastAsia" w:eastAsiaTheme="minorEastAsia"/>
                <w:szCs w:val="21"/>
              </w:rPr>
            </w:pPr>
            <w:r>
              <w:rPr>
                <w:rFonts w:asciiTheme="minorEastAsia" w:hAnsiTheme="minorEastAsia" w:eastAsiaTheme="minorEastAsia"/>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53816A7">
            <w:pPr>
              <w:spacing w:line="360" w:lineRule="exact"/>
              <w:jc w:val="center"/>
              <w:rPr>
                <w:rFonts w:cs="宋体" w:asciiTheme="minorEastAsia" w:hAnsiTheme="minorEastAsia" w:eastAsiaTheme="minorEastAsia"/>
                <w:szCs w:val="21"/>
              </w:rPr>
            </w:pPr>
            <w:r>
              <w:rPr>
                <w:rFonts w:asciiTheme="minorEastAsia" w:hAnsiTheme="minorEastAsia" w:eastAsiaTheme="minorEastAsia"/>
                <w:szCs w:val="21"/>
              </w:rPr>
              <w:t>权重(%)</w:t>
            </w:r>
          </w:p>
        </w:tc>
        <w:tc>
          <w:tcPr>
            <w:tcW w:w="47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58A8E7B">
            <w:pPr>
              <w:spacing w:line="360" w:lineRule="exact"/>
              <w:jc w:val="center"/>
              <w:rPr>
                <w:rFonts w:cs="宋体" w:asciiTheme="minorEastAsia" w:hAnsiTheme="minorEastAsia" w:eastAsiaTheme="minorEastAsia"/>
                <w:szCs w:val="21"/>
              </w:rPr>
            </w:pPr>
            <w:r>
              <w:rPr>
                <w:rFonts w:asciiTheme="minorEastAsia" w:hAnsiTheme="minorEastAsia" w:eastAsiaTheme="minorEastAsia"/>
                <w:szCs w:val="21"/>
              </w:rPr>
              <w:t>评分准则</w:t>
            </w:r>
          </w:p>
        </w:tc>
      </w:tr>
      <w:tr w14:paraId="27282F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0" w:type="auto"/>
            <w:vMerge w:val="continue"/>
            <w:tcBorders>
              <w:left w:val="single" w:color="000000" w:sz="8" w:space="0"/>
              <w:right w:val="single" w:color="000000" w:sz="8" w:space="0"/>
            </w:tcBorders>
            <w:vAlign w:val="center"/>
          </w:tcPr>
          <w:p w14:paraId="6584C816">
            <w:pPr>
              <w:spacing w:line="360" w:lineRule="exact"/>
              <w:rPr>
                <w:rFonts w:cs="宋体" w:asciiTheme="minorEastAsia" w:hAnsiTheme="minorEastAsia" w:eastAsiaTheme="minorEastAsia"/>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tcPr>
          <w:p w14:paraId="479980C5">
            <w:pPr>
              <w:spacing w:line="360" w:lineRule="exact"/>
              <w:jc w:val="center"/>
              <w:rPr>
                <w:rFonts w:cs="宋体" w:asciiTheme="minorEastAsia" w:hAnsiTheme="minorEastAsia" w:eastAsiaTheme="minorEastAsia"/>
                <w:szCs w:val="21"/>
              </w:rPr>
            </w:pPr>
            <w:r>
              <w:rPr>
                <w:rFonts w:asciiTheme="minorEastAsia" w:hAnsiTheme="minorEastAsia" w:eastAsiaTheme="minorEastAsia"/>
                <w:szCs w:val="21"/>
              </w:rPr>
              <w:t>1</w:t>
            </w:r>
          </w:p>
        </w:tc>
        <w:tc>
          <w:tcPr>
            <w:tcW w:w="2835" w:type="dxa"/>
            <w:tcBorders>
              <w:top w:val="single" w:color="000000" w:sz="8" w:space="0"/>
              <w:left w:val="single" w:color="000000" w:sz="8" w:space="0"/>
              <w:bottom w:val="single" w:color="000000" w:sz="8" w:space="0"/>
              <w:right w:val="single" w:color="000000" w:sz="8" w:space="0"/>
            </w:tcBorders>
            <w:vAlign w:val="top"/>
          </w:tcPr>
          <w:p w14:paraId="5635F532">
            <w:pPr>
              <w:adjustRightInd w:val="0"/>
              <w:snapToGrid w:val="0"/>
              <w:spacing w:line="360" w:lineRule="exact"/>
              <w:jc w:val="both"/>
              <w:rPr>
                <w:rFonts w:cs="宋体" w:asciiTheme="minorEastAsia" w:hAnsiTheme="minorEastAsia" w:eastAsiaTheme="minorEastAsia"/>
                <w:szCs w:val="21"/>
              </w:rPr>
            </w:pPr>
            <w:r>
              <w:rPr>
                <w:rFonts w:hint="eastAsia" w:asciiTheme="minorEastAsia" w:hAnsiTheme="minorEastAsia" w:eastAsiaTheme="minorEastAsia" w:cstheme="minorEastAsia"/>
                <w:sz w:val="21"/>
                <w:szCs w:val="21"/>
                <w:highlight w:val="none"/>
              </w:rPr>
              <w:t>供应商</w:t>
            </w:r>
            <w:r>
              <w:rPr>
                <w:rFonts w:hint="eastAsia" w:asciiTheme="minorEastAsia" w:hAnsiTheme="minorEastAsia" w:eastAsiaTheme="minorEastAsia" w:cstheme="minorEastAsia"/>
                <w:sz w:val="21"/>
                <w:szCs w:val="21"/>
                <w:highlight w:val="none"/>
                <w:lang w:val="en-US" w:eastAsia="zh-CN"/>
              </w:rPr>
              <w:t>相关资质情况</w:t>
            </w:r>
          </w:p>
        </w:tc>
        <w:tc>
          <w:tcPr>
            <w:tcW w:w="681" w:type="dxa"/>
            <w:tcBorders>
              <w:top w:val="single" w:color="000000" w:sz="8" w:space="0"/>
              <w:left w:val="single" w:color="000000" w:sz="8" w:space="0"/>
              <w:bottom w:val="single" w:color="000000" w:sz="8" w:space="0"/>
              <w:right w:val="single" w:color="000000" w:sz="8" w:space="0"/>
            </w:tcBorders>
            <w:vAlign w:val="top"/>
          </w:tcPr>
          <w:p w14:paraId="3C983D1C">
            <w:pPr>
              <w:adjustRightInd w:val="0"/>
              <w:snapToGrid w:val="0"/>
              <w:spacing w:line="360" w:lineRule="exact"/>
              <w:jc w:val="both"/>
              <w:rPr>
                <w:rFonts w:cs="宋体" w:asciiTheme="minorEastAsia" w:hAnsiTheme="minorEastAsia" w:eastAsiaTheme="minorEastAsia"/>
                <w:szCs w:val="21"/>
              </w:rPr>
            </w:pPr>
            <w:r>
              <w:rPr>
                <w:rFonts w:hint="eastAsia" w:asciiTheme="minorEastAsia" w:hAnsiTheme="minorEastAsia" w:eastAsiaTheme="minorEastAsia" w:cstheme="minorEastAsia"/>
                <w:snapToGrid w:val="0"/>
                <w:kern w:val="0"/>
                <w:szCs w:val="21"/>
                <w:highlight w:val="none"/>
                <w:lang w:val="en-US" w:eastAsia="zh-CN"/>
              </w:rPr>
              <w:t>13</w:t>
            </w:r>
          </w:p>
        </w:tc>
        <w:tc>
          <w:tcPr>
            <w:tcW w:w="4763" w:type="dxa"/>
            <w:tcBorders>
              <w:top w:val="single" w:color="000000" w:sz="8" w:space="0"/>
              <w:left w:val="single" w:color="000000" w:sz="8" w:space="0"/>
              <w:bottom w:val="single" w:color="000000" w:sz="8" w:space="0"/>
              <w:right w:val="single" w:color="000000" w:sz="8" w:space="0"/>
            </w:tcBorders>
            <w:vAlign w:val="center"/>
          </w:tcPr>
          <w:p w14:paraId="6D84FC0D">
            <w:pP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（一）评分内容：</w:t>
            </w:r>
          </w:p>
          <w:p w14:paraId="0C9D7929">
            <w:p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投标人具有</w:t>
            </w:r>
            <w:r>
              <w:rPr>
                <w:rFonts w:hint="eastAsia" w:asciiTheme="minorEastAsia" w:hAnsiTheme="minorEastAsia" w:eastAsiaTheme="minorEastAsia" w:cstheme="minorEastAsia"/>
                <w:sz w:val="21"/>
                <w:szCs w:val="21"/>
                <w:highlight w:val="none"/>
                <w:lang w:val="en-US" w:eastAsia="zh-CN"/>
                <w:woUserID w:val="2"/>
              </w:rPr>
              <w:t>中国合格评定国家认可委员会检验机构认可证书（CNAS）</w:t>
            </w:r>
            <w:r>
              <w:rPr>
                <w:rFonts w:hint="eastAsia" w:asciiTheme="minorEastAsia" w:hAnsiTheme="minorEastAsia" w:eastAsiaTheme="minorEastAsia" w:cstheme="minorEastAsia"/>
                <w:sz w:val="21"/>
                <w:szCs w:val="21"/>
                <w:highlight w:val="none"/>
              </w:rPr>
              <w:t>得</w:t>
            </w:r>
            <w:r>
              <w:rPr>
                <w:rFonts w:hint="eastAsia" w:asciiTheme="minorEastAsia" w:hAnsiTheme="minorEastAsia" w:eastAsiaTheme="minorEastAsia" w:cstheme="minorEastAsia"/>
                <w:sz w:val="21"/>
                <w:szCs w:val="21"/>
                <w:highlight w:val="none"/>
                <w:lang w:eastAsia="zh"/>
                <w:woUserID w:val="2"/>
              </w:rPr>
              <w:t>4</w:t>
            </w:r>
            <w:r>
              <w:rPr>
                <w:rFonts w:hint="eastAsia" w:asciiTheme="minorEastAsia" w:hAnsiTheme="minorEastAsia" w:eastAsiaTheme="minorEastAsia" w:cstheme="minorEastAsia"/>
                <w:sz w:val="21"/>
                <w:szCs w:val="21"/>
                <w:highlight w:val="none"/>
                <w:lang w:eastAsia="zh"/>
                <w:woUserID w:val="1"/>
              </w:rPr>
              <w:t>0</w:t>
            </w:r>
            <w:r>
              <w:rPr>
                <w:rFonts w:hint="eastAsia" w:asciiTheme="minorEastAsia" w:hAnsiTheme="minorEastAsia" w:eastAsiaTheme="minorEastAsia" w:cstheme="minorEastAsia"/>
                <w:sz w:val="21"/>
                <w:szCs w:val="21"/>
                <w:highlight w:val="none"/>
                <w:lang w:val="en-US" w:eastAsia="zh-CN"/>
              </w:rPr>
              <w:t>分；</w:t>
            </w:r>
          </w:p>
          <w:p w14:paraId="0E81C44A">
            <w:p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2.供应商具有数据安全服务能力评定资格证书（数据安全评估二级或以上），得40分；</w:t>
            </w:r>
          </w:p>
          <w:p w14:paraId="108E3CA9">
            <w:p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3.投标人具有</w:t>
            </w:r>
            <w:r>
              <w:rPr>
                <w:rFonts w:hint="eastAsia" w:asciiTheme="minorEastAsia" w:hAnsiTheme="minorEastAsia" w:eastAsiaTheme="minorEastAsia" w:cstheme="minorEastAsia"/>
                <w:szCs w:val="21"/>
                <w:highlight w:val="none"/>
                <w:woUserID w:val="2"/>
              </w:rPr>
              <w:t>国家信息安全漏洞库技术支撑单位等级证书</w:t>
            </w:r>
            <w:r>
              <w:rPr>
                <w:rFonts w:hint="eastAsia" w:asciiTheme="minorEastAsia" w:hAnsiTheme="minorEastAsia" w:eastAsiaTheme="minorEastAsia" w:cstheme="minorEastAsia"/>
                <w:szCs w:val="21"/>
                <w:highlight w:val="none"/>
                <w:lang w:eastAsia="zh-CN"/>
                <w:woUserID w:val="2"/>
              </w:rPr>
              <w:t>（</w:t>
            </w:r>
            <w:r>
              <w:rPr>
                <w:rFonts w:hint="eastAsia" w:asciiTheme="minorEastAsia" w:hAnsiTheme="minorEastAsia" w:eastAsiaTheme="minorEastAsia" w:cstheme="minorEastAsia"/>
                <w:szCs w:val="21"/>
                <w:highlight w:val="none"/>
                <w:lang w:val="en-US" w:eastAsia="zh-CN"/>
                <w:woUserID w:val="2"/>
              </w:rPr>
              <w:t>三级</w:t>
            </w:r>
            <w:r>
              <w:rPr>
                <w:rFonts w:hint="eastAsia" w:asciiTheme="minorEastAsia" w:hAnsiTheme="minorEastAsia" w:eastAsiaTheme="minorEastAsia" w:cstheme="minorEastAsia"/>
                <w:sz w:val="21"/>
                <w:szCs w:val="21"/>
                <w:highlight w:val="none"/>
                <w:lang w:val="en-US" w:eastAsia="zh-CN"/>
              </w:rPr>
              <w:t>或以上</w:t>
            </w:r>
            <w:r>
              <w:rPr>
                <w:rFonts w:hint="eastAsia" w:asciiTheme="minorEastAsia" w:hAnsiTheme="minorEastAsia" w:eastAsiaTheme="minorEastAsia" w:cstheme="minorEastAsia"/>
                <w:szCs w:val="21"/>
                <w:highlight w:val="none"/>
                <w:lang w:eastAsia="zh-CN"/>
                <w:woUserID w:val="2"/>
              </w:rPr>
              <w:t>）</w:t>
            </w:r>
            <w:r>
              <w:rPr>
                <w:rFonts w:hint="eastAsia" w:asciiTheme="minorEastAsia" w:hAnsiTheme="minorEastAsia" w:eastAsiaTheme="minorEastAsia" w:cstheme="minorEastAsia"/>
                <w:sz w:val="21"/>
                <w:szCs w:val="21"/>
                <w:highlight w:val="none"/>
                <w:lang w:val="en-US" w:eastAsia="zh-CN"/>
              </w:rPr>
              <w:t>，得20分。</w:t>
            </w:r>
          </w:p>
          <w:p w14:paraId="3E016158">
            <w:pPr>
              <w:rPr>
                <w:rFonts w:hint="eastAsia" w:asciiTheme="minorEastAsia" w:hAnsiTheme="minorEastAsia" w:eastAsiaTheme="minorEastAsia" w:cstheme="minorEastAsia"/>
                <w:b/>
                <w:bCs/>
                <w:sz w:val="21"/>
                <w:szCs w:val="21"/>
                <w:highlight w:val="none"/>
                <w:lang w:eastAsia="zh-CN"/>
              </w:rPr>
            </w:pPr>
            <w:r>
              <w:rPr>
                <w:rFonts w:hint="eastAsia" w:asciiTheme="minorEastAsia" w:hAnsiTheme="minorEastAsia" w:eastAsiaTheme="minorEastAsia" w:cstheme="minorEastAsia"/>
                <w:b/>
                <w:bCs/>
                <w:sz w:val="21"/>
                <w:szCs w:val="21"/>
                <w:highlight w:val="none"/>
              </w:rPr>
              <w:t>（二）评分依据</w:t>
            </w:r>
            <w:r>
              <w:rPr>
                <w:rFonts w:hint="eastAsia" w:asciiTheme="minorEastAsia" w:hAnsiTheme="minorEastAsia" w:eastAsiaTheme="minorEastAsia" w:cstheme="minorEastAsia"/>
                <w:b/>
                <w:bCs/>
                <w:sz w:val="21"/>
                <w:szCs w:val="21"/>
                <w:highlight w:val="none"/>
                <w:lang w:eastAsia="zh-CN"/>
              </w:rPr>
              <w:t>：</w:t>
            </w:r>
          </w:p>
          <w:p w14:paraId="5351244D">
            <w:pP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1.要求提供有效证书扫描件（原件备查）</w:t>
            </w:r>
            <w:r>
              <w:rPr>
                <w:rFonts w:hint="eastAsia" w:asciiTheme="minorEastAsia" w:hAnsiTheme="minorEastAsia" w:eastAsiaTheme="minorEastAsia" w:cstheme="minorEastAsia"/>
                <w:sz w:val="21"/>
                <w:szCs w:val="21"/>
                <w:highlight w:val="none"/>
                <w:lang w:eastAsia="zh-CN"/>
              </w:rPr>
              <w:t>；</w:t>
            </w:r>
          </w:p>
          <w:p w14:paraId="4F60406C">
            <w:pPr>
              <w:pStyle w:val="139"/>
              <w:spacing w:line="360" w:lineRule="exact"/>
              <w:ind w:firstLine="0" w:firstLineChars="0"/>
              <w:rPr>
                <w:rFonts w:cs="宋体" w:asciiTheme="minorEastAsia" w:hAnsiTheme="minorEastAsia" w:eastAsiaTheme="minorEastAsia"/>
                <w:szCs w:val="21"/>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评分中出现无证明资料或专家无法凭所提供资料判断是否得分的情况，一律作不得分处理。</w:t>
            </w:r>
          </w:p>
        </w:tc>
      </w:tr>
      <w:tr w14:paraId="7FFA99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20D2E029">
            <w:pPr>
              <w:spacing w:line="360" w:lineRule="exact"/>
              <w:rPr>
                <w:rFonts w:cs="宋体" w:asciiTheme="minorEastAsia" w:hAnsiTheme="minorEastAsia" w:eastAsiaTheme="minorEastAsia"/>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tcPr>
          <w:p w14:paraId="0B39622A">
            <w:pPr>
              <w:spacing w:line="360" w:lineRule="exact"/>
              <w:jc w:val="center"/>
              <w:rPr>
                <w:rFonts w:hint="eastAsia" w:cs="宋体" w:asciiTheme="minorEastAsia" w:hAnsiTheme="minorEastAsia" w:eastAsiaTheme="minorEastAsia"/>
                <w:szCs w:val="21"/>
                <w:lang w:eastAsia="zh-CN"/>
              </w:rPr>
            </w:pPr>
            <w:r>
              <w:rPr>
                <w:rFonts w:hint="eastAsia" w:asciiTheme="minorEastAsia" w:hAnsiTheme="minorEastAsia" w:eastAsiaTheme="minorEastAsia"/>
                <w:szCs w:val="21"/>
                <w:lang w:val="en-US" w:eastAsia="zh-CN"/>
              </w:rPr>
              <w:t>2</w:t>
            </w:r>
          </w:p>
        </w:tc>
        <w:tc>
          <w:tcPr>
            <w:tcW w:w="2835" w:type="dxa"/>
            <w:tcBorders>
              <w:top w:val="single" w:color="000000" w:sz="8" w:space="0"/>
              <w:left w:val="single" w:color="000000" w:sz="8" w:space="0"/>
              <w:bottom w:val="single" w:color="000000" w:sz="8" w:space="0"/>
              <w:right w:val="single" w:color="000000" w:sz="8" w:space="0"/>
            </w:tcBorders>
            <w:vAlign w:val="top"/>
          </w:tcPr>
          <w:p w14:paraId="68A64C62">
            <w:pPr>
              <w:spacing w:line="360" w:lineRule="exact"/>
              <w:jc w:val="both"/>
              <w:rPr>
                <w:rFonts w:cs="宋体" w:asciiTheme="minorEastAsia" w:hAnsiTheme="minorEastAsia" w:eastAsiaTheme="minorEastAsia"/>
                <w:szCs w:val="21"/>
              </w:rPr>
            </w:pPr>
            <w:r>
              <w:rPr>
                <w:rFonts w:hint="eastAsia" w:cs="仿宋" w:asciiTheme="minorEastAsia" w:hAnsiTheme="minorEastAsia" w:eastAsiaTheme="minorEastAsia"/>
                <w:szCs w:val="21"/>
              </w:rPr>
              <w:t>同类项目业绩</w:t>
            </w:r>
          </w:p>
        </w:tc>
        <w:tc>
          <w:tcPr>
            <w:tcW w:w="681" w:type="dxa"/>
            <w:tcBorders>
              <w:top w:val="single" w:color="000000" w:sz="8" w:space="0"/>
              <w:left w:val="single" w:color="000000" w:sz="8" w:space="0"/>
              <w:bottom w:val="single" w:color="000000" w:sz="8" w:space="0"/>
              <w:right w:val="single" w:color="000000" w:sz="8" w:space="0"/>
            </w:tcBorders>
            <w:vAlign w:val="top"/>
          </w:tcPr>
          <w:p w14:paraId="3E79F72A">
            <w:pPr>
              <w:spacing w:line="360" w:lineRule="exact"/>
              <w:jc w:val="both"/>
              <w:rPr>
                <w:rFonts w:cs="宋体" w:asciiTheme="minorEastAsia" w:hAnsiTheme="minorEastAsia" w:eastAsiaTheme="minorEastAsia"/>
                <w:szCs w:val="21"/>
              </w:rPr>
            </w:pPr>
            <w:r>
              <w:rPr>
                <w:rFonts w:hint="eastAsia" w:cs="仿宋" w:asciiTheme="minorEastAsia" w:hAnsiTheme="minorEastAsia" w:eastAsiaTheme="minorEastAsia"/>
                <w:szCs w:val="21"/>
                <w:lang w:val="en-US" w:eastAsia="zh-CN"/>
              </w:rPr>
              <w:t>5</w:t>
            </w:r>
          </w:p>
        </w:tc>
        <w:tc>
          <w:tcPr>
            <w:tcW w:w="4763" w:type="dxa"/>
            <w:tcBorders>
              <w:top w:val="single" w:color="000000" w:sz="8" w:space="0"/>
              <w:left w:val="single" w:color="000000" w:sz="8" w:space="0"/>
              <w:bottom w:val="single" w:color="000000" w:sz="8" w:space="0"/>
              <w:right w:val="single" w:color="000000" w:sz="8" w:space="0"/>
            </w:tcBorders>
            <w:vAlign w:val="center"/>
          </w:tcPr>
          <w:p w14:paraId="1200E17E">
            <w:pPr>
              <w:tabs>
                <w:tab w:val="left" w:pos="175"/>
              </w:tabs>
              <w:spacing w:line="360" w:lineRule="exact"/>
              <w:ind w:left="33"/>
              <w:jc w:val="left"/>
              <w:rPr>
                <w:rFonts w:hint="eastAsia" w:asciiTheme="minorEastAsia" w:hAnsiTheme="minorEastAsia" w:eastAsiaTheme="minorEastAsia"/>
                <w:szCs w:val="21"/>
              </w:rPr>
            </w:pPr>
            <w:r>
              <w:rPr>
                <w:rFonts w:hint="eastAsia" w:asciiTheme="minorEastAsia" w:hAnsiTheme="minorEastAsia" w:eastAsiaTheme="minorEastAsia"/>
                <w:szCs w:val="21"/>
              </w:rPr>
              <w:t>评分内容：</w:t>
            </w:r>
          </w:p>
          <w:p w14:paraId="22838FF2">
            <w:pPr>
              <w:tabs>
                <w:tab w:val="left" w:pos="175"/>
              </w:tabs>
              <w:spacing w:line="360" w:lineRule="exact"/>
              <w:ind w:left="33"/>
              <w:jc w:val="left"/>
              <w:rPr>
                <w:rFonts w:hint="eastAsia" w:asciiTheme="minorEastAsia" w:hAnsiTheme="minorEastAsia" w:eastAsiaTheme="minorEastAsia"/>
                <w:szCs w:val="21"/>
              </w:rPr>
            </w:pPr>
            <w:r>
              <w:rPr>
                <w:rFonts w:hint="eastAsia" w:asciiTheme="minorEastAsia" w:hAnsiTheme="minorEastAsia" w:eastAsiaTheme="minorEastAsia"/>
                <w:szCs w:val="21"/>
              </w:rPr>
              <w:t>投标人提供自202</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年1月1日至投标截止日（以合同签订时间为准）具有网络安全等级保护测评服务类</w:t>
            </w:r>
            <w:r>
              <w:rPr>
                <w:rFonts w:hint="eastAsia" w:asciiTheme="minorEastAsia" w:hAnsiTheme="minorEastAsia" w:eastAsiaTheme="minorEastAsia"/>
                <w:szCs w:val="21"/>
                <w:lang w:eastAsia="zh-CN"/>
              </w:rPr>
              <w:t>项目</w:t>
            </w:r>
            <w:r>
              <w:rPr>
                <w:rFonts w:hint="eastAsia" w:asciiTheme="minorEastAsia" w:hAnsiTheme="minorEastAsia" w:eastAsiaTheme="minorEastAsia"/>
                <w:szCs w:val="21"/>
              </w:rPr>
              <w:t>案例，每提供一个案例得</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分，同一项目续签合同的不可重复得分</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最高得</w:t>
            </w:r>
            <w:r>
              <w:rPr>
                <w:rFonts w:hint="eastAsia" w:asciiTheme="minorEastAsia" w:hAnsiTheme="minorEastAsia" w:eastAsiaTheme="minorEastAsia"/>
                <w:szCs w:val="21"/>
                <w:lang w:val="en-US" w:eastAsia="zh-CN"/>
              </w:rPr>
              <w:t>100</w:t>
            </w:r>
            <w:r>
              <w:rPr>
                <w:rFonts w:hint="eastAsia" w:asciiTheme="minorEastAsia" w:hAnsiTheme="minorEastAsia" w:eastAsiaTheme="minorEastAsia"/>
                <w:szCs w:val="21"/>
              </w:rPr>
              <w:t>分。</w:t>
            </w:r>
          </w:p>
          <w:p w14:paraId="1930796B">
            <w:pPr>
              <w:tabs>
                <w:tab w:val="left" w:pos="175"/>
              </w:tabs>
              <w:spacing w:line="360" w:lineRule="exact"/>
              <w:ind w:left="33"/>
              <w:jc w:val="left"/>
              <w:rPr>
                <w:rFonts w:hint="eastAsia" w:asciiTheme="minorEastAsia" w:hAnsiTheme="minorEastAsia" w:eastAsiaTheme="minorEastAsia"/>
                <w:szCs w:val="21"/>
              </w:rPr>
            </w:pPr>
            <w:r>
              <w:rPr>
                <w:rFonts w:hint="eastAsia" w:asciiTheme="minorEastAsia" w:hAnsiTheme="minorEastAsia" w:eastAsiaTheme="minorEastAsia"/>
                <w:szCs w:val="21"/>
              </w:rPr>
              <w:t>评分依据：</w:t>
            </w:r>
          </w:p>
          <w:p w14:paraId="1C2F61A5">
            <w:pPr>
              <w:tabs>
                <w:tab w:val="left" w:pos="175"/>
              </w:tabs>
              <w:spacing w:line="360" w:lineRule="exact"/>
              <w:ind w:left="33" w:leftChars="0"/>
              <w:jc w:val="left"/>
              <w:rPr>
                <w:rFonts w:cs="宋体" w:asciiTheme="minorEastAsia" w:hAnsiTheme="minorEastAsia" w:eastAsiaTheme="minorEastAsia"/>
                <w:szCs w:val="21"/>
              </w:rPr>
            </w:pPr>
            <w:r>
              <w:rPr>
                <w:rFonts w:hint="eastAsia" w:asciiTheme="minorEastAsia" w:hAnsiTheme="minorEastAsia" w:eastAsiaTheme="minorEastAsia"/>
                <w:szCs w:val="21"/>
              </w:rPr>
              <w:t>需提供项目合同关键页</w:t>
            </w:r>
            <w:r>
              <w:rPr>
                <w:rFonts w:cs="宋体" w:asciiTheme="minorEastAsia" w:hAnsiTheme="minorEastAsia" w:eastAsiaTheme="minorEastAsia"/>
                <w:szCs w:val="21"/>
              </w:rPr>
              <w:t>（关键信息包括但不仅限于合同的项目名称、服务内容、合同服务期限、甲乙双方签字盖章页）</w:t>
            </w:r>
            <w:r>
              <w:rPr>
                <w:rFonts w:hint="eastAsia" w:asciiTheme="minorEastAsia" w:hAnsiTheme="minorEastAsia" w:eastAsiaTheme="minorEastAsia"/>
                <w:szCs w:val="21"/>
              </w:rPr>
              <w:t>扫描件。未提供或未提供有效证明文件或不清晰，不得分。</w:t>
            </w:r>
          </w:p>
        </w:tc>
      </w:tr>
      <w:tr w14:paraId="4FA812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22CB4D9F">
            <w:pPr>
              <w:spacing w:line="360" w:lineRule="exact"/>
              <w:rPr>
                <w:rFonts w:cs="宋体" w:asciiTheme="minorEastAsia" w:hAnsiTheme="minorEastAsia" w:eastAsiaTheme="minorEastAsia"/>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tcPr>
          <w:p w14:paraId="2E9901B9">
            <w:pPr>
              <w:spacing w:line="360" w:lineRule="exact"/>
              <w:jc w:val="center"/>
              <w:rPr>
                <w:rFonts w:hint="eastAsia" w:cs="宋体" w:asciiTheme="minorEastAsia" w:hAnsiTheme="minorEastAsia" w:eastAsiaTheme="minorEastAsia"/>
                <w:szCs w:val="21"/>
                <w:lang w:eastAsia="zh-CN"/>
              </w:rPr>
            </w:pPr>
            <w:r>
              <w:rPr>
                <w:rFonts w:hint="eastAsia" w:asciiTheme="minorEastAsia" w:hAnsiTheme="minorEastAsia" w:eastAsiaTheme="minorEastAsia"/>
                <w:szCs w:val="21"/>
                <w:lang w:val="en-US" w:eastAsia="zh-CN"/>
              </w:rPr>
              <w:t>3</w:t>
            </w:r>
          </w:p>
        </w:tc>
        <w:tc>
          <w:tcPr>
            <w:tcW w:w="2835" w:type="dxa"/>
            <w:tcBorders>
              <w:top w:val="single" w:color="000000" w:sz="8" w:space="0"/>
              <w:left w:val="single" w:color="000000" w:sz="8" w:space="0"/>
              <w:bottom w:val="single" w:color="000000" w:sz="8" w:space="0"/>
              <w:right w:val="single" w:color="000000" w:sz="8" w:space="0"/>
            </w:tcBorders>
            <w:vAlign w:val="top"/>
          </w:tcPr>
          <w:p w14:paraId="6D2B67BB">
            <w:pPr>
              <w:spacing w:line="360" w:lineRule="exact"/>
              <w:jc w:val="both"/>
              <w:rPr>
                <w:rFonts w:cs="宋体" w:asciiTheme="minorEastAsia" w:hAnsiTheme="minorEastAsia" w:eastAsiaTheme="minorEastAsia"/>
                <w:szCs w:val="21"/>
              </w:rPr>
            </w:pPr>
            <w:r>
              <w:rPr>
                <w:rFonts w:hint="eastAsia" w:cs="仿宋" w:asciiTheme="minorEastAsia" w:hAnsiTheme="minorEastAsia" w:eastAsiaTheme="minorEastAsia"/>
                <w:szCs w:val="21"/>
              </w:rPr>
              <w:t>漏洞挖掘能力</w:t>
            </w:r>
          </w:p>
        </w:tc>
        <w:tc>
          <w:tcPr>
            <w:tcW w:w="681" w:type="dxa"/>
            <w:tcBorders>
              <w:top w:val="single" w:color="000000" w:sz="8" w:space="0"/>
              <w:left w:val="single" w:color="000000" w:sz="8" w:space="0"/>
              <w:bottom w:val="single" w:color="000000" w:sz="8" w:space="0"/>
              <w:right w:val="single" w:color="000000" w:sz="8" w:space="0"/>
            </w:tcBorders>
            <w:vAlign w:val="top"/>
          </w:tcPr>
          <w:p w14:paraId="468CA9DB">
            <w:pPr>
              <w:spacing w:line="360" w:lineRule="exact"/>
              <w:jc w:val="both"/>
              <w:rPr>
                <w:rFonts w:cs="宋体" w:asciiTheme="minorEastAsia" w:hAnsiTheme="minorEastAsia" w:eastAsiaTheme="minorEastAsia"/>
                <w:szCs w:val="21"/>
              </w:rPr>
            </w:pPr>
            <w:r>
              <w:rPr>
                <w:rFonts w:hint="eastAsia" w:cs="仿宋" w:asciiTheme="minorEastAsia" w:hAnsiTheme="minorEastAsia" w:eastAsiaTheme="minorEastAsia"/>
                <w:szCs w:val="21"/>
                <w:lang w:val="en-US" w:eastAsia="zh-CN"/>
              </w:rPr>
              <w:t>10</w:t>
            </w:r>
          </w:p>
        </w:tc>
        <w:tc>
          <w:tcPr>
            <w:tcW w:w="4763" w:type="dxa"/>
            <w:tcBorders>
              <w:top w:val="single" w:color="000000" w:sz="8" w:space="0"/>
              <w:left w:val="single" w:color="000000" w:sz="8" w:space="0"/>
              <w:bottom w:val="single" w:color="000000" w:sz="8" w:space="0"/>
              <w:right w:val="single" w:color="000000" w:sz="8" w:space="0"/>
            </w:tcBorders>
            <w:vAlign w:val="center"/>
          </w:tcPr>
          <w:p w14:paraId="0CEBAC8A">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（一）评分内容：</w:t>
            </w:r>
          </w:p>
          <w:p w14:paraId="58B93AEF">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投标人</w:t>
            </w:r>
            <w:r>
              <w:rPr>
                <w:rFonts w:hint="eastAsia" w:asciiTheme="minorEastAsia" w:hAnsiTheme="minorEastAsia" w:eastAsiaTheme="minorEastAsia" w:cstheme="minorEastAsia"/>
                <w:sz w:val="21"/>
                <w:szCs w:val="21"/>
                <w:highlight w:val="none"/>
              </w:rPr>
              <w:t>具有</w:t>
            </w:r>
            <w:r>
              <w:rPr>
                <w:rFonts w:hint="eastAsia" w:asciiTheme="minorEastAsia" w:hAnsiTheme="minorEastAsia" w:eastAsiaTheme="minorEastAsia" w:cstheme="minorEastAsia"/>
                <w:szCs w:val="21"/>
                <w:highlight w:val="none"/>
              </w:rPr>
              <w:t>国家互联网应急中心出具原创漏洞证明的</w:t>
            </w:r>
            <w:r>
              <w:rPr>
                <w:rFonts w:hint="eastAsia" w:asciiTheme="minorEastAsia" w:hAnsiTheme="minorEastAsia" w:eastAsiaTheme="minorEastAsia" w:cstheme="minorEastAsia"/>
                <w:sz w:val="21"/>
                <w:szCs w:val="21"/>
                <w:highlight w:val="none"/>
              </w:rPr>
              <w:t>。</w:t>
            </w:r>
          </w:p>
          <w:p w14:paraId="1A5A867F">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1.提供50个及以上的，得10</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分；</w:t>
            </w:r>
          </w:p>
          <w:p w14:paraId="711939AC">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2.提供50（不含）个-25（含）个的，得5</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分；</w:t>
            </w:r>
          </w:p>
          <w:p w14:paraId="171A6605">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3.提供25（不含）个-15（含）个的，得2</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分；</w:t>
            </w:r>
          </w:p>
          <w:p w14:paraId="737313A3">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Cs w:val="21"/>
              </w:rPr>
              <w:t>提供不足15个的不得分。</w:t>
            </w:r>
          </w:p>
          <w:p w14:paraId="0E80FD6E">
            <w:pPr>
              <w:rPr>
                <w:rFonts w:hint="eastAsia" w:asciiTheme="minorEastAsia" w:hAnsiTheme="minorEastAsia" w:eastAsiaTheme="minorEastAsia" w:cstheme="minorEastAsia"/>
                <w:b/>
                <w:bCs/>
                <w:sz w:val="21"/>
                <w:szCs w:val="21"/>
                <w:highlight w:val="none"/>
                <w:lang w:eastAsia="zh-CN"/>
              </w:rPr>
            </w:pPr>
            <w:r>
              <w:rPr>
                <w:rFonts w:hint="eastAsia" w:asciiTheme="minorEastAsia" w:hAnsiTheme="minorEastAsia" w:eastAsiaTheme="minorEastAsia" w:cstheme="minorEastAsia"/>
                <w:b/>
                <w:bCs/>
                <w:sz w:val="21"/>
                <w:szCs w:val="21"/>
                <w:highlight w:val="none"/>
              </w:rPr>
              <w:t>（二）评分依据</w:t>
            </w:r>
            <w:r>
              <w:rPr>
                <w:rFonts w:hint="eastAsia" w:asciiTheme="minorEastAsia" w:hAnsiTheme="minorEastAsia" w:eastAsiaTheme="minorEastAsia" w:cstheme="minorEastAsia"/>
                <w:b/>
                <w:bCs/>
                <w:sz w:val="21"/>
                <w:szCs w:val="21"/>
                <w:highlight w:val="none"/>
                <w:lang w:eastAsia="zh-CN"/>
              </w:rPr>
              <w:t>：</w:t>
            </w:r>
          </w:p>
          <w:p w14:paraId="4EC30857">
            <w:pP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Cs w:val="21"/>
                <w:highlight w:val="none"/>
              </w:rPr>
              <w:t>要求提供有效的证明文件</w:t>
            </w:r>
            <w:r>
              <w:rPr>
                <w:rFonts w:hint="eastAsia" w:asciiTheme="minorEastAsia" w:hAnsiTheme="minorEastAsia" w:eastAsiaTheme="minorEastAsia" w:cstheme="minorEastAsia"/>
                <w:sz w:val="21"/>
                <w:szCs w:val="21"/>
                <w:highlight w:val="none"/>
              </w:rPr>
              <w:t>作为得分依据</w:t>
            </w:r>
            <w:r>
              <w:rPr>
                <w:rFonts w:hint="eastAsia" w:asciiTheme="minorEastAsia" w:hAnsiTheme="minorEastAsia" w:eastAsiaTheme="minorEastAsia" w:cstheme="minorEastAsia"/>
                <w:sz w:val="21"/>
                <w:szCs w:val="21"/>
                <w:highlight w:val="none"/>
                <w:lang w:eastAsia="zh-CN"/>
              </w:rPr>
              <w:t>；</w:t>
            </w:r>
          </w:p>
          <w:p w14:paraId="53EEC846">
            <w:pPr>
              <w:spacing w:line="240" w:lineRule="auto"/>
              <w:ind w:left="0" w:leftChars="0"/>
              <w:jc w:val="left"/>
              <w:rPr>
                <w:rFonts w:asciiTheme="minorEastAsia" w:hAnsiTheme="minorEastAsia" w:eastAsiaTheme="minorEastAsia"/>
                <w:szCs w:val="21"/>
              </w:rPr>
            </w:pPr>
            <w:r>
              <w:rPr>
                <w:rFonts w:hint="eastAsia" w:asciiTheme="minorEastAsia" w:hAnsiTheme="minorEastAsia" w:eastAsiaTheme="minorEastAsia" w:cstheme="minorEastAsia"/>
                <w:sz w:val="21"/>
                <w:szCs w:val="21"/>
                <w:highlight w:val="none"/>
                <w:lang w:eastAsia="zh-CN"/>
              </w:rPr>
              <w:t>2.</w:t>
            </w:r>
            <w:r>
              <w:rPr>
                <w:rFonts w:hint="eastAsia" w:asciiTheme="minorEastAsia" w:hAnsiTheme="minorEastAsia" w:eastAsiaTheme="minorEastAsia" w:cstheme="minorEastAsia"/>
                <w:sz w:val="21"/>
                <w:szCs w:val="21"/>
              </w:rPr>
              <w:t>以上资料均要求提供扫描件</w:t>
            </w:r>
            <w:r>
              <w:rPr>
                <w:rFonts w:hint="eastAsia" w:asciiTheme="minorEastAsia" w:hAnsiTheme="minorEastAsia" w:eastAsiaTheme="minorEastAsia" w:cstheme="minorEastAsia"/>
                <w:szCs w:val="21"/>
              </w:rPr>
              <w:t>（或官方网站截图）</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原件备查</w:t>
            </w:r>
            <w:r>
              <w:rPr>
                <w:rFonts w:hint="eastAsia" w:asciiTheme="minorEastAsia" w:hAnsiTheme="minorEastAsia" w:eastAsiaTheme="minorEastAsia" w:cstheme="minorEastAsia"/>
                <w:sz w:val="21"/>
                <w:szCs w:val="21"/>
              </w:rPr>
              <w:t>。评分中出现无证明资料或专家无法凭所提供资料判断是否得分的情况，一律作不得分处理。</w:t>
            </w:r>
          </w:p>
        </w:tc>
      </w:tr>
      <w:tr w14:paraId="7620BB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tcPr>
          <w:p w14:paraId="305F12D0">
            <w:pPr>
              <w:spacing w:line="360" w:lineRule="exact"/>
              <w:jc w:val="center"/>
              <w:rPr>
                <w:rFonts w:cs="宋体" w:asciiTheme="minorEastAsia" w:hAnsiTheme="minorEastAsia" w:eastAsiaTheme="minorEastAsia"/>
                <w:b/>
                <w:bCs/>
                <w:color w:val="0000FF"/>
                <w:sz w:val="24"/>
                <w:szCs w:val="24"/>
              </w:rPr>
            </w:pPr>
            <w:r>
              <w:rPr>
                <w:rFonts w:hint="eastAsia" w:asciiTheme="minorEastAsia" w:hAnsiTheme="minorEastAsia" w:eastAsiaTheme="minorEastAsia"/>
                <w:b/>
                <w:bCs/>
                <w:color w:val="0000FF"/>
              </w:rPr>
              <w:t>4</w:t>
            </w:r>
          </w:p>
        </w:tc>
        <w:tc>
          <w:tcPr>
            <w:tcW w:w="4196" w:type="dxa"/>
            <w:gridSpan w:val="3"/>
            <w:tcBorders>
              <w:top w:val="single" w:color="000000" w:sz="8" w:space="0"/>
              <w:left w:val="single" w:color="000000" w:sz="8" w:space="0"/>
              <w:bottom w:val="single" w:color="000000" w:sz="8" w:space="0"/>
              <w:right w:val="single" w:color="000000" w:sz="8" w:space="0"/>
            </w:tcBorders>
          </w:tcPr>
          <w:p w14:paraId="627A64F2">
            <w:pPr>
              <w:spacing w:line="360" w:lineRule="exact"/>
              <w:jc w:val="center"/>
              <w:rPr>
                <w:rFonts w:cs="宋体" w:asciiTheme="minorEastAsia" w:hAnsiTheme="minorEastAsia" w:eastAsiaTheme="minorEastAsia"/>
                <w:b/>
                <w:bCs/>
                <w:color w:val="0000FF"/>
                <w:sz w:val="24"/>
                <w:szCs w:val="24"/>
              </w:rPr>
            </w:pPr>
            <w:r>
              <w:rPr>
                <w:rFonts w:hint="eastAsia" w:asciiTheme="minorEastAsia" w:hAnsiTheme="minorEastAsia" w:eastAsiaTheme="minorEastAsia"/>
                <w:b/>
                <w:bCs/>
                <w:color w:val="0000FF"/>
              </w:rPr>
              <w:t>其他</w:t>
            </w:r>
          </w:p>
        </w:tc>
        <w:tc>
          <w:tcPr>
            <w:tcW w:w="4763" w:type="dxa"/>
            <w:tcBorders>
              <w:top w:val="single" w:color="000000" w:sz="8" w:space="0"/>
              <w:left w:val="single" w:color="000000" w:sz="8" w:space="0"/>
              <w:bottom w:val="single" w:color="000000" w:sz="8" w:space="0"/>
              <w:right w:val="single" w:color="000000" w:sz="8" w:space="0"/>
            </w:tcBorders>
          </w:tcPr>
          <w:p w14:paraId="5E914120">
            <w:pPr>
              <w:spacing w:line="360" w:lineRule="exact"/>
              <w:jc w:val="center"/>
              <w:rPr>
                <w:rFonts w:hint="eastAsia" w:cs="宋体" w:asciiTheme="minorEastAsia" w:hAnsiTheme="minorEastAsia" w:eastAsiaTheme="minorEastAsia"/>
                <w:b/>
                <w:bCs/>
                <w:color w:val="0000FF"/>
                <w:sz w:val="24"/>
                <w:szCs w:val="24"/>
                <w:lang w:eastAsia="zh-CN"/>
              </w:rPr>
            </w:pPr>
            <w:r>
              <w:rPr>
                <w:rFonts w:hint="eastAsia" w:asciiTheme="minorEastAsia" w:hAnsiTheme="minorEastAsia" w:eastAsiaTheme="minorEastAsia"/>
                <w:b/>
                <w:bCs/>
                <w:color w:val="0000FF"/>
                <w:lang w:val="en-US" w:eastAsia="zh-CN"/>
              </w:rPr>
              <w:t>2</w:t>
            </w:r>
          </w:p>
        </w:tc>
      </w:tr>
      <w:tr w14:paraId="5FA233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72F7C373">
            <w:pPr>
              <w:spacing w:line="360" w:lineRule="exact"/>
              <w:rPr>
                <w:rFonts w:cs="宋体" w:asciiTheme="minorEastAsia" w:hAnsiTheme="minorEastAsia" w:eastAsiaTheme="minorEastAsia"/>
                <w:b/>
                <w:bCs/>
                <w:color w:val="0000FF"/>
                <w:sz w:val="24"/>
                <w:szCs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70DC0C0">
            <w:pPr>
              <w:spacing w:line="360" w:lineRule="exact"/>
              <w:jc w:val="center"/>
              <w:rPr>
                <w:rFonts w:cs="宋体" w:asciiTheme="minorEastAsia" w:hAnsiTheme="minorEastAsia" w:eastAsiaTheme="minorEastAsia"/>
                <w:szCs w:val="21"/>
              </w:rPr>
            </w:pPr>
            <w:r>
              <w:rPr>
                <w:rFonts w:asciiTheme="minorEastAsia" w:hAnsiTheme="minorEastAsia" w:eastAsiaTheme="minorEastAsia"/>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940584C">
            <w:pPr>
              <w:spacing w:line="360" w:lineRule="exact"/>
              <w:jc w:val="center"/>
              <w:rPr>
                <w:rFonts w:cs="宋体" w:asciiTheme="minorEastAsia" w:hAnsiTheme="minorEastAsia" w:eastAsiaTheme="minorEastAsia"/>
                <w:szCs w:val="21"/>
              </w:rPr>
            </w:pPr>
            <w:r>
              <w:rPr>
                <w:rFonts w:asciiTheme="minorEastAsia" w:hAnsiTheme="minorEastAsia" w:eastAsiaTheme="minorEastAsia"/>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24EC03E">
            <w:pPr>
              <w:spacing w:line="360" w:lineRule="exact"/>
              <w:jc w:val="center"/>
              <w:rPr>
                <w:rFonts w:cs="宋体" w:asciiTheme="minorEastAsia" w:hAnsiTheme="minorEastAsia" w:eastAsiaTheme="minorEastAsia"/>
                <w:szCs w:val="21"/>
              </w:rPr>
            </w:pPr>
            <w:r>
              <w:rPr>
                <w:rFonts w:asciiTheme="minorEastAsia" w:hAnsiTheme="minorEastAsia" w:eastAsiaTheme="minorEastAsia"/>
                <w:szCs w:val="21"/>
              </w:rPr>
              <w:t>权重(%)</w:t>
            </w:r>
          </w:p>
        </w:tc>
        <w:tc>
          <w:tcPr>
            <w:tcW w:w="47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F6DA94E">
            <w:pPr>
              <w:spacing w:line="360" w:lineRule="exact"/>
              <w:jc w:val="center"/>
              <w:rPr>
                <w:rFonts w:cs="宋体" w:asciiTheme="minorEastAsia" w:hAnsiTheme="minorEastAsia" w:eastAsiaTheme="minorEastAsia"/>
                <w:szCs w:val="21"/>
              </w:rPr>
            </w:pPr>
            <w:r>
              <w:rPr>
                <w:rFonts w:asciiTheme="minorEastAsia" w:hAnsiTheme="minorEastAsia" w:eastAsiaTheme="minorEastAsia"/>
                <w:szCs w:val="21"/>
              </w:rPr>
              <w:t>评分准则</w:t>
            </w:r>
          </w:p>
        </w:tc>
      </w:tr>
      <w:tr w14:paraId="5936B9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7010038F">
            <w:pPr>
              <w:spacing w:line="360" w:lineRule="exact"/>
              <w:rPr>
                <w:rFonts w:cs="宋体" w:asciiTheme="minorEastAsia" w:hAnsiTheme="minorEastAsia" w:eastAsiaTheme="minorEastAsia"/>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tcPr>
          <w:p w14:paraId="52A63DA0">
            <w:pPr>
              <w:spacing w:line="360" w:lineRule="exact"/>
              <w:jc w:val="center"/>
              <w:rPr>
                <w:rFonts w:cs="宋体" w:asciiTheme="minorEastAsia" w:hAnsiTheme="minorEastAsia" w:eastAsiaTheme="minorEastAsia"/>
                <w:szCs w:val="21"/>
              </w:rPr>
            </w:pPr>
            <w:r>
              <w:rPr>
                <w:rFonts w:hint="eastAsia" w:asciiTheme="minorEastAsia" w:hAnsiTheme="minorEastAsia" w:eastAsiaTheme="minorEastAsia"/>
                <w:szCs w:val="21"/>
              </w:rPr>
              <w:t>1</w:t>
            </w:r>
          </w:p>
        </w:tc>
        <w:tc>
          <w:tcPr>
            <w:tcW w:w="2835" w:type="dxa"/>
            <w:tcBorders>
              <w:top w:val="single" w:color="000000" w:sz="8" w:space="0"/>
              <w:left w:val="single" w:color="000000" w:sz="8" w:space="0"/>
              <w:bottom w:val="single" w:color="000000" w:sz="8" w:space="0"/>
              <w:right w:val="single" w:color="000000" w:sz="8" w:space="0"/>
            </w:tcBorders>
          </w:tcPr>
          <w:p w14:paraId="35C52CA9">
            <w:pPr>
              <w:spacing w:line="360" w:lineRule="exact"/>
              <w:rPr>
                <w:rFonts w:cs="宋体" w:asciiTheme="minorEastAsia" w:hAnsiTheme="minorEastAsia" w:eastAsiaTheme="minorEastAsia"/>
                <w:szCs w:val="21"/>
              </w:rPr>
            </w:pPr>
            <w:r>
              <w:rPr>
                <w:rFonts w:asciiTheme="minorEastAsia" w:hAnsiTheme="minorEastAsia" w:eastAsiaTheme="minorEastAsia"/>
                <w:szCs w:val="21"/>
              </w:rPr>
              <w:t>诚信</w:t>
            </w:r>
            <w:r>
              <w:rPr>
                <w:rFonts w:hint="eastAsia" w:asciiTheme="minorEastAsia" w:hAnsiTheme="minorEastAsia" w:eastAsiaTheme="minorEastAsia"/>
                <w:szCs w:val="21"/>
              </w:rPr>
              <w:t>评审</w:t>
            </w:r>
          </w:p>
        </w:tc>
        <w:tc>
          <w:tcPr>
            <w:tcW w:w="681" w:type="dxa"/>
            <w:tcBorders>
              <w:top w:val="single" w:color="000000" w:sz="8" w:space="0"/>
              <w:left w:val="single" w:color="000000" w:sz="8" w:space="0"/>
              <w:bottom w:val="single" w:color="000000" w:sz="8" w:space="0"/>
              <w:right w:val="single" w:color="000000" w:sz="8" w:space="0"/>
            </w:tcBorders>
          </w:tcPr>
          <w:p w14:paraId="2DEA9E68">
            <w:pPr>
              <w:spacing w:line="360" w:lineRule="exact"/>
              <w:jc w:val="center"/>
              <w:rPr>
                <w:rFonts w:hint="eastAsia" w:cs="宋体" w:asciiTheme="minorEastAsia" w:hAnsiTheme="minorEastAsia" w:eastAsiaTheme="minorEastAsia"/>
                <w:szCs w:val="21"/>
                <w:lang w:eastAsia="zh-CN"/>
              </w:rPr>
            </w:pPr>
            <w:r>
              <w:rPr>
                <w:rFonts w:hint="eastAsia" w:asciiTheme="minorEastAsia" w:hAnsiTheme="minorEastAsia" w:eastAsiaTheme="minorEastAsia"/>
                <w:szCs w:val="21"/>
                <w:lang w:val="en-US" w:eastAsia="zh-CN"/>
              </w:rPr>
              <w:t>2</w:t>
            </w:r>
          </w:p>
        </w:tc>
        <w:tc>
          <w:tcPr>
            <w:tcW w:w="4763" w:type="dxa"/>
            <w:tcBorders>
              <w:top w:val="single" w:color="000000" w:sz="8" w:space="0"/>
              <w:left w:val="single" w:color="000000" w:sz="8" w:space="0"/>
              <w:bottom w:val="single" w:color="000000" w:sz="8" w:space="0"/>
              <w:right w:val="single" w:color="000000" w:sz="8" w:space="0"/>
            </w:tcBorders>
          </w:tcPr>
          <w:p w14:paraId="1017B2D3">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100分。</w:t>
            </w:r>
          </w:p>
          <w:p w14:paraId="71FBB7B3">
            <w:pPr>
              <w:spacing w:line="360" w:lineRule="exact"/>
              <w:rPr>
                <w:rFonts w:cs="宋体" w:asciiTheme="minorEastAsia" w:hAnsiTheme="minorEastAsia" w:eastAsiaTheme="minorEastAsia"/>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r>
    </w:tbl>
    <w:p w14:paraId="08827A4C"/>
    <w:p w14:paraId="06A189A2">
      <w:pPr>
        <w:widowControl/>
        <w:jc w:val="left"/>
        <w:rPr>
          <w:rFonts w:asciiTheme="minorEastAsia" w:hAnsiTheme="minorEastAsia" w:eastAsiaTheme="minorEastAsia"/>
          <w:b/>
          <w:bCs/>
          <w:kern w:val="44"/>
          <w:sz w:val="28"/>
          <w:szCs w:val="44"/>
        </w:rPr>
      </w:pPr>
      <w:r>
        <w:rPr>
          <w:rFonts w:asciiTheme="minorEastAsia" w:hAnsiTheme="minorEastAsia" w:eastAsiaTheme="minorEastAsia"/>
        </w:rPr>
        <w:br w:type="page"/>
      </w:r>
    </w:p>
    <w:p w14:paraId="28AFB6CC">
      <w:pPr>
        <w:pStyle w:val="2"/>
        <w:spacing w:before="0" w:after="0"/>
        <w:rPr>
          <w:rFonts w:asciiTheme="minorEastAsia" w:hAnsiTheme="minorEastAsia" w:eastAsiaTheme="minorEastAsia"/>
        </w:rPr>
      </w:pPr>
      <w:r>
        <w:rPr>
          <w:rFonts w:hint="eastAsia" w:asciiTheme="minorEastAsia" w:hAnsiTheme="minorEastAsia" w:eastAsiaTheme="minorEastAsia"/>
        </w:rPr>
        <w:t>其它关键信息</w:t>
      </w:r>
    </w:p>
    <w:p w14:paraId="2BC16736">
      <w:pPr>
        <w:spacing w:line="360" w:lineRule="auto"/>
        <w:ind w:firstLine="413" w:firstLineChars="196"/>
        <w:rPr>
          <w:rFonts w:ascii="宋体" w:hAnsi="宋体"/>
          <w:szCs w:val="21"/>
        </w:rPr>
      </w:pPr>
      <w:r>
        <w:rPr>
          <w:rFonts w:hint="eastAsia" w:ascii="宋体" w:hAnsi="宋体"/>
          <w:b/>
          <w:szCs w:val="21"/>
        </w:rPr>
        <w:t>一</w:t>
      </w:r>
      <w:r>
        <w:rPr>
          <w:rFonts w:hint="eastAsia" w:asciiTheme="minorEastAsia" w:hAnsiTheme="minorEastAsia" w:eastAsiaTheme="minorEastAsia"/>
          <w:b/>
          <w:szCs w:val="21"/>
        </w:rPr>
        <w:t>、</w:t>
      </w:r>
      <w:r>
        <w:rPr>
          <w:rFonts w:hint="eastAsia"/>
          <w:b/>
          <w:szCs w:val="21"/>
        </w:rPr>
        <w:t>评标定标信息</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4"/>
        <w:gridCol w:w="4265"/>
      </w:tblGrid>
      <w:tr w14:paraId="354D7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011357C1">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是否评标定标分离</w:t>
            </w:r>
          </w:p>
        </w:tc>
        <w:tc>
          <w:tcPr>
            <w:tcW w:w="4265" w:type="dxa"/>
          </w:tcPr>
          <w:p w14:paraId="1CD8C98E">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非评定分离</w:t>
            </w:r>
          </w:p>
        </w:tc>
      </w:tr>
      <w:tr w14:paraId="1D404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7E91DE99">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定标方法</w:t>
            </w:r>
          </w:p>
        </w:tc>
        <w:tc>
          <w:tcPr>
            <w:tcW w:w="4265" w:type="dxa"/>
          </w:tcPr>
          <w:p w14:paraId="78F56931">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w:t>
            </w:r>
          </w:p>
        </w:tc>
      </w:tr>
      <w:tr w14:paraId="3B99F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1B557EB7">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评标方法</w:t>
            </w:r>
          </w:p>
        </w:tc>
        <w:tc>
          <w:tcPr>
            <w:tcW w:w="4265" w:type="dxa"/>
          </w:tcPr>
          <w:p w14:paraId="5C779855">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综合评分法</w:t>
            </w:r>
          </w:p>
        </w:tc>
      </w:tr>
      <w:tr w14:paraId="6DB04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13B251D0">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中标供应商家数</w:t>
            </w:r>
          </w:p>
        </w:tc>
        <w:tc>
          <w:tcPr>
            <w:tcW w:w="4265" w:type="dxa"/>
          </w:tcPr>
          <w:p w14:paraId="7AFD0718">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1</w:t>
            </w:r>
          </w:p>
        </w:tc>
      </w:tr>
      <w:tr w14:paraId="4DF9E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4407257F">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候选中标供应商家数</w:t>
            </w:r>
          </w:p>
        </w:tc>
        <w:tc>
          <w:tcPr>
            <w:tcW w:w="4265" w:type="dxa"/>
          </w:tcPr>
          <w:p w14:paraId="7CBF6CD6">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3</w:t>
            </w:r>
          </w:p>
        </w:tc>
      </w:tr>
    </w:tbl>
    <w:p w14:paraId="323A4336">
      <w:pPr>
        <w:spacing w:line="360" w:lineRule="auto"/>
        <w:ind w:firstLine="411" w:firstLineChars="196"/>
        <w:rPr>
          <w:rFonts w:ascii="宋体" w:hAnsi="宋体"/>
        </w:rPr>
      </w:pPr>
    </w:p>
    <w:p w14:paraId="36937786">
      <w:pPr>
        <w:spacing w:line="360" w:lineRule="auto"/>
        <w:ind w:firstLine="413" w:firstLineChars="196"/>
        <w:rPr>
          <w:rFonts w:ascii="宋体" w:hAnsi="宋体"/>
          <w:b/>
          <w:szCs w:val="21"/>
        </w:rPr>
      </w:pPr>
      <w:r>
        <w:rPr>
          <w:rFonts w:hint="eastAsia" w:ascii="宋体" w:hAnsi="宋体"/>
          <w:b/>
          <w:szCs w:val="21"/>
        </w:rPr>
        <w:t>二</w:t>
      </w:r>
      <w:r>
        <w:rPr>
          <w:rFonts w:hint="eastAsia" w:asciiTheme="minorEastAsia" w:hAnsiTheme="minorEastAsia" w:eastAsiaTheme="minorEastAsia"/>
          <w:b/>
          <w:szCs w:val="21"/>
        </w:rPr>
        <w:t>、</w:t>
      </w:r>
      <w:r>
        <w:rPr>
          <w:rFonts w:hint="eastAsia" w:ascii="宋体" w:hAnsi="宋体"/>
          <w:b/>
          <w:szCs w:val="21"/>
        </w:rPr>
        <w:t>报价明显偏低的合理性说明</w:t>
      </w:r>
    </w:p>
    <w:p w14:paraId="4A2C6ACF">
      <w:pPr>
        <w:spacing w:line="360" w:lineRule="auto"/>
        <w:ind w:firstLine="420" w:firstLineChars="200"/>
        <w:rPr>
          <w:rFonts w:ascii="宋体" w:hAnsi="宋体"/>
          <w:szCs w:val="21"/>
        </w:rPr>
      </w:pP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hAns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A00068D">
      <w:pPr>
        <w:spacing w:line="360" w:lineRule="auto"/>
        <w:ind w:firstLine="420" w:firstLineChars="200"/>
        <w:rPr>
          <w:rFonts w:ascii="宋体" w:hAnsi="宋体"/>
          <w:szCs w:val="21"/>
        </w:rPr>
      </w:pPr>
    </w:p>
    <w:p w14:paraId="45777B45">
      <w:pPr>
        <w:spacing w:line="360" w:lineRule="auto"/>
        <w:ind w:firstLine="422" w:firstLineChars="200"/>
        <w:rPr>
          <w:rFonts w:asciiTheme="minorEastAsia" w:hAnsiTheme="minorEastAsia" w:eastAsiaTheme="minorEastAsia"/>
          <w:b/>
          <w:bCs/>
        </w:rPr>
      </w:pPr>
      <w:r>
        <w:rPr>
          <w:rFonts w:hint="eastAsia" w:asciiTheme="minorEastAsia" w:hAnsiTheme="minorEastAsia" w:eastAsiaTheme="minorEastAsia"/>
          <w:b/>
          <w:szCs w:val="21"/>
        </w:rPr>
        <w:t>三、</w:t>
      </w:r>
      <w:r>
        <w:rPr>
          <w:rFonts w:hint="eastAsia" w:asciiTheme="minorEastAsia" w:hAnsiTheme="minorEastAsia" w:eastAsiaTheme="minorEastAsia"/>
          <w:b/>
          <w:bCs/>
        </w:rPr>
        <w:t>关于享受政府采购扶持政策的主体及价格扣除比例</w:t>
      </w:r>
    </w:p>
    <w:p w14:paraId="65407379">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软件和信息技术服务业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17EFD0B0">
      <w:pPr>
        <w:spacing w:line="360" w:lineRule="auto"/>
        <w:ind w:firstLine="422" w:firstLineChars="200"/>
        <w:rPr>
          <w:rFonts w:asciiTheme="minorEastAsia" w:hAnsiTheme="minorEastAsia" w:eastAsiaTheme="minorEastAsia"/>
          <w:b/>
          <w:bCs/>
        </w:rPr>
      </w:pPr>
      <w:r>
        <w:rPr>
          <w:rFonts w:hint="eastAsia" w:asciiTheme="minorEastAsia" w:hAnsiTheme="minorEastAsia" w:eastAsiaTheme="minorEastAsia"/>
          <w:b/>
          <w:bCs/>
        </w:rPr>
        <w:t>（二）价格评审优惠</w:t>
      </w:r>
    </w:p>
    <w:p w14:paraId="73A370E1">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hAnsi="宋体"/>
          <w:szCs w:val="24"/>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3E112826">
      <w:pPr>
        <w:widowControl/>
        <w:spacing w:line="360" w:lineRule="auto"/>
        <w:ind w:firstLine="371" w:firstLineChars="177"/>
        <w:jc w:val="left"/>
        <w:rPr>
          <w:rFonts w:cs="仿宋" w:asciiTheme="minorEastAsia" w:hAnsiTheme="minorEastAsia" w:eastAsiaTheme="minorEastAsia"/>
          <w:szCs w:val="21"/>
        </w:rPr>
      </w:pPr>
      <w:r>
        <w:rPr>
          <w:rFonts w:hint="eastAsia" w:ascii="宋体" w:eastAsia="宋体" w:cs="MS Mincho" w:hAnsiTheme="minorEastAsia"/>
          <w:kern w:val="0"/>
          <w:szCs w:val="21"/>
          <w:lang w:eastAsia="zh-CN"/>
        </w:rPr>
        <w:t>□</w:t>
      </w:r>
      <w:r>
        <w:rPr>
          <w:rFonts w:hint="eastAsia" w:ascii="Segoe UI Symbol" w:hAnsi="Segoe UI Symbol"/>
          <w:szCs w:val="24"/>
        </w:rPr>
        <w:t>未</w:t>
      </w:r>
      <w:r>
        <w:rPr>
          <w:rFonts w:hint="eastAsia" w:hAnsi="宋体"/>
          <w:szCs w:val="24"/>
        </w:rPr>
        <w:t>预留份额专门面向中小企业采购的采购项目或采购包</w:t>
      </w:r>
      <w:r>
        <w:rPr>
          <w:rFonts w:hint="eastAsia" w:asciiTheme="minorEastAsia" w:hAnsiTheme="minorEastAsia" w:eastAsiaTheme="minorEastAsia"/>
          <w:szCs w:val="21"/>
        </w:rPr>
        <w:t>：</w:t>
      </w:r>
    </w:p>
    <w:p w14:paraId="534BD820">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rPr>
        <w:t>其投标报价扣除</w:t>
      </w:r>
      <w:r>
        <w:rPr>
          <w:rFonts w:hint="eastAsia" w:asciiTheme="minorEastAsia" w:hAnsiTheme="minorEastAsia" w:eastAsiaTheme="minorEastAsia"/>
          <w:b/>
          <w:u w:val="single"/>
        </w:rPr>
        <w:t xml:space="preserve"> 10 </w:t>
      </w:r>
      <w:r>
        <w:rPr>
          <w:rFonts w:hint="eastAsia" w:asciiTheme="minorEastAsia" w:hAnsiTheme="minorEastAsia" w:eastAsiaTheme="minorEastAsia"/>
          <w:b/>
        </w:rPr>
        <w:t>%（请在10%-20%范围内选择）后参与评审</w:t>
      </w:r>
      <w:r>
        <w:rPr>
          <w:rFonts w:hint="eastAsia" w:asciiTheme="minorEastAsia" w:hAnsiTheme="minorEastAsia" w:eastAsiaTheme="minorEastAsia"/>
        </w:rPr>
        <w:t>。</w:t>
      </w:r>
    </w:p>
    <w:p w14:paraId="7AA3626A">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（2）联合协议中约定，小型、微型企业的协议合同金额占到联合体协议合同总金额30%以上的，可给予</w:t>
      </w:r>
      <w:r>
        <w:rPr>
          <w:rFonts w:hint="eastAsia" w:asciiTheme="minorEastAsia" w:hAnsiTheme="minorEastAsia" w:eastAsiaTheme="minorEastAsia"/>
          <w:b/>
        </w:rPr>
        <w:t>联合体</w:t>
      </w:r>
      <w:r>
        <w:rPr>
          <w:rFonts w:hint="eastAsia" w:asciiTheme="minorEastAsia" w:hAnsiTheme="minorEastAsia" w:eastAsiaTheme="minorEastAsia"/>
          <w:b/>
          <w:u w:val="single"/>
        </w:rPr>
        <w:t xml:space="preserve"> / </w:t>
      </w:r>
      <w:r>
        <w:rPr>
          <w:rFonts w:hint="eastAsia" w:asciiTheme="minorEastAsia" w:hAnsiTheme="minorEastAsia" w:eastAsiaTheme="minorEastAsia"/>
          <w:b/>
        </w:rPr>
        <w:t>%（请在4</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r>
        <w:rPr>
          <w:rFonts w:hint="eastAsia" w:ascii="宋体" w:hAnsi="宋体"/>
        </w:rPr>
        <w:t>，用扣除后的价格参与评审</w:t>
      </w:r>
      <w:r>
        <w:rPr>
          <w:rFonts w:hint="eastAsia" w:asciiTheme="minorEastAsia" w:hAnsiTheme="minorEastAsia" w:eastAsiaTheme="minorEastAsia"/>
        </w:rPr>
        <w:t>。如联合体各方均为小型、微型企业，联合体视同为小型、微型企业，享受</w:t>
      </w:r>
      <w:r>
        <w:rPr>
          <w:rFonts w:hint="eastAsia" w:asciiTheme="minorEastAsia" w:hAnsiTheme="minorEastAsia" w:eastAsiaTheme="minorEastAsia"/>
          <w:b/>
        </w:rPr>
        <w:t>第（1）项</w:t>
      </w:r>
      <w:r>
        <w:rPr>
          <w:rFonts w:hint="eastAsia" w:asciiTheme="minorEastAsia" w:hAnsiTheme="minorEastAsia" w:eastAsiaTheme="minorEastAsia"/>
        </w:rPr>
        <w:t>的评审优惠。</w:t>
      </w:r>
    </w:p>
    <w:p w14:paraId="2423B3E0">
      <w:pPr>
        <w:spacing w:after="60" w:line="360" w:lineRule="auto"/>
        <w:ind w:firstLine="424" w:firstLineChars="202"/>
        <w:rPr>
          <w:rFonts w:ascii="宋体" w:hAnsi="宋体"/>
        </w:rPr>
      </w:pPr>
      <w:r>
        <w:rPr>
          <w:rFonts w:hint="eastAsia" w:ascii="宋体" w:hAnsi="宋体"/>
        </w:rPr>
        <w:t>（3）分包意向协议约定，小型、微型企业的协议合同金额占到合同总金额30%以上的，可给予投标人</w:t>
      </w:r>
      <w:r>
        <w:rPr>
          <w:rFonts w:hint="eastAsia" w:asciiTheme="minorEastAsia" w:hAnsiTheme="minorEastAsia" w:eastAsiaTheme="minorEastAsia"/>
          <w:b/>
          <w:u w:val="single"/>
        </w:rPr>
        <w:t xml:space="preserve">/  </w:t>
      </w:r>
      <w:r>
        <w:rPr>
          <w:rFonts w:hint="eastAsia" w:asciiTheme="minorEastAsia" w:hAnsiTheme="minorEastAsia" w:eastAsiaTheme="minorEastAsia"/>
          <w:b/>
        </w:rPr>
        <w:t>%（请在4</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r>
        <w:rPr>
          <w:rFonts w:hint="eastAsia" w:ascii="宋体" w:hAnsi="宋体"/>
        </w:rPr>
        <w:t>，用扣除后的价格参与评审。</w:t>
      </w:r>
    </w:p>
    <w:p w14:paraId="2F8D43A7">
      <w:pPr>
        <w:spacing w:after="60" w:line="360" w:lineRule="auto"/>
        <w:ind w:firstLine="424" w:firstLineChars="202"/>
        <w:rPr>
          <w:rFonts w:ascii="宋体" w:hAnsi="宋体"/>
        </w:rPr>
      </w:pPr>
      <w:r>
        <w:rPr>
          <w:rFonts w:hint="eastAsia" w:ascii="宋体" w:hAnsi="宋体"/>
        </w:rPr>
        <w:t>（4）</w:t>
      </w:r>
      <w:r>
        <w:rPr>
          <w:rFonts w:hint="eastAsia" w:asciiTheme="minorEastAsia" w:hAnsiTheme="minorEastAsia" w:eastAsiaTheme="minorEastAsia"/>
        </w:rPr>
        <w:t>如供应商为</w:t>
      </w:r>
      <w:r>
        <w:rPr>
          <w:rFonts w:hint="eastAsia" w:hAnsi="宋体"/>
        </w:rPr>
        <w:t>监狱企业</w:t>
      </w:r>
      <w:r>
        <w:rPr>
          <w:rFonts w:hint="eastAsia" w:hAnsi="宋体"/>
          <w:szCs w:val="21"/>
        </w:rPr>
        <w:t>或残疾人福利性单位，</w:t>
      </w:r>
      <w:r>
        <w:rPr>
          <w:rFonts w:hint="eastAsia" w:hAnsi="宋体"/>
        </w:rPr>
        <w:t>视同</w:t>
      </w:r>
      <w:r>
        <w:rPr>
          <w:rFonts w:hint="eastAsia" w:asciiTheme="minorEastAsia" w:hAnsiTheme="minorEastAsia" w:eastAsiaTheme="minorEastAsia"/>
        </w:rPr>
        <w:t>小型、微型企业，</w:t>
      </w:r>
      <w:r>
        <w:rPr>
          <w:rFonts w:hint="eastAsia" w:hAnsi="宋体"/>
        </w:rPr>
        <w:t>享受以上预留份额、评审中价格扣除等政府采购促进中小企业发展的政府采购政策；</w:t>
      </w:r>
      <w:r>
        <w:rPr>
          <w:rFonts w:hint="eastAsia" w:asciiTheme="minorEastAsia" w:hAnsiTheme="minorEastAsia" w:eastAsiaTheme="minorEastAsia"/>
        </w:rPr>
        <w:t>对于同时属于小型、微型企业、监狱企业或残疾人福利性单位的供应商，不重复享受政策。</w:t>
      </w:r>
    </w:p>
    <w:p w14:paraId="4E0D648F">
      <w:pPr>
        <w:spacing w:after="60" w:line="360" w:lineRule="auto"/>
        <w:ind w:firstLine="424" w:firstLineChars="202"/>
        <w:rPr>
          <w:rFonts w:ascii="宋体" w:hAnsi="宋体"/>
        </w:rPr>
      </w:pPr>
      <w:r>
        <w:rPr>
          <w:rFonts w:hint="eastAsia" w:ascii="宋体" w:hAnsi="宋体"/>
        </w:rPr>
        <w:t>（5）优惠主体资格的认定资料为《中小企业声明函》、《残疾人福利性单位声明函》以及《监狱企业声明函》等承诺性质的资料（</w:t>
      </w:r>
      <w:r>
        <w:rPr>
          <w:rFonts w:hint="eastAsia" w:ascii="宋体" w:hAnsi="宋体" w:cs="宋体"/>
          <w:szCs w:val="21"/>
        </w:rPr>
        <w:t>格式详见招标文件第三章</w:t>
      </w:r>
      <w:r>
        <w:rPr>
          <w:rFonts w:hint="eastAsia" w:ascii="宋体" w:hAnsi="宋体"/>
        </w:rPr>
        <w:t>）；监狱企业或者代理提供监狱企业货物的供应商如需享受优惠政策，除上述资料外，还须提供省级以上监狱管理局、戒毒管理局出具的监狱企业证明文件。</w:t>
      </w:r>
    </w:p>
    <w:p w14:paraId="56422DCE">
      <w:pPr>
        <w:spacing w:line="360" w:lineRule="auto"/>
        <w:ind w:firstLine="422" w:firstLineChars="200"/>
        <w:rPr>
          <w:rFonts w:asciiTheme="minorEastAsia" w:hAnsiTheme="minorEastAsia" w:eastAsiaTheme="minorEastAsia"/>
          <w:b/>
          <w:szCs w:val="21"/>
        </w:rPr>
      </w:pPr>
    </w:p>
    <w:p w14:paraId="1D984BB0">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ascii="Times New Roman" w:hAnsi="Times New Roman"/>
          <w:b/>
          <w:szCs w:val="24"/>
        </w:rPr>
        <w:t>绿色采购</w:t>
      </w:r>
    </w:p>
    <w:p w14:paraId="2B99F81D">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szCs w:val="24"/>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szCs w:val="24"/>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szCs w:val="24"/>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w:t>
      </w:r>
      <w:r>
        <w:rPr>
          <w:rFonts w:hint="eastAsia" w:asciiTheme="minorEastAsia" w:hAnsiTheme="minorEastAsia" w:eastAsiaTheme="minorEastAsia"/>
          <w:b/>
          <w:szCs w:val="21"/>
          <w:u w:val="single"/>
          <w:lang w:val="en-US" w:eastAsia="zh-CN"/>
        </w:rPr>
        <w:t>/</w:t>
      </w:r>
      <w:r>
        <w:rPr>
          <w:rFonts w:hint="eastAsia" w:asciiTheme="minorEastAsia" w:hAnsiTheme="minorEastAsia" w:eastAsiaTheme="minorEastAsia"/>
          <w:b/>
          <w:szCs w:val="21"/>
          <w:u w:val="single"/>
        </w:rPr>
        <w:t xml:space="preserve">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3F73F5FC">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3E37BC98">
      <w:pPr>
        <w:spacing w:line="360" w:lineRule="auto"/>
        <w:rPr>
          <w:rFonts w:ascii="Times New Roman" w:hAnsi="Times New Roman"/>
          <w:b/>
          <w:bCs/>
          <w:sz w:val="24"/>
          <w:szCs w:val="24"/>
        </w:rPr>
      </w:pPr>
    </w:p>
    <w:p w14:paraId="760A7049">
      <w:pPr>
        <w:spacing w:line="360" w:lineRule="auto"/>
        <w:ind w:firstLine="422" w:firstLineChars="200"/>
        <w:rPr>
          <w:rFonts w:ascii="宋体" w:hAnsi="宋体"/>
          <w:b/>
          <w:szCs w:val="21"/>
        </w:rPr>
      </w:pPr>
      <w:r>
        <w:rPr>
          <w:rFonts w:hint="eastAsia" w:asciiTheme="minorEastAsia" w:hAnsiTheme="minorEastAsia" w:eastAsiaTheme="minorEastAsia"/>
          <w:b/>
          <w:szCs w:val="21"/>
        </w:rPr>
        <w:t>五、</w:t>
      </w:r>
      <w:r>
        <w:rPr>
          <w:rFonts w:hint="eastAsia" w:ascii="Times New Roman" w:hAnsi="Times New Roman"/>
          <w:b/>
          <w:szCs w:val="24"/>
        </w:rPr>
        <w:t>其他说明</w:t>
      </w:r>
    </w:p>
    <w:p w14:paraId="74863D8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4"/>
        </w:rPr>
        <w:t>为缓解中小企业融资难题，深圳市推出政府采购订单融资改革举措。订单融资具体流程及试点金融机构订单融资服务承诺可参阅深圳市政府采购监管网（zfcg.sz.gov.cn）政府采购订单融资栏目。</w:t>
      </w:r>
    </w:p>
    <w:p w14:paraId="767A886E">
      <w:pPr>
        <w:widowControl/>
        <w:jc w:val="left"/>
        <w:rPr>
          <w:rFonts w:ascii="宋体" w:hAnsi="宋体" w:eastAsia="黑体"/>
          <w:b/>
          <w:bCs/>
          <w:kern w:val="44"/>
          <w:sz w:val="28"/>
          <w:szCs w:val="44"/>
        </w:rPr>
      </w:pPr>
      <w:r>
        <w:rPr>
          <w:rFonts w:ascii="宋体" w:hAnsi="宋体" w:eastAsia="黑体"/>
          <w:b/>
          <w:bCs/>
          <w:kern w:val="44"/>
          <w:sz w:val="28"/>
          <w:szCs w:val="44"/>
        </w:rPr>
        <w:br w:type="page"/>
      </w:r>
    </w:p>
    <w:p w14:paraId="447318CB">
      <w:pPr>
        <w:keepNext/>
        <w:keepLines/>
        <w:spacing w:before="340" w:after="330" w:line="360" w:lineRule="auto"/>
        <w:jc w:val="center"/>
        <w:outlineLvl w:val="0"/>
        <w:rPr>
          <w:rFonts w:ascii="宋体" w:hAnsi="宋体" w:eastAsia="黑体"/>
          <w:b/>
          <w:bCs/>
          <w:kern w:val="44"/>
          <w:sz w:val="28"/>
          <w:szCs w:val="44"/>
        </w:rPr>
      </w:pPr>
      <w:r>
        <w:rPr>
          <w:rFonts w:hint="eastAsia" w:ascii="宋体" w:hAnsi="宋体" w:eastAsia="黑体"/>
          <w:b/>
          <w:bCs/>
          <w:kern w:val="44"/>
          <w:sz w:val="28"/>
          <w:szCs w:val="44"/>
        </w:rPr>
        <w:t>目   录</w:t>
      </w:r>
    </w:p>
    <w:p w14:paraId="324AC0D2">
      <w:pPr>
        <w:rPr>
          <w:rFonts w:ascii="Times New Roman" w:hAnsi="Times New Roman"/>
          <w:b/>
          <w:sz w:val="24"/>
          <w:szCs w:val="24"/>
        </w:rPr>
      </w:pPr>
      <w:r>
        <w:rPr>
          <w:rFonts w:hint="eastAsia" w:ascii="Times New Roman" w:hAnsi="Times New Roman"/>
          <w:b/>
          <w:sz w:val="24"/>
          <w:szCs w:val="24"/>
        </w:rPr>
        <w:t>第一册  专用条款</w:t>
      </w:r>
    </w:p>
    <w:p w14:paraId="75140A12">
      <w:pPr>
        <w:ind w:left="630" w:leftChars="300" w:firstLine="411" w:firstLineChars="196"/>
        <w:rPr>
          <w:rFonts w:ascii="宋体" w:hAnsi="宋体"/>
          <w:szCs w:val="21"/>
        </w:rPr>
      </w:pPr>
      <w:r>
        <w:rPr>
          <w:rFonts w:hint="eastAsia" w:ascii="宋体" w:hAnsi="宋体"/>
          <w:szCs w:val="21"/>
        </w:rPr>
        <w:t>关键信息</w:t>
      </w:r>
    </w:p>
    <w:p w14:paraId="7C71C6B5">
      <w:pPr>
        <w:ind w:left="630" w:leftChars="300" w:firstLine="411" w:firstLineChars="196"/>
        <w:rPr>
          <w:rFonts w:ascii="宋体" w:hAnsi="宋体"/>
          <w:szCs w:val="21"/>
        </w:rPr>
      </w:pPr>
      <w:r>
        <w:rPr>
          <w:rFonts w:hint="eastAsia" w:ascii="宋体" w:hAnsi="宋体"/>
          <w:szCs w:val="21"/>
        </w:rPr>
        <w:t>第一章  招标公告</w:t>
      </w:r>
    </w:p>
    <w:p w14:paraId="11BF162E">
      <w:pPr>
        <w:ind w:left="630" w:leftChars="300" w:firstLine="411" w:firstLineChars="196"/>
        <w:rPr>
          <w:rFonts w:ascii="宋体" w:hAnsi="宋体"/>
          <w:szCs w:val="21"/>
        </w:rPr>
      </w:pPr>
      <w:r>
        <w:rPr>
          <w:rFonts w:hint="eastAsia" w:ascii="宋体" w:hAnsi="宋体"/>
          <w:szCs w:val="21"/>
        </w:rPr>
        <w:t>第二章  招标项目需求</w:t>
      </w:r>
    </w:p>
    <w:p w14:paraId="5B96B10D">
      <w:pPr>
        <w:ind w:left="630" w:leftChars="300" w:firstLine="411" w:firstLineChars="196"/>
        <w:rPr>
          <w:rFonts w:ascii="宋体" w:hAnsi="宋体"/>
          <w:szCs w:val="21"/>
        </w:rPr>
      </w:pPr>
      <w:r>
        <w:rPr>
          <w:rFonts w:hint="eastAsia" w:ascii="宋体" w:hAnsi="宋体"/>
          <w:szCs w:val="21"/>
        </w:rPr>
        <w:t>第三章  投标文件格式、附件</w:t>
      </w:r>
    </w:p>
    <w:p w14:paraId="32D0ABAF">
      <w:pPr>
        <w:ind w:left="630" w:leftChars="300" w:firstLine="411" w:firstLineChars="196"/>
        <w:rPr>
          <w:rFonts w:ascii="宋体" w:hAnsi="宋体"/>
          <w:szCs w:val="21"/>
        </w:rPr>
      </w:pPr>
      <w:r>
        <w:rPr>
          <w:rFonts w:hint="eastAsia" w:ascii="宋体" w:hAnsi="宋体"/>
          <w:szCs w:val="21"/>
        </w:rPr>
        <w:t>第四章  合同条款及格式</w:t>
      </w:r>
    </w:p>
    <w:p w14:paraId="5EB884D3">
      <w:pPr>
        <w:ind w:left="630" w:leftChars="300" w:firstLine="411" w:firstLineChars="196"/>
        <w:rPr>
          <w:rFonts w:ascii="宋体" w:hAnsi="宋体"/>
          <w:szCs w:val="21"/>
        </w:rPr>
      </w:pPr>
      <w:r>
        <w:rPr>
          <w:rFonts w:hint="eastAsia" w:ascii="宋体" w:hAnsi="宋体"/>
          <w:szCs w:val="21"/>
        </w:rPr>
        <w:t>第五章  附件</w:t>
      </w:r>
    </w:p>
    <w:p w14:paraId="002FDFE2">
      <w:pPr>
        <w:ind w:left="630" w:leftChars="300" w:firstLine="411" w:firstLineChars="196"/>
        <w:rPr>
          <w:rFonts w:ascii="宋体" w:hAnsi="宋体"/>
          <w:szCs w:val="21"/>
        </w:rPr>
      </w:pPr>
    </w:p>
    <w:p w14:paraId="4461D306">
      <w:pPr>
        <w:rPr>
          <w:rFonts w:ascii="Times New Roman" w:hAnsi="Times New Roman"/>
          <w:b/>
          <w:sz w:val="24"/>
          <w:szCs w:val="24"/>
        </w:rPr>
      </w:pPr>
    </w:p>
    <w:p w14:paraId="20191CF4">
      <w:pPr>
        <w:rPr>
          <w:rFonts w:ascii="Times New Roman" w:hAnsi="Times New Roman"/>
          <w:b/>
          <w:sz w:val="24"/>
          <w:szCs w:val="24"/>
        </w:rPr>
      </w:pPr>
      <w:r>
        <w:rPr>
          <w:rFonts w:hint="eastAsia" w:ascii="Times New Roman" w:hAnsi="Times New Roman"/>
          <w:b/>
          <w:sz w:val="24"/>
          <w:szCs w:val="24"/>
        </w:rPr>
        <w:t>第二册  通用条款</w:t>
      </w:r>
    </w:p>
    <w:p w14:paraId="782A122A">
      <w:pPr>
        <w:ind w:left="630" w:leftChars="300" w:firstLine="411" w:firstLineChars="196"/>
        <w:rPr>
          <w:rFonts w:ascii="宋体" w:hAnsi="宋体"/>
          <w:szCs w:val="21"/>
        </w:rPr>
      </w:pPr>
      <w:r>
        <w:rPr>
          <w:rFonts w:hint="eastAsia" w:ascii="宋体" w:hAnsi="宋体"/>
          <w:szCs w:val="21"/>
        </w:rPr>
        <w:t>第一章  总则</w:t>
      </w:r>
    </w:p>
    <w:p w14:paraId="360942AF">
      <w:pPr>
        <w:ind w:left="630" w:leftChars="300" w:firstLine="411" w:firstLineChars="196"/>
        <w:rPr>
          <w:rFonts w:ascii="宋体" w:hAnsi="宋体"/>
          <w:szCs w:val="21"/>
        </w:rPr>
      </w:pPr>
      <w:r>
        <w:rPr>
          <w:rFonts w:hint="eastAsia" w:ascii="宋体" w:hAnsi="宋体"/>
          <w:szCs w:val="21"/>
        </w:rPr>
        <w:t>第二章  招标文件</w:t>
      </w:r>
    </w:p>
    <w:p w14:paraId="50405080">
      <w:pPr>
        <w:ind w:left="630" w:leftChars="300" w:firstLine="411" w:firstLineChars="196"/>
        <w:rPr>
          <w:rFonts w:ascii="宋体" w:hAnsi="宋体"/>
          <w:szCs w:val="21"/>
        </w:rPr>
      </w:pPr>
      <w:r>
        <w:rPr>
          <w:rFonts w:hint="eastAsia" w:ascii="宋体" w:hAnsi="宋体"/>
          <w:szCs w:val="21"/>
        </w:rPr>
        <w:t>第三章  投标文件的编制</w:t>
      </w:r>
    </w:p>
    <w:p w14:paraId="6D760D80">
      <w:pPr>
        <w:ind w:left="630" w:leftChars="300" w:firstLine="411" w:firstLineChars="196"/>
        <w:rPr>
          <w:rFonts w:ascii="宋体" w:hAnsi="宋体"/>
          <w:szCs w:val="21"/>
        </w:rPr>
      </w:pPr>
      <w:r>
        <w:rPr>
          <w:rFonts w:hint="eastAsia" w:ascii="宋体" w:hAnsi="宋体"/>
          <w:szCs w:val="21"/>
        </w:rPr>
        <w:t>第四章  投标文件的递交</w:t>
      </w:r>
    </w:p>
    <w:p w14:paraId="5C363379">
      <w:pPr>
        <w:ind w:left="630" w:leftChars="300" w:firstLine="411" w:firstLineChars="196"/>
        <w:rPr>
          <w:rFonts w:ascii="宋体" w:hAnsi="宋体"/>
          <w:szCs w:val="21"/>
        </w:rPr>
      </w:pPr>
      <w:r>
        <w:rPr>
          <w:rFonts w:hint="eastAsia" w:ascii="宋体" w:hAnsi="宋体"/>
          <w:szCs w:val="21"/>
        </w:rPr>
        <w:t>第五章  开标</w:t>
      </w:r>
    </w:p>
    <w:p w14:paraId="32550469">
      <w:pPr>
        <w:ind w:left="630" w:leftChars="300" w:firstLine="411" w:firstLineChars="196"/>
        <w:rPr>
          <w:rFonts w:ascii="宋体" w:hAnsi="宋体"/>
          <w:szCs w:val="21"/>
        </w:rPr>
      </w:pPr>
      <w:r>
        <w:rPr>
          <w:rFonts w:hint="eastAsia" w:ascii="宋体" w:hAnsi="宋体"/>
          <w:szCs w:val="21"/>
        </w:rPr>
        <w:t>第六章  评标要求</w:t>
      </w:r>
    </w:p>
    <w:p w14:paraId="060FD5CD">
      <w:pPr>
        <w:ind w:left="630" w:leftChars="300" w:firstLine="411" w:firstLineChars="196"/>
        <w:rPr>
          <w:rFonts w:ascii="宋体" w:hAnsi="宋体"/>
          <w:szCs w:val="21"/>
        </w:rPr>
      </w:pPr>
      <w:r>
        <w:rPr>
          <w:rFonts w:hint="eastAsia" w:ascii="宋体" w:hAnsi="宋体"/>
          <w:szCs w:val="21"/>
        </w:rPr>
        <w:t>第七章  评标程序及评标方法</w:t>
      </w:r>
    </w:p>
    <w:p w14:paraId="1152C1BE">
      <w:pPr>
        <w:ind w:left="630" w:leftChars="300" w:firstLine="411" w:firstLineChars="196"/>
        <w:rPr>
          <w:rFonts w:ascii="宋体" w:hAnsi="宋体"/>
          <w:szCs w:val="21"/>
        </w:rPr>
      </w:pPr>
      <w:r>
        <w:rPr>
          <w:rFonts w:hint="eastAsia" w:ascii="宋体" w:hAnsi="宋体"/>
          <w:szCs w:val="21"/>
        </w:rPr>
        <w:t>第八章  定标及公示</w:t>
      </w:r>
    </w:p>
    <w:p w14:paraId="622A8D14">
      <w:pPr>
        <w:ind w:left="630" w:leftChars="300" w:firstLine="411" w:firstLineChars="196"/>
        <w:rPr>
          <w:rFonts w:ascii="宋体" w:hAnsi="宋体"/>
          <w:szCs w:val="21"/>
        </w:rPr>
      </w:pPr>
      <w:r>
        <w:rPr>
          <w:rFonts w:hint="eastAsia" w:ascii="宋体" w:hAnsi="宋体"/>
          <w:szCs w:val="21"/>
        </w:rPr>
        <w:t>第九章  公开招标失败的后续处理</w:t>
      </w:r>
    </w:p>
    <w:p w14:paraId="2C8639AB">
      <w:pPr>
        <w:ind w:left="630" w:leftChars="300" w:firstLine="411" w:firstLineChars="196"/>
        <w:rPr>
          <w:rFonts w:ascii="宋体" w:hAnsi="宋体"/>
          <w:szCs w:val="21"/>
        </w:rPr>
      </w:pPr>
      <w:r>
        <w:rPr>
          <w:rFonts w:hint="eastAsia" w:ascii="宋体" w:hAnsi="宋体"/>
          <w:szCs w:val="21"/>
        </w:rPr>
        <w:t>第十章  合同的授予与备案</w:t>
      </w:r>
    </w:p>
    <w:p w14:paraId="111FB846">
      <w:pPr>
        <w:ind w:left="630" w:leftChars="300" w:firstLine="411" w:firstLineChars="196"/>
        <w:rPr>
          <w:rFonts w:ascii="宋体" w:hAnsi="宋体"/>
          <w:szCs w:val="21"/>
        </w:rPr>
      </w:pPr>
      <w:r>
        <w:rPr>
          <w:rFonts w:hint="eastAsia" w:ascii="宋体" w:hAnsi="宋体"/>
          <w:szCs w:val="21"/>
        </w:rPr>
        <w:t>第十一章  质疑处理</w:t>
      </w:r>
    </w:p>
    <w:p w14:paraId="3C5B55E6">
      <w:pPr>
        <w:rPr>
          <w:rFonts w:ascii="Times New Roman" w:hAnsi="Times New Roman"/>
          <w:sz w:val="24"/>
          <w:szCs w:val="24"/>
        </w:rPr>
      </w:pPr>
    </w:p>
    <w:p w14:paraId="06C635CA">
      <w:pPr>
        <w:rPr>
          <w:rFonts w:ascii="Times New Roman" w:hAnsi="Times New Roman"/>
          <w:b/>
          <w:szCs w:val="24"/>
        </w:rPr>
      </w:pPr>
      <w:r>
        <w:rPr>
          <w:rFonts w:hint="eastAsia" w:ascii="Times New Roman" w:hAnsi="Times New Roman"/>
          <w:b/>
          <w:szCs w:val="24"/>
        </w:rPr>
        <w:t>备注：</w:t>
      </w:r>
    </w:p>
    <w:p w14:paraId="14405DCE">
      <w:pPr>
        <w:ind w:firstLine="420" w:firstLineChars="200"/>
        <w:rPr>
          <w:rFonts w:ascii="Times New Roman" w:hAnsi="Times New Roman"/>
          <w:b/>
          <w:szCs w:val="24"/>
        </w:rPr>
      </w:pPr>
      <w:r>
        <w:rPr>
          <w:rFonts w:hint="eastAsia" w:ascii="宋体" w:hAnsi="宋体"/>
          <w:szCs w:val="21"/>
        </w:rPr>
        <w:t>1.本招标文件分为第一册“专用条款”和第二册“通用条款”。</w:t>
      </w:r>
    </w:p>
    <w:p w14:paraId="415472A6">
      <w:pPr>
        <w:spacing w:line="360" w:lineRule="auto"/>
        <w:ind w:firstLine="420" w:firstLineChars="200"/>
        <w:jc w:val="left"/>
        <w:rPr>
          <w:rFonts w:ascii="宋体" w:hAnsi="宋体"/>
          <w:szCs w:val="21"/>
        </w:rPr>
      </w:pPr>
      <w:r>
        <w:rPr>
          <w:rFonts w:hint="eastAsia" w:ascii="宋体" w:hAnsi="宋体"/>
          <w:szCs w:val="21"/>
        </w:rPr>
        <w:t>2.“专用条款”是对本次采购项目的具体要求，包含招标公告、招标项目需求、投标文件格式、合同条款及格式等内容。</w:t>
      </w:r>
    </w:p>
    <w:p w14:paraId="1CFDA5E7">
      <w:pPr>
        <w:spacing w:line="360" w:lineRule="auto"/>
        <w:ind w:firstLine="420" w:firstLineChars="200"/>
        <w:jc w:val="left"/>
        <w:rPr>
          <w:rFonts w:ascii="宋体" w:hAnsi="宋体"/>
          <w:szCs w:val="21"/>
        </w:rPr>
      </w:pPr>
      <w:r>
        <w:rPr>
          <w:rFonts w:hint="eastAsia" w:ascii="宋体" w:hAnsi="宋体"/>
          <w:szCs w:val="21"/>
        </w:rPr>
        <w:t>3.“通用条款”是适用于政府采购项目的基础性条款，具有普遍性和通用性。</w:t>
      </w:r>
    </w:p>
    <w:p w14:paraId="77B81E20">
      <w:pPr>
        <w:spacing w:line="360" w:lineRule="auto"/>
        <w:ind w:firstLine="420" w:firstLineChars="200"/>
        <w:jc w:val="left"/>
        <w:rPr>
          <w:rFonts w:ascii="宋体" w:hAnsi="宋体"/>
          <w:szCs w:val="21"/>
        </w:rPr>
      </w:pPr>
      <w:r>
        <w:rPr>
          <w:rFonts w:hint="eastAsia" w:ascii="宋体" w:hAnsi="宋体"/>
          <w:szCs w:val="21"/>
        </w:rPr>
        <w:t>4.当出现“专用条款”和“通用条款”表述不一致或有冲突时，以“专用条款”为准。</w:t>
      </w:r>
    </w:p>
    <w:p w14:paraId="3A0C3F17">
      <w:pPr>
        <w:rPr>
          <w:rFonts w:ascii="宋体" w:hAnsi="宋体"/>
          <w:szCs w:val="21"/>
        </w:rPr>
      </w:pPr>
    </w:p>
    <w:p w14:paraId="1E06D776">
      <w:pPr>
        <w:widowControl/>
        <w:jc w:val="left"/>
        <w:rPr>
          <w:rFonts w:ascii="宋体" w:hAnsi="宋体" w:eastAsia="黑体"/>
          <w:b/>
          <w:bCs/>
          <w:kern w:val="44"/>
          <w:sz w:val="28"/>
          <w:szCs w:val="44"/>
        </w:rPr>
      </w:pPr>
      <w:r>
        <w:rPr>
          <w:rFonts w:ascii="Times New Roman" w:hAnsi="Times New Roman"/>
          <w:szCs w:val="24"/>
        </w:rPr>
        <w:br w:type="page"/>
      </w:r>
    </w:p>
    <w:p w14:paraId="46E1F9E8">
      <w:pPr>
        <w:keepNext/>
        <w:keepLines/>
        <w:spacing w:before="340" w:after="330" w:line="360" w:lineRule="auto"/>
        <w:jc w:val="center"/>
        <w:outlineLvl w:val="0"/>
        <w:rPr>
          <w:rFonts w:ascii="宋体" w:hAnsi="宋体" w:eastAsia="黑体"/>
          <w:b/>
          <w:bCs/>
          <w:kern w:val="44"/>
          <w:sz w:val="24"/>
          <w:szCs w:val="44"/>
        </w:rPr>
      </w:pPr>
      <w:r>
        <w:rPr>
          <w:rFonts w:hint="eastAsia" w:ascii="宋体" w:hAnsi="宋体" w:eastAsia="黑体"/>
          <w:b/>
          <w:bCs/>
          <w:kern w:val="44"/>
          <w:sz w:val="28"/>
          <w:szCs w:val="44"/>
        </w:rPr>
        <w:t>第一册  专用条款</w:t>
      </w:r>
    </w:p>
    <w:p w14:paraId="12AB1736">
      <w:pPr>
        <w:keepNext/>
        <w:keepLines/>
        <w:adjustRightInd w:val="0"/>
        <w:spacing w:before="260" w:after="260" w:line="360" w:lineRule="exact"/>
        <w:jc w:val="center"/>
        <w:textAlignment w:val="baseline"/>
        <w:outlineLvl w:val="1"/>
        <w:rPr>
          <w:rFonts w:ascii="宋体" w:hAnsi="宋体"/>
          <w:b/>
          <w:bCs/>
          <w:kern w:val="0"/>
          <w:sz w:val="24"/>
          <w:szCs w:val="20"/>
        </w:rPr>
      </w:pPr>
      <w:r>
        <w:rPr>
          <w:rFonts w:hint="eastAsia" w:ascii="宋体" w:hAnsi="宋体"/>
          <w:b/>
          <w:bCs/>
          <w:kern w:val="0"/>
          <w:sz w:val="24"/>
          <w:szCs w:val="20"/>
        </w:rPr>
        <w:t>第一章  招标公告</w:t>
      </w:r>
    </w:p>
    <w:p w14:paraId="4D686DCE">
      <w:pPr>
        <w:spacing w:line="360" w:lineRule="exact"/>
        <w:rPr>
          <w:rFonts w:ascii="宋体" w:hAnsi="宋体"/>
          <w:vanish/>
          <w:szCs w:val="21"/>
        </w:rPr>
      </w:pPr>
    </w:p>
    <w:p w14:paraId="70836F4E">
      <w:pPr>
        <w:pStyle w:val="37"/>
        <w:spacing w:before="0" w:beforeAutospacing="0" w:after="0" w:afterAutospacing="0" w:line="360" w:lineRule="exact"/>
        <w:rPr>
          <w:sz w:val="21"/>
          <w:szCs w:val="21"/>
        </w:rPr>
      </w:pPr>
      <w:r>
        <w:rPr>
          <w:rFonts w:hint="eastAsia"/>
          <w:sz w:val="21"/>
          <w:szCs w:val="21"/>
        </w:rPr>
        <w:t>项目概况:</w:t>
      </w:r>
    </w:p>
    <w:p w14:paraId="794ACEE2">
      <w:pPr>
        <w:pStyle w:val="37"/>
        <w:spacing w:before="0" w:beforeAutospacing="0" w:after="0" w:afterAutospacing="0" w:line="360" w:lineRule="exact"/>
        <w:ind w:firstLine="424" w:firstLineChars="202"/>
        <w:rPr>
          <w:sz w:val="21"/>
          <w:szCs w:val="21"/>
        </w:rPr>
      </w:pPr>
      <w:r>
        <w:rPr>
          <w:rFonts w:hint="eastAsia"/>
          <w:sz w:val="21"/>
          <w:szCs w:val="21"/>
          <w:lang w:eastAsia="zh-CN"/>
        </w:rPr>
        <w:t>网络安全等级保护测评服务项目</w:t>
      </w:r>
      <w:r>
        <w:rPr>
          <w:rFonts w:hint="eastAsia"/>
          <w:sz w:val="21"/>
          <w:szCs w:val="21"/>
        </w:rPr>
        <w:t xml:space="preserve">招标项目的潜在投标人应在（本公告附件中）获取招标文件，并于 </w:t>
      </w:r>
      <w:r>
        <w:rPr>
          <w:rFonts w:hint="eastAsia"/>
          <w:b/>
          <w:sz w:val="21"/>
          <w:szCs w:val="21"/>
          <w:u w:val="single"/>
          <w:lang w:eastAsia="zh-CN"/>
        </w:rPr>
        <w:t>2025</w:t>
      </w:r>
      <w:r>
        <w:rPr>
          <w:rFonts w:hint="eastAsia"/>
          <w:b/>
          <w:sz w:val="21"/>
          <w:szCs w:val="21"/>
          <w:u w:val="single"/>
        </w:rPr>
        <w:t>年</w:t>
      </w:r>
      <w:r>
        <w:rPr>
          <w:rFonts w:hint="eastAsia"/>
          <w:b/>
          <w:sz w:val="21"/>
          <w:szCs w:val="21"/>
          <w:u w:val="single"/>
          <w:lang w:val="en-US" w:eastAsia="zh-CN"/>
        </w:rPr>
        <w:t>7</w:t>
      </w:r>
      <w:r>
        <w:rPr>
          <w:rFonts w:hint="eastAsia"/>
          <w:b/>
          <w:sz w:val="21"/>
          <w:szCs w:val="21"/>
          <w:u w:val="single"/>
        </w:rPr>
        <w:t>月</w:t>
      </w:r>
      <w:r>
        <w:rPr>
          <w:rFonts w:hint="eastAsia"/>
          <w:b/>
          <w:sz w:val="21"/>
          <w:szCs w:val="21"/>
          <w:u w:val="single"/>
          <w:lang w:val="en-US" w:eastAsia="zh-CN"/>
        </w:rPr>
        <w:t>18</w:t>
      </w:r>
      <w:r>
        <w:rPr>
          <w:rFonts w:hint="eastAsia"/>
          <w:b/>
          <w:sz w:val="21"/>
          <w:szCs w:val="21"/>
          <w:u w:val="single"/>
        </w:rPr>
        <w:t>日</w:t>
      </w:r>
      <w:r>
        <w:rPr>
          <w:rFonts w:hint="eastAsia"/>
          <w:b/>
          <w:sz w:val="21"/>
          <w:szCs w:val="21"/>
          <w:u w:val="single"/>
          <w:lang w:val="en-US" w:eastAsia="zh-CN"/>
        </w:rPr>
        <w:t>9</w:t>
      </w:r>
      <w:r>
        <w:rPr>
          <w:rFonts w:hint="eastAsia"/>
          <w:b/>
          <w:sz w:val="21"/>
          <w:szCs w:val="21"/>
          <w:u w:val="single"/>
        </w:rPr>
        <w:t>:</w:t>
      </w:r>
      <w:r>
        <w:rPr>
          <w:rFonts w:hint="eastAsia"/>
          <w:b/>
          <w:sz w:val="21"/>
          <w:szCs w:val="21"/>
          <w:u w:val="single"/>
          <w:lang w:val="en-US" w:eastAsia="zh-CN"/>
        </w:rPr>
        <w:t>3</w:t>
      </w:r>
      <w:r>
        <w:rPr>
          <w:rFonts w:hint="eastAsia"/>
          <w:b/>
          <w:sz w:val="21"/>
          <w:szCs w:val="21"/>
          <w:u w:val="single"/>
        </w:rPr>
        <w:t>0（北京时间）</w:t>
      </w:r>
      <w:r>
        <w:rPr>
          <w:rFonts w:hint="eastAsia"/>
          <w:sz w:val="21"/>
          <w:szCs w:val="21"/>
        </w:rPr>
        <w:t xml:space="preserve">前递交投标文件。 </w:t>
      </w:r>
    </w:p>
    <w:p w14:paraId="6E552A77">
      <w:pPr>
        <w:pStyle w:val="37"/>
        <w:spacing w:before="0" w:beforeAutospacing="0" w:after="0" w:afterAutospacing="0" w:line="360" w:lineRule="exact"/>
        <w:rPr>
          <w:sz w:val="21"/>
          <w:szCs w:val="21"/>
        </w:rPr>
      </w:pPr>
    </w:p>
    <w:p w14:paraId="1FF33BE8">
      <w:pPr>
        <w:pStyle w:val="37"/>
        <w:spacing w:before="0" w:beforeAutospacing="0" w:after="0" w:afterAutospacing="0" w:line="360" w:lineRule="exact"/>
        <w:rPr>
          <w:sz w:val="21"/>
          <w:szCs w:val="21"/>
        </w:rPr>
      </w:pPr>
      <w:r>
        <w:rPr>
          <w:rFonts w:hint="eastAsia"/>
          <w:sz w:val="21"/>
          <w:szCs w:val="21"/>
        </w:rPr>
        <w:t>一、项目基本情况</w:t>
      </w:r>
    </w:p>
    <w:p w14:paraId="32E6CAAA">
      <w:pPr>
        <w:pStyle w:val="37"/>
        <w:spacing w:before="0" w:beforeAutospacing="0" w:after="0" w:afterAutospacing="0" w:line="360" w:lineRule="exact"/>
        <w:ind w:firstLine="424" w:firstLineChars="202"/>
        <w:rPr>
          <w:rFonts w:hint="eastAsia" w:eastAsia="宋体"/>
          <w:sz w:val="21"/>
          <w:szCs w:val="21"/>
          <w:lang w:eastAsia="zh-CN"/>
        </w:rPr>
      </w:pPr>
      <w:r>
        <w:rPr>
          <w:rFonts w:hint="eastAsia"/>
          <w:sz w:val="21"/>
          <w:szCs w:val="21"/>
        </w:rPr>
        <w:t>1.项目编号：</w:t>
      </w:r>
      <w:r>
        <w:rPr>
          <w:rFonts w:hint="eastAsia"/>
          <w:sz w:val="21"/>
          <w:szCs w:val="21"/>
          <w:lang w:eastAsia="zh-CN"/>
        </w:rPr>
        <w:t>PSZXDL-2025-00120</w:t>
      </w:r>
    </w:p>
    <w:p w14:paraId="2325AE11">
      <w:pPr>
        <w:pStyle w:val="37"/>
        <w:spacing w:before="0" w:beforeAutospacing="0" w:after="0" w:afterAutospacing="0" w:line="360" w:lineRule="exact"/>
        <w:ind w:firstLine="424" w:firstLineChars="202"/>
        <w:rPr>
          <w:rFonts w:hint="eastAsia" w:eastAsia="宋体"/>
          <w:sz w:val="21"/>
          <w:szCs w:val="21"/>
          <w:lang w:eastAsia="zh-CN"/>
        </w:rPr>
      </w:pPr>
      <w:r>
        <w:rPr>
          <w:rFonts w:hint="eastAsia"/>
          <w:sz w:val="21"/>
          <w:szCs w:val="21"/>
        </w:rPr>
        <w:t>2.项目名称：</w:t>
      </w:r>
      <w:r>
        <w:rPr>
          <w:rFonts w:hint="eastAsia"/>
          <w:sz w:val="21"/>
          <w:szCs w:val="21"/>
          <w:lang w:eastAsia="zh-CN"/>
        </w:rPr>
        <w:t>网络安全等级保护测评服务项目</w:t>
      </w:r>
    </w:p>
    <w:p w14:paraId="437BA0C3">
      <w:pPr>
        <w:pStyle w:val="37"/>
        <w:spacing w:before="0" w:beforeAutospacing="0" w:after="0" w:afterAutospacing="0" w:line="360" w:lineRule="exact"/>
        <w:ind w:firstLine="424" w:firstLineChars="202"/>
        <w:rPr>
          <w:sz w:val="21"/>
          <w:szCs w:val="21"/>
        </w:rPr>
      </w:pPr>
      <w:r>
        <w:rPr>
          <w:rFonts w:hint="eastAsia"/>
          <w:sz w:val="21"/>
          <w:szCs w:val="21"/>
        </w:rPr>
        <w:t>3.预算金额：</w:t>
      </w:r>
      <w:r>
        <w:rPr>
          <w:rFonts w:hint="eastAsia"/>
          <w:sz w:val="21"/>
          <w:szCs w:val="21"/>
          <w:lang w:eastAsia="zh-CN"/>
        </w:rPr>
        <w:t>人民币</w:t>
      </w:r>
      <w:r>
        <w:rPr>
          <w:rFonts w:hint="eastAsia"/>
          <w:sz w:val="21"/>
          <w:szCs w:val="21"/>
          <w:lang w:val="en-US" w:eastAsia="zh-CN"/>
        </w:rPr>
        <w:t>24万</w:t>
      </w:r>
      <w:r>
        <w:rPr>
          <w:rFonts w:hint="eastAsia"/>
          <w:sz w:val="21"/>
          <w:szCs w:val="21"/>
        </w:rPr>
        <w:t>元</w:t>
      </w:r>
    </w:p>
    <w:p w14:paraId="6209FC19">
      <w:pPr>
        <w:pStyle w:val="37"/>
        <w:spacing w:before="0" w:beforeAutospacing="0" w:after="0" w:afterAutospacing="0" w:line="360" w:lineRule="exact"/>
        <w:ind w:firstLine="424" w:firstLineChars="202"/>
        <w:rPr>
          <w:sz w:val="21"/>
          <w:szCs w:val="21"/>
        </w:rPr>
      </w:pPr>
      <w:r>
        <w:rPr>
          <w:rFonts w:hint="eastAsia"/>
          <w:sz w:val="21"/>
          <w:szCs w:val="21"/>
        </w:rPr>
        <w:t>4.最高限价：</w:t>
      </w:r>
      <w:r>
        <w:rPr>
          <w:rFonts w:hint="eastAsia"/>
          <w:sz w:val="21"/>
          <w:szCs w:val="21"/>
          <w:lang w:eastAsia="zh-CN"/>
        </w:rPr>
        <w:t>人民币</w:t>
      </w:r>
      <w:r>
        <w:rPr>
          <w:rFonts w:hint="eastAsia"/>
          <w:sz w:val="21"/>
          <w:szCs w:val="21"/>
          <w:lang w:val="en-US" w:eastAsia="zh-CN"/>
        </w:rPr>
        <w:t>24万</w:t>
      </w:r>
      <w:r>
        <w:rPr>
          <w:rFonts w:hint="eastAsia"/>
          <w:sz w:val="21"/>
          <w:szCs w:val="21"/>
        </w:rPr>
        <w:t>元</w:t>
      </w:r>
    </w:p>
    <w:p w14:paraId="3180111B">
      <w:pPr>
        <w:pStyle w:val="37"/>
        <w:spacing w:before="0" w:beforeAutospacing="0" w:after="0" w:afterAutospacing="0" w:line="360" w:lineRule="exact"/>
        <w:ind w:firstLine="424" w:firstLineChars="202"/>
        <w:rPr>
          <w:sz w:val="21"/>
          <w:szCs w:val="21"/>
        </w:rPr>
      </w:pPr>
      <w:r>
        <w:rPr>
          <w:rFonts w:hint="eastAsia"/>
          <w:sz w:val="21"/>
          <w:szCs w:val="21"/>
        </w:rPr>
        <w:t>5.采购需求：</w:t>
      </w:r>
    </w:p>
    <w:tbl>
      <w:tblPr>
        <w:tblStyle w:val="42"/>
        <w:tblW w:w="8505" w:type="dxa"/>
        <w:tblInd w:w="60" w:type="dxa"/>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Layout w:type="autofit"/>
        <w:tblCellMar>
          <w:top w:w="60" w:type="dxa"/>
          <w:left w:w="60" w:type="dxa"/>
          <w:bottom w:w="60" w:type="dxa"/>
          <w:right w:w="60" w:type="dxa"/>
        </w:tblCellMar>
      </w:tblPr>
      <w:tblGrid>
        <w:gridCol w:w="3261"/>
        <w:gridCol w:w="850"/>
        <w:gridCol w:w="992"/>
        <w:gridCol w:w="2552"/>
        <w:gridCol w:w="850"/>
      </w:tblGrid>
      <w:tr w14:paraId="38360F44">
        <w:tblPrEx>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CellMar>
            <w:top w:w="60" w:type="dxa"/>
            <w:left w:w="60" w:type="dxa"/>
            <w:bottom w:w="60" w:type="dxa"/>
            <w:right w:w="60" w:type="dxa"/>
          </w:tblCellMar>
        </w:tblPrEx>
        <w:trPr>
          <w:trHeight w:val="462" w:hRule="atLeast"/>
        </w:trPr>
        <w:tc>
          <w:tcPr>
            <w:tcW w:w="3261"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244D494D">
            <w:pPr>
              <w:widowControl/>
              <w:spacing w:line="360" w:lineRule="exact"/>
              <w:jc w:val="center"/>
              <w:rPr>
                <w:rFonts w:ascii="宋体" w:hAnsi="宋体" w:cs="宋体"/>
                <w:szCs w:val="21"/>
              </w:rPr>
            </w:pPr>
            <w:r>
              <w:rPr>
                <w:rFonts w:hint="eastAsia" w:ascii="宋体" w:hAnsi="宋体" w:cs="宋体"/>
                <w:szCs w:val="21"/>
              </w:rPr>
              <w:t>标的名称</w:t>
            </w:r>
          </w:p>
        </w:tc>
        <w:tc>
          <w:tcPr>
            <w:tcW w:w="850"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3FC916CD">
            <w:pPr>
              <w:widowControl/>
              <w:spacing w:line="360" w:lineRule="exact"/>
              <w:jc w:val="center"/>
              <w:rPr>
                <w:rFonts w:ascii="宋体" w:hAnsi="宋体" w:cs="宋体"/>
                <w:szCs w:val="21"/>
              </w:rPr>
            </w:pPr>
            <w:r>
              <w:rPr>
                <w:rFonts w:hint="eastAsia" w:ascii="宋体" w:hAnsi="宋体" w:cs="宋体"/>
                <w:szCs w:val="21"/>
              </w:rPr>
              <w:t>数量</w:t>
            </w:r>
          </w:p>
        </w:tc>
        <w:tc>
          <w:tcPr>
            <w:tcW w:w="992"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0C818496">
            <w:pPr>
              <w:widowControl/>
              <w:spacing w:line="360" w:lineRule="exact"/>
              <w:jc w:val="center"/>
              <w:rPr>
                <w:rFonts w:ascii="宋体" w:hAnsi="宋体" w:cs="宋体"/>
                <w:szCs w:val="21"/>
              </w:rPr>
            </w:pPr>
            <w:r>
              <w:rPr>
                <w:rFonts w:hint="eastAsia" w:ascii="宋体" w:hAnsi="宋体" w:cs="宋体"/>
                <w:szCs w:val="21"/>
              </w:rPr>
              <w:t>单位</w:t>
            </w:r>
          </w:p>
        </w:tc>
        <w:tc>
          <w:tcPr>
            <w:tcW w:w="2552"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32A38215">
            <w:pPr>
              <w:widowControl/>
              <w:spacing w:line="360" w:lineRule="exact"/>
              <w:jc w:val="center"/>
              <w:rPr>
                <w:rFonts w:ascii="宋体" w:hAnsi="宋体" w:cs="宋体"/>
                <w:szCs w:val="21"/>
              </w:rPr>
            </w:pPr>
            <w:r>
              <w:rPr>
                <w:rFonts w:hint="eastAsia" w:ascii="宋体" w:hAnsi="宋体" w:cs="宋体"/>
                <w:szCs w:val="21"/>
              </w:rPr>
              <w:t>简要技术需求（服务需求）</w:t>
            </w:r>
          </w:p>
        </w:tc>
        <w:tc>
          <w:tcPr>
            <w:tcW w:w="850"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7AB664E7">
            <w:pPr>
              <w:widowControl/>
              <w:spacing w:line="360" w:lineRule="exact"/>
              <w:jc w:val="center"/>
              <w:rPr>
                <w:rFonts w:ascii="宋体" w:hAnsi="宋体" w:cs="宋体"/>
                <w:szCs w:val="21"/>
              </w:rPr>
            </w:pPr>
            <w:r>
              <w:rPr>
                <w:rFonts w:hint="eastAsia" w:ascii="宋体" w:hAnsi="宋体" w:cs="宋体"/>
                <w:szCs w:val="21"/>
              </w:rPr>
              <w:t>备注</w:t>
            </w:r>
          </w:p>
        </w:tc>
      </w:tr>
      <w:tr w14:paraId="6649246B">
        <w:tblPrEx>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CellMar>
            <w:top w:w="60" w:type="dxa"/>
            <w:left w:w="60" w:type="dxa"/>
            <w:bottom w:w="60" w:type="dxa"/>
            <w:right w:w="60" w:type="dxa"/>
          </w:tblCellMar>
        </w:tblPrEx>
        <w:trPr>
          <w:trHeight w:val="462" w:hRule="atLeast"/>
        </w:trPr>
        <w:tc>
          <w:tcPr>
            <w:tcW w:w="3261" w:type="dxa"/>
            <w:tcBorders>
              <w:top w:val="outset" w:color="AAAAAA" w:sz="6" w:space="0"/>
              <w:left w:val="outset" w:color="AAAAAA" w:sz="6" w:space="0"/>
              <w:bottom w:val="outset" w:color="AAAAAA" w:sz="6" w:space="0"/>
              <w:right w:val="outset" w:color="AAAAAA" w:sz="6" w:space="0"/>
            </w:tcBorders>
            <w:shd w:val="clear" w:color="auto" w:fill="auto"/>
            <w:vAlign w:val="center"/>
          </w:tcPr>
          <w:p w14:paraId="0F8A03AD">
            <w:pPr>
              <w:widowControl/>
              <w:spacing w:line="360" w:lineRule="exact"/>
              <w:jc w:val="center"/>
              <w:rPr>
                <w:rFonts w:hint="eastAsia" w:ascii="宋体" w:hAnsi="宋体" w:eastAsia="宋体" w:cs="宋体"/>
                <w:szCs w:val="21"/>
                <w:lang w:eastAsia="zh-CN"/>
              </w:rPr>
            </w:pPr>
            <w:r>
              <w:rPr>
                <w:rFonts w:hint="eastAsia" w:ascii="宋体" w:hAnsi="宋体" w:cs="宋体"/>
                <w:szCs w:val="21"/>
                <w:lang w:eastAsia="zh-CN"/>
              </w:rPr>
              <w:t>网络安全等级保护测评服务项目</w:t>
            </w:r>
          </w:p>
        </w:tc>
        <w:tc>
          <w:tcPr>
            <w:tcW w:w="850" w:type="dxa"/>
            <w:tcBorders>
              <w:top w:val="outset" w:color="AAAAAA" w:sz="6" w:space="0"/>
              <w:left w:val="outset" w:color="AAAAAA" w:sz="6" w:space="0"/>
              <w:bottom w:val="outset" w:color="AAAAAA" w:sz="6" w:space="0"/>
              <w:right w:val="outset" w:color="AAAAAA" w:sz="6" w:space="0"/>
            </w:tcBorders>
            <w:shd w:val="clear" w:color="auto" w:fill="auto"/>
            <w:vAlign w:val="center"/>
          </w:tcPr>
          <w:p w14:paraId="5079BF9E">
            <w:pPr>
              <w:spacing w:line="360" w:lineRule="exact"/>
              <w:jc w:val="center"/>
              <w:rPr>
                <w:rFonts w:ascii="宋体" w:hAnsi="宋体" w:cs="宋体"/>
                <w:szCs w:val="21"/>
              </w:rPr>
            </w:pPr>
            <w:r>
              <w:rPr>
                <w:rFonts w:hint="eastAsia" w:ascii="宋体" w:hAnsi="宋体" w:cs="宋体"/>
                <w:szCs w:val="21"/>
              </w:rPr>
              <w:t>1</w:t>
            </w:r>
          </w:p>
        </w:tc>
        <w:tc>
          <w:tcPr>
            <w:tcW w:w="992" w:type="dxa"/>
            <w:tcBorders>
              <w:top w:val="outset" w:color="AAAAAA" w:sz="6" w:space="0"/>
              <w:left w:val="outset" w:color="AAAAAA" w:sz="6" w:space="0"/>
              <w:bottom w:val="outset" w:color="AAAAAA" w:sz="6" w:space="0"/>
              <w:right w:val="outset" w:color="AAAAAA" w:sz="6" w:space="0"/>
            </w:tcBorders>
            <w:shd w:val="clear" w:color="auto" w:fill="auto"/>
            <w:vAlign w:val="center"/>
          </w:tcPr>
          <w:p w14:paraId="545C03B6">
            <w:pPr>
              <w:spacing w:line="360" w:lineRule="exact"/>
              <w:jc w:val="center"/>
              <w:rPr>
                <w:rFonts w:ascii="宋体" w:hAnsi="宋体" w:cs="宋体"/>
                <w:szCs w:val="21"/>
              </w:rPr>
            </w:pPr>
            <w:r>
              <w:rPr>
                <w:rFonts w:hint="eastAsia" w:ascii="宋体" w:hAnsi="宋体" w:cs="宋体"/>
                <w:szCs w:val="21"/>
              </w:rPr>
              <w:t>项</w:t>
            </w:r>
          </w:p>
        </w:tc>
        <w:tc>
          <w:tcPr>
            <w:tcW w:w="2552" w:type="dxa"/>
            <w:tcBorders>
              <w:top w:val="outset" w:color="AAAAAA" w:sz="6" w:space="0"/>
              <w:left w:val="outset" w:color="AAAAAA" w:sz="6" w:space="0"/>
              <w:bottom w:val="outset" w:color="AAAAAA" w:sz="6" w:space="0"/>
              <w:right w:val="outset" w:color="AAAAAA" w:sz="6" w:space="0"/>
            </w:tcBorders>
            <w:shd w:val="clear" w:color="auto" w:fill="auto"/>
            <w:vAlign w:val="center"/>
          </w:tcPr>
          <w:p w14:paraId="29D4D52C">
            <w:pPr>
              <w:spacing w:line="360" w:lineRule="exact"/>
              <w:jc w:val="center"/>
              <w:rPr>
                <w:rFonts w:ascii="宋体" w:hAnsi="宋体" w:cs="宋体"/>
                <w:szCs w:val="21"/>
              </w:rPr>
            </w:pPr>
            <w:r>
              <w:rPr>
                <w:rFonts w:hint="eastAsia" w:ascii="宋体" w:hAnsi="宋体" w:cs="宋体"/>
                <w:szCs w:val="21"/>
              </w:rPr>
              <w:t>详见招标文件</w:t>
            </w:r>
          </w:p>
        </w:tc>
        <w:tc>
          <w:tcPr>
            <w:tcW w:w="850" w:type="dxa"/>
            <w:tcBorders>
              <w:top w:val="outset" w:color="AAAAAA" w:sz="6" w:space="0"/>
              <w:left w:val="outset" w:color="AAAAAA" w:sz="6" w:space="0"/>
              <w:bottom w:val="outset" w:color="AAAAAA" w:sz="6" w:space="0"/>
              <w:right w:val="outset" w:color="AAAAAA" w:sz="6" w:space="0"/>
            </w:tcBorders>
            <w:shd w:val="clear" w:color="auto" w:fill="auto"/>
            <w:vAlign w:val="center"/>
          </w:tcPr>
          <w:p w14:paraId="272B202E">
            <w:pPr>
              <w:widowControl/>
              <w:spacing w:line="360" w:lineRule="exact"/>
              <w:jc w:val="center"/>
              <w:rPr>
                <w:rFonts w:ascii="宋体" w:hAnsi="宋体" w:cs="宋体"/>
                <w:szCs w:val="21"/>
              </w:rPr>
            </w:pPr>
            <w:r>
              <w:rPr>
                <w:rFonts w:hint="eastAsia" w:ascii="宋体" w:hAnsi="宋体" w:cs="宋体"/>
                <w:szCs w:val="21"/>
              </w:rPr>
              <w:t>无</w:t>
            </w:r>
          </w:p>
        </w:tc>
      </w:tr>
    </w:tbl>
    <w:p w14:paraId="0834E379">
      <w:pPr>
        <w:pStyle w:val="37"/>
        <w:spacing w:before="0" w:beforeAutospacing="0" w:after="0" w:afterAutospacing="0" w:line="360" w:lineRule="exact"/>
        <w:ind w:firstLine="424" w:firstLineChars="202"/>
        <w:rPr>
          <w:sz w:val="21"/>
          <w:szCs w:val="21"/>
        </w:rPr>
      </w:pPr>
      <w:r>
        <w:rPr>
          <w:rFonts w:hint="eastAsia"/>
          <w:sz w:val="21"/>
          <w:szCs w:val="21"/>
        </w:rPr>
        <w:t>6.合同履行期限：详见招标文件。</w:t>
      </w:r>
    </w:p>
    <w:p w14:paraId="79D1B0E9">
      <w:pPr>
        <w:pStyle w:val="37"/>
        <w:spacing w:before="0" w:beforeAutospacing="0" w:after="0" w:afterAutospacing="0" w:line="360" w:lineRule="exact"/>
        <w:ind w:firstLine="424" w:firstLineChars="202"/>
        <w:rPr>
          <w:sz w:val="21"/>
          <w:szCs w:val="21"/>
        </w:rPr>
      </w:pPr>
      <w:r>
        <w:rPr>
          <w:rFonts w:hint="eastAsia"/>
          <w:sz w:val="21"/>
          <w:szCs w:val="21"/>
        </w:rPr>
        <w:t>7.本项目不接受联合体投标。</w:t>
      </w:r>
    </w:p>
    <w:p w14:paraId="61A2C711">
      <w:pPr>
        <w:pStyle w:val="37"/>
        <w:spacing w:before="0" w:beforeAutospacing="0" w:after="0" w:afterAutospacing="0" w:line="360" w:lineRule="exact"/>
        <w:rPr>
          <w:sz w:val="21"/>
          <w:szCs w:val="21"/>
        </w:rPr>
      </w:pPr>
    </w:p>
    <w:p w14:paraId="4EDF9959">
      <w:pPr>
        <w:pStyle w:val="37"/>
        <w:spacing w:before="0" w:beforeAutospacing="0" w:after="0" w:afterAutospacing="0" w:line="360" w:lineRule="exact"/>
        <w:rPr>
          <w:sz w:val="21"/>
          <w:szCs w:val="21"/>
        </w:rPr>
      </w:pPr>
      <w:r>
        <w:rPr>
          <w:rFonts w:hint="eastAsia"/>
          <w:sz w:val="21"/>
          <w:szCs w:val="21"/>
        </w:rPr>
        <w:t>二、申请人的资格要求：</w:t>
      </w:r>
    </w:p>
    <w:p w14:paraId="5859DA1A">
      <w:pPr>
        <w:pStyle w:val="37"/>
        <w:spacing w:before="0" w:beforeAutospacing="0" w:after="0" w:afterAutospacing="0" w:line="360" w:lineRule="exact"/>
        <w:ind w:firstLine="424" w:firstLineChars="202"/>
        <w:rPr>
          <w:sz w:val="21"/>
          <w:szCs w:val="21"/>
        </w:rPr>
      </w:pPr>
      <w:r>
        <w:rPr>
          <w:rFonts w:hint="eastAsia"/>
          <w:sz w:val="21"/>
          <w:szCs w:val="21"/>
        </w:rPr>
        <w:t>1.满足《中华人民共和国政府采购法》第二十二条规定</w:t>
      </w:r>
      <w:r>
        <w:rPr>
          <w:rFonts w:hint="eastAsia"/>
          <w:snapToGrid w:val="0"/>
          <w:sz w:val="21"/>
          <w:szCs w:val="21"/>
        </w:rPr>
        <w:t>（须提供具有独立承担民事责任能力的法人或其他组织或个体工商户的营业执照或法人证书等证明材料扫描件以及《</w:t>
      </w:r>
      <w:r>
        <w:rPr>
          <w:rFonts w:hint="eastAsia"/>
          <w:sz w:val="21"/>
          <w:szCs w:val="21"/>
        </w:rPr>
        <w:t>政府采购投标及履约承诺函</w:t>
      </w:r>
      <w:r>
        <w:rPr>
          <w:rFonts w:hint="eastAsia"/>
          <w:snapToGrid w:val="0"/>
          <w:sz w:val="21"/>
          <w:szCs w:val="21"/>
        </w:rPr>
        <w:t>》）。如果是分支机构参与投标，还须同时提供其具有独立法人资格的上级主体出具的有效授权书及上级主体的营业执照或法人证书等证明材料扫描件；本项目不接受总公司与分支机构同时参与投标，也不接受同一总公司有两个或以上分支机构参与投标，如出现以上情形，该两家或以上投标人均按无效投标处理</w:t>
      </w:r>
      <w:r>
        <w:rPr>
          <w:rFonts w:hint="eastAsia"/>
          <w:sz w:val="21"/>
          <w:szCs w:val="21"/>
        </w:rPr>
        <w:t xml:space="preserve">。 </w:t>
      </w:r>
    </w:p>
    <w:p w14:paraId="2E7CFA24">
      <w:pPr>
        <w:pStyle w:val="37"/>
        <w:spacing w:before="0" w:beforeAutospacing="0" w:after="0" w:afterAutospacing="0" w:line="360" w:lineRule="exact"/>
        <w:ind w:firstLine="424" w:firstLineChars="202"/>
        <w:rPr>
          <w:rFonts w:hint="eastAsia"/>
          <w:sz w:val="21"/>
          <w:szCs w:val="21"/>
        </w:rPr>
      </w:pPr>
      <w:r>
        <w:rPr>
          <w:rFonts w:hint="eastAsia"/>
          <w:sz w:val="21"/>
          <w:szCs w:val="21"/>
        </w:rPr>
        <w:t>2.落实政府采购政策需满足的资格要求：</w:t>
      </w:r>
    </w:p>
    <w:p w14:paraId="6ACDA139">
      <w:pPr>
        <w:pStyle w:val="37"/>
        <w:spacing w:before="0" w:beforeAutospacing="0" w:after="0" w:afterAutospacing="0" w:line="360" w:lineRule="exact"/>
        <w:ind w:firstLine="424" w:firstLineChars="202"/>
        <w:rPr>
          <w:sz w:val="21"/>
          <w:szCs w:val="21"/>
        </w:rPr>
      </w:pPr>
      <w:r>
        <w:rPr>
          <w:rFonts w:hint="eastAsia"/>
          <w:color w:val="FF0000"/>
          <w:sz w:val="21"/>
          <w:szCs w:val="21"/>
        </w:rPr>
        <w:t>本项目属于专门面向中小微企业采购的项目（提供符合要求的《中小企业声明函》，且供应商属于中型企业、小型企业或微型企业；如供应商为残疾人福利性单位或监狱企业，视同小型、微型企业，提供《残疾人福利性单位声明函》或《监狱企业声明函》及监狱企业证明文件亦视为符合）。</w:t>
      </w:r>
      <w:r>
        <w:rPr>
          <w:rFonts w:hint="eastAsia"/>
          <w:sz w:val="21"/>
          <w:szCs w:val="21"/>
        </w:rPr>
        <w:t xml:space="preserve"> </w:t>
      </w:r>
    </w:p>
    <w:p w14:paraId="6D6B0885">
      <w:pPr>
        <w:pStyle w:val="37"/>
        <w:spacing w:before="0" w:beforeAutospacing="0" w:after="0" w:afterAutospacing="0" w:line="360" w:lineRule="exact"/>
        <w:ind w:firstLine="424" w:firstLineChars="202"/>
        <w:rPr>
          <w:sz w:val="21"/>
          <w:szCs w:val="21"/>
        </w:rPr>
      </w:pPr>
      <w:r>
        <w:rPr>
          <w:rFonts w:hint="eastAsia"/>
          <w:sz w:val="21"/>
          <w:szCs w:val="21"/>
        </w:rPr>
        <w:t>3.本项目的特定资格要求：</w:t>
      </w:r>
    </w:p>
    <w:p w14:paraId="0F9157F6">
      <w:pPr>
        <w:pStyle w:val="216"/>
        <w:adjustRightInd w:val="0"/>
        <w:snapToGrid w:val="0"/>
        <w:spacing w:before="0" w:beforeAutospacing="0" w:after="0" w:afterAutospacing="0" w:line="360" w:lineRule="exact"/>
        <w:ind w:firstLine="424" w:firstLineChars="202"/>
        <w:rPr>
          <w:rFonts w:ascii="宋体" w:hAnsi="宋体" w:eastAsia="宋体" w:cs="宋体"/>
          <w:snapToGrid w:val="0"/>
          <w:color w:val="auto"/>
          <w:sz w:val="21"/>
          <w:szCs w:val="21"/>
        </w:rPr>
      </w:pPr>
      <w:r>
        <w:rPr>
          <w:rFonts w:hint="eastAsia" w:ascii="宋体" w:hAnsi="宋体" w:eastAsia="宋体" w:cs="宋体"/>
          <w:snapToGrid w:val="0"/>
          <w:color w:val="auto"/>
          <w:sz w:val="21"/>
          <w:szCs w:val="21"/>
        </w:rPr>
        <w:t>（1）参与本项目采购活动前三年内，在经营活动中没有重大违法记录（须按本项目投标文件格式要求提供《政府采购投标及履约承诺函》）；</w:t>
      </w:r>
    </w:p>
    <w:p w14:paraId="29DB318D">
      <w:pPr>
        <w:pStyle w:val="216"/>
        <w:adjustRightInd w:val="0"/>
        <w:snapToGrid w:val="0"/>
        <w:spacing w:before="0" w:beforeAutospacing="0" w:after="0" w:afterAutospacing="0" w:line="360" w:lineRule="exact"/>
        <w:ind w:firstLine="424" w:firstLineChars="202"/>
        <w:rPr>
          <w:rFonts w:ascii="宋体" w:hAnsi="宋体" w:eastAsia="宋体" w:cs="宋体"/>
          <w:snapToGrid w:val="0"/>
          <w:color w:val="auto"/>
          <w:sz w:val="21"/>
          <w:szCs w:val="21"/>
        </w:rPr>
      </w:pPr>
      <w:r>
        <w:rPr>
          <w:rFonts w:hint="eastAsia" w:ascii="宋体" w:hAnsi="宋体" w:eastAsia="宋体" w:cs="宋体"/>
          <w:snapToGrid w:val="0"/>
          <w:color w:val="auto"/>
          <w:sz w:val="21"/>
          <w:szCs w:val="21"/>
        </w:rPr>
        <w:t>（2）参与本项目政府采购活动时不存在被有关部门禁止参与政府采购活动且在有效期内的情况（须按本项目投标文件格式要求提供《政府采购投标及履约承诺函》）；</w:t>
      </w:r>
    </w:p>
    <w:p w14:paraId="509CB4D4">
      <w:pPr>
        <w:pStyle w:val="216"/>
        <w:adjustRightInd w:val="0"/>
        <w:snapToGrid w:val="0"/>
        <w:spacing w:before="0" w:beforeAutospacing="0" w:after="0" w:afterAutospacing="0" w:line="360" w:lineRule="exact"/>
        <w:ind w:firstLine="424" w:firstLineChars="202"/>
        <w:rPr>
          <w:rFonts w:ascii="宋体" w:hAnsi="宋体" w:eastAsia="宋体" w:cs="宋体"/>
          <w:snapToGrid w:val="0"/>
          <w:color w:val="auto"/>
          <w:sz w:val="21"/>
          <w:szCs w:val="21"/>
        </w:rPr>
      </w:pPr>
      <w:r>
        <w:rPr>
          <w:rFonts w:hint="eastAsia" w:ascii="宋体" w:hAnsi="宋体" w:eastAsia="宋体" w:cs="宋体"/>
          <w:snapToGrid w:val="0"/>
          <w:color w:val="auto"/>
          <w:sz w:val="21"/>
          <w:szCs w:val="21"/>
        </w:rPr>
        <w:t>（3）单位负责人为同一人或者存在直接控股、管理关系的不同供应商，不得参加同一合同项下的政府采购活动（须按本项目投标文件格式要求提供《政府采购投标及履约承诺函》）；</w:t>
      </w:r>
    </w:p>
    <w:p w14:paraId="111836D1">
      <w:pPr>
        <w:pStyle w:val="216"/>
        <w:adjustRightInd w:val="0"/>
        <w:snapToGrid w:val="0"/>
        <w:spacing w:before="0" w:beforeAutospacing="0" w:after="0" w:afterAutospacing="0" w:line="360" w:lineRule="exact"/>
        <w:ind w:firstLine="424" w:firstLineChars="202"/>
        <w:rPr>
          <w:rFonts w:ascii="宋体" w:hAnsi="宋体" w:eastAsia="宋体" w:cs="宋体"/>
          <w:snapToGrid w:val="0"/>
          <w:color w:val="auto"/>
          <w:sz w:val="21"/>
          <w:szCs w:val="21"/>
        </w:rPr>
      </w:pPr>
      <w:r>
        <w:rPr>
          <w:rFonts w:hint="eastAsia" w:ascii="宋体" w:hAnsi="宋体" w:eastAsia="宋体" w:cs="宋体"/>
          <w:snapToGrid w:val="0"/>
          <w:color w:val="auto"/>
          <w:sz w:val="21"/>
          <w:szCs w:val="21"/>
        </w:rPr>
        <w:t>（4）除单一来源采购项目外，为采购项目提供整体设计、规范编制或者项目管理、监理、检测等服务的供应商，不得再参加该采购项目的其他采购活动（须按本项目投标文件格式要求提供《政府采购投标及履约承诺函》）；</w:t>
      </w:r>
    </w:p>
    <w:p w14:paraId="07E55A97">
      <w:pPr>
        <w:pStyle w:val="216"/>
        <w:keepNext w:val="0"/>
        <w:keepLines w:val="0"/>
        <w:pageBreakBefore w:val="0"/>
        <w:kinsoku/>
        <w:wordWrap/>
        <w:overflowPunct/>
        <w:topLinePunct w:val="0"/>
        <w:autoSpaceDE/>
        <w:autoSpaceDN/>
        <w:bidi w:val="0"/>
        <w:adjustRightInd w:val="0"/>
        <w:snapToGrid w:val="0"/>
        <w:spacing w:before="0" w:beforeAutospacing="0" w:after="0" w:afterAutospacing="0" w:line="360" w:lineRule="exact"/>
        <w:ind w:firstLine="424" w:firstLineChars="202"/>
        <w:textAlignment w:val="auto"/>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lang w:val="en-US" w:eastAsia="zh-CN"/>
        </w:rPr>
        <w:t>5</w:t>
      </w:r>
      <w:r>
        <w:rPr>
          <w:rFonts w:hint="eastAsia" w:ascii="宋体" w:hAnsi="宋体" w:eastAsia="宋体" w:cs="宋体"/>
          <w:snapToGrid w:val="0"/>
          <w:color w:val="auto"/>
          <w:sz w:val="21"/>
          <w:szCs w:val="21"/>
        </w:rPr>
        <w:t>）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w:t>
      </w:r>
      <w:r>
        <w:rPr>
          <w:rFonts w:hint="eastAsia" w:asciiTheme="minorEastAsia" w:hAnsiTheme="minorEastAsia" w:eastAsiaTheme="minorEastAsia"/>
          <w:snapToGrid w:val="0"/>
          <w:color w:val="auto"/>
          <w:sz w:val="21"/>
          <w:lang w:eastAsia="zh-CN"/>
        </w:rPr>
        <w:t>；</w:t>
      </w:r>
    </w:p>
    <w:p w14:paraId="2410A02A">
      <w:pPr>
        <w:pStyle w:val="216"/>
        <w:keepNext w:val="0"/>
        <w:keepLines w:val="0"/>
        <w:pageBreakBefore w:val="0"/>
        <w:kinsoku/>
        <w:wordWrap/>
        <w:overflowPunct/>
        <w:topLinePunct w:val="0"/>
        <w:autoSpaceDE/>
        <w:autoSpaceDN/>
        <w:bidi w:val="0"/>
        <w:adjustRightInd w:val="0"/>
        <w:snapToGrid w:val="0"/>
        <w:spacing w:before="0" w:beforeAutospacing="0" w:after="0" w:afterAutospacing="0" w:line="360" w:lineRule="exact"/>
        <w:ind w:firstLine="424" w:firstLineChars="202"/>
        <w:textAlignment w:val="auto"/>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lang w:val="en-US" w:eastAsia="zh-CN"/>
        </w:rPr>
        <w:t>6</w:t>
      </w:r>
      <w:r>
        <w:rPr>
          <w:rFonts w:hint="eastAsia" w:ascii="宋体" w:hAnsi="宋体" w:eastAsia="宋体" w:cs="宋体"/>
          <w:snapToGrid w:val="0"/>
          <w:color w:val="auto"/>
          <w:sz w:val="21"/>
          <w:szCs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w:t>
      </w:r>
      <w:r>
        <w:rPr>
          <w:rFonts w:hint="eastAsia" w:ascii="宋体" w:hAnsi="宋体" w:eastAsia="宋体" w:cs="宋体"/>
          <w:snapToGrid w:val="0"/>
          <w:color w:val="auto"/>
          <w:sz w:val="21"/>
          <w:szCs w:val="21"/>
          <w:lang w:eastAsia="zh-CN"/>
        </w:rPr>
        <w:t>，《供应商基本情况表》相关信息为不公开内容</w:t>
      </w: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lang w:eastAsia="zh-CN"/>
        </w:rPr>
        <w:t>；</w:t>
      </w:r>
    </w:p>
    <w:p w14:paraId="7A71B6CD">
      <w:pPr>
        <w:pStyle w:val="216"/>
        <w:adjustRightInd w:val="0"/>
        <w:snapToGrid w:val="0"/>
        <w:spacing w:before="0" w:beforeAutospacing="0" w:after="0" w:afterAutospacing="0" w:line="360" w:lineRule="exact"/>
        <w:ind w:firstLine="424" w:firstLineChars="202"/>
        <w:rPr>
          <w:rFonts w:ascii="宋体" w:hAnsi="宋体" w:eastAsia="宋体" w:cs="宋体"/>
          <w:snapToGrid w:val="0"/>
          <w:color w:val="auto"/>
          <w:sz w:val="21"/>
          <w:szCs w:val="21"/>
        </w:rPr>
      </w:pP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lang w:val="en-US" w:eastAsia="zh-CN"/>
        </w:rPr>
        <w:t>7</w:t>
      </w:r>
      <w:r>
        <w:rPr>
          <w:rFonts w:hint="eastAsia" w:ascii="宋体" w:hAnsi="宋体" w:eastAsia="宋体" w:cs="宋体"/>
          <w:snapToGrid w:val="0"/>
          <w:color w:val="auto"/>
          <w:sz w:val="21"/>
          <w:szCs w:val="21"/>
        </w:rPr>
        <w:t>）未被列入失信被执行人、重大税收违法案件当事人名单及政府采购严重违法失信行为记录名单（信用中国网</w:t>
      </w:r>
      <w:r>
        <w:rPr>
          <w:rFonts w:hint="eastAsia" w:ascii="宋体" w:hAnsi="宋体" w:eastAsia="宋体" w:cs="宋体"/>
          <w:snapToGrid w:val="0"/>
          <w:color w:val="auto"/>
          <w:sz w:val="21"/>
          <w:szCs w:val="21"/>
          <w:lang w:eastAsia="zh-CN"/>
        </w:rPr>
        <w:t>“信息公示”</w:t>
      </w:r>
      <w:r>
        <w:rPr>
          <w:rFonts w:hint="eastAsia" w:ascii="宋体" w:hAnsi="宋体" w:eastAsia="宋体" w:cs="宋体"/>
          <w:snapToGrid w:val="0"/>
          <w:color w:val="auto"/>
          <w:sz w:val="21"/>
          <w:szCs w:val="21"/>
        </w:rPr>
        <w:t>栏的“重大税收违法失信主体”、“失信被执行人”，中国政府采购网“政府采购严重违法失信行为记录名单”，深圳信用网以及深圳市政府采购监管网为供应商信用信息查询渠道，相关信息以开标当日的查询结果为准。由采购代理机构查询，供应商无需提供证明材料）；</w:t>
      </w:r>
    </w:p>
    <w:p w14:paraId="6C69F5D4">
      <w:pPr>
        <w:pStyle w:val="216"/>
        <w:adjustRightInd w:val="0"/>
        <w:snapToGrid w:val="0"/>
        <w:spacing w:before="0" w:beforeAutospacing="0" w:after="0" w:afterAutospacing="0" w:line="360" w:lineRule="exact"/>
        <w:ind w:firstLine="424" w:firstLineChars="202"/>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lang w:val="en-US" w:eastAsia="zh-CN"/>
        </w:rPr>
        <w:t>8</w:t>
      </w:r>
      <w:r>
        <w:rPr>
          <w:rFonts w:hint="eastAsia" w:ascii="宋体" w:hAnsi="宋体" w:eastAsia="宋体" w:cs="宋体"/>
          <w:snapToGrid w:val="0"/>
          <w:color w:val="auto"/>
          <w:sz w:val="21"/>
          <w:szCs w:val="21"/>
        </w:rPr>
        <w:t>）本项目不接受联合体投标，不允许非法分包或转包</w:t>
      </w:r>
      <w:r>
        <w:rPr>
          <w:rFonts w:hint="eastAsia" w:ascii="宋体" w:hAnsi="宋体" w:eastAsia="宋体" w:cs="宋体"/>
          <w:snapToGrid w:val="0"/>
          <w:color w:val="auto"/>
          <w:sz w:val="21"/>
          <w:szCs w:val="21"/>
          <w:lang w:eastAsia="zh-CN"/>
        </w:rPr>
        <w:t>；</w:t>
      </w:r>
    </w:p>
    <w:p w14:paraId="780560F7">
      <w:pPr>
        <w:pStyle w:val="216"/>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lang w:eastAsia="zh"/>
          <w:woUserID w:val="2"/>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9</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持有</w:t>
      </w:r>
      <w:r>
        <w:rPr>
          <w:rFonts w:hint="eastAsia" w:asciiTheme="minorEastAsia" w:hAnsiTheme="minorEastAsia" w:eastAsiaTheme="minorEastAsia"/>
          <w:snapToGrid w:val="0"/>
          <w:color w:val="auto"/>
          <w:sz w:val="21"/>
          <w:lang w:eastAsia="zh"/>
          <w:woUserID w:val="2"/>
        </w:rPr>
        <w:t>有效期内的公安部第三研究所颁发的《网络安全服务认证证书等级保护测评服务认证》证书，如国家另有规定的，则适用其规定，投标人须提供相关证明材料，如有效的资质证书及相关政府部门的规定。</w:t>
      </w:r>
    </w:p>
    <w:p w14:paraId="2FA64187">
      <w:pPr>
        <w:pStyle w:val="37"/>
        <w:spacing w:before="0" w:beforeAutospacing="0" w:after="0" w:afterAutospacing="0" w:line="360" w:lineRule="exact"/>
        <w:rPr>
          <w:sz w:val="21"/>
          <w:szCs w:val="21"/>
        </w:rPr>
      </w:pPr>
      <w:r>
        <w:rPr>
          <w:rFonts w:hint="eastAsia"/>
          <w:sz w:val="21"/>
          <w:szCs w:val="21"/>
        </w:rPr>
        <w:t>三、获取招标文件</w:t>
      </w:r>
    </w:p>
    <w:p w14:paraId="6054DDB9">
      <w:pPr>
        <w:pStyle w:val="37"/>
        <w:spacing w:before="0" w:beforeAutospacing="0" w:after="0" w:afterAutospacing="0" w:line="360" w:lineRule="exact"/>
        <w:ind w:firstLine="420" w:firstLineChars="200"/>
        <w:rPr>
          <w:sz w:val="21"/>
          <w:szCs w:val="21"/>
        </w:rPr>
      </w:pPr>
      <w:r>
        <w:rPr>
          <w:rFonts w:hint="eastAsia"/>
          <w:sz w:val="21"/>
          <w:szCs w:val="21"/>
        </w:rPr>
        <w:t>时间：</w:t>
      </w:r>
      <w:r>
        <w:rPr>
          <w:rFonts w:hint="eastAsia"/>
          <w:b/>
          <w:sz w:val="21"/>
          <w:szCs w:val="21"/>
          <w:u w:val="single"/>
        </w:rPr>
        <w:t>自本公告发布之日起至</w:t>
      </w:r>
      <w:r>
        <w:rPr>
          <w:rFonts w:hint="eastAsia"/>
          <w:b/>
          <w:sz w:val="21"/>
          <w:szCs w:val="21"/>
          <w:u w:val="single"/>
          <w:lang w:eastAsia="zh-CN"/>
        </w:rPr>
        <w:t>2025</w:t>
      </w:r>
      <w:r>
        <w:rPr>
          <w:rFonts w:hint="eastAsia"/>
          <w:b/>
          <w:sz w:val="21"/>
          <w:szCs w:val="21"/>
          <w:u w:val="single"/>
        </w:rPr>
        <w:t>年</w:t>
      </w:r>
      <w:r>
        <w:rPr>
          <w:rFonts w:hint="eastAsia"/>
          <w:b/>
          <w:sz w:val="21"/>
          <w:szCs w:val="21"/>
          <w:u w:val="single"/>
          <w:lang w:val="en-US" w:eastAsia="zh-CN"/>
        </w:rPr>
        <w:t>7</w:t>
      </w:r>
      <w:r>
        <w:rPr>
          <w:rFonts w:hint="eastAsia"/>
          <w:b/>
          <w:sz w:val="21"/>
          <w:szCs w:val="21"/>
          <w:u w:val="single"/>
        </w:rPr>
        <w:t>月</w:t>
      </w:r>
      <w:r>
        <w:rPr>
          <w:rFonts w:hint="eastAsia"/>
          <w:b/>
          <w:sz w:val="21"/>
          <w:szCs w:val="21"/>
          <w:u w:val="single"/>
          <w:lang w:val="en-US" w:eastAsia="zh-CN"/>
        </w:rPr>
        <w:t>18</w:t>
      </w:r>
      <w:r>
        <w:rPr>
          <w:rFonts w:hint="eastAsia"/>
          <w:b/>
          <w:sz w:val="21"/>
          <w:szCs w:val="21"/>
          <w:u w:val="single"/>
        </w:rPr>
        <w:t>日</w:t>
      </w:r>
      <w:r>
        <w:rPr>
          <w:rFonts w:hint="eastAsia"/>
          <w:b/>
          <w:sz w:val="21"/>
          <w:szCs w:val="21"/>
          <w:u w:val="single"/>
          <w:lang w:val="en-US" w:eastAsia="zh-CN"/>
        </w:rPr>
        <w:t>9</w:t>
      </w:r>
      <w:r>
        <w:rPr>
          <w:rFonts w:hint="eastAsia"/>
          <w:b/>
          <w:sz w:val="21"/>
          <w:szCs w:val="21"/>
          <w:u w:val="single"/>
        </w:rPr>
        <w:t>:</w:t>
      </w:r>
      <w:r>
        <w:rPr>
          <w:rFonts w:hint="eastAsia"/>
          <w:b/>
          <w:sz w:val="21"/>
          <w:szCs w:val="21"/>
          <w:u w:val="single"/>
          <w:lang w:val="en-US" w:eastAsia="zh-CN"/>
        </w:rPr>
        <w:t>3</w:t>
      </w:r>
      <w:r>
        <w:rPr>
          <w:rFonts w:hint="eastAsia"/>
          <w:b/>
          <w:sz w:val="21"/>
          <w:szCs w:val="21"/>
          <w:u w:val="single"/>
        </w:rPr>
        <w:t>0，每天上午0:00至12:00，下午12:00至24:00（北京时间）</w:t>
      </w:r>
      <w:r>
        <w:rPr>
          <w:rFonts w:hint="eastAsia"/>
          <w:sz w:val="21"/>
          <w:szCs w:val="21"/>
        </w:rPr>
        <w:t xml:space="preserve">。 </w:t>
      </w:r>
    </w:p>
    <w:p w14:paraId="2B058CC0">
      <w:pPr>
        <w:pStyle w:val="37"/>
        <w:spacing w:before="0" w:beforeAutospacing="0" w:after="0" w:afterAutospacing="0" w:line="360" w:lineRule="exact"/>
        <w:ind w:firstLine="420" w:firstLineChars="200"/>
        <w:rPr>
          <w:sz w:val="21"/>
          <w:szCs w:val="21"/>
        </w:rPr>
      </w:pPr>
      <w:r>
        <w:rPr>
          <w:rFonts w:hint="eastAsia"/>
          <w:sz w:val="21"/>
          <w:szCs w:val="21"/>
        </w:rPr>
        <w:t>地点：登录深圳市自行采购系统（</w:t>
      </w:r>
      <w:r>
        <w:rPr>
          <w:sz w:val="21"/>
          <w:szCs w:val="21"/>
        </w:rPr>
        <w:t>https://trade.szggzy.com/ggzy/center/#/login</w:t>
      </w:r>
      <w:r>
        <w:rPr>
          <w:rFonts w:hint="eastAsia"/>
          <w:sz w:val="21"/>
          <w:szCs w:val="21"/>
        </w:rPr>
        <w:t xml:space="preserve">）下载本项目的招标文件。 </w:t>
      </w:r>
    </w:p>
    <w:p w14:paraId="4F79F664">
      <w:pPr>
        <w:pStyle w:val="37"/>
        <w:spacing w:before="0" w:beforeAutospacing="0" w:after="0" w:afterAutospacing="0" w:line="360" w:lineRule="exact"/>
        <w:ind w:firstLine="420" w:firstLineChars="200"/>
        <w:rPr>
          <w:sz w:val="21"/>
          <w:szCs w:val="21"/>
        </w:rPr>
      </w:pPr>
      <w:r>
        <w:rPr>
          <w:rFonts w:hint="eastAsia"/>
          <w:sz w:val="21"/>
          <w:szCs w:val="21"/>
        </w:rPr>
        <w:t xml:space="preserve">方式：在线下载。 </w:t>
      </w:r>
    </w:p>
    <w:p w14:paraId="3AF0D534">
      <w:pPr>
        <w:pStyle w:val="37"/>
        <w:spacing w:before="0" w:beforeAutospacing="0" w:after="0" w:afterAutospacing="0" w:line="360" w:lineRule="exact"/>
        <w:ind w:firstLine="420" w:firstLineChars="200"/>
        <w:rPr>
          <w:sz w:val="21"/>
          <w:szCs w:val="21"/>
        </w:rPr>
      </w:pPr>
      <w:r>
        <w:rPr>
          <w:rFonts w:hint="eastAsia"/>
          <w:sz w:val="21"/>
          <w:szCs w:val="21"/>
        </w:rPr>
        <w:t>售价：免费。</w:t>
      </w:r>
    </w:p>
    <w:p w14:paraId="2C438C9C">
      <w:pPr>
        <w:pStyle w:val="37"/>
        <w:spacing w:before="0" w:beforeAutospacing="0" w:after="0" w:afterAutospacing="0" w:line="360" w:lineRule="exact"/>
        <w:ind w:firstLine="420" w:firstLineChars="200"/>
        <w:rPr>
          <w:sz w:val="21"/>
          <w:szCs w:val="21"/>
        </w:rPr>
      </w:pPr>
    </w:p>
    <w:p w14:paraId="464CF5F8">
      <w:pPr>
        <w:pStyle w:val="37"/>
        <w:spacing w:before="0" w:beforeAutospacing="0" w:after="0" w:afterAutospacing="0" w:line="360" w:lineRule="exact"/>
        <w:rPr>
          <w:sz w:val="21"/>
          <w:szCs w:val="21"/>
        </w:rPr>
      </w:pPr>
      <w:r>
        <w:rPr>
          <w:rFonts w:hint="eastAsia"/>
          <w:sz w:val="21"/>
          <w:szCs w:val="21"/>
        </w:rPr>
        <w:t>四、提交投标文件截止时间、开标时间和地点</w:t>
      </w:r>
    </w:p>
    <w:p w14:paraId="31AD14C5">
      <w:pPr>
        <w:pStyle w:val="37"/>
        <w:spacing w:before="0" w:beforeAutospacing="0" w:after="0" w:afterAutospacing="0" w:line="360" w:lineRule="exact"/>
        <w:ind w:firstLine="424" w:firstLineChars="202"/>
        <w:rPr>
          <w:sz w:val="21"/>
          <w:szCs w:val="21"/>
        </w:rPr>
      </w:pPr>
      <w:r>
        <w:rPr>
          <w:rFonts w:hint="eastAsia"/>
          <w:sz w:val="21"/>
          <w:szCs w:val="21"/>
        </w:rPr>
        <w:t>1.投标截止时间：所有投标文件应于</w:t>
      </w:r>
      <w:r>
        <w:rPr>
          <w:rFonts w:hint="eastAsia"/>
          <w:b/>
          <w:sz w:val="21"/>
          <w:szCs w:val="21"/>
          <w:u w:val="single"/>
          <w:lang w:eastAsia="zh-CN"/>
        </w:rPr>
        <w:t>2025</w:t>
      </w:r>
      <w:r>
        <w:rPr>
          <w:rFonts w:hint="eastAsia"/>
          <w:b/>
          <w:sz w:val="21"/>
          <w:szCs w:val="21"/>
          <w:u w:val="single"/>
        </w:rPr>
        <w:t>年</w:t>
      </w:r>
      <w:r>
        <w:rPr>
          <w:rFonts w:hint="eastAsia"/>
          <w:b/>
          <w:sz w:val="21"/>
          <w:szCs w:val="21"/>
          <w:u w:val="single"/>
          <w:lang w:val="en-US" w:eastAsia="zh-CN"/>
        </w:rPr>
        <w:t>7</w:t>
      </w:r>
      <w:r>
        <w:rPr>
          <w:rFonts w:hint="eastAsia"/>
          <w:b/>
          <w:sz w:val="21"/>
          <w:szCs w:val="21"/>
          <w:u w:val="single"/>
        </w:rPr>
        <w:t>月</w:t>
      </w:r>
      <w:r>
        <w:rPr>
          <w:rFonts w:hint="eastAsia"/>
          <w:b/>
          <w:sz w:val="21"/>
          <w:szCs w:val="21"/>
          <w:u w:val="single"/>
          <w:lang w:val="en-US" w:eastAsia="zh-CN"/>
        </w:rPr>
        <w:t>18</w:t>
      </w:r>
      <w:r>
        <w:rPr>
          <w:rFonts w:hint="eastAsia"/>
          <w:b/>
          <w:sz w:val="21"/>
          <w:szCs w:val="21"/>
          <w:u w:val="single"/>
        </w:rPr>
        <w:t>日</w:t>
      </w:r>
      <w:r>
        <w:rPr>
          <w:rFonts w:hint="eastAsia"/>
          <w:b/>
          <w:sz w:val="21"/>
          <w:szCs w:val="21"/>
          <w:u w:val="single"/>
          <w:lang w:val="en-US" w:eastAsia="zh-CN"/>
        </w:rPr>
        <w:t>9</w:t>
      </w:r>
      <w:r>
        <w:rPr>
          <w:rFonts w:hint="eastAsia"/>
          <w:b/>
          <w:sz w:val="21"/>
          <w:szCs w:val="21"/>
          <w:u w:val="single"/>
        </w:rPr>
        <w:t>:</w:t>
      </w:r>
      <w:r>
        <w:rPr>
          <w:rFonts w:hint="eastAsia"/>
          <w:b/>
          <w:sz w:val="21"/>
          <w:szCs w:val="21"/>
          <w:u w:val="single"/>
          <w:lang w:val="en-US" w:eastAsia="zh-CN"/>
        </w:rPr>
        <w:t>3</w:t>
      </w:r>
      <w:r>
        <w:rPr>
          <w:rFonts w:hint="eastAsia"/>
          <w:b/>
          <w:sz w:val="21"/>
          <w:szCs w:val="21"/>
          <w:u w:val="single"/>
        </w:rPr>
        <w:t>0（北京时间）</w:t>
      </w:r>
      <w:r>
        <w:rPr>
          <w:rFonts w:hint="eastAsia"/>
          <w:sz w:val="21"/>
          <w:szCs w:val="21"/>
        </w:rPr>
        <w:t>之前上传到深圳市自行采购系统（</w:t>
      </w:r>
      <w:r>
        <w:rPr>
          <w:sz w:val="21"/>
          <w:szCs w:val="21"/>
        </w:rPr>
        <w:t>https://trade.szggzy.com/ggzy/center/#/login</w:t>
      </w:r>
      <w:r>
        <w:rPr>
          <w:rFonts w:hint="eastAsia"/>
          <w:sz w:val="21"/>
          <w:szCs w:val="21"/>
        </w:rPr>
        <w:t>）。</w:t>
      </w:r>
    </w:p>
    <w:p w14:paraId="5381B19A">
      <w:pPr>
        <w:pStyle w:val="37"/>
        <w:spacing w:before="0" w:beforeAutospacing="0" w:after="0" w:afterAutospacing="0" w:line="360" w:lineRule="exact"/>
        <w:ind w:firstLine="424" w:firstLineChars="202"/>
        <w:rPr>
          <w:sz w:val="21"/>
          <w:szCs w:val="21"/>
        </w:rPr>
      </w:pPr>
      <w:r>
        <w:rPr>
          <w:rFonts w:hint="eastAsia"/>
          <w:sz w:val="21"/>
          <w:szCs w:val="21"/>
        </w:rPr>
        <w:t>2.开标时间和地点：定于</w:t>
      </w:r>
      <w:r>
        <w:rPr>
          <w:rFonts w:hint="eastAsia"/>
          <w:b/>
          <w:sz w:val="21"/>
          <w:szCs w:val="21"/>
          <w:u w:val="single"/>
          <w:lang w:eastAsia="zh-CN"/>
        </w:rPr>
        <w:t>2025</w:t>
      </w:r>
      <w:r>
        <w:rPr>
          <w:rFonts w:hint="eastAsia"/>
          <w:b/>
          <w:sz w:val="21"/>
          <w:szCs w:val="21"/>
          <w:u w:val="single"/>
        </w:rPr>
        <w:t>年</w:t>
      </w:r>
      <w:r>
        <w:rPr>
          <w:rFonts w:hint="eastAsia"/>
          <w:b/>
          <w:sz w:val="21"/>
          <w:szCs w:val="21"/>
          <w:u w:val="single"/>
          <w:lang w:val="en-US" w:eastAsia="zh-CN"/>
        </w:rPr>
        <w:t>7</w:t>
      </w:r>
      <w:r>
        <w:rPr>
          <w:rFonts w:hint="eastAsia"/>
          <w:b/>
          <w:sz w:val="21"/>
          <w:szCs w:val="21"/>
          <w:u w:val="single"/>
        </w:rPr>
        <w:t>月</w:t>
      </w:r>
      <w:r>
        <w:rPr>
          <w:rFonts w:hint="eastAsia"/>
          <w:b/>
          <w:sz w:val="21"/>
          <w:szCs w:val="21"/>
          <w:u w:val="single"/>
          <w:lang w:val="en-US" w:eastAsia="zh-CN"/>
        </w:rPr>
        <w:t>18</w:t>
      </w:r>
      <w:r>
        <w:rPr>
          <w:rFonts w:hint="eastAsia"/>
          <w:b/>
          <w:sz w:val="21"/>
          <w:szCs w:val="21"/>
          <w:u w:val="single"/>
        </w:rPr>
        <w:t>日</w:t>
      </w:r>
      <w:r>
        <w:rPr>
          <w:rFonts w:hint="eastAsia"/>
          <w:b/>
          <w:sz w:val="21"/>
          <w:szCs w:val="21"/>
          <w:u w:val="single"/>
          <w:lang w:val="en-US" w:eastAsia="zh-CN"/>
        </w:rPr>
        <w:t>9</w:t>
      </w:r>
      <w:r>
        <w:rPr>
          <w:rFonts w:hint="eastAsia"/>
          <w:b/>
          <w:sz w:val="21"/>
          <w:szCs w:val="21"/>
          <w:u w:val="single"/>
        </w:rPr>
        <w:t>:</w:t>
      </w:r>
      <w:r>
        <w:rPr>
          <w:rFonts w:hint="eastAsia"/>
          <w:b/>
          <w:sz w:val="21"/>
          <w:szCs w:val="21"/>
          <w:u w:val="single"/>
          <w:lang w:val="en-US" w:eastAsia="zh-CN"/>
        </w:rPr>
        <w:t>3</w:t>
      </w:r>
      <w:r>
        <w:rPr>
          <w:rFonts w:hint="eastAsia"/>
          <w:b/>
          <w:sz w:val="21"/>
          <w:szCs w:val="21"/>
          <w:u w:val="single"/>
        </w:rPr>
        <w:t>0（北京时间）</w:t>
      </w:r>
      <w:r>
        <w:rPr>
          <w:rFonts w:hint="eastAsia"/>
          <w:sz w:val="21"/>
          <w:szCs w:val="21"/>
        </w:rPr>
        <w:t>，在深圳市中正招标有限公司公开开标。</w:t>
      </w:r>
    </w:p>
    <w:p w14:paraId="2709A2BB">
      <w:pPr>
        <w:pStyle w:val="37"/>
        <w:spacing w:before="0" w:beforeAutospacing="0" w:after="0" w:afterAutospacing="0" w:line="360" w:lineRule="exact"/>
        <w:ind w:firstLine="426" w:firstLineChars="202"/>
        <w:rPr>
          <w:b/>
          <w:sz w:val="21"/>
          <w:szCs w:val="21"/>
        </w:rPr>
      </w:pPr>
      <w:r>
        <w:rPr>
          <w:rFonts w:hint="eastAsia"/>
          <w:b/>
          <w:sz w:val="21"/>
          <w:szCs w:val="21"/>
        </w:rPr>
        <w:t>3.在线解密：加密的投标文件须在</w:t>
      </w:r>
      <w:r>
        <w:rPr>
          <w:rFonts w:hint="eastAsia"/>
          <w:b/>
          <w:sz w:val="21"/>
          <w:szCs w:val="21"/>
          <w:u w:val="single"/>
          <w:lang w:eastAsia="zh-CN"/>
        </w:rPr>
        <w:t>2025</w:t>
      </w:r>
      <w:r>
        <w:rPr>
          <w:rFonts w:hint="eastAsia"/>
          <w:b/>
          <w:sz w:val="21"/>
          <w:szCs w:val="21"/>
          <w:u w:val="single"/>
        </w:rPr>
        <w:t>年</w:t>
      </w:r>
      <w:r>
        <w:rPr>
          <w:rFonts w:hint="eastAsia"/>
          <w:b/>
          <w:sz w:val="21"/>
          <w:szCs w:val="21"/>
          <w:u w:val="single"/>
          <w:lang w:val="en-US" w:eastAsia="zh-CN"/>
        </w:rPr>
        <w:t>7</w:t>
      </w:r>
      <w:r>
        <w:rPr>
          <w:rFonts w:hint="eastAsia"/>
          <w:b/>
          <w:sz w:val="21"/>
          <w:szCs w:val="21"/>
          <w:u w:val="single"/>
        </w:rPr>
        <w:t>月</w:t>
      </w:r>
      <w:r>
        <w:rPr>
          <w:rFonts w:hint="eastAsia"/>
          <w:b/>
          <w:sz w:val="21"/>
          <w:szCs w:val="21"/>
          <w:u w:val="single"/>
          <w:lang w:val="en-US" w:eastAsia="zh-CN"/>
        </w:rPr>
        <w:t>18</w:t>
      </w:r>
      <w:r>
        <w:rPr>
          <w:rFonts w:hint="eastAsia"/>
          <w:b/>
          <w:sz w:val="21"/>
          <w:szCs w:val="21"/>
          <w:u w:val="single"/>
        </w:rPr>
        <w:t>日</w:t>
      </w:r>
      <w:r>
        <w:rPr>
          <w:rFonts w:hint="eastAsia"/>
          <w:b/>
          <w:sz w:val="21"/>
          <w:szCs w:val="21"/>
          <w:u w:val="single"/>
          <w:lang w:val="en-US" w:eastAsia="zh-CN"/>
        </w:rPr>
        <w:t>9</w:t>
      </w:r>
      <w:r>
        <w:rPr>
          <w:rFonts w:hint="eastAsia"/>
          <w:b/>
          <w:sz w:val="21"/>
          <w:szCs w:val="21"/>
          <w:u w:val="single"/>
        </w:rPr>
        <w:t>:</w:t>
      </w:r>
      <w:r>
        <w:rPr>
          <w:rFonts w:hint="eastAsia"/>
          <w:b/>
          <w:sz w:val="21"/>
          <w:szCs w:val="21"/>
          <w:u w:val="single"/>
          <w:lang w:val="en-US" w:eastAsia="zh-CN"/>
        </w:rPr>
        <w:t>3</w:t>
      </w:r>
      <w:r>
        <w:rPr>
          <w:rFonts w:hint="eastAsia"/>
          <w:b/>
          <w:sz w:val="21"/>
          <w:szCs w:val="21"/>
          <w:u w:val="single"/>
        </w:rPr>
        <w:t>0-1</w:t>
      </w:r>
      <w:r>
        <w:rPr>
          <w:rFonts w:hint="eastAsia"/>
          <w:b/>
          <w:sz w:val="21"/>
          <w:szCs w:val="21"/>
          <w:u w:val="single"/>
          <w:lang w:val="en-US" w:eastAsia="zh-CN"/>
        </w:rPr>
        <w:t>0</w:t>
      </w:r>
      <w:r>
        <w:rPr>
          <w:rFonts w:hint="eastAsia"/>
          <w:b/>
          <w:sz w:val="21"/>
          <w:szCs w:val="21"/>
          <w:u w:val="single"/>
        </w:rPr>
        <w:t>:00（北京时间）</w:t>
      </w:r>
      <w:r>
        <w:rPr>
          <w:rFonts w:hint="eastAsia"/>
          <w:b/>
          <w:sz w:val="21"/>
          <w:szCs w:val="21"/>
        </w:rPr>
        <w:t>期间进行解密，逾期未解密的作无效处理。</w:t>
      </w:r>
    </w:p>
    <w:p w14:paraId="6F8B7FAD">
      <w:pPr>
        <w:pStyle w:val="37"/>
        <w:spacing w:before="0" w:beforeAutospacing="0" w:after="0" w:afterAutospacing="0" w:line="360" w:lineRule="exact"/>
        <w:ind w:firstLine="424" w:firstLineChars="202"/>
        <w:rPr>
          <w:sz w:val="21"/>
          <w:szCs w:val="21"/>
        </w:rPr>
      </w:pPr>
      <w:r>
        <w:rPr>
          <w:rFonts w:hint="eastAsia"/>
          <w:sz w:val="21"/>
          <w:szCs w:val="21"/>
        </w:rPr>
        <w:t>4.其他说明：无。</w:t>
      </w:r>
    </w:p>
    <w:p w14:paraId="7D0BEF92">
      <w:pPr>
        <w:pStyle w:val="37"/>
        <w:spacing w:before="0" w:beforeAutospacing="0" w:after="0" w:afterAutospacing="0" w:line="360" w:lineRule="exact"/>
        <w:ind w:left="420" w:leftChars="200"/>
        <w:rPr>
          <w:sz w:val="21"/>
          <w:szCs w:val="21"/>
        </w:rPr>
      </w:pPr>
    </w:p>
    <w:p w14:paraId="0551489D">
      <w:pPr>
        <w:pStyle w:val="37"/>
        <w:spacing w:before="0" w:beforeAutospacing="0" w:after="0" w:afterAutospacing="0" w:line="360" w:lineRule="exact"/>
        <w:rPr>
          <w:sz w:val="21"/>
          <w:szCs w:val="21"/>
        </w:rPr>
      </w:pPr>
      <w:r>
        <w:rPr>
          <w:rFonts w:hint="eastAsia"/>
          <w:sz w:val="21"/>
          <w:szCs w:val="21"/>
        </w:rPr>
        <w:t>五、公告期限</w:t>
      </w:r>
    </w:p>
    <w:p w14:paraId="28741D58">
      <w:pPr>
        <w:pStyle w:val="37"/>
        <w:spacing w:before="0" w:beforeAutospacing="0" w:after="0" w:afterAutospacing="0" w:line="360" w:lineRule="exact"/>
        <w:ind w:firstLine="420" w:firstLineChars="200"/>
        <w:rPr>
          <w:sz w:val="21"/>
          <w:szCs w:val="21"/>
        </w:rPr>
      </w:pPr>
      <w:r>
        <w:rPr>
          <w:rFonts w:hint="eastAsia"/>
          <w:sz w:val="21"/>
          <w:szCs w:val="21"/>
        </w:rPr>
        <w:t>自本公告发布之日起5个工作日。</w:t>
      </w:r>
    </w:p>
    <w:p w14:paraId="18E0954A">
      <w:pPr>
        <w:pStyle w:val="37"/>
        <w:spacing w:before="0" w:beforeAutospacing="0" w:after="0" w:afterAutospacing="0" w:line="360" w:lineRule="exact"/>
        <w:ind w:firstLine="420" w:firstLineChars="200"/>
        <w:rPr>
          <w:sz w:val="21"/>
          <w:szCs w:val="21"/>
        </w:rPr>
      </w:pPr>
    </w:p>
    <w:p w14:paraId="7A9A069B">
      <w:pPr>
        <w:pStyle w:val="37"/>
        <w:spacing w:before="0" w:beforeAutospacing="0" w:after="0" w:afterAutospacing="0" w:line="360" w:lineRule="exact"/>
        <w:rPr>
          <w:sz w:val="21"/>
          <w:szCs w:val="21"/>
        </w:rPr>
      </w:pPr>
      <w:r>
        <w:rPr>
          <w:rFonts w:hint="eastAsia"/>
          <w:sz w:val="21"/>
          <w:szCs w:val="21"/>
        </w:rPr>
        <w:t>六、其他补充事宜</w:t>
      </w:r>
    </w:p>
    <w:p w14:paraId="7F387A1C">
      <w:pPr>
        <w:pStyle w:val="37"/>
        <w:spacing w:before="0" w:beforeAutospacing="0" w:after="0" w:afterAutospacing="0" w:line="360" w:lineRule="exact"/>
        <w:ind w:firstLine="424" w:firstLineChars="202"/>
        <w:rPr>
          <w:sz w:val="21"/>
          <w:szCs w:val="21"/>
        </w:rPr>
      </w:pPr>
      <w:r>
        <w:rPr>
          <w:rFonts w:hint="eastAsia"/>
          <w:sz w:val="21"/>
          <w:szCs w:val="21"/>
        </w:rPr>
        <w:t>1.本项目实行网上投标，采用电子投标文件。</w:t>
      </w:r>
    </w:p>
    <w:p w14:paraId="6404667D">
      <w:pPr>
        <w:pStyle w:val="37"/>
        <w:spacing w:before="0" w:beforeAutospacing="0" w:after="0" w:afterAutospacing="0" w:line="360" w:lineRule="exact"/>
        <w:ind w:firstLine="424" w:firstLineChars="202"/>
        <w:rPr>
          <w:rFonts w:hint="eastAsia"/>
          <w:sz w:val="21"/>
          <w:szCs w:val="21"/>
        </w:rPr>
      </w:pPr>
      <w:r>
        <w:rPr>
          <w:rFonts w:hint="eastAsia"/>
          <w:sz w:val="21"/>
          <w:szCs w:val="21"/>
        </w:rPr>
        <w:t>2.供应商对采购文件提出澄清要求时间：</w:t>
      </w:r>
      <w:r>
        <w:rPr>
          <w:rFonts w:hint="eastAsia"/>
          <w:b/>
          <w:sz w:val="21"/>
          <w:szCs w:val="21"/>
          <w:u w:val="single"/>
          <w:lang w:eastAsia="zh-CN"/>
        </w:rPr>
        <w:t>2025</w:t>
      </w:r>
      <w:r>
        <w:rPr>
          <w:rFonts w:hint="eastAsia"/>
          <w:b/>
          <w:sz w:val="21"/>
          <w:szCs w:val="21"/>
          <w:u w:val="single"/>
        </w:rPr>
        <w:t>年</w:t>
      </w:r>
      <w:r>
        <w:rPr>
          <w:rFonts w:hint="eastAsia"/>
          <w:b/>
          <w:sz w:val="21"/>
          <w:szCs w:val="21"/>
          <w:u w:val="single"/>
          <w:lang w:val="en-US" w:eastAsia="zh-CN"/>
        </w:rPr>
        <w:t>7</w:t>
      </w:r>
      <w:r>
        <w:rPr>
          <w:rFonts w:hint="eastAsia"/>
          <w:b/>
          <w:sz w:val="21"/>
          <w:szCs w:val="21"/>
          <w:u w:val="single"/>
        </w:rPr>
        <w:t>月</w:t>
      </w:r>
      <w:r>
        <w:rPr>
          <w:rFonts w:hint="eastAsia"/>
          <w:b/>
          <w:sz w:val="21"/>
          <w:szCs w:val="21"/>
          <w:u w:val="single"/>
          <w:lang w:val="en-US" w:eastAsia="zh-CN"/>
        </w:rPr>
        <w:t>13</w:t>
      </w:r>
      <w:r>
        <w:rPr>
          <w:rFonts w:hint="eastAsia"/>
          <w:b/>
          <w:sz w:val="21"/>
          <w:szCs w:val="21"/>
          <w:u w:val="single"/>
        </w:rPr>
        <w:t>日00:00（北京时间）前</w:t>
      </w:r>
      <w:r>
        <w:rPr>
          <w:rFonts w:hint="eastAsia"/>
          <w:sz w:val="21"/>
          <w:szCs w:val="21"/>
        </w:rPr>
        <w:t>。</w:t>
      </w:r>
    </w:p>
    <w:p w14:paraId="0639AB07">
      <w:pPr>
        <w:pStyle w:val="37"/>
        <w:spacing w:before="0" w:beforeAutospacing="0" w:after="0" w:afterAutospacing="0" w:line="360" w:lineRule="exact"/>
        <w:ind w:firstLine="424" w:firstLineChars="202"/>
        <w:rPr>
          <w:sz w:val="21"/>
          <w:szCs w:val="21"/>
        </w:rPr>
      </w:pPr>
      <w:r>
        <w:rPr>
          <w:rFonts w:hint="eastAsia"/>
          <w:sz w:val="21"/>
          <w:szCs w:val="21"/>
        </w:rPr>
        <w:t>3.采购代理机构澄清/修改/答疑时间：</w:t>
      </w:r>
      <w:r>
        <w:rPr>
          <w:rFonts w:hint="eastAsia"/>
          <w:b/>
          <w:sz w:val="21"/>
          <w:szCs w:val="21"/>
          <w:u w:val="single"/>
          <w:lang w:eastAsia="zh-CN"/>
        </w:rPr>
        <w:t>2025</w:t>
      </w:r>
      <w:r>
        <w:rPr>
          <w:rFonts w:hint="eastAsia"/>
          <w:b/>
          <w:sz w:val="21"/>
          <w:szCs w:val="21"/>
          <w:u w:val="single"/>
        </w:rPr>
        <w:t>年</w:t>
      </w:r>
      <w:r>
        <w:rPr>
          <w:rFonts w:hint="eastAsia"/>
          <w:b/>
          <w:sz w:val="21"/>
          <w:szCs w:val="21"/>
          <w:u w:val="single"/>
          <w:lang w:val="en-US" w:eastAsia="zh-CN"/>
        </w:rPr>
        <w:t>7</w:t>
      </w:r>
      <w:r>
        <w:rPr>
          <w:rFonts w:hint="eastAsia"/>
          <w:b/>
          <w:sz w:val="21"/>
          <w:szCs w:val="21"/>
          <w:u w:val="single"/>
        </w:rPr>
        <w:t>月</w:t>
      </w:r>
      <w:r>
        <w:rPr>
          <w:rFonts w:hint="eastAsia"/>
          <w:b/>
          <w:sz w:val="21"/>
          <w:szCs w:val="21"/>
          <w:u w:val="single"/>
          <w:lang w:val="en-US" w:eastAsia="zh-CN"/>
        </w:rPr>
        <w:t>15</w:t>
      </w:r>
      <w:r>
        <w:rPr>
          <w:rFonts w:hint="eastAsia"/>
          <w:b/>
          <w:sz w:val="21"/>
          <w:szCs w:val="21"/>
          <w:u w:val="single"/>
        </w:rPr>
        <w:t>日00:00（北京时间）前</w:t>
      </w:r>
      <w:r>
        <w:rPr>
          <w:rFonts w:hint="eastAsia"/>
          <w:sz w:val="21"/>
          <w:szCs w:val="21"/>
        </w:rPr>
        <w:t>。</w:t>
      </w:r>
    </w:p>
    <w:p w14:paraId="366CE504">
      <w:pPr>
        <w:pStyle w:val="37"/>
        <w:spacing w:before="0" w:beforeAutospacing="0" w:after="0" w:afterAutospacing="0" w:line="360" w:lineRule="exact"/>
        <w:ind w:firstLine="424" w:firstLineChars="202"/>
        <w:rPr>
          <w:sz w:val="21"/>
          <w:szCs w:val="21"/>
        </w:rPr>
      </w:pPr>
      <w:r>
        <w:rPr>
          <w:rFonts w:hint="eastAsia"/>
          <w:sz w:val="21"/>
          <w:szCs w:val="21"/>
        </w:rPr>
        <w:t xml:space="preserve">（重要提示：“对采购文件提出澄清要求”不等同于“对采购文件质疑”，供应商提出的澄清要求内容如出现“质疑”字眼，将予以退回。供应商如认为采购文件存在限制性、倾向性、其权益受到损害，应在采购文件公布之日起七个工作日内以书面形式提出质疑。请质疑供应商根据深圳公共资源交易网（ </w:t>
      </w:r>
      <w:r>
        <w:rPr>
          <w:sz w:val="21"/>
          <w:szCs w:val="21"/>
        </w:rPr>
        <w:t>https://www.szggzy.com/globalSearch/details.html?contentId=1211037</w:t>
      </w:r>
      <w:r>
        <w:rPr>
          <w:rFonts w:hint="eastAsia"/>
          <w:sz w:val="21"/>
          <w:szCs w:val="21"/>
        </w:rPr>
        <w:t xml:space="preserve"> ）所发布的质疑指引、质疑函模板填写质疑函并提交质疑材料。质疑材料可以采用现场或邮寄方式提交，采用邮寄方式提交的，交邮时间应在本公告发布之日起七个工作日内。质疑材料现场提交、邮寄地址：深圳市福田区民田路171号新华保险大厦903深圳市中正招标有限公司。质疑咨询电话：0755-83026699。根据《深圳经济特区政府采购条例》第四十二条“供应商投诉的事项应当是经过质疑的事项”的规定，未经正式质疑的，将影响供应商行使向财政部门提起投诉的权利。）</w:t>
      </w:r>
    </w:p>
    <w:p w14:paraId="37651D48">
      <w:pPr>
        <w:pStyle w:val="37"/>
        <w:spacing w:before="0" w:beforeAutospacing="0" w:after="0" w:afterAutospacing="0" w:line="360" w:lineRule="exact"/>
        <w:ind w:firstLine="424" w:firstLineChars="202"/>
        <w:rPr>
          <w:rFonts w:hint="eastAsia"/>
          <w:sz w:val="21"/>
          <w:szCs w:val="21"/>
        </w:rPr>
      </w:pPr>
      <w:r>
        <w:rPr>
          <w:rFonts w:hint="eastAsia"/>
          <w:sz w:val="21"/>
          <w:szCs w:val="21"/>
        </w:rPr>
        <w:t>4.深圳市中正招标有限公司有权对投标人就本项目要求提供的相关证明资料（原件）进行审查。供应商提供虚假资料被查实的，则可能面临被取消本项目中标资格、列入不良行为记录名单和三年内禁止参与深圳市政府采购活动的风险。</w:t>
      </w:r>
    </w:p>
    <w:p w14:paraId="269B8222">
      <w:pPr>
        <w:pStyle w:val="37"/>
        <w:spacing w:before="0" w:beforeAutospacing="0" w:after="0" w:afterAutospacing="0" w:line="360" w:lineRule="exact"/>
        <w:ind w:firstLine="424" w:firstLineChars="202"/>
        <w:rPr>
          <w:rFonts w:hint="eastAsia"/>
          <w:sz w:val="21"/>
          <w:szCs w:val="21"/>
        </w:rPr>
      </w:pPr>
      <w:r>
        <w:rPr>
          <w:rFonts w:hint="eastAsia"/>
          <w:sz w:val="21"/>
          <w:szCs w:val="21"/>
        </w:rPr>
        <w:t>5. 本项目相关公告在以下媒体发布：</w:t>
      </w:r>
    </w:p>
    <w:p w14:paraId="2425224F">
      <w:pPr>
        <w:pStyle w:val="37"/>
        <w:spacing w:before="0" w:beforeAutospacing="0" w:after="0" w:afterAutospacing="0" w:line="360" w:lineRule="exact"/>
        <w:ind w:firstLine="424" w:firstLineChars="202"/>
        <w:rPr>
          <w:rFonts w:hint="eastAsia"/>
          <w:sz w:val="21"/>
          <w:szCs w:val="21"/>
        </w:rPr>
      </w:pPr>
      <w:r>
        <w:rPr>
          <w:rFonts w:hint="eastAsia"/>
          <w:sz w:val="21"/>
          <w:szCs w:val="21"/>
        </w:rPr>
        <w:t>1）深圳公共资源交易中心网站（www.szexgrp.com）；</w:t>
      </w:r>
    </w:p>
    <w:p w14:paraId="77A6C81F">
      <w:pPr>
        <w:pStyle w:val="37"/>
        <w:spacing w:before="0" w:beforeAutospacing="0" w:after="0" w:afterAutospacing="0" w:line="360" w:lineRule="exact"/>
        <w:ind w:firstLine="424" w:firstLineChars="202"/>
        <w:rPr>
          <w:rFonts w:hint="eastAsia"/>
          <w:sz w:val="21"/>
          <w:szCs w:val="21"/>
        </w:rPr>
      </w:pPr>
      <w:r>
        <w:rPr>
          <w:rFonts w:hint="eastAsia"/>
          <w:sz w:val="21"/>
          <w:szCs w:val="21"/>
          <w:lang w:val="en-US" w:eastAsia="zh-CN"/>
        </w:rPr>
        <w:t>2</w:t>
      </w:r>
      <w:r>
        <w:rPr>
          <w:rFonts w:hint="eastAsia"/>
          <w:sz w:val="21"/>
          <w:szCs w:val="21"/>
        </w:rPr>
        <w:t>）深圳市中正招标网（www.szzzt.com）。</w:t>
      </w:r>
    </w:p>
    <w:p w14:paraId="431FCC02">
      <w:pPr>
        <w:pStyle w:val="37"/>
        <w:spacing w:before="0" w:beforeAutospacing="0" w:after="0" w:afterAutospacing="0" w:line="360" w:lineRule="exact"/>
        <w:ind w:firstLine="424" w:firstLineChars="202"/>
        <w:rPr>
          <w:sz w:val="21"/>
          <w:szCs w:val="21"/>
        </w:rPr>
      </w:pPr>
      <w:r>
        <w:rPr>
          <w:rFonts w:hint="eastAsia"/>
          <w:sz w:val="21"/>
          <w:szCs w:val="21"/>
        </w:rPr>
        <w:t>投标人有义务在参加采购活动期间浏览以上网站，在以上网站公布的与本次招标项目有关的信息视为已送达各投标人，不再另行通知。</w:t>
      </w:r>
    </w:p>
    <w:p w14:paraId="797B2FF0">
      <w:pPr>
        <w:pStyle w:val="37"/>
        <w:spacing w:before="0" w:beforeAutospacing="0" w:after="0" w:afterAutospacing="0" w:line="360" w:lineRule="exact"/>
        <w:ind w:firstLine="424" w:firstLineChars="202"/>
        <w:rPr>
          <w:sz w:val="21"/>
          <w:szCs w:val="21"/>
        </w:rPr>
      </w:pPr>
    </w:p>
    <w:p w14:paraId="5172CFDD">
      <w:pPr>
        <w:pStyle w:val="37"/>
        <w:spacing w:before="0" w:beforeAutospacing="0" w:after="0" w:afterAutospacing="0" w:line="360" w:lineRule="exact"/>
        <w:rPr>
          <w:sz w:val="21"/>
          <w:szCs w:val="21"/>
        </w:rPr>
      </w:pPr>
      <w:r>
        <w:rPr>
          <w:rFonts w:hint="eastAsia"/>
          <w:sz w:val="21"/>
          <w:szCs w:val="21"/>
        </w:rPr>
        <w:t>七、对本次招标提出询问，请按以下方式联系。</w:t>
      </w:r>
    </w:p>
    <w:p w14:paraId="1658A3C5">
      <w:pPr>
        <w:pStyle w:val="37"/>
        <w:spacing w:before="0" w:beforeAutospacing="0" w:after="0" w:afterAutospacing="0" w:line="360" w:lineRule="exact"/>
        <w:ind w:firstLine="424" w:firstLineChars="202"/>
        <w:rPr>
          <w:sz w:val="21"/>
          <w:szCs w:val="21"/>
        </w:rPr>
      </w:pPr>
      <w:r>
        <w:rPr>
          <w:rFonts w:hint="eastAsia"/>
          <w:sz w:val="21"/>
          <w:szCs w:val="21"/>
        </w:rPr>
        <w:t xml:space="preserve">1.采购人信息 </w:t>
      </w:r>
    </w:p>
    <w:p w14:paraId="17B09C6F">
      <w:pPr>
        <w:pStyle w:val="37"/>
        <w:spacing w:before="0" w:beforeAutospacing="0" w:after="0" w:afterAutospacing="0" w:line="360" w:lineRule="exact"/>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名称：深圳市坪山区妇幼保健院</w:t>
      </w:r>
    </w:p>
    <w:p w14:paraId="119A7645">
      <w:pPr>
        <w:pStyle w:val="37"/>
        <w:spacing w:before="0" w:beforeAutospacing="0" w:after="0" w:afterAutospacing="0" w:line="360" w:lineRule="exact"/>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地址：深圳市坪山区龙田街道龙田南路6号</w:t>
      </w:r>
    </w:p>
    <w:p w14:paraId="5809465C">
      <w:pPr>
        <w:pStyle w:val="37"/>
        <w:spacing w:before="0" w:beforeAutospacing="0" w:after="0" w:afterAutospacing="0" w:line="360" w:lineRule="exact"/>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联系方式：王工 0755-89210710</w:t>
      </w:r>
    </w:p>
    <w:p w14:paraId="05F8E5F3">
      <w:pPr>
        <w:pStyle w:val="37"/>
        <w:spacing w:before="0" w:beforeAutospacing="0" w:after="0" w:afterAutospacing="0" w:line="360" w:lineRule="exact"/>
        <w:ind w:firstLine="424" w:firstLineChars="202"/>
        <w:rPr>
          <w:sz w:val="21"/>
          <w:szCs w:val="21"/>
        </w:rPr>
      </w:pPr>
      <w:r>
        <w:rPr>
          <w:rFonts w:hint="eastAsia"/>
          <w:sz w:val="21"/>
          <w:szCs w:val="21"/>
        </w:rPr>
        <w:t xml:space="preserve">2.采购代理机构信息 </w:t>
      </w:r>
    </w:p>
    <w:p w14:paraId="2A4D54CC">
      <w:pPr>
        <w:pStyle w:val="37"/>
        <w:spacing w:before="0" w:beforeAutospacing="0" w:after="0" w:afterAutospacing="0" w:line="360" w:lineRule="exact"/>
        <w:ind w:firstLine="424" w:firstLineChars="202"/>
        <w:rPr>
          <w:sz w:val="21"/>
          <w:szCs w:val="21"/>
        </w:rPr>
      </w:pPr>
      <w:r>
        <w:rPr>
          <w:rFonts w:hint="eastAsia"/>
          <w:sz w:val="21"/>
          <w:szCs w:val="21"/>
        </w:rPr>
        <w:t xml:space="preserve">名称：深圳市中正招标有限公司 </w:t>
      </w:r>
    </w:p>
    <w:p w14:paraId="13314751">
      <w:pPr>
        <w:pStyle w:val="37"/>
        <w:spacing w:before="0" w:beforeAutospacing="0" w:after="0" w:afterAutospacing="0" w:line="360" w:lineRule="exact"/>
        <w:ind w:firstLine="424" w:firstLineChars="202"/>
        <w:rPr>
          <w:sz w:val="21"/>
          <w:szCs w:val="21"/>
        </w:rPr>
      </w:pPr>
      <w:r>
        <w:rPr>
          <w:rFonts w:hint="eastAsia"/>
          <w:sz w:val="21"/>
          <w:szCs w:val="21"/>
        </w:rPr>
        <w:t>地址：深圳市福田区民田路171号新华保险大厦903</w:t>
      </w:r>
    </w:p>
    <w:p w14:paraId="68F0517D">
      <w:pPr>
        <w:pStyle w:val="37"/>
        <w:spacing w:before="0" w:beforeAutospacing="0" w:after="0" w:afterAutospacing="0" w:line="360" w:lineRule="exact"/>
        <w:ind w:firstLine="424" w:firstLineChars="202"/>
        <w:rPr>
          <w:sz w:val="21"/>
          <w:szCs w:val="21"/>
        </w:rPr>
      </w:pPr>
      <w:r>
        <w:rPr>
          <w:rFonts w:hint="eastAsia"/>
          <w:sz w:val="21"/>
          <w:szCs w:val="21"/>
        </w:rPr>
        <w:t>联系方式：0755-83026699</w:t>
      </w:r>
    </w:p>
    <w:p w14:paraId="38E9C5A2">
      <w:pPr>
        <w:pStyle w:val="37"/>
        <w:spacing w:before="0" w:beforeAutospacing="0" w:after="0" w:afterAutospacing="0" w:line="360" w:lineRule="exact"/>
        <w:ind w:firstLine="424" w:firstLineChars="202"/>
        <w:rPr>
          <w:sz w:val="21"/>
          <w:szCs w:val="21"/>
        </w:rPr>
      </w:pPr>
      <w:r>
        <w:rPr>
          <w:rFonts w:hint="eastAsia"/>
          <w:sz w:val="21"/>
          <w:szCs w:val="21"/>
        </w:rPr>
        <w:t xml:space="preserve">3.项目联系方式 </w:t>
      </w:r>
    </w:p>
    <w:p w14:paraId="0254EDEF">
      <w:pPr>
        <w:pStyle w:val="37"/>
        <w:spacing w:before="0" w:beforeAutospacing="0" w:after="0" w:afterAutospacing="0" w:line="360" w:lineRule="exact"/>
        <w:ind w:firstLine="424" w:firstLineChars="202"/>
        <w:rPr>
          <w:sz w:val="21"/>
          <w:szCs w:val="21"/>
        </w:rPr>
      </w:pPr>
      <w:r>
        <w:rPr>
          <w:rFonts w:hint="eastAsia"/>
          <w:sz w:val="21"/>
          <w:szCs w:val="21"/>
        </w:rPr>
        <w:t>项目联系人：</w:t>
      </w:r>
      <w:r>
        <w:rPr>
          <w:rFonts w:hint="eastAsia"/>
          <w:sz w:val="21"/>
          <w:szCs w:val="21"/>
          <w:lang w:eastAsia="zh-CN"/>
        </w:rPr>
        <w:t>庄</w:t>
      </w:r>
      <w:r>
        <w:rPr>
          <w:rFonts w:hint="eastAsia"/>
          <w:sz w:val="21"/>
          <w:szCs w:val="21"/>
        </w:rPr>
        <w:t xml:space="preserve">先生 </w:t>
      </w:r>
    </w:p>
    <w:p w14:paraId="3EB7F1EA">
      <w:pPr>
        <w:pStyle w:val="37"/>
        <w:spacing w:before="0" w:beforeAutospacing="0" w:after="0" w:afterAutospacing="0" w:line="360" w:lineRule="exact"/>
        <w:ind w:firstLine="424" w:firstLineChars="202"/>
        <w:rPr>
          <w:sz w:val="21"/>
          <w:szCs w:val="21"/>
        </w:rPr>
      </w:pPr>
      <w:r>
        <w:rPr>
          <w:rFonts w:hint="eastAsia"/>
          <w:sz w:val="21"/>
          <w:szCs w:val="21"/>
        </w:rPr>
        <w:t>电话：0755-83026699</w:t>
      </w:r>
    </w:p>
    <w:p w14:paraId="51928A38">
      <w:pPr>
        <w:pStyle w:val="37"/>
        <w:spacing w:before="0" w:beforeAutospacing="0" w:after="0" w:afterAutospacing="0" w:line="360" w:lineRule="exact"/>
        <w:ind w:firstLine="424" w:firstLineChars="202"/>
        <w:rPr>
          <w:sz w:val="21"/>
          <w:szCs w:val="21"/>
        </w:rPr>
      </w:pPr>
    </w:p>
    <w:p w14:paraId="58014B86">
      <w:pPr>
        <w:pStyle w:val="37"/>
        <w:spacing w:before="0" w:beforeAutospacing="0" w:after="0" w:afterAutospacing="0" w:line="360" w:lineRule="exact"/>
        <w:ind w:firstLine="424" w:firstLineChars="202"/>
        <w:rPr>
          <w:sz w:val="21"/>
          <w:szCs w:val="21"/>
        </w:rPr>
      </w:pPr>
    </w:p>
    <w:p w14:paraId="7195EA95">
      <w:pPr>
        <w:pStyle w:val="37"/>
        <w:spacing w:before="0" w:beforeAutospacing="0" w:after="0" w:afterAutospacing="0" w:line="360" w:lineRule="exact"/>
        <w:ind w:firstLine="424" w:firstLineChars="202"/>
        <w:jc w:val="right"/>
        <w:rPr>
          <w:sz w:val="21"/>
          <w:szCs w:val="21"/>
        </w:rPr>
      </w:pPr>
      <w:r>
        <w:rPr>
          <w:rFonts w:hint="eastAsia"/>
          <w:sz w:val="21"/>
          <w:szCs w:val="21"/>
        </w:rPr>
        <w:t>深圳市中正招标有限公司</w:t>
      </w:r>
    </w:p>
    <w:p w14:paraId="75AFD032">
      <w:pPr>
        <w:pStyle w:val="37"/>
        <w:spacing w:before="0" w:beforeAutospacing="0" w:after="0" w:afterAutospacing="0" w:line="360" w:lineRule="exact"/>
        <w:ind w:firstLine="424" w:firstLineChars="202"/>
        <w:jc w:val="right"/>
        <w:rPr>
          <w:sz w:val="21"/>
          <w:szCs w:val="21"/>
        </w:rPr>
      </w:pPr>
      <w:r>
        <w:rPr>
          <w:rFonts w:hint="eastAsia"/>
          <w:sz w:val="21"/>
          <w:szCs w:val="21"/>
          <w:lang w:eastAsia="zh-CN"/>
        </w:rPr>
        <w:t>2025</w:t>
      </w:r>
      <w:r>
        <w:rPr>
          <w:rFonts w:hint="eastAsia"/>
          <w:sz w:val="21"/>
          <w:szCs w:val="21"/>
        </w:rPr>
        <w:t>年</w:t>
      </w:r>
      <w:r>
        <w:rPr>
          <w:rFonts w:hint="eastAsia"/>
          <w:sz w:val="21"/>
          <w:szCs w:val="21"/>
          <w:lang w:val="en-US" w:eastAsia="zh-CN"/>
        </w:rPr>
        <w:t>7</w:t>
      </w:r>
      <w:r>
        <w:rPr>
          <w:rFonts w:hint="eastAsia"/>
          <w:sz w:val="21"/>
          <w:szCs w:val="21"/>
        </w:rPr>
        <w:t>月</w:t>
      </w:r>
      <w:r>
        <w:rPr>
          <w:rFonts w:hint="eastAsia"/>
          <w:sz w:val="21"/>
          <w:szCs w:val="21"/>
          <w:lang w:val="en-US" w:eastAsia="zh-CN"/>
        </w:rPr>
        <w:t>7</w:t>
      </w:r>
      <w:r>
        <w:rPr>
          <w:rFonts w:hint="eastAsia"/>
          <w:sz w:val="21"/>
          <w:szCs w:val="21"/>
        </w:rPr>
        <w:t>日</w:t>
      </w:r>
    </w:p>
    <w:p w14:paraId="62CC7832">
      <w:pPr>
        <w:spacing w:line="400" w:lineRule="exact"/>
        <w:jc w:val="right"/>
        <w:rPr>
          <w:rFonts w:ascii="宋体" w:hAnsi="宋体"/>
          <w:szCs w:val="21"/>
        </w:rPr>
      </w:pPr>
    </w:p>
    <w:p w14:paraId="47709F1D">
      <w:pPr>
        <w:spacing w:line="400" w:lineRule="exact"/>
        <w:jc w:val="right"/>
        <w:rPr>
          <w:rFonts w:ascii="宋体" w:hAnsi="宋体"/>
          <w:szCs w:val="21"/>
        </w:rPr>
      </w:pPr>
    </w:p>
    <w:p w14:paraId="66BE37B3">
      <w:pPr>
        <w:widowControl/>
        <w:jc w:val="left"/>
        <w:rPr>
          <w:rFonts w:ascii="宋体" w:hAnsi="宋体"/>
          <w:szCs w:val="21"/>
        </w:rPr>
      </w:pPr>
      <w:r>
        <w:rPr>
          <w:rFonts w:ascii="宋体" w:hAnsi="宋体"/>
          <w:szCs w:val="21"/>
        </w:rPr>
        <w:br w:type="page"/>
      </w:r>
    </w:p>
    <w:p w14:paraId="0E55C588">
      <w:pPr>
        <w:keepNext/>
        <w:keepLines/>
        <w:adjustRightInd w:val="0"/>
        <w:spacing w:before="260" w:after="260"/>
        <w:jc w:val="center"/>
        <w:textAlignment w:val="baseline"/>
        <w:outlineLvl w:val="1"/>
        <w:rPr>
          <w:rFonts w:ascii="宋体" w:hAnsi="宋体"/>
          <w:b/>
          <w:bCs/>
          <w:kern w:val="0"/>
          <w:sz w:val="24"/>
          <w:szCs w:val="20"/>
        </w:rPr>
      </w:pPr>
      <w:r>
        <w:rPr>
          <w:rFonts w:hint="eastAsia" w:ascii="宋体" w:hAnsi="宋体"/>
          <w:b/>
          <w:bCs/>
          <w:kern w:val="0"/>
          <w:sz w:val="24"/>
          <w:szCs w:val="20"/>
        </w:rPr>
        <w:t>第二章  招标项目需求</w:t>
      </w:r>
    </w:p>
    <w:p w14:paraId="681C8847">
      <w:pPr>
        <w:keepNext/>
        <w:keepLines/>
        <w:adjustRightInd w:val="0"/>
        <w:spacing w:beforeLines="50" w:afterLines="50"/>
        <w:jc w:val="center"/>
        <w:textAlignment w:val="baseline"/>
        <w:outlineLvl w:val="1"/>
        <w:rPr>
          <w:rFonts w:ascii="宋体" w:hAnsi="宋体"/>
          <w:b/>
          <w:bCs/>
          <w:kern w:val="0"/>
          <w:sz w:val="28"/>
          <w:szCs w:val="28"/>
        </w:rPr>
      </w:pPr>
      <w:bookmarkStart w:id="0" w:name="_Toc73521547"/>
      <w:bookmarkStart w:id="1" w:name="_Toc100052364"/>
      <w:bookmarkStart w:id="2" w:name="_Toc73517639"/>
      <w:bookmarkStart w:id="3" w:name="_Toc60631620"/>
      <w:bookmarkStart w:id="4" w:name="_Toc73518117"/>
      <w:bookmarkStart w:id="5" w:name="_Toc73521635"/>
      <w:bookmarkStart w:id="6" w:name="_Toc101074876"/>
      <w:bookmarkStart w:id="7" w:name="_Toc60560625"/>
      <w:r>
        <w:rPr>
          <w:rFonts w:hint="eastAsia" w:ascii="宋体" w:hAnsi="宋体"/>
          <w:b/>
          <w:bCs/>
          <w:kern w:val="0"/>
          <w:sz w:val="28"/>
          <w:szCs w:val="28"/>
        </w:rPr>
        <w:t>一、对通用条款的补充内容</w:t>
      </w:r>
    </w:p>
    <w:bookmarkEnd w:id="0"/>
    <w:bookmarkEnd w:id="1"/>
    <w:bookmarkEnd w:id="2"/>
    <w:bookmarkEnd w:id="3"/>
    <w:bookmarkEnd w:id="4"/>
    <w:bookmarkEnd w:id="5"/>
    <w:bookmarkEnd w:id="6"/>
    <w:bookmarkEnd w:id="7"/>
    <w:tbl>
      <w:tblPr>
        <w:tblStyle w:val="42"/>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7"/>
        <w:gridCol w:w="2160"/>
        <w:gridCol w:w="5400"/>
      </w:tblGrid>
      <w:tr w14:paraId="1A3CE4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5898C037">
            <w:pPr>
              <w:jc w:val="center"/>
              <w:rPr>
                <w:rFonts w:ascii="宋体" w:hAnsi="宋体"/>
                <w:b/>
                <w:bCs/>
                <w:szCs w:val="24"/>
              </w:rPr>
            </w:pPr>
            <w:r>
              <w:rPr>
                <w:rFonts w:hint="eastAsia" w:ascii="宋体" w:hAnsi="宋体"/>
                <w:b/>
                <w:bCs/>
                <w:szCs w:val="24"/>
              </w:rPr>
              <w:t>序号</w:t>
            </w:r>
          </w:p>
        </w:tc>
        <w:tc>
          <w:tcPr>
            <w:tcW w:w="2160" w:type="dxa"/>
            <w:vAlign w:val="center"/>
          </w:tcPr>
          <w:p w14:paraId="37E4D7BA">
            <w:pPr>
              <w:jc w:val="center"/>
              <w:rPr>
                <w:rFonts w:ascii="宋体" w:hAnsi="宋体"/>
                <w:b/>
                <w:bCs/>
                <w:szCs w:val="24"/>
              </w:rPr>
            </w:pPr>
            <w:r>
              <w:rPr>
                <w:rFonts w:hint="eastAsia" w:ascii="宋体" w:hAnsi="宋体"/>
                <w:b/>
                <w:bCs/>
                <w:szCs w:val="24"/>
              </w:rPr>
              <w:t>内   容</w:t>
            </w:r>
          </w:p>
        </w:tc>
        <w:tc>
          <w:tcPr>
            <w:tcW w:w="5400" w:type="dxa"/>
            <w:vAlign w:val="center"/>
          </w:tcPr>
          <w:p w14:paraId="6B81543C">
            <w:pPr>
              <w:jc w:val="center"/>
              <w:rPr>
                <w:rFonts w:ascii="宋体" w:hAnsi="宋体"/>
                <w:b/>
                <w:bCs/>
                <w:szCs w:val="24"/>
              </w:rPr>
            </w:pPr>
            <w:r>
              <w:rPr>
                <w:rFonts w:hint="eastAsia" w:ascii="宋体" w:hAnsi="宋体"/>
                <w:b/>
                <w:bCs/>
                <w:szCs w:val="24"/>
              </w:rPr>
              <w:t>规      定</w:t>
            </w:r>
          </w:p>
        </w:tc>
      </w:tr>
      <w:tr w14:paraId="4C1EA6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5" w:hRule="atLeast"/>
          <w:jc w:val="center"/>
        </w:trPr>
        <w:tc>
          <w:tcPr>
            <w:tcW w:w="807" w:type="dxa"/>
            <w:vAlign w:val="center"/>
          </w:tcPr>
          <w:p w14:paraId="15A489E2">
            <w:pPr>
              <w:jc w:val="center"/>
              <w:rPr>
                <w:rFonts w:ascii="宋体" w:hAnsi="宋体"/>
                <w:szCs w:val="24"/>
              </w:rPr>
            </w:pPr>
            <w:r>
              <w:rPr>
                <w:rFonts w:hint="eastAsia" w:ascii="宋体" w:hAnsi="宋体"/>
                <w:szCs w:val="24"/>
              </w:rPr>
              <w:t>1</w:t>
            </w:r>
          </w:p>
        </w:tc>
        <w:tc>
          <w:tcPr>
            <w:tcW w:w="2160" w:type="dxa"/>
            <w:vAlign w:val="center"/>
          </w:tcPr>
          <w:p w14:paraId="29867B70">
            <w:pPr>
              <w:jc w:val="center"/>
              <w:rPr>
                <w:rFonts w:ascii="Times New Roman" w:hAnsi="Times New Roman"/>
                <w:szCs w:val="24"/>
              </w:rPr>
            </w:pPr>
            <w:r>
              <w:rPr>
                <w:rFonts w:hint="eastAsia" w:ascii="Times New Roman" w:hAnsi="Times New Roman"/>
                <w:szCs w:val="24"/>
              </w:rPr>
              <w:t>联合体投标</w:t>
            </w:r>
          </w:p>
        </w:tc>
        <w:tc>
          <w:tcPr>
            <w:tcW w:w="5400" w:type="dxa"/>
            <w:vAlign w:val="center"/>
          </w:tcPr>
          <w:p w14:paraId="6870EF55">
            <w:pPr>
              <w:rPr>
                <w:rFonts w:ascii="宋体" w:hAnsi="宋体"/>
                <w:snapToGrid w:val="0"/>
                <w:kern w:val="0"/>
                <w:szCs w:val="32"/>
                <w:lang w:val="zh-CN"/>
              </w:rPr>
            </w:pPr>
            <w:r>
              <w:rPr>
                <w:rFonts w:hint="eastAsia" w:ascii="宋体" w:hAnsi="宋体"/>
                <w:snapToGrid w:val="0"/>
                <w:kern w:val="0"/>
                <w:szCs w:val="32"/>
                <w:lang w:val="zh-CN"/>
              </w:rPr>
              <w:t>见《招标公告》中“项目基本情况”部分的相关内容</w:t>
            </w:r>
          </w:p>
        </w:tc>
      </w:tr>
      <w:tr w14:paraId="651269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5" w:hRule="atLeast"/>
          <w:jc w:val="center"/>
        </w:trPr>
        <w:tc>
          <w:tcPr>
            <w:tcW w:w="807" w:type="dxa"/>
            <w:vAlign w:val="center"/>
          </w:tcPr>
          <w:p w14:paraId="3B26E272">
            <w:pPr>
              <w:jc w:val="center"/>
              <w:rPr>
                <w:rFonts w:ascii="宋体" w:hAnsi="宋体"/>
                <w:szCs w:val="24"/>
              </w:rPr>
            </w:pPr>
            <w:r>
              <w:rPr>
                <w:rFonts w:hint="eastAsia" w:ascii="宋体" w:hAnsi="宋体"/>
                <w:szCs w:val="24"/>
              </w:rPr>
              <w:t>2</w:t>
            </w:r>
          </w:p>
        </w:tc>
        <w:tc>
          <w:tcPr>
            <w:tcW w:w="2160" w:type="dxa"/>
            <w:vAlign w:val="center"/>
          </w:tcPr>
          <w:p w14:paraId="48CEF567">
            <w:pPr>
              <w:jc w:val="center"/>
              <w:rPr>
                <w:rFonts w:ascii="宋体" w:hAnsi="宋体"/>
                <w:szCs w:val="24"/>
              </w:rPr>
            </w:pPr>
            <w:r>
              <w:rPr>
                <w:rFonts w:hint="eastAsia" w:ascii="宋体" w:hAnsi="宋体"/>
                <w:szCs w:val="24"/>
              </w:rPr>
              <w:t>投标有效期</w:t>
            </w:r>
          </w:p>
        </w:tc>
        <w:tc>
          <w:tcPr>
            <w:tcW w:w="5400" w:type="dxa"/>
            <w:vAlign w:val="center"/>
          </w:tcPr>
          <w:p w14:paraId="4821FB17">
            <w:pPr>
              <w:rPr>
                <w:rFonts w:ascii="宋体" w:hAnsi="宋体"/>
                <w:szCs w:val="24"/>
              </w:rPr>
            </w:pPr>
            <w:r>
              <w:rPr>
                <w:rFonts w:hint="eastAsia" w:ascii="宋体" w:hAnsi="宋体"/>
                <w:szCs w:val="24"/>
                <w:u w:val="single"/>
              </w:rPr>
              <w:t>90</w:t>
            </w:r>
            <w:r>
              <w:rPr>
                <w:rFonts w:ascii="宋体" w:hAnsi="宋体"/>
                <w:szCs w:val="24"/>
                <w:u w:val="single"/>
              </w:rPr>
              <w:t>日历天</w:t>
            </w:r>
            <w:r>
              <w:rPr>
                <w:rFonts w:ascii="宋体" w:hAnsi="宋体"/>
                <w:szCs w:val="24"/>
              </w:rPr>
              <w:t>（从投标截止之日算起）</w:t>
            </w:r>
          </w:p>
        </w:tc>
      </w:tr>
      <w:tr w14:paraId="42D6B0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5" w:hRule="atLeast"/>
          <w:jc w:val="center"/>
        </w:trPr>
        <w:tc>
          <w:tcPr>
            <w:tcW w:w="807" w:type="dxa"/>
            <w:vAlign w:val="center"/>
          </w:tcPr>
          <w:p w14:paraId="0A217200">
            <w:pPr>
              <w:jc w:val="center"/>
              <w:rPr>
                <w:rFonts w:ascii="宋体" w:hAnsi="宋体"/>
                <w:szCs w:val="24"/>
              </w:rPr>
            </w:pPr>
            <w:r>
              <w:rPr>
                <w:rFonts w:hint="eastAsia" w:ascii="宋体" w:hAnsi="宋体"/>
                <w:szCs w:val="24"/>
              </w:rPr>
              <w:t>3</w:t>
            </w:r>
          </w:p>
        </w:tc>
        <w:tc>
          <w:tcPr>
            <w:tcW w:w="2160" w:type="dxa"/>
            <w:vAlign w:val="center"/>
          </w:tcPr>
          <w:p w14:paraId="2E2865C6">
            <w:pPr>
              <w:jc w:val="center"/>
              <w:rPr>
                <w:rFonts w:ascii="宋体" w:hAnsi="宋体"/>
                <w:szCs w:val="24"/>
              </w:rPr>
            </w:pPr>
            <w:r>
              <w:rPr>
                <w:rFonts w:hint="eastAsia" w:ascii="宋体" w:hAnsi="宋体"/>
                <w:szCs w:val="24"/>
              </w:rPr>
              <w:t>投标人的替代方案</w:t>
            </w:r>
          </w:p>
        </w:tc>
        <w:tc>
          <w:tcPr>
            <w:tcW w:w="5400" w:type="dxa"/>
            <w:vAlign w:val="center"/>
          </w:tcPr>
          <w:p w14:paraId="2462D6CA">
            <w:pPr>
              <w:rPr>
                <w:rFonts w:ascii="宋体" w:hAnsi="宋体"/>
                <w:szCs w:val="24"/>
              </w:rPr>
            </w:pPr>
            <w:r>
              <w:rPr>
                <w:rFonts w:hint="eastAsia" w:ascii="宋体" w:hAnsi="宋体"/>
                <w:szCs w:val="24"/>
              </w:rPr>
              <w:t>不允许</w:t>
            </w:r>
          </w:p>
        </w:tc>
      </w:tr>
      <w:tr w14:paraId="07DE04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29FFD982">
            <w:pPr>
              <w:jc w:val="center"/>
              <w:rPr>
                <w:rFonts w:ascii="宋体" w:hAnsi="宋体"/>
                <w:szCs w:val="24"/>
              </w:rPr>
            </w:pPr>
            <w:r>
              <w:rPr>
                <w:rFonts w:hint="eastAsia" w:ascii="宋体" w:hAnsi="宋体"/>
                <w:szCs w:val="24"/>
              </w:rPr>
              <w:t>4</w:t>
            </w:r>
          </w:p>
        </w:tc>
        <w:tc>
          <w:tcPr>
            <w:tcW w:w="2160" w:type="dxa"/>
            <w:vAlign w:val="center"/>
          </w:tcPr>
          <w:p w14:paraId="148303CF">
            <w:pPr>
              <w:jc w:val="center"/>
              <w:rPr>
                <w:rFonts w:ascii="宋体" w:hAnsi="宋体"/>
                <w:szCs w:val="24"/>
              </w:rPr>
            </w:pPr>
            <w:r>
              <w:rPr>
                <w:rFonts w:hint="eastAsia" w:ascii="宋体" w:hAnsi="宋体"/>
                <w:szCs w:val="24"/>
              </w:rPr>
              <w:t>投标文件的投递</w:t>
            </w:r>
          </w:p>
        </w:tc>
        <w:tc>
          <w:tcPr>
            <w:tcW w:w="5400" w:type="dxa"/>
            <w:vAlign w:val="center"/>
          </w:tcPr>
          <w:p w14:paraId="32573847">
            <w:pPr>
              <w:spacing w:line="360" w:lineRule="exact"/>
              <w:rPr>
                <w:rFonts w:ascii="宋体" w:hAnsi="宋体"/>
              </w:rPr>
            </w:pPr>
            <w:r>
              <w:rPr>
                <w:rFonts w:hint="eastAsia" w:ascii="宋体" w:hAnsi="宋体"/>
              </w:rPr>
              <w:t>本项目实行网上投标，投标人必须在招标文件规定的投标截止时间前，</w:t>
            </w:r>
            <w:r>
              <w:rPr>
                <w:rFonts w:ascii="宋体" w:hAnsi="宋体"/>
              </w:rPr>
              <w:t>将编制好的电子投标文件上传</w:t>
            </w:r>
            <w:r>
              <w:rPr>
                <w:rFonts w:hint="eastAsia"/>
                <w:szCs w:val="21"/>
              </w:rPr>
              <w:t>到深圳市自行采购系统（</w:t>
            </w:r>
            <w:r>
              <w:rPr>
                <w:szCs w:val="21"/>
              </w:rPr>
              <w:t>https://trade.szggzy.com/ggzy/center/#/login</w:t>
            </w:r>
            <w:r>
              <w:rPr>
                <w:rFonts w:hint="eastAsia"/>
                <w:szCs w:val="21"/>
              </w:rPr>
              <w:t>）</w:t>
            </w:r>
            <w:r>
              <w:rPr>
                <w:rFonts w:ascii="宋体" w:hAnsi="宋体"/>
              </w:rPr>
              <w:t>，投标文件大小不得超过</w:t>
            </w:r>
            <w:r>
              <w:rPr>
                <w:rFonts w:hint="eastAsia" w:ascii="宋体" w:hAnsi="宋体"/>
              </w:rPr>
              <w:t>10</w:t>
            </w:r>
            <w:r>
              <w:rPr>
                <w:rFonts w:ascii="宋体" w:hAnsi="宋体"/>
              </w:rPr>
              <w:t>0MB</w:t>
            </w:r>
            <w:r>
              <w:rPr>
                <w:rFonts w:hint="eastAsia" w:ascii="宋体" w:hAnsi="宋体"/>
              </w:rPr>
              <w:t>。</w:t>
            </w:r>
          </w:p>
        </w:tc>
      </w:tr>
      <w:tr w14:paraId="34E325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20161249">
            <w:pPr>
              <w:jc w:val="center"/>
              <w:rPr>
                <w:rFonts w:ascii="宋体" w:hAnsi="宋体"/>
                <w:szCs w:val="24"/>
              </w:rPr>
            </w:pPr>
            <w:r>
              <w:rPr>
                <w:rFonts w:hint="eastAsia" w:ascii="宋体" w:hAnsi="宋体"/>
                <w:szCs w:val="24"/>
              </w:rPr>
              <w:t>5</w:t>
            </w:r>
          </w:p>
        </w:tc>
        <w:tc>
          <w:tcPr>
            <w:tcW w:w="2160" w:type="dxa"/>
            <w:vAlign w:val="center"/>
          </w:tcPr>
          <w:p w14:paraId="0084DF71">
            <w:pPr>
              <w:jc w:val="center"/>
              <w:rPr>
                <w:rFonts w:hint="eastAsia" w:ascii="宋体" w:hAnsi="宋体" w:eastAsia="宋体"/>
                <w:szCs w:val="24"/>
                <w:lang w:eastAsia="zh-CN"/>
              </w:rPr>
            </w:pPr>
            <w:r>
              <w:rPr>
                <w:rFonts w:hint="eastAsia" w:ascii="宋体" w:hAnsi="宋体"/>
                <w:szCs w:val="24"/>
                <w:lang w:eastAsia="zh-CN"/>
              </w:rPr>
              <w:t>代理服务费</w:t>
            </w:r>
          </w:p>
        </w:tc>
        <w:tc>
          <w:tcPr>
            <w:tcW w:w="5400" w:type="dxa"/>
            <w:vAlign w:val="center"/>
          </w:tcPr>
          <w:p w14:paraId="2276A12E">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w:t>
            </w:r>
            <w:r>
              <w:rPr>
                <w:rFonts w:hint="eastAsia" w:asciiTheme="minorEastAsia" w:hAnsiTheme="minorEastAsia" w:eastAsiaTheme="minorEastAsia"/>
                <w:szCs w:val="21"/>
                <w:lang w:eastAsia="zh-CN"/>
              </w:rPr>
              <w:t>代理服务费</w:t>
            </w:r>
            <w:r>
              <w:rPr>
                <w:rFonts w:hint="eastAsia" w:asciiTheme="minorEastAsia" w:hAnsiTheme="minorEastAsia" w:eastAsiaTheme="minorEastAsia"/>
                <w:szCs w:val="21"/>
              </w:rPr>
              <w:t>，具体如下：</w:t>
            </w:r>
          </w:p>
          <w:p w14:paraId="7D51FC1D">
            <w:pPr>
              <w:spacing w:line="360" w:lineRule="exact"/>
              <w:rPr>
                <w:rFonts w:asciiTheme="minorEastAsia" w:hAnsiTheme="minorEastAsia" w:eastAsiaTheme="minorEastAsia"/>
                <w:szCs w:val="20"/>
              </w:rPr>
            </w:pPr>
            <w:r>
              <w:rPr>
                <w:rFonts w:hint="eastAsia" w:ascii="宋体"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szCs w:val="20"/>
              </w:rPr>
              <w:t>，费用下浮</w:t>
            </w:r>
            <w:r>
              <w:rPr>
                <w:rFonts w:hint="eastAsia" w:asciiTheme="minorEastAsia" w:hAnsiTheme="minorEastAsia" w:eastAsiaTheme="minorEastAsia"/>
                <w:szCs w:val="20"/>
                <w:u w:val="single"/>
              </w:rPr>
              <w:t xml:space="preserve">  0  </w:t>
            </w:r>
            <w:r>
              <w:rPr>
                <w:rFonts w:hint="eastAsia" w:asciiTheme="minorEastAsia" w:hAnsiTheme="minorEastAsia" w:eastAsiaTheme="minorEastAsia"/>
                <w:szCs w:val="20"/>
              </w:rPr>
              <w:t>%，最低收取人民币</w:t>
            </w:r>
            <w:r>
              <w:rPr>
                <w:rFonts w:hint="eastAsia" w:asciiTheme="minorEastAsia" w:hAnsiTheme="minorEastAsia" w:eastAsiaTheme="minorEastAsia"/>
                <w:szCs w:val="20"/>
                <w:lang w:val="en-US" w:eastAsia="zh-CN"/>
              </w:rPr>
              <w:t>6</w:t>
            </w:r>
            <w:r>
              <w:rPr>
                <w:rFonts w:hint="eastAsia" w:asciiTheme="minorEastAsia" w:hAnsiTheme="minorEastAsia" w:eastAsiaTheme="minorEastAsia"/>
                <w:szCs w:val="20"/>
              </w:rPr>
              <w:t>000元。</w:t>
            </w:r>
          </w:p>
          <w:p w14:paraId="149ED3B8">
            <w:pPr>
              <w:spacing w:line="360" w:lineRule="exact"/>
              <w:rPr>
                <w:rFonts w:ascii="宋体" w:hAnsi="宋体"/>
              </w:rPr>
            </w:pPr>
            <w:r>
              <w:rPr>
                <w:rFonts w:hint="eastAsia" w:ascii="Times New Roman" w:hAnsi="宋体"/>
                <w:szCs w:val="24"/>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szCs w:val="24"/>
              </w:rPr>
              <w:t>，费用下浮</w:t>
            </w:r>
            <w:r>
              <w:rPr>
                <w:rFonts w:hint="eastAsia" w:asciiTheme="minorEastAsia" w:hAnsiTheme="minorEastAsia" w:eastAsiaTheme="minorEastAsia"/>
                <w:szCs w:val="24"/>
                <w:u w:val="single"/>
              </w:rPr>
              <w:t xml:space="preserve">  0  </w:t>
            </w:r>
            <w:r>
              <w:rPr>
                <w:rFonts w:hint="eastAsia" w:asciiTheme="minorEastAsia" w:hAnsiTheme="minorEastAsia" w:eastAsiaTheme="minorEastAsia"/>
                <w:szCs w:val="24"/>
              </w:rPr>
              <w:t>%，收取</w:t>
            </w:r>
            <w:r>
              <w:rPr>
                <w:rFonts w:hint="eastAsia" w:asciiTheme="minorEastAsia" w:hAnsiTheme="minorEastAsia" w:eastAsiaTheme="minorEastAsia"/>
                <w:szCs w:val="24"/>
                <w:lang w:eastAsia="zh-CN"/>
              </w:rPr>
              <w:t>代理服务费</w:t>
            </w:r>
            <w:r>
              <w:rPr>
                <w:rFonts w:hint="eastAsia" w:asciiTheme="minorEastAsia" w:hAnsiTheme="minorEastAsia" w:eastAsiaTheme="minorEastAsia"/>
                <w:szCs w:val="24"/>
              </w:rPr>
              <w:t>：人民币元。</w:t>
            </w:r>
          </w:p>
        </w:tc>
      </w:tr>
      <w:tr w14:paraId="0619DB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3E44E94E">
            <w:pPr>
              <w:jc w:val="center"/>
              <w:rPr>
                <w:rFonts w:ascii="宋体" w:hAnsi="宋体"/>
                <w:szCs w:val="24"/>
              </w:rPr>
            </w:pPr>
            <w:r>
              <w:rPr>
                <w:rFonts w:hint="eastAsia" w:ascii="宋体" w:hAnsi="宋体"/>
                <w:szCs w:val="24"/>
              </w:rPr>
              <w:t>6</w:t>
            </w:r>
          </w:p>
        </w:tc>
        <w:tc>
          <w:tcPr>
            <w:tcW w:w="2160" w:type="dxa"/>
            <w:vAlign w:val="center"/>
          </w:tcPr>
          <w:p w14:paraId="7D304DD0">
            <w:pPr>
              <w:jc w:val="center"/>
              <w:rPr>
                <w:rFonts w:ascii="宋体" w:hAnsi="宋体"/>
                <w:szCs w:val="24"/>
              </w:rPr>
            </w:pPr>
            <w:r>
              <w:rPr>
                <w:rFonts w:hint="eastAsia" w:ascii="宋体" w:hAnsi="宋体"/>
                <w:szCs w:val="24"/>
              </w:rPr>
              <w:t>履约保证金</w:t>
            </w:r>
          </w:p>
        </w:tc>
        <w:tc>
          <w:tcPr>
            <w:tcW w:w="5400" w:type="dxa"/>
            <w:vAlign w:val="center"/>
          </w:tcPr>
          <w:p w14:paraId="559F1AA7">
            <w:pPr>
              <w:spacing w:line="360" w:lineRule="exact"/>
              <w:rPr>
                <w:rFonts w:ascii="宋体" w:hAnsi="宋体"/>
                <w:szCs w:val="24"/>
              </w:rPr>
            </w:pPr>
            <w:r>
              <w:rPr>
                <w:rFonts w:hint="eastAsia" w:ascii="宋体" w:hAnsi="宋体" w:eastAsia="MS Mincho" w:cs="MS Mincho"/>
                <w:sz w:val="24"/>
                <w:szCs w:val="24"/>
              </w:rPr>
              <w:t>☑</w:t>
            </w:r>
            <w:r>
              <w:rPr>
                <w:rFonts w:hint="eastAsia" w:ascii="宋体" w:hAnsi="宋体"/>
                <w:szCs w:val="24"/>
              </w:rPr>
              <w:t>本项目不收取履约保证金。</w:t>
            </w:r>
          </w:p>
          <w:p w14:paraId="782CE849">
            <w:pPr>
              <w:spacing w:line="360" w:lineRule="exact"/>
              <w:rPr>
                <w:rFonts w:ascii="宋体" w:hAnsi="宋体"/>
                <w:szCs w:val="24"/>
              </w:rPr>
            </w:pPr>
            <w:r>
              <w:rPr>
                <w:rFonts w:hint="eastAsia" w:ascii="Times New Roman" w:hAnsi="宋体"/>
                <w:szCs w:val="24"/>
              </w:rPr>
              <w:t>□</w:t>
            </w:r>
            <w:r>
              <w:rPr>
                <w:rFonts w:hint="eastAsia" w:ascii="宋体" w:hAnsi="宋体"/>
                <w:szCs w:val="24"/>
              </w:rPr>
              <w:t>本项目收取履约保证金数额为合同金额的%（不超过10%）。</w:t>
            </w:r>
          </w:p>
          <w:p w14:paraId="1DB7A09A">
            <w:pPr>
              <w:spacing w:line="360" w:lineRule="exact"/>
              <w:rPr>
                <w:rFonts w:ascii="宋体" w:hAnsi="宋体"/>
                <w:szCs w:val="24"/>
              </w:rPr>
            </w:pPr>
            <w:r>
              <w:rPr>
                <w:rFonts w:hint="eastAsia" w:ascii="宋体" w:hAnsi="宋体"/>
                <w:szCs w:val="24"/>
              </w:rPr>
              <w:t>根据《深圳市财政局关于进一步优化政府采购营商环境的通知》（深财购〔2021〕31号），政府采购原则上不收取履约保证金；确需收取履约保证金的，应当允许供应商自主选择以支票、汇票、本票、保函等非现金形式缴纳或提交。收取履约保证金的，应当在采购文件中明确履约保证金退还的方式、时间、条件和不予退还的情形，并明确逾期退还履约保证金的违约责任。</w:t>
            </w:r>
          </w:p>
          <w:p w14:paraId="621789F7">
            <w:pPr>
              <w:spacing w:line="360" w:lineRule="exact"/>
              <w:rPr>
                <w:rFonts w:ascii="宋体" w:hAnsi="宋体"/>
              </w:rPr>
            </w:pPr>
            <w:r>
              <w:rPr>
                <w:rFonts w:hint="eastAsia" w:ascii="宋体" w:hAnsi="宋体"/>
                <w:szCs w:val="24"/>
              </w:rPr>
              <w:t>如中标供应商为</w:t>
            </w:r>
            <w:r>
              <w:rPr>
                <w:rFonts w:hint="eastAsia" w:ascii="宋体" w:cs="宋体" w:hAnsiTheme="minorHAnsi"/>
                <w:kern w:val="0"/>
                <w:szCs w:val="21"/>
              </w:rPr>
              <w:t>中小微企业，则收取的履约保证金的数额不得超过政府采购合同金额的</w:t>
            </w:r>
            <w:r>
              <w:rPr>
                <w:rFonts w:ascii="宋体" w:cs="宋体" w:hAnsiTheme="minorHAnsi"/>
                <w:kern w:val="0"/>
                <w:szCs w:val="21"/>
              </w:rPr>
              <w:t>5%</w:t>
            </w:r>
            <w:r>
              <w:rPr>
                <w:rFonts w:hint="eastAsia" w:ascii="宋体" w:cs="宋体" w:hAnsiTheme="minorHAnsi"/>
                <w:kern w:val="0"/>
                <w:szCs w:val="21"/>
              </w:rPr>
              <w:t>。</w:t>
            </w:r>
          </w:p>
        </w:tc>
      </w:tr>
    </w:tbl>
    <w:p w14:paraId="18FC25EC">
      <w:pPr>
        <w:rPr>
          <w:rFonts w:ascii="Times New Roman" w:hAnsi="Times New Roman"/>
          <w:b/>
          <w:szCs w:val="24"/>
        </w:rPr>
      </w:pPr>
      <w:r>
        <w:rPr>
          <w:rFonts w:hint="eastAsia" w:ascii="Times New Roman" w:hAnsi="Times New Roman"/>
          <w:szCs w:val="21"/>
        </w:rPr>
        <w:t xml:space="preserve">    备注：本表为通用条款相关内容的补充和明确，如与通用条款相冲突的以本表为准。</w:t>
      </w:r>
    </w:p>
    <w:p w14:paraId="7DEB5442">
      <w:pPr>
        <w:rPr>
          <w:rFonts w:ascii="Times New Roman" w:hAnsi="Times New Roman"/>
          <w:b/>
          <w:szCs w:val="24"/>
        </w:rPr>
      </w:pPr>
    </w:p>
    <w:p w14:paraId="02097F06">
      <w:pPr>
        <w:pStyle w:val="5"/>
        <w:spacing w:beforeLines="50" w:afterLines="50"/>
        <w:rPr>
          <w:b/>
          <w:bCs/>
        </w:rPr>
      </w:pPr>
      <w:bookmarkStart w:id="8" w:name="_Toc128884461"/>
      <w:r>
        <w:rPr>
          <w:rFonts w:hint="eastAsia"/>
          <w:b/>
          <w:bCs/>
          <w:sz w:val="28"/>
          <w:szCs w:val="28"/>
        </w:rPr>
        <w:t>二、实质性条款</w:t>
      </w:r>
    </w:p>
    <w:tbl>
      <w:tblPr>
        <w:tblStyle w:val="42"/>
        <w:tblW w:w="836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658"/>
      </w:tblGrid>
      <w:tr w14:paraId="30F5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2552DAA">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7658" w:type="dxa"/>
            <w:vAlign w:val="center"/>
          </w:tcPr>
          <w:p w14:paraId="225A203F">
            <w:pPr>
              <w:adjustRightInd w:val="0"/>
              <w:snapToGrid w:val="0"/>
              <w:spacing w:line="360" w:lineRule="auto"/>
              <w:jc w:val="center"/>
              <w:rPr>
                <w:rFonts w:ascii="宋体" w:hAnsi="宋体"/>
                <w:kern w:val="0"/>
                <w:szCs w:val="21"/>
              </w:rPr>
            </w:pPr>
            <w:r>
              <w:rPr>
                <w:rFonts w:hint="eastAsia" w:ascii="宋体" w:hAnsi="宋体"/>
                <w:kern w:val="0"/>
                <w:szCs w:val="21"/>
              </w:rPr>
              <w:t>具体内容</w:t>
            </w:r>
          </w:p>
        </w:tc>
      </w:tr>
      <w:tr w14:paraId="0E2C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A86D636">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7658" w:type="dxa"/>
            <w:vAlign w:val="center"/>
          </w:tcPr>
          <w:p w14:paraId="2C0216A6">
            <w:pPr>
              <w:adjustRightInd w:val="0"/>
              <w:snapToGrid w:val="0"/>
              <w:spacing w:line="360" w:lineRule="auto"/>
              <w:jc w:val="left"/>
              <w:rPr>
                <w:rFonts w:hAnsi="宋体"/>
                <w:kern w:val="0"/>
                <w:szCs w:val="21"/>
              </w:rPr>
            </w:pPr>
            <w:r>
              <w:rPr>
                <w:rFonts w:hint="eastAsia" w:ascii="宋体" w:hAnsi="宋体" w:eastAsia="宋体" w:cs="宋体"/>
                <w:kern w:val="0"/>
                <w:sz w:val="21"/>
                <w:szCs w:val="21"/>
              </w:rPr>
              <w:t>满足本项目</w:t>
            </w:r>
            <w:r>
              <w:rPr>
                <w:rFonts w:hint="eastAsia" w:ascii="宋体" w:hAnsi="宋体" w:eastAsia="宋体" w:cs="宋体"/>
                <w:kern w:val="0"/>
                <w:sz w:val="21"/>
                <w:szCs w:val="21"/>
                <w:lang w:eastAsia="zh-CN"/>
              </w:rPr>
              <w:t>所有</w:t>
            </w:r>
            <w:r>
              <w:rPr>
                <w:rFonts w:hint="eastAsia" w:ascii="宋体" w:hAnsi="宋体" w:eastAsia="宋体" w:cs="宋体"/>
                <w:kern w:val="0"/>
                <w:sz w:val="21"/>
                <w:szCs w:val="21"/>
              </w:rPr>
              <w:t>标★的条款要求</w:t>
            </w:r>
            <w:r>
              <w:rPr>
                <w:rFonts w:hint="eastAsia" w:ascii="宋体" w:hAnsi="宋体" w:eastAsia="宋体" w:cs="宋体"/>
                <w:b/>
                <w:bCs/>
                <w:kern w:val="0"/>
                <w:sz w:val="21"/>
                <w:szCs w:val="21"/>
                <w:lang w:eastAsia="zh-CN"/>
              </w:rPr>
              <w:t>（涉及提供佐证材料的，应按要求提供相应证明材料，任一项未响应或不满足要求的，将导致投标无效。）</w:t>
            </w:r>
          </w:p>
        </w:tc>
      </w:tr>
    </w:tbl>
    <w:p w14:paraId="32829E24">
      <w:pPr>
        <w:adjustRightInd w:val="0"/>
        <w:snapToGrid w:val="0"/>
        <w:spacing w:line="360" w:lineRule="auto"/>
        <w:ind w:firstLine="482" w:firstLineChars="200"/>
      </w:pPr>
      <w:r>
        <w:rPr>
          <w:rFonts w:hint="eastAsia" w:ascii="黑体"/>
          <w:b/>
          <w:kern w:val="0"/>
          <w:sz w:val="24"/>
        </w:rPr>
        <w:t>注：上表所列内容为不可负偏离的实质性条款。</w:t>
      </w:r>
    </w:p>
    <w:bookmarkEnd w:id="8"/>
    <w:p w14:paraId="66A5913D">
      <w:pPr>
        <w:pStyle w:val="18"/>
        <w:jc w:val="center"/>
        <w:rPr>
          <w:rFonts w:ascii="宋体" w:hAnsi="宋体"/>
          <w:sz w:val="28"/>
          <w:szCs w:val="28"/>
        </w:rPr>
      </w:pPr>
      <w:r>
        <w:rPr>
          <w:rFonts w:hint="eastAsia" w:ascii="宋体" w:hAnsi="宋体"/>
          <w:sz w:val="28"/>
          <w:szCs w:val="28"/>
        </w:rPr>
        <w:t>三、项目概况</w:t>
      </w:r>
    </w:p>
    <w:p w14:paraId="668A5B5D">
      <w:pPr>
        <w:pStyle w:val="18"/>
      </w:pPr>
      <w:r>
        <w:rPr>
          <w:rFonts w:hint="eastAsia"/>
        </w:rPr>
        <w:t>（一）采购需求</w:t>
      </w:r>
    </w:p>
    <w:tbl>
      <w:tblPr>
        <w:tblStyle w:val="42"/>
        <w:tblW w:w="9229" w:type="dxa"/>
        <w:tblInd w:w="0" w:type="dxa"/>
        <w:tblLayout w:type="fixed"/>
        <w:tblCellMar>
          <w:top w:w="15" w:type="dxa"/>
          <w:left w:w="15" w:type="dxa"/>
          <w:bottom w:w="15" w:type="dxa"/>
          <w:right w:w="15" w:type="dxa"/>
        </w:tblCellMar>
      </w:tblPr>
      <w:tblGrid>
        <w:gridCol w:w="866"/>
        <w:gridCol w:w="3685"/>
        <w:gridCol w:w="921"/>
        <w:gridCol w:w="922"/>
        <w:gridCol w:w="1701"/>
        <w:gridCol w:w="1134"/>
      </w:tblGrid>
      <w:tr w14:paraId="06690BD3">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439FCCE9">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7848EB30">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1877C2B1">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5504E857">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6EF30EE6">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02BB8D39">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134" w:type="dxa"/>
            <w:tcBorders>
              <w:top w:val="single" w:color="000000" w:sz="4" w:space="0"/>
              <w:left w:val="single" w:color="000000" w:sz="4" w:space="0"/>
              <w:bottom w:val="single" w:color="000000" w:sz="4" w:space="0"/>
              <w:right w:val="single" w:color="000000" w:sz="4" w:space="0"/>
            </w:tcBorders>
            <w:vAlign w:val="center"/>
          </w:tcPr>
          <w:p w14:paraId="72755999">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39E68105">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2302FB01">
            <w:pPr>
              <w:widowControl/>
              <w:adjustRightInd w:val="0"/>
              <w:snapToGrid w:val="0"/>
              <w:spacing w:line="360" w:lineRule="auto"/>
              <w:jc w:val="center"/>
              <w:textAlignment w:val="center"/>
              <w:rPr>
                <w:rFonts w:ascii="宋体" w:hAnsi="宋体" w:cs="宋体"/>
                <w:szCs w:val="21"/>
              </w:rPr>
            </w:pPr>
            <w:r>
              <w:rPr>
                <w:rFonts w:hint="eastAsia" w:ascii="Times New Roman" w:hAnsi="Times New Roman"/>
                <w:szCs w:val="24"/>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033A8AC0">
            <w:pPr>
              <w:widowControl/>
              <w:adjustRightInd w:val="0"/>
              <w:snapToGrid w:val="0"/>
              <w:spacing w:line="360" w:lineRule="auto"/>
              <w:jc w:val="center"/>
              <w:textAlignment w:val="center"/>
              <w:rPr>
                <w:rFonts w:hint="eastAsia" w:ascii="宋体" w:hAnsi="宋体" w:eastAsia="宋体" w:cs="宋体"/>
                <w:szCs w:val="21"/>
                <w:lang w:eastAsia="zh-CN"/>
              </w:rPr>
            </w:pPr>
            <w:r>
              <w:rPr>
                <w:rFonts w:hint="eastAsia" w:ascii="宋体" w:hAnsi="宋体"/>
                <w:snapToGrid w:val="0"/>
                <w:szCs w:val="21"/>
                <w:lang w:eastAsia="zh-CN"/>
              </w:rPr>
              <w:t>网络安全等级保护测评服务项目</w:t>
            </w:r>
          </w:p>
        </w:tc>
        <w:tc>
          <w:tcPr>
            <w:tcW w:w="921" w:type="dxa"/>
            <w:tcBorders>
              <w:top w:val="single" w:color="000000" w:sz="4" w:space="0"/>
              <w:left w:val="single" w:color="000000" w:sz="4" w:space="0"/>
              <w:bottom w:val="single" w:color="000000" w:sz="4" w:space="0"/>
              <w:right w:val="single" w:color="000000" w:sz="4" w:space="0"/>
            </w:tcBorders>
            <w:vAlign w:val="center"/>
          </w:tcPr>
          <w:p w14:paraId="637F0CEF">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0FDBEAFF">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660078DE">
            <w:pPr>
              <w:widowControl/>
              <w:adjustRightInd w:val="0"/>
              <w:snapToGrid w:val="0"/>
              <w:spacing w:line="360" w:lineRule="auto"/>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240,000.00</w:t>
            </w:r>
          </w:p>
        </w:tc>
        <w:tc>
          <w:tcPr>
            <w:tcW w:w="1134" w:type="dxa"/>
            <w:tcBorders>
              <w:top w:val="single" w:color="000000" w:sz="4" w:space="0"/>
              <w:left w:val="single" w:color="000000" w:sz="4" w:space="0"/>
              <w:bottom w:val="single" w:color="000000" w:sz="4" w:space="0"/>
              <w:right w:val="single" w:color="000000" w:sz="4" w:space="0"/>
            </w:tcBorders>
            <w:vAlign w:val="center"/>
          </w:tcPr>
          <w:p w14:paraId="68E793E5">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0DE61582">
      <w:pPr>
        <w:pStyle w:val="18"/>
      </w:pPr>
      <w:r>
        <w:rPr>
          <w:rFonts w:hint="eastAsia"/>
        </w:rPr>
        <w:t>（二）项目背景</w:t>
      </w:r>
    </w:p>
    <w:p w14:paraId="4EDB98A4">
      <w:pPr>
        <w:pStyle w:val="18"/>
        <w:ind w:firstLine="424" w:firstLineChars="202"/>
        <w:rPr>
          <w:b w:val="0"/>
          <w:sz w:val="21"/>
          <w:szCs w:val="21"/>
        </w:rPr>
      </w:pPr>
      <w:r>
        <w:rPr>
          <w:rFonts w:hint="eastAsia"/>
          <w:b w:val="0"/>
          <w:sz w:val="21"/>
          <w:szCs w:val="21"/>
        </w:rPr>
        <w:t>依据《中华人民共和国网络安全法》、《中华人民共和国数据安全法》，按照广东省和深圳市公安网监部门工作部署要求，针对正在运行使用的3个信息系统(3个三级系统)，落实开展网络安全等级保护测评工作。按照最新等级保护2.0国家标准规范进行评测，找出存在的差距和不足，提出整改修复意见及协助执行修复措施。</w:t>
      </w:r>
    </w:p>
    <w:p w14:paraId="4571171F">
      <w:pPr>
        <w:autoSpaceDE w:val="0"/>
        <w:autoSpaceDN w:val="0"/>
        <w:adjustRightInd w:val="0"/>
        <w:spacing w:line="360" w:lineRule="auto"/>
        <w:ind w:firstLine="424" w:firstLineChars="176"/>
        <w:jc w:val="left"/>
        <w:rPr>
          <w:rFonts w:ascii="仿宋_GB2312" w:hAnsi="Times New Roman" w:eastAsia="仿宋_GB2312"/>
          <w:b/>
          <w:sz w:val="24"/>
          <w:szCs w:val="24"/>
        </w:rPr>
      </w:pPr>
      <w:r>
        <w:rPr>
          <w:rFonts w:hint="eastAsia" w:ascii="仿宋_GB2312" w:hAnsi="Times New Roman" w:eastAsia="仿宋_GB2312"/>
          <w:b/>
          <w:sz w:val="24"/>
          <w:szCs w:val="24"/>
        </w:rPr>
        <w:t>备注：</w:t>
      </w:r>
    </w:p>
    <w:p w14:paraId="1726CB32">
      <w:pPr>
        <w:autoSpaceDE w:val="0"/>
        <w:autoSpaceDN w:val="0"/>
        <w:adjustRightInd w:val="0"/>
        <w:spacing w:line="360" w:lineRule="auto"/>
        <w:ind w:firstLine="424" w:firstLineChars="176"/>
        <w:jc w:val="left"/>
        <w:rPr>
          <w:rFonts w:ascii="仿宋_GB2312" w:hAnsi="Times New Roman" w:eastAsia="仿宋_GB2312"/>
          <w:b/>
          <w:sz w:val="24"/>
          <w:szCs w:val="24"/>
        </w:rPr>
      </w:pPr>
      <w:r>
        <w:rPr>
          <w:rFonts w:hint="eastAsia" w:ascii="仿宋_GB2312" w:hAnsi="Times New Roman" w:eastAsia="仿宋_GB2312"/>
          <w:b/>
          <w:sz w:val="24"/>
          <w:szCs w:val="24"/>
        </w:rPr>
        <w:t>1、本章项目需求中所出现的测评服务、报告等材料，中标单位需严格按照等保测评相关标准实施和交付。未按相关标准实施交付的中标单位承担全部责任。</w:t>
      </w:r>
    </w:p>
    <w:p w14:paraId="73C3A4E6">
      <w:pPr>
        <w:autoSpaceDE w:val="0"/>
        <w:autoSpaceDN w:val="0"/>
        <w:adjustRightInd w:val="0"/>
        <w:spacing w:line="360" w:lineRule="auto"/>
        <w:ind w:firstLine="424" w:firstLineChars="176"/>
        <w:jc w:val="left"/>
        <w:rPr>
          <w:rFonts w:ascii="仿宋_GB2312" w:hAnsi="Times New Roman" w:eastAsia="仿宋_GB2312"/>
          <w:b/>
          <w:sz w:val="24"/>
          <w:szCs w:val="24"/>
        </w:rPr>
      </w:pPr>
      <w:r>
        <w:rPr>
          <w:rFonts w:hint="eastAsia" w:ascii="仿宋_GB2312" w:hAnsi="Times New Roman" w:eastAsia="仿宋_GB2312"/>
          <w:b/>
          <w:sz w:val="24"/>
          <w:szCs w:val="24"/>
        </w:rPr>
        <w:t>2、如要求提供证明材料，投标文件需提供相应证明材料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且证明材料信息相互冲突的，以不利于投标人的那份证明材料作为判断是否符合采购需求的响应内容。</w:t>
      </w:r>
    </w:p>
    <w:p w14:paraId="044962C8">
      <w:pPr>
        <w:autoSpaceDE w:val="0"/>
        <w:autoSpaceDN w:val="0"/>
        <w:adjustRightInd w:val="0"/>
        <w:spacing w:line="360" w:lineRule="auto"/>
        <w:ind w:firstLine="424" w:firstLineChars="176"/>
        <w:jc w:val="left"/>
        <w:rPr>
          <w:rFonts w:ascii="仿宋_GB2312" w:hAnsi="Times New Roman" w:eastAsia="仿宋_GB2312"/>
          <w:b/>
          <w:sz w:val="24"/>
          <w:szCs w:val="24"/>
        </w:rPr>
      </w:pPr>
      <w:r>
        <w:rPr>
          <w:rFonts w:hint="eastAsia" w:ascii="仿宋_GB2312" w:hAnsi="Times New Roman" w:eastAsia="仿宋_GB2312"/>
          <w:b/>
          <w:sz w:val="24"/>
          <w:szCs w:val="24"/>
        </w:rPr>
        <w:t>3、投标人提供证书或检测报告等证明材料的，颁发证书、出具报告的机构须是合法设立的机构，且具有颁发相应证书或者出具相应报告的资质。</w:t>
      </w:r>
    </w:p>
    <w:p w14:paraId="5B143FE0">
      <w:pPr>
        <w:autoSpaceDE w:val="0"/>
        <w:autoSpaceDN w:val="0"/>
        <w:adjustRightInd w:val="0"/>
        <w:spacing w:line="360" w:lineRule="auto"/>
        <w:ind w:firstLine="424" w:firstLineChars="176"/>
        <w:jc w:val="left"/>
        <w:rPr>
          <w:rFonts w:hint="eastAsia" w:ascii="仿宋_GB2312" w:hAnsi="Times New Roman" w:eastAsia="仿宋_GB2312"/>
          <w:b/>
          <w:sz w:val="24"/>
          <w:szCs w:val="24"/>
          <w:highlight w:val="yellow"/>
        </w:rPr>
      </w:pPr>
      <w:r>
        <w:rPr>
          <w:rFonts w:hint="eastAsia" w:ascii="仿宋_GB2312" w:hAnsi="Times New Roman" w:eastAsia="仿宋_GB2312"/>
          <w:b/>
          <w:sz w:val="24"/>
          <w:szCs w:val="24"/>
          <w:highlight w:val="yellow"/>
        </w:rPr>
        <w:t>4、加注▲的条款为重要条款要求，如不满足将按照</w:t>
      </w:r>
      <w:r>
        <w:rPr>
          <w:rFonts w:hint="eastAsia" w:ascii="仿宋_GB2312" w:hAnsi="Times New Roman" w:eastAsia="仿宋_GB2312"/>
          <w:b/>
          <w:sz w:val="24"/>
          <w:szCs w:val="24"/>
          <w:highlight w:val="yellow"/>
          <w:lang w:val="en-US" w:eastAsia="zh-CN"/>
        </w:rPr>
        <w:t>评标信息的</w:t>
      </w:r>
      <w:r>
        <w:rPr>
          <w:rFonts w:hint="eastAsia" w:ascii="仿宋_GB2312" w:hAnsi="Times New Roman" w:eastAsia="仿宋_GB2312"/>
          <w:b/>
          <w:sz w:val="24"/>
          <w:szCs w:val="24"/>
          <w:highlight w:val="yellow"/>
        </w:rPr>
        <w:t>“评标标准”进行扣分。</w:t>
      </w:r>
    </w:p>
    <w:p w14:paraId="19D5F6D5">
      <w:pPr>
        <w:autoSpaceDE w:val="0"/>
        <w:autoSpaceDN w:val="0"/>
        <w:adjustRightInd w:val="0"/>
        <w:spacing w:line="360" w:lineRule="auto"/>
        <w:ind w:firstLine="424" w:firstLineChars="176"/>
        <w:jc w:val="left"/>
        <w:rPr>
          <w:rFonts w:ascii="仿宋_GB2312" w:hAnsi="Times New Roman" w:eastAsia="仿宋_GB2312"/>
          <w:b/>
          <w:sz w:val="24"/>
          <w:szCs w:val="24"/>
        </w:rPr>
      </w:pPr>
      <w:r>
        <w:rPr>
          <w:rFonts w:hint="eastAsia" w:ascii="仿宋_GB2312" w:hAnsi="Times New Roman" w:eastAsia="仿宋_GB2312"/>
          <w:b/>
          <w:sz w:val="24"/>
          <w:szCs w:val="24"/>
          <w:highlight w:val="yellow"/>
          <w:lang w:val="en-US" w:eastAsia="zh-CN"/>
        </w:rPr>
        <w:t>5、</w:t>
      </w:r>
      <w:r>
        <w:rPr>
          <w:rFonts w:hint="eastAsia" w:ascii="仿宋_GB2312" w:hAnsi="Times New Roman" w:eastAsia="仿宋_GB2312"/>
          <w:b/>
          <w:sz w:val="24"/>
          <w:szCs w:val="24"/>
          <w:highlight w:val="yellow"/>
        </w:rPr>
        <w:t>加注★的条款为不可负偏离的实质性条款，任一项未响应或不满足要求的，将导致投标无效。</w:t>
      </w:r>
    </w:p>
    <w:p w14:paraId="5F94E659">
      <w:pPr>
        <w:autoSpaceDE w:val="0"/>
        <w:autoSpaceDN w:val="0"/>
        <w:adjustRightInd w:val="0"/>
        <w:spacing w:line="360" w:lineRule="auto"/>
        <w:ind w:firstLine="424" w:firstLineChars="176"/>
        <w:jc w:val="left"/>
        <w:rPr>
          <w:rFonts w:ascii="宋体" w:hAnsi="宋体"/>
          <w:b/>
          <w:bCs/>
          <w:kern w:val="0"/>
          <w:sz w:val="24"/>
          <w:szCs w:val="20"/>
        </w:rPr>
      </w:pPr>
    </w:p>
    <w:p w14:paraId="1D7E3F43">
      <w:pPr>
        <w:keepNext/>
        <w:keepLines/>
        <w:adjustRightInd w:val="0"/>
        <w:spacing w:beforeLines="50" w:afterLines="50"/>
        <w:jc w:val="center"/>
        <w:textAlignment w:val="baseline"/>
        <w:outlineLvl w:val="1"/>
        <w:rPr>
          <w:rFonts w:ascii="宋体" w:hAnsi="宋体"/>
          <w:b/>
          <w:bCs/>
          <w:kern w:val="0"/>
          <w:sz w:val="28"/>
          <w:szCs w:val="28"/>
        </w:rPr>
      </w:pPr>
      <w:r>
        <w:rPr>
          <w:rFonts w:hint="eastAsia" w:ascii="宋体" w:hAnsi="宋体"/>
          <w:b/>
          <w:bCs/>
          <w:kern w:val="0"/>
          <w:sz w:val="28"/>
          <w:szCs w:val="28"/>
        </w:rPr>
        <w:t>四、项目服务要求</w:t>
      </w:r>
    </w:p>
    <w:p w14:paraId="3F324474">
      <w:pPr>
        <w:pStyle w:val="215"/>
        <w:spacing w:beforeLines="0" w:line="360" w:lineRule="auto"/>
        <w:ind w:firstLine="422"/>
        <w:rPr>
          <w:rFonts w:hint="eastAsia" w:asciiTheme="minorEastAsia" w:hAnsiTheme="minorEastAsia" w:eastAsiaTheme="minorEastAsia"/>
          <w:b/>
        </w:rPr>
      </w:pPr>
      <w:r>
        <w:rPr>
          <w:rFonts w:hint="eastAsia" w:asciiTheme="minorEastAsia" w:hAnsiTheme="minorEastAsia" w:eastAsiaTheme="minorEastAsia"/>
          <w:b/>
        </w:rPr>
        <w:t>（一）遵循技术标准规范：</w:t>
      </w:r>
    </w:p>
    <w:p w14:paraId="0678DB4E">
      <w:pPr>
        <w:pStyle w:val="220"/>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本项目信息系统测评规范必须强制性遵循国家相关文件和标准，严格根据国家法律法规与测评标准及规范进行测评、整改、持续保护等措施，包括但不限于：</w:t>
      </w:r>
    </w:p>
    <w:p w14:paraId="6581E58C">
      <w:pPr>
        <w:pStyle w:val="220"/>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《关于信息安全等级保护工作的实施意见》（公通字[2004]66号）</w:t>
      </w:r>
    </w:p>
    <w:p w14:paraId="43501E20">
      <w:pPr>
        <w:pStyle w:val="220"/>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《信息安全等级保护备案实施细则》(公信安[2007]1360号)</w:t>
      </w:r>
    </w:p>
    <w:p w14:paraId="73A08B89">
      <w:pPr>
        <w:pStyle w:val="220"/>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GB/T22240-2020《信息安全技术 网络安全等级保护定级指南》</w:t>
      </w:r>
    </w:p>
    <w:p w14:paraId="711605C5">
      <w:pPr>
        <w:pStyle w:val="220"/>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GB/T25058-2019《信息安全技术网络安全等级保护实施指南》</w:t>
      </w:r>
    </w:p>
    <w:p w14:paraId="74E85245">
      <w:pPr>
        <w:pStyle w:val="220"/>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GB/T28448-2019《信息安全技术网络安全等级保护测评要求》</w:t>
      </w:r>
    </w:p>
    <w:p w14:paraId="0FA91D13">
      <w:pPr>
        <w:pStyle w:val="220"/>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GB/T22239-2019《信息安全技术网络安全等级保护基本要求》</w:t>
      </w:r>
    </w:p>
    <w:p w14:paraId="65CD2D0E">
      <w:pPr>
        <w:pStyle w:val="220"/>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GB/T25070-2019《信息安全技术 网络安全等级保护安全设计技术要求》</w:t>
      </w:r>
    </w:p>
    <w:p w14:paraId="0B46530C">
      <w:pPr>
        <w:pStyle w:val="220"/>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GB/T28449-2018《信息安全技术网络安全等级保护测评过程指南标准文件》</w:t>
      </w:r>
    </w:p>
    <w:p w14:paraId="23ECA87C">
      <w:pPr>
        <w:pStyle w:val="220"/>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GB/T36627-2018《网络安全等级保护测试评估技术指南》</w:t>
      </w:r>
    </w:p>
    <w:p w14:paraId="49086E92">
      <w:pPr>
        <w:pStyle w:val="220"/>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GB17859-1999《计算机信息系统安全等级保护划分准则》</w:t>
      </w:r>
    </w:p>
    <w:p w14:paraId="6386A27D">
      <w:pPr>
        <w:pStyle w:val="220"/>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GB/T30276-2020《信息安全技术 网络安全漏洞管理规范》</w:t>
      </w:r>
    </w:p>
    <w:p w14:paraId="3F14923E">
      <w:pPr>
        <w:pStyle w:val="215"/>
        <w:spacing w:beforeLines="0" w:line="360" w:lineRule="auto"/>
        <w:ind w:firstLine="422"/>
        <w:rPr>
          <w:rFonts w:hint="eastAsia" w:asciiTheme="minorEastAsia" w:hAnsiTheme="minorEastAsia" w:eastAsiaTheme="minorEastAsia"/>
          <w:b/>
        </w:rPr>
      </w:pPr>
      <w:r>
        <w:rPr>
          <w:rFonts w:hint="eastAsia" w:asciiTheme="minorEastAsia" w:hAnsiTheme="minorEastAsia" w:eastAsiaTheme="minorEastAsia"/>
          <w:b/>
        </w:rPr>
        <w:t>（二）项目服务目标</w:t>
      </w:r>
    </w:p>
    <w:p w14:paraId="133B1F88">
      <w:pPr>
        <w:pStyle w:val="220"/>
        <w:wordWrap/>
        <w:spacing w:afterLines="0" w:line="360" w:lineRule="auto"/>
        <w:ind w:firstLine="420"/>
        <w:rPr>
          <w:rFonts w:hint="eastAsia" w:cs="Times New Roman"/>
          <w:snapToGrid/>
          <w:spacing w:val="0"/>
          <w:sz w:val="21"/>
          <w:szCs w:val="21"/>
        </w:rPr>
      </w:pPr>
      <w:r>
        <w:rPr>
          <w:rFonts w:cs="Times New Roman"/>
          <w:snapToGrid/>
          <w:spacing w:val="0"/>
          <w:sz w:val="21"/>
          <w:szCs w:val="21"/>
        </w:rPr>
        <w:t>为贯彻落实国家信息安全等级保护制度，规范和指导全国卫生行业信息安全等级保护工作，按照《信息安全等级保护管理办法》公通字〔2007〕43号及《卫生行业信息安全等级保护工作的指导意见》卫办发〔2011〕85号，针对单位信息系统开展年度性的网络安全等级保护测评工作，使单位认真贯彻落实《网络安全法》要求，完善网络安全架构，提高网络安全保护要求。通过漏洞扫描、风险检测、配置核查等手段提高网络安全防御。</w:t>
      </w:r>
    </w:p>
    <w:p w14:paraId="5E355110">
      <w:pPr>
        <w:pStyle w:val="220"/>
        <w:wordWrap/>
        <w:spacing w:afterLines="0" w:line="360" w:lineRule="auto"/>
        <w:ind w:firstLine="498"/>
        <w:rPr>
          <w:rFonts w:hint="eastAsia" w:cs="Times New Roman"/>
          <w:snapToGrid/>
          <w:spacing w:val="0"/>
          <w:sz w:val="21"/>
          <w:szCs w:val="21"/>
        </w:rPr>
      </w:pPr>
      <w:r>
        <w:rPr>
          <w:rFonts w:hint="eastAsia" w:asciiTheme="minorEastAsia" w:hAnsiTheme="minorEastAsia" w:eastAsiaTheme="minorEastAsia"/>
          <w:b/>
        </w:rPr>
        <w:t>（三）</w:t>
      </w:r>
      <w:r>
        <w:rPr>
          <w:rFonts w:hint="eastAsia" w:cs="Times New Roman"/>
          <w:b/>
          <w:bCs/>
          <w:snapToGrid/>
          <w:spacing w:val="0"/>
          <w:sz w:val="21"/>
          <w:szCs w:val="21"/>
        </w:rPr>
        <w:t>项目服务范围</w:t>
      </w:r>
    </w:p>
    <w:p w14:paraId="3E73B68B">
      <w:pPr>
        <w:pStyle w:val="220"/>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依据《信息安全等级保护管理办法》（公通字〔2007〕43号）、《网络安全等级保护定级指南》、《信息安全技术网络安全等级保护测评过程指南标准文件》和《信息安全技术网络安全等级保护测评要求》，对3个三级信息系统进行整体测评工作，编写等级保护测评报告、整改建议及处置措施。</w:t>
      </w:r>
    </w:p>
    <w:p w14:paraId="782EC344">
      <w:pPr>
        <w:pStyle w:val="220"/>
        <w:wordWrap/>
        <w:spacing w:afterLines="0" w:line="360" w:lineRule="auto"/>
        <w:ind w:firstLine="422"/>
        <w:rPr>
          <w:rFonts w:hint="eastAsia" w:cs="Times New Roman"/>
          <w:snapToGrid/>
          <w:spacing w:val="0"/>
          <w:sz w:val="21"/>
          <w:szCs w:val="21"/>
        </w:rPr>
      </w:pPr>
      <w:r>
        <w:rPr>
          <w:rFonts w:hint="eastAsia" w:cs="Times New Roman"/>
          <w:b/>
          <w:bCs/>
          <w:snapToGrid/>
          <w:spacing w:val="0"/>
          <w:sz w:val="21"/>
          <w:szCs w:val="21"/>
        </w:rPr>
        <w:t>1.测评信息系统清单</w:t>
      </w:r>
    </w:p>
    <w:tbl>
      <w:tblPr>
        <w:tblStyle w:val="42"/>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4071"/>
        <w:gridCol w:w="1676"/>
        <w:gridCol w:w="1316"/>
        <w:gridCol w:w="1556"/>
      </w:tblGrid>
      <w:tr w14:paraId="78EAE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18" w:type="dxa"/>
            <w:vAlign w:val="center"/>
          </w:tcPr>
          <w:p w14:paraId="35060090">
            <w:pPr>
              <w:spacing w:line="360" w:lineRule="auto"/>
              <w:rPr>
                <w:rFonts w:hint="eastAsia" w:ascii="宋体" w:hAnsi="宋体" w:cs="宋体"/>
                <w:b/>
                <w:szCs w:val="21"/>
              </w:rPr>
            </w:pPr>
            <w:r>
              <w:rPr>
                <w:rFonts w:hint="eastAsia" w:ascii="宋体" w:hAnsi="宋体" w:cs="宋体"/>
                <w:b/>
                <w:szCs w:val="21"/>
              </w:rPr>
              <w:t>序号</w:t>
            </w:r>
          </w:p>
        </w:tc>
        <w:tc>
          <w:tcPr>
            <w:tcW w:w="4071" w:type="dxa"/>
            <w:vAlign w:val="center"/>
          </w:tcPr>
          <w:p w14:paraId="42506DB4">
            <w:pPr>
              <w:spacing w:line="360" w:lineRule="auto"/>
              <w:jc w:val="center"/>
              <w:rPr>
                <w:rFonts w:hint="eastAsia" w:ascii="宋体" w:hAnsi="宋体" w:cs="宋体"/>
                <w:b/>
                <w:szCs w:val="21"/>
              </w:rPr>
            </w:pPr>
            <w:r>
              <w:rPr>
                <w:rFonts w:hint="eastAsia" w:ascii="宋体" w:hAnsi="宋体" w:cs="宋体"/>
                <w:b/>
                <w:szCs w:val="21"/>
              </w:rPr>
              <w:t>测评系统名称</w:t>
            </w:r>
          </w:p>
        </w:tc>
        <w:tc>
          <w:tcPr>
            <w:tcW w:w="1676" w:type="dxa"/>
            <w:vAlign w:val="center"/>
          </w:tcPr>
          <w:p w14:paraId="228D609E">
            <w:pPr>
              <w:spacing w:line="360" w:lineRule="auto"/>
              <w:jc w:val="center"/>
              <w:rPr>
                <w:rFonts w:hint="eastAsia" w:ascii="宋体" w:hAnsi="宋体" w:cs="宋体"/>
                <w:b/>
                <w:szCs w:val="21"/>
              </w:rPr>
            </w:pPr>
            <w:r>
              <w:rPr>
                <w:rFonts w:hint="eastAsia" w:ascii="宋体" w:hAnsi="宋体" w:cs="宋体"/>
                <w:b/>
                <w:szCs w:val="21"/>
              </w:rPr>
              <w:t>测评系统数量</w:t>
            </w:r>
          </w:p>
        </w:tc>
        <w:tc>
          <w:tcPr>
            <w:tcW w:w="1316" w:type="dxa"/>
            <w:vAlign w:val="center"/>
          </w:tcPr>
          <w:p w14:paraId="24C05927">
            <w:pPr>
              <w:spacing w:line="360" w:lineRule="auto"/>
              <w:jc w:val="center"/>
              <w:rPr>
                <w:rFonts w:hint="eastAsia" w:ascii="宋体" w:hAnsi="宋体" w:cs="宋体"/>
                <w:b/>
                <w:szCs w:val="21"/>
              </w:rPr>
            </w:pPr>
            <w:r>
              <w:rPr>
                <w:rFonts w:hint="eastAsia" w:ascii="宋体" w:hAnsi="宋体" w:cs="宋体"/>
                <w:b/>
                <w:szCs w:val="21"/>
              </w:rPr>
              <w:t>拟定级别</w:t>
            </w:r>
          </w:p>
        </w:tc>
        <w:tc>
          <w:tcPr>
            <w:tcW w:w="1556" w:type="dxa"/>
            <w:vAlign w:val="center"/>
          </w:tcPr>
          <w:p w14:paraId="0228F926">
            <w:pPr>
              <w:spacing w:line="360" w:lineRule="auto"/>
              <w:jc w:val="center"/>
              <w:rPr>
                <w:rFonts w:hint="eastAsia" w:ascii="宋体" w:hAnsi="宋体" w:cs="宋体"/>
                <w:b/>
                <w:szCs w:val="21"/>
              </w:rPr>
            </w:pPr>
            <w:r>
              <w:rPr>
                <w:rFonts w:hint="eastAsia" w:ascii="宋体" w:hAnsi="宋体" w:cs="宋体"/>
                <w:b/>
                <w:szCs w:val="21"/>
              </w:rPr>
              <w:t>备注</w:t>
            </w:r>
          </w:p>
        </w:tc>
      </w:tr>
      <w:tr w14:paraId="1B335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18" w:type="dxa"/>
            <w:vAlign w:val="center"/>
          </w:tcPr>
          <w:p w14:paraId="65D301AC">
            <w:pPr>
              <w:spacing w:line="360" w:lineRule="auto"/>
              <w:ind w:left="195"/>
              <w:rPr>
                <w:rFonts w:hint="eastAsia" w:ascii="宋体" w:hAnsi="宋体" w:cs="宋体"/>
                <w:szCs w:val="21"/>
              </w:rPr>
            </w:pPr>
            <w:r>
              <w:rPr>
                <w:rFonts w:hint="eastAsia" w:ascii="宋体" w:hAnsi="宋体" w:cs="宋体"/>
                <w:szCs w:val="21"/>
              </w:rPr>
              <w:t>1</w:t>
            </w:r>
          </w:p>
        </w:tc>
        <w:tc>
          <w:tcPr>
            <w:tcW w:w="4071" w:type="dxa"/>
            <w:vAlign w:val="center"/>
          </w:tcPr>
          <w:p w14:paraId="6AF41034">
            <w:pPr>
              <w:spacing w:line="360" w:lineRule="auto"/>
              <w:jc w:val="center"/>
              <w:rPr>
                <w:rFonts w:hint="eastAsia" w:ascii="宋体" w:hAnsi="宋体" w:cs="宋体"/>
                <w:szCs w:val="21"/>
              </w:rPr>
            </w:pPr>
            <w:r>
              <w:rPr>
                <w:rFonts w:hint="eastAsia" w:ascii="宋体" w:hAnsi="宋体" w:cs="宋体"/>
                <w:szCs w:val="21"/>
              </w:rPr>
              <w:t>HIS系统</w:t>
            </w:r>
          </w:p>
        </w:tc>
        <w:tc>
          <w:tcPr>
            <w:tcW w:w="1676" w:type="dxa"/>
            <w:vAlign w:val="center"/>
          </w:tcPr>
          <w:p w14:paraId="301E8A3C">
            <w:pPr>
              <w:spacing w:line="360" w:lineRule="auto"/>
              <w:jc w:val="center"/>
              <w:rPr>
                <w:rFonts w:hint="eastAsia" w:ascii="宋体" w:hAnsi="宋体" w:cs="宋体"/>
                <w:szCs w:val="21"/>
              </w:rPr>
            </w:pPr>
            <w:r>
              <w:rPr>
                <w:rFonts w:hint="eastAsia" w:ascii="宋体" w:hAnsi="宋体" w:cs="宋体"/>
                <w:szCs w:val="21"/>
              </w:rPr>
              <w:t>1个</w:t>
            </w:r>
          </w:p>
        </w:tc>
        <w:tc>
          <w:tcPr>
            <w:tcW w:w="1316" w:type="dxa"/>
            <w:vAlign w:val="center"/>
          </w:tcPr>
          <w:p w14:paraId="1EA9F6A4">
            <w:pPr>
              <w:spacing w:line="360" w:lineRule="auto"/>
              <w:jc w:val="center"/>
              <w:rPr>
                <w:rFonts w:hint="eastAsia" w:ascii="宋体" w:hAnsi="宋体" w:cs="宋体"/>
                <w:szCs w:val="21"/>
              </w:rPr>
            </w:pPr>
            <w:r>
              <w:rPr>
                <w:rFonts w:hint="eastAsia" w:ascii="宋体" w:hAnsi="宋体" w:cs="宋体"/>
                <w:szCs w:val="21"/>
              </w:rPr>
              <w:t>三级</w:t>
            </w:r>
          </w:p>
        </w:tc>
        <w:tc>
          <w:tcPr>
            <w:tcW w:w="1556" w:type="dxa"/>
          </w:tcPr>
          <w:p w14:paraId="7967B90E">
            <w:pPr>
              <w:spacing w:line="360" w:lineRule="auto"/>
              <w:rPr>
                <w:rFonts w:hint="eastAsia" w:ascii="宋体" w:hAnsi="宋体" w:cs="宋体"/>
                <w:szCs w:val="21"/>
              </w:rPr>
            </w:pPr>
            <w:r>
              <w:rPr>
                <w:rFonts w:hint="eastAsia" w:ascii="宋体" w:hAnsi="宋体" w:cs="宋体"/>
                <w:szCs w:val="21"/>
              </w:rPr>
              <w:t>已定级、备案</w:t>
            </w:r>
          </w:p>
        </w:tc>
      </w:tr>
      <w:tr w14:paraId="221F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18" w:type="dxa"/>
            <w:vAlign w:val="center"/>
          </w:tcPr>
          <w:p w14:paraId="1BF2EBC0">
            <w:pPr>
              <w:spacing w:line="360" w:lineRule="auto"/>
              <w:ind w:left="195"/>
              <w:rPr>
                <w:rFonts w:hint="eastAsia" w:ascii="宋体" w:hAnsi="宋体" w:cs="宋体"/>
                <w:szCs w:val="21"/>
              </w:rPr>
            </w:pPr>
            <w:r>
              <w:rPr>
                <w:rFonts w:hint="eastAsia" w:ascii="宋体" w:hAnsi="宋体" w:cs="宋体"/>
                <w:szCs w:val="21"/>
              </w:rPr>
              <w:t>2</w:t>
            </w:r>
          </w:p>
        </w:tc>
        <w:tc>
          <w:tcPr>
            <w:tcW w:w="4071" w:type="dxa"/>
            <w:vAlign w:val="center"/>
          </w:tcPr>
          <w:p w14:paraId="514AEAE2">
            <w:pPr>
              <w:spacing w:line="360" w:lineRule="auto"/>
              <w:ind w:firstLine="480"/>
              <w:jc w:val="center"/>
              <w:rPr>
                <w:rFonts w:hint="eastAsia" w:ascii="宋体" w:hAnsi="宋体" w:cs="宋体"/>
                <w:szCs w:val="21"/>
              </w:rPr>
            </w:pPr>
            <w:r>
              <w:rPr>
                <w:rFonts w:hint="eastAsia" w:ascii="宋体" w:hAnsi="宋体" w:cs="宋体"/>
                <w:szCs w:val="21"/>
              </w:rPr>
              <w:t>LIS（实验室系统）</w:t>
            </w:r>
          </w:p>
        </w:tc>
        <w:tc>
          <w:tcPr>
            <w:tcW w:w="1676" w:type="dxa"/>
            <w:vAlign w:val="center"/>
          </w:tcPr>
          <w:p w14:paraId="4221BA8A">
            <w:pPr>
              <w:spacing w:line="360" w:lineRule="auto"/>
              <w:jc w:val="center"/>
              <w:rPr>
                <w:rFonts w:hint="eastAsia" w:ascii="宋体" w:hAnsi="宋体" w:cs="宋体"/>
                <w:szCs w:val="21"/>
              </w:rPr>
            </w:pPr>
            <w:r>
              <w:rPr>
                <w:rFonts w:hint="eastAsia" w:ascii="宋体" w:hAnsi="宋体" w:cs="宋体"/>
                <w:szCs w:val="21"/>
              </w:rPr>
              <w:t>1个</w:t>
            </w:r>
          </w:p>
        </w:tc>
        <w:tc>
          <w:tcPr>
            <w:tcW w:w="1316" w:type="dxa"/>
            <w:vAlign w:val="center"/>
          </w:tcPr>
          <w:p w14:paraId="22FE2331">
            <w:pPr>
              <w:spacing w:line="360" w:lineRule="auto"/>
              <w:jc w:val="center"/>
              <w:rPr>
                <w:rFonts w:hint="eastAsia" w:ascii="宋体" w:hAnsi="宋体" w:cs="宋体"/>
                <w:szCs w:val="21"/>
              </w:rPr>
            </w:pPr>
            <w:r>
              <w:rPr>
                <w:rFonts w:hint="eastAsia" w:ascii="宋体" w:hAnsi="宋体" w:cs="宋体"/>
                <w:szCs w:val="21"/>
              </w:rPr>
              <w:t>三级</w:t>
            </w:r>
          </w:p>
        </w:tc>
        <w:tc>
          <w:tcPr>
            <w:tcW w:w="1556" w:type="dxa"/>
          </w:tcPr>
          <w:p w14:paraId="0A98C73A">
            <w:pPr>
              <w:spacing w:line="360" w:lineRule="auto"/>
              <w:rPr>
                <w:rFonts w:hint="eastAsia" w:ascii="宋体" w:hAnsi="宋体" w:cs="宋体"/>
                <w:szCs w:val="21"/>
              </w:rPr>
            </w:pPr>
            <w:r>
              <w:rPr>
                <w:rFonts w:hint="eastAsia" w:ascii="宋体" w:hAnsi="宋体" w:cs="宋体"/>
                <w:szCs w:val="21"/>
              </w:rPr>
              <w:t>已定级、备案</w:t>
            </w:r>
          </w:p>
        </w:tc>
      </w:tr>
      <w:tr w14:paraId="38F6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18" w:type="dxa"/>
            <w:vAlign w:val="center"/>
          </w:tcPr>
          <w:p w14:paraId="3353CE68">
            <w:pPr>
              <w:spacing w:line="360" w:lineRule="auto"/>
              <w:ind w:left="195"/>
              <w:rPr>
                <w:rFonts w:hint="eastAsia" w:ascii="宋体" w:hAnsi="宋体" w:cs="宋体"/>
                <w:szCs w:val="21"/>
              </w:rPr>
            </w:pPr>
            <w:r>
              <w:rPr>
                <w:rFonts w:hint="eastAsia" w:ascii="宋体" w:hAnsi="宋体" w:cs="宋体"/>
                <w:szCs w:val="21"/>
              </w:rPr>
              <w:t>3</w:t>
            </w:r>
          </w:p>
        </w:tc>
        <w:tc>
          <w:tcPr>
            <w:tcW w:w="4071" w:type="dxa"/>
            <w:vAlign w:val="center"/>
          </w:tcPr>
          <w:p w14:paraId="31222C5F">
            <w:pPr>
              <w:spacing w:line="360" w:lineRule="auto"/>
              <w:ind w:firstLine="480"/>
              <w:jc w:val="center"/>
              <w:rPr>
                <w:rFonts w:hint="eastAsia" w:ascii="宋体" w:hAnsi="宋体" w:cs="宋体"/>
                <w:szCs w:val="21"/>
              </w:rPr>
            </w:pPr>
            <w:r>
              <w:rPr>
                <w:rFonts w:hint="eastAsia" w:ascii="宋体" w:hAnsi="宋体" w:cs="宋体"/>
                <w:szCs w:val="21"/>
              </w:rPr>
              <w:t>PACS（影像系统）</w:t>
            </w:r>
          </w:p>
        </w:tc>
        <w:tc>
          <w:tcPr>
            <w:tcW w:w="1676" w:type="dxa"/>
            <w:vAlign w:val="center"/>
          </w:tcPr>
          <w:p w14:paraId="070D0205">
            <w:pPr>
              <w:spacing w:line="360" w:lineRule="auto"/>
              <w:jc w:val="center"/>
              <w:rPr>
                <w:rFonts w:hint="eastAsia" w:ascii="宋体" w:hAnsi="宋体" w:cs="宋体"/>
                <w:szCs w:val="21"/>
              </w:rPr>
            </w:pPr>
            <w:r>
              <w:rPr>
                <w:rFonts w:hint="eastAsia" w:ascii="宋体" w:hAnsi="宋体" w:cs="宋体"/>
                <w:szCs w:val="21"/>
              </w:rPr>
              <w:t>1个</w:t>
            </w:r>
          </w:p>
        </w:tc>
        <w:tc>
          <w:tcPr>
            <w:tcW w:w="1316" w:type="dxa"/>
            <w:vAlign w:val="center"/>
          </w:tcPr>
          <w:p w14:paraId="19133490">
            <w:pPr>
              <w:spacing w:line="360" w:lineRule="auto"/>
              <w:jc w:val="center"/>
              <w:rPr>
                <w:rFonts w:hint="eastAsia" w:ascii="宋体" w:hAnsi="宋体" w:cs="宋体"/>
                <w:szCs w:val="21"/>
              </w:rPr>
            </w:pPr>
            <w:r>
              <w:rPr>
                <w:rFonts w:hint="eastAsia" w:ascii="宋体" w:hAnsi="宋体" w:cs="宋体"/>
                <w:szCs w:val="21"/>
              </w:rPr>
              <w:t>三级</w:t>
            </w:r>
          </w:p>
        </w:tc>
        <w:tc>
          <w:tcPr>
            <w:tcW w:w="1556" w:type="dxa"/>
          </w:tcPr>
          <w:p w14:paraId="10D43B60">
            <w:pPr>
              <w:spacing w:line="360" w:lineRule="auto"/>
              <w:rPr>
                <w:rFonts w:hint="eastAsia" w:ascii="宋体" w:hAnsi="宋体" w:cs="宋体"/>
                <w:szCs w:val="21"/>
              </w:rPr>
            </w:pPr>
            <w:r>
              <w:rPr>
                <w:rFonts w:hint="eastAsia" w:ascii="宋体" w:hAnsi="宋体" w:cs="宋体"/>
                <w:szCs w:val="21"/>
              </w:rPr>
              <w:t>已定级、备案</w:t>
            </w:r>
          </w:p>
        </w:tc>
      </w:tr>
      <w:tr w14:paraId="6CED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18" w:type="dxa"/>
            <w:vAlign w:val="center"/>
          </w:tcPr>
          <w:p w14:paraId="67AB19BB">
            <w:pPr>
              <w:spacing w:line="360" w:lineRule="auto"/>
              <w:ind w:left="195"/>
              <w:rPr>
                <w:rFonts w:hint="eastAsia" w:ascii="宋体" w:hAnsi="宋体" w:cs="宋体"/>
                <w:szCs w:val="21"/>
              </w:rPr>
            </w:pPr>
            <w:r>
              <w:rPr>
                <w:rFonts w:hint="eastAsia" w:ascii="宋体" w:hAnsi="宋体" w:cs="宋体"/>
                <w:szCs w:val="21"/>
              </w:rPr>
              <w:t>4</w:t>
            </w:r>
          </w:p>
        </w:tc>
        <w:tc>
          <w:tcPr>
            <w:tcW w:w="4071" w:type="dxa"/>
            <w:vAlign w:val="center"/>
          </w:tcPr>
          <w:p w14:paraId="2A0710B9">
            <w:pPr>
              <w:pStyle w:val="143"/>
              <w:spacing w:line="360" w:lineRule="auto"/>
              <w:ind w:firstLine="0" w:firstLineChars="0"/>
              <w:jc w:val="center"/>
              <w:rPr>
                <w:rFonts w:hint="eastAsia" w:ascii="宋体" w:hAnsi="宋体" w:cs="宋体"/>
                <w:szCs w:val="21"/>
              </w:rPr>
            </w:pPr>
            <w:r>
              <w:rPr>
                <w:rFonts w:hint="eastAsia" w:ascii="宋体" w:hAnsi="宋体" w:cs="宋体"/>
                <w:color w:val="000000" w:themeColor="text1"/>
                <w:kern w:val="0"/>
                <w:szCs w:val="21"/>
                <w14:textFill>
                  <w14:solidFill>
                    <w14:schemeClr w14:val="tx1"/>
                  </w14:solidFill>
                </w14:textFill>
              </w:rPr>
              <w:t>等保顾问咨询服务（包含定级备案、等保整改</w:t>
            </w:r>
            <w:r>
              <w:rPr>
                <w:rFonts w:hint="eastAsia" w:ascii="宋体" w:hAnsi="宋体" w:cs="宋体"/>
                <w:color w:val="000000" w:themeColor="text1"/>
                <w:kern w:val="0"/>
                <w:szCs w:val="21"/>
                <w:lang w:val="en-US" w:eastAsia="zh-CN"/>
                <w14:textFill>
                  <w14:solidFill>
                    <w14:schemeClr w14:val="tx1"/>
                  </w14:solidFill>
                </w14:textFill>
              </w:rPr>
              <w:t>咨询服务</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等保</w:t>
            </w:r>
            <w:r>
              <w:rPr>
                <w:rFonts w:hint="eastAsia" w:ascii="宋体" w:hAnsi="宋体" w:cs="宋体"/>
                <w:color w:val="000000" w:themeColor="text1"/>
                <w:kern w:val="0"/>
                <w:szCs w:val="21"/>
                <w14:textFill>
                  <w14:solidFill>
                    <w14:schemeClr w14:val="tx1"/>
                  </w14:solidFill>
                </w14:textFill>
              </w:rPr>
              <w:t>制度</w:t>
            </w:r>
            <w:r>
              <w:rPr>
                <w:rFonts w:hint="eastAsia" w:ascii="宋体" w:hAnsi="宋体" w:cs="宋体"/>
                <w:color w:val="000000" w:themeColor="text1"/>
                <w:kern w:val="0"/>
                <w:szCs w:val="21"/>
                <w:lang w:val="en-US" w:eastAsia="zh-CN"/>
                <w14:textFill>
                  <w14:solidFill>
                    <w14:schemeClr w14:val="tx1"/>
                  </w14:solidFill>
                </w14:textFill>
              </w:rPr>
              <w:t>咨询服务</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等保</w:t>
            </w:r>
            <w:r>
              <w:rPr>
                <w:rFonts w:hint="eastAsia" w:ascii="宋体" w:hAnsi="宋体" w:cs="宋体"/>
                <w:color w:val="000000" w:themeColor="text1"/>
                <w:kern w:val="0"/>
                <w:szCs w:val="21"/>
                <w14:textFill>
                  <w14:solidFill>
                    <w14:schemeClr w14:val="tx1"/>
                  </w14:solidFill>
                </w14:textFill>
              </w:rPr>
              <w:t>安全规划</w:t>
            </w:r>
            <w:r>
              <w:rPr>
                <w:rFonts w:hint="eastAsia" w:ascii="宋体" w:hAnsi="宋体" w:cs="宋体"/>
                <w:color w:val="000000" w:themeColor="text1"/>
                <w:kern w:val="0"/>
                <w:szCs w:val="21"/>
                <w:lang w:val="en-US" w:eastAsia="zh-CN"/>
                <w14:textFill>
                  <w14:solidFill>
                    <w14:schemeClr w14:val="tx1"/>
                  </w14:solidFill>
                </w14:textFill>
              </w:rPr>
              <w:t>咨询服务</w:t>
            </w:r>
            <w:r>
              <w:rPr>
                <w:rFonts w:hint="eastAsia" w:ascii="宋体" w:hAnsi="宋体" w:cs="宋体"/>
                <w:color w:val="000000" w:themeColor="text1"/>
                <w:kern w:val="0"/>
                <w:szCs w:val="21"/>
                <w14:textFill>
                  <w14:solidFill>
                    <w14:schemeClr w14:val="tx1"/>
                  </w14:solidFill>
                </w14:textFill>
              </w:rPr>
              <w:t>、安全设计与实施</w:t>
            </w:r>
            <w:r>
              <w:rPr>
                <w:rFonts w:hint="eastAsia" w:ascii="宋体" w:hAnsi="宋体" w:cs="宋体"/>
                <w:color w:val="000000" w:themeColor="text1"/>
                <w:kern w:val="0"/>
                <w:szCs w:val="21"/>
                <w:lang w:val="en-US" w:eastAsia="zh-CN"/>
                <w14:textFill>
                  <w14:solidFill>
                    <w14:schemeClr w14:val="tx1"/>
                  </w14:solidFill>
                </w14:textFill>
              </w:rPr>
              <w:t>咨询服务</w:t>
            </w:r>
            <w:r>
              <w:rPr>
                <w:rFonts w:hint="eastAsia" w:ascii="宋体" w:hAnsi="宋体" w:cs="宋体"/>
                <w:color w:val="000000" w:themeColor="text1"/>
                <w:kern w:val="0"/>
                <w:szCs w:val="21"/>
                <w14:textFill>
                  <w14:solidFill>
                    <w14:schemeClr w14:val="tx1"/>
                  </w14:solidFill>
                </w14:textFill>
              </w:rPr>
              <w:t>、及协助</w:t>
            </w:r>
            <w:r>
              <w:rPr>
                <w:rFonts w:hint="eastAsia" w:ascii="宋体" w:hAnsi="宋体" w:cs="宋体"/>
                <w:color w:val="000000" w:themeColor="text1"/>
                <w:kern w:val="0"/>
                <w:szCs w:val="21"/>
                <w:lang w:val="en-US" w:eastAsia="zh-CN"/>
                <w14:textFill>
                  <w14:solidFill>
                    <w14:schemeClr w14:val="tx1"/>
                  </w14:solidFill>
                </w14:textFill>
              </w:rPr>
              <w:t>等保</w:t>
            </w:r>
            <w:r>
              <w:rPr>
                <w:rFonts w:hint="eastAsia" w:ascii="宋体" w:hAnsi="宋体" w:cs="宋体"/>
                <w:color w:val="000000" w:themeColor="text1"/>
                <w:kern w:val="0"/>
                <w:szCs w:val="21"/>
                <w14:textFill>
                  <w14:solidFill>
                    <w14:schemeClr w14:val="tx1"/>
                  </w14:solidFill>
                </w14:textFill>
              </w:rPr>
              <w:t>整改加固</w:t>
            </w:r>
            <w:r>
              <w:rPr>
                <w:rFonts w:hint="eastAsia" w:ascii="宋体" w:hAnsi="宋体" w:cs="宋体"/>
                <w:color w:val="000000" w:themeColor="text1"/>
                <w:kern w:val="0"/>
                <w:szCs w:val="21"/>
                <w:lang w:val="en-US" w:eastAsia="zh-CN"/>
                <w14:textFill>
                  <w14:solidFill>
                    <w14:schemeClr w14:val="tx1"/>
                  </w14:solidFill>
                </w14:textFill>
              </w:rPr>
              <w:t>咨询</w:t>
            </w:r>
            <w:r>
              <w:rPr>
                <w:rFonts w:hint="eastAsia" w:ascii="宋体" w:hAnsi="宋体" w:cs="宋体"/>
                <w:color w:val="000000" w:themeColor="text1"/>
                <w:kern w:val="0"/>
                <w:szCs w:val="21"/>
                <w14:textFill>
                  <w14:solidFill>
                    <w14:schemeClr w14:val="tx1"/>
                  </w14:solidFill>
                </w14:textFill>
              </w:rPr>
              <w:t>等服务）</w:t>
            </w:r>
          </w:p>
        </w:tc>
        <w:tc>
          <w:tcPr>
            <w:tcW w:w="2992" w:type="dxa"/>
            <w:gridSpan w:val="2"/>
            <w:vAlign w:val="center"/>
          </w:tcPr>
          <w:p w14:paraId="6C19515C">
            <w:pPr>
              <w:spacing w:line="360" w:lineRule="auto"/>
              <w:jc w:val="center"/>
              <w:rPr>
                <w:rFonts w:hint="eastAsia" w:ascii="宋体" w:hAnsi="宋体" w:cs="宋体"/>
                <w:szCs w:val="21"/>
              </w:rPr>
            </w:pPr>
            <w:r>
              <w:rPr>
                <w:rFonts w:hint="eastAsia" w:ascii="宋体" w:hAnsi="宋体" w:cs="宋体"/>
                <w:szCs w:val="21"/>
              </w:rPr>
              <w:t>1项</w:t>
            </w:r>
          </w:p>
        </w:tc>
        <w:tc>
          <w:tcPr>
            <w:tcW w:w="1556" w:type="dxa"/>
          </w:tcPr>
          <w:p w14:paraId="2253338E">
            <w:pPr>
              <w:spacing w:line="360" w:lineRule="auto"/>
              <w:rPr>
                <w:rFonts w:hint="eastAsia" w:ascii="宋体" w:hAnsi="宋体" w:cs="宋体"/>
                <w:szCs w:val="21"/>
              </w:rPr>
            </w:pPr>
          </w:p>
        </w:tc>
      </w:tr>
    </w:tbl>
    <w:p w14:paraId="709D5AB8">
      <w:pPr>
        <w:pStyle w:val="220"/>
        <w:wordWrap/>
        <w:spacing w:afterLines="0" w:line="360" w:lineRule="auto"/>
        <w:ind w:firstLine="422"/>
        <w:rPr>
          <w:rFonts w:hint="eastAsia" w:cs="Times New Roman"/>
          <w:b/>
          <w:bCs/>
          <w:snapToGrid/>
          <w:spacing w:val="0"/>
          <w:sz w:val="21"/>
          <w:szCs w:val="21"/>
        </w:rPr>
      </w:pPr>
      <w:r>
        <w:rPr>
          <w:rFonts w:hint="eastAsia" w:cs="Times New Roman"/>
          <w:b/>
          <w:bCs/>
          <w:snapToGrid/>
          <w:spacing w:val="0"/>
          <w:sz w:val="21"/>
          <w:szCs w:val="21"/>
        </w:rPr>
        <w:t>（四）测评需求说明</w:t>
      </w:r>
    </w:p>
    <w:p w14:paraId="5FAE4857">
      <w:pPr>
        <w:pStyle w:val="220"/>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依据《网络安全等级保护测评要求》等技术标准与测评规范，编写测评实施方案，对3个三级信息系统制定网络安全等级保护评测具体内容，开展评测工作。</w:t>
      </w:r>
    </w:p>
    <w:p w14:paraId="3C1A296B">
      <w:pPr>
        <w:pStyle w:val="220"/>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通过等级保护测评，验证信息系统的安全性，并对信息系统的安全防护能力提出建议和意见，为进一步完善信息系统的安全防护措施提供依据。</w:t>
      </w:r>
    </w:p>
    <w:p w14:paraId="52B3B25B">
      <w:pPr>
        <w:pStyle w:val="220"/>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1、测评内容</w:t>
      </w:r>
    </w:p>
    <w:p w14:paraId="52CE27A5">
      <w:pPr>
        <w:pStyle w:val="220"/>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依据网络安全等级保护测试要求的内容进行测评，包括安全技术与安全管理两大类：1.安全技术测评：安全物理环境、安全通信网络、安全区域边界、安全计算环境和安全管理中心等五个方面测评要求。2.安全管理测评：安全管理制度、安全管理机构、安全管理人员、安全建设管理和安全运维管理等五个方面测评要求。</w:t>
      </w:r>
    </w:p>
    <w:p w14:paraId="49D3D5EF">
      <w:pPr>
        <w:pStyle w:val="220"/>
        <w:wordWrap/>
        <w:spacing w:afterLines="0" w:line="360" w:lineRule="auto"/>
        <w:ind w:firstLine="422"/>
        <w:rPr>
          <w:rFonts w:hint="eastAsia" w:cs="Times New Roman"/>
          <w:b/>
          <w:bCs/>
          <w:snapToGrid/>
          <w:spacing w:val="0"/>
          <w:sz w:val="21"/>
          <w:szCs w:val="21"/>
        </w:rPr>
      </w:pPr>
      <w:r>
        <w:rPr>
          <w:rFonts w:hint="eastAsia" w:cs="Times New Roman"/>
          <w:b/>
          <w:bCs/>
          <w:snapToGrid/>
          <w:spacing w:val="0"/>
          <w:sz w:val="21"/>
          <w:szCs w:val="21"/>
        </w:rPr>
        <w:t>测评服务内容：</w:t>
      </w:r>
    </w:p>
    <w:p w14:paraId="5EC3085D">
      <w:pPr>
        <w:pStyle w:val="220"/>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（1）网络安全等级保护测评服务内容</w:t>
      </w:r>
    </w:p>
    <w:tbl>
      <w:tblPr>
        <w:tblStyle w:val="42"/>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1187"/>
        <w:gridCol w:w="6876"/>
      </w:tblGrid>
      <w:tr w14:paraId="0DE01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590" w:type="pct"/>
            <w:vMerge w:val="restart"/>
            <w:vAlign w:val="center"/>
          </w:tcPr>
          <w:p w14:paraId="7B24D01E">
            <w:pPr>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网络安全等级保护测评服务内容</w:t>
            </w:r>
          </w:p>
        </w:tc>
        <w:tc>
          <w:tcPr>
            <w:tcW w:w="649" w:type="pct"/>
            <w:vAlign w:val="center"/>
          </w:tcPr>
          <w:p w14:paraId="4E510429">
            <w:pPr>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差距测评</w:t>
            </w:r>
          </w:p>
        </w:tc>
        <w:tc>
          <w:tcPr>
            <w:tcW w:w="3760" w:type="pct"/>
            <w:vAlign w:val="center"/>
          </w:tcPr>
          <w:p w14:paraId="15197D14">
            <w:pPr>
              <w:spacing w:line="360" w:lineRule="auto"/>
              <w:rPr>
                <w:rFonts w:hint="eastAsia" w:ascii="宋体" w:hAnsi="宋体" w:cs="宋体"/>
                <w:color w:val="000000"/>
                <w:kern w:val="0"/>
                <w:szCs w:val="21"/>
              </w:rPr>
            </w:pPr>
            <w:r>
              <w:rPr>
                <w:rFonts w:hint="eastAsia" w:ascii="宋体" w:hAnsi="宋体" w:cs="宋体"/>
                <w:color w:val="000000"/>
                <w:kern w:val="0"/>
                <w:szCs w:val="21"/>
              </w:rPr>
              <w:t>根据采购人系统安全等级保护定级情况，制定信息系统安全等级保护测评方案，对信息系统涉及的机房、网络/安全设备、主机设备、应用系统、安全管理体系等进行等级保护差距测评，并提交不符合项表和整改建议（现场测评）。</w:t>
            </w:r>
          </w:p>
        </w:tc>
      </w:tr>
      <w:tr w14:paraId="55154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590" w:type="pct"/>
            <w:vMerge w:val="continue"/>
            <w:vAlign w:val="center"/>
          </w:tcPr>
          <w:p w14:paraId="68BD8364">
            <w:pPr>
              <w:spacing w:line="360" w:lineRule="auto"/>
              <w:rPr>
                <w:rFonts w:hint="eastAsia" w:ascii="宋体" w:hAnsi="宋体" w:cs="宋体"/>
                <w:color w:val="000000"/>
                <w:kern w:val="0"/>
                <w:szCs w:val="21"/>
              </w:rPr>
            </w:pPr>
          </w:p>
        </w:tc>
        <w:tc>
          <w:tcPr>
            <w:tcW w:w="649" w:type="pct"/>
            <w:vAlign w:val="center"/>
          </w:tcPr>
          <w:p w14:paraId="49669541">
            <w:pPr>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漏洞扫描</w:t>
            </w:r>
          </w:p>
        </w:tc>
        <w:tc>
          <w:tcPr>
            <w:tcW w:w="3760" w:type="pct"/>
            <w:vAlign w:val="center"/>
          </w:tcPr>
          <w:p w14:paraId="7F78B71A">
            <w:pPr>
              <w:spacing w:line="360" w:lineRule="auto"/>
              <w:rPr>
                <w:rFonts w:hint="eastAsia" w:ascii="宋体" w:hAnsi="宋体" w:cs="宋体"/>
                <w:color w:val="000000"/>
                <w:kern w:val="0"/>
                <w:szCs w:val="21"/>
              </w:rPr>
            </w:pPr>
            <w:r>
              <w:rPr>
                <w:rFonts w:hint="eastAsia" w:ascii="宋体" w:hAnsi="宋体" w:cs="宋体"/>
                <w:color w:val="000000"/>
                <w:kern w:val="0"/>
                <w:szCs w:val="21"/>
              </w:rPr>
              <w:t>对被测信息系统服务器、应用系统进行漏洞扫描，列出被测信息系统中存在的主要问题以及可能造成的后果，并提出整改建议（现场扫描+远程扫描）。</w:t>
            </w:r>
          </w:p>
        </w:tc>
      </w:tr>
      <w:tr w14:paraId="433B3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590" w:type="pct"/>
            <w:vMerge w:val="continue"/>
            <w:vAlign w:val="center"/>
          </w:tcPr>
          <w:p w14:paraId="2D6391EC">
            <w:pPr>
              <w:spacing w:line="360" w:lineRule="auto"/>
              <w:rPr>
                <w:rFonts w:hint="eastAsia" w:ascii="宋体" w:hAnsi="宋体" w:cs="宋体"/>
                <w:color w:val="000000"/>
                <w:kern w:val="0"/>
                <w:szCs w:val="21"/>
              </w:rPr>
            </w:pPr>
          </w:p>
        </w:tc>
        <w:tc>
          <w:tcPr>
            <w:tcW w:w="649" w:type="pct"/>
            <w:vAlign w:val="center"/>
          </w:tcPr>
          <w:p w14:paraId="5FE1D237">
            <w:pPr>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渗透测试</w:t>
            </w:r>
          </w:p>
        </w:tc>
        <w:tc>
          <w:tcPr>
            <w:tcW w:w="3760" w:type="pct"/>
            <w:vAlign w:val="center"/>
          </w:tcPr>
          <w:p w14:paraId="754A6CC2">
            <w:pPr>
              <w:spacing w:line="360" w:lineRule="auto"/>
              <w:rPr>
                <w:rFonts w:hint="eastAsia" w:ascii="宋体" w:hAnsi="宋体" w:cs="宋体"/>
                <w:color w:val="000000"/>
                <w:kern w:val="0"/>
                <w:szCs w:val="21"/>
              </w:rPr>
            </w:pPr>
            <w:r>
              <w:rPr>
                <w:rFonts w:hint="eastAsia" w:ascii="宋体" w:hAnsi="宋体" w:cs="宋体"/>
                <w:color w:val="000000"/>
                <w:kern w:val="0"/>
                <w:szCs w:val="21"/>
              </w:rPr>
              <w:t>根据扫描结果进行漏洞分析及说明，对系统开展渗透测试，进行弱口令测试及其他手工测试，并提交修复建议（互联网渗透+现场渗透）。</w:t>
            </w:r>
          </w:p>
        </w:tc>
      </w:tr>
      <w:tr w14:paraId="2C1CE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590" w:type="pct"/>
            <w:vMerge w:val="continue"/>
            <w:vAlign w:val="center"/>
          </w:tcPr>
          <w:p w14:paraId="5149C8CB">
            <w:pPr>
              <w:spacing w:line="360" w:lineRule="auto"/>
              <w:rPr>
                <w:rFonts w:hint="eastAsia" w:ascii="宋体" w:hAnsi="宋体" w:cs="宋体"/>
                <w:color w:val="000000"/>
                <w:kern w:val="0"/>
                <w:szCs w:val="21"/>
              </w:rPr>
            </w:pPr>
          </w:p>
        </w:tc>
        <w:tc>
          <w:tcPr>
            <w:tcW w:w="649" w:type="pct"/>
            <w:vAlign w:val="center"/>
          </w:tcPr>
          <w:p w14:paraId="16A8F24F">
            <w:pPr>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验收测评</w:t>
            </w:r>
          </w:p>
        </w:tc>
        <w:tc>
          <w:tcPr>
            <w:tcW w:w="3760" w:type="pct"/>
            <w:vAlign w:val="center"/>
          </w:tcPr>
          <w:p w14:paraId="6A647D04">
            <w:pPr>
              <w:spacing w:line="360" w:lineRule="auto"/>
              <w:rPr>
                <w:rFonts w:hint="eastAsia" w:ascii="宋体" w:hAnsi="宋体" w:cs="宋体"/>
                <w:color w:val="000000"/>
                <w:kern w:val="0"/>
                <w:szCs w:val="21"/>
              </w:rPr>
            </w:pPr>
            <w:r>
              <w:rPr>
                <w:rFonts w:hint="eastAsia" w:ascii="宋体" w:hAnsi="宋体" w:cs="宋体"/>
                <w:color w:val="000000"/>
                <w:kern w:val="0"/>
                <w:szCs w:val="21"/>
              </w:rPr>
              <w:t>采购人完成整改工作后，依据《GBT28448-2019信息安全技术网络安全等级保护测评要求》及相关等保2.0标准和要求，对信息系统进行验收性测评，并输出测评报告（现场测评）。</w:t>
            </w:r>
          </w:p>
        </w:tc>
      </w:tr>
    </w:tbl>
    <w:p w14:paraId="6B80CC4D">
      <w:pPr>
        <w:pStyle w:val="220"/>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（2）网络安全等级保护顾问咨询服务（等保整改</w:t>
      </w:r>
      <w:r>
        <w:rPr>
          <w:rFonts w:hint="eastAsia" w:cs="Times New Roman"/>
          <w:snapToGrid/>
          <w:spacing w:val="0"/>
          <w:sz w:val="21"/>
          <w:szCs w:val="21"/>
          <w:lang w:val="en-US" w:eastAsia="zh-CN"/>
        </w:rPr>
        <w:t>咨询</w:t>
      </w:r>
      <w:r>
        <w:rPr>
          <w:rFonts w:hint="eastAsia" w:cs="Times New Roman"/>
          <w:snapToGrid/>
          <w:spacing w:val="0"/>
          <w:sz w:val="21"/>
          <w:szCs w:val="21"/>
        </w:rPr>
        <w:t>服务）</w:t>
      </w:r>
    </w:p>
    <w:tbl>
      <w:tblPr>
        <w:tblStyle w:val="42"/>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1431"/>
        <w:gridCol w:w="6644"/>
      </w:tblGrid>
      <w:tr w14:paraId="7D855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546" w:type="pct"/>
            <w:vMerge w:val="restart"/>
            <w:tcBorders>
              <w:top w:val="single" w:color="auto" w:sz="4" w:space="0"/>
              <w:left w:val="single" w:color="auto" w:sz="4" w:space="0"/>
              <w:right w:val="single" w:color="auto" w:sz="4" w:space="0"/>
            </w:tcBorders>
            <w:vAlign w:val="center"/>
          </w:tcPr>
          <w:p w14:paraId="472AA068">
            <w:pPr>
              <w:spacing w:line="360" w:lineRule="auto"/>
              <w:jc w:val="center"/>
              <w:rPr>
                <w:rFonts w:hint="eastAsia" w:ascii="仿宋" w:hAnsi="仿宋" w:cs="宋体"/>
                <w:color w:val="000000"/>
                <w:kern w:val="0"/>
                <w:szCs w:val="21"/>
              </w:rPr>
            </w:pPr>
            <w:r>
              <w:rPr>
                <w:rFonts w:hint="eastAsia" w:ascii="仿宋" w:hAnsi="仿宋" w:cs="宋体"/>
                <w:color w:val="000000"/>
                <w:kern w:val="0"/>
                <w:szCs w:val="21"/>
              </w:rPr>
              <w:t>网络安全等级保护顾问咨询服务（等保整改</w:t>
            </w:r>
            <w:r>
              <w:rPr>
                <w:rFonts w:hint="eastAsia" w:ascii="仿宋" w:hAnsi="仿宋" w:cs="宋体"/>
                <w:color w:val="000000"/>
                <w:kern w:val="0"/>
                <w:szCs w:val="21"/>
                <w:lang w:val="en-US" w:eastAsia="zh-CN"/>
              </w:rPr>
              <w:t>咨询</w:t>
            </w:r>
            <w:r>
              <w:rPr>
                <w:rFonts w:hint="eastAsia" w:ascii="仿宋" w:hAnsi="仿宋" w:cs="宋体"/>
                <w:color w:val="000000"/>
                <w:kern w:val="0"/>
                <w:szCs w:val="21"/>
              </w:rPr>
              <w:t>服务）内容</w:t>
            </w:r>
          </w:p>
        </w:tc>
        <w:tc>
          <w:tcPr>
            <w:tcW w:w="789" w:type="pct"/>
            <w:tcBorders>
              <w:left w:val="single" w:color="auto" w:sz="4" w:space="0"/>
            </w:tcBorders>
            <w:vAlign w:val="center"/>
          </w:tcPr>
          <w:p w14:paraId="49588821">
            <w:pPr>
              <w:spacing w:line="360" w:lineRule="auto"/>
              <w:jc w:val="center"/>
              <w:rPr>
                <w:rFonts w:hint="eastAsia" w:ascii="仿宋" w:hAnsi="仿宋" w:cs="宋体"/>
                <w:color w:val="000000"/>
                <w:kern w:val="0"/>
                <w:szCs w:val="21"/>
              </w:rPr>
            </w:pPr>
            <w:r>
              <w:rPr>
                <w:rFonts w:hint="eastAsia" w:ascii="仿宋" w:hAnsi="仿宋" w:cs="宋体"/>
                <w:color w:val="000000"/>
                <w:kern w:val="0"/>
                <w:szCs w:val="21"/>
              </w:rPr>
              <w:t>定级备案服务</w:t>
            </w:r>
          </w:p>
        </w:tc>
        <w:tc>
          <w:tcPr>
            <w:tcW w:w="3664" w:type="pct"/>
            <w:vAlign w:val="center"/>
          </w:tcPr>
          <w:p w14:paraId="646B255D">
            <w:pPr>
              <w:spacing w:line="360" w:lineRule="auto"/>
              <w:rPr>
                <w:rFonts w:hint="eastAsia" w:ascii="仿宋" w:hAnsi="仿宋" w:cs="宋体"/>
                <w:color w:val="000000"/>
                <w:kern w:val="0"/>
                <w:szCs w:val="21"/>
              </w:rPr>
            </w:pPr>
            <w:r>
              <w:rPr>
                <w:rFonts w:hint="eastAsia" w:ascii="仿宋" w:hAnsi="仿宋" w:cs="宋体"/>
                <w:color w:val="000000"/>
                <w:kern w:val="0"/>
                <w:szCs w:val="21"/>
              </w:rPr>
              <w:t>按照《信息系统安全等级保护定级指南》以及《信息安全等级保护管理办法》等文件的要求，协助用户完成信息系统安全等级保护定级工作。</w:t>
            </w:r>
          </w:p>
        </w:tc>
      </w:tr>
      <w:tr w14:paraId="07AD0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46" w:type="pct"/>
            <w:vMerge w:val="continue"/>
            <w:tcBorders>
              <w:left w:val="single" w:color="auto" w:sz="4" w:space="0"/>
              <w:right w:val="single" w:color="auto" w:sz="4" w:space="0"/>
            </w:tcBorders>
            <w:vAlign w:val="center"/>
          </w:tcPr>
          <w:p w14:paraId="7F59ED6D">
            <w:pPr>
              <w:spacing w:line="360" w:lineRule="auto"/>
              <w:rPr>
                <w:rFonts w:hint="eastAsia" w:ascii="仿宋" w:hAnsi="仿宋" w:cs="宋体"/>
                <w:color w:val="000000"/>
                <w:kern w:val="0"/>
                <w:szCs w:val="21"/>
              </w:rPr>
            </w:pPr>
          </w:p>
        </w:tc>
        <w:tc>
          <w:tcPr>
            <w:tcW w:w="789" w:type="pct"/>
            <w:tcBorders>
              <w:left w:val="single" w:color="auto" w:sz="4" w:space="0"/>
            </w:tcBorders>
            <w:vAlign w:val="center"/>
          </w:tcPr>
          <w:p w14:paraId="37F6679C">
            <w:pPr>
              <w:spacing w:line="360" w:lineRule="auto"/>
              <w:jc w:val="center"/>
              <w:rPr>
                <w:rFonts w:hint="eastAsia" w:ascii="仿宋" w:hAnsi="仿宋" w:cs="宋体"/>
                <w:color w:val="000000"/>
                <w:kern w:val="0"/>
                <w:szCs w:val="21"/>
              </w:rPr>
            </w:pPr>
            <w:r>
              <w:rPr>
                <w:rFonts w:hint="eastAsia" w:ascii="仿宋" w:hAnsi="仿宋" w:cs="宋体"/>
                <w:color w:val="000000"/>
                <w:kern w:val="0"/>
                <w:szCs w:val="21"/>
              </w:rPr>
              <w:t>安</w:t>
            </w:r>
            <w:r>
              <w:rPr>
                <w:rFonts w:hint="eastAsia" w:ascii="仿宋" w:hAnsi="仿宋" w:cs="宋体"/>
                <w:color w:val="000000"/>
                <w:kern w:val="0"/>
                <w:szCs w:val="21"/>
                <w:lang w:val="en-US" w:eastAsia="zh-CN"/>
              </w:rPr>
              <w:t>全</w:t>
            </w:r>
            <w:r>
              <w:rPr>
                <w:rFonts w:hint="eastAsia" w:ascii="仿宋" w:hAnsi="仿宋" w:cs="宋体"/>
                <w:color w:val="000000"/>
                <w:kern w:val="0"/>
                <w:szCs w:val="21"/>
              </w:rPr>
              <w:t>管理制度</w:t>
            </w:r>
            <w:r>
              <w:rPr>
                <w:rFonts w:hint="eastAsia" w:ascii="仿宋" w:hAnsi="仿宋" w:cs="宋体"/>
                <w:color w:val="000000"/>
                <w:kern w:val="0"/>
                <w:szCs w:val="21"/>
                <w:lang w:val="en-US" w:eastAsia="zh-CN"/>
              </w:rPr>
              <w:t>咨询</w:t>
            </w:r>
            <w:r>
              <w:rPr>
                <w:rFonts w:hint="eastAsia" w:ascii="仿宋" w:hAnsi="仿宋" w:cs="宋体"/>
                <w:color w:val="000000"/>
                <w:kern w:val="0"/>
                <w:szCs w:val="21"/>
              </w:rPr>
              <w:t>服务</w:t>
            </w:r>
          </w:p>
        </w:tc>
        <w:tc>
          <w:tcPr>
            <w:tcW w:w="3664" w:type="pct"/>
            <w:vAlign w:val="center"/>
          </w:tcPr>
          <w:p w14:paraId="02F18CA4">
            <w:pPr>
              <w:spacing w:line="360" w:lineRule="auto"/>
              <w:rPr>
                <w:rFonts w:hint="eastAsia" w:ascii="仿宋" w:hAnsi="仿宋" w:cs="宋体"/>
                <w:color w:val="000000"/>
                <w:kern w:val="0"/>
                <w:szCs w:val="21"/>
              </w:rPr>
            </w:pPr>
            <w:r>
              <w:rPr>
                <w:rFonts w:hint="eastAsia" w:ascii="仿宋" w:hAnsi="仿宋" w:cs="宋体"/>
                <w:color w:val="000000"/>
                <w:kern w:val="0"/>
                <w:szCs w:val="21"/>
              </w:rPr>
              <w:t>参考等级保护要求，结合采购人现状，对采购人安全管理制度进行梳理，</w:t>
            </w:r>
            <w:r>
              <w:rPr>
                <w:rFonts w:hint="eastAsia" w:ascii="仿宋" w:hAnsi="仿宋" w:cs="宋体"/>
                <w:color w:val="000000"/>
                <w:kern w:val="0"/>
                <w:szCs w:val="21"/>
                <w:lang w:val="en-US" w:eastAsia="zh-CN"/>
              </w:rPr>
              <w:t>协助用户</w:t>
            </w:r>
            <w:r>
              <w:rPr>
                <w:rFonts w:hint="eastAsia" w:ascii="仿宋" w:hAnsi="仿宋" w:cs="宋体"/>
                <w:color w:val="000000"/>
                <w:kern w:val="0"/>
                <w:szCs w:val="21"/>
              </w:rPr>
              <w:t>补充和完善各项管理制度，并提供制度落实安全建议。</w:t>
            </w:r>
          </w:p>
        </w:tc>
      </w:tr>
      <w:tr w14:paraId="1AB22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546" w:type="pct"/>
            <w:vMerge w:val="continue"/>
            <w:tcBorders>
              <w:left w:val="single" w:color="auto" w:sz="4" w:space="0"/>
              <w:right w:val="single" w:color="auto" w:sz="4" w:space="0"/>
            </w:tcBorders>
            <w:vAlign w:val="center"/>
          </w:tcPr>
          <w:p w14:paraId="152CE409">
            <w:pPr>
              <w:spacing w:line="360" w:lineRule="auto"/>
              <w:rPr>
                <w:rFonts w:hint="eastAsia" w:ascii="仿宋" w:hAnsi="仿宋" w:cs="宋体"/>
                <w:color w:val="000000"/>
                <w:kern w:val="0"/>
                <w:szCs w:val="21"/>
              </w:rPr>
            </w:pPr>
          </w:p>
        </w:tc>
        <w:tc>
          <w:tcPr>
            <w:tcW w:w="789" w:type="pct"/>
            <w:tcBorders>
              <w:left w:val="single" w:color="auto" w:sz="4" w:space="0"/>
            </w:tcBorders>
            <w:vAlign w:val="center"/>
          </w:tcPr>
          <w:p w14:paraId="7634E2D5">
            <w:pPr>
              <w:spacing w:line="360" w:lineRule="auto"/>
              <w:jc w:val="center"/>
              <w:rPr>
                <w:rFonts w:hint="eastAsia" w:ascii="仿宋" w:hAnsi="仿宋" w:cs="宋体"/>
                <w:color w:val="000000"/>
                <w:kern w:val="0"/>
                <w:szCs w:val="21"/>
              </w:rPr>
            </w:pPr>
            <w:r>
              <w:rPr>
                <w:rFonts w:hint="eastAsia" w:ascii="仿宋" w:hAnsi="仿宋" w:cs="宋体"/>
                <w:color w:val="000000"/>
                <w:kern w:val="0"/>
                <w:szCs w:val="21"/>
              </w:rPr>
              <w:t>安全规划</w:t>
            </w:r>
            <w:r>
              <w:rPr>
                <w:rFonts w:hint="eastAsia" w:ascii="仿宋" w:hAnsi="仿宋" w:cs="宋体"/>
                <w:color w:val="000000"/>
                <w:kern w:val="0"/>
                <w:szCs w:val="21"/>
                <w:lang w:val="en-US" w:eastAsia="zh-CN"/>
              </w:rPr>
              <w:t>咨询</w:t>
            </w:r>
            <w:r>
              <w:rPr>
                <w:rFonts w:hint="eastAsia" w:ascii="仿宋" w:hAnsi="仿宋" w:cs="宋体"/>
                <w:color w:val="000000"/>
                <w:kern w:val="0"/>
                <w:szCs w:val="21"/>
              </w:rPr>
              <w:t>服务</w:t>
            </w:r>
          </w:p>
        </w:tc>
        <w:tc>
          <w:tcPr>
            <w:tcW w:w="3664" w:type="pct"/>
            <w:vAlign w:val="center"/>
          </w:tcPr>
          <w:p w14:paraId="65EEF176">
            <w:pPr>
              <w:spacing w:line="360" w:lineRule="auto"/>
              <w:rPr>
                <w:rFonts w:hint="eastAsia" w:ascii="仿宋" w:hAnsi="仿宋" w:cs="宋体"/>
                <w:color w:val="000000"/>
                <w:kern w:val="0"/>
                <w:szCs w:val="21"/>
              </w:rPr>
            </w:pPr>
            <w:r>
              <w:rPr>
                <w:rFonts w:hint="eastAsia" w:ascii="仿宋" w:hAnsi="仿宋" w:cs="宋体"/>
                <w:color w:val="000000"/>
                <w:kern w:val="0"/>
                <w:szCs w:val="21"/>
              </w:rPr>
              <w:t>根据等保测评差距分析报告结合采购人信息系统的划分情况、定级情况和承载业务情况，指导用户进行安全建设</w:t>
            </w:r>
            <w:r>
              <w:rPr>
                <w:rFonts w:hint="eastAsia" w:ascii="仿宋" w:hAnsi="仿宋" w:cs="宋体"/>
                <w:color w:val="000000"/>
                <w:kern w:val="0"/>
                <w:szCs w:val="21"/>
                <w:lang w:val="en-US" w:eastAsia="zh-CN"/>
              </w:rPr>
              <w:t>规划</w:t>
            </w:r>
            <w:r>
              <w:rPr>
                <w:rFonts w:hint="eastAsia" w:ascii="仿宋" w:hAnsi="仿宋" w:cs="宋体"/>
                <w:color w:val="000000"/>
                <w:kern w:val="0"/>
                <w:szCs w:val="21"/>
              </w:rPr>
              <w:t xml:space="preserve">和整改。   </w:t>
            </w:r>
          </w:p>
        </w:tc>
      </w:tr>
      <w:tr w14:paraId="4C727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546" w:type="pct"/>
            <w:vMerge w:val="continue"/>
            <w:tcBorders>
              <w:left w:val="single" w:color="auto" w:sz="4" w:space="0"/>
              <w:right w:val="single" w:color="auto" w:sz="4" w:space="0"/>
            </w:tcBorders>
            <w:vAlign w:val="center"/>
          </w:tcPr>
          <w:p w14:paraId="3FF43007">
            <w:pPr>
              <w:spacing w:line="360" w:lineRule="auto"/>
              <w:rPr>
                <w:rFonts w:hint="eastAsia" w:ascii="仿宋" w:hAnsi="仿宋" w:cs="宋体"/>
                <w:color w:val="000000"/>
                <w:kern w:val="0"/>
                <w:szCs w:val="21"/>
              </w:rPr>
            </w:pPr>
          </w:p>
        </w:tc>
        <w:tc>
          <w:tcPr>
            <w:tcW w:w="789" w:type="pct"/>
            <w:tcBorders>
              <w:left w:val="single" w:color="auto" w:sz="4" w:space="0"/>
            </w:tcBorders>
            <w:vAlign w:val="center"/>
          </w:tcPr>
          <w:p w14:paraId="15E33FE8">
            <w:pPr>
              <w:spacing w:line="360" w:lineRule="auto"/>
              <w:jc w:val="center"/>
              <w:rPr>
                <w:rFonts w:hint="eastAsia" w:ascii="仿宋" w:hAnsi="仿宋" w:cs="宋体"/>
                <w:color w:val="000000"/>
                <w:kern w:val="0"/>
                <w:szCs w:val="21"/>
              </w:rPr>
            </w:pPr>
            <w:r>
              <w:rPr>
                <w:rFonts w:hint="eastAsia" w:ascii="仿宋" w:hAnsi="仿宋" w:cs="宋体"/>
                <w:color w:val="000000"/>
                <w:kern w:val="0"/>
                <w:szCs w:val="21"/>
              </w:rPr>
              <w:t>安全设计与</w:t>
            </w:r>
          </w:p>
          <w:p w14:paraId="4A176612">
            <w:pPr>
              <w:spacing w:line="360" w:lineRule="auto"/>
              <w:jc w:val="center"/>
              <w:rPr>
                <w:rFonts w:hint="eastAsia" w:ascii="仿宋" w:hAnsi="仿宋" w:cs="宋体"/>
                <w:color w:val="000000"/>
                <w:kern w:val="0"/>
                <w:szCs w:val="21"/>
              </w:rPr>
            </w:pPr>
            <w:r>
              <w:rPr>
                <w:rFonts w:hint="eastAsia" w:ascii="仿宋" w:hAnsi="仿宋" w:cs="宋体"/>
                <w:color w:val="000000"/>
                <w:kern w:val="0"/>
                <w:szCs w:val="21"/>
              </w:rPr>
              <w:t>实施</w:t>
            </w:r>
            <w:r>
              <w:rPr>
                <w:rFonts w:hint="eastAsia" w:ascii="仿宋" w:hAnsi="仿宋" w:cs="宋体"/>
                <w:color w:val="000000"/>
                <w:kern w:val="0"/>
                <w:szCs w:val="21"/>
                <w:lang w:val="en-US" w:eastAsia="zh-CN"/>
              </w:rPr>
              <w:t>咨询</w:t>
            </w:r>
            <w:r>
              <w:rPr>
                <w:rFonts w:hint="eastAsia" w:ascii="仿宋" w:hAnsi="仿宋" w:cs="宋体"/>
                <w:color w:val="000000"/>
                <w:kern w:val="0"/>
                <w:szCs w:val="21"/>
              </w:rPr>
              <w:t>服务</w:t>
            </w:r>
          </w:p>
        </w:tc>
        <w:tc>
          <w:tcPr>
            <w:tcW w:w="3664" w:type="pct"/>
            <w:vAlign w:val="center"/>
          </w:tcPr>
          <w:p w14:paraId="7EB3A29E">
            <w:pPr>
              <w:spacing w:line="360" w:lineRule="auto"/>
              <w:rPr>
                <w:rFonts w:hint="eastAsia" w:ascii="仿宋" w:hAnsi="仿宋" w:cs="宋体"/>
                <w:color w:val="000000"/>
                <w:kern w:val="0"/>
                <w:szCs w:val="21"/>
              </w:rPr>
            </w:pPr>
            <w:r>
              <w:rPr>
                <w:rFonts w:hint="eastAsia" w:ascii="仿宋" w:hAnsi="仿宋" w:cs="宋体"/>
                <w:color w:val="000000"/>
                <w:kern w:val="0"/>
                <w:szCs w:val="21"/>
              </w:rPr>
              <w:t>在用户根据等保差距测评整改和安全设计期间，可以随时咨询中标单位进行技术指导。中标单位需要根据实际情况提供线上或者现场的技术指导工作。</w:t>
            </w:r>
          </w:p>
        </w:tc>
      </w:tr>
      <w:tr w14:paraId="258C1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546" w:type="pct"/>
            <w:vMerge w:val="continue"/>
            <w:tcBorders>
              <w:left w:val="single" w:color="auto" w:sz="4" w:space="0"/>
              <w:right w:val="single" w:color="auto" w:sz="4" w:space="0"/>
            </w:tcBorders>
            <w:vAlign w:val="center"/>
          </w:tcPr>
          <w:p w14:paraId="5F72E001">
            <w:pPr>
              <w:spacing w:line="360" w:lineRule="auto"/>
              <w:rPr>
                <w:rFonts w:hint="eastAsia" w:ascii="仿宋" w:hAnsi="仿宋" w:cs="宋体"/>
                <w:color w:val="000000"/>
                <w:kern w:val="0"/>
                <w:szCs w:val="21"/>
              </w:rPr>
            </w:pPr>
          </w:p>
        </w:tc>
        <w:tc>
          <w:tcPr>
            <w:tcW w:w="789" w:type="pct"/>
            <w:tcBorders>
              <w:left w:val="single" w:color="auto" w:sz="4" w:space="0"/>
            </w:tcBorders>
            <w:vAlign w:val="center"/>
          </w:tcPr>
          <w:p w14:paraId="55087DCC">
            <w:pPr>
              <w:spacing w:line="360" w:lineRule="auto"/>
              <w:jc w:val="center"/>
              <w:rPr>
                <w:rFonts w:hint="eastAsia" w:ascii="仿宋" w:hAnsi="仿宋" w:cs="宋体"/>
                <w:color w:val="000000"/>
                <w:kern w:val="0"/>
                <w:szCs w:val="21"/>
              </w:rPr>
            </w:pPr>
          </w:p>
          <w:p w14:paraId="41CEE97B">
            <w:pPr>
              <w:spacing w:line="360" w:lineRule="auto"/>
              <w:jc w:val="center"/>
              <w:rPr>
                <w:rFonts w:hint="default" w:ascii="仿宋" w:hAnsi="仿宋" w:eastAsia="宋体" w:cs="宋体"/>
                <w:color w:val="000000"/>
                <w:kern w:val="0"/>
                <w:szCs w:val="21"/>
                <w:lang w:val="en-US" w:eastAsia="zh-CN"/>
              </w:rPr>
            </w:pPr>
            <w:r>
              <w:rPr>
                <w:rFonts w:hint="eastAsia" w:ascii="仿宋" w:hAnsi="仿宋" w:cs="宋体"/>
                <w:color w:val="000000"/>
                <w:kern w:val="0"/>
                <w:szCs w:val="21"/>
              </w:rPr>
              <w:t>协助整改及</w:t>
            </w:r>
            <w:r>
              <w:rPr>
                <w:rFonts w:hint="eastAsia" w:ascii="仿宋" w:hAnsi="仿宋" w:cs="宋体"/>
                <w:color w:val="000000"/>
                <w:kern w:val="0"/>
                <w:szCs w:val="21"/>
                <w:lang w:val="en-US" w:eastAsia="zh-CN"/>
              </w:rPr>
              <w:t>等保复评</w:t>
            </w:r>
          </w:p>
          <w:p w14:paraId="39DFDC84">
            <w:pPr>
              <w:spacing w:line="360" w:lineRule="auto"/>
              <w:jc w:val="center"/>
              <w:rPr>
                <w:rFonts w:hint="eastAsia" w:ascii="仿宋" w:hAnsi="仿宋" w:cs="宋体"/>
                <w:color w:val="000000"/>
                <w:kern w:val="0"/>
                <w:szCs w:val="21"/>
              </w:rPr>
            </w:pPr>
          </w:p>
        </w:tc>
        <w:tc>
          <w:tcPr>
            <w:tcW w:w="3664" w:type="pct"/>
            <w:vAlign w:val="center"/>
          </w:tcPr>
          <w:p w14:paraId="5C1B7CB5">
            <w:pPr>
              <w:spacing w:line="360" w:lineRule="auto"/>
              <w:rPr>
                <w:rFonts w:hint="eastAsia" w:ascii="仿宋" w:hAnsi="仿宋" w:cs="宋体"/>
                <w:color w:val="000000"/>
                <w:kern w:val="0"/>
                <w:szCs w:val="21"/>
              </w:rPr>
            </w:pPr>
            <w:r>
              <w:rPr>
                <w:rFonts w:hint="eastAsia" w:ascii="仿宋" w:hAnsi="仿宋" w:cs="宋体"/>
                <w:color w:val="000000"/>
                <w:kern w:val="0"/>
                <w:szCs w:val="21"/>
                <w:lang w:val="en-US" w:eastAsia="zh-CN"/>
              </w:rPr>
              <w:t>协助用户整改之后并对整改结果进行核查，查看整改是否生效是否符合等保标准的要求，如果复评不符合等保要求则继续协助整改。</w:t>
            </w:r>
          </w:p>
        </w:tc>
      </w:tr>
    </w:tbl>
    <w:p w14:paraId="09E47131">
      <w:pPr>
        <w:pStyle w:val="220"/>
        <w:numPr>
          <w:ilvl w:val="0"/>
          <w:numId w:val="1"/>
        </w:numPr>
        <w:wordWrap/>
        <w:spacing w:afterLines="0" w:line="360" w:lineRule="auto"/>
        <w:ind w:firstLine="420"/>
        <w:rPr>
          <w:rFonts w:hint="eastAsia" w:cs="Times New Roman"/>
          <w:snapToGrid/>
          <w:spacing w:val="0"/>
          <w:sz w:val="21"/>
          <w:szCs w:val="21"/>
        </w:rPr>
      </w:pPr>
      <w:r>
        <w:rPr>
          <w:rFonts w:hint="eastAsia" w:ascii="仿宋_GB2312" w:eastAsia="仿宋_GB2312"/>
          <w:sz w:val="24"/>
        </w:rPr>
        <w:t>▲</w:t>
      </w:r>
      <w:r>
        <w:rPr>
          <w:rFonts w:hint="eastAsia" w:cs="Times New Roman"/>
          <w:snapToGrid/>
          <w:spacing w:val="0"/>
          <w:sz w:val="21"/>
          <w:szCs w:val="21"/>
        </w:rPr>
        <w:t>测评工具技术需求</w:t>
      </w:r>
    </w:p>
    <w:p w14:paraId="39405C21">
      <w:pPr>
        <w:pStyle w:val="220"/>
        <w:numPr>
          <w:ilvl w:val="-1"/>
          <w:numId w:val="0"/>
        </w:numPr>
        <w:wordWrap/>
        <w:spacing w:afterLines="0" w:line="360" w:lineRule="auto"/>
        <w:ind w:firstLine="0" w:firstLineChars="0"/>
        <w:rPr>
          <w:rFonts w:hint="eastAsia" w:cs="Times New Roman"/>
          <w:snapToGrid/>
          <w:spacing w:val="0"/>
          <w:sz w:val="21"/>
          <w:szCs w:val="21"/>
          <w:lang w:val="en-US" w:eastAsia="zh-CN"/>
        </w:rPr>
      </w:pPr>
      <w:r>
        <w:rPr>
          <w:rFonts w:hint="eastAsia" w:ascii="仿宋_GB2312" w:eastAsia="仿宋_GB2312"/>
          <w:sz w:val="24"/>
        </w:rPr>
        <w:t>▲</w:t>
      </w:r>
      <w:r>
        <w:rPr>
          <w:rFonts w:hint="eastAsia" w:cs="Times New Roman"/>
          <w:snapToGrid/>
          <w:spacing w:val="0"/>
          <w:sz w:val="21"/>
          <w:szCs w:val="21"/>
          <w:lang w:val="en-US" w:eastAsia="zh-CN"/>
        </w:rPr>
        <w:t>提供的工具须具备以下要求，投标人需进行回应：</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513"/>
        <w:gridCol w:w="6674"/>
      </w:tblGrid>
      <w:tr w14:paraId="1AEB1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Align w:val="center"/>
          </w:tcPr>
          <w:p w14:paraId="0E20D046">
            <w:pPr>
              <w:pStyle w:val="220"/>
              <w:widowControl w:val="0"/>
              <w:numPr>
                <w:ilvl w:val="-1"/>
                <w:numId w:val="0"/>
              </w:numPr>
              <w:wordWrap/>
              <w:spacing w:afterLines="0" w:line="360" w:lineRule="auto"/>
              <w:jc w:val="center"/>
              <w:rPr>
                <w:rFonts w:hint="default" w:cs="Times New Roman"/>
                <w:b/>
                <w:bCs/>
                <w:snapToGrid/>
                <w:spacing w:val="0"/>
                <w:sz w:val="21"/>
                <w:szCs w:val="21"/>
                <w:vertAlign w:val="baseline"/>
                <w:lang w:val="en-US" w:eastAsia="zh-CN"/>
              </w:rPr>
            </w:pPr>
            <w:r>
              <w:rPr>
                <w:rFonts w:hint="eastAsia" w:cs="Times New Roman"/>
                <w:b/>
                <w:bCs/>
                <w:snapToGrid/>
                <w:spacing w:val="0"/>
                <w:sz w:val="21"/>
                <w:szCs w:val="21"/>
                <w:vertAlign w:val="baseline"/>
                <w:lang w:val="en-US" w:eastAsia="zh-CN"/>
              </w:rPr>
              <w:t>序号</w:t>
            </w:r>
          </w:p>
        </w:tc>
        <w:tc>
          <w:tcPr>
            <w:tcW w:w="1590" w:type="dxa"/>
            <w:vAlign w:val="center"/>
          </w:tcPr>
          <w:p w14:paraId="56D8F744">
            <w:pPr>
              <w:pStyle w:val="220"/>
              <w:widowControl w:val="0"/>
              <w:numPr>
                <w:ilvl w:val="-1"/>
                <w:numId w:val="0"/>
              </w:numPr>
              <w:wordWrap/>
              <w:spacing w:afterLines="0" w:line="360" w:lineRule="auto"/>
              <w:jc w:val="center"/>
              <w:rPr>
                <w:rFonts w:hint="default" w:cs="Times New Roman"/>
                <w:b/>
                <w:bCs/>
                <w:snapToGrid/>
                <w:spacing w:val="0"/>
                <w:sz w:val="21"/>
                <w:szCs w:val="21"/>
                <w:vertAlign w:val="baseline"/>
                <w:lang w:val="en-US" w:eastAsia="zh-CN"/>
              </w:rPr>
            </w:pPr>
            <w:r>
              <w:rPr>
                <w:rFonts w:hint="eastAsia" w:cs="Times New Roman"/>
                <w:b/>
                <w:bCs/>
                <w:snapToGrid/>
                <w:spacing w:val="0"/>
                <w:sz w:val="21"/>
                <w:szCs w:val="21"/>
                <w:vertAlign w:val="baseline"/>
                <w:lang w:val="en-US" w:eastAsia="zh-CN"/>
              </w:rPr>
              <w:t>功能分类</w:t>
            </w:r>
          </w:p>
        </w:tc>
        <w:tc>
          <w:tcPr>
            <w:tcW w:w="7011" w:type="dxa"/>
            <w:vAlign w:val="center"/>
          </w:tcPr>
          <w:p w14:paraId="11FDCE59">
            <w:pPr>
              <w:pStyle w:val="220"/>
              <w:widowControl w:val="0"/>
              <w:numPr>
                <w:ilvl w:val="-1"/>
                <w:numId w:val="0"/>
              </w:numPr>
              <w:wordWrap/>
              <w:spacing w:afterLines="0" w:line="360" w:lineRule="auto"/>
              <w:jc w:val="center"/>
              <w:rPr>
                <w:rFonts w:hint="default" w:cs="Times New Roman"/>
                <w:b/>
                <w:bCs/>
                <w:snapToGrid/>
                <w:spacing w:val="0"/>
                <w:sz w:val="21"/>
                <w:szCs w:val="21"/>
                <w:vertAlign w:val="baseline"/>
                <w:lang w:val="en-US" w:eastAsia="zh-CN"/>
              </w:rPr>
            </w:pPr>
            <w:r>
              <w:rPr>
                <w:rFonts w:hint="eastAsia" w:cs="Times New Roman"/>
                <w:b/>
                <w:bCs/>
                <w:snapToGrid/>
                <w:spacing w:val="0"/>
                <w:sz w:val="21"/>
                <w:szCs w:val="21"/>
                <w:vertAlign w:val="baseline"/>
                <w:lang w:val="en-US" w:eastAsia="zh-CN"/>
              </w:rPr>
              <w:t>功能参数</w:t>
            </w:r>
          </w:p>
        </w:tc>
      </w:tr>
      <w:tr w14:paraId="47B7F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Align w:val="center"/>
          </w:tcPr>
          <w:p w14:paraId="681446D1">
            <w:pPr>
              <w:pStyle w:val="220"/>
              <w:widowControl w:val="0"/>
              <w:numPr>
                <w:ilvl w:val="-1"/>
                <w:numId w:val="0"/>
              </w:numPr>
              <w:wordWrap/>
              <w:spacing w:afterLines="0" w:line="360" w:lineRule="auto"/>
              <w:jc w:val="center"/>
              <w:rPr>
                <w:rFonts w:hint="default" w:cs="Times New Roman"/>
                <w:snapToGrid/>
                <w:spacing w:val="0"/>
                <w:sz w:val="21"/>
                <w:szCs w:val="21"/>
                <w:vertAlign w:val="baseline"/>
                <w:lang w:val="en-US" w:eastAsia="zh-CN"/>
              </w:rPr>
            </w:pPr>
            <w:r>
              <w:rPr>
                <w:rFonts w:hint="eastAsia" w:cs="Times New Roman"/>
                <w:snapToGrid/>
                <w:spacing w:val="0"/>
                <w:sz w:val="21"/>
                <w:szCs w:val="21"/>
                <w:vertAlign w:val="baseline"/>
                <w:lang w:val="en-US" w:eastAsia="zh-CN"/>
              </w:rPr>
              <w:t>1</w:t>
            </w:r>
          </w:p>
        </w:tc>
        <w:tc>
          <w:tcPr>
            <w:tcW w:w="1590" w:type="dxa"/>
            <w:vMerge w:val="restart"/>
            <w:vAlign w:val="center"/>
          </w:tcPr>
          <w:p w14:paraId="3AAF4113">
            <w:pPr>
              <w:pStyle w:val="220"/>
              <w:widowControl w:val="0"/>
              <w:numPr>
                <w:ilvl w:val="-1"/>
                <w:numId w:val="0"/>
              </w:numPr>
              <w:wordWrap/>
              <w:spacing w:afterLines="0" w:line="360" w:lineRule="auto"/>
              <w:jc w:val="center"/>
              <w:rPr>
                <w:rFonts w:hint="default" w:cs="Times New Roman"/>
                <w:snapToGrid/>
                <w:spacing w:val="0"/>
                <w:sz w:val="21"/>
                <w:szCs w:val="21"/>
                <w:vertAlign w:val="baseline"/>
                <w:lang w:val="en-US" w:eastAsia="zh-CN"/>
              </w:rPr>
            </w:pPr>
            <w:r>
              <w:rPr>
                <w:rFonts w:hint="eastAsia" w:asciiTheme="minorEastAsia" w:hAnsiTheme="minorEastAsia" w:eastAsiaTheme="minorEastAsia" w:cstheme="minorEastAsia"/>
                <w:color w:val="auto"/>
                <w:sz w:val="21"/>
                <w:szCs w:val="21"/>
              </w:rPr>
              <w:t>漏洞管理和分析</w:t>
            </w:r>
          </w:p>
        </w:tc>
        <w:tc>
          <w:tcPr>
            <w:tcW w:w="7011" w:type="dxa"/>
            <w:vAlign w:val="center"/>
          </w:tcPr>
          <w:p w14:paraId="3B377E40">
            <w:pPr>
              <w:pStyle w:val="220"/>
              <w:widowControl w:val="0"/>
              <w:numPr>
                <w:ilvl w:val="-1"/>
                <w:numId w:val="0"/>
              </w:numPr>
              <w:wordWrap/>
              <w:spacing w:afterLines="0" w:line="360" w:lineRule="auto"/>
              <w:jc w:val="left"/>
              <w:rPr>
                <w:rFonts w:hint="eastAsia" w:cs="Times New Roman"/>
                <w:snapToGrid/>
                <w:spacing w:val="0"/>
                <w:sz w:val="21"/>
                <w:szCs w:val="21"/>
                <w:vertAlign w:val="baseline"/>
                <w:lang w:val="en-US" w:eastAsia="zh-CN"/>
              </w:rPr>
            </w:pPr>
            <w:r>
              <w:rPr>
                <w:rFonts w:hint="eastAsia" w:asciiTheme="minorEastAsia" w:hAnsiTheme="minorEastAsia"/>
                <w:color w:val="auto"/>
                <w:sz w:val="21"/>
                <w:szCs w:val="21"/>
              </w:rPr>
              <w:t>支持检测的漏洞数大于</w:t>
            </w:r>
            <w:r>
              <w:rPr>
                <w:rFonts w:hint="eastAsia" w:asciiTheme="minorEastAsia" w:hAnsiTheme="minorEastAsia"/>
                <w:color w:val="auto"/>
                <w:sz w:val="21"/>
                <w:szCs w:val="21"/>
                <w:lang w:val="en-US" w:eastAsia="zh-CN"/>
              </w:rPr>
              <w:t>30</w:t>
            </w:r>
            <w:r>
              <w:rPr>
                <w:rFonts w:asciiTheme="minorEastAsia" w:hAnsiTheme="minorEastAsia"/>
                <w:color w:val="auto"/>
                <w:sz w:val="21"/>
                <w:szCs w:val="21"/>
              </w:rPr>
              <w:t>0000</w:t>
            </w:r>
            <w:r>
              <w:rPr>
                <w:rFonts w:hint="eastAsia" w:asciiTheme="minorEastAsia" w:hAnsiTheme="minorEastAsia"/>
                <w:color w:val="auto"/>
                <w:sz w:val="21"/>
                <w:szCs w:val="21"/>
              </w:rPr>
              <w:t>条，兼容CVE、CNCVE、CNNVD、CNVD、Bugtraq等主流标准</w:t>
            </w:r>
            <w:r>
              <w:rPr>
                <w:rFonts w:hint="eastAsia" w:asciiTheme="minorEastAsia" w:hAnsiTheme="minorEastAsia"/>
                <w:color w:val="auto"/>
                <w:sz w:val="21"/>
                <w:szCs w:val="21"/>
                <w:lang w:eastAsia="zh-CN"/>
              </w:rPr>
              <w:t>。</w:t>
            </w:r>
          </w:p>
        </w:tc>
      </w:tr>
      <w:tr w14:paraId="2BA05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Align w:val="center"/>
          </w:tcPr>
          <w:p w14:paraId="50C3F7CF">
            <w:pPr>
              <w:pStyle w:val="220"/>
              <w:widowControl w:val="0"/>
              <w:numPr>
                <w:ilvl w:val="-1"/>
                <w:numId w:val="0"/>
              </w:numPr>
              <w:wordWrap/>
              <w:spacing w:afterLines="0" w:line="360" w:lineRule="auto"/>
              <w:jc w:val="center"/>
              <w:rPr>
                <w:rFonts w:hint="default" w:cs="Times New Roman"/>
                <w:snapToGrid/>
                <w:spacing w:val="0"/>
                <w:sz w:val="21"/>
                <w:szCs w:val="21"/>
                <w:vertAlign w:val="baseline"/>
                <w:lang w:val="en-US" w:eastAsia="zh-CN"/>
              </w:rPr>
            </w:pPr>
            <w:r>
              <w:rPr>
                <w:rFonts w:hint="eastAsia" w:cs="Times New Roman"/>
                <w:snapToGrid/>
                <w:spacing w:val="0"/>
                <w:sz w:val="21"/>
                <w:szCs w:val="21"/>
                <w:vertAlign w:val="baseline"/>
                <w:lang w:val="en-US" w:eastAsia="zh-CN"/>
              </w:rPr>
              <w:t>2</w:t>
            </w:r>
          </w:p>
        </w:tc>
        <w:tc>
          <w:tcPr>
            <w:tcW w:w="1590" w:type="dxa"/>
            <w:vMerge w:val="continue"/>
            <w:vAlign w:val="center"/>
          </w:tcPr>
          <w:p w14:paraId="3659B76A">
            <w:pPr>
              <w:pStyle w:val="220"/>
              <w:widowControl w:val="0"/>
              <w:numPr>
                <w:ilvl w:val="-1"/>
                <w:numId w:val="0"/>
              </w:numPr>
              <w:wordWrap/>
              <w:spacing w:afterLines="0" w:line="360" w:lineRule="auto"/>
              <w:jc w:val="center"/>
              <w:rPr>
                <w:rFonts w:hint="default" w:cs="Times New Roman"/>
                <w:snapToGrid/>
                <w:spacing w:val="0"/>
                <w:sz w:val="21"/>
                <w:szCs w:val="21"/>
                <w:vertAlign w:val="baseline"/>
                <w:lang w:val="en-US" w:eastAsia="zh-CN"/>
              </w:rPr>
            </w:pPr>
          </w:p>
        </w:tc>
        <w:tc>
          <w:tcPr>
            <w:tcW w:w="7011" w:type="dxa"/>
            <w:vAlign w:val="center"/>
          </w:tcPr>
          <w:p w14:paraId="3E8CB924">
            <w:pPr>
              <w:pStyle w:val="220"/>
              <w:widowControl w:val="0"/>
              <w:numPr>
                <w:ilvl w:val="-1"/>
                <w:numId w:val="0"/>
              </w:numPr>
              <w:wordWrap/>
              <w:spacing w:afterLines="0" w:line="360" w:lineRule="auto"/>
              <w:jc w:val="left"/>
              <w:rPr>
                <w:rFonts w:hint="default" w:cs="Times New Roman"/>
                <w:snapToGrid/>
                <w:spacing w:val="0"/>
                <w:sz w:val="21"/>
                <w:szCs w:val="21"/>
                <w:vertAlign w:val="baseline"/>
                <w:lang w:val="en-US" w:eastAsia="zh-CN"/>
              </w:rPr>
            </w:pPr>
            <w:r>
              <w:rPr>
                <w:rFonts w:hint="eastAsia"/>
                <w:color w:val="auto"/>
                <w:kern w:val="0"/>
                <w:sz w:val="21"/>
                <w:szCs w:val="21"/>
                <w:lang w:val="en-US" w:eastAsia="zh-CN"/>
              </w:rPr>
              <w:t>支持</w:t>
            </w:r>
            <w:r>
              <w:rPr>
                <w:rFonts w:hint="eastAsia" w:ascii="宋体" w:hAnsi="宋体"/>
                <w:color w:val="auto"/>
                <w:kern w:val="0"/>
                <w:sz w:val="21"/>
                <w:szCs w:val="21"/>
              </w:rPr>
              <w:t>高级漏洞模板过滤器，支持将符合筛选条件的漏洞自动加入到自定义漏洞模板中，及后续插件升级包中的漏洞也可以自动加入到模板中。</w:t>
            </w:r>
          </w:p>
        </w:tc>
      </w:tr>
      <w:tr w14:paraId="3C22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Align w:val="center"/>
          </w:tcPr>
          <w:p w14:paraId="75F5CCEE">
            <w:pPr>
              <w:pStyle w:val="220"/>
              <w:widowControl w:val="0"/>
              <w:numPr>
                <w:ilvl w:val="-1"/>
                <w:numId w:val="0"/>
              </w:numPr>
              <w:wordWrap/>
              <w:spacing w:afterLines="0" w:line="360" w:lineRule="auto"/>
              <w:jc w:val="center"/>
              <w:rPr>
                <w:rFonts w:hint="default" w:cs="Times New Roman"/>
                <w:snapToGrid/>
                <w:spacing w:val="0"/>
                <w:sz w:val="21"/>
                <w:szCs w:val="21"/>
                <w:vertAlign w:val="baseline"/>
                <w:lang w:val="en-US" w:eastAsia="zh-CN"/>
              </w:rPr>
            </w:pPr>
            <w:r>
              <w:rPr>
                <w:rFonts w:hint="eastAsia" w:cs="Times New Roman"/>
                <w:snapToGrid/>
                <w:spacing w:val="0"/>
                <w:sz w:val="21"/>
                <w:szCs w:val="21"/>
                <w:vertAlign w:val="baseline"/>
                <w:lang w:val="en-US" w:eastAsia="zh-CN"/>
              </w:rPr>
              <w:t>3</w:t>
            </w:r>
          </w:p>
        </w:tc>
        <w:tc>
          <w:tcPr>
            <w:tcW w:w="1590" w:type="dxa"/>
            <w:vMerge w:val="continue"/>
            <w:vAlign w:val="center"/>
          </w:tcPr>
          <w:p w14:paraId="280F145A">
            <w:pPr>
              <w:pStyle w:val="220"/>
              <w:widowControl w:val="0"/>
              <w:numPr>
                <w:ilvl w:val="-1"/>
                <w:numId w:val="0"/>
              </w:numPr>
              <w:wordWrap/>
              <w:spacing w:afterLines="0" w:line="360" w:lineRule="auto"/>
              <w:jc w:val="center"/>
              <w:rPr>
                <w:rFonts w:hint="default" w:cs="Times New Roman"/>
                <w:snapToGrid/>
                <w:spacing w:val="0"/>
                <w:sz w:val="21"/>
                <w:szCs w:val="21"/>
                <w:vertAlign w:val="baseline"/>
                <w:lang w:val="en-US" w:eastAsia="zh-CN"/>
              </w:rPr>
            </w:pPr>
          </w:p>
        </w:tc>
        <w:tc>
          <w:tcPr>
            <w:tcW w:w="7011" w:type="dxa"/>
            <w:vAlign w:val="center"/>
          </w:tcPr>
          <w:p w14:paraId="6DA3B9A7">
            <w:pPr>
              <w:pStyle w:val="220"/>
              <w:widowControl w:val="0"/>
              <w:numPr>
                <w:ilvl w:val="-1"/>
                <w:numId w:val="0"/>
              </w:numPr>
              <w:wordWrap/>
              <w:spacing w:afterLines="0" w:line="360" w:lineRule="auto"/>
              <w:jc w:val="left"/>
              <w:rPr>
                <w:rFonts w:hint="default" w:cs="Times New Roman"/>
                <w:snapToGrid/>
                <w:spacing w:val="0"/>
                <w:sz w:val="21"/>
                <w:szCs w:val="21"/>
                <w:vertAlign w:val="baseline"/>
                <w:lang w:val="en-US" w:eastAsia="zh-CN"/>
              </w:rPr>
            </w:pPr>
            <w:r>
              <w:rPr>
                <w:rFonts w:hint="eastAsia"/>
                <w:color w:val="auto"/>
                <w:kern w:val="0"/>
                <w:sz w:val="21"/>
                <w:szCs w:val="21"/>
                <w:lang w:val="en-US" w:eastAsia="zh-CN"/>
              </w:rPr>
              <w:t>支持</w:t>
            </w:r>
            <w:r>
              <w:rPr>
                <w:rFonts w:hint="eastAsia" w:ascii="宋体" w:hAnsi="宋体"/>
                <w:color w:val="auto"/>
                <w:kern w:val="0"/>
                <w:sz w:val="21"/>
                <w:szCs w:val="21"/>
              </w:rPr>
              <w:t>不同的漏洞模板针对Unix、Windows操作系统、网络设备和防火墙等模板，同时支持用户自定义扫描范围和扫描策略；支持自动模板匹配技术。</w:t>
            </w:r>
          </w:p>
        </w:tc>
      </w:tr>
      <w:tr w14:paraId="7C127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Align w:val="center"/>
          </w:tcPr>
          <w:p w14:paraId="411D8A9D">
            <w:pPr>
              <w:pStyle w:val="220"/>
              <w:widowControl w:val="0"/>
              <w:numPr>
                <w:ilvl w:val="-1"/>
                <w:numId w:val="0"/>
              </w:numPr>
              <w:wordWrap/>
              <w:spacing w:afterLines="0" w:line="360" w:lineRule="auto"/>
              <w:jc w:val="center"/>
              <w:rPr>
                <w:rFonts w:hint="default" w:cs="Times New Roman"/>
                <w:snapToGrid/>
                <w:spacing w:val="0"/>
                <w:sz w:val="21"/>
                <w:szCs w:val="21"/>
                <w:vertAlign w:val="baseline"/>
                <w:lang w:val="en-US" w:eastAsia="zh-CN"/>
              </w:rPr>
            </w:pPr>
            <w:r>
              <w:rPr>
                <w:rFonts w:hint="eastAsia" w:cs="Times New Roman"/>
                <w:snapToGrid/>
                <w:spacing w:val="0"/>
                <w:sz w:val="21"/>
                <w:szCs w:val="21"/>
                <w:vertAlign w:val="baseline"/>
                <w:lang w:val="en-US" w:eastAsia="zh-CN"/>
              </w:rPr>
              <w:t>4</w:t>
            </w:r>
          </w:p>
        </w:tc>
        <w:tc>
          <w:tcPr>
            <w:tcW w:w="1590" w:type="dxa"/>
            <w:vMerge w:val="continue"/>
            <w:vAlign w:val="center"/>
          </w:tcPr>
          <w:p w14:paraId="164B7A86">
            <w:pPr>
              <w:pStyle w:val="220"/>
              <w:widowControl w:val="0"/>
              <w:numPr>
                <w:ilvl w:val="-1"/>
                <w:numId w:val="0"/>
              </w:numPr>
              <w:wordWrap/>
              <w:spacing w:afterLines="0" w:line="360" w:lineRule="auto"/>
              <w:jc w:val="center"/>
              <w:rPr>
                <w:rFonts w:hint="default" w:cs="Times New Roman"/>
                <w:snapToGrid/>
                <w:spacing w:val="0"/>
                <w:sz w:val="21"/>
                <w:szCs w:val="21"/>
                <w:vertAlign w:val="baseline"/>
                <w:lang w:val="en-US" w:eastAsia="zh-CN"/>
              </w:rPr>
            </w:pPr>
          </w:p>
        </w:tc>
        <w:tc>
          <w:tcPr>
            <w:tcW w:w="7011" w:type="dxa"/>
            <w:vAlign w:val="center"/>
          </w:tcPr>
          <w:p w14:paraId="43156CCE">
            <w:pPr>
              <w:pStyle w:val="220"/>
              <w:widowControl w:val="0"/>
              <w:numPr>
                <w:ilvl w:val="-1"/>
                <w:numId w:val="0"/>
              </w:numPr>
              <w:wordWrap/>
              <w:spacing w:afterLines="0" w:line="360" w:lineRule="auto"/>
              <w:jc w:val="left"/>
              <w:rPr>
                <w:rFonts w:hint="default" w:cs="Times New Roman"/>
                <w:snapToGrid/>
                <w:spacing w:val="0"/>
                <w:sz w:val="21"/>
                <w:szCs w:val="21"/>
                <w:vertAlign w:val="baseline"/>
                <w:lang w:val="en-US" w:eastAsia="zh-CN"/>
              </w:rPr>
            </w:pPr>
            <w:r>
              <w:rPr>
                <w:rFonts w:hint="eastAsia" w:ascii="宋体" w:hAnsi="宋体"/>
                <w:color w:val="auto"/>
                <w:kern w:val="0"/>
                <w:sz w:val="21"/>
                <w:szCs w:val="21"/>
              </w:rPr>
              <w:t>支持扫描主流虚拟机管理系统的安全漏洞，如：VMWareESX/ESXi，要求能够扫描大于300条相关漏洞。</w:t>
            </w:r>
          </w:p>
        </w:tc>
      </w:tr>
      <w:tr w14:paraId="2A8FC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Align w:val="center"/>
          </w:tcPr>
          <w:p w14:paraId="0ADD207B">
            <w:pPr>
              <w:pStyle w:val="220"/>
              <w:widowControl w:val="0"/>
              <w:numPr>
                <w:ilvl w:val="-1"/>
                <w:numId w:val="0"/>
              </w:numPr>
              <w:wordWrap/>
              <w:spacing w:afterLines="0" w:line="360" w:lineRule="auto"/>
              <w:jc w:val="center"/>
              <w:rPr>
                <w:rFonts w:hint="default" w:cs="Times New Roman"/>
                <w:snapToGrid/>
                <w:spacing w:val="0"/>
                <w:sz w:val="21"/>
                <w:szCs w:val="21"/>
                <w:vertAlign w:val="baseline"/>
                <w:lang w:val="en-US" w:eastAsia="zh-CN"/>
              </w:rPr>
            </w:pPr>
            <w:r>
              <w:rPr>
                <w:rFonts w:hint="eastAsia" w:cs="Times New Roman"/>
                <w:snapToGrid/>
                <w:spacing w:val="0"/>
                <w:sz w:val="21"/>
                <w:szCs w:val="21"/>
                <w:vertAlign w:val="baseline"/>
                <w:lang w:val="en-US" w:eastAsia="zh-CN"/>
              </w:rPr>
              <w:t>5</w:t>
            </w:r>
          </w:p>
        </w:tc>
        <w:tc>
          <w:tcPr>
            <w:tcW w:w="1590" w:type="dxa"/>
            <w:vMerge w:val="continue"/>
            <w:vAlign w:val="center"/>
          </w:tcPr>
          <w:p w14:paraId="7DE4B8F4">
            <w:pPr>
              <w:pStyle w:val="220"/>
              <w:widowControl w:val="0"/>
              <w:numPr>
                <w:ilvl w:val="-1"/>
                <w:numId w:val="0"/>
              </w:numPr>
              <w:wordWrap/>
              <w:spacing w:afterLines="0" w:line="360" w:lineRule="auto"/>
              <w:jc w:val="center"/>
              <w:rPr>
                <w:rFonts w:hint="default" w:cs="Times New Roman"/>
                <w:snapToGrid/>
                <w:spacing w:val="0"/>
                <w:sz w:val="21"/>
                <w:szCs w:val="21"/>
                <w:vertAlign w:val="baseline"/>
                <w:lang w:val="en-US" w:eastAsia="zh-CN"/>
              </w:rPr>
            </w:pPr>
          </w:p>
        </w:tc>
        <w:tc>
          <w:tcPr>
            <w:tcW w:w="7011" w:type="dxa"/>
            <w:vAlign w:val="center"/>
          </w:tcPr>
          <w:p w14:paraId="54E2D874">
            <w:pPr>
              <w:pStyle w:val="220"/>
              <w:widowControl w:val="0"/>
              <w:numPr>
                <w:ilvl w:val="-1"/>
                <w:numId w:val="0"/>
              </w:numPr>
              <w:wordWrap/>
              <w:spacing w:afterLines="0" w:line="360" w:lineRule="auto"/>
              <w:jc w:val="left"/>
              <w:rPr>
                <w:rFonts w:hint="default" w:cs="Times New Roman"/>
                <w:snapToGrid/>
                <w:spacing w:val="0"/>
                <w:sz w:val="21"/>
                <w:szCs w:val="21"/>
                <w:vertAlign w:val="baseline"/>
                <w:lang w:val="en-US" w:eastAsia="zh-CN"/>
              </w:rPr>
            </w:pPr>
            <w:r>
              <w:rPr>
                <w:rFonts w:hint="eastAsia"/>
                <w:color w:val="auto"/>
                <w:kern w:val="0"/>
                <w:sz w:val="21"/>
                <w:szCs w:val="21"/>
                <w:lang w:val="en-US" w:eastAsia="zh-CN"/>
              </w:rPr>
              <w:t>支持</w:t>
            </w:r>
            <w:r>
              <w:rPr>
                <w:rFonts w:hint="eastAsia" w:ascii="宋体" w:hAnsi="宋体"/>
                <w:color w:val="auto"/>
                <w:kern w:val="0"/>
                <w:sz w:val="21"/>
                <w:szCs w:val="21"/>
              </w:rPr>
              <w:t>单独口令猜测扫描任务，支持多种口令猜测方式，包括利用SMB、TELNET、FTP、SSH、POP3、TOMCAT、SQL SERVER、MYSQL、ORACLE、SYBASE、DB2、SNMP等协议进行口令猜测，允许外挂用户提供的用户名字典、密码字典和用户名密码组合字典。</w:t>
            </w:r>
          </w:p>
        </w:tc>
      </w:tr>
      <w:tr w14:paraId="27AB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Align w:val="center"/>
          </w:tcPr>
          <w:p w14:paraId="6E303FB3">
            <w:pPr>
              <w:pStyle w:val="220"/>
              <w:widowControl w:val="0"/>
              <w:numPr>
                <w:ilvl w:val="-1"/>
                <w:numId w:val="0"/>
              </w:numPr>
              <w:wordWrap/>
              <w:spacing w:afterLines="0" w:line="360" w:lineRule="auto"/>
              <w:jc w:val="center"/>
              <w:rPr>
                <w:rFonts w:hint="default" w:cs="Times New Roman"/>
                <w:snapToGrid/>
                <w:spacing w:val="0"/>
                <w:sz w:val="21"/>
                <w:szCs w:val="21"/>
                <w:vertAlign w:val="baseline"/>
                <w:lang w:val="en-US" w:eastAsia="zh-CN"/>
              </w:rPr>
            </w:pPr>
            <w:r>
              <w:rPr>
                <w:rFonts w:hint="eastAsia" w:cs="Times New Roman"/>
                <w:snapToGrid/>
                <w:spacing w:val="0"/>
                <w:sz w:val="21"/>
                <w:szCs w:val="21"/>
                <w:vertAlign w:val="baseline"/>
                <w:lang w:val="en-US" w:eastAsia="zh-CN"/>
              </w:rPr>
              <w:t>6</w:t>
            </w:r>
          </w:p>
        </w:tc>
        <w:tc>
          <w:tcPr>
            <w:tcW w:w="1590" w:type="dxa"/>
            <w:vMerge w:val="continue"/>
            <w:vAlign w:val="center"/>
          </w:tcPr>
          <w:p w14:paraId="6C0698DF">
            <w:pPr>
              <w:pStyle w:val="220"/>
              <w:widowControl w:val="0"/>
              <w:numPr>
                <w:ilvl w:val="-1"/>
                <w:numId w:val="0"/>
              </w:numPr>
              <w:wordWrap/>
              <w:spacing w:afterLines="0" w:line="360" w:lineRule="auto"/>
              <w:jc w:val="center"/>
              <w:rPr>
                <w:rFonts w:hint="default" w:cs="Times New Roman"/>
                <w:snapToGrid/>
                <w:spacing w:val="0"/>
                <w:sz w:val="21"/>
                <w:szCs w:val="21"/>
                <w:vertAlign w:val="baseline"/>
                <w:lang w:val="en-US" w:eastAsia="zh-CN"/>
              </w:rPr>
            </w:pPr>
          </w:p>
        </w:tc>
        <w:tc>
          <w:tcPr>
            <w:tcW w:w="7011" w:type="dxa"/>
            <w:vAlign w:val="center"/>
          </w:tcPr>
          <w:p w14:paraId="21C300EF">
            <w:pPr>
              <w:pStyle w:val="220"/>
              <w:widowControl w:val="0"/>
              <w:numPr>
                <w:ilvl w:val="-1"/>
                <w:numId w:val="0"/>
              </w:numPr>
              <w:wordWrap/>
              <w:spacing w:afterLines="0" w:line="360" w:lineRule="auto"/>
              <w:jc w:val="left"/>
              <w:rPr>
                <w:rFonts w:hint="default" w:cs="Times New Roman"/>
                <w:snapToGrid/>
                <w:spacing w:val="0"/>
                <w:sz w:val="21"/>
                <w:szCs w:val="21"/>
                <w:vertAlign w:val="baseline"/>
                <w:lang w:val="en-US" w:eastAsia="zh-CN"/>
              </w:rPr>
            </w:pPr>
            <w:r>
              <w:rPr>
                <w:rFonts w:hint="eastAsia" w:ascii="宋体" w:hAnsi="宋体"/>
                <w:color w:val="auto"/>
                <w:kern w:val="0"/>
                <w:sz w:val="21"/>
                <w:szCs w:val="21"/>
              </w:rPr>
              <w:t>支持立即执行、定时执行、周期执行扫描任务，自定义的周期时间可精确至每*月第*个星期*的*点*分。</w:t>
            </w:r>
          </w:p>
        </w:tc>
      </w:tr>
      <w:tr w14:paraId="58080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Align w:val="center"/>
          </w:tcPr>
          <w:p w14:paraId="2DB6C806">
            <w:pPr>
              <w:pStyle w:val="220"/>
              <w:widowControl w:val="0"/>
              <w:numPr>
                <w:ilvl w:val="-1"/>
                <w:numId w:val="0"/>
              </w:numPr>
              <w:wordWrap/>
              <w:spacing w:afterLines="0" w:line="360" w:lineRule="auto"/>
              <w:jc w:val="center"/>
              <w:rPr>
                <w:rFonts w:hint="default" w:cs="Times New Roman"/>
                <w:snapToGrid/>
                <w:spacing w:val="0"/>
                <w:sz w:val="21"/>
                <w:szCs w:val="21"/>
                <w:vertAlign w:val="baseline"/>
                <w:lang w:val="en-US" w:eastAsia="zh-CN"/>
              </w:rPr>
            </w:pPr>
            <w:r>
              <w:rPr>
                <w:rFonts w:hint="eastAsia" w:cs="Times New Roman"/>
                <w:snapToGrid/>
                <w:spacing w:val="0"/>
                <w:sz w:val="21"/>
                <w:szCs w:val="21"/>
                <w:vertAlign w:val="baseline"/>
                <w:lang w:val="en-US" w:eastAsia="zh-CN"/>
              </w:rPr>
              <w:t>7</w:t>
            </w:r>
          </w:p>
        </w:tc>
        <w:tc>
          <w:tcPr>
            <w:tcW w:w="1590" w:type="dxa"/>
            <w:vMerge w:val="continue"/>
            <w:vAlign w:val="center"/>
          </w:tcPr>
          <w:p w14:paraId="77304C2A">
            <w:pPr>
              <w:pStyle w:val="220"/>
              <w:widowControl w:val="0"/>
              <w:numPr>
                <w:ilvl w:val="-1"/>
                <w:numId w:val="0"/>
              </w:numPr>
              <w:wordWrap/>
              <w:spacing w:afterLines="0" w:line="360" w:lineRule="auto"/>
              <w:jc w:val="center"/>
              <w:rPr>
                <w:rFonts w:hint="default" w:cs="Times New Roman"/>
                <w:snapToGrid/>
                <w:spacing w:val="0"/>
                <w:sz w:val="21"/>
                <w:szCs w:val="21"/>
                <w:vertAlign w:val="baseline"/>
                <w:lang w:val="en-US" w:eastAsia="zh-CN"/>
              </w:rPr>
            </w:pPr>
          </w:p>
        </w:tc>
        <w:tc>
          <w:tcPr>
            <w:tcW w:w="7011" w:type="dxa"/>
            <w:vAlign w:val="center"/>
          </w:tcPr>
          <w:p w14:paraId="4B6A5303">
            <w:pPr>
              <w:pStyle w:val="220"/>
              <w:widowControl w:val="0"/>
              <w:numPr>
                <w:ilvl w:val="-1"/>
                <w:numId w:val="0"/>
              </w:numPr>
              <w:wordWrap/>
              <w:spacing w:afterLines="0" w:line="360" w:lineRule="auto"/>
              <w:jc w:val="left"/>
              <w:rPr>
                <w:rFonts w:hint="default" w:cs="Times New Roman"/>
                <w:snapToGrid/>
                <w:spacing w:val="0"/>
                <w:sz w:val="21"/>
                <w:szCs w:val="21"/>
                <w:vertAlign w:val="baseline"/>
                <w:lang w:val="en-US" w:eastAsia="zh-CN"/>
              </w:rPr>
            </w:pPr>
            <w:r>
              <w:rPr>
                <w:rFonts w:hint="eastAsia"/>
                <w:color w:val="auto"/>
                <w:kern w:val="0"/>
                <w:sz w:val="21"/>
                <w:szCs w:val="21"/>
                <w:lang w:val="en-US" w:eastAsia="zh-CN"/>
              </w:rPr>
              <w:t>支持</w:t>
            </w:r>
            <w:r>
              <w:rPr>
                <w:rFonts w:hint="eastAsia" w:ascii="宋体" w:hAnsi="宋体"/>
                <w:color w:val="auto"/>
                <w:kern w:val="0"/>
                <w:sz w:val="21"/>
                <w:szCs w:val="21"/>
              </w:rPr>
              <w:t>通过资产树对资产进行分级管理，支持设备权重设置和可信设备登记，支持将资产信息批量导入到资产树，可在资产树上直接指定主机开展扫描任务。</w:t>
            </w:r>
          </w:p>
        </w:tc>
      </w:tr>
      <w:tr w14:paraId="3FBB0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Align w:val="center"/>
          </w:tcPr>
          <w:p w14:paraId="3962FC1C">
            <w:pPr>
              <w:pStyle w:val="220"/>
              <w:widowControl w:val="0"/>
              <w:numPr>
                <w:ilvl w:val="-1"/>
                <w:numId w:val="0"/>
              </w:numPr>
              <w:wordWrap/>
              <w:spacing w:afterLines="0" w:line="360" w:lineRule="auto"/>
              <w:jc w:val="center"/>
              <w:rPr>
                <w:rFonts w:hint="default" w:cs="Times New Roman"/>
                <w:snapToGrid/>
                <w:spacing w:val="0"/>
                <w:sz w:val="21"/>
                <w:szCs w:val="21"/>
                <w:vertAlign w:val="baseline"/>
                <w:lang w:val="en-US" w:eastAsia="zh-CN"/>
              </w:rPr>
            </w:pPr>
            <w:r>
              <w:rPr>
                <w:rFonts w:hint="eastAsia" w:cs="Times New Roman"/>
                <w:snapToGrid/>
                <w:spacing w:val="0"/>
                <w:sz w:val="21"/>
                <w:szCs w:val="21"/>
                <w:vertAlign w:val="baseline"/>
                <w:lang w:val="en-US" w:eastAsia="zh-CN"/>
              </w:rPr>
              <w:t>8</w:t>
            </w:r>
          </w:p>
        </w:tc>
        <w:tc>
          <w:tcPr>
            <w:tcW w:w="1590" w:type="dxa"/>
            <w:vMerge w:val="continue"/>
            <w:vAlign w:val="center"/>
          </w:tcPr>
          <w:p w14:paraId="4F404E98">
            <w:pPr>
              <w:pStyle w:val="220"/>
              <w:widowControl w:val="0"/>
              <w:numPr>
                <w:ilvl w:val="-1"/>
                <w:numId w:val="0"/>
              </w:numPr>
              <w:wordWrap/>
              <w:spacing w:afterLines="0" w:line="360" w:lineRule="auto"/>
              <w:jc w:val="center"/>
              <w:rPr>
                <w:rFonts w:hint="default" w:cs="Times New Roman"/>
                <w:snapToGrid/>
                <w:spacing w:val="0"/>
                <w:sz w:val="21"/>
                <w:szCs w:val="21"/>
                <w:vertAlign w:val="baseline"/>
                <w:lang w:val="en-US" w:eastAsia="zh-CN"/>
              </w:rPr>
            </w:pPr>
          </w:p>
        </w:tc>
        <w:tc>
          <w:tcPr>
            <w:tcW w:w="7011" w:type="dxa"/>
            <w:vAlign w:val="center"/>
          </w:tcPr>
          <w:p w14:paraId="0C686F54">
            <w:pPr>
              <w:pStyle w:val="220"/>
              <w:widowControl w:val="0"/>
              <w:numPr>
                <w:ilvl w:val="-1"/>
                <w:numId w:val="0"/>
              </w:numPr>
              <w:wordWrap/>
              <w:spacing w:afterLines="0" w:line="360" w:lineRule="auto"/>
              <w:jc w:val="left"/>
              <w:rPr>
                <w:rFonts w:hint="eastAsia" w:cs="Times New Roman"/>
                <w:snapToGrid/>
                <w:spacing w:val="0"/>
                <w:sz w:val="21"/>
                <w:szCs w:val="21"/>
                <w:vertAlign w:val="baseline"/>
                <w:lang w:val="en-US" w:eastAsia="zh-CN"/>
              </w:rPr>
            </w:pPr>
            <w:r>
              <w:rPr>
                <w:rFonts w:hint="eastAsia"/>
                <w:color w:val="auto"/>
                <w:kern w:val="0"/>
                <w:sz w:val="21"/>
                <w:szCs w:val="21"/>
                <w:lang w:val="en-US" w:eastAsia="zh-CN"/>
              </w:rPr>
              <w:t>支持</w:t>
            </w:r>
            <w:r>
              <w:rPr>
                <w:rFonts w:hint="eastAsia" w:ascii="宋体" w:hAnsi="宋体"/>
                <w:color w:val="auto"/>
                <w:kern w:val="0"/>
                <w:sz w:val="21"/>
                <w:szCs w:val="21"/>
              </w:rPr>
              <w:t>通过多种维度搜索定位资产和查看资产风险，包括并不限于：节点或设备名称、资产IP范围、资产管理员、资产操作系统类型、资产风险等级、漏洞名称、开放的端口、资产banner信息等</w:t>
            </w:r>
            <w:r>
              <w:rPr>
                <w:rFonts w:hint="eastAsia"/>
                <w:color w:val="auto"/>
                <w:kern w:val="0"/>
                <w:sz w:val="21"/>
                <w:szCs w:val="21"/>
                <w:lang w:eastAsia="zh-CN"/>
              </w:rPr>
              <w:t>。</w:t>
            </w:r>
          </w:p>
        </w:tc>
      </w:tr>
      <w:tr w14:paraId="73243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Align w:val="center"/>
          </w:tcPr>
          <w:p w14:paraId="6D45DFDC">
            <w:pPr>
              <w:pStyle w:val="220"/>
              <w:widowControl w:val="0"/>
              <w:numPr>
                <w:ilvl w:val="-1"/>
                <w:numId w:val="0"/>
              </w:numPr>
              <w:wordWrap/>
              <w:spacing w:afterLines="0" w:line="360" w:lineRule="auto"/>
              <w:jc w:val="center"/>
              <w:rPr>
                <w:rFonts w:hint="default" w:cs="Times New Roman"/>
                <w:snapToGrid/>
                <w:spacing w:val="0"/>
                <w:sz w:val="21"/>
                <w:szCs w:val="21"/>
                <w:vertAlign w:val="baseline"/>
                <w:lang w:val="en-US" w:eastAsia="zh-CN"/>
              </w:rPr>
            </w:pPr>
            <w:r>
              <w:rPr>
                <w:rFonts w:hint="eastAsia" w:cs="Times New Roman"/>
                <w:snapToGrid/>
                <w:spacing w:val="0"/>
                <w:sz w:val="21"/>
                <w:szCs w:val="21"/>
                <w:vertAlign w:val="baseline"/>
                <w:lang w:val="en-US" w:eastAsia="zh-CN"/>
              </w:rPr>
              <w:t>9</w:t>
            </w:r>
          </w:p>
        </w:tc>
        <w:tc>
          <w:tcPr>
            <w:tcW w:w="1590" w:type="dxa"/>
            <w:vMerge w:val="continue"/>
            <w:vAlign w:val="center"/>
          </w:tcPr>
          <w:p w14:paraId="7E01087A">
            <w:pPr>
              <w:pStyle w:val="220"/>
              <w:widowControl w:val="0"/>
              <w:numPr>
                <w:ilvl w:val="-1"/>
                <w:numId w:val="0"/>
              </w:numPr>
              <w:wordWrap/>
              <w:spacing w:afterLines="0" w:line="360" w:lineRule="auto"/>
              <w:jc w:val="center"/>
              <w:rPr>
                <w:rFonts w:hint="default" w:cs="Times New Roman"/>
                <w:snapToGrid/>
                <w:spacing w:val="0"/>
                <w:sz w:val="21"/>
                <w:szCs w:val="21"/>
                <w:vertAlign w:val="baseline"/>
                <w:lang w:val="en-US" w:eastAsia="zh-CN"/>
              </w:rPr>
            </w:pPr>
          </w:p>
        </w:tc>
        <w:tc>
          <w:tcPr>
            <w:tcW w:w="7011" w:type="dxa"/>
            <w:vAlign w:val="center"/>
          </w:tcPr>
          <w:p w14:paraId="731B2CA2">
            <w:pPr>
              <w:pStyle w:val="220"/>
              <w:widowControl w:val="0"/>
              <w:numPr>
                <w:ilvl w:val="-1"/>
                <w:numId w:val="0"/>
              </w:numPr>
              <w:wordWrap/>
              <w:spacing w:afterLines="0" w:line="360" w:lineRule="auto"/>
              <w:jc w:val="left"/>
              <w:rPr>
                <w:rFonts w:hint="eastAsia" w:ascii="宋体" w:hAnsi="宋体" w:eastAsia="宋体"/>
                <w:color w:val="auto"/>
                <w:kern w:val="0"/>
                <w:sz w:val="21"/>
                <w:szCs w:val="21"/>
                <w:lang w:eastAsia="zh-CN"/>
              </w:rPr>
            </w:pPr>
            <w:r>
              <w:rPr>
                <w:rFonts w:hint="eastAsia" w:ascii="宋体" w:hAnsi="宋体"/>
                <w:color w:val="auto"/>
                <w:kern w:val="0"/>
                <w:sz w:val="21"/>
                <w:szCs w:val="21"/>
              </w:rPr>
              <w:t>支持对系统漏洞、web漏洞、配置合规进行检查和综合分析，可输出同时包含漏洞扫描、配置核查、弱口令检查结果的报表</w:t>
            </w:r>
            <w:r>
              <w:rPr>
                <w:rFonts w:hint="eastAsia"/>
                <w:color w:val="auto"/>
                <w:kern w:val="0"/>
                <w:sz w:val="21"/>
                <w:szCs w:val="21"/>
                <w:lang w:eastAsia="zh-CN"/>
              </w:rPr>
              <w:t>。</w:t>
            </w:r>
          </w:p>
        </w:tc>
      </w:tr>
      <w:tr w14:paraId="1ADF5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Align w:val="center"/>
          </w:tcPr>
          <w:p w14:paraId="616770FB">
            <w:pPr>
              <w:pStyle w:val="220"/>
              <w:widowControl w:val="0"/>
              <w:numPr>
                <w:ilvl w:val="-1"/>
                <w:numId w:val="0"/>
              </w:numPr>
              <w:wordWrap/>
              <w:spacing w:afterLines="0" w:line="360" w:lineRule="auto"/>
              <w:jc w:val="center"/>
              <w:rPr>
                <w:rFonts w:hint="default" w:cs="Times New Roman"/>
                <w:snapToGrid/>
                <w:spacing w:val="0"/>
                <w:sz w:val="21"/>
                <w:szCs w:val="21"/>
                <w:vertAlign w:val="baseline"/>
                <w:lang w:val="en-US" w:eastAsia="zh-CN"/>
              </w:rPr>
            </w:pPr>
            <w:r>
              <w:rPr>
                <w:rFonts w:hint="eastAsia" w:cs="Times New Roman"/>
                <w:snapToGrid/>
                <w:spacing w:val="0"/>
                <w:sz w:val="21"/>
                <w:szCs w:val="21"/>
                <w:vertAlign w:val="baseline"/>
                <w:lang w:val="en-US" w:eastAsia="zh-CN"/>
              </w:rPr>
              <w:t>10</w:t>
            </w:r>
          </w:p>
        </w:tc>
        <w:tc>
          <w:tcPr>
            <w:tcW w:w="1590" w:type="dxa"/>
            <w:vMerge w:val="continue"/>
            <w:vAlign w:val="center"/>
          </w:tcPr>
          <w:p w14:paraId="06F302B2">
            <w:pPr>
              <w:pStyle w:val="220"/>
              <w:widowControl w:val="0"/>
              <w:numPr>
                <w:ilvl w:val="-1"/>
                <w:numId w:val="0"/>
              </w:numPr>
              <w:wordWrap/>
              <w:spacing w:afterLines="0" w:line="360" w:lineRule="auto"/>
              <w:jc w:val="center"/>
              <w:rPr>
                <w:rFonts w:hint="default" w:cs="Times New Roman"/>
                <w:snapToGrid/>
                <w:spacing w:val="0"/>
                <w:sz w:val="21"/>
                <w:szCs w:val="21"/>
                <w:vertAlign w:val="baseline"/>
                <w:lang w:val="en-US" w:eastAsia="zh-CN"/>
              </w:rPr>
            </w:pPr>
          </w:p>
        </w:tc>
        <w:tc>
          <w:tcPr>
            <w:tcW w:w="7011" w:type="dxa"/>
            <w:vAlign w:val="center"/>
          </w:tcPr>
          <w:p w14:paraId="6D3699BE">
            <w:pPr>
              <w:pStyle w:val="220"/>
              <w:widowControl w:val="0"/>
              <w:numPr>
                <w:ilvl w:val="-1"/>
                <w:numId w:val="0"/>
              </w:numPr>
              <w:wordWrap/>
              <w:spacing w:afterLines="0" w:line="360" w:lineRule="auto"/>
              <w:jc w:val="left"/>
              <w:rPr>
                <w:rFonts w:hint="eastAsia" w:ascii="宋体" w:hAnsi="宋体" w:eastAsia="宋体"/>
                <w:color w:val="auto"/>
                <w:kern w:val="0"/>
                <w:sz w:val="21"/>
                <w:szCs w:val="21"/>
                <w:lang w:eastAsia="zh-CN"/>
              </w:rPr>
            </w:pPr>
            <w:r>
              <w:rPr>
                <w:rFonts w:hint="eastAsia" w:ascii="宋体" w:hAnsi="宋体"/>
                <w:color w:val="auto"/>
                <w:kern w:val="0"/>
                <w:sz w:val="21"/>
                <w:szCs w:val="21"/>
              </w:rPr>
              <w:t>支持扫描国产操作系统、应用及软件的安全漏洞，如华为欧拉、open欧拉、统信、麒麟、bclinux、达梦、南大通用、人大金仓、神通、金蝶、东方通等</w:t>
            </w:r>
            <w:r>
              <w:rPr>
                <w:rFonts w:hint="eastAsia"/>
                <w:color w:val="auto"/>
                <w:kern w:val="0"/>
                <w:sz w:val="21"/>
                <w:szCs w:val="21"/>
                <w:lang w:eastAsia="zh-CN"/>
              </w:rPr>
              <w:t>。</w:t>
            </w:r>
          </w:p>
        </w:tc>
      </w:tr>
      <w:tr w14:paraId="11ED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Align w:val="center"/>
          </w:tcPr>
          <w:p w14:paraId="455B6BA1">
            <w:pPr>
              <w:pStyle w:val="220"/>
              <w:widowControl w:val="0"/>
              <w:numPr>
                <w:ilvl w:val="-1"/>
                <w:numId w:val="0"/>
              </w:numPr>
              <w:wordWrap/>
              <w:spacing w:afterLines="0" w:line="360" w:lineRule="auto"/>
              <w:jc w:val="center"/>
              <w:rPr>
                <w:rFonts w:hint="default" w:cs="Times New Roman"/>
                <w:snapToGrid/>
                <w:spacing w:val="0"/>
                <w:sz w:val="21"/>
                <w:szCs w:val="21"/>
                <w:vertAlign w:val="baseline"/>
                <w:lang w:val="en-US" w:eastAsia="zh-CN"/>
              </w:rPr>
            </w:pPr>
            <w:r>
              <w:rPr>
                <w:rFonts w:hint="eastAsia" w:cs="Times New Roman"/>
                <w:snapToGrid/>
                <w:spacing w:val="0"/>
                <w:sz w:val="21"/>
                <w:szCs w:val="21"/>
                <w:vertAlign w:val="baseline"/>
                <w:lang w:val="en-US" w:eastAsia="zh-CN"/>
              </w:rPr>
              <w:t>11</w:t>
            </w:r>
          </w:p>
        </w:tc>
        <w:tc>
          <w:tcPr>
            <w:tcW w:w="1590" w:type="dxa"/>
            <w:vMerge w:val="continue"/>
            <w:vAlign w:val="center"/>
          </w:tcPr>
          <w:p w14:paraId="72E36AF5">
            <w:pPr>
              <w:pStyle w:val="220"/>
              <w:widowControl w:val="0"/>
              <w:numPr>
                <w:ilvl w:val="-1"/>
                <w:numId w:val="0"/>
              </w:numPr>
              <w:wordWrap/>
              <w:spacing w:afterLines="0" w:line="360" w:lineRule="auto"/>
              <w:jc w:val="center"/>
              <w:rPr>
                <w:rFonts w:hint="default" w:cs="Times New Roman"/>
                <w:snapToGrid/>
                <w:spacing w:val="0"/>
                <w:sz w:val="21"/>
                <w:szCs w:val="21"/>
                <w:vertAlign w:val="baseline"/>
                <w:lang w:val="en-US" w:eastAsia="zh-CN"/>
              </w:rPr>
            </w:pPr>
          </w:p>
        </w:tc>
        <w:tc>
          <w:tcPr>
            <w:tcW w:w="7011" w:type="dxa"/>
            <w:vAlign w:val="center"/>
          </w:tcPr>
          <w:p w14:paraId="4A10DD0F">
            <w:pPr>
              <w:pStyle w:val="220"/>
              <w:widowControl w:val="0"/>
              <w:numPr>
                <w:ilvl w:val="-1"/>
                <w:numId w:val="0"/>
              </w:numPr>
              <w:wordWrap/>
              <w:spacing w:afterLines="0" w:line="360" w:lineRule="auto"/>
              <w:jc w:val="left"/>
              <w:rPr>
                <w:rFonts w:hint="eastAsia" w:ascii="宋体" w:hAnsi="宋体" w:eastAsia="宋体"/>
                <w:color w:val="auto"/>
                <w:kern w:val="0"/>
                <w:sz w:val="21"/>
                <w:szCs w:val="21"/>
                <w:lang w:eastAsia="zh-CN"/>
              </w:rPr>
            </w:pPr>
            <w:r>
              <w:rPr>
                <w:rFonts w:hint="eastAsia" w:ascii="宋体" w:hAnsi="宋体"/>
                <w:color w:val="auto"/>
                <w:kern w:val="0"/>
                <w:sz w:val="21"/>
                <w:szCs w:val="21"/>
              </w:rPr>
              <w:t>支持扫描主流云主机管理系统、云计算组件的安全漏洞，如：VMWareESX/ESXi、KVM、Xen</w:t>
            </w:r>
            <w:r>
              <w:rPr>
                <w:rFonts w:hint="eastAsia"/>
                <w:color w:val="auto"/>
                <w:kern w:val="0"/>
                <w:sz w:val="21"/>
                <w:szCs w:val="21"/>
                <w:lang w:eastAsia="zh-CN"/>
              </w:rPr>
              <w:t>。</w:t>
            </w:r>
          </w:p>
        </w:tc>
      </w:tr>
      <w:tr w14:paraId="72EBF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Align w:val="center"/>
          </w:tcPr>
          <w:p w14:paraId="2E928642">
            <w:pPr>
              <w:pStyle w:val="220"/>
              <w:widowControl w:val="0"/>
              <w:numPr>
                <w:ilvl w:val="-1"/>
                <w:numId w:val="0"/>
              </w:numPr>
              <w:wordWrap/>
              <w:spacing w:afterLines="0" w:line="360" w:lineRule="auto"/>
              <w:jc w:val="center"/>
              <w:rPr>
                <w:rFonts w:hint="default" w:cs="Times New Roman"/>
                <w:snapToGrid/>
                <w:spacing w:val="0"/>
                <w:sz w:val="21"/>
                <w:szCs w:val="21"/>
                <w:vertAlign w:val="baseline"/>
                <w:lang w:val="en-US" w:eastAsia="zh-CN"/>
              </w:rPr>
            </w:pPr>
            <w:r>
              <w:rPr>
                <w:rFonts w:hint="eastAsia" w:cs="Times New Roman"/>
                <w:snapToGrid/>
                <w:spacing w:val="0"/>
                <w:sz w:val="21"/>
                <w:szCs w:val="21"/>
                <w:vertAlign w:val="baseline"/>
                <w:lang w:val="en-US" w:eastAsia="zh-CN"/>
              </w:rPr>
              <w:t>12</w:t>
            </w:r>
          </w:p>
        </w:tc>
        <w:tc>
          <w:tcPr>
            <w:tcW w:w="1590" w:type="dxa"/>
            <w:vMerge w:val="continue"/>
            <w:vAlign w:val="center"/>
          </w:tcPr>
          <w:p w14:paraId="7687E05E">
            <w:pPr>
              <w:pStyle w:val="220"/>
              <w:widowControl w:val="0"/>
              <w:numPr>
                <w:ilvl w:val="-1"/>
                <w:numId w:val="0"/>
              </w:numPr>
              <w:wordWrap/>
              <w:spacing w:afterLines="0" w:line="360" w:lineRule="auto"/>
              <w:jc w:val="center"/>
              <w:rPr>
                <w:rFonts w:hint="default" w:cs="Times New Roman"/>
                <w:snapToGrid/>
                <w:spacing w:val="0"/>
                <w:sz w:val="21"/>
                <w:szCs w:val="21"/>
                <w:vertAlign w:val="baseline"/>
                <w:lang w:val="en-US" w:eastAsia="zh-CN"/>
              </w:rPr>
            </w:pPr>
          </w:p>
        </w:tc>
        <w:tc>
          <w:tcPr>
            <w:tcW w:w="7011" w:type="dxa"/>
            <w:vAlign w:val="center"/>
          </w:tcPr>
          <w:p w14:paraId="36B51469">
            <w:pPr>
              <w:pStyle w:val="220"/>
              <w:widowControl w:val="0"/>
              <w:numPr>
                <w:ilvl w:val="-1"/>
                <w:numId w:val="0"/>
              </w:numPr>
              <w:wordWrap/>
              <w:spacing w:afterLines="0" w:line="360" w:lineRule="auto"/>
              <w:jc w:val="left"/>
              <w:rPr>
                <w:rFonts w:hint="eastAsia" w:ascii="宋体" w:hAnsi="宋体" w:eastAsia="宋体"/>
                <w:color w:val="auto"/>
                <w:kern w:val="0"/>
                <w:sz w:val="21"/>
                <w:szCs w:val="21"/>
                <w:lang w:eastAsia="zh-CN"/>
              </w:rPr>
            </w:pPr>
            <w:r>
              <w:rPr>
                <w:rFonts w:hint="eastAsia" w:ascii="宋体" w:hAnsi="宋体"/>
                <w:color w:val="auto"/>
                <w:kern w:val="0"/>
                <w:sz w:val="21"/>
                <w:szCs w:val="21"/>
              </w:rPr>
              <w:t>支持数据库扫描模板，支持Oracle、MySQL、MS SQL、DB2、Sybase、MongoDB数据库漏洞检查</w:t>
            </w:r>
            <w:r>
              <w:rPr>
                <w:rFonts w:hint="eastAsia"/>
                <w:color w:val="auto"/>
                <w:kern w:val="0"/>
                <w:sz w:val="21"/>
                <w:szCs w:val="21"/>
                <w:lang w:eastAsia="zh-CN"/>
              </w:rPr>
              <w:t>。</w:t>
            </w:r>
          </w:p>
        </w:tc>
      </w:tr>
      <w:tr w14:paraId="7EC5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Align w:val="center"/>
          </w:tcPr>
          <w:p w14:paraId="59E5B991">
            <w:pPr>
              <w:pStyle w:val="220"/>
              <w:widowControl w:val="0"/>
              <w:numPr>
                <w:ilvl w:val="-1"/>
                <w:numId w:val="0"/>
              </w:numPr>
              <w:wordWrap/>
              <w:spacing w:afterLines="0" w:line="360" w:lineRule="auto"/>
              <w:jc w:val="center"/>
              <w:rPr>
                <w:rFonts w:hint="default" w:cs="Times New Roman"/>
                <w:snapToGrid/>
                <w:spacing w:val="0"/>
                <w:sz w:val="21"/>
                <w:szCs w:val="21"/>
                <w:vertAlign w:val="baseline"/>
                <w:lang w:val="en-US" w:eastAsia="zh-CN"/>
              </w:rPr>
            </w:pPr>
            <w:r>
              <w:rPr>
                <w:rFonts w:hint="eastAsia" w:cs="Times New Roman"/>
                <w:snapToGrid/>
                <w:spacing w:val="0"/>
                <w:sz w:val="21"/>
                <w:szCs w:val="21"/>
                <w:vertAlign w:val="baseline"/>
                <w:lang w:val="en-US" w:eastAsia="zh-CN"/>
              </w:rPr>
              <w:t>13</w:t>
            </w:r>
          </w:p>
        </w:tc>
        <w:tc>
          <w:tcPr>
            <w:tcW w:w="1590" w:type="dxa"/>
            <w:vMerge w:val="continue"/>
            <w:vAlign w:val="center"/>
          </w:tcPr>
          <w:p w14:paraId="1F1814EA">
            <w:pPr>
              <w:pStyle w:val="220"/>
              <w:widowControl w:val="0"/>
              <w:numPr>
                <w:ilvl w:val="-1"/>
                <w:numId w:val="0"/>
              </w:numPr>
              <w:wordWrap/>
              <w:spacing w:afterLines="0" w:line="360" w:lineRule="auto"/>
              <w:jc w:val="center"/>
              <w:rPr>
                <w:rFonts w:hint="default" w:cs="Times New Roman"/>
                <w:snapToGrid/>
                <w:spacing w:val="0"/>
                <w:sz w:val="21"/>
                <w:szCs w:val="21"/>
                <w:vertAlign w:val="baseline"/>
                <w:lang w:val="en-US" w:eastAsia="zh-CN"/>
              </w:rPr>
            </w:pPr>
          </w:p>
        </w:tc>
        <w:tc>
          <w:tcPr>
            <w:tcW w:w="7011" w:type="dxa"/>
            <w:vAlign w:val="center"/>
          </w:tcPr>
          <w:p w14:paraId="7F96DA15">
            <w:pPr>
              <w:pStyle w:val="220"/>
              <w:widowControl w:val="0"/>
              <w:numPr>
                <w:ilvl w:val="-1"/>
                <w:numId w:val="0"/>
              </w:numPr>
              <w:wordWrap/>
              <w:spacing w:afterLines="0" w:line="360" w:lineRule="auto"/>
              <w:jc w:val="left"/>
              <w:rPr>
                <w:rFonts w:hint="eastAsia" w:ascii="宋体" w:hAnsi="宋体" w:eastAsia="宋体"/>
                <w:color w:val="auto"/>
                <w:kern w:val="0"/>
                <w:sz w:val="21"/>
                <w:szCs w:val="21"/>
                <w:lang w:eastAsia="zh-CN"/>
              </w:rPr>
            </w:pPr>
            <w:r>
              <w:rPr>
                <w:rFonts w:hint="eastAsia" w:ascii="宋体" w:hAnsi="宋体"/>
                <w:color w:val="auto"/>
                <w:kern w:val="0"/>
                <w:sz w:val="21"/>
                <w:szCs w:val="21"/>
              </w:rPr>
              <w:t>支持多种漏洞扫描模板，包括系统扫描模板、数据库扫描模板和Web扫描模板。系统扫描模板内置包括原理扫描、高危漏洞扫描、云计算漏洞扫描、大数据漏洞、物联网漏洞、国产系统和软件漏洞扫描等至少30种扫描模板。数据库扫描模板内置oracle数据库、DB2数据库、Mssql数据库等至少10种扫描模板。Web扫描模板内置高危漏洞扫描、SQL注入扫描、XSS扫描、远程挂马扫描等至少10种扫描模板。支持自定义模板</w:t>
            </w:r>
            <w:r>
              <w:rPr>
                <w:rFonts w:hint="eastAsia"/>
                <w:color w:val="auto"/>
                <w:kern w:val="0"/>
                <w:sz w:val="21"/>
                <w:szCs w:val="21"/>
                <w:lang w:eastAsia="zh-CN"/>
              </w:rPr>
              <w:t>。</w:t>
            </w:r>
          </w:p>
        </w:tc>
      </w:tr>
      <w:tr w14:paraId="37D6D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Align w:val="center"/>
          </w:tcPr>
          <w:p w14:paraId="521965CC">
            <w:pPr>
              <w:pStyle w:val="220"/>
              <w:widowControl w:val="0"/>
              <w:numPr>
                <w:ilvl w:val="-1"/>
                <w:numId w:val="0"/>
              </w:numPr>
              <w:wordWrap/>
              <w:spacing w:afterLines="0" w:line="360" w:lineRule="auto"/>
              <w:jc w:val="center"/>
              <w:rPr>
                <w:rFonts w:hint="default" w:cs="Times New Roman"/>
                <w:snapToGrid/>
                <w:spacing w:val="0"/>
                <w:sz w:val="21"/>
                <w:szCs w:val="21"/>
                <w:vertAlign w:val="baseline"/>
                <w:lang w:val="en-US" w:eastAsia="zh-CN"/>
              </w:rPr>
            </w:pPr>
            <w:r>
              <w:rPr>
                <w:rFonts w:hint="eastAsia" w:cs="Times New Roman"/>
                <w:snapToGrid/>
                <w:spacing w:val="0"/>
                <w:sz w:val="21"/>
                <w:szCs w:val="21"/>
                <w:vertAlign w:val="baseline"/>
                <w:lang w:val="en-US" w:eastAsia="zh-CN"/>
              </w:rPr>
              <w:t>14</w:t>
            </w:r>
          </w:p>
        </w:tc>
        <w:tc>
          <w:tcPr>
            <w:tcW w:w="1590" w:type="dxa"/>
            <w:vMerge w:val="restart"/>
            <w:vAlign w:val="center"/>
          </w:tcPr>
          <w:p w14:paraId="60A3907D">
            <w:pPr>
              <w:pStyle w:val="220"/>
              <w:widowControl w:val="0"/>
              <w:numPr>
                <w:ilvl w:val="-1"/>
                <w:numId w:val="0"/>
              </w:numPr>
              <w:wordWrap/>
              <w:spacing w:afterLines="0" w:line="360" w:lineRule="auto"/>
              <w:jc w:val="center"/>
              <w:rPr>
                <w:rFonts w:hint="default" w:cs="Times New Roman"/>
                <w:snapToGrid/>
                <w:spacing w:val="0"/>
                <w:sz w:val="21"/>
                <w:szCs w:val="21"/>
                <w:vertAlign w:val="baseline"/>
                <w:lang w:val="en-US" w:eastAsia="zh-CN"/>
              </w:rPr>
            </w:pPr>
            <w:r>
              <w:rPr>
                <w:rFonts w:hint="eastAsia" w:cs="Times New Roman"/>
                <w:snapToGrid/>
                <w:spacing w:val="0"/>
                <w:sz w:val="21"/>
                <w:szCs w:val="21"/>
                <w:vertAlign w:val="baseline"/>
                <w:lang w:val="en-US" w:eastAsia="zh-CN"/>
              </w:rPr>
              <w:t>配置核查</w:t>
            </w:r>
          </w:p>
        </w:tc>
        <w:tc>
          <w:tcPr>
            <w:tcW w:w="7011" w:type="dxa"/>
            <w:vAlign w:val="center"/>
          </w:tcPr>
          <w:p w14:paraId="58E645D3">
            <w:pPr>
              <w:pStyle w:val="220"/>
              <w:widowControl w:val="0"/>
              <w:numPr>
                <w:ilvl w:val="-1"/>
                <w:numId w:val="0"/>
              </w:numPr>
              <w:wordWrap/>
              <w:spacing w:afterLines="0" w:line="360" w:lineRule="auto"/>
              <w:jc w:val="left"/>
              <w:rPr>
                <w:rFonts w:hint="eastAsia" w:ascii="宋体" w:hAnsi="宋体" w:eastAsia="宋体"/>
                <w:color w:val="auto"/>
                <w:kern w:val="0"/>
                <w:sz w:val="21"/>
                <w:szCs w:val="21"/>
                <w:lang w:eastAsia="zh-CN"/>
              </w:rPr>
            </w:pPr>
            <w:r>
              <w:rPr>
                <w:rFonts w:hint="eastAsia" w:ascii="宋体" w:hAnsi="宋体"/>
                <w:color w:val="auto"/>
                <w:kern w:val="0"/>
                <w:sz w:val="21"/>
                <w:szCs w:val="21"/>
              </w:rPr>
              <w:t>支持148种以上常见设备和应用的配置检查，包括操作系统、数据库、应用程序、网络设备、虚拟化设备、大数据</w:t>
            </w:r>
            <w:r>
              <w:rPr>
                <w:rFonts w:hint="eastAsia"/>
                <w:color w:val="auto"/>
                <w:kern w:val="0"/>
                <w:sz w:val="21"/>
                <w:szCs w:val="21"/>
                <w:lang w:eastAsia="zh-CN"/>
              </w:rPr>
              <w:t>。</w:t>
            </w:r>
          </w:p>
        </w:tc>
      </w:tr>
      <w:tr w14:paraId="41A5D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Align w:val="center"/>
          </w:tcPr>
          <w:p w14:paraId="670C3DA3">
            <w:pPr>
              <w:pStyle w:val="220"/>
              <w:widowControl w:val="0"/>
              <w:numPr>
                <w:ilvl w:val="-1"/>
                <w:numId w:val="0"/>
              </w:numPr>
              <w:wordWrap/>
              <w:spacing w:afterLines="0" w:line="360" w:lineRule="auto"/>
              <w:jc w:val="center"/>
              <w:rPr>
                <w:rFonts w:hint="default" w:cs="Times New Roman"/>
                <w:snapToGrid/>
                <w:spacing w:val="0"/>
                <w:sz w:val="21"/>
                <w:szCs w:val="21"/>
                <w:vertAlign w:val="baseline"/>
                <w:lang w:val="en-US" w:eastAsia="zh-CN"/>
              </w:rPr>
            </w:pPr>
            <w:r>
              <w:rPr>
                <w:rFonts w:hint="eastAsia" w:cs="Times New Roman"/>
                <w:snapToGrid/>
                <w:spacing w:val="0"/>
                <w:sz w:val="21"/>
                <w:szCs w:val="21"/>
                <w:vertAlign w:val="baseline"/>
                <w:lang w:val="en-US" w:eastAsia="zh-CN"/>
              </w:rPr>
              <w:t>15</w:t>
            </w:r>
          </w:p>
        </w:tc>
        <w:tc>
          <w:tcPr>
            <w:tcW w:w="1590" w:type="dxa"/>
            <w:vMerge w:val="continue"/>
            <w:vAlign w:val="center"/>
          </w:tcPr>
          <w:p w14:paraId="39B332B5">
            <w:pPr>
              <w:pStyle w:val="220"/>
              <w:widowControl w:val="0"/>
              <w:numPr>
                <w:ilvl w:val="-1"/>
                <w:numId w:val="0"/>
              </w:numPr>
              <w:wordWrap/>
              <w:spacing w:afterLines="0" w:line="360" w:lineRule="auto"/>
              <w:jc w:val="center"/>
              <w:rPr>
                <w:rFonts w:hint="default" w:cs="Times New Roman"/>
                <w:snapToGrid/>
                <w:spacing w:val="0"/>
                <w:sz w:val="21"/>
                <w:szCs w:val="21"/>
                <w:vertAlign w:val="baseline"/>
                <w:lang w:val="en-US" w:eastAsia="zh-CN"/>
              </w:rPr>
            </w:pPr>
          </w:p>
        </w:tc>
        <w:tc>
          <w:tcPr>
            <w:tcW w:w="7011" w:type="dxa"/>
            <w:vAlign w:val="center"/>
          </w:tcPr>
          <w:p w14:paraId="117CE095">
            <w:pPr>
              <w:pStyle w:val="220"/>
              <w:widowControl w:val="0"/>
              <w:numPr>
                <w:ilvl w:val="-1"/>
                <w:numId w:val="0"/>
              </w:numPr>
              <w:wordWrap/>
              <w:spacing w:afterLines="0" w:line="360" w:lineRule="auto"/>
              <w:jc w:val="left"/>
              <w:rPr>
                <w:rFonts w:hint="eastAsia" w:ascii="宋体" w:hAnsi="宋体"/>
                <w:color w:val="auto"/>
                <w:kern w:val="0"/>
                <w:sz w:val="21"/>
                <w:szCs w:val="21"/>
              </w:rPr>
            </w:pPr>
            <w:r>
              <w:rPr>
                <w:rFonts w:hint="eastAsia" w:ascii="宋体" w:hAnsi="宋体"/>
                <w:color w:val="auto"/>
                <w:kern w:val="0"/>
                <w:sz w:val="21"/>
                <w:szCs w:val="21"/>
              </w:rPr>
              <w:t>支持金融、能源、运营商、等多行业已发布的相关检查规范，支持对规范要求的多种系统应用进行配置检查。</w:t>
            </w:r>
          </w:p>
        </w:tc>
      </w:tr>
      <w:tr w14:paraId="0897D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150" w:type="dxa"/>
            <w:vAlign w:val="center"/>
          </w:tcPr>
          <w:p w14:paraId="505B9D72">
            <w:pPr>
              <w:pStyle w:val="220"/>
              <w:widowControl w:val="0"/>
              <w:numPr>
                <w:ilvl w:val="-1"/>
                <w:numId w:val="0"/>
              </w:numPr>
              <w:wordWrap/>
              <w:spacing w:afterLines="0" w:line="360" w:lineRule="auto"/>
              <w:jc w:val="center"/>
              <w:rPr>
                <w:rFonts w:hint="default" w:cs="Times New Roman"/>
                <w:snapToGrid/>
                <w:spacing w:val="0"/>
                <w:sz w:val="21"/>
                <w:szCs w:val="21"/>
                <w:vertAlign w:val="baseline"/>
                <w:lang w:val="en-US" w:eastAsia="zh-CN"/>
              </w:rPr>
            </w:pPr>
            <w:r>
              <w:rPr>
                <w:rFonts w:hint="eastAsia" w:cs="Times New Roman"/>
                <w:snapToGrid/>
                <w:spacing w:val="0"/>
                <w:sz w:val="21"/>
                <w:szCs w:val="21"/>
                <w:vertAlign w:val="baseline"/>
                <w:lang w:val="en-US" w:eastAsia="zh-CN"/>
              </w:rPr>
              <w:t>16</w:t>
            </w:r>
          </w:p>
        </w:tc>
        <w:tc>
          <w:tcPr>
            <w:tcW w:w="1590" w:type="dxa"/>
            <w:vAlign w:val="center"/>
          </w:tcPr>
          <w:p w14:paraId="22022A52">
            <w:pPr>
              <w:pStyle w:val="220"/>
              <w:widowControl w:val="0"/>
              <w:numPr>
                <w:ilvl w:val="-1"/>
                <w:numId w:val="0"/>
              </w:numPr>
              <w:wordWrap/>
              <w:spacing w:afterLines="0" w:line="360" w:lineRule="auto"/>
              <w:jc w:val="center"/>
              <w:rPr>
                <w:rFonts w:hint="default" w:cs="Times New Roman"/>
                <w:snapToGrid/>
                <w:spacing w:val="0"/>
                <w:sz w:val="21"/>
                <w:szCs w:val="21"/>
                <w:vertAlign w:val="baseline"/>
                <w:lang w:val="en-US" w:eastAsia="zh-CN"/>
              </w:rPr>
            </w:pPr>
            <w:r>
              <w:rPr>
                <w:rFonts w:hint="eastAsia" w:asciiTheme="minorEastAsia" w:hAnsiTheme="minorEastAsia"/>
                <w:color w:val="auto"/>
                <w:kern w:val="0"/>
                <w:sz w:val="21"/>
                <w:szCs w:val="21"/>
              </w:rPr>
              <w:t>风险展示和报表</w:t>
            </w:r>
          </w:p>
        </w:tc>
        <w:tc>
          <w:tcPr>
            <w:tcW w:w="7011" w:type="dxa"/>
            <w:vAlign w:val="center"/>
          </w:tcPr>
          <w:p w14:paraId="28282D2F">
            <w:pPr>
              <w:pStyle w:val="220"/>
              <w:widowControl w:val="0"/>
              <w:numPr>
                <w:ilvl w:val="-1"/>
                <w:numId w:val="0"/>
              </w:numPr>
              <w:wordWrap/>
              <w:spacing w:afterLines="0" w:line="360" w:lineRule="auto"/>
              <w:jc w:val="left"/>
              <w:rPr>
                <w:rFonts w:hint="default" w:cs="Times New Roman"/>
                <w:snapToGrid/>
                <w:spacing w:val="0"/>
                <w:sz w:val="21"/>
                <w:szCs w:val="21"/>
                <w:vertAlign w:val="baseline"/>
                <w:lang w:val="en-US" w:eastAsia="zh-CN"/>
              </w:rPr>
            </w:pPr>
            <w:r>
              <w:rPr>
                <w:rFonts w:hint="eastAsia" w:ascii="宋体" w:hAnsi="宋体"/>
                <w:color w:val="auto"/>
                <w:kern w:val="0"/>
                <w:sz w:val="21"/>
                <w:szCs w:val="21"/>
              </w:rPr>
              <w:t>支持将按IP范围、起止时间、任务名称、任务状态、漏洞模板、用户等筛选扫描任务,并对筛选结果进行汇总,和生成在线及离线报表。</w:t>
            </w:r>
          </w:p>
        </w:tc>
      </w:tr>
    </w:tbl>
    <w:p w14:paraId="0440F6A9">
      <w:pPr>
        <w:pStyle w:val="220"/>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3、保密要求</w:t>
      </w:r>
    </w:p>
    <w:p w14:paraId="4B437654">
      <w:pPr>
        <w:pStyle w:val="220"/>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本项目在服务过程中，中标人对项目实施过程中所获得数据及文档等保密信息，必须承担以下保密义务：</w:t>
      </w:r>
    </w:p>
    <w:p w14:paraId="761F528C">
      <w:pPr>
        <w:pStyle w:val="220"/>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1.中标人应按要求与采购人签署保密协议。</w:t>
      </w:r>
    </w:p>
    <w:p w14:paraId="2AAEC37D">
      <w:pPr>
        <w:pStyle w:val="220"/>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2.中标人应主动采取加密措施对上述所列及之保密信息进行保护，防止不承担同等保密义务的任何第三者知悉及使用。</w:t>
      </w:r>
    </w:p>
    <w:p w14:paraId="0D8E6B5A">
      <w:pPr>
        <w:pStyle w:val="220"/>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3.中标人不得刺探或者以其他不正当手段（包括利用计算机进行检索、浏览、复制等）获取与本职工作或本身业务无关的采购人关于该项目的商业秘密。</w:t>
      </w:r>
    </w:p>
    <w:p w14:paraId="2BB9267A">
      <w:pPr>
        <w:pStyle w:val="220"/>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4.中标人不得向不承担同等保密义务的任何第三人披露采购人关于该项目的商业秘密。</w:t>
      </w:r>
    </w:p>
    <w:p w14:paraId="452FB1BF">
      <w:pPr>
        <w:pStyle w:val="220"/>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5.中标人不得对采购人提供的测评环境、数据、软件及相关的文档进行外发或第三方使用，一经发现，按损坏程度依法处理。</w:t>
      </w:r>
    </w:p>
    <w:p w14:paraId="679EAB75">
      <w:pPr>
        <w:pStyle w:val="220"/>
        <w:wordWrap/>
        <w:spacing w:afterLines="0" w:line="360" w:lineRule="auto"/>
        <w:ind w:firstLine="420"/>
        <w:rPr>
          <w:rFonts w:hint="eastAsia" w:cs="Times New Roman"/>
          <w:b/>
          <w:bCs/>
          <w:snapToGrid/>
          <w:spacing w:val="0"/>
          <w:sz w:val="21"/>
          <w:szCs w:val="21"/>
        </w:rPr>
      </w:pPr>
      <w:r>
        <w:rPr>
          <w:rFonts w:hint="eastAsia" w:cs="Times New Roman"/>
          <w:b/>
          <w:bCs/>
          <w:snapToGrid/>
          <w:spacing w:val="0"/>
          <w:sz w:val="21"/>
          <w:szCs w:val="21"/>
        </w:rPr>
        <w:t>（五）拟安排项目人员</w:t>
      </w:r>
    </w:p>
    <w:p w14:paraId="5A7E562E">
      <w:pPr>
        <w:pStyle w:val="220"/>
        <w:wordWrap/>
        <w:spacing w:afterLines="0" w:line="360" w:lineRule="auto"/>
        <w:ind w:firstLine="420"/>
        <w:rPr>
          <w:rFonts w:hint="eastAsia" w:eastAsia="宋体" w:cs="Times New Roman"/>
          <w:snapToGrid/>
          <w:spacing w:val="0"/>
          <w:sz w:val="21"/>
          <w:szCs w:val="21"/>
          <w:lang w:eastAsia="zh"/>
          <w:woUserID w:val="1"/>
        </w:rPr>
      </w:pPr>
      <w:r>
        <w:rPr>
          <w:rFonts w:hint="eastAsia" w:cs="Times New Roman"/>
          <w:snapToGrid/>
          <w:spacing w:val="0"/>
          <w:sz w:val="21"/>
          <w:szCs w:val="21"/>
        </w:rPr>
        <w:t>1.拟安排项目团队负责人（仅限1名）</w:t>
      </w:r>
      <w:r>
        <w:rPr>
          <w:rFonts w:hint="eastAsia" w:cs="Times New Roman"/>
          <w:snapToGrid/>
          <w:spacing w:val="0"/>
          <w:sz w:val="21"/>
          <w:szCs w:val="21"/>
          <w:lang w:eastAsia="zh"/>
          <w:woUserID w:val="1"/>
        </w:rPr>
        <w:t>，</w:t>
      </w:r>
      <w:r>
        <w:rPr>
          <w:rFonts w:hint="eastAsia" w:ascii="宋体" w:hAnsi="宋体" w:eastAsia="宋体" w:cs="宋体"/>
          <w:sz w:val="21"/>
          <w:szCs w:val="21"/>
          <w:highlight w:val="none"/>
          <w:woUserID w:val="1"/>
        </w:rPr>
        <w:t>具</w:t>
      </w:r>
      <w:r>
        <w:rPr>
          <w:rFonts w:hint="eastAsia" w:ascii="宋体" w:hAnsi="宋体" w:eastAsia="宋体" w:cs="宋体"/>
          <w:sz w:val="21"/>
          <w:szCs w:val="21"/>
          <w:highlight w:val="none"/>
          <w:lang w:val="en-US" w:eastAsia="zh-CN"/>
          <w:woUserID w:val="1"/>
        </w:rPr>
        <w:t>有</w:t>
      </w:r>
      <w:r>
        <w:rPr>
          <w:rFonts w:hint="eastAsia" w:ascii="宋体" w:hAnsi="宋体" w:eastAsia="宋体" w:cs="宋体"/>
          <w:sz w:val="21"/>
          <w:szCs w:val="21"/>
          <w:highlight w:val="none"/>
          <w:woUserID w:val="1"/>
        </w:rPr>
        <w:t>网络安全等级测评师证书（</w:t>
      </w:r>
      <w:r>
        <w:rPr>
          <w:rFonts w:hint="eastAsia" w:ascii="宋体" w:hAnsi="宋体" w:eastAsia="宋体" w:cs="宋体"/>
          <w:sz w:val="21"/>
          <w:szCs w:val="21"/>
          <w:highlight w:val="none"/>
          <w:lang w:eastAsia="zh"/>
          <w:woUserID w:val="1"/>
        </w:rPr>
        <w:t>高级</w:t>
      </w:r>
      <w:r>
        <w:rPr>
          <w:rFonts w:hint="eastAsia" w:ascii="宋体" w:hAnsi="宋体" w:eastAsia="宋体" w:cs="宋体"/>
          <w:sz w:val="21"/>
          <w:szCs w:val="21"/>
          <w:highlight w:val="none"/>
          <w:woUserID w:val="1"/>
        </w:rPr>
        <w:t>）</w:t>
      </w:r>
      <w:r>
        <w:rPr>
          <w:rFonts w:hint="eastAsia" w:ascii="宋体" w:hAnsi="宋体" w:eastAsia="宋体" w:cs="宋体"/>
          <w:sz w:val="21"/>
          <w:szCs w:val="21"/>
          <w:highlight w:val="none"/>
          <w:lang w:eastAsia="zh"/>
          <w:woUserID w:val="1"/>
        </w:rPr>
        <w:t>。</w:t>
      </w:r>
    </w:p>
    <w:p w14:paraId="5E070796">
      <w:pPr>
        <w:pStyle w:val="220"/>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2.</w:t>
      </w:r>
      <w:r>
        <w:rPr>
          <w:rFonts w:hint="eastAsia" w:cs="Times New Roman"/>
          <w:snapToGrid/>
          <w:spacing w:val="0"/>
          <w:sz w:val="21"/>
          <w:szCs w:val="21"/>
          <w:lang w:eastAsia="zh"/>
          <w:woUserID w:val="2"/>
        </w:rPr>
        <w:t>拟安排</w:t>
      </w:r>
      <w:r>
        <w:rPr>
          <w:rFonts w:hint="eastAsia" w:cs="Times New Roman"/>
          <w:snapToGrid/>
          <w:spacing w:val="0"/>
          <w:sz w:val="21"/>
          <w:szCs w:val="21"/>
        </w:rPr>
        <w:t>项目团队成员</w:t>
      </w:r>
      <w:r>
        <w:rPr>
          <w:rFonts w:hint="eastAsia" w:cs="Times New Roman"/>
          <w:snapToGrid/>
          <w:spacing w:val="0"/>
          <w:sz w:val="21"/>
          <w:szCs w:val="21"/>
          <w:lang w:eastAsia="zh"/>
          <w:woUserID w:val="2"/>
        </w:rPr>
        <w:t>至少3人</w:t>
      </w:r>
      <w:r>
        <w:rPr>
          <w:rFonts w:hint="eastAsia" w:cs="Times New Roman"/>
          <w:snapToGrid/>
          <w:spacing w:val="0"/>
          <w:sz w:val="21"/>
          <w:szCs w:val="21"/>
        </w:rPr>
        <w:t>，</w:t>
      </w:r>
      <w:r>
        <w:rPr>
          <w:rFonts w:hint="eastAsia" w:cs="Times New Roman"/>
          <w:snapToGrid/>
          <w:spacing w:val="0"/>
          <w:sz w:val="21"/>
          <w:szCs w:val="21"/>
          <w:lang w:eastAsia="zh"/>
          <w:woUserID w:val="2"/>
        </w:rPr>
        <w:t>每位成员</w:t>
      </w:r>
      <w:r>
        <w:rPr>
          <w:rFonts w:hint="eastAsia" w:ascii="宋体" w:hAnsi="宋体" w:eastAsia="宋体" w:cs="宋体"/>
          <w:sz w:val="21"/>
          <w:szCs w:val="21"/>
          <w:highlight w:val="none"/>
          <w:woUserID w:val="1"/>
        </w:rPr>
        <w:t>具</w:t>
      </w:r>
      <w:r>
        <w:rPr>
          <w:rFonts w:hint="eastAsia" w:ascii="宋体" w:hAnsi="宋体" w:eastAsia="宋体" w:cs="宋体"/>
          <w:sz w:val="21"/>
          <w:szCs w:val="21"/>
          <w:highlight w:val="none"/>
          <w:lang w:val="en-US" w:eastAsia="zh-CN"/>
          <w:woUserID w:val="1"/>
        </w:rPr>
        <w:t>有</w:t>
      </w:r>
      <w:r>
        <w:rPr>
          <w:rFonts w:hint="eastAsia" w:ascii="宋体" w:hAnsi="宋体" w:eastAsia="宋体" w:cs="宋体"/>
          <w:sz w:val="21"/>
          <w:szCs w:val="21"/>
          <w:highlight w:val="none"/>
          <w:woUserID w:val="1"/>
        </w:rPr>
        <w:t>网络安全等级测评师证书</w:t>
      </w:r>
      <w:r>
        <w:rPr>
          <w:rFonts w:hint="eastAsia" w:ascii="宋体" w:hAnsi="宋体" w:eastAsia="宋体" w:cs="宋体"/>
          <w:sz w:val="21"/>
          <w:szCs w:val="21"/>
          <w:highlight w:val="none"/>
          <w:lang w:eastAsia="zh"/>
          <w:woUserID w:val="1"/>
        </w:rPr>
        <w:t>（</w:t>
      </w:r>
      <w:r>
        <w:rPr>
          <w:rFonts w:hint="eastAsia" w:ascii="宋体" w:hAnsi="宋体" w:eastAsia="宋体" w:cs="宋体"/>
          <w:sz w:val="21"/>
          <w:szCs w:val="21"/>
          <w:highlight w:val="none"/>
          <w:woUserID w:val="1"/>
        </w:rPr>
        <w:t>中级</w:t>
      </w:r>
      <w:r>
        <w:rPr>
          <w:rFonts w:hint="eastAsia" w:ascii="宋体" w:hAnsi="宋体" w:eastAsia="宋体" w:cs="宋体"/>
          <w:sz w:val="21"/>
          <w:szCs w:val="21"/>
          <w:highlight w:val="none"/>
          <w:lang w:val="en-US" w:eastAsia="zh-CN"/>
          <w:woUserID w:val="1"/>
        </w:rPr>
        <w:t>或以上</w:t>
      </w:r>
      <w:r>
        <w:rPr>
          <w:rFonts w:hint="eastAsia" w:ascii="宋体" w:hAnsi="宋体" w:eastAsia="宋体" w:cs="宋体"/>
          <w:sz w:val="21"/>
          <w:szCs w:val="21"/>
          <w:highlight w:val="none"/>
          <w:lang w:eastAsia="zh"/>
          <w:woUserID w:val="1"/>
        </w:rPr>
        <w:t>）。</w:t>
      </w:r>
    </w:p>
    <w:p w14:paraId="1B8F0261">
      <w:pPr>
        <w:pStyle w:val="220"/>
        <w:wordWrap/>
        <w:spacing w:afterLines="0" w:line="360" w:lineRule="auto"/>
        <w:ind w:firstLine="420"/>
        <w:rPr>
          <w:rFonts w:hint="eastAsia" w:cs="Times New Roman"/>
          <w:snapToGrid/>
          <w:spacing w:val="0"/>
          <w:sz w:val="21"/>
          <w:szCs w:val="21"/>
        </w:rPr>
      </w:pPr>
    </w:p>
    <w:p w14:paraId="33911D9F">
      <w:pPr>
        <w:pStyle w:val="221"/>
        <w:ind w:firstLine="0" w:firstLineChars="0"/>
        <w:rPr>
          <w:rFonts w:hint="eastAsia"/>
          <w:b/>
        </w:rPr>
      </w:pPr>
      <w:r>
        <w:rPr>
          <w:rFonts w:hint="eastAsia"/>
          <w:b/>
        </w:rPr>
        <w:t>三、项目商务要求</w:t>
      </w:r>
    </w:p>
    <w:p w14:paraId="612A230B">
      <w:pPr>
        <w:pStyle w:val="215"/>
        <w:spacing w:beforeLines="0" w:line="360" w:lineRule="auto"/>
        <w:ind w:firstLine="424" w:firstLineChars="201"/>
        <w:rPr>
          <w:rFonts w:hint="eastAsia" w:asciiTheme="minorEastAsia" w:hAnsiTheme="minorEastAsia" w:eastAsiaTheme="minorEastAsia"/>
          <w:b/>
          <w:highlight w:val="yellow"/>
        </w:rPr>
      </w:pPr>
      <w:r>
        <w:rPr>
          <w:rFonts w:hint="eastAsia" w:asciiTheme="minorEastAsia" w:hAnsiTheme="minorEastAsia" w:eastAsiaTheme="minorEastAsia"/>
          <w:b/>
          <w:highlight w:val="yellow"/>
        </w:rPr>
        <w:t>★（一）服务期限：自合同签订之日起，到取得测评机构提交的《网络安全等级保护测评报告》和深圳市网监颁发的《测评结果通知书》为一个服务周期。</w:t>
      </w:r>
    </w:p>
    <w:p w14:paraId="288F455F">
      <w:pPr>
        <w:pStyle w:val="215"/>
        <w:spacing w:beforeLines="0" w:line="360" w:lineRule="auto"/>
        <w:ind w:firstLine="422"/>
        <w:rPr>
          <w:rFonts w:hint="eastAsia" w:asciiTheme="minorEastAsia" w:hAnsiTheme="minorEastAsia" w:eastAsiaTheme="minorEastAsia"/>
          <w:b/>
        </w:rPr>
      </w:pPr>
      <w:r>
        <w:rPr>
          <w:rFonts w:hint="eastAsia" w:asciiTheme="minorEastAsia" w:hAnsiTheme="minorEastAsia" w:eastAsiaTheme="minorEastAsia"/>
          <w:b/>
        </w:rPr>
        <w:t>（二）服务地点：</w:t>
      </w:r>
    </w:p>
    <w:p w14:paraId="6F14B2C3">
      <w:pPr>
        <w:pStyle w:val="215"/>
        <w:spacing w:beforeLines="0" w:line="360" w:lineRule="auto"/>
        <w:ind w:firstLine="422"/>
        <w:rPr>
          <w:rFonts w:hint="eastAsia" w:asciiTheme="minorEastAsia" w:hAnsiTheme="minorEastAsia" w:eastAsiaTheme="minorEastAsia"/>
          <w:b/>
          <w:lang w:val="en-US" w:eastAsia="zh-CN"/>
        </w:rPr>
      </w:pPr>
      <w:r>
        <w:rPr>
          <w:rFonts w:hint="eastAsia" w:asciiTheme="minorEastAsia" w:hAnsiTheme="minorEastAsia" w:eastAsiaTheme="minorEastAsia"/>
          <w:b/>
          <w:lang w:val="en-US" w:eastAsia="zh-CN"/>
        </w:rPr>
        <w:t>深圳市</w:t>
      </w:r>
    </w:p>
    <w:p w14:paraId="12C8D7B0">
      <w:pPr>
        <w:pStyle w:val="215"/>
        <w:spacing w:beforeLines="0" w:line="360" w:lineRule="auto"/>
        <w:ind w:firstLine="422"/>
        <w:rPr>
          <w:rFonts w:hint="eastAsia" w:asciiTheme="minorEastAsia" w:hAnsiTheme="minorEastAsia" w:eastAsiaTheme="minorEastAsia"/>
          <w:b/>
        </w:rPr>
      </w:pPr>
      <w:r>
        <w:rPr>
          <w:rFonts w:hint="eastAsia" w:asciiTheme="minorEastAsia" w:hAnsiTheme="minorEastAsia" w:eastAsiaTheme="minorEastAsia"/>
          <w:b/>
        </w:rPr>
        <w:t>（三）投标报价</w:t>
      </w:r>
    </w:p>
    <w:p w14:paraId="3E07451E">
      <w:pPr>
        <w:pStyle w:val="220"/>
        <w:wordWrap/>
        <w:spacing w:afterLines="0" w:line="360" w:lineRule="auto"/>
        <w:ind w:firstLine="420"/>
        <w:rPr>
          <w:rFonts w:hint="eastAsia" w:ascii="宋体" w:hAnsi="宋体" w:eastAsia="宋体" w:cs="Times New Roman"/>
          <w:snapToGrid/>
          <w:spacing w:val="0"/>
          <w:sz w:val="21"/>
          <w:szCs w:val="21"/>
        </w:rPr>
      </w:pPr>
      <w:r>
        <w:rPr>
          <w:rFonts w:hint="eastAsia" w:ascii="宋体" w:hAnsi="宋体" w:eastAsia="宋体" w:cs="Times New Roman"/>
          <w:snapToGrid/>
          <w:spacing w:val="0"/>
          <w:sz w:val="21"/>
          <w:szCs w:val="21"/>
        </w:rPr>
        <w:t>1、本项目服务费采用包干制，应包括服务成本、法定税费和利润。由企业根据招标文件所提供的资料自行测算投标报价；一经中标，投标报价总价作为中标单位与采购单位签定的合同金额，合同期限内不做调整；</w:t>
      </w:r>
    </w:p>
    <w:p w14:paraId="37F362FF">
      <w:pPr>
        <w:pStyle w:val="220"/>
        <w:wordWrap/>
        <w:spacing w:afterLines="0" w:line="360" w:lineRule="auto"/>
        <w:ind w:firstLine="420"/>
        <w:rPr>
          <w:rFonts w:hint="eastAsia" w:ascii="宋体" w:hAnsi="宋体" w:eastAsia="宋体" w:cs="Times New Roman"/>
          <w:snapToGrid/>
          <w:spacing w:val="0"/>
          <w:sz w:val="21"/>
          <w:szCs w:val="21"/>
        </w:rPr>
      </w:pPr>
      <w:r>
        <w:rPr>
          <w:rFonts w:hint="eastAsia" w:ascii="宋体" w:hAnsi="宋体" w:eastAsia="宋体" w:cs="Times New Roman"/>
          <w:snapToGrid/>
          <w:spacing w:val="0"/>
          <w:sz w:val="21"/>
          <w:szCs w:val="21"/>
        </w:rPr>
        <w:t>2、投标人应根据其成本自行决定报价。评标委员会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评标委员会应将其作为无效投标处理。若评审委员会成员对是否须由投标人作出报价合理性说明，以及书面说明是否采纳等判断不一致的，按照“少数服从多数”的原则确定评审委员会的意见；</w:t>
      </w:r>
    </w:p>
    <w:p w14:paraId="0F2994FA">
      <w:pPr>
        <w:pStyle w:val="220"/>
        <w:wordWrap/>
        <w:spacing w:afterLines="0" w:line="360" w:lineRule="auto"/>
        <w:ind w:firstLine="420"/>
        <w:rPr>
          <w:rFonts w:hint="eastAsia" w:ascii="宋体" w:hAnsi="宋体" w:eastAsia="宋体" w:cs="Times New Roman"/>
          <w:snapToGrid/>
          <w:spacing w:val="0"/>
          <w:sz w:val="21"/>
          <w:szCs w:val="21"/>
        </w:rPr>
      </w:pPr>
      <w:r>
        <w:rPr>
          <w:rFonts w:hint="eastAsia" w:ascii="宋体" w:hAnsi="宋体" w:eastAsia="宋体" w:cs="Times New Roman"/>
          <w:snapToGrid/>
          <w:spacing w:val="0"/>
          <w:sz w:val="21"/>
          <w:szCs w:val="21"/>
        </w:rPr>
        <w:t>3、投标人的投标报价不得超过财政预算限额，如设投标最高限价的，报价不得超过最高限价；</w:t>
      </w:r>
    </w:p>
    <w:p w14:paraId="4944E11C">
      <w:pPr>
        <w:pStyle w:val="220"/>
        <w:wordWrap/>
        <w:spacing w:afterLines="0" w:line="360" w:lineRule="auto"/>
        <w:ind w:firstLine="420"/>
        <w:rPr>
          <w:rFonts w:hint="eastAsia" w:ascii="宋体" w:hAnsi="宋体" w:eastAsia="宋体" w:cs="Times New Roman"/>
          <w:snapToGrid/>
          <w:spacing w:val="0"/>
          <w:sz w:val="21"/>
          <w:szCs w:val="21"/>
        </w:rPr>
      </w:pPr>
      <w:r>
        <w:rPr>
          <w:rFonts w:hint="eastAsia" w:ascii="宋体" w:hAnsi="宋体" w:eastAsia="宋体" w:cs="Times New Roman"/>
          <w:snapToGrid/>
          <w:spacing w:val="0"/>
          <w:sz w:val="21"/>
          <w:szCs w:val="21"/>
        </w:rPr>
        <w:t>4、投标人的投标报价，应是本项目招标范围和招标文件及合同条款上所列的各项内容中所述的全部，不得以任何理由予以重复，并以投标人在中提出的综合单价或总价为依据；</w:t>
      </w:r>
    </w:p>
    <w:p w14:paraId="727CC20A">
      <w:pPr>
        <w:pStyle w:val="220"/>
        <w:wordWrap/>
        <w:spacing w:afterLines="0" w:line="360" w:lineRule="auto"/>
        <w:ind w:firstLine="420"/>
        <w:rPr>
          <w:rFonts w:hint="eastAsia" w:ascii="宋体" w:hAnsi="宋体" w:eastAsia="宋体" w:cs="Times New Roman"/>
          <w:snapToGrid/>
          <w:spacing w:val="0"/>
          <w:sz w:val="21"/>
          <w:szCs w:val="21"/>
        </w:rPr>
      </w:pPr>
      <w:r>
        <w:rPr>
          <w:rFonts w:hint="eastAsia" w:ascii="宋体" w:hAnsi="宋体" w:eastAsia="宋体" w:cs="Times New Roman"/>
          <w:snapToGrid/>
          <w:spacing w:val="0"/>
          <w:sz w:val="21"/>
          <w:szCs w:val="21"/>
        </w:rPr>
        <w:t>5、除非采购人或采购代理机构通过修改招标文件予以更正，否则，投标人应毫无例外地按招标文件所列的清单中项目和数量填报综合单价和合价。投标人未填综合单价或合价的项目，视作该项费用已包括在其它有价款的综合单价或合价内；</w:t>
      </w:r>
    </w:p>
    <w:p w14:paraId="372CF5CA">
      <w:pPr>
        <w:pStyle w:val="220"/>
        <w:wordWrap/>
        <w:spacing w:afterLines="0" w:line="360" w:lineRule="auto"/>
        <w:ind w:firstLine="420"/>
        <w:rPr>
          <w:rFonts w:hint="eastAsia" w:ascii="宋体" w:hAnsi="宋体" w:eastAsia="宋体" w:cs="Times New Roman"/>
          <w:snapToGrid/>
          <w:spacing w:val="0"/>
          <w:sz w:val="21"/>
          <w:szCs w:val="21"/>
        </w:rPr>
      </w:pPr>
      <w:r>
        <w:rPr>
          <w:rFonts w:hint="eastAsia" w:ascii="宋体" w:hAnsi="宋体" w:eastAsia="宋体" w:cs="Times New Roman"/>
          <w:snapToGrid/>
          <w:spacing w:val="0"/>
          <w:sz w:val="21"/>
          <w:szCs w:val="21"/>
        </w:rPr>
        <w:t>6、投标人应先到项目地点踏勘以充分了解项目的位置、情况、道路及任何其它足以影响投标报价的情况，任何因忽视或误解项目情况而导致的索赔或服务期限延长申请将不获批准；</w:t>
      </w:r>
    </w:p>
    <w:p w14:paraId="52DE1F79">
      <w:pPr>
        <w:pStyle w:val="220"/>
        <w:wordWrap/>
        <w:spacing w:afterLines="0" w:line="360" w:lineRule="auto"/>
        <w:ind w:firstLine="420"/>
        <w:rPr>
          <w:rFonts w:hint="eastAsia" w:ascii="宋体" w:hAnsi="宋体" w:eastAsia="宋体" w:cs="Times New Roman"/>
          <w:snapToGrid/>
          <w:spacing w:val="0"/>
          <w:sz w:val="21"/>
          <w:szCs w:val="21"/>
        </w:rPr>
      </w:pPr>
      <w:r>
        <w:rPr>
          <w:rFonts w:hint="eastAsia" w:ascii="宋体" w:hAnsi="宋体" w:eastAsia="宋体" w:cs="Times New Roman"/>
          <w:snapToGrid/>
          <w:spacing w:val="0"/>
          <w:sz w:val="21"/>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14:paraId="2E6A3DAC">
      <w:pPr>
        <w:pStyle w:val="215"/>
        <w:spacing w:beforeLines="0" w:line="360" w:lineRule="auto"/>
        <w:ind w:firstLine="0" w:firstLineChars="0"/>
        <w:rPr>
          <w:rFonts w:hint="eastAsia" w:asciiTheme="minorEastAsia" w:hAnsiTheme="minorEastAsia" w:eastAsiaTheme="minorEastAsia"/>
          <w:b/>
        </w:rPr>
      </w:pPr>
      <w:r>
        <w:rPr>
          <w:rFonts w:hint="eastAsia" w:asciiTheme="minorEastAsia" w:hAnsiTheme="minorEastAsia" w:eastAsiaTheme="minorEastAsia"/>
          <w:b/>
        </w:rPr>
        <w:t>（四）付款方式：</w:t>
      </w:r>
    </w:p>
    <w:p w14:paraId="3CCCCBB9">
      <w:pPr>
        <w:spacing w:line="360" w:lineRule="auto"/>
        <w:ind w:firstLine="420" w:firstLineChars="200"/>
        <w:jc w:val="left"/>
        <w:rPr>
          <w:rFonts w:hint="eastAsia" w:ascii="宋体" w:hAnsi="宋体"/>
          <w:szCs w:val="21"/>
        </w:rPr>
      </w:pPr>
      <w:r>
        <w:rPr>
          <w:rFonts w:hint="eastAsia" w:ascii="宋体" w:hAnsi="宋体"/>
          <w:szCs w:val="21"/>
        </w:rPr>
        <w:t>1.合同生效后，采购人在收到中标人发票后的</w:t>
      </w:r>
      <w:r>
        <w:rPr>
          <w:rFonts w:hint="eastAsia" w:ascii="宋体" w:hAnsi="宋体"/>
          <w:szCs w:val="21"/>
          <w:lang w:val="en-US" w:eastAsia="zh-CN"/>
        </w:rPr>
        <w:t>10个工作</w:t>
      </w:r>
      <w:r>
        <w:rPr>
          <w:rFonts w:hint="eastAsia" w:ascii="宋体" w:hAnsi="宋体"/>
          <w:szCs w:val="21"/>
        </w:rPr>
        <w:t>日内支付全款的60%；</w:t>
      </w:r>
    </w:p>
    <w:p w14:paraId="17B042B0">
      <w:pPr>
        <w:spacing w:line="360" w:lineRule="auto"/>
        <w:ind w:firstLine="420" w:firstLineChars="200"/>
        <w:jc w:val="left"/>
        <w:rPr>
          <w:rFonts w:hint="eastAsia" w:ascii="宋体" w:hAnsi="宋体"/>
          <w:szCs w:val="21"/>
        </w:rPr>
      </w:pPr>
      <w:r>
        <w:rPr>
          <w:rFonts w:hint="eastAsia" w:ascii="宋体" w:hAnsi="宋体"/>
          <w:szCs w:val="21"/>
        </w:rPr>
        <w:t>2.项目完成后，并收到测评机构提交的《网络安全等级保护测评报告》和深圳市网监颁发的《测评结果通知书》的和中标人发票后的</w:t>
      </w:r>
      <w:r>
        <w:rPr>
          <w:rFonts w:hint="eastAsia" w:ascii="宋体" w:hAnsi="宋体"/>
          <w:szCs w:val="21"/>
          <w:lang w:val="en-US" w:eastAsia="zh-CN"/>
        </w:rPr>
        <w:t>10个工作日</w:t>
      </w:r>
      <w:r>
        <w:rPr>
          <w:rFonts w:hint="eastAsia" w:ascii="宋体" w:hAnsi="宋体"/>
          <w:szCs w:val="21"/>
        </w:rPr>
        <w:t>内支付全款的40%；</w:t>
      </w:r>
    </w:p>
    <w:p w14:paraId="5FFB228B">
      <w:pPr>
        <w:spacing w:line="360" w:lineRule="auto"/>
        <w:ind w:firstLine="420" w:firstLineChars="200"/>
        <w:jc w:val="left"/>
        <w:rPr>
          <w:rFonts w:hint="eastAsia" w:ascii="宋体" w:hAnsi="宋体"/>
          <w:szCs w:val="21"/>
        </w:rPr>
      </w:pPr>
      <w:r>
        <w:rPr>
          <w:rFonts w:hint="eastAsia" w:ascii="宋体" w:hAnsi="宋体"/>
          <w:szCs w:val="21"/>
        </w:rPr>
        <w:t>3.中标人须提供本项目的有效增值税发票。中标人提供发票迟延的，采购人有权延迟支付款项。</w:t>
      </w:r>
    </w:p>
    <w:p w14:paraId="406908B6">
      <w:pPr>
        <w:pStyle w:val="215"/>
        <w:spacing w:beforeLines="0" w:line="360" w:lineRule="auto"/>
        <w:ind w:firstLine="0" w:firstLineChars="0"/>
        <w:rPr>
          <w:rFonts w:hint="eastAsia" w:asciiTheme="minorEastAsia" w:hAnsiTheme="minorEastAsia" w:eastAsiaTheme="minorEastAsia"/>
          <w:b/>
        </w:rPr>
      </w:pPr>
      <w:r>
        <w:rPr>
          <w:rFonts w:hint="eastAsia" w:asciiTheme="minorEastAsia" w:hAnsiTheme="minorEastAsia" w:eastAsiaTheme="minorEastAsia"/>
          <w:b/>
        </w:rPr>
        <w:t>（五）验收要求：</w:t>
      </w:r>
    </w:p>
    <w:p w14:paraId="187FFC45">
      <w:pPr>
        <w:spacing w:line="360" w:lineRule="auto"/>
        <w:ind w:firstLine="424" w:firstLineChars="202"/>
        <w:rPr>
          <w:rFonts w:hint="eastAsia" w:ascii="宋体" w:hAnsi="宋体" w:cs="宋体"/>
          <w:kern w:val="0"/>
          <w:szCs w:val="21"/>
        </w:rPr>
      </w:pPr>
      <w:r>
        <w:rPr>
          <w:rFonts w:hint="eastAsia" w:ascii="宋体" w:hAnsi="宋体" w:cs="宋体"/>
          <w:kern w:val="0"/>
          <w:szCs w:val="21"/>
        </w:rPr>
        <w:t>（1）服务期满，中标人按招标文件、投标文件及合同要求完成项目服务工作，并按要求完成验收文档准备后，中标人向采购人提出项目验收申请，验收工作由采购人组织有关人员进行。</w:t>
      </w:r>
    </w:p>
    <w:p w14:paraId="00FDA7DB">
      <w:pPr>
        <w:spacing w:line="360" w:lineRule="auto"/>
        <w:ind w:firstLine="424" w:firstLineChars="202"/>
        <w:rPr>
          <w:rFonts w:hint="eastAsia" w:ascii="宋体" w:hAnsi="宋体" w:cs="宋体"/>
          <w:kern w:val="0"/>
          <w:szCs w:val="21"/>
        </w:rPr>
      </w:pPr>
      <w:r>
        <w:rPr>
          <w:rFonts w:hint="eastAsia" w:ascii="宋体" w:hAnsi="宋体" w:cs="宋体"/>
          <w:kern w:val="0"/>
          <w:szCs w:val="21"/>
        </w:rPr>
        <w:t>（2）当满足以下条作时，采购人向中标人发出验收报告：</w:t>
      </w:r>
    </w:p>
    <w:p w14:paraId="1E1D264C">
      <w:pPr>
        <w:spacing w:line="360" w:lineRule="auto"/>
        <w:ind w:firstLine="424" w:firstLineChars="202"/>
        <w:rPr>
          <w:rFonts w:hint="eastAsia" w:ascii="宋体" w:hAnsi="宋体" w:cs="宋体"/>
          <w:kern w:val="0"/>
          <w:szCs w:val="21"/>
        </w:rPr>
      </w:pPr>
      <w:r>
        <w:rPr>
          <w:rFonts w:hint="eastAsia" w:ascii="宋体" w:hAnsi="宋体" w:cs="宋体"/>
          <w:kern w:val="0"/>
          <w:szCs w:val="21"/>
        </w:rPr>
        <w:t>a、中标人已按照合同约定提供了全部服务以及完整的项目资料；</w:t>
      </w:r>
    </w:p>
    <w:p w14:paraId="5F52EBC1">
      <w:pPr>
        <w:spacing w:line="360" w:lineRule="auto"/>
        <w:ind w:firstLine="424" w:firstLineChars="202"/>
        <w:rPr>
          <w:rFonts w:hint="eastAsia" w:ascii="宋体" w:hAnsi="宋体" w:cs="宋体"/>
          <w:b/>
          <w:bCs/>
          <w:kern w:val="0"/>
          <w:szCs w:val="21"/>
        </w:rPr>
      </w:pPr>
      <w:r>
        <w:rPr>
          <w:rFonts w:hint="eastAsia" w:ascii="宋体" w:hAnsi="宋体" w:cs="宋体"/>
          <w:kern w:val="0"/>
          <w:szCs w:val="21"/>
        </w:rPr>
        <w:t>b、符合投标文件及合同技术服务要求，通过采购人验收。</w:t>
      </w:r>
    </w:p>
    <w:p w14:paraId="0B2B2EA9">
      <w:pPr>
        <w:pStyle w:val="215"/>
        <w:spacing w:beforeLines="0" w:line="360" w:lineRule="auto"/>
        <w:ind w:firstLine="0" w:firstLineChars="0"/>
        <w:rPr>
          <w:rFonts w:hint="eastAsia" w:asciiTheme="minorEastAsia" w:hAnsiTheme="minorEastAsia" w:eastAsiaTheme="minorEastAsia"/>
          <w:b/>
        </w:rPr>
      </w:pPr>
      <w:r>
        <w:rPr>
          <w:rFonts w:hint="eastAsia" w:asciiTheme="minorEastAsia" w:hAnsiTheme="minorEastAsia" w:eastAsiaTheme="minorEastAsia"/>
          <w:b/>
        </w:rPr>
        <w:t>（六）违约责任：</w:t>
      </w:r>
    </w:p>
    <w:p w14:paraId="12A9B59B">
      <w:pPr>
        <w:pStyle w:val="220"/>
        <w:wordWrap/>
        <w:spacing w:afterLines="0" w:line="360" w:lineRule="auto"/>
        <w:ind w:firstLine="420"/>
        <w:rPr>
          <w:rFonts w:hint="eastAsia" w:ascii="宋体" w:hAnsi="宋体" w:eastAsia="宋体" w:cs="Times New Roman"/>
          <w:snapToGrid/>
          <w:spacing w:val="0"/>
          <w:sz w:val="21"/>
          <w:szCs w:val="21"/>
        </w:rPr>
      </w:pPr>
      <w:r>
        <w:rPr>
          <w:rFonts w:hint="eastAsia" w:ascii="宋体" w:hAnsi="宋体" w:eastAsia="宋体" w:cs="Times New Roman"/>
          <w:snapToGrid/>
          <w:spacing w:val="0"/>
          <w:sz w:val="21"/>
          <w:szCs w:val="21"/>
        </w:rPr>
        <w:t>（1）因中标人原因，未能按规定时间完成合同约定服务内容，每延误一日历天，采购人可在支付合同余款中扣除合同总价款5‰，若延误60日历天，采购人有权解除合同，并要求中标人返还所有已付价款。给采购人造成损失的，中标人应当承担全部赔偿责任。</w:t>
      </w:r>
    </w:p>
    <w:p w14:paraId="13A8B53B">
      <w:pPr>
        <w:pStyle w:val="220"/>
        <w:wordWrap/>
        <w:spacing w:afterLines="0" w:line="360" w:lineRule="auto"/>
        <w:ind w:firstLine="420"/>
        <w:rPr>
          <w:rFonts w:hint="eastAsia" w:ascii="宋体" w:hAnsi="宋体" w:eastAsia="宋体" w:cs="Times New Roman"/>
          <w:snapToGrid/>
          <w:spacing w:val="0"/>
          <w:sz w:val="21"/>
          <w:szCs w:val="21"/>
        </w:rPr>
      </w:pPr>
      <w:r>
        <w:rPr>
          <w:rFonts w:hint="eastAsia" w:ascii="宋体" w:hAnsi="宋体" w:eastAsia="宋体" w:cs="Times New Roman"/>
          <w:snapToGrid/>
          <w:spacing w:val="0"/>
          <w:sz w:val="21"/>
          <w:szCs w:val="21"/>
        </w:rPr>
        <w:t>（2）由于中标人原因造成项目成果质量低劣，不能满足合同约定项目验收要求时，应继续完善项目工作，其费用由中标人承担。</w:t>
      </w:r>
    </w:p>
    <w:p w14:paraId="4A3D5B92">
      <w:pPr>
        <w:pStyle w:val="220"/>
        <w:wordWrap/>
        <w:spacing w:afterLines="0" w:line="360" w:lineRule="auto"/>
        <w:ind w:firstLine="420"/>
        <w:rPr>
          <w:rFonts w:hint="eastAsia" w:ascii="宋体" w:hAnsi="宋体" w:eastAsia="宋体" w:cs="Times New Roman"/>
          <w:snapToGrid/>
          <w:spacing w:val="0"/>
          <w:sz w:val="21"/>
          <w:szCs w:val="21"/>
        </w:rPr>
      </w:pPr>
      <w:r>
        <w:rPr>
          <w:rFonts w:hint="eastAsia" w:ascii="宋体" w:hAnsi="宋体" w:eastAsia="宋体" w:cs="Times New Roman"/>
          <w:snapToGrid/>
          <w:spacing w:val="0"/>
          <w:sz w:val="21"/>
          <w:szCs w:val="21"/>
        </w:rPr>
        <w:t>（3）如中标人提供的服务不符合合同约定的质量要求，必须在采购人提出要求7日历天内无条件整改，其费用由中标人承担。</w:t>
      </w:r>
    </w:p>
    <w:p w14:paraId="2EEEC04A">
      <w:pPr>
        <w:spacing w:line="360" w:lineRule="auto"/>
        <w:ind w:firstLine="420" w:firstLineChars="200"/>
        <w:rPr>
          <w:rFonts w:hint="eastAsia" w:ascii="宋体" w:hAnsi="宋体" w:cs="楷体"/>
          <w:bCs/>
        </w:rPr>
      </w:pPr>
      <w:r>
        <w:rPr>
          <w:rFonts w:hint="eastAsia" w:ascii="宋体" w:hAnsi="宋体" w:cs="楷体"/>
          <w:bCs/>
        </w:rPr>
        <w:t>（4）如中标人工作人员违反合同项下关于保密义务的规定的，给采购人造成损失的，中标人应当承担全部赔偿责任，涉及违法犯罪的人员，采购人可移送有关机关处理。</w:t>
      </w:r>
    </w:p>
    <w:p w14:paraId="18539EF7">
      <w:pPr>
        <w:spacing w:line="360" w:lineRule="auto"/>
        <w:ind w:firstLine="420" w:firstLineChars="200"/>
        <w:rPr>
          <w:rFonts w:hint="eastAsia" w:ascii="宋体" w:hAnsi="宋体" w:cs="楷体"/>
          <w:bCs/>
        </w:rPr>
      </w:pPr>
      <w:r>
        <w:rPr>
          <w:rFonts w:hint="eastAsia" w:ascii="宋体" w:hAnsi="宋体" w:cs="楷体"/>
          <w:bCs/>
        </w:rPr>
        <w:t>（5）因不可抗力（包括但不限于自然灾害、政府行为、政策调整等事件）造成本协议延迟履行或任何一方违约，双方均无需承担违约责任，受影响一方应尽可能及时通知另一方。如前述事件妨碍协议履行达三个月以上的，双方可协商修改合同或终止合同。</w:t>
      </w:r>
    </w:p>
    <w:p w14:paraId="5B063987">
      <w:pPr>
        <w:pStyle w:val="215"/>
        <w:spacing w:beforeLines="0" w:line="360" w:lineRule="auto"/>
        <w:ind w:firstLine="0" w:firstLineChars="0"/>
        <w:rPr>
          <w:rFonts w:hint="eastAsia" w:asciiTheme="minorEastAsia" w:hAnsiTheme="minorEastAsia" w:eastAsiaTheme="minorEastAsia"/>
          <w:b/>
        </w:rPr>
      </w:pPr>
      <w:r>
        <w:rPr>
          <w:rFonts w:hint="eastAsia" w:asciiTheme="minorEastAsia" w:hAnsiTheme="minorEastAsia" w:eastAsiaTheme="minorEastAsia"/>
          <w:b/>
        </w:rPr>
        <w:t>（七）争议解决方法：</w:t>
      </w:r>
    </w:p>
    <w:p w14:paraId="18D9DB0B">
      <w:pPr>
        <w:spacing w:line="360" w:lineRule="auto"/>
        <w:ind w:firstLine="420" w:firstLineChars="200"/>
        <w:rPr>
          <w:rFonts w:hint="eastAsia" w:ascii="宋体" w:hAnsi="宋体" w:cs="楷体"/>
          <w:bCs/>
        </w:rPr>
      </w:pPr>
      <w:r>
        <w:rPr>
          <w:rFonts w:hint="eastAsia" w:ascii="宋体" w:hAnsi="宋体" w:cs="楷体"/>
          <w:bCs/>
        </w:rPr>
        <w:t>（1）双方因履行本项目发生争议的，可协商解决，无法协商解决的应向采购人住所地有管辖权的人民法院提起诉讼。</w:t>
      </w:r>
    </w:p>
    <w:p w14:paraId="13762809">
      <w:pPr>
        <w:spacing w:line="360" w:lineRule="auto"/>
        <w:ind w:firstLine="420" w:firstLineChars="200"/>
      </w:pPr>
      <w:r>
        <w:rPr>
          <w:rFonts w:hint="eastAsia" w:ascii="宋体" w:hAnsi="宋体" w:cs="楷体"/>
          <w:bCs/>
        </w:rPr>
        <w:t>（2）诉讼进行过程中，双方将继续履行本项目未涉诉讼的其它部分。</w:t>
      </w:r>
    </w:p>
    <w:p w14:paraId="44B0DFF1">
      <w:pPr>
        <w:spacing w:line="360" w:lineRule="auto"/>
        <w:ind w:firstLine="420" w:firstLineChars="200"/>
        <w:rPr>
          <w:rFonts w:ascii="宋体" w:hAnsi="宋体" w:cs="楷体"/>
          <w:bCs/>
          <w:szCs w:val="24"/>
        </w:rPr>
      </w:pPr>
    </w:p>
    <w:p w14:paraId="1D2086C4">
      <w:pPr>
        <w:spacing w:beforeLines="25" w:afterLines="25"/>
        <w:rPr>
          <w:rFonts w:ascii="宋体" w:hAnsi="宋体"/>
          <w:szCs w:val="21"/>
        </w:rPr>
      </w:pPr>
    </w:p>
    <w:p w14:paraId="591488D8">
      <w:pPr>
        <w:spacing w:beforeLines="25" w:afterLines="25"/>
        <w:rPr>
          <w:rFonts w:ascii="宋体" w:hAnsi="宋体"/>
          <w:szCs w:val="21"/>
        </w:rPr>
      </w:pPr>
    </w:p>
    <w:p w14:paraId="61A3766C">
      <w:pPr>
        <w:widowControl/>
        <w:jc w:val="left"/>
        <w:rPr>
          <w:rFonts w:ascii="宋体" w:hAnsi="宋体"/>
          <w:szCs w:val="21"/>
        </w:rPr>
      </w:pPr>
      <w:r>
        <w:rPr>
          <w:rFonts w:ascii="宋体" w:hAnsi="宋体"/>
          <w:szCs w:val="21"/>
        </w:rPr>
        <w:br w:type="page"/>
      </w:r>
    </w:p>
    <w:p w14:paraId="51E8DABD">
      <w:pPr>
        <w:keepNext/>
        <w:keepLines/>
        <w:adjustRightInd w:val="0"/>
        <w:spacing w:before="260" w:after="260"/>
        <w:jc w:val="center"/>
        <w:textAlignment w:val="baseline"/>
        <w:outlineLvl w:val="1"/>
        <w:rPr>
          <w:rFonts w:ascii="宋体" w:hAnsi="宋体"/>
          <w:b/>
          <w:bCs/>
          <w:sz w:val="24"/>
          <w:szCs w:val="20"/>
        </w:rPr>
      </w:pPr>
      <w:r>
        <w:rPr>
          <w:rFonts w:hint="eastAsia" w:ascii="宋体" w:hAnsi="宋体"/>
          <w:b/>
          <w:bCs/>
          <w:sz w:val="24"/>
          <w:szCs w:val="20"/>
        </w:rPr>
        <w:t>第三章 投标文件格式、附件</w:t>
      </w:r>
    </w:p>
    <w:p w14:paraId="0F440C7B">
      <w:pPr>
        <w:rPr>
          <w:rFonts w:ascii="Times New Roman" w:hAnsi="Times New Roman"/>
          <w:b/>
          <w:bCs/>
          <w:sz w:val="24"/>
          <w:szCs w:val="32"/>
        </w:rPr>
      </w:pPr>
      <w:r>
        <w:rPr>
          <w:rFonts w:hint="eastAsia" w:ascii="Times New Roman" w:hAnsi="Times New Roman"/>
          <w:b/>
          <w:bCs/>
          <w:sz w:val="24"/>
          <w:szCs w:val="32"/>
        </w:rPr>
        <w:t>特别提醒：</w:t>
      </w:r>
    </w:p>
    <w:p w14:paraId="33482614">
      <w:pPr>
        <w:rPr>
          <w:rFonts w:ascii="Times New Roman" w:hAnsi="Times New Roman"/>
          <w:b/>
          <w:bCs/>
          <w:sz w:val="24"/>
          <w:szCs w:val="32"/>
        </w:rPr>
      </w:pPr>
    </w:p>
    <w:p w14:paraId="0D70B74B">
      <w:pPr>
        <w:widowControl/>
        <w:ind w:firstLine="482" w:firstLineChars="200"/>
        <w:jc w:val="left"/>
        <w:rPr>
          <w:rFonts w:ascii="仿宋_GB2312" w:hAnsi="Times New Roman" w:eastAsia="仿宋_GB2312"/>
          <w:kern w:val="0"/>
          <w:sz w:val="24"/>
          <w:szCs w:val="24"/>
        </w:rPr>
      </w:pPr>
      <w:r>
        <w:rPr>
          <w:rFonts w:hint="eastAsia" w:ascii="仿宋_GB2312" w:hAnsi="Times New Roman" w:eastAsia="仿宋_GB2312"/>
          <w:b/>
          <w:kern w:val="0"/>
          <w:sz w:val="24"/>
          <w:szCs w:val="24"/>
        </w:rPr>
        <w:t>投标文件正文将对外公开，投标文件附件不公开。</w:t>
      </w:r>
      <w:r>
        <w:rPr>
          <w:rFonts w:hint="eastAsia" w:ascii="仿宋_GB2312" w:hAnsi="Times New Roman" w:eastAsia="仿宋_GB2312"/>
          <w:kern w:val="0"/>
          <w:sz w:val="24"/>
          <w:szCs w:val="24"/>
        </w:rPr>
        <w:t>投标人在编辑投标文件时，在投标文件目录中属于本节点内容的必须在本节点中填写，填写到其他节点或附件的将可能导致投标无效，一切后果由供应商自行承担。</w:t>
      </w:r>
    </w:p>
    <w:p w14:paraId="0065A51D">
      <w:pPr>
        <w:widowControl/>
        <w:jc w:val="left"/>
        <w:rPr>
          <w:rFonts w:ascii="宋体" w:hAnsi="宋体" w:cs="宋体" w:eastAsiaTheme="minorEastAsia"/>
          <w:kern w:val="0"/>
          <w:sz w:val="24"/>
          <w:szCs w:val="24"/>
          <w:highlight w:val="green"/>
        </w:rPr>
      </w:pPr>
      <w:r>
        <w:rPr>
          <w:rFonts w:hint="eastAsia" w:ascii="仿宋_GB2312" w:hAnsi="Times New Roman" w:eastAsia="仿宋_GB2312"/>
          <w:kern w:val="0"/>
          <w:sz w:val="24"/>
          <w:szCs w:val="24"/>
        </w:rPr>
        <w:t xml:space="preserve">    投标人应按招标文件规定的“投标文件组成”编制投标文件正文（信息公开部分）和投标文件附件（信息不公开部分）。</w:t>
      </w:r>
    </w:p>
    <w:p w14:paraId="78F7C634">
      <w:pPr>
        <w:widowControl/>
        <w:jc w:val="center"/>
        <w:rPr>
          <w:rFonts w:ascii="仿宋_GB2312" w:hAnsi="Times New Roman" w:eastAsia="仿宋_GB2312"/>
          <w:kern w:val="0"/>
          <w:sz w:val="24"/>
          <w:szCs w:val="24"/>
          <w:highlight w:val="green"/>
        </w:rPr>
      </w:pPr>
    </w:p>
    <w:p w14:paraId="57665ADF">
      <w:pPr>
        <w:widowControl/>
        <w:ind w:firstLine="480" w:firstLineChars="200"/>
        <w:jc w:val="left"/>
        <w:rPr>
          <w:rFonts w:ascii="仿宋_GB2312" w:hAnsi="Times New Roman" w:eastAsia="仿宋_GB2312"/>
          <w:b/>
          <w:kern w:val="0"/>
          <w:sz w:val="24"/>
          <w:szCs w:val="24"/>
        </w:rPr>
      </w:pPr>
      <w:bookmarkStart w:id="9" w:name="_Hlk72257167"/>
      <w:r>
        <w:rPr>
          <w:rFonts w:hint="eastAsia" w:ascii="仿宋_GB2312" w:hAnsi="Times New Roman" w:eastAsia="仿宋_GB2312"/>
          <w:kern w:val="0"/>
          <w:sz w:val="24"/>
          <w:szCs w:val="24"/>
        </w:rPr>
        <w:t>采购代理机构公布投标文件正文（信息公开部分）时为计算机截取信息自动公布，</w:t>
      </w:r>
      <w:r>
        <w:rPr>
          <w:rFonts w:hint="eastAsia" w:ascii="仿宋_GB2312" w:hAnsi="Times New Roman" w:eastAsia="仿宋_GB2312"/>
          <w:b/>
          <w:bCs/>
          <w:kern w:val="0"/>
          <w:sz w:val="24"/>
          <w:szCs w:val="24"/>
        </w:rPr>
        <w:t>如投标人误将涉及个人隐私或其他重要信息放入投标文件正文，相关后果由投标人自负；</w:t>
      </w:r>
      <w:r>
        <w:rPr>
          <w:rFonts w:hint="eastAsia" w:ascii="仿宋_GB2312" w:hAnsi="Times New Roman" w:eastAsia="仿宋_GB2312"/>
          <w:b/>
          <w:kern w:val="0"/>
          <w:sz w:val="24"/>
          <w:szCs w:val="24"/>
        </w:rPr>
        <w:t>如投标人将必须放于投标文件正文（信息公开部分）的内容放入投标文件附件（信息不公开部分），将作投标无效处理。</w:t>
      </w:r>
    </w:p>
    <w:bookmarkEnd w:id="9"/>
    <w:p w14:paraId="404BA9E2">
      <w:pPr>
        <w:rPr>
          <w:rFonts w:ascii="仿宋_GB2312" w:hAnsi="Times New Roman" w:eastAsia="仿宋_GB2312"/>
          <w:sz w:val="24"/>
          <w:szCs w:val="24"/>
        </w:rPr>
      </w:pPr>
    </w:p>
    <w:p w14:paraId="7C19EB87">
      <w:pPr>
        <w:rPr>
          <w:rFonts w:ascii="宋体" w:hAnsi="宋体"/>
          <w:sz w:val="24"/>
        </w:rPr>
      </w:pPr>
      <w:r>
        <w:rPr>
          <w:rFonts w:hint="eastAsia" w:ascii="宋体" w:hAnsi="宋体"/>
          <w:sz w:val="24"/>
        </w:rPr>
        <w:t>投标文件组成：</w:t>
      </w:r>
    </w:p>
    <w:p w14:paraId="4CBBF6E5">
      <w:pPr>
        <w:ind w:firstLine="424" w:firstLineChars="202"/>
        <w:rPr>
          <w:rFonts w:ascii="宋体" w:hAnsi="宋体"/>
          <w:sz w:val="24"/>
        </w:rPr>
      </w:pPr>
      <w:r>
        <w:rPr>
          <w:rFonts w:hint="eastAsia" w:ascii="宋体" w:hAnsi="宋体"/>
        </w:rPr>
        <w:t>1.</w:t>
      </w:r>
      <w:r>
        <w:rPr>
          <w:rFonts w:hint="eastAsia" w:ascii="宋体" w:hAnsi="宋体"/>
          <w:b/>
        </w:rPr>
        <w:t>投标文件正文</w:t>
      </w:r>
      <w:r>
        <w:rPr>
          <w:rFonts w:hint="eastAsia" w:ascii="宋体" w:hAnsi="宋体"/>
          <w:b/>
          <w:szCs w:val="21"/>
        </w:rPr>
        <w:t>（信息公开部分）</w:t>
      </w:r>
      <w:r>
        <w:rPr>
          <w:rFonts w:hint="eastAsia" w:ascii="宋体" w:hAnsi="宋体"/>
        </w:rPr>
        <w:t>，主要</w:t>
      </w:r>
      <w:r>
        <w:rPr>
          <w:rFonts w:hint="eastAsia" w:ascii="宋体" w:hAnsi="宋体"/>
          <w:szCs w:val="21"/>
        </w:rPr>
        <w:t>包括以下内容：</w:t>
      </w:r>
    </w:p>
    <w:p w14:paraId="4667CCF0">
      <w:pPr>
        <w:spacing w:beforeLines="25" w:afterLines="25"/>
        <w:ind w:firstLine="991" w:firstLineChars="472"/>
        <w:rPr>
          <w:rFonts w:ascii="宋体" w:hAnsi="宋体"/>
          <w:szCs w:val="21"/>
        </w:rPr>
      </w:pPr>
      <w:r>
        <w:rPr>
          <w:rFonts w:hint="eastAsia" w:ascii="宋体" w:hAnsi="宋体"/>
          <w:szCs w:val="21"/>
        </w:rPr>
        <w:t>（1）投标函</w:t>
      </w:r>
    </w:p>
    <w:p w14:paraId="73B4C3FC">
      <w:pPr>
        <w:spacing w:beforeLines="25" w:afterLines="25"/>
        <w:ind w:firstLine="991" w:firstLineChars="472"/>
        <w:rPr>
          <w:rFonts w:hint="eastAsia" w:ascii="宋体" w:hAnsi="宋体" w:eastAsia="宋体"/>
          <w:szCs w:val="21"/>
          <w:lang w:eastAsia="zh-CN"/>
        </w:rPr>
      </w:pPr>
      <w:r>
        <w:rPr>
          <w:rFonts w:hint="eastAsia" w:ascii="宋体" w:hAnsi="宋体"/>
          <w:szCs w:val="21"/>
        </w:rPr>
        <w:t>（2）资格响应文件</w:t>
      </w:r>
    </w:p>
    <w:p w14:paraId="675DF611">
      <w:pPr>
        <w:spacing w:beforeLines="25" w:afterLines="25"/>
        <w:ind w:firstLine="991" w:firstLineChars="472"/>
        <w:rPr>
          <w:rFonts w:ascii="宋体" w:hAnsi="宋体"/>
          <w:szCs w:val="21"/>
        </w:rPr>
      </w:pPr>
      <w:r>
        <w:rPr>
          <w:rFonts w:hint="eastAsia" w:ascii="宋体" w:hAnsi="宋体"/>
          <w:szCs w:val="21"/>
        </w:rPr>
        <w:t>（</w:t>
      </w:r>
      <w:r>
        <w:rPr>
          <w:rFonts w:hint="default" w:ascii="宋体" w:hAnsi="宋体"/>
          <w:szCs w:val="21"/>
          <w:lang w:val="en-US"/>
        </w:rPr>
        <w:t>3</w:t>
      </w:r>
      <w:r>
        <w:rPr>
          <w:rFonts w:hint="eastAsia" w:ascii="宋体" w:hAnsi="宋体"/>
          <w:szCs w:val="21"/>
        </w:rPr>
        <w:t>）投标人情况介绍</w:t>
      </w:r>
    </w:p>
    <w:p w14:paraId="568A24FC">
      <w:pPr>
        <w:spacing w:beforeLines="25" w:afterLines="25"/>
        <w:ind w:firstLine="991" w:firstLineChars="472"/>
        <w:rPr>
          <w:rFonts w:ascii="宋体" w:hAnsi="宋体"/>
          <w:szCs w:val="21"/>
        </w:rPr>
      </w:pPr>
      <w:r>
        <w:rPr>
          <w:rFonts w:hint="eastAsia" w:ascii="宋体" w:hAnsi="宋体"/>
          <w:szCs w:val="21"/>
        </w:rPr>
        <w:t>（</w:t>
      </w:r>
      <w:r>
        <w:rPr>
          <w:rFonts w:hint="default" w:ascii="宋体" w:hAnsi="宋体"/>
          <w:szCs w:val="21"/>
          <w:lang w:val="en-US"/>
        </w:rPr>
        <w:t>4</w:t>
      </w:r>
      <w:r>
        <w:rPr>
          <w:rFonts w:hint="eastAsia" w:ascii="宋体" w:hAnsi="宋体"/>
          <w:szCs w:val="21"/>
        </w:rPr>
        <w:t>）中小企业声明函等符合政府采购扶持政策的证明材料</w:t>
      </w:r>
    </w:p>
    <w:p w14:paraId="149D8D8E">
      <w:pPr>
        <w:rPr>
          <w:rFonts w:ascii="宋体" w:hAnsi="宋体"/>
          <w:sz w:val="24"/>
          <w:szCs w:val="24"/>
        </w:rPr>
      </w:pPr>
    </w:p>
    <w:p w14:paraId="39320B87">
      <w:pPr>
        <w:ind w:firstLine="424" w:firstLineChars="202"/>
        <w:rPr>
          <w:rFonts w:ascii="宋体" w:hAnsi="宋体"/>
          <w:szCs w:val="21"/>
        </w:rPr>
      </w:pPr>
    </w:p>
    <w:p w14:paraId="77677BF1">
      <w:pPr>
        <w:ind w:firstLine="424" w:firstLineChars="202"/>
        <w:rPr>
          <w:rFonts w:ascii="宋体" w:hAnsi="宋体"/>
          <w:szCs w:val="21"/>
        </w:rPr>
      </w:pPr>
      <w:r>
        <w:rPr>
          <w:rFonts w:hint="eastAsia" w:ascii="宋体" w:hAnsi="宋体"/>
          <w:szCs w:val="21"/>
        </w:rPr>
        <w:t>2.</w:t>
      </w:r>
      <w:r>
        <w:rPr>
          <w:rFonts w:hint="eastAsia" w:ascii="宋体" w:hAnsi="宋体"/>
          <w:b/>
          <w:szCs w:val="21"/>
        </w:rPr>
        <w:t>投标文件附件（信息不公开部分）</w:t>
      </w:r>
      <w:r>
        <w:rPr>
          <w:rFonts w:hint="eastAsia" w:ascii="宋体" w:hAnsi="宋体"/>
          <w:szCs w:val="21"/>
        </w:rPr>
        <w:t>，主要包括以下内容：</w:t>
      </w:r>
    </w:p>
    <w:p w14:paraId="76F2532C">
      <w:pPr>
        <w:spacing w:beforeLines="25" w:afterLines="25"/>
        <w:ind w:firstLine="991" w:firstLineChars="472"/>
        <w:rPr>
          <w:rFonts w:ascii="宋体" w:hAnsi="宋体"/>
          <w:szCs w:val="21"/>
        </w:rPr>
      </w:pPr>
      <w:r>
        <w:rPr>
          <w:rFonts w:hint="eastAsia" w:ascii="宋体" w:hAnsi="宋体"/>
          <w:szCs w:val="21"/>
        </w:rPr>
        <w:t>（5）</w:t>
      </w:r>
      <w:r>
        <w:rPr>
          <w:rFonts w:hint="eastAsia" w:ascii="宋体" w:hAnsi="宋体" w:eastAsia="宋体" w:cs="宋体"/>
          <w:sz w:val="21"/>
          <w:szCs w:val="21"/>
        </w:rPr>
        <w:t>政府采购违法行为风险知悉确认书、供应商自查表及供应商基本情况表</w:t>
      </w:r>
    </w:p>
    <w:p w14:paraId="01A3F28A">
      <w:pPr>
        <w:spacing w:beforeLines="25" w:afterLines="25"/>
        <w:ind w:firstLine="991" w:firstLineChars="472"/>
        <w:rPr>
          <w:rFonts w:ascii="宋体" w:hAnsi="宋体"/>
          <w:szCs w:val="21"/>
        </w:rPr>
      </w:pPr>
      <w:r>
        <w:rPr>
          <w:rFonts w:hint="eastAsia" w:ascii="宋体" w:hAnsi="宋体"/>
          <w:szCs w:val="21"/>
        </w:rPr>
        <w:t>（6）法定代表人（负责人）资格证明书</w:t>
      </w:r>
    </w:p>
    <w:p w14:paraId="1E298A9D">
      <w:pPr>
        <w:spacing w:beforeLines="25" w:afterLines="25"/>
        <w:ind w:firstLine="991" w:firstLineChars="472"/>
        <w:rPr>
          <w:rFonts w:ascii="宋体" w:hAnsi="宋体"/>
          <w:szCs w:val="21"/>
        </w:rPr>
      </w:pPr>
      <w:r>
        <w:rPr>
          <w:rFonts w:hint="eastAsia" w:ascii="宋体" w:hAnsi="宋体"/>
          <w:szCs w:val="21"/>
        </w:rPr>
        <w:t>（7）投标文件签署授权委托书</w:t>
      </w:r>
    </w:p>
    <w:p w14:paraId="62329D94">
      <w:pPr>
        <w:spacing w:beforeLines="25" w:afterLines="25"/>
        <w:ind w:firstLine="991" w:firstLineChars="472"/>
        <w:rPr>
          <w:rFonts w:ascii="宋体" w:hAnsi="宋体"/>
          <w:szCs w:val="21"/>
        </w:rPr>
      </w:pPr>
      <w:r>
        <w:rPr>
          <w:rFonts w:hint="eastAsia" w:ascii="宋体" w:hAnsi="宋体"/>
          <w:szCs w:val="21"/>
        </w:rPr>
        <w:t>（8）实质性条款响应情况表</w:t>
      </w:r>
    </w:p>
    <w:p w14:paraId="0E15A17B">
      <w:pPr>
        <w:spacing w:beforeLines="25" w:afterLines="25"/>
        <w:ind w:firstLine="991" w:firstLineChars="472"/>
        <w:rPr>
          <w:rFonts w:ascii="宋体" w:hAnsi="宋体"/>
          <w:szCs w:val="21"/>
        </w:rPr>
      </w:pPr>
      <w:r>
        <w:rPr>
          <w:rFonts w:hint="eastAsia" w:ascii="宋体" w:hAnsi="宋体"/>
          <w:szCs w:val="21"/>
        </w:rPr>
        <w:t>（9）详细分项报价清单</w:t>
      </w:r>
    </w:p>
    <w:p w14:paraId="4F7BC259">
      <w:pPr>
        <w:spacing w:beforeLines="25" w:afterLines="25"/>
        <w:ind w:firstLine="991" w:firstLineChars="472"/>
        <w:rPr>
          <w:rFonts w:ascii="宋体" w:hAnsi="宋体"/>
          <w:szCs w:val="21"/>
        </w:rPr>
      </w:pPr>
      <w:r>
        <w:rPr>
          <w:rFonts w:hint="eastAsia" w:ascii="宋体" w:hAnsi="宋体"/>
          <w:szCs w:val="21"/>
        </w:rPr>
        <w:t>（10）服务要求</w:t>
      </w:r>
      <w:r>
        <w:rPr>
          <w:rFonts w:ascii="宋体" w:hAnsi="宋体"/>
          <w:szCs w:val="21"/>
        </w:rPr>
        <w:t>偏离表</w:t>
      </w:r>
    </w:p>
    <w:p w14:paraId="14C7CC7C">
      <w:pPr>
        <w:spacing w:beforeLines="25" w:afterLines="25"/>
        <w:ind w:firstLine="991" w:firstLineChars="472"/>
        <w:rPr>
          <w:rFonts w:ascii="宋体" w:hAnsi="宋体"/>
          <w:szCs w:val="21"/>
        </w:rPr>
      </w:pPr>
      <w:r>
        <w:rPr>
          <w:rFonts w:hint="eastAsia" w:ascii="宋体" w:hAnsi="宋体"/>
          <w:szCs w:val="21"/>
        </w:rPr>
        <w:t>（11）</w:t>
      </w:r>
      <w:r>
        <w:rPr>
          <w:rFonts w:ascii="宋体" w:hAnsi="宋体"/>
          <w:szCs w:val="21"/>
        </w:rPr>
        <w:t>商务</w:t>
      </w:r>
      <w:r>
        <w:rPr>
          <w:rFonts w:hint="eastAsia" w:ascii="宋体" w:hAnsi="宋体"/>
          <w:szCs w:val="21"/>
        </w:rPr>
        <w:t>要求</w:t>
      </w:r>
      <w:r>
        <w:rPr>
          <w:rFonts w:ascii="宋体" w:hAnsi="宋体"/>
          <w:szCs w:val="21"/>
        </w:rPr>
        <w:t>偏离表</w:t>
      </w:r>
    </w:p>
    <w:p w14:paraId="5739B9D7">
      <w:pPr>
        <w:spacing w:beforeLines="25" w:afterLines="25"/>
        <w:ind w:firstLine="991" w:firstLineChars="472"/>
        <w:rPr>
          <w:rFonts w:asciiTheme="minorEastAsia" w:hAnsiTheme="minorEastAsia" w:eastAsiaTheme="minorEastAsia"/>
          <w:szCs w:val="21"/>
        </w:rPr>
      </w:pPr>
      <w:r>
        <w:rPr>
          <w:rFonts w:hint="eastAsia" w:ascii="宋体" w:hAnsi="宋体"/>
          <w:szCs w:val="21"/>
        </w:rPr>
        <w:t>（12）</w:t>
      </w:r>
      <w:r>
        <w:rPr>
          <w:rFonts w:hint="eastAsia" w:asciiTheme="minorEastAsia" w:hAnsiTheme="minorEastAsia" w:eastAsiaTheme="minorEastAsia"/>
          <w:kern w:val="0"/>
          <w:szCs w:val="21"/>
        </w:rPr>
        <w:t>整体实施方案</w:t>
      </w:r>
    </w:p>
    <w:p w14:paraId="3214545E">
      <w:pPr>
        <w:spacing w:beforeLines="25" w:afterLines="25"/>
        <w:ind w:firstLine="991" w:firstLineChars="472"/>
        <w:rPr>
          <w:rFonts w:hint="eastAsia" w:asciiTheme="minorEastAsia" w:hAnsiTheme="minorEastAsia" w:eastAsiaTheme="minorEastAsia"/>
          <w:kern w:val="0"/>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13</w:t>
      </w:r>
      <w:r>
        <w:rPr>
          <w:rFonts w:hint="eastAsia" w:asciiTheme="minorEastAsia" w:hAnsiTheme="minorEastAsia" w:eastAsiaTheme="minorEastAsia"/>
          <w:szCs w:val="21"/>
          <w:lang w:eastAsia="zh-CN"/>
        </w:rPr>
        <w:t>）</w:t>
      </w:r>
      <w:r>
        <w:rPr>
          <w:rFonts w:hint="eastAsia" w:asciiTheme="minorEastAsia" w:hAnsiTheme="minorEastAsia" w:eastAsiaTheme="minorEastAsia"/>
          <w:kern w:val="0"/>
          <w:szCs w:val="21"/>
        </w:rPr>
        <w:t>项目重点难点分析、应对措施及相关的合理化建议</w:t>
      </w:r>
    </w:p>
    <w:p w14:paraId="44E55E84">
      <w:pPr>
        <w:spacing w:beforeLines="25" w:afterLines="25"/>
        <w:ind w:firstLine="991" w:firstLineChars="472"/>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lang w:val="en-US" w:eastAsia="zh-CN"/>
        </w:rPr>
        <w:t>14</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技术条款响应情况（测评工具）</w:t>
      </w:r>
    </w:p>
    <w:p w14:paraId="21A41D9A">
      <w:pPr>
        <w:spacing w:beforeLines="25" w:afterLines="25"/>
        <w:ind w:firstLine="991" w:firstLineChars="472"/>
        <w:rPr>
          <w:rFonts w:hint="eastAsia" w:asciiTheme="minorEastAsia" w:hAnsiTheme="minorEastAsia" w:eastAsiaTheme="minorEastAsia"/>
          <w:snapToGrid w:val="0"/>
          <w:kern w:val="0"/>
          <w:szCs w:val="21"/>
          <w:highlight w:val="none"/>
        </w:rPr>
      </w:pPr>
      <w:r>
        <w:rPr>
          <w:rFonts w:hint="eastAsia" w:ascii="宋体" w:hAnsi="宋体"/>
          <w:szCs w:val="21"/>
        </w:rPr>
        <w:t>（</w:t>
      </w:r>
      <w:r>
        <w:rPr>
          <w:rFonts w:hint="eastAsia" w:ascii="宋体" w:hAnsi="宋体"/>
          <w:szCs w:val="21"/>
          <w:lang w:val="en-US" w:eastAsia="zh-CN"/>
        </w:rPr>
        <w:t>15</w:t>
      </w:r>
      <w:r>
        <w:rPr>
          <w:rFonts w:hint="eastAsia" w:ascii="宋体" w:hAnsi="宋体"/>
          <w:szCs w:val="21"/>
        </w:rPr>
        <w:t>）</w:t>
      </w:r>
      <w:r>
        <w:rPr>
          <w:rFonts w:hint="eastAsia" w:asciiTheme="minorEastAsia" w:hAnsiTheme="minorEastAsia" w:eastAsiaTheme="minorEastAsia"/>
          <w:snapToGrid w:val="0"/>
          <w:kern w:val="0"/>
          <w:szCs w:val="21"/>
          <w:highlight w:val="none"/>
        </w:rPr>
        <w:t>拟安排项目负责人情况（仅限1人）</w:t>
      </w:r>
    </w:p>
    <w:p w14:paraId="30E04308">
      <w:pPr>
        <w:spacing w:beforeLines="25" w:afterLines="25"/>
        <w:ind w:firstLine="991" w:firstLineChars="472"/>
        <w:rPr>
          <w:rFonts w:hint="eastAsia" w:cs="仿宋" w:asciiTheme="minorEastAsia" w:hAnsiTheme="minorEastAsia" w:eastAsiaTheme="minorEastAsia"/>
          <w:szCs w:val="21"/>
        </w:rPr>
      </w:pPr>
      <w:r>
        <w:rPr>
          <w:rFonts w:hint="eastAsia" w:asciiTheme="minorEastAsia" w:hAnsiTheme="minorEastAsia" w:eastAsiaTheme="minorEastAsia"/>
          <w:snapToGrid w:val="0"/>
          <w:kern w:val="0"/>
          <w:szCs w:val="21"/>
          <w:highlight w:val="none"/>
          <w:lang w:eastAsia="zh-CN"/>
        </w:rPr>
        <w:t>（</w:t>
      </w:r>
      <w:r>
        <w:rPr>
          <w:rFonts w:hint="eastAsia" w:asciiTheme="minorEastAsia" w:hAnsiTheme="minorEastAsia" w:eastAsiaTheme="minorEastAsia"/>
          <w:snapToGrid w:val="0"/>
          <w:kern w:val="0"/>
          <w:szCs w:val="21"/>
          <w:highlight w:val="none"/>
          <w:lang w:val="en-US" w:eastAsia="zh-CN"/>
        </w:rPr>
        <w:t>16</w:t>
      </w:r>
      <w:r>
        <w:rPr>
          <w:rFonts w:hint="eastAsia" w:asciiTheme="minorEastAsia" w:hAnsiTheme="minorEastAsia" w:eastAsiaTheme="minorEastAsia"/>
          <w:snapToGrid w:val="0"/>
          <w:kern w:val="0"/>
          <w:szCs w:val="21"/>
          <w:highlight w:val="none"/>
          <w:lang w:eastAsia="zh-CN"/>
        </w:rPr>
        <w:t>）</w:t>
      </w:r>
      <w:r>
        <w:rPr>
          <w:rFonts w:hint="eastAsia" w:cs="仿宋" w:asciiTheme="minorEastAsia" w:hAnsiTheme="minorEastAsia" w:eastAsiaTheme="minorEastAsia"/>
          <w:szCs w:val="21"/>
        </w:rPr>
        <w:t>拟安排的项目团队成员（项目负责人除外）情况</w:t>
      </w:r>
    </w:p>
    <w:p w14:paraId="0C39CE61">
      <w:pPr>
        <w:spacing w:beforeLines="25" w:afterLines="25"/>
        <w:ind w:firstLine="991" w:firstLineChars="472"/>
        <w:rPr>
          <w:rFonts w:hint="eastAsia" w:cs="宋体" w:asciiTheme="minorEastAsia" w:hAnsiTheme="minorEastAsia" w:eastAsiaTheme="minorEastAsia"/>
          <w:szCs w:val="21"/>
        </w:rPr>
      </w:pPr>
      <w:r>
        <w:rPr>
          <w:rFonts w:hint="eastAsia" w:cs="仿宋" w:asciiTheme="minorEastAsia" w:hAnsiTheme="minorEastAsia" w:eastAsiaTheme="minorEastAsia"/>
          <w:szCs w:val="21"/>
          <w:lang w:eastAsia="zh-CN"/>
        </w:rPr>
        <w:t>（</w:t>
      </w:r>
      <w:r>
        <w:rPr>
          <w:rFonts w:hint="eastAsia" w:cs="仿宋" w:asciiTheme="minorEastAsia" w:hAnsiTheme="minorEastAsia" w:eastAsiaTheme="minorEastAsia"/>
          <w:szCs w:val="21"/>
          <w:lang w:val="en-US" w:eastAsia="zh-CN"/>
        </w:rPr>
        <w:t>17</w:t>
      </w:r>
      <w:r>
        <w:rPr>
          <w:rFonts w:hint="eastAsia" w:cs="仿宋" w:asciiTheme="minorEastAsia" w:hAnsiTheme="minorEastAsia" w:eastAsiaTheme="minorEastAsia"/>
          <w:szCs w:val="21"/>
          <w:lang w:eastAsia="zh-CN"/>
        </w:rPr>
        <w:t>）</w:t>
      </w:r>
      <w:r>
        <w:rPr>
          <w:rFonts w:hint="eastAsia" w:cs="宋体" w:asciiTheme="minorEastAsia" w:hAnsiTheme="minorEastAsia" w:eastAsiaTheme="minorEastAsia"/>
          <w:szCs w:val="21"/>
        </w:rPr>
        <w:t>违约承诺</w:t>
      </w:r>
    </w:p>
    <w:p w14:paraId="22EAC5FD">
      <w:pPr>
        <w:spacing w:beforeLines="25" w:afterLines="25"/>
        <w:ind w:firstLine="991" w:firstLineChars="472"/>
        <w:rPr>
          <w:rFonts w:hint="eastAsia" w:asciiTheme="minorEastAsia" w:hAnsiTheme="minorEastAsia" w:eastAsiaTheme="minorEastAsia" w:cstheme="minorEastAsia"/>
          <w:spacing w:val="-1"/>
          <w:sz w:val="21"/>
          <w:szCs w:val="21"/>
        </w:rPr>
      </w:pP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18</w:t>
      </w:r>
      <w:r>
        <w:rPr>
          <w:rFonts w:hint="eastAsia" w:cs="宋体" w:asciiTheme="minorEastAsia" w:hAnsiTheme="minorEastAsia" w:eastAsiaTheme="minorEastAsia"/>
          <w:szCs w:val="21"/>
          <w:lang w:eastAsia="zh-CN"/>
        </w:rPr>
        <w:t>）</w:t>
      </w:r>
      <w:r>
        <w:rPr>
          <w:rFonts w:hint="eastAsia" w:asciiTheme="minorEastAsia" w:hAnsiTheme="minorEastAsia" w:eastAsiaTheme="minorEastAsia" w:cstheme="minorEastAsia"/>
          <w:sz w:val="21"/>
          <w:szCs w:val="21"/>
          <w:highlight w:val="none"/>
        </w:rPr>
        <w:t>供应商</w:t>
      </w:r>
      <w:r>
        <w:rPr>
          <w:rFonts w:hint="eastAsia" w:asciiTheme="minorEastAsia" w:hAnsiTheme="minorEastAsia" w:eastAsiaTheme="minorEastAsia" w:cstheme="minorEastAsia"/>
          <w:sz w:val="21"/>
          <w:szCs w:val="21"/>
          <w:highlight w:val="none"/>
          <w:lang w:val="en-US" w:eastAsia="zh-CN"/>
        </w:rPr>
        <w:t>相关资质情况</w:t>
      </w:r>
    </w:p>
    <w:p w14:paraId="0EEA8A5F">
      <w:pPr>
        <w:spacing w:beforeLines="25" w:afterLines="25"/>
        <w:ind w:firstLine="981" w:firstLineChars="472"/>
        <w:rPr>
          <w:rFonts w:hint="eastAsia" w:cs="仿宋" w:asciiTheme="minorEastAsia" w:hAnsiTheme="minorEastAsia" w:eastAsiaTheme="minorEastAsia"/>
          <w:szCs w:val="21"/>
        </w:rPr>
      </w:pP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1"/>
          <w:sz w:val="21"/>
          <w:szCs w:val="21"/>
          <w:lang w:val="en-US" w:eastAsia="zh-CN"/>
        </w:rPr>
        <w:t>19</w:t>
      </w:r>
      <w:r>
        <w:rPr>
          <w:rFonts w:hint="eastAsia" w:asciiTheme="minorEastAsia" w:hAnsiTheme="minorEastAsia" w:eastAsiaTheme="minorEastAsia" w:cstheme="minorEastAsia"/>
          <w:spacing w:val="-1"/>
          <w:sz w:val="21"/>
          <w:szCs w:val="21"/>
          <w:lang w:eastAsia="zh-CN"/>
        </w:rPr>
        <w:t>）</w:t>
      </w:r>
      <w:r>
        <w:rPr>
          <w:rFonts w:hint="eastAsia" w:cs="仿宋" w:asciiTheme="minorEastAsia" w:hAnsiTheme="minorEastAsia" w:eastAsiaTheme="minorEastAsia"/>
          <w:szCs w:val="21"/>
        </w:rPr>
        <w:t>同类项目业绩</w:t>
      </w:r>
    </w:p>
    <w:p w14:paraId="3B437904">
      <w:pPr>
        <w:spacing w:beforeLines="25" w:afterLines="25"/>
        <w:ind w:firstLine="991" w:firstLineChars="472"/>
        <w:rPr>
          <w:rFonts w:hint="eastAsia" w:cs="仿宋" w:asciiTheme="minorEastAsia" w:hAnsiTheme="minorEastAsia" w:eastAsiaTheme="minorEastAsia"/>
          <w:szCs w:val="21"/>
        </w:rPr>
      </w:pPr>
      <w:r>
        <w:rPr>
          <w:rFonts w:hint="eastAsia" w:cs="仿宋" w:asciiTheme="minorEastAsia" w:hAnsiTheme="minorEastAsia" w:eastAsiaTheme="minorEastAsia"/>
          <w:szCs w:val="21"/>
          <w:lang w:eastAsia="zh-CN"/>
        </w:rPr>
        <w:t>（</w:t>
      </w:r>
      <w:r>
        <w:rPr>
          <w:rFonts w:hint="eastAsia" w:cs="仿宋" w:asciiTheme="minorEastAsia" w:hAnsiTheme="minorEastAsia" w:eastAsiaTheme="minorEastAsia"/>
          <w:szCs w:val="21"/>
          <w:lang w:val="en-US" w:eastAsia="zh-CN"/>
        </w:rPr>
        <w:t>20</w:t>
      </w:r>
      <w:r>
        <w:rPr>
          <w:rFonts w:hint="eastAsia" w:cs="仿宋" w:asciiTheme="minorEastAsia" w:hAnsiTheme="minorEastAsia" w:eastAsiaTheme="minorEastAsia"/>
          <w:szCs w:val="21"/>
          <w:lang w:eastAsia="zh-CN"/>
        </w:rPr>
        <w:t>）</w:t>
      </w:r>
      <w:r>
        <w:rPr>
          <w:rFonts w:hint="eastAsia" w:cs="仿宋" w:asciiTheme="minorEastAsia" w:hAnsiTheme="minorEastAsia" w:eastAsiaTheme="minorEastAsia"/>
          <w:szCs w:val="21"/>
        </w:rPr>
        <w:t>漏洞挖掘能力</w:t>
      </w:r>
    </w:p>
    <w:p w14:paraId="1A50022F">
      <w:pPr>
        <w:spacing w:beforeLines="25" w:afterLines="25"/>
        <w:ind w:firstLine="991" w:firstLineChars="472"/>
        <w:rPr>
          <w:rFonts w:ascii="宋体" w:hAnsi="宋体"/>
          <w:szCs w:val="21"/>
        </w:rPr>
      </w:pPr>
      <w:r>
        <w:rPr>
          <w:rFonts w:hint="eastAsia" w:cs="仿宋" w:asciiTheme="minorEastAsia" w:hAnsiTheme="minorEastAsia" w:eastAsiaTheme="minorEastAsia"/>
          <w:szCs w:val="21"/>
          <w:lang w:eastAsia="zh-CN"/>
        </w:rPr>
        <w:t>（</w:t>
      </w:r>
      <w:r>
        <w:rPr>
          <w:rFonts w:hint="eastAsia" w:cs="仿宋" w:asciiTheme="minorEastAsia" w:hAnsiTheme="minorEastAsia" w:eastAsiaTheme="minorEastAsia"/>
          <w:szCs w:val="21"/>
          <w:lang w:val="en-US" w:eastAsia="zh-CN"/>
        </w:rPr>
        <w:t>21</w:t>
      </w:r>
      <w:r>
        <w:rPr>
          <w:rFonts w:hint="eastAsia" w:cs="仿宋" w:asciiTheme="minorEastAsia" w:hAnsiTheme="minorEastAsia" w:eastAsiaTheme="minorEastAsia"/>
          <w:szCs w:val="21"/>
          <w:lang w:eastAsia="zh-CN"/>
        </w:rPr>
        <w:t>）</w:t>
      </w:r>
      <w:r>
        <w:rPr>
          <w:rFonts w:hint="eastAsia" w:ascii="宋体" w:hAnsi="宋体"/>
          <w:szCs w:val="21"/>
        </w:rPr>
        <w:t>招标文件要求的其它内容或投标人认为需要补充的资料</w:t>
      </w:r>
    </w:p>
    <w:p w14:paraId="110DD9B5">
      <w:pPr>
        <w:spacing w:beforeLines="25" w:afterLines="25"/>
        <w:rPr>
          <w:rFonts w:ascii="宋体" w:hAnsi="宋体"/>
          <w:szCs w:val="21"/>
        </w:rPr>
      </w:pPr>
    </w:p>
    <w:p w14:paraId="7F5C3E8C">
      <w:pPr>
        <w:widowControl/>
        <w:ind w:firstLine="487" w:firstLineChars="202"/>
        <w:jc w:val="left"/>
        <w:rPr>
          <w:rFonts w:ascii="宋体" w:hAnsi="宋体" w:eastAsiaTheme="minorEastAsia"/>
          <w:b/>
          <w:kern w:val="0"/>
          <w:sz w:val="24"/>
          <w:szCs w:val="21"/>
        </w:rPr>
      </w:pPr>
      <w:r>
        <w:rPr>
          <w:rFonts w:hint="eastAsia" w:ascii="宋体" w:hAnsi="宋体" w:eastAsiaTheme="minorEastAsia"/>
          <w:b/>
          <w:kern w:val="0"/>
          <w:sz w:val="24"/>
          <w:szCs w:val="21"/>
        </w:rPr>
        <w:t>备注：</w:t>
      </w:r>
    </w:p>
    <w:p w14:paraId="21552880">
      <w:pPr>
        <w:widowControl/>
        <w:ind w:firstLine="487" w:firstLineChars="202"/>
        <w:jc w:val="left"/>
        <w:rPr>
          <w:rFonts w:ascii="宋体" w:hAnsi="宋体" w:eastAsiaTheme="minorEastAsia"/>
          <w:b/>
          <w:kern w:val="0"/>
          <w:sz w:val="24"/>
          <w:szCs w:val="21"/>
        </w:rPr>
      </w:pPr>
      <w:r>
        <w:rPr>
          <w:rFonts w:hint="eastAsia" w:ascii="宋体" w:hAnsi="宋体" w:eastAsiaTheme="minorEastAsia"/>
          <w:b/>
          <w:kern w:val="0"/>
          <w:sz w:val="24"/>
          <w:szCs w:val="21"/>
        </w:rPr>
        <w:t>1.本项目为网上电子投标项目，投标文件不需法人或授权委托人另行签字，无需加盖单位公章，招标文件专用条款另有规定的除外。</w:t>
      </w:r>
    </w:p>
    <w:p w14:paraId="03FFB0A0">
      <w:pPr>
        <w:widowControl/>
        <w:ind w:firstLine="487" w:firstLineChars="202"/>
        <w:jc w:val="left"/>
        <w:rPr>
          <w:rFonts w:ascii="宋体" w:hAnsi="宋体" w:eastAsiaTheme="minorEastAsia"/>
          <w:b/>
          <w:kern w:val="0"/>
          <w:sz w:val="24"/>
          <w:szCs w:val="21"/>
        </w:rPr>
      </w:pPr>
      <w:r>
        <w:rPr>
          <w:rFonts w:hint="eastAsia" w:ascii="宋体" w:hAnsi="宋体" w:eastAsiaTheme="minorEastAsia"/>
          <w:b/>
          <w:kern w:val="0"/>
          <w:sz w:val="24"/>
          <w:szCs w:val="21"/>
        </w:rPr>
        <w:t>2.关于填写“开标一览表”的说明：“开标一览表”中除“投标报价”外，其他信息不作为评审依据。</w:t>
      </w:r>
    </w:p>
    <w:p w14:paraId="5E8A4F92">
      <w:pPr>
        <w:widowControl/>
        <w:jc w:val="left"/>
        <w:rPr>
          <w:rFonts w:ascii="仿宋_GB2312" w:hAnsi="Times New Roman" w:eastAsia="仿宋_GB2312"/>
          <w:b/>
          <w:color w:val="FF0000"/>
          <w:sz w:val="30"/>
          <w:szCs w:val="30"/>
        </w:rPr>
      </w:pPr>
      <w:r>
        <w:rPr>
          <w:rFonts w:ascii="宋体" w:hAnsi="宋体"/>
          <w:szCs w:val="21"/>
        </w:rPr>
        <w:br w:type="page"/>
      </w:r>
      <w:r>
        <w:rPr>
          <w:rFonts w:hint="eastAsia" w:ascii="仿宋_GB2312" w:hAnsi="Times New Roman" w:eastAsia="仿宋_GB2312"/>
          <w:b/>
          <w:color w:val="FF0000"/>
          <w:sz w:val="30"/>
          <w:szCs w:val="30"/>
        </w:rPr>
        <w:t>投标文件正文（信息公开部分）：</w:t>
      </w:r>
    </w:p>
    <w:p w14:paraId="7A2F00AF">
      <w:pPr>
        <w:pStyle w:val="3"/>
        <w:jc w:val="center"/>
        <w:rPr>
          <w:rFonts w:ascii="黑体" w:eastAsia="黑体"/>
          <w:b w:val="0"/>
          <w:sz w:val="24"/>
        </w:rPr>
      </w:pPr>
      <w:r>
        <w:rPr>
          <w:rFonts w:hint="eastAsia" w:ascii="黑体" w:eastAsia="黑体"/>
          <w:b w:val="0"/>
          <w:sz w:val="24"/>
        </w:rPr>
        <w:t>一、投标函</w:t>
      </w:r>
    </w:p>
    <w:p w14:paraId="7CDFE7B6">
      <w:pPr>
        <w:spacing w:line="360" w:lineRule="auto"/>
        <w:rPr>
          <w:rFonts w:ascii="宋体" w:hAnsi="宋体"/>
          <w:szCs w:val="21"/>
        </w:rPr>
      </w:pPr>
      <w:r>
        <w:rPr>
          <w:rFonts w:hint="eastAsia" w:ascii="宋体" w:hAnsi="宋体"/>
          <w:szCs w:val="21"/>
        </w:rPr>
        <w:t xml:space="preserve">深圳市中正招标有限公司：  </w:t>
      </w:r>
    </w:p>
    <w:p w14:paraId="6CAEB8A2">
      <w:pPr>
        <w:spacing w:afterLines="50"/>
        <w:ind w:firstLine="420" w:firstLineChars="200"/>
        <w:rPr>
          <w:szCs w:val="21"/>
        </w:rPr>
      </w:pPr>
      <w:r>
        <w:rPr>
          <w:rFonts w:hint="eastAsia"/>
          <w:szCs w:val="21"/>
        </w:rPr>
        <w:t>1.根据已收到贵方的（项目编号为）的（项目）的招标文件，遵照《深圳经济特区政府采购条例》和《深圳网上政府采购管理暂行办法》等有关规定，我方经研究上述招标文件的专用条款及通用条款后，愿以投标书编制软件中《开标一览表》中填写的投标报价并按招标文件要求承包上述项目并修补其任何缺陷。</w:t>
      </w:r>
    </w:p>
    <w:p w14:paraId="2A356DF7">
      <w:pPr>
        <w:spacing w:afterLines="50"/>
        <w:ind w:firstLine="420" w:firstLineChars="200"/>
        <w:rPr>
          <w:szCs w:val="21"/>
        </w:rPr>
      </w:pPr>
      <w:r>
        <w:rPr>
          <w:szCs w:val="21"/>
        </w:rPr>
        <w:t>2</w:t>
      </w:r>
      <w:r>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57FE71AE">
      <w:pPr>
        <w:spacing w:afterLines="50"/>
        <w:ind w:firstLine="411" w:firstLineChars="196"/>
        <w:rPr>
          <w:rFonts w:ascii="宋体" w:hAnsi="宋体"/>
          <w:szCs w:val="21"/>
        </w:rPr>
      </w:pPr>
      <w:r>
        <w:rPr>
          <w:rFonts w:hint="eastAsia" w:ascii="宋体" w:hAnsi="宋体"/>
          <w:szCs w:val="21"/>
        </w:rPr>
        <w:t>3.我方同意所递交的投标文件在“对通用条款的补充内容”中的投标有效期内有效，在此期间内我方的投标有可能中标，我方将受此约束。</w:t>
      </w:r>
    </w:p>
    <w:p w14:paraId="08F92A76">
      <w:pPr>
        <w:spacing w:afterLines="50"/>
        <w:ind w:firstLine="411" w:firstLineChars="196"/>
        <w:rPr>
          <w:rFonts w:ascii="宋体" w:hAnsi="宋体"/>
          <w:szCs w:val="21"/>
        </w:rPr>
      </w:pPr>
      <w:r>
        <w:rPr>
          <w:rFonts w:hint="eastAsia" w:ascii="宋体" w:hAnsi="宋体"/>
          <w:szCs w:val="21"/>
        </w:rPr>
        <w:t>4.除非另外达成协议并生效，贵方的中标通知书和本投标文件将构成约束我们双方的合同。</w:t>
      </w:r>
    </w:p>
    <w:p w14:paraId="2A2B2777">
      <w:pPr>
        <w:spacing w:afterLines="50"/>
        <w:ind w:firstLine="411" w:firstLineChars="196"/>
        <w:rPr>
          <w:rFonts w:ascii="宋体" w:hAnsi="宋体"/>
          <w:szCs w:val="21"/>
        </w:rPr>
      </w:pPr>
      <w:r>
        <w:rPr>
          <w:rFonts w:hint="eastAsia" w:ascii="宋体" w:hAnsi="宋体"/>
          <w:szCs w:val="21"/>
        </w:rPr>
        <w:t>5.我方理解贵方将不受必须接受你们所收到的最低标价或其它任何投标文件的约束。</w:t>
      </w:r>
    </w:p>
    <w:p w14:paraId="11D130F8">
      <w:pPr>
        <w:spacing w:afterLines="50"/>
        <w:ind w:firstLine="411" w:firstLineChars="196"/>
        <w:rPr>
          <w:rFonts w:ascii="宋体" w:hAnsi="宋体"/>
          <w:szCs w:val="21"/>
        </w:rPr>
      </w:pPr>
      <w:r>
        <w:rPr>
          <w:rFonts w:hint="eastAsia" w:ascii="宋体" w:hAnsi="宋体"/>
          <w:szCs w:val="21"/>
        </w:rPr>
        <w:t>6.</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5065DEDC">
      <w:pPr>
        <w:ind w:left="540" w:leftChars="257"/>
        <w:rPr>
          <w:szCs w:val="21"/>
          <w:u w:val="single"/>
        </w:rPr>
      </w:pPr>
      <w:r>
        <w:rPr>
          <w:rFonts w:hint="eastAsia"/>
          <w:szCs w:val="21"/>
        </w:rPr>
        <w:t>投标人：    单位地址：</w:t>
      </w:r>
    </w:p>
    <w:p w14:paraId="50E0DE35">
      <w:pPr>
        <w:ind w:left="540" w:leftChars="257"/>
        <w:rPr>
          <w:szCs w:val="21"/>
          <w:u w:val="single"/>
        </w:rPr>
      </w:pPr>
      <w:r>
        <w:rPr>
          <w:rFonts w:hint="eastAsia"/>
          <w:szCs w:val="21"/>
        </w:rPr>
        <w:t>法定代表人或其委托代理人：</w:t>
      </w:r>
    </w:p>
    <w:p w14:paraId="10D13AF3">
      <w:pPr>
        <w:ind w:left="540" w:leftChars="257"/>
        <w:rPr>
          <w:szCs w:val="21"/>
          <w:u w:val="single"/>
        </w:rPr>
      </w:pPr>
      <w:r>
        <w:rPr>
          <w:rFonts w:hint="eastAsia"/>
          <w:szCs w:val="21"/>
        </w:rPr>
        <w:t>邮政编码：  电话：  传真：</w:t>
      </w:r>
    </w:p>
    <w:p w14:paraId="16D4337F">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开户银行帐号：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31B201AB">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114290B4">
      <w:pPr>
        <w:ind w:firstLine="539" w:firstLineChars="257"/>
        <w:rPr>
          <w:sz w:val="24"/>
        </w:rPr>
      </w:pPr>
      <w:r>
        <w:rPr>
          <w:rFonts w:hint="eastAsia" w:ascii="宋体" w:hAnsi="宋体"/>
          <w:szCs w:val="21"/>
        </w:rPr>
        <w:t>日期：年月日</w:t>
      </w:r>
    </w:p>
    <w:p w14:paraId="3DAB9A37">
      <w:pPr>
        <w:ind w:firstLine="616" w:firstLineChars="257"/>
        <w:rPr>
          <w:sz w:val="24"/>
        </w:rPr>
      </w:pPr>
    </w:p>
    <w:p w14:paraId="2458F858">
      <w:pPr>
        <w:rPr>
          <w:rFonts w:ascii="宋体" w:hAnsi="宋体"/>
          <w:szCs w:val="21"/>
        </w:rPr>
      </w:pPr>
      <w:r>
        <w:rPr>
          <w:rFonts w:hint="eastAsia"/>
          <w:szCs w:val="21"/>
          <w:u w:val="single"/>
        </w:rPr>
        <w:t>（备注：如联合体投标，投标人一栏仅需填写牵头人的名称）</w:t>
      </w:r>
    </w:p>
    <w:p w14:paraId="4FBE5983">
      <w:pPr>
        <w:ind w:firstLine="616" w:firstLineChars="257"/>
        <w:rPr>
          <w:sz w:val="24"/>
        </w:rPr>
      </w:pPr>
    </w:p>
    <w:p w14:paraId="119AD1F3">
      <w:pPr>
        <w:pStyle w:val="3"/>
        <w:jc w:val="center"/>
        <w:rPr>
          <w:rFonts w:ascii="黑体" w:eastAsia="黑体"/>
          <w:b w:val="0"/>
          <w:sz w:val="24"/>
        </w:rPr>
      </w:pPr>
      <w:r>
        <w:rPr>
          <w:rFonts w:hint="eastAsia" w:ascii="黑体" w:eastAsia="黑体"/>
          <w:b w:val="0"/>
          <w:sz w:val="24"/>
        </w:rPr>
        <w:t>二、资格响应文件</w:t>
      </w:r>
    </w:p>
    <w:p w14:paraId="32A67BCA">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ascii="Times New Roman" w:hAnsi="宋体"/>
          <w:szCs w:val="21"/>
        </w:rPr>
        <w:t>等证明材料</w:t>
      </w:r>
      <w:r>
        <w:rPr>
          <w:rFonts w:hint="eastAsia" w:ascii="宋体" w:hAnsi="宋体"/>
          <w:bCs/>
          <w:snapToGrid w:val="0"/>
          <w:kern w:val="0"/>
          <w:szCs w:val="21"/>
        </w:rPr>
        <w:t>（扫描件）</w:t>
      </w:r>
    </w:p>
    <w:p w14:paraId="66701176">
      <w:pPr>
        <w:adjustRightInd w:val="0"/>
        <w:snapToGrid w:val="0"/>
        <w:spacing w:line="360" w:lineRule="auto"/>
        <w:ind w:firstLine="424" w:firstLineChars="202"/>
        <w:rPr>
          <w:rFonts w:ascii="宋体" w:hAnsi="宋体"/>
          <w:szCs w:val="24"/>
        </w:rPr>
      </w:pPr>
      <w:r>
        <w:rPr>
          <w:rFonts w:hint="eastAsia" w:ascii="宋体" w:hAnsi="宋体"/>
          <w:bCs/>
          <w:snapToGrid w:val="0"/>
          <w:kern w:val="0"/>
          <w:szCs w:val="21"/>
        </w:rPr>
        <w:t>2、</w:t>
      </w:r>
      <w:r>
        <w:rPr>
          <w:rFonts w:hint="eastAsia" w:ascii="Times New Roman" w:hAnsi="Times New Roman"/>
          <w:szCs w:val="21"/>
        </w:rPr>
        <w:t>政府采购投标及履约承诺函</w:t>
      </w:r>
    </w:p>
    <w:p w14:paraId="762D801F">
      <w:pPr>
        <w:adjustRightInd w:val="0"/>
        <w:snapToGrid w:val="0"/>
        <w:spacing w:line="360" w:lineRule="auto"/>
        <w:ind w:firstLine="424" w:firstLineChars="202"/>
        <w:rPr>
          <w:rFonts w:ascii="宋体" w:hAnsi="宋体"/>
          <w:szCs w:val="24"/>
        </w:rPr>
      </w:pPr>
      <w:r>
        <w:rPr>
          <w:rFonts w:hint="eastAsia" w:ascii="宋体" w:hAnsi="宋体"/>
          <w:szCs w:val="24"/>
        </w:rPr>
        <w:t>3、其它资格证明材料（如有，按招标公告“申请人的资格要求”提供）</w:t>
      </w:r>
    </w:p>
    <w:p w14:paraId="48CDCA99">
      <w:pPr>
        <w:rPr>
          <w:szCs w:val="21"/>
          <w:u w:val="single"/>
        </w:rPr>
      </w:pPr>
    </w:p>
    <w:p w14:paraId="19C83000">
      <w:pPr>
        <w:rPr>
          <w:rFonts w:ascii="宋体" w:hAnsi="宋体"/>
          <w:szCs w:val="21"/>
        </w:rPr>
      </w:pPr>
      <w:r>
        <w:rPr>
          <w:rFonts w:hint="eastAsia"/>
          <w:szCs w:val="21"/>
          <w:u w:val="single"/>
        </w:rPr>
        <w:t>（备注：如联合体投标，联合体各方均应按要求提供资格响应文件）</w:t>
      </w:r>
    </w:p>
    <w:p w14:paraId="7CE9E06A">
      <w:pPr>
        <w:pStyle w:val="3"/>
        <w:jc w:val="center"/>
        <w:rPr>
          <w:rFonts w:ascii="黑体" w:eastAsia="黑体"/>
          <w:b w:val="0"/>
          <w:sz w:val="24"/>
        </w:rPr>
      </w:pPr>
    </w:p>
    <w:p w14:paraId="30C9F617">
      <w:pPr>
        <w:pStyle w:val="3"/>
        <w:jc w:val="center"/>
        <w:rPr>
          <w:rFonts w:ascii="黑体" w:eastAsia="黑体"/>
          <w:b w:val="0"/>
          <w:sz w:val="24"/>
        </w:rPr>
      </w:pPr>
      <w:r>
        <w:rPr>
          <w:rFonts w:hint="eastAsia" w:ascii="黑体" w:eastAsia="黑体"/>
          <w:b w:val="0"/>
          <w:sz w:val="24"/>
        </w:rPr>
        <w:t>政府采购投标及履约承诺函</w:t>
      </w:r>
    </w:p>
    <w:p w14:paraId="09FE39FE">
      <w:pPr>
        <w:rPr>
          <w:rFonts w:ascii="宋体" w:hAnsi="宋体"/>
          <w:szCs w:val="21"/>
        </w:rPr>
      </w:pPr>
      <w:r>
        <w:rPr>
          <w:rFonts w:hint="eastAsia" w:ascii="宋体" w:hAnsi="宋体"/>
          <w:szCs w:val="21"/>
        </w:rPr>
        <w:t>深圳市中正招标有限公司：</w:t>
      </w:r>
    </w:p>
    <w:p w14:paraId="56953661">
      <w:pPr>
        <w:ind w:right="-815" w:firstLine="420" w:firstLineChars="200"/>
        <w:rPr>
          <w:rFonts w:ascii="宋体" w:hAnsi="宋体"/>
          <w:szCs w:val="21"/>
        </w:rPr>
      </w:pPr>
      <w:r>
        <w:rPr>
          <w:rFonts w:hint="eastAsia" w:ascii="宋体" w:hAnsi="宋体"/>
          <w:szCs w:val="21"/>
        </w:rPr>
        <w:t>我单位承诺：</w:t>
      </w:r>
    </w:p>
    <w:p w14:paraId="2E9F8B66">
      <w:pPr>
        <w:ind w:firstLine="424" w:firstLineChars="202"/>
        <w:rPr>
          <w:rFonts w:ascii="宋体" w:hAnsi="宋体"/>
          <w:szCs w:val="21"/>
        </w:rPr>
      </w:pPr>
      <w:r>
        <w:rPr>
          <w:rFonts w:hint="eastAsia" w:ascii="宋体" w:hAnsi="宋体"/>
          <w:szCs w:val="21"/>
        </w:rPr>
        <w:t>1.我单位满足《中华人民共和国政府采购法》第二十二条规定的下列条件：</w:t>
      </w:r>
    </w:p>
    <w:p w14:paraId="787F32F4">
      <w:pPr>
        <w:ind w:firstLine="424" w:firstLineChars="202"/>
        <w:rPr>
          <w:rFonts w:ascii="宋体" w:hAnsi="宋体"/>
          <w:szCs w:val="21"/>
        </w:rPr>
      </w:pPr>
      <w:r>
        <w:rPr>
          <w:rFonts w:hint="eastAsia" w:ascii="宋体" w:hAnsi="宋体"/>
          <w:szCs w:val="21"/>
        </w:rPr>
        <w:t>（一）具有独立承担民事责任的能力；</w:t>
      </w:r>
    </w:p>
    <w:p w14:paraId="52E9AF95">
      <w:pPr>
        <w:ind w:firstLine="424" w:firstLineChars="202"/>
        <w:rPr>
          <w:rFonts w:ascii="宋体" w:hAnsi="宋体"/>
          <w:szCs w:val="21"/>
        </w:rPr>
      </w:pPr>
      <w:r>
        <w:rPr>
          <w:rFonts w:hint="eastAsia" w:ascii="宋体" w:hAnsi="宋体"/>
          <w:szCs w:val="21"/>
        </w:rPr>
        <w:t>（二）具有良好的商业信誉和健全的财务会计制度；</w:t>
      </w:r>
    </w:p>
    <w:p w14:paraId="620FC674">
      <w:pPr>
        <w:ind w:firstLine="424" w:firstLineChars="202"/>
        <w:rPr>
          <w:rFonts w:ascii="宋体" w:hAnsi="宋体"/>
          <w:szCs w:val="21"/>
        </w:rPr>
      </w:pPr>
      <w:r>
        <w:rPr>
          <w:rFonts w:hint="eastAsia" w:ascii="宋体" w:hAnsi="宋体"/>
          <w:szCs w:val="21"/>
        </w:rPr>
        <w:t>（三）具有履行合同所必需的设备和专业技术能力；</w:t>
      </w:r>
    </w:p>
    <w:p w14:paraId="7BD68E60">
      <w:pPr>
        <w:ind w:firstLine="424" w:firstLineChars="202"/>
        <w:rPr>
          <w:rFonts w:ascii="宋体" w:hAnsi="宋体"/>
          <w:szCs w:val="21"/>
        </w:rPr>
      </w:pPr>
      <w:r>
        <w:rPr>
          <w:rFonts w:hint="eastAsia" w:ascii="宋体" w:hAnsi="宋体"/>
          <w:szCs w:val="21"/>
        </w:rPr>
        <w:t>（四）有依法缴纳税收和社会保障资金的良好记录；</w:t>
      </w:r>
    </w:p>
    <w:p w14:paraId="205078F8">
      <w:pPr>
        <w:ind w:firstLine="424" w:firstLineChars="202"/>
        <w:rPr>
          <w:rFonts w:ascii="宋体" w:hAnsi="宋体"/>
          <w:szCs w:val="21"/>
        </w:rPr>
      </w:pPr>
      <w:r>
        <w:rPr>
          <w:rFonts w:hint="eastAsia" w:ascii="宋体" w:hAnsi="宋体"/>
          <w:szCs w:val="21"/>
        </w:rPr>
        <w:t>（五）参加政府采购活动前三年内，在经营活动中没有重大违法记录；</w:t>
      </w:r>
    </w:p>
    <w:p w14:paraId="58AC6AF7">
      <w:pPr>
        <w:ind w:firstLine="424" w:firstLineChars="202"/>
        <w:rPr>
          <w:rFonts w:ascii="宋体" w:hAnsi="宋体"/>
          <w:szCs w:val="21"/>
        </w:rPr>
      </w:pPr>
      <w:r>
        <w:rPr>
          <w:rFonts w:hint="eastAsia" w:ascii="宋体" w:hAnsi="宋体"/>
          <w:szCs w:val="21"/>
        </w:rPr>
        <w:t>（六）法律、行政法规规定的其他条件。</w:t>
      </w:r>
    </w:p>
    <w:p w14:paraId="7365FFB2">
      <w:pPr>
        <w:ind w:firstLine="424" w:firstLineChars="202"/>
        <w:rPr>
          <w:rFonts w:ascii="宋体" w:hAnsi="宋体"/>
          <w:szCs w:val="21"/>
        </w:rPr>
      </w:pPr>
      <w:r>
        <w:rPr>
          <w:rFonts w:hint="eastAsia" w:ascii="宋体" w:hAnsi="宋体"/>
          <w:szCs w:val="21"/>
        </w:rPr>
        <w:t>2.我单位参与本项目采购活动前三年内，在经营活动中没有重大违法记录，包括因违法经营受到刑事处罚或者责令停产停业、吊销许可证或者执照、较大数额罚款等行政处罚。</w:t>
      </w:r>
    </w:p>
    <w:p w14:paraId="224E8E22">
      <w:pPr>
        <w:ind w:firstLine="424" w:firstLineChars="202"/>
        <w:rPr>
          <w:rFonts w:ascii="宋体" w:hAnsi="宋体"/>
          <w:szCs w:val="21"/>
        </w:rPr>
      </w:pPr>
      <w:r>
        <w:rPr>
          <w:rFonts w:hint="eastAsia" w:ascii="宋体" w:hAnsi="宋体"/>
          <w:szCs w:val="21"/>
        </w:rPr>
        <w:t>3.我单位参与本项目政府采购活动时不存在被有关部门禁止参与政府采购活动且在有效期内的情况；与其他投标供应商不存在“单位负责人为同一人或者存在直接控股、管理关系”的情况；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ascii="宋体" w:hAnsi="宋体"/>
          <w:szCs w:val="21"/>
        </w:rPr>
        <w:t>。</w:t>
      </w:r>
    </w:p>
    <w:p w14:paraId="51D9831D">
      <w:pPr>
        <w:ind w:firstLine="424" w:firstLineChars="202"/>
        <w:rPr>
          <w:rFonts w:ascii="宋体" w:hAnsi="宋体"/>
          <w:szCs w:val="21"/>
        </w:rPr>
      </w:pPr>
      <w:r>
        <w:rPr>
          <w:rFonts w:hint="eastAsia" w:ascii="宋体" w:hAnsi="宋体"/>
          <w:szCs w:val="21"/>
        </w:rPr>
        <w:t>4.我单位承诺非联合体投标，不非法转包或分包，为本项目所提供的货物或服务未侵犯知识产权。</w:t>
      </w:r>
    </w:p>
    <w:p w14:paraId="6BDE040F">
      <w:pPr>
        <w:ind w:firstLine="424" w:firstLineChars="202"/>
        <w:rPr>
          <w:rFonts w:ascii="宋体" w:hAnsi="宋体"/>
          <w:szCs w:val="21"/>
        </w:rPr>
      </w:pPr>
      <w:r>
        <w:rPr>
          <w:rFonts w:hint="eastAsia" w:ascii="宋体" w:hAnsi="宋体"/>
          <w:szCs w:val="21"/>
        </w:rPr>
        <w:t>5.我单位承诺不存在《深圳市财政局政府采购供应商信用信息管理办法》（深财规〔2023〕3号）列明的严重违法失信行为。</w:t>
      </w:r>
    </w:p>
    <w:p w14:paraId="3A0D202C">
      <w:pPr>
        <w:ind w:firstLine="424" w:firstLineChars="202"/>
        <w:rPr>
          <w:rFonts w:ascii="宋体" w:hAnsi="宋体"/>
          <w:szCs w:val="21"/>
        </w:rPr>
      </w:pPr>
      <w:r>
        <w:rPr>
          <w:rFonts w:hint="eastAsia" w:ascii="宋体" w:hAnsi="宋体"/>
          <w:szCs w:val="21"/>
        </w:rPr>
        <w:t>6.我单位参与该项目投标，严格遵循公平竞争的原则，不妨碍其他投标人的竞争行为，不损害采购人或者其他投标人的合法权益，与其他采购参加人不存在</w:t>
      </w:r>
      <w:r>
        <w:rPr>
          <w:rFonts w:hint="eastAsia" w:ascii="宋体" w:hAnsi="宋体"/>
          <w:szCs w:val="21"/>
          <w:lang w:eastAsia="zh-CN"/>
        </w:rPr>
        <w:t>包括但不限于以下</w:t>
      </w:r>
      <w:r>
        <w:rPr>
          <w:rFonts w:hint="eastAsia" w:ascii="宋体" w:hAnsi="宋体"/>
          <w:szCs w:val="21"/>
        </w:rPr>
        <w:t>串通投标情形：</w:t>
      </w:r>
    </w:p>
    <w:p w14:paraId="134B8DA3">
      <w:pPr>
        <w:ind w:firstLine="424" w:firstLineChars="202"/>
        <w:rPr>
          <w:rFonts w:ascii="宋体" w:hAnsi="宋体"/>
          <w:szCs w:val="21"/>
        </w:rPr>
      </w:pPr>
      <w:r>
        <w:rPr>
          <w:rFonts w:hint="eastAsia" w:ascii="宋体" w:hAnsi="宋体"/>
          <w:szCs w:val="21"/>
        </w:rPr>
        <w:t>（1）投标供应商之间相互约定给予未中标的供应商利益补偿；</w:t>
      </w:r>
    </w:p>
    <w:p w14:paraId="61D34463">
      <w:pPr>
        <w:ind w:firstLine="424" w:firstLineChars="202"/>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17390C6C">
      <w:pPr>
        <w:ind w:firstLine="424" w:firstLineChars="202"/>
        <w:rPr>
          <w:rFonts w:ascii="宋体" w:hAnsi="宋体"/>
          <w:szCs w:val="21"/>
        </w:rPr>
      </w:pPr>
      <w:r>
        <w:rPr>
          <w:rFonts w:hint="eastAsia" w:ascii="宋体" w:hAnsi="宋体"/>
          <w:szCs w:val="21"/>
        </w:rPr>
        <w:t>（3）不同投标供应商的投标文件由同一单位或者同一人编制，或者由同一人分阶段参与编制的；</w:t>
      </w:r>
    </w:p>
    <w:p w14:paraId="5EC0F493">
      <w:pPr>
        <w:ind w:firstLine="424" w:firstLineChars="202"/>
        <w:rPr>
          <w:rFonts w:ascii="宋体" w:hAnsi="宋体"/>
          <w:szCs w:val="21"/>
        </w:rPr>
      </w:pPr>
      <w:r>
        <w:rPr>
          <w:rFonts w:hint="eastAsia" w:ascii="宋体" w:hAnsi="宋体"/>
          <w:szCs w:val="21"/>
        </w:rPr>
        <w:t>（4）不同投标供应商的投标文件或部分投标文件相互混装；</w:t>
      </w:r>
    </w:p>
    <w:p w14:paraId="6F38757E">
      <w:pPr>
        <w:ind w:firstLine="424" w:firstLineChars="202"/>
        <w:rPr>
          <w:rFonts w:ascii="宋体" w:hAnsi="宋体"/>
          <w:szCs w:val="21"/>
        </w:rPr>
      </w:pPr>
      <w:r>
        <w:rPr>
          <w:rFonts w:hint="eastAsia" w:ascii="宋体" w:hAnsi="宋体"/>
          <w:szCs w:val="21"/>
        </w:rPr>
        <w:t>（5）不同投标供应商的投标文件内容存在非正常一致；</w:t>
      </w:r>
    </w:p>
    <w:p w14:paraId="02613CFF">
      <w:pPr>
        <w:ind w:firstLine="424" w:firstLineChars="202"/>
        <w:rPr>
          <w:rFonts w:ascii="宋体" w:hAnsi="宋体"/>
          <w:szCs w:val="21"/>
        </w:rPr>
      </w:pPr>
      <w:r>
        <w:rPr>
          <w:rFonts w:hint="eastAsia" w:ascii="宋体" w:hAnsi="宋体"/>
          <w:szCs w:val="21"/>
        </w:rPr>
        <w:t>（6）由同一单位工作人员为两家以上（含两家）供应商进行同一项投标活动的；</w:t>
      </w:r>
    </w:p>
    <w:p w14:paraId="0C243253">
      <w:pPr>
        <w:ind w:firstLine="424" w:firstLineChars="202"/>
        <w:rPr>
          <w:rFonts w:ascii="宋体" w:hAnsi="宋体"/>
          <w:szCs w:val="21"/>
        </w:rPr>
      </w:pPr>
      <w:r>
        <w:rPr>
          <w:rFonts w:hint="eastAsia" w:ascii="宋体" w:hAnsi="宋体"/>
          <w:szCs w:val="21"/>
        </w:rPr>
        <w:t>（7）主管部门依照法律、法规认定的其他情形。</w:t>
      </w:r>
    </w:p>
    <w:p w14:paraId="59EE4B0B">
      <w:pPr>
        <w:ind w:firstLine="424" w:firstLineChars="202"/>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3A0AFB1E">
      <w:pPr>
        <w:ind w:firstLine="424" w:firstLineChars="202"/>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02641410">
      <w:pPr>
        <w:ind w:firstLine="424" w:firstLineChars="202"/>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E2E735E">
      <w:pPr>
        <w:ind w:firstLine="424" w:firstLineChars="202"/>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4AD26579">
      <w:pPr>
        <w:ind w:firstLine="424" w:firstLineChars="202"/>
        <w:rPr>
          <w:rFonts w:ascii="宋体" w:hAnsi="宋体"/>
          <w:szCs w:val="21"/>
        </w:rPr>
      </w:pPr>
      <w:r>
        <w:rPr>
          <w:rFonts w:hint="eastAsia" w:ascii="宋体" w:hAnsi="宋体"/>
          <w:szCs w:val="21"/>
        </w:rPr>
        <w:t>以上承诺，如有违反，愿依照相关法律法规处理，并承担由此给采购人带来的损失。</w:t>
      </w:r>
    </w:p>
    <w:p w14:paraId="30E0651A">
      <w:pPr>
        <w:ind w:firstLine="424" w:firstLineChars="202"/>
        <w:rPr>
          <w:rFonts w:ascii="宋体" w:hAnsi="宋体"/>
          <w:szCs w:val="21"/>
        </w:rPr>
      </w:pPr>
    </w:p>
    <w:p w14:paraId="02C1CF25">
      <w:pPr>
        <w:jc w:val="center"/>
      </w:pPr>
      <w:r>
        <w:rPr>
          <w:rFonts w:hint="eastAsia"/>
          <w:szCs w:val="21"/>
        </w:rPr>
        <w:t xml:space="preserve">                             投标人：</w:t>
      </w:r>
    </w:p>
    <w:p w14:paraId="262EDC80">
      <w:pPr>
        <w:rPr>
          <w:rFonts w:ascii="宋体" w:hAnsi="宋体"/>
          <w:szCs w:val="21"/>
        </w:rPr>
      </w:pPr>
      <w:r>
        <w:rPr>
          <w:rFonts w:hint="eastAsia" w:ascii="宋体" w:hAnsi="宋体"/>
          <w:szCs w:val="21"/>
        </w:rPr>
        <w:t xml:space="preserve">                                                      日期：年月日</w:t>
      </w:r>
    </w:p>
    <w:p w14:paraId="631B1550">
      <w:pPr>
        <w:ind w:firstLine="424" w:firstLineChars="202"/>
        <w:rPr>
          <w:rFonts w:ascii="宋体" w:hAnsi="宋体"/>
          <w:szCs w:val="21"/>
        </w:rPr>
      </w:pPr>
    </w:p>
    <w:p w14:paraId="2641FFBF"/>
    <w:p w14:paraId="3835AFFC">
      <w:pPr>
        <w:rPr>
          <w:rFonts w:ascii="宋体" w:hAnsi="宋体"/>
          <w:szCs w:val="21"/>
        </w:rPr>
      </w:pPr>
      <w:r>
        <w:rPr>
          <w:rFonts w:hint="eastAsia"/>
          <w:szCs w:val="21"/>
          <w:u w:val="single"/>
        </w:rPr>
        <w:t>（备注：如联合体投标，投标人一栏需填写联合体各方的名称）</w:t>
      </w:r>
    </w:p>
    <w:p w14:paraId="2090902B"/>
    <w:p w14:paraId="75971779">
      <w:pPr>
        <w:ind w:firstLine="420" w:firstLineChars="200"/>
        <w:rPr>
          <w:rFonts w:cs="Courier New"/>
          <w:snapToGrid w:val="0"/>
          <w:szCs w:val="18"/>
        </w:rPr>
      </w:pPr>
    </w:p>
    <w:p w14:paraId="050F576D">
      <w:pPr>
        <w:pStyle w:val="3"/>
        <w:jc w:val="center"/>
        <w:rPr>
          <w:rFonts w:ascii="黑体" w:eastAsia="黑体"/>
          <w:b w:val="0"/>
          <w:sz w:val="24"/>
        </w:rPr>
      </w:pPr>
      <w:r>
        <w:rPr>
          <w:rFonts w:hint="default" w:ascii="黑体" w:eastAsia="黑体"/>
          <w:b w:val="0"/>
          <w:sz w:val="24"/>
          <w:lang w:val="en-US"/>
        </w:rPr>
        <w:t>三</w:t>
      </w:r>
      <w:r>
        <w:rPr>
          <w:rFonts w:hint="eastAsia" w:ascii="黑体" w:eastAsia="黑体"/>
          <w:b w:val="0"/>
          <w:sz w:val="24"/>
        </w:rPr>
        <w:t>、投标人情况介绍</w:t>
      </w:r>
    </w:p>
    <w:tbl>
      <w:tblPr>
        <w:tblStyle w:val="42"/>
        <w:tblW w:w="91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59"/>
        <w:gridCol w:w="4432"/>
        <w:gridCol w:w="1411"/>
      </w:tblGrid>
      <w:tr w14:paraId="10C5C3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3889BAEA">
            <w:pPr>
              <w:spacing w:after="60"/>
              <w:jc w:val="center"/>
              <w:rPr>
                <w:rFonts w:ascii="宋体" w:hAnsi="宋体"/>
                <w:b/>
                <w:szCs w:val="21"/>
              </w:rPr>
            </w:pPr>
            <w:r>
              <w:rPr>
                <w:rFonts w:hint="eastAsia" w:ascii="宋体" w:hAnsi="宋体"/>
                <w:b/>
                <w:szCs w:val="21"/>
              </w:rPr>
              <w:t>序号</w:t>
            </w:r>
          </w:p>
        </w:tc>
        <w:tc>
          <w:tcPr>
            <w:tcW w:w="2559" w:type="dxa"/>
          </w:tcPr>
          <w:p w14:paraId="42E19B53">
            <w:pPr>
              <w:spacing w:after="60"/>
              <w:jc w:val="center"/>
              <w:rPr>
                <w:rFonts w:ascii="宋体" w:hAnsi="宋体"/>
                <w:b/>
                <w:szCs w:val="21"/>
              </w:rPr>
            </w:pPr>
            <w:r>
              <w:rPr>
                <w:rFonts w:hint="eastAsia" w:ascii="宋体" w:hAnsi="宋体"/>
                <w:b/>
                <w:szCs w:val="21"/>
              </w:rPr>
              <w:t>项目</w:t>
            </w:r>
          </w:p>
        </w:tc>
        <w:tc>
          <w:tcPr>
            <w:tcW w:w="4432" w:type="dxa"/>
            <w:vAlign w:val="center"/>
          </w:tcPr>
          <w:p w14:paraId="12307418">
            <w:pPr>
              <w:spacing w:after="60"/>
              <w:jc w:val="center"/>
              <w:rPr>
                <w:rFonts w:ascii="宋体" w:hAnsi="宋体"/>
                <w:b/>
                <w:szCs w:val="21"/>
              </w:rPr>
            </w:pPr>
            <w:r>
              <w:rPr>
                <w:rFonts w:hint="eastAsia" w:ascii="宋体" w:hAnsi="宋体"/>
                <w:b/>
                <w:szCs w:val="21"/>
              </w:rPr>
              <w:t>内容及说明</w:t>
            </w:r>
          </w:p>
        </w:tc>
        <w:tc>
          <w:tcPr>
            <w:tcW w:w="1411" w:type="dxa"/>
            <w:vAlign w:val="center"/>
          </w:tcPr>
          <w:p w14:paraId="0741CF45">
            <w:pPr>
              <w:spacing w:after="60"/>
              <w:jc w:val="center"/>
              <w:rPr>
                <w:rFonts w:ascii="宋体" w:hAnsi="宋体"/>
                <w:b/>
                <w:szCs w:val="21"/>
              </w:rPr>
            </w:pPr>
            <w:r>
              <w:rPr>
                <w:rFonts w:hint="eastAsia" w:ascii="宋体" w:hAnsi="宋体"/>
                <w:b/>
                <w:szCs w:val="21"/>
              </w:rPr>
              <w:t>备注</w:t>
            </w:r>
          </w:p>
        </w:tc>
      </w:tr>
      <w:tr w14:paraId="6CF19C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0AB20211">
            <w:pPr>
              <w:spacing w:after="60"/>
              <w:jc w:val="center"/>
              <w:rPr>
                <w:rFonts w:ascii="宋体" w:hAnsi="宋体"/>
                <w:b/>
                <w:szCs w:val="21"/>
              </w:rPr>
            </w:pPr>
            <w:r>
              <w:rPr>
                <w:rFonts w:hint="eastAsia" w:ascii="宋体" w:hAnsi="宋体"/>
                <w:b/>
                <w:szCs w:val="21"/>
              </w:rPr>
              <w:t>一</w:t>
            </w:r>
          </w:p>
        </w:tc>
        <w:tc>
          <w:tcPr>
            <w:tcW w:w="6991" w:type="dxa"/>
            <w:gridSpan w:val="2"/>
          </w:tcPr>
          <w:p w14:paraId="2FF4491A">
            <w:pPr>
              <w:spacing w:after="60"/>
              <w:rPr>
                <w:rFonts w:ascii="宋体" w:hAnsi="宋体"/>
                <w:b/>
                <w:szCs w:val="21"/>
              </w:rPr>
            </w:pPr>
            <w:r>
              <w:rPr>
                <w:rFonts w:hint="eastAsia" w:ascii="宋体" w:hAnsi="宋体"/>
                <w:b/>
                <w:szCs w:val="21"/>
              </w:rPr>
              <w:t>营业执照</w:t>
            </w:r>
          </w:p>
        </w:tc>
        <w:tc>
          <w:tcPr>
            <w:tcW w:w="1411" w:type="dxa"/>
            <w:vAlign w:val="center"/>
          </w:tcPr>
          <w:p w14:paraId="624F2F9E">
            <w:pPr>
              <w:spacing w:after="60"/>
              <w:jc w:val="center"/>
              <w:rPr>
                <w:rFonts w:ascii="宋体" w:hAnsi="宋体"/>
                <w:szCs w:val="21"/>
              </w:rPr>
            </w:pPr>
          </w:p>
        </w:tc>
      </w:tr>
      <w:tr w14:paraId="3E87AB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6B93C399">
            <w:pPr>
              <w:spacing w:after="60"/>
              <w:jc w:val="center"/>
              <w:rPr>
                <w:rFonts w:ascii="宋体" w:hAnsi="宋体"/>
                <w:szCs w:val="21"/>
              </w:rPr>
            </w:pPr>
            <w:r>
              <w:rPr>
                <w:rFonts w:ascii="宋体" w:hAnsi="宋体"/>
                <w:szCs w:val="21"/>
              </w:rPr>
              <w:t>1</w:t>
            </w:r>
          </w:p>
        </w:tc>
        <w:tc>
          <w:tcPr>
            <w:tcW w:w="2559" w:type="dxa"/>
            <w:vAlign w:val="center"/>
          </w:tcPr>
          <w:p w14:paraId="30396B78">
            <w:pPr>
              <w:spacing w:after="60"/>
              <w:jc w:val="center"/>
              <w:rPr>
                <w:rFonts w:ascii="宋体" w:hAnsi="宋体"/>
                <w:szCs w:val="21"/>
              </w:rPr>
            </w:pPr>
            <w:r>
              <w:rPr>
                <w:rFonts w:hint="eastAsia" w:ascii="宋体" w:hAnsi="宋体"/>
                <w:szCs w:val="21"/>
              </w:rPr>
              <w:t>注册年度及注册编号</w:t>
            </w:r>
          </w:p>
        </w:tc>
        <w:tc>
          <w:tcPr>
            <w:tcW w:w="4432" w:type="dxa"/>
            <w:vAlign w:val="center"/>
          </w:tcPr>
          <w:p w14:paraId="000B80C2">
            <w:pPr>
              <w:spacing w:after="60"/>
              <w:rPr>
                <w:rFonts w:ascii="宋体" w:hAnsi="宋体"/>
                <w:szCs w:val="21"/>
              </w:rPr>
            </w:pPr>
          </w:p>
        </w:tc>
        <w:tc>
          <w:tcPr>
            <w:tcW w:w="1411" w:type="dxa"/>
            <w:vAlign w:val="center"/>
          </w:tcPr>
          <w:p w14:paraId="109FE38B">
            <w:pPr>
              <w:spacing w:after="60"/>
              <w:jc w:val="center"/>
              <w:rPr>
                <w:rFonts w:ascii="宋体" w:hAnsi="宋体"/>
                <w:szCs w:val="21"/>
              </w:rPr>
            </w:pPr>
          </w:p>
        </w:tc>
      </w:tr>
      <w:tr w14:paraId="1A134C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330944BE">
            <w:pPr>
              <w:spacing w:after="60"/>
              <w:jc w:val="center"/>
              <w:rPr>
                <w:rFonts w:ascii="宋体" w:hAnsi="宋体"/>
                <w:szCs w:val="21"/>
              </w:rPr>
            </w:pPr>
            <w:r>
              <w:rPr>
                <w:rFonts w:ascii="宋体" w:hAnsi="宋体"/>
                <w:szCs w:val="21"/>
              </w:rPr>
              <w:t>2</w:t>
            </w:r>
          </w:p>
        </w:tc>
        <w:tc>
          <w:tcPr>
            <w:tcW w:w="2559" w:type="dxa"/>
            <w:vAlign w:val="center"/>
          </w:tcPr>
          <w:p w14:paraId="3EBAE7AA">
            <w:pPr>
              <w:spacing w:after="60"/>
              <w:jc w:val="center"/>
              <w:rPr>
                <w:rFonts w:ascii="宋体" w:hAnsi="宋体"/>
                <w:szCs w:val="21"/>
              </w:rPr>
            </w:pPr>
            <w:r>
              <w:rPr>
                <w:rFonts w:hint="eastAsia" w:ascii="宋体" w:hAnsi="宋体"/>
                <w:szCs w:val="21"/>
              </w:rPr>
              <w:t>注册资金（万元）</w:t>
            </w:r>
          </w:p>
        </w:tc>
        <w:tc>
          <w:tcPr>
            <w:tcW w:w="4432" w:type="dxa"/>
            <w:vAlign w:val="center"/>
          </w:tcPr>
          <w:p w14:paraId="79398DF1">
            <w:pPr>
              <w:spacing w:after="60"/>
              <w:rPr>
                <w:rFonts w:ascii="宋体" w:hAnsi="宋体"/>
                <w:szCs w:val="21"/>
              </w:rPr>
            </w:pPr>
          </w:p>
        </w:tc>
        <w:tc>
          <w:tcPr>
            <w:tcW w:w="1411" w:type="dxa"/>
            <w:vAlign w:val="center"/>
          </w:tcPr>
          <w:p w14:paraId="22BBEE0C">
            <w:pPr>
              <w:spacing w:after="60"/>
              <w:jc w:val="center"/>
              <w:rPr>
                <w:rFonts w:ascii="宋体" w:hAnsi="宋体"/>
                <w:szCs w:val="21"/>
              </w:rPr>
            </w:pPr>
          </w:p>
        </w:tc>
      </w:tr>
      <w:tr w14:paraId="4F6A17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06EF6847">
            <w:pPr>
              <w:spacing w:after="60"/>
              <w:jc w:val="center"/>
              <w:rPr>
                <w:rFonts w:ascii="宋体" w:hAnsi="宋体"/>
                <w:szCs w:val="21"/>
              </w:rPr>
            </w:pPr>
            <w:r>
              <w:rPr>
                <w:rFonts w:hint="eastAsia" w:ascii="宋体" w:hAnsi="宋体"/>
                <w:szCs w:val="21"/>
              </w:rPr>
              <w:t>3</w:t>
            </w:r>
          </w:p>
        </w:tc>
        <w:tc>
          <w:tcPr>
            <w:tcW w:w="2559" w:type="dxa"/>
            <w:vAlign w:val="center"/>
          </w:tcPr>
          <w:p w14:paraId="1371988E">
            <w:pPr>
              <w:spacing w:after="60"/>
              <w:jc w:val="center"/>
              <w:rPr>
                <w:rFonts w:ascii="宋体" w:hAnsi="宋体"/>
                <w:szCs w:val="21"/>
              </w:rPr>
            </w:pPr>
            <w:r>
              <w:rPr>
                <w:rFonts w:hint="eastAsia" w:ascii="宋体" w:hAnsi="宋体"/>
                <w:szCs w:val="21"/>
              </w:rPr>
              <w:t>法定代表人</w:t>
            </w:r>
          </w:p>
        </w:tc>
        <w:tc>
          <w:tcPr>
            <w:tcW w:w="4432" w:type="dxa"/>
            <w:vAlign w:val="center"/>
          </w:tcPr>
          <w:p w14:paraId="18192929">
            <w:pPr>
              <w:spacing w:after="60"/>
              <w:rPr>
                <w:rFonts w:ascii="宋体" w:hAnsi="宋体"/>
                <w:szCs w:val="21"/>
              </w:rPr>
            </w:pPr>
          </w:p>
        </w:tc>
        <w:tc>
          <w:tcPr>
            <w:tcW w:w="1411" w:type="dxa"/>
            <w:vAlign w:val="center"/>
          </w:tcPr>
          <w:p w14:paraId="7AD60DA1">
            <w:pPr>
              <w:spacing w:after="60"/>
              <w:jc w:val="center"/>
              <w:rPr>
                <w:rFonts w:ascii="宋体" w:hAnsi="宋体"/>
                <w:szCs w:val="21"/>
              </w:rPr>
            </w:pPr>
          </w:p>
        </w:tc>
      </w:tr>
      <w:tr w14:paraId="61C1F4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25D80FF8">
            <w:pPr>
              <w:spacing w:after="60"/>
              <w:jc w:val="center"/>
              <w:rPr>
                <w:rFonts w:ascii="宋体" w:hAnsi="宋体"/>
                <w:szCs w:val="21"/>
              </w:rPr>
            </w:pPr>
            <w:r>
              <w:rPr>
                <w:rFonts w:hint="eastAsia" w:ascii="宋体" w:hAnsi="宋体"/>
                <w:szCs w:val="21"/>
              </w:rPr>
              <w:t>4</w:t>
            </w:r>
          </w:p>
        </w:tc>
        <w:tc>
          <w:tcPr>
            <w:tcW w:w="2559" w:type="dxa"/>
            <w:vAlign w:val="center"/>
          </w:tcPr>
          <w:p w14:paraId="3E9DFB53">
            <w:pPr>
              <w:spacing w:after="60"/>
              <w:jc w:val="center"/>
              <w:rPr>
                <w:rFonts w:ascii="宋体" w:hAnsi="宋体"/>
                <w:szCs w:val="21"/>
              </w:rPr>
            </w:pPr>
            <w:r>
              <w:rPr>
                <w:rFonts w:hint="eastAsia" w:ascii="宋体" w:hAnsi="宋体"/>
                <w:szCs w:val="21"/>
              </w:rPr>
              <w:t>住所地</w:t>
            </w:r>
          </w:p>
        </w:tc>
        <w:tc>
          <w:tcPr>
            <w:tcW w:w="4432" w:type="dxa"/>
            <w:vAlign w:val="center"/>
          </w:tcPr>
          <w:p w14:paraId="19B0E773">
            <w:pPr>
              <w:spacing w:after="60"/>
              <w:rPr>
                <w:rFonts w:ascii="宋体" w:hAnsi="宋体"/>
                <w:szCs w:val="21"/>
              </w:rPr>
            </w:pPr>
          </w:p>
        </w:tc>
        <w:tc>
          <w:tcPr>
            <w:tcW w:w="1411" w:type="dxa"/>
            <w:vAlign w:val="center"/>
          </w:tcPr>
          <w:p w14:paraId="3FD80822">
            <w:pPr>
              <w:spacing w:after="60"/>
              <w:jc w:val="center"/>
              <w:rPr>
                <w:rFonts w:ascii="宋体" w:hAnsi="宋体"/>
                <w:szCs w:val="21"/>
              </w:rPr>
            </w:pPr>
          </w:p>
        </w:tc>
      </w:tr>
      <w:tr w14:paraId="245FE2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08E2C247">
            <w:pPr>
              <w:spacing w:after="60"/>
              <w:jc w:val="center"/>
              <w:rPr>
                <w:rFonts w:ascii="宋体" w:hAnsi="宋体"/>
                <w:szCs w:val="21"/>
              </w:rPr>
            </w:pPr>
            <w:r>
              <w:rPr>
                <w:rFonts w:hint="eastAsia" w:ascii="宋体" w:hAnsi="宋体"/>
                <w:szCs w:val="21"/>
              </w:rPr>
              <w:t>5</w:t>
            </w:r>
          </w:p>
        </w:tc>
        <w:tc>
          <w:tcPr>
            <w:tcW w:w="2559" w:type="dxa"/>
            <w:vAlign w:val="center"/>
          </w:tcPr>
          <w:p w14:paraId="71608099">
            <w:pPr>
              <w:spacing w:after="60"/>
              <w:jc w:val="center"/>
              <w:rPr>
                <w:rFonts w:ascii="宋体" w:hAnsi="宋体"/>
                <w:szCs w:val="21"/>
              </w:rPr>
            </w:pPr>
            <w:r>
              <w:rPr>
                <w:rFonts w:hint="eastAsia" w:ascii="宋体" w:hAnsi="宋体"/>
                <w:szCs w:val="21"/>
              </w:rPr>
              <w:t>经营范围</w:t>
            </w:r>
          </w:p>
        </w:tc>
        <w:tc>
          <w:tcPr>
            <w:tcW w:w="4432" w:type="dxa"/>
            <w:vAlign w:val="center"/>
          </w:tcPr>
          <w:p w14:paraId="7B3F6802">
            <w:pPr>
              <w:spacing w:after="60"/>
              <w:rPr>
                <w:rFonts w:ascii="宋体" w:hAnsi="宋体"/>
                <w:szCs w:val="21"/>
              </w:rPr>
            </w:pPr>
          </w:p>
        </w:tc>
        <w:tc>
          <w:tcPr>
            <w:tcW w:w="1411" w:type="dxa"/>
            <w:vAlign w:val="center"/>
          </w:tcPr>
          <w:p w14:paraId="7D11D99C">
            <w:pPr>
              <w:spacing w:after="60"/>
              <w:jc w:val="center"/>
              <w:rPr>
                <w:rFonts w:ascii="宋体" w:hAnsi="宋体"/>
                <w:szCs w:val="21"/>
              </w:rPr>
            </w:pPr>
          </w:p>
        </w:tc>
      </w:tr>
      <w:tr w14:paraId="5AF526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33CE5927">
            <w:pPr>
              <w:spacing w:after="60"/>
              <w:jc w:val="center"/>
              <w:rPr>
                <w:rFonts w:ascii="宋体" w:hAnsi="宋体"/>
                <w:szCs w:val="21"/>
              </w:rPr>
            </w:pPr>
            <w:r>
              <w:rPr>
                <w:rFonts w:hint="eastAsia" w:ascii="宋体" w:hAnsi="宋体"/>
                <w:szCs w:val="21"/>
              </w:rPr>
              <w:t>6</w:t>
            </w:r>
          </w:p>
        </w:tc>
        <w:tc>
          <w:tcPr>
            <w:tcW w:w="2559" w:type="dxa"/>
            <w:vAlign w:val="center"/>
          </w:tcPr>
          <w:p w14:paraId="4B764805">
            <w:pPr>
              <w:spacing w:after="60"/>
              <w:jc w:val="center"/>
              <w:rPr>
                <w:rFonts w:ascii="宋体" w:hAnsi="宋体"/>
                <w:szCs w:val="21"/>
              </w:rPr>
            </w:pPr>
            <w:r>
              <w:rPr>
                <w:rFonts w:hint="eastAsia" w:ascii="宋体" w:hAnsi="宋体"/>
                <w:szCs w:val="21"/>
              </w:rPr>
              <w:t>开户银行及账号</w:t>
            </w:r>
          </w:p>
        </w:tc>
        <w:tc>
          <w:tcPr>
            <w:tcW w:w="4432" w:type="dxa"/>
            <w:vAlign w:val="center"/>
          </w:tcPr>
          <w:p w14:paraId="31073817">
            <w:pPr>
              <w:spacing w:after="60"/>
              <w:rPr>
                <w:rFonts w:ascii="宋体" w:hAnsi="宋体"/>
                <w:szCs w:val="21"/>
              </w:rPr>
            </w:pPr>
          </w:p>
        </w:tc>
        <w:tc>
          <w:tcPr>
            <w:tcW w:w="1411" w:type="dxa"/>
            <w:vAlign w:val="center"/>
          </w:tcPr>
          <w:p w14:paraId="4F2A1BD3">
            <w:pPr>
              <w:spacing w:after="60"/>
              <w:jc w:val="center"/>
              <w:rPr>
                <w:rFonts w:ascii="宋体" w:hAnsi="宋体"/>
                <w:szCs w:val="21"/>
              </w:rPr>
            </w:pPr>
          </w:p>
        </w:tc>
      </w:tr>
      <w:tr w14:paraId="2511EC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1049B1C3">
            <w:pPr>
              <w:spacing w:after="60"/>
              <w:jc w:val="center"/>
              <w:rPr>
                <w:rFonts w:ascii="宋体" w:hAnsi="宋体"/>
                <w:szCs w:val="21"/>
              </w:rPr>
            </w:pPr>
            <w:r>
              <w:rPr>
                <w:rFonts w:hint="eastAsia" w:ascii="宋体" w:hAnsi="宋体"/>
                <w:szCs w:val="21"/>
              </w:rPr>
              <w:t>7</w:t>
            </w:r>
          </w:p>
        </w:tc>
        <w:tc>
          <w:tcPr>
            <w:tcW w:w="2559" w:type="dxa"/>
            <w:vAlign w:val="center"/>
          </w:tcPr>
          <w:p w14:paraId="75542F91">
            <w:pPr>
              <w:spacing w:after="60"/>
              <w:jc w:val="center"/>
              <w:rPr>
                <w:rFonts w:ascii="宋体" w:hAnsi="宋体"/>
                <w:szCs w:val="21"/>
              </w:rPr>
            </w:pPr>
            <w:r>
              <w:rPr>
                <w:rFonts w:hint="eastAsia" w:ascii="宋体" w:hAnsi="宋体"/>
                <w:szCs w:val="21"/>
              </w:rPr>
              <w:t>联系方式</w:t>
            </w:r>
          </w:p>
        </w:tc>
        <w:tc>
          <w:tcPr>
            <w:tcW w:w="4432" w:type="dxa"/>
            <w:vAlign w:val="center"/>
          </w:tcPr>
          <w:p w14:paraId="15B37FE9">
            <w:pPr>
              <w:spacing w:after="60"/>
              <w:rPr>
                <w:rFonts w:ascii="宋体" w:hAnsi="宋体"/>
                <w:szCs w:val="21"/>
              </w:rPr>
            </w:pPr>
          </w:p>
        </w:tc>
        <w:tc>
          <w:tcPr>
            <w:tcW w:w="1411" w:type="dxa"/>
            <w:vAlign w:val="center"/>
          </w:tcPr>
          <w:p w14:paraId="25F6FB19">
            <w:pPr>
              <w:spacing w:after="60"/>
              <w:jc w:val="center"/>
              <w:rPr>
                <w:rFonts w:ascii="宋体" w:hAnsi="宋体"/>
                <w:szCs w:val="21"/>
              </w:rPr>
            </w:pPr>
          </w:p>
        </w:tc>
      </w:tr>
      <w:tr w14:paraId="04F841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0C3E8A99">
            <w:pPr>
              <w:spacing w:after="60"/>
              <w:jc w:val="center"/>
              <w:rPr>
                <w:rFonts w:ascii="宋体" w:hAnsi="宋体"/>
                <w:b/>
                <w:szCs w:val="21"/>
              </w:rPr>
            </w:pPr>
            <w:r>
              <w:rPr>
                <w:rFonts w:hint="eastAsia" w:ascii="宋体" w:hAnsi="宋体"/>
                <w:b/>
                <w:szCs w:val="21"/>
              </w:rPr>
              <w:t>二</w:t>
            </w:r>
          </w:p>
        </w:tc>
        <w:tc>
          <w:tcPr>
            <w:tcW w:w="2559" w:type="dxa"/>
            <w:vAlign w:val="center"/>
          </w:tcPr>
          <w:p w14:paraId="5CAC51A6">
            <w:pPr>
              <w:spacing w:after="60"/>
              <w:jc w:val="left"/>
              <w:rPr>
                <w:rFonts w:ascii="宋体" w:hAnsi="宋体"/>
                <w:b/>
                <w:szCs w:val="21"/>
              </w:rPr>
            </w:pPr>
            <w:r>
              <w:rPr>
                <w:rFonts w:hint="eastAsia" w:ascii="宋体" w:hAnsi="宋体"/>
                <w:b/>
                <w:szCs w:val="21"/>
              </w:rPr>
              <w:t>其他材料</w:t>
            </w:r>
          </w:p>
        </w:tc>
        <w:tc>
          <w:tcPr>
            <w:tcW w:w="4432" w:type="dxa"/>
            <w:vAlign w:val="center"/>
          </w:tcPr>
          <w:p w14:paraId="473366D9">
            <w:pPr>
              <w:spacing w:after="60"/>
              <w:rPr>
                <w:rFonts w:ascii="宋体" w:hAnsi="宋体"/>
                <w:szCs w:val="21"/>
              </w:rPr>
            </w:pPr>
          </w:p>
        </w:tc>
        <w:tc>
          <w:tcPr>
            <w:tcW w:w="1411" w:type="dxa"/>
            <w:vAlign w:val="center"/>
          </w:tcPr>
          <w:p w14:paraId="7F0C8357">
            <w:pPr>
              <w:spacing w:after="60"/>
              <w:jc w:val="center"/>
              <w:rPr>
                <w:rFonts w:ascii="宋体" w:hAnsi="宋体"/>
                <w:szCs w:val="21"/>
              </w:rPr>
            </w:pPr>
          </w:p>
        </w:tc>
      </w:tr>
    </w:tbl>
    <w:p w14:paraId="6DE56B3F">
      <w:pPr>
        <w:spacing w:line="360" w:lineRule="exact"/>
        <w:rPr>
          <w:bCs/>
          <w:szCs w:val="21"/>
        </w:rPr>
      </w:pPr>
      <w:r>
        <w:rPr>
          <w:rFonts w:hint="eastAsia"/>
          <w:bCs/>
          <w:szCs w:val="21"/>
        </w:rPr>
        <w:t>注：供应商应填写上述表格内容，并可根据自身情况自行对表格内容进行补充和完善。</w:t>
      </w:r>
    </w:p>
    <w:p w14:paraId="54DCC7A0">
      <w:pPr>
        <w:ind w:left="632" w:hanging="632" w:hangingChars="300"/>
        <w:rPr>
          <w:b/>
          <w:bCs/>
        </w:rPr>
      </w:pPr>
    </w:p>
    <w:p w14:paraId="25E3C8FB">
      <w:pPr>
        <w:rPr>
          <w:rFonts w:ascii="宋体" w:hAnsi="宋体"/>
          <w:szCs w:val="21"/>
        </w:rPr>
      </w:pPr>
      <w:r>
        <w:rPr>
          <w:rFonts w:hint="eastAsia"/>
          <w:szCs w:val="21"/>
          <w:u w:val="single"/>
        </w:rPr>
        <w:t>（备注：如联合体投标，联合体各方均需提供情况介绍）</w:t>
      </w:r>
    </w:p>
    <w:p w14:paraId="5D2EE762">
      <w:pPr>
        <w:ind w:left="632" w:hanging="632" w:hangingChars="300"/>
        <w:rPr>
          <w:b/>
          <w:bCs/>
        </w:rPr>
      </w:pPr>
    </w:p>
    <w:p w14:paraId="2119CC90">
      <w:pPr>
        <w:ind w:left="632" w:hanging="632" w:hangingChars="300"/>
        <w:rPr>
          <w:b/>
          <w:bCs/>
        </w:rPr>
      </w:pPr>
    </w:p>
    <w:p w14:paraId="4F5B8425">
      <w:pPr>
        <w:jc w:val="center"/>
        <w:outlineLvl w:val="3"/>
        <w:rPr>
          <w:rFonts w:ascii="黑体" w:hAnsi="宋体" w:eastAsia="黑体"/>
          <w:bCs/>
          <w:kern w:val="0"/>
          <w:sz w:val="24"/>
          <w:szCs w:val="32"/>
        </w:rPr>
      </w:pPr>
      <w:r>
        <w:rPr>
          <w:rFonts w:hint="default" w:ascii="黑体" w:hAnsi="宋体" w:eastAsia="黑体"/>
          <w:bCs/>
          <w:kern w:val="0"/>
          <w:sz w:val="24"/>
          <w:szCs w:val="32"/>
          <w:lang w:val="en-US"/>
        </w:rPr>
        <w:t>四</w:t>
      </w:r>
      <w:r>
        <w:rPr>
          <w:rFonts w:hint="eastAsia" w:ascii="黑体" w:hAnsi="宋体" w:eastAsia="黑体"/>
          <w:bCs/>
          <w:kern w:val="0"/>
          <w:sz w:val="24"/>
          <w:szCs w:val="32"/>
        </w:rPr>
        <w:t>、中小企业声明函等符合政府采购扶持政策的证明材料</w:t>
      </w:r>
    </w:p>
    <w:p w14:paraId="6C3BCE78">
      <w:pPr>
        <w:jc w:val="left"/>
        <w:outlineLvl w:val="3"/>
        <w:rPr>
          <w:rFonts w:ascii="黑体" w:hAnsi="宋体" w:eastAsia="黑体"/>
          <w:bCs/>
          <w:kern w:val="0"/>
          <w:sz w:val="24"/>
          <w:szCs w:val="32"/>
        </w:rPr>
      </w:pPr>
    </w:p>
    <w:p w14:paraId="5639F3E7">
      <w:pPr>
        <w:widowControl/>
        <w:snapToGrid w:val="0"/>
        <w:spacing w:line="360" w:lineRule="auto"/>
        <w:jc w:val="left"/>
        <w:outlineLvl w:val="4"/>
        <w:rPr>
          <w:rFonts w:ascii="仿宋" w:hAnsi="仿宋" w:eastAsia="仿宋"/>
          <w:b/>
          <w:bCs/>
          <w:kern w:val="0"/>
          <w:sz w:val="25"/>
          <w:szCs w:val="25"/>
        </w:rPr>
      </w:pPr>
      <w:r>
        <w:rPr>
          <w:rFonts w:hint="eastAsia" w:ascii="仿宋" w:hAnsi="仿宋" w:eastAsia="仿宋"/>
          <w:b/>
          <w:bCs/>
          <w:kern w:val="0"/>
          <w:sz w:val="25"/>
          <w:szCs w:val="25"/>
        </w:rPr>
        <w:t>填写指引：</w:t>
      </w:r>
    </w:p>
    <w:p w14:paraId="453977ED">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0472520E">
      <w:pPr>
        <w:widowControl/>
        <w:snapToGrid w:val="0"/>
        <w:spacing w:line="360" w:lineRule="auto"/>
        <w:ind w:firstLine="426"/>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759EB684">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634E92F1">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10" w:name="_Hlk71925120"/>
      <w:r>
        <w:rPr>
          <w:rFonts w:hint="eastAsia" w:asciiTheme="minorEastAsia" w:hAnsiTheme="minorEastAsia" w:eastAsiaTheme="minorEastAsia"/>
          <w:kern w:val="0"/>
          <w:szCs w:val="21"/>
        </w:rPr>
        <w:t>《关于印发中小企业划型标准规定的通知》（工信部联企业〔2011〕300 号</w:t>
      </w:r>
      <w:bookmarkEnd w:id="10"/>
      <w:r>
        <w:rPr>
          <w:rFonts w:hint="eastAsia" w:asciiTheme="minorEastAsia" w:hAnsiTheme="minorEastAsia" w:eastAsiaTheme="minorEastAsia"/>
          <w:kern w:val="0"/>
          <w:szCs w:val="21"/>
        </w:rPr>
        <w:t>）</w:t>
      </w:r>
    </w:p>
    <w:p w14:paraId="43B9A927">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(3)国家统计局关于印发《统计上大中小微型企业划分办法 （2017）》的通知（国统字〔2017〕213 号）</w:t>
      </w:r>
    </w:p>
    <w:p w14:paraId="0D6E6DA8">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(4)财政部 民政部 中国残疾人联合会关于促进残疾人就业 政府采购政策的通知（财库〔2017〕141号）</w:t>
      </w:r>
    </w:p>
    <w:p w14:paraId="6AA120EA">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(5)财政部 司法部关于政府采购支持监狱企业发展有关问题的通知（财库〔2014〕68号）</w:t>
      </w:r>
    </w:p>
    <w:p w14:paraId="5527B0D8">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3、请依照招标文件提供的格式和内容填写声明函，不要随意变更格式；声明函不需要盖章或签字；满足多项优惠政策的投标人，不重复享受多项价格扣除政策。</w:t>
      </w:r>
    </w:p>
    <w:p w14:paraId="5F1F4612">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4EA665D0">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55F115E3">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701B391B">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（3）在“标的名称”下划线处填写</w:t>
      </w:r>
      <w:r>
        <w:rPr>
          <w:rFonts w:hint="eastAsia" w:asciiTheme="minorEastAsia" w:hAnsiTheme="minorEastAsia" w:eastAsiaTheme="minorEastAsia"/>
          <w:b/>
          <w:color w:val="FF0000"/>
          <w:kern w:val="0"/>
          <w:szCs w:val="21"/>
        </w:rPr>
        <w:t>采购标的（货物或服务或工程）的具体名称</w:t>
      </w:r>
      <w:r>
        <w:rPr>
          <w:rFonts w:hint="eastAsia" w:asciiTheme="minorEastAsia" w:hAnsiTheme="minorEastAsia" w:eastAsiaTheme="minorEastAsia"/>
          <w:b/>
          <w:bCs/>
          <w:color w:val="FF0000"/>
          <w:kern w:val="0"/>
          <w:szCs w:val="21"/>
        </w:rPr>
        <w:t>（具体详见第二章招标项目需求，如涉及多项标的，投标人需逐项进行响应）</w:t>
      </w:r>
      <w:r>
        <w:rPr>
          <w:rFonts w:hint="eastAsia" w:asciiTheme="minorEastAsia" w:hAnsiTheme="minorEastAsia" w:eastAsiaTheme="minorEastAsia"/>
          <w:kern w:val="0"/>
          <w:szCs w:val="21"/>
        </w:rPr>
        <w:t>；</w:t>
      </w:r>
    </w:p>
    <w:p w14:paraId="04489D74">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w:t>
      </w:r>
      <w:r>
        <w:rPr>
          <w:rFonts w:hint="eastAsia" w:asciiTheme="minorEastAsia" w:hAnsiTheme="minorEastAsia" w:eastAsiaTheme="minorEastAsia"/>
          <w:b/>
          <w:color w:val="FF0000"/>
          <w:kern w:val="0"/>
          <w:szCs w:val="21"/>
        </w:rPr>
        <w:t>采购文件规定的本项目所属行业</w:t>
      </w:r>
      <w:r>
        <w:rPr>
          <w:rFonts w:hint="eastAsia" w:asciiTheme="minorEastAsia" w:hAnsiTheme="minorEastAsia" w:eastAsiaTheme="minorEastAsia"/>
          <w:b/>
          <w:bCs/>
          <w:color w:val="FF0000"/>
          <w:kern w:val="0"/>
          <w:szCs w:val="21"/>
        </w:rPr>
        <w:t>（详见其它关键信息）</w:t>
      </w:r>
      <w:r>
        <w:rPr>
          <w:rFonts w:hint="eastAsia" w:asciiTheme="minorEastAsia" w:hAnsiTheme="minorEastAsia" w:eastAsiaTheme="minorEastAsia"/>
          <w:kern w:val="0"/>
          <w:szCs w:val="21"/>
        </w:rPr>
        <w:t>；</w:t>
      </w:r>
    </w:p>
    <w:p w14:paraId="6F32333B">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w:t>
      </w:r>
      <w:r>
        <w:rPr>
          <w:rFonts w:hint="eastAsia" w:asciiTheme="minorEastAsia" w:hAnsiTheme="minorEastAsia" w:eastAsiaTheme="minorEastAsia"/>
          <w:kern w:val="0"/>
          <w:szCs w:val="21"/>
          <w:lang w:eastAsia="zh-CN"/>
        </w:rPr>
        <w:t>数据</w:t>
      </w:r>
      <w:r>
        <w:rPr>
          <w:rFonts w:hint="eastAsia" w:asciiTheme="minorEastAsia" w:hAnsiTheme="minorEastAsia" w:eastAsiaTheme="minorEastAsia"/>
          <w:kern w:val="0"/>
          <w:szCs w:val="21"/>
        </w:rPr>
        <w:t>，从业人员、资产总额指标以上年度末数据为依据</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营业收入指标以上年度累计数据为依据。无上年度数据的新成立企业可不填报。</w:t>
      </w:r>
      <w:r>
        <w:rPr>
          <w:rFonts w:hint="eastAsia" w:asciiTheme="minorEastAsia" w:hAnsiTheme="minorEastAsia" w:eastAsiaTheme="minorEastAsia"/>
          <w:kern w:val="0"/>
          <w:szCs w:val="21"/>
          <w:lang w:eastAsia="zh-CN"/>
        </w:rPr>
        <w:t>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r>
        <w:rPr>
          <w:rFonts w:hint="eastAsia" w:asciiTheme="minorEastAsia" w:hAnsiTheme="minorEastAsia" w:eastAsiaTheme="minorEastAsia"/>
          <w:kern w:val="0"/>
          <w:szCs w:val="21"/>
        </w:rPr>
        <w:t>；</w:t>
      </w:r>
    </w:p>
    <w:p w14:paraId="4D6C63D6">
      <w:pPr>
        <w:widowControl/>
        <w:snapToGrid w:val="0"/>
        <w:spacing w:line="360" w:lineRule="auto"/>
        <w:ind w:left="0" w:leftChars="0" w:firstLine="420" w:firstLineChars="200"/>
        <w:jc w:val="left"/>
        <w:rPr>
          <w:rFonts w:hint="eastAsia"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（6）在“中型企业、小型企业、微型企业”下划线处如实填写相应的企业类型</w:t>
      </w:r>
      <w:r>
        <w:rPr>
          <w:rFonts w:hint="eastAsia" w:ascii="宋体" w:hAnsi="宋体" w:eastAsiaTheme="minorEastAsia" w:cstheme="minorBidi"/>
          <w:kern w:val="0"/>
          <w:szCs w:val="21"/>
        </w:rPr>
        <w:t>；</w:t>
      </w:r>
    </w:p>
    <w:p w14:paraId="1E5ABB19">
      <w:pPr>
        <w:widowControl/>
        <w:snapToGrid w:val="0"/>
        <w:spacing w:line="360" w:lineRule="auto"/>
        <w:ind w:left="0" w:leftChars="0" w:firstLine="422" w:firstLineChars="200"/>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w:t>
      </w:r>
      <w:r>
        <w:rPr>
          <w:rFonts w:hint="eastAsia" w:asciiTheme="minorEastAsia" w:hAnsiTheme="minorEastAsia" w:eastAsiaTheme="minorEastAsia"/>
          <w:b/>
          <w:color w:val="FF0000"/>
          <w:kern w:val="0"/>
          <w:szCs w:val="21"/>
          <w:lang w:eastAsia="zh-CN"/>
        </w:rPr>
        <w:t>响应</w:t>
      </w:r>
      <w:r>
        <w:rPr>
          <w:rFonts w:hint="eastAsia" w:asciiTheme="minorEastAsia" w:hAnsiTheme="minorEastAsia" w:eastAsiaTheme="minorEastAsia"/>
          <w:b/>
          <w:color w:val="FF0000"/>
          <w:kern w:val="0"/>
          <w:szCs w:val="21"/>
        </w:rPr>
        <w:t>或以分包形式</w:t>
      </w:r>
      <w:r>
        <w:rPr>
          <w:rFonts w:hint="eastAsia" w:asciiTheme="minorEastAsia" w:hAnsiTheme="minorEastAsia" w:eastAsiaTheme="minorEastAsia"/>
          <w:b/>
          <w:color w:val="FF0000"/>
          <w:kern w:val="0"/>
          <w:szCs w:val="21"/>
          <w:lang w:eastAsia="zh-CN"/>
        </w:rPr>
        <w:t>响应</w:t>
      </w:r>
      <w:r>
        <w:rPr>
          <w:rFonts w:hint="eastAsia" w:asciiTheme="minorEastAsia" w:hAnsiTheme="minorEastAsia" w:eastAsiaTheme="minorEastAsia"/>
          <w:b/>
          <w:color w:val="FF0000"/>
          <w:kern w:val="0"/>
          <w:szCs w:val="21"/>
        </w:rPr>
        <w:t>的，需分别填写每家中小企业的企业名称、从业人员、营业收入、资产总额、企业类别（中型企业、小型企业、微型企业）等信息；</w:t>
      </w:r>
    </w:p>
    <w:p w14:paraId="77922680">
      <w:pPr>
        <w:widowControl/>
        <w:snapToGrid w:val="0"/>
        <w:spacing w:line="360" w:lineRule="auto"/>
        <w:ind w:left="0" w:leftChars="0" w:firstLine="422" w:firstLineChars="200"/>
        <w:jc w:val="left"/>
        <w:rPr>
          <w:rFonts w:hint="eastAsia" w:asciiTheme="minorHAnsi" w:hAnsiTheme="minorHAnsi" w:eastAsiaTheme="minorEastAsia" w:cstheme="minorBidi"/>
          <w:szCs w:val="22"/>
          <w:lang w:eastAsia="zh-CN"/>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w:t>
      </w:r>
      <w:r>
        <w:rPr>
          <w:rFonts w:hint="eastAsia" w:asciiTheme="minorHAnsi" w:hAnsiTheme="minorHAnsi" w:eastAsiaTheme="minorEastAsia" w:cstheme="minorBidi"/>
          <w:b/>
          <w:color w:val="FF0000"/>
          <w:szCs w:val="22"/>
          <w:lang w:eastAsia="zh-CN"/>
        </w:rPr>
        <w:t>采购</w:t>
      </w:r>
      <w:r>
        <w:rPr>
          <w:rFonts w:hint="eastAsia" w:asciiTheme="minorHAnsi" w:hAnsiTheme="minorHAnsi" w:eastAsiaTheme="minorEastAsia" w:cstheme="minorBidi"/>
          <w:b/>
          <w:color w:val="FF0000"/>
          <w:szCs w:val="22"/>
        </w:rPr>
        <w:t>文件要求的行业相一致</w:t>
      </w:r>
      <w:r>
        <w:rPr>
          <w:rFonts w:hint="eastAsia" w:asciiTheme="minorHAnsi" w:hAnsiTheme="minorHAnsi" w:eastAsiaTheme="minorEastAsia" w:cstheme="minorBidi"/>
          <w:color w:val="FF0000"/>
          <w:szCs w:val="22"/>
          <w:lang w:eastAsia="zh-CN"/>
        </w:rPr>
        <w:t>。</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r>
        <w:rPr>
          <w:rFonts w:hint="eastAsia" w:asciiTheme="minorHAnsi" w:hAnsiTheme="minorHAnsi" w:eastAsiaTheme="minorEastAsia" w:cstheme="minorBidi"/>
          <w:szCs w:val="22"/>
          <w:lang w:eastAsia="zh-CN"/>
        </w:rPr>
        <w:t>；</w:t>
      </w:r>
    </w:p>
    <w:p w14:paraId="46C490C6">
      <w:pPr>
        <w:widowControl/>
        <w:snapToGrid w:val="0"/>
        <w:spacing w:line="360" w:lineRule="auto"/>
        <w:ind w:left="0" w:leftChars="0" w:firstLine="422" w:firstLineChars="200"/>
        <w:jc w:val="left"/>
        <w:rPr>
          <w:rFonts w:hint="eastAsia" w:ascii="宋体" w:hAnsi="宋体" w:eastAsiaTheme="minorEastAsia" w:cstheme="minorBidi"/>
          <w:kern w:val="0"/>
          <w:szCs w:val="21"/>
          <w:lang w:eastAsia="zh-CN"/>
        </w:rPr>
      </w:pPr>
      <w:r>
        <w:rPr>
          <w:rFonts w:hint="eastAsia" w:ascii="宋体" w:hAnsi="宋体" w:eastAsiaTheme="minorEastAsia" w:cstheme="minorBidi"/>
          <w:b/>
          <w:bCs/>
          <w:color w:val="FF0000"/>
          <w:kern w:val="0"/>
          <w:szCs w:val="21"/>
          <w:lang w:eastAsia="zh-CN"/>
        </w:rPr>
        <w:t>（</w:t>
      </w:r>
      <w:r>
        <w:rPr>
          <w:rFonts w:hint="eastAsia" w:ascii="宋体" w:hAnsi="宋体" w:eastAsiaTheme="minorEastAsia" w:cstheme="minorBidi"/>
          <w:b/>
          <w:bCs/>
          <w:color w:val="FF0000"/>
          <w:kern w:val="0"/>
          <w:szCs w:val="21"/>
          <w:lang w:val="en-US" w:eastAsia="zh-CN"/>
        </w:rPr>
        <w:t>9</w:t>
      </w:r>
      <w:r>
        <w:rPr>
          <w:rFonts w:hint="eastAsia" w:ascii="宋体" w:hAnsi="宋体" w:eastAsiaTheme="minorEastAsia" w:cstheme="minorBidi"/>
          <w:b/>
          <w:bCs/>
          <w:color w:val="FF0000"/>
          <w:kern w:val="0"/>
          <w:szCs w:val="21"/>
          <w:lang w:eastAsia="zh-CN"/>
        </w:rPr>
        <w:t>）声明函正文中“企业名称”应填写投标（响应）的货物制造商/服务承接商/工程承建商（根据项目属性确定）。</w:t>
      </w:r>
      <w:r>
        <w:rPr>
          <w:rFonts w:hint="eastAsia" w:ascii="宋体" w:hAnsi="宋体" w:eastAsiaTheme="minorEastAsia" w:cstheme="minorBidi"/>
          <w:kern w:val="0"/>
          <w:szCs w:val="21"/>
          <w:lang w:eastAsia="zh-CN"/>
        </w:rPr>
        <w:t>对于分包方式面向中小企业采购的项目，正文中“企业名称”应填写分包部分采购标的对应的货物制造商/服务承接商/工程承建商（根据项目属性确定）。对于以联合体方式面向中小企业采购的项目，正文中“企业名称”应填写联合体中中小企业承担采购标的对应的货物制造商/服务承接商/工程承建商（根据项目属性确定）</w:t>
      </w:r>
      <w:r>
        <w:rPr>
          <w:rFonts w:hint="eastAsia" w:ascii="宋体" w:hAnsi="宋体" w:eastAsiaTheme="minorEastAsia" w:cstheme="minorBidi"/>
          <w:b/>
          <w:bCs/>
          <w:color w:val="FF0000"/>
          <w:kern w:val="0"/>
          <w:szCs w:val="21"/>
          <w:lang w:eastAsia="zh-CN"/>
        </w:rPr>
        <w:t>【《中小企业声明函》由参加政府采购活动的供应商出具；“</w:t>
      </w:r>
      <w:r>
        <w:rPr>
          <w:rFonts w:hint="eastAsia" w:ascii="宋体" w:hAnsi="宋体"/>
          <w:b/>
          <w:bCs/>
          <w:color w:val="FF0000"/>
          <w:szCs w:val="21"/>
        </w:rPr>
        <w:t>企业名称</w:t>
      </w:r>
      <w:r>
        <w:rPr>
          <w:rFonts w:ascii="宋体" w:hAnsi="宋体"/>
          <w:b/>
          <w:bCs/>
          <w:color w:val="FF0000"/>
          <w:szCs w:val="21"/>
        </w:rPr>
        <w:t>(</w:t>
      </w:r>
      <w:r>
        <w:rPr>
          <w:rFonts w:hint="eastAsia" w:ascii="宋体" w:hAnsi="宋体"/>
          <w:b/>
          <w:bCs/>
          <w:color w:val="FF0000"/>
          <w:szCs w:val="21"/>
        </w:rPr>
        <w:t>公章</w:t>
      </w:r>
      <w:r>
        <w:rPr>
          <w:rFonts w:ascii="宋体" w:hAnsi="宋体"/>
          <w:b/>
          <w:bCs/>
          <w:color w:val="FF0000"/>
          <w:szCs w:val="21"/>
        </w:rPr>
        <w:t>)</w:t>
      </w:r>
      <w:r>
        <w:rPr>
          <w:rFonts w:hint="eastAsia" w:ascii="宋体" w:hAnsi="宋体" w:eastAsiaTheme="minorEastAsia" w:cstheme="minorBidi"/>
          <w:b/>
          <w:bCs/>
          <w:color w:val="FF0000"/>
          <w:kern w:val="0"/>
          <w:szCs w:val="21"/>
          <w:lang w:eastAsia="zh-CN"/>
        </w:rPr>
        <w:t>”填写投标（响应）供应商名称并加盖投标（响应）供应商公章】</w:t>
      </w:r>
      <w:r>
        <w:rPr>
          <w:rFonts w:hint="eastAsia" w:ascii="宋体" w:hAnsi="宋体" w:eastAsiaTheme="minorEastAsia" w:cstheme="minorBidi"/>
          <w:kern w:val="0"/>
          <w:szCs w:val="21"/>
          <w:lang w:eastAsia="zh-CN"/>
        </w:rPr>
        <w:t>；</w:t>
      </w:r>
    </w:p>
    <w:p w14:paraId="67915E0F">
      <w:pPr>
        <w:widowControl/>
        <w:snapToGrid w:val="0"/>
        <w:spacing w:line="360" w:lineRule="auto"/>
        <w:ind w:firstLine="424" w:firstLineChars="202"/>
        <w:jc w:val="left"/>
        <w:rPr>
          <w:lang w:val="en-US" w:eastAsia="zh-CN"/>
        </w:rPr>
      </w:pPr>
      <w:r>
        <w:rPr>
          <w:rFonts w:hint="eastAsia" w:ascii="宋体" w:hAnsi="宋体" w:eastAsiaTheme="minorEastAsia" w:cstheme="minorBidi"/>
          <w:kern w:val="0"/>
          <w:szCs w:val="21"/>
          <w:lang w:eastAsia="zh-CN"/>
        </w:rPr>
        <w:t>（</w:t>
      </w:r>
      <w:r>
        <w:rPr>
          <w:rFonts w:hint="eastAsia" w:ascii="宋体" w:hAnsi="宋体" w:eastAsiaTheme="minorEastAsia" w:cstheme="minorBidi"/>
          <w:kern w:val="0"/>
          <w:szCs w:val="21"/>
          <w:lang w:val="en-US" w:eastAsia="zh-CN"/>
        </w:rPr>
        <w:t>10</w:t>
      </w:r>
      <w:r>
        <w:rPr>
          <w:rFonts w:hint="eastAsia" w:ascii="宋体" w:hAnsi="宋体" w:eastAsiaTheme="minorEastAsia" w:cstheme="minorBidi"/>
          <w:kern w:val="0"/>
          <w:szCs w:val="21"/>
          <w:lang w:eastAsia="zh-CN"/>
        </w:rPr>
        <w:t>）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48F576C5">
      <w:pPr>
        <w:jc w:val="center"/>
        <w:outlineLvl w:val="3"/>
        <w:rPr>
          <w:rFonts w:ascii="黑体" w:hAnsi="宋体" w:eastAsia="黑体"/>
          <w:bCs/>
          <w:kern w:val="0"/>
          <w:sz w:val="24"/>
          <w:szCs w:val="32"/>
        </w:rPr>
      </w:pPr>
    </w:p>
    <w:p w14:paraId="35A3F131">
      <w:pPr>
        <w:spacing w:after="60"/>
        <w:jc w:val="center"/>
        <w:outlineLvl w:val="3"/>
        <w:rPr>
          <w:b/>
          <w:sz w:val="24"/>
        </w:rPr>
      </w:pPr>
      <w:r>
        <w:rPr>
          <w:rFonts w:hint="eastAsia"/>
          <w:b/>
          <w:sz w:val="24"/>
        </w:rPr>
        <w:t>1、中小企业声明函</w:t>
      </w:r>
    </w:p>
    <w:p w14:paraId="335556A9">
      <w:pPr>
        <w:pStyle w:val="18"/>
        <w:spacing w:line="360" w:lineRule="exact"/>
        <w:ind w:firstLine="412"/>
        <w:rPr>
          <w:rFonts w:asciiTheme="minorEastAsia" w:hAnsiTheme="minorEastAsia" w:eastAsiaTheme="minorEastAsia"/>
          <w:b w:val="0"/>
          <w:sz w:val="21"/>
          <w:szCs w:val="21"/>
        </w:rPr>
      </w:pPr>
      <w:r>
        <w:rPr>
          <w:rFonts w:asciiTheme="minorEastAsia" w:hAnsiTheme="minorEastAsia" w:eastAsiaTheme="minorEastAsia"/>
          <w:b w:val="0"/>
          <w:sz w:val="21"/>
          <w:szCs w:val="21"/>
        </w:rPr>
        <w:t>本公司（联合体）郑重声明，根据《政府采购促进中小企业发展管理办法》（财库</w:t>
      </w:r>
      <w:r>
        <w:rPr>
          <w:rFonts w:hint="eastAsia" w:asciiTheme="minorEastAsia" w:hAnsiTheme="minorEastAsia" w:eastAsiaTheme="minorEastAsia"/>
          <w:b w:val="0"/>
          <w:sz w:val="21"/>
          <w:szCs w:val="21"/>
        </w:rPr>
        <w:t>﹝</w:t>
      </w:r>
      <w:r>
        <w:rPr>
          <w:rFonts w:asciiTheme="minorEastAsia" w:hAnsiTheme="minorEastAsia" w:eastAsiaTheme="minorEastAsia"/>
          <w:b w:val="0"/>
          <w:sz w:val="21"/>
          <w:szCs w:val="21"/>
        </w:rPr>
        <w:t>2020</w:t>
      </w:r>
      <w:r>
        <w:rPr>
          <w:rFonts w:hint="eastAsia" w:asciiTheme="minorEastAsia" w:hAnsiTheme="minorEastAsia" w:eastAsiaTheme="minorEastAsia"/>
          <w:b w:val="0"/>
          <w:sz w:val="21"/>
          <w:szCs w:val="21"/>
        </w:rPr>
        <w:t>﹞</w:t>
      </w:r>
      <w:r>
        <w:rPr>
          <w:rFonts w:asciiTheme="minorEastAsia" w:hAnsiTheme="minorEastAsia" w:eastAsiaTheme="minorEastAsia"/>
          <w:b w:val="0"/>
          <w:sz w:val="21"/>
          <w:szCs w:val="21"/>
        </w:rPr>
        <w:t>46 号）的规定，本公司（联合体）参加</w:t>
      </w:r>
      <w:r>
        <w:rPr>
          <w:rFonts w:asciiTheme="minorEastAsia" w:hAnsiTheme="minorEastAsia" w:eastAsiaTheme="minorEastAsia"/>
          <w:b w:val="0"/>
          <w:sz w:val="21"/>
          <w:szCs w:val="21"/>
          <w:u w:val="single"/>
        </w:rPr>
        <w:t>（单位名称）</w:t>
      </w:r>
      <w:r>
        <w:rPr>
          <w:rFonts w:asciiTheme="minorEastAsia" w:hAnsiTheme="minorEastAsia" w:eastAsiaTheme="minorEastAsia"/>
          <w:b w:val="0"/>
          <w:sz w:val="21"/>
          <w:szCs w:val="21"/>
        </w:rPr>
        <w:t>的</w:t>
      </w:r>
      <w:r>
        <w:rPr>
          <w:rFonts w:asciiTheme="minorEastAsia" w:hAnsiTheme="minorEastAsia" w:eastAsiaTheme="minorEastAsia"/>
          <w:b w:val="0"/>
          <w:sz w:val="21"/>
          <w:szCs w:val="21"/>
          <w:u w:val="single"/>
        </w:rPr>
        <w:t>（项目名称）</w:t>
      </w:r>
      <w:r>
        <w:rPr>
          <w:rFonts w:asciiTheme="minorEastAsia" w:hAnsiTheme="minorEastAsia" w:eastAsiaTheme="minorEastAsia"/>
          <w:b w:val="0"/>
          <w:sz w:val="21"/>
          <w:szCs w:val="21"/>
        </w:rPr>
        <w:t>采购活动，</w:t>
      </w:r>
      <w:r>
        <w:rPr>
          <w:rFonts w:hint="eastAsia" w:asciiTheme="minorEastAsia" w:hAnsiTheme="minorEastAsia" w:eastAsiaTheme="minorEastAsia"/>
          <w:b w:val="0"/>
          <w:sz w:val="21"/>
          <w:szCs w:val="21"/>
        </w:rPr>
        <w:t>服务全部由符合政策要求的中小企业承接</w:t>
      </w:r>
      <w:r>
        <w:rPr>
          <w:rFonts w:asciiTheme="minorEastAsia" w:hAnsiTheme="minorEastAsia" w:eastAsiaTheme="minorEastAsia"/>
          <w:b w:val="0"/>
          <w:sz w:val="21"/>
          <w:szCs w:val="21"/>
        </w:rPr>
        <w:t>。相关企业（含联合体中的中小企业、签订分包意向协议的中小企业）的具体情况如下：</w:t>
      </w:r>
    </w:p>
    <w:p w14:paraId="336F7E7C">
      <w:pPr>
        <w:pStyle w:val="18"/>
        <w:spacing w:line="360" w:lineRule="exact"/>
        <w:ind w:firstLine="412"/>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 xml:space="preserve">1. </w:t>
      </w:r>
      <w:r>
        <w:rPr>
          <w:rFonts w:asciiTheme="minorEastAsia" w:hAnsiTheme="minorEastAsia" w:eastAsiaTheme="minorEastAsia"/>
          <w:b w:val="0"/>
          <w:sz w:val="21"/>
          <w:szCs w:val="21"/>
          <w:u w:val="single"/>
        </w:rPr>
        <w:t>（标的名称）</w:t>
      </w:r>
      <w:r>
        <w:rPr>
          <w:rFonts w:asciiTheme="minorEastAsia" w:hAnsiTheme="minorEastAsia" w:eastAsiaTheme="minorEastAsia"/>
          <w:b w:val="0"/>
          <w:sz w:val="21"/>
          <w:szCs w:val="21"/>
        </w:rPr>
        <w:t>，属于</w:t>
      </w:r>
      <w:r>
        <w:rPr>
          <w:rFonts w:asciiTheme="minorEastAsia" w:hAnsiTheme="minorEastAsia" w:eastAsiaTheme="minorEastAsia"/>
          <w:b w:val="0"/>
          <w:sz w:val="21"/>
          <w:szCs w:val="21"/>
          <w:u w:val="single"/>
        </w:rPr>
        <w:t>（采购文件中明确的所属行业）</w:t>
      </w:r>
      <w:r>
        <w:rPr>
          <w:rFonts w:asciiTheme="minorEastAsia" w:hAnsiTheme="minorEastAsia" w:eastAsiaTheme="minorEastAsia"/>
          <w:b w:val="0"/>
          <w:sz w:val="21"/>
          <w:szCs w:val="21"/>
        </w:rPr>
        <w:t>；承接企业为</w:t>
      </w:r>
      <w:r>
        <w:rPr>
          <w:rFonts w:asciiTheme="minorEastAsia" w:hAnsiTheme="minorEastAsia" w:eastAsiaTheme="minorEastAsia"/>
          <w:b w:val="0"/>
          <w:sz w:val="21"/>
          <w:szCs w:val="21"/>
          <w:u w:val="single"/>
        </w:rPr>
        <w:t>（企业名称）</w:t>
      </w:r>
      <w:r>
        <w:rPr>
          <w:rFonts w:asciiTheme="minorEastAsia" w:hAnsiTheme="minorEastAsia" w:eastAsiaTheme="minorEastAsia"/>
          <w:b w:val="0"/>
          <w:sz w:val="21"/>
          <w:szCs w:val="21"/>
        </w:rPr>
        <w:t>，从业人员</w:t>
      </w:r>
      <w:r>
        <w:rPr>
          <w:rFonts w:asciiTheme="minorEastAsia" w:hAnsiTheme="minorEastAsia" w:eastAsiaTheme="minorEastAsia"/>
          <w:b w:val="0"/>
          <w:sz w:val="21"/>
          <w:szCs w:val="21"/>
          <w:u w:val="single"/>
        </w:rPr>
        <w:tab/>
      </w:r>
      <w:r>
        <w:rPr>
          <w:rFonts w:asciiTheme="minorEastAsia" w:hAnsiTheme="minorEastAsia" w:eastAsiaTheme="minorEastAsia"/>
          <w:b w:val="0"/>
          <w:sz w:val="21"/>
          <w:szCs w:val="21"/>
        </w:rPr>
        <w:t>人，营业收入为</w:t>
      </w:r>
      <w:r>
        <w:rPr>
          <w:rFonts w:asciiTheme="minorEastAsia" w:hAnsiTheme="minorEastAsia" w:eastAsiaTheme="minorEastAsia"/>
          <w:b w:val="0"/>
          <w:sz w:val="21"/>
          <w:szCs w:val="21"/>
          <w:u w:val="single"/>
        </w:rPr>
        <w:tab/>
      </w:r>
      <w:r>
        <w:rPr>
          <w:rFonts w:asciiTheme="minorEastAsia" w:hAnsiTheme="minorEastAsia" w:eastAsiaTheme="minorEastAsia"/>
          <w:b w:val="0"/>
          <w:sz w:val="21"/>
          <w:szCs w:val="21"/>
        </w:rPr>
        <w:t>万元，资产总额为万元，属于</w:t>
      </w:r>
      <w:r>
        <w:rPr>
          <w:rFonts w:asciiTheme="minorEastAsia" w:hAnsiTheme="minorEastAsia" w:eastAsiaTheme="minorEastAsia"/>
          <w:b w:val="0"/>
          <w:sz w:val="21"/>
          <w:szCs w:val="21"/>
          <w:u w:val="single"/>
        </w:rPr>
        <w:t>（中型企业、小型企业、微型企业）</w:t>
      </w:r>
      <w:r>
        <w:rPr>
          <w:rFonts w:asciiTheme="minorEastAsia" w:hAnsiTheme="minorEastAsia" w:eastAsiaTheme="minorEastAsia"/>
          <w:b w:val="0"/>
          <w:sz w:val="21"/>
          <w:szCs w:val="21"/>
        </w:rPr>
        <w:t>；</w:t>
      </w:r>
    </w:p>
    <w:p w14:paraId="3C77C2FD">
      <w:pPr>
        <w:pStyle w:val="18"/>
        <w:spacing w:line="360" w:lineRule="exact"/>
        <w:ind w:firstLine="412"/>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 xml:space="preserve">2. </w:t>
      </w:r>
      <w:r>
        <w:rPr>
          <w:rFonts w:asciiTheme="minorEastAsia" w:hAnsiTheme="minorEastAsia" w:eastAsiaTheme="minorEastAsia"/>
          <w:b w:val="0"/>
          <w:sz w:val="21"/>
          <w:szCs w:val="21"/>
          <w:u w:val="single"/>
        </w:rPr>
        <w:t>（标的名称）</w:t>
      </w:r>
      <w:r>
        <w:rPr>
          <w:rFonts w:asciiTheme="minorEastAsia" w:hAnsiTheme="minorEastAsia" w:eastAsiaTheme="minorEastAsia"/>
          <w:b w:val="0"/>
          <w:sz w:val="21"/>
          <w:szCs w:val="21"/>
        </w:rPr>
        <w:t>，属于</w:t>
      </w:r>
      <w:r>
        <w:rPr>
          <w:rFonts w:asciiTheme="minorEastAsia" w:hAnsiTheme="minorEastAsia" w:eastAsiaTheme="minorEastAsia"/>
          <w:b w:val="0"/>
          <w:sz w:val="21"/>
          <w:szCs w:val="21"/>
          <w:u w:val="single"/>
        </w:rPr>
        <w:t>（采购文件中明确的所属行业）</w:t>
      </w:r>
      <w:r>
        <w:rPr>
          <w:rFonts w:asciiTheme="minorEastAsia" w:hAnsiTheme="minorEastAsia" w:eastAsiaTheme="minorEastAsia"/>
          <w:b w:val="0"/>
          <w:sz w:val="21"/>
          <w:szCs w:val="21"/>
        </w:rPr>
        <w:t>；承接企业为</w:t>
      </w:r>
      <w:r>
        <w:rPr>
          <w:rFonts w:asciiTheme="minorEastAsia" w:hAnsiTheme="minorEastAsia" w:eastAsiaTheme="minorEastAsia"/>
          <w:b w:val="0"/>
          <w:sz w:val="21"/>
          <w:szCs w:val="21"/>
          <w:u w:val="single"/>
        </w:rPr>
        <w:t>（企业名称）</w:t>
      </w:r>
      <w:r>
        <w:rPr>
          <w:rFonts w:asciiTheme="minorEastAsia" w:hAnsiTheme="minorEastAsia" w:eastAsiaTheme="minorEastAsia"/>
          <w:b w:val="0"/>
          <w:sz w:val="21"/>
          <w:szCs w:val="21"/>
        </w:rPr>
        <w:t>，从业人员</w:t>
      </w:r>
      <w:r>
        <w:rPr>
          <w:rFonts w:asciiTheme="minorEastAsia" w:hAnsiTheme="minorEastAsia" w:eastAsiaTheme="minorEastAsia"/>
          <w:b w:val="0"/>
          <w:sz w:val="21"/>
          <w:szCs w:val="21"/>
          <w:u w:val="single"/>
        </w:rPr>
        <w:tab/>
      </w:r>
      <w:r>
        <w:rPr>
          <w:rFonts w:asciiTheme="minorEastAsia" w:hAnsiTheme="minorEastAsia" w:eastAsiaTheme="minorEastAsia"/>
          <w:b w:val="0"/>
          <w:sz w:val="21"/>
          <w:szCs w:val="21"/>
        </w:rPr>
        <w:t>人，营业收入为</w:t>
      </w:r>
      <w:r>
        <w:rPr>
          <w:rFonts w:asciiTheme="minorEastAsia" w:hAnsiTheme="minorEastAsia" w:eastAsiaTheme="minorEastAsia"/>
          <w:b w:val="0"/>
          <w:sz w:val="21"/>
          <w:szCs w:val="21"/>
          <w:u w:val="single"/>
        </w:rPr>
        <w:tab/>
      </w:r>
      <w:r>
        <w:rPr>
          <w:rFonts w:asciiTheme="minorEastAsia" w:hAnsiTheme="minorEastAsia" w:eastAsiaTheme="minorEastAsia"/>
          <w:b w:val="0"/>
          <w:sz w:val="21"/>
          <w:szCs w:val="21"/>
        </w:rPr>
        <w:t>万元，资产总额为万元，属于</w:t>
      </w:r>
      <w:r>
        <w:rPr>
          <w:rFonts w:asciiTheme="minorEastAsia" w:hAnsiTheme="minorEastAsia" w:eastAsiaTheme="minorEastAsia"/>
          <w:b w:val="0"/>
          <w:sz w:val="21"/>
          <w:szCs w:val="21"/>
          <w:u w:val="single"/>
        </w:rPr>
        <w:t>（中型企业、小型企业、微型企业）</w:t>
      </w:r>
      <w:r>
        <w:rPr>
          <w:rFonts w:asciiTheme="minorEastAsia" w:hAnsiTheme="minorEastAsia" w:eastAsiaTheme="minorEastAsia"/>
          <w:b w:val="0"/>
          <w:sz w:val="21"/>
          <w:szCs w:val="21"/>
        </w:rPr>
        <w:t>；</w:t>
      </w:r>
    </w:p>
    <w:p w14:paraId="3895DF24">
      <w:pPr>
        <w:pStyle w:val="18"/>
        <w:spacing w:before="11" w:line="360" w:lineRule="exact"/>
        <w:ind w:firstLine="424" w:firstLineChars="202"/>
        <w:rPr>
          <w:rFonts w:asciiTheme="minorEastAsia" w:hAnsiTheme="minorEastAsia" w:eastAsiaTheme="minorEastAsia"/>
          <w:b w:val="0"/>
          <w:sz w:val="21"/>
          <w:szCs w:val="21"/>
        </w:rPr>
      </w:pPr>
      <w:r>
        <w:rPr>
          <w:rFonts w:asciiTheme="minorEastAsia" w:hAnsiTheme="minorEastAsia" w:eastAsiaTheme="minorEastAsia"/>
          <w:b w:val="0"/>
          <w:sz w:val="21"/>
          <w:szCs w:val="21"/>
        </w:rPr>
        <w:t>……</w:t>
      </w:r>
    </w:p>
    <w:p w14:paraId="076F7847">
      <w:pPr>
        <w:pStyle w:val="18"/>
        <w:spacing w:before="108" w:line="360" w:lineRule="exact"/>
        <w:ind w:firstLine="408"/>
        <w:rPr>
          <w:rFonts w:asciiTheme="minorEastAsia" w:hAnsiTheme="minorEastAsia" w:eastAsiaTheme="minorEastAsia"/>
          <w:b w:val="0"/>
          <w:sz w:val="21"/>
          <w:szCs w:val="21"/>
        </w:rPr>
      </w:pPr>
      <w:r>
        <w:rPr>
          <w:rFonts w:asciiTheme="minorEastAsia" w:hAnsiTheme="minorEastAsia" w:eastAsiaTheme="minorEastAsia"/>
          <w:b w:val="0"/>
          <w:sz w:val="21"/>
          <w:szCs w:val="21"/>
        </w:rPr>
        <w:t>以上企业，不属于大企业的分支机构，不存在控股股东为大企业的情形，也不存在与大企业的负责人为同一人的情形。</w:t>
      </w:r>
    </w:p>
    <w:p w14:paraId="517827D5">
      <w:pPr>
        <w:spacing w:line="3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65A48D4C">
      <w:pPr>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本企业已知悉《政府采购促进中小企业发展管理办法》（财库〔2020〕46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5341DCC6">
      <w:pPr>
        <w:spacing w:line="360" w:lineRule="exact"/>
        <w:ind w:firstLine="420" w:firstLineChars="200"/>
        <w:rPr>
          <w:rFonts w:asciiTheme="minorEastAsia" w:hAnsiTheme="minorEastAsia" w:eastAsiaTheme="minorEastAsia"/>
          <w:szCs w:val="21"/>
        </w:rPr>
      </w:pPr>
    </w:p>
    <w:p w14:paraId="64BC90E3">
      <w:pPr>
        <w:spacing w:line="360" w:lineRule="exact"/>
        <w:jc w:val="center"/>
        <w:rPr>
          <w:rFonts w:ascii="Times New Roman" w:hAnsi="Times New Roman"/>
          <w:szCs w:val="24"/>
        </w:rPr>
      </w:pPr>
      <w:r>
        <w:rPr>
          <w:rFonts w:hint="eastAsia" w:ascii="Times New Roman" w:hAnsi="Times New Roman"/>
          <w:szCs w:val="21"/>
        </w:rPr>
        <w:t xml:space="preserve">                           企业名称：</w:t>
      </w:r>
    </w:p>
    <w:p w14:paraId="0C393CC8">
      <w:pPr>
        <w:spacing w:line="360" w:lineRule="exact"/>
        <w:rPr>
          <w:rFonts w:ascii="宋体" w:hAnsi="宋体"/>
          <w:szCs w:val="21"/>
        </w:rPr>
      </w:pPr>
      <w:r>
        <w:rPr>
          <w:rFonts w:hint="eastAsia" w:ascii="宋体" w:hAnsi="宋体"/>
          <w:szCs w:val="21"/>
        </w:rPr>
        <w:t xml:space="preserve">                                                         日期：年月日</w:t>
      </w:r>
    </w:p>
    <w:p w14:paraId="4063AEB3">
      <w:pPr>
        <w:spacing w:line="360" w:lineRule="exact"/>
        <w:ind w:firstLine="420" w:firstLineChars="200"/>
        <w:rPr>
          <w:rFonts w:ascii="宋体" w:hAnsi="宋体"/>
          <w:szCs w:val="21"/>
        </w:rPr>
      </w:pPr>
      <w:r>
        <w:rPr>
          <w:rFonts w:hint="eastAsia" w:ascii="宋体" w:hAnsi="宋体"/>
          <w:szCs w:val="21"/>
        </w:rPr>
        <w:t>备注：</w:t>
      </w:r>
    </w:p>
    <w:p w14:paraId="431A38E3">
      <w:pPr>
        <w:spacing w:line="360" w:lineRule="exact"/>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4E61B256">
      <w:pPr>
        <w:spacing w:line="360" w:lineRule="exact"/>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67629916">
      <w:pPr>
        <w:spacing w:line="360" w:lineRule="exact"/>
        <w:ind w:firstLine="424" w:firstLineChars="202"/>
        <w:rPr>
          <w:rFonts w:asciiTheme="minorEastAsia" w:hAnsiTheme="minorEastAsia" w:eastAsiaTheme="minorEastAsia" w:cstheme="minorBidi"/>
        </w:rPr>
      </w:pPr>
      <w:r>
        <w:rPr>
          <w:rFonts w:hint="eastAsia" w:asciiTheme="minorEastAsia" w:hAnsiTheme="minorEastAsia" w:eastAsiaTheme="minorEastAsia" w:cstheme="minorBidi"/>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rPr>
        <w:t>《中小企业声明函》中相关企业所属行业应当与采购标的所属行业相一致</w:t>
      </w:r>
      <w:r>
        <w:rPr>
          <w:rFonts w:hint="eastAsia" w:asciiTheme="minorEastAsia" w:hAnsiTheme="minorEastAsia" w:eastAsiaTheme="minorEastAsia" w:cstheme="minorBidi"/>
        </w:rPr>
        <w:t>。</w:t>
      </w:r>
    </w:p>
    <w:p w14:paraId="10316BCC">
      <w:pPr>
        <w:spacing w:line="360" w:lineRule="exact"/>
        <w:ind w:firstLine="424" w:firstLineChars="202"/>
        <w:rPr>
          <w:rFonts w:asciiTheme="minorHAnsi" w:hAnsiTheme="minorHAnsi" w:eastAsiaTheme="minorEastAsia" w:cstheme="minorBidi"/>
        </w:rPr>
      </w:pPr>
      <w:r>
        <w:rPr>
          <w:rFonts w:hint="eastAsia" w:asciiTheme="minorHAnsi" w:hAnsiTheme="minorHAnsi" w:eastAsiaTheme="minorEastAsia" w:cstheme="minorBidi"/>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2D963E3">
      <w:pPr>
        <w:spacing w:line="360" w:lineRule="exact"/>
        <w:ind w:firstLine="420" w:firstLineChars="200"/>
        <w:rPr>
          <w:rFonts w:ascii="宋体" w:hAnsi="宋体"/>
          <w:szCs w:val="21"/>
        </w:rPr>
      </w:pPr>
    </w:p>
    <w:p w14:paraId="5F784AF6">
      <w:pPr>
        <w:spacing w:after="60" w:line="360" w:lineRule="exact"/>
        <w:jc w:val="center"/>
        <w:outlineLvl w:val="3"/>
        <w:rPr>
          <w:b/>
          <w:sz w:val="24"/>
        </w:rPr>
      </w:pPr>
      <w:r>
        <w:rPr>
          <w:rFonts w:hint="eastAsia"/>
          <w:b/>
          <w:sz w:val="24"/>
        </w:rPr>
        <w:t>2、监狱企业声明函</w:t>
      </w:r>
    </w:p>
    <w:p w14:paraId="15EBAF3A">
      <w:pPr>
        <w:spacing w:after="60" w:line="360" w:lineRule="exact"/>
        <w:ind w:firstLine="420" w:firstLineChars="200"/>
        <w:rPr>
          <w:rFonts w:ascii="宋体" w:hAnsi="宋体"/>
          <w:szCs w:val="21"/>
        </w:rPr>
      </w:pPr>
      <w:r>
        <w:rPr>
          <w:rFonts w:hint="eastAsia" w:ascii="宋体" w:hAnsi="宋体"/>
          <w:szCs w:val="21"/>
        </w:rPr>
        <w:t>本单位郑重声明，根据《关于政府采购支持监狱企业发展有关问题的通知》（财库〔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7297DA2D">
      <w:pPr>
        <w:spacing w:after="60" w:line="360"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14:paraId="520AD57F">
      <w:pPr>
        <w:spacing w:line="360" w:lineRule="exact"/>
        <w:jc w:val="center"/>
      </w:pPr>
      <w:r>
        <w:rPr>
          <w:rFonts w:hint="eastAsia"/>
          <w:szCs w:val="21"/>
        </w:rPr>
        <w:t xml:space="preserve">                             单位名称：</w:t>
      </w:r>
    </w:p>
    <w:p w14:paraId="5031DF3F">
      <w:pPr>
        <w:spacing w:line="360" w:lineRule="exact"/>
        <w:rPr>
          <w:rFonts w:ascii="宋体" w:hAnsi="宋体"/>
          <w:szCs w:val="21"/>
        </w:rPr>
      </w:pPr>
      <w:r>
        <w:rPr>
          <w:rFonts w:hint="eastAsia" w:ascii="宋体" w:hAnsi="宋体"/>
          <w:szCs w:val="21"/>
        </w:rPr>
        <w:t xml:space="preserve">                                                      日期：年月日</w:t>
      </w:r>
    </w:p>
    <w:p w14:paraId="4D63B170">
      <w:pPr>
        <w:spacing w:line="360" w:lineRule="exact"/>
        <w:ind w:firstLine="645"/>
        <w:rPr>
          <w:rFonts w:ascii="宋体"/>
          <w:b/>
          <w:szCs w:val="21"/>
        </w:rPr>
      </w:pPr>
    </w:p>
    <w:p w14:paraId="5DB923F3">
      <w:pPr>
        <w:spacing w:after="60" w:line="360" w:lineRule="exact"/>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1182B1DC">
      <w:pPr>
        <w:ind w:left="723" w:hanging="723" w:hangingChars="300"/>
        <w:rPr>
          <w:b/>
          <w:sz w:val="24"/>
        </w:rPr>
      </w:pPr>
    </w:p>
    <w:p w14:paraId="59E09A43">
      <w:pPr>
        <w:spacing w:line="360" w:lineRule="exact"/>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1488905B">
      <w:pPr>
        <w:spacing w:after="60" w:line="360" w:lineRule="exact"/>
        <w:ind w:firstLine="420" w:firstLineChars="200"/>
        <w:rPr>
          <w:rFonts w:ascii="宋体" w:hAnsi="宋体"/>
          <w:szCs w:val="21"/>
        </w:rPr>
      </w:pPr>
    </w:p>
    <w:p w14:paraId="4A17F051">
      <w:pPr>
        <w:spacing w:after="60" w:line="360" w:lineRule="exact"/>
        <w:jc w:val="center"/>
        <w:outlineLvl w:val="3"/>
        <w:rPr>
          <w:b/>
          <w:bCs/>
        </w:rPr>
      </w:pPr>
      <w:r>
        <w:rPr>
          <w:rFonts w:hint="eastAsia"/>
          <w:b/>
          <w:sz w:val="24"/>
        </w:rPr>
        <w:t>3、残疾人福利性单位声明函</w:t>
      </w:r>
    </w:p>
    <w:p w14:paraId="62ABDEB3">
      <w:pPr>
        <w:spacing w:line="360" w:lineRule="exact"/>
        <w:ind w:firstLine="420" w:firstLineChars="200"/>
        <w:jc w:val="left"/>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141号）的规定，本单位为符合条件的残疾人福利性单位，且本单位参加单位的项目采购活动，由本单位提供服务。</w:t>
      </w:r>
    </w:p>
    <w:p w14:paraId="0052887D">
      <w:pPr>
        <w:spacing w:after="60" w:line="360"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14:paraId="3EA1CCCF">
      <w:pPr>
        <w:spacing w:after="60" w:line="360" w:lineRule="exact"/>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4CBF0DCE">
      <w:pPr>
        <w:spacing w:line="360" w:lineRule="exact"/>
        <w:jc w:val="center"/>
      </w:pPr>
      <w:r>
        <w:rPr>
          <w:rFonts w:hint="eastAsia"/>
          <w:szCs w:val="21"/>
        </w:rPr>
        <w:t xml:space="preserve">                             单位名称：</w:t>
      </w:r>
    </w:p>
    <w:p w14:paraId="6876CB74">
      <w:pPr>
        <w:spacing w:line="360" w:lineRule="exact"/>
        <w:rPr>
          <w:rFonts w:ascii="宋体" w:hAnsi="宋体"/>
          <w:szCs w:val="21"/>
        </w:rPr>
      </w:pPr>
      <w:r>
        <w:rPr>
          <w:rFonts w:hint="eastAsia" w:ascii="宋体" w:hAnsi="宋体"/>
          <w:szCs w:val="21"/>
        </w:rPr>
        <w:t xml:space="preserve">                                                      日期：年月日</w:t>
      </w:r>
    </w:p>
    <w:p w14:paraId="5E472F18">
      <w:pPr>
        <w:spacing w:line="360" w:lineRule="exact"/>
        <w:ind w:firstLine="424" w:firstLineChars="202"/>
        <w:rPr>
          <w:rFonts w:ascii="宋体" w:hAnsi="宋体"/>
          <w:szCs w:val="21"/>
        </w:rPr>
      </w:pPr>
      <w:r>
        <w:rPr>
          <w:rFonts w:hint="eastAsia" w:ascii="宋体" w:hAnsi="宋体"/>
          <w:szCs w:val="21"/>
        </w:rPr>
        <w:t>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4B5B1925">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42"/>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4B4C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072FFC77">
            <w:pPr>
              <w:jc w:val="center"/>
              <w:rPr>
                <w:rFonts w:ascii="Times New Roman" w:hAnsi="Times New Roman"/>
                <w:b/>
                <w:szCs w:val="21"/>
              </w:rPr>
            </w:pPr>
            <w:r>
              <w:rPr>
                <w:rFonts w:hint="eastAsia" w:ascii="Times New Roman" w:hAnsi="Times New Roman"/>
                <w:b/>
                <w:szCs w:val="21"/>
              </w:rPr>
              <w:t>序号</w:t>
            </w:r>
          </w:p>
        </w:tc>
        <w:tc>
          <w:tcPr>
            <w:tcW w:w="1213" w:type="dxa"/>
            <w:vMerge w:val="restart"/>
            <w:vAlign w:val="center"/>
          </w:tcPr>
          <w:p w14:paraId="0466E50A">
            <w:pPr>
              <w:jc w:val="center"/>
              <w:rPr>
                <w:rFonts w:ascii="Times New Roman" w:hAnsi="Times New Roman"/>
                <w:b/>
                <w:szCs w:val="21"/>
              </w:rPr>
            </w:pPr>
            <w:r>
              <w:rPr>
                <w:rFonts w:hint="eastAsia" w:ascii="Times New Roman" w:hAnsi="Times New Roman"/>
                <w:b/>
                <w:szCs w:val="21"/>
              </w:rPr>
              <w:t>投标产品名称</w:t>
            </w:r>
          </w:p>
        </w:tc>
        <w:tc>
          <w:tcPr>
            <w:tcW w:w="1840" w:type="dxa"/>
            <w:vMerge w:val="restart"/>
            <w:vAlign w:val="center"/>
          </w:tcPr>
          <w:p w14:paraId="0B11DBE4">
            <w:pPr>
              <w:jc w:val="center"/>
              <w:rPr>
                <w:rFonts w:ascii="Times New Roman" w:hAnsi="Times New Roman"/>
                <w:b/>
                <w:szCs w:val="21"/>
              </w:rPr>
            </w:pPr>
            <w:r>
              <w:rPr>
                <w:rFonts w:hint="eastAsia" w:ascii="Times New Roman" w:hAnsi="Times New Roman"/>
                <w:b/>
                <w:szCs w:val="21"/>
              </w:rPr>
              <w:t>规格及型号</w:t>
            </w:r>
          </w:p>
        </w:tc>
        <w:tc>
          <w:tcPr>
            <w:tcW w:w="4351" w:type="dxa"/>
            <w:gridSpan w:val="3"/>
            <w:vAlign w:val="center"/>
          </w:tcPr>
          <w:p w14:paraId="5AA228A7">
            <w:pPr>
              <w:jc w:val="center"/>
              <w:rPr>
                <w:rFonts w:ascii="Times New Roman" w:hAnsi="Times New Roman"/>
                <w:b/>
                <w:szCs w:val="21"/>
              </w:rPr>
            </w:pPr>
            <w:r>
              <w:rPr>
                <w:rFonts w:hint="eastAsia" w:ascii="Times New Roman" w:hAnsi="Times New Roman"/>
                <w:b/>
                <w:szCs w:val="21"/>
              </w:rPr>
              <w:t>投标产品报价</w:t>
            </w:r>
          </w:p>
        </w:tc>
        <w:tc>
          <w:tcPr>
            <w:tcW w:w="1503" w:type="dxa"/>
            <w:vMerge w:val="restart"/>
            <w:vAlign w:val="center"/>
          </w:tcPr>
          <w:p w14:paraId="28A6D86C">
            <w:pPr>
              <w:jc w:val="center"/>
              <w:rPr>
                <w:rFonts w:ascii="Times New Roman" w:hAnsi="Times New Roman"/>
                <w:b/>
                <w:szCs w:val="21"/>
              </w:rPr>
            </w:pPr>
            <w:r>
              <w:rPr>
                <w:rFonts w:hint="eastAsia" w:ascii="Times New Roman" w:hAnsi="Times New Roman"/>
                <w:b/>
                <w:szCs w:val="21"/>
              </w:rPr>
              <w:t>属于优先采购清单的类别</w:t>
            </w:r>
          </w:p>
        </w:tc>
        <w:tc>
          <w:tcPr>
            <w:tcW w:w="720" w:type="dxa"/>
            <w:vMerge w:val="restart"/>
            <w:vAlign w:val="center"/>
          </w:tcPr>
          <w:p w14:paraId="27C57DF1">
            <w:pPr>
              <w:jc w:val="center"/>
              <w:rPr>
                <w:rFonts w:ascii="Times New Roman" w:hAnsi="Times New Roman"/>
                <w:b/>
                <w:szCs w:val="21"/>
              </w:rPr>
            </w:pPr>
            <w:r>
              <w:rPr>
                <w:rFonts w:hint="eastAsia" w:ascii="Times New Roman" w:hAnsi="Times New Roman"/>
                <w:b/>
                <w:szCs w:val="21"/>
              </w:rPr>
              <w:t>备注</w:t>
            </w:r>
          </w:p>
        </w:tc>
      </w:tr>
      <w:tr w14:paraId="5E0E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61616E87">
            <w:pPr>
              <w:rPr>
                <w:rFonts w:ascii="Times New Roman" w:hAnsi="Times New Roman"/>
                <w:szCs w:val="21"/>
              </w:rPr>
            </w:pPr>
          </w:p>
        </w:tc>
        <w:tc>
          <w:tcPr>
            <w:tcW w:w="1213" w:type="dxa"/>
            <w:vMerge w:val="continue"/>
            <w:vAlign w:val="center"/>
          </w:tcPr>
          <w:p w14:paraId="2BDE6E89">
            <w:pPr>
              <w:rPr>
                <w:rFonts w:ascii="Times New Roman" w:hAnsi="Times New Roman"/>
                <w:szCs w:val="21"/>
              </w:rPr>
            </w:pPr>
          </w:p>
        </w:tc>
        <w:tc>
          <w:tcPr>
            <w:tcW w:w="1840" w:type="dxa"/>
            <w:vMerge w:val="continue"/>
            <w:vAlign w:val="center"/>
          </w:tcPr>
          <w:p w14:paraId="64972FA7">
            <w:pPr>
              <w:rPr>
                <w:rFonts w:ascii="Times New Roman" w:hAnsi="Times New Roman"/>
                <w:szCs w:val="21"/>
              </w:rPr>
            </w:pPr>
          </w:p>
        </w:tc>
        <w:tc>
          <w:tcPr>
            <w:tcW w:w="818" w:type="dxa"/>
            <w:vAlign w:val="center"/>
          </w:tcPr>
          <w:p w14:paraId="33088F5E">
            <w:pPr>
              <w:rPr>
                <w:rFonts w:ascii="Times New Roman" w:hAnsi="Times New Roman"/>
                <w:szCs w:val="21"/>
              </w:rPr>
            </w:pPr>
            <w:r>
              <w:rPr>
                <w:rFonts w:hint="eastAsia" w:ascii="Times New Roman" w:hAnsi="Times New Roman"/>
                <w:szCs w:val="21"/>
              </w:rPr>
              <w:t>数量</w:t>
            </w:r>
          </w:p>
        </w:tc>
        <w:tc>
          <w:tcPr>
            <w:tcW w:w="1241" w:type="dxa"/>
            <w:vAlign w:val="center"/>
          </w:tcPr>
          <w:p w14:paraId="6C2FC5A1">
            <w:pPr>
              <w:jc w:val="center"/>
              <w:rPr>
                <w:rFonts w:ascii="Times New Roman" w:hAnsi="Times New Roman"/>
                <w:szCs w:val="21"/>
              </w:rPr>
            </w:pPr>
            <w:r>
              <w:rPr>
                <w:rFonts w:hint="eastAsia" w:ascii="Times New Roman" w:hAnsi="Times New Roman"/>
                <w:szCs w:val="21"/>
              </w:rPr>
              <w:t>投标单价（元）</w:t>
            </w:r>
          </w:p>
        </w:tc>
        <w:tc>
          <w:tcPr>
            <w:tcW w:w="2292" w:type="dxa"/>
            <w:vAlign w:val="center"/>
          </w:tcPr>
          <w:p w14:paraId="4317E2BD">
            <w:pPr>
              <w:jc w:val="center"/>
              <w:rPr>
                <w:rFonts w:ascii="Times New Roman" w:hAnsi="Times New Roman"/>
                <w:szCs w:val="21"/>
              </w:rPr>
            </w:pPr>
            <w:r>
              <w:rPr>
                <w:rFonts w:hint="eastAsia" w:ascii="Times New Roman" w:hAnsi="Times New Roman"/>
                <w:szCs w:val="21"/>
              </w:rPr>
              <w:t>投标</w:t>
            </w:r>
            <w:r>
              <w:rPr>
                <w:rFonts w:hint="eastAsia" w:ascii="宋体" w:hAnsi="宋体"/>
                <w:szCs w:val="21"/>
              </w:rPr>
              <w:t>合计</w:t>
            </w:r>
            <w:r>
              <w:rPr>
                <w:rFonts w:hint="eastAsia" w:ascii="Times New Roman" w:hAnsi="Times New Roman"/>
                <w:szCs w:val="21"/>
              </w:rPr>
              <w:t>报价（元）</w:t>
            </w:r>
          </w:p>
        </w:tc>
        <w:tc>
          <w:tcPr>
            <w:tcW w:w="1503" w:type="dxa"/>
            <w:vMerge w:val="continue"/>
            <w:vAlign w:val="center"/>
          </w:tcPr>
          <w:p w14:paraId="14A5DD1C">
            <w:pPr>
              <w:rPr>
                <w:rFonts w:ascii="Times New Roman" w:hAnsi="Times New Roman"/>
                <w:szCs w:val="21"/>
              </w:rPr>
            </w:pPr>
          </w:p>
        </w:tc>
        <w:tc>
          <w:tcPr>
            <w:tcW w:w="720" w:type="dxa"/>
            <w:vMerge w:val="continue"/>
            <w:vAlign w:val="center"/>
          </w:tcPr>
          <w:p w14:paraId="42E463E6">
            <w:pPr>
              <w:rPr>
                <w:rFonts w:ascii="Times New Roman" w:hAnsi="Times New Roman"/>
                <w:szCs w:val="21"/>
              </w:rPr>
            </w:pPr>
          </w:p>
        </w:tc>
      </w:tr>
      <w:tr w14:paraId="25923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7847E003">
            <w:pPr>
              <w:jc w:val="center"/>
              <w:rPr>
                <w:rFonts w:ascii="宋体" w:hAnsi="宋体"/>
                <w:szCs w:val="21"/>
              </w:rPr>
            </w:pPr>
            <w:r>
              <w:rPr>
                <w:rFonts w:hint="eastAsia" w:ascii="宋体" w:hAnsi="宋体"/>
                <w:szCs w:val="21"/>
              </w:rPr>
              <w:t>1</w:t>
            </w:r>
          </w:p>
        </w:tc>
        <w:tc>
          <w:tcPr>
            <w:tcW w:w="1213" w:type="dxa"/>
            <w:vAlign w:val="center"/>
          </w:tcPr>
          <w:p w14:paraId="66D5FA22">
            <w:pPr>
              <w:jc w:val="center"/>
              <w:rPr>
                <w:rFonts w:ascii="Times New Roman" w:hAnsi="Times New Roman"/>
                <w:szCs w:val="21"/>
              </w:rPr>
            </w:pPr>
          </w:p>
        </w:tc>
        <w:tc>
          <w:tcPr>
            <w:tcW w:w="1840" w:type="dxa"/>
            <w:vAlign w:val="center"/>
          </w:tcPr>
          <w:p w14:paraId="55C2CEB9">
            <w:pPr>
              <w:jc w:val="center"/>
              <w:rPr>
                <w:rFonts w:ascii="Times New Roman" w:hAnsi="Times New Roman"/>
                <w:szCs w:val="21"/>
              </w:rPr>
            </w:pPr>
          </w:p>
        </w:tc>
        <w:tc>
          <w:tcPr>
            <w:tcW w:w="818" w:type="dxa"/>
            <w:vAlign w:val="center"/>
          </w:tcPr>
          <w:p w14:paraId="5C4F26B5">
            <w:pPr>
              <w:jc w:val="center"/>
              <w:rPr>
                <w:rFonts w:ascii="Times New Roman" w:hAnsi="Times New Roman"/>
                <w:szCs w:val="21"/>
              </w:rPr>
            </w:pPr>
          </w:p>
        </w:tc>
        <w:tc>
          <w:tcPr>
            <w:tcW w:w="1241" w:type="dxa"/>
            <w:vAlign w:val="center"/>
          </w:tcPr>
          <w:p w14:paraId="6172DC99">
            <w:pPr>
              <w:jc w:val="center"/>
              <w:rPr>
                <w:rFonts w:ascii="Times New Roman" w:hAnsi="Times New Roman"/>
                <w:szCs w:val="21"/>
              </w:rPr>
            </w:pPr>
          </w:p>
        </w:tc>
        <w:tc>
          <w:tcPr>
            <w:tcW w:w="2292" w:type="dxa"/>
            <w:vAlign w:val="center"/>
          </w:tcPr>
          <w:p w14:paraId="77CACB77">
            <w:pPr>
              <w:jc w:val="center"/>
              <w:rPr>
                <w:rFonts w:ascii="Times New Roman" w:hAnsi="Times New Roman"/>
                <w:szCs w:val="21"/>
              </w:rPr>
            </w:pPr>
          </w:p>
        </w:tc>
        <w:tc>
          <w:tcPr>
            <w:tcW w:w="1503" w:type="dxa"/>
            <w:vAlign w:val="center"/>
          </w:tcPr>
          <w:p w14:paraId="4B95679B">
            <w:pPr>
              <w:jc w:val="center"/>
              <w:rPr>
                <w:rFonts w:ascii="Times New Roman" w:hAnsi="Times New Roman"/>
                <w:szCs w:val="21"/>
              </w:rPr>
            </w:pPr>
          </w:p>
        </w:tc>
        <w:tc>
          <w:tcPr>
            <w:tcW w:w="720" w:type="dxa"/>
            <w:vAlign w:val="center"/>
          </w:tcPr>
          <w:p w14:paraId="317EFA1F">
            <w:pPr>
              <w:jc w:val="center"/>
              <w:rPr>
                <w:rFonts w:ascii="Times New Roman" w:hAnsi="Times New Roman"/>
                <w:szCs w:val="21"/>
              </w:rPr>
            </w:pPr>
          </w:p>
        </w:tc>
      </w:tr>
      <w:tr w14:paraId="359C8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55231247">
            <w:pPr>
              <w:jc w:val="center"/>
              <w:rPr>
                <w:rFonts w:ascii="宋体" w:hAnsi="宋体"/>
                <w:szCs w:val="21"/>
              </w:rPr>
            </w:pPr>
            <w:r>
              <w:rPr>
                <w:rFonts w:hint="eastAsia" w:ascii="宋体" w:hAnsi="宋体"/>
                <w:szCs w:val="21"/>
              </w:rPr>
              <w:t>2</w:t>
            </w:r>
          </w:p>
        </w:tc>
        <w:tc>
          <w:tcPr>
            <w:tcW w:w="1213" w:type="dxa"/>
            <w:vAlign w:val="center"/>
          </w:tcPr>
          <w:p w14:paraId="22A2A133">
            <w:pPr>
              <w:jc w:val="center"/>
              <w:rPr>
                <w:rFonts w:ascii="Times New Roman" w:hAnsi="Times New Roman"/>
                <w:szCs w:val="21"/>
              </w:rPr>
            </w:pPr>
          </w:p>
        </w:tc>
        <w:tc>
          <w:tcPr>
            <w:tcW w:w="1840" w:type="dxa"/>
            <w:vAlign w:val="center"/>
          </w:tcPr>
          <w:p w14:paraId="5383E896">
            <w:pPr>
              <w:jc w:val="center"/>
              <w:rPr>
                <w:rFonts w:ascii="Times New Roman" w:hAnsi="Times New Roman"/>
                <w:szCs w:val="21"/>
              </w:rPr>
            </w:pPr>
          </w:p>
        </w:tc>
        <w:tc>
          <w:tcPr>
            <w:tcW w:w="818" w:type="dxa"/>
            <w:vAlign w:val="center"/>
          </w:tcPr>
          <w:p w14:paraId="3CE25920">
            <w:pPr>
              <w:jc w:val="center"/>
              <w:rPr>
                <w:rFonts w:ascii="Times New Roman" w:hAnsi="Times New Roman"/>
                <w:szCs w:val="21"/>
              </w:rPr>
            </w:pPr>
          </w:p>
        </w:tc>
        <w:tc>
          <w:tcPr>
            <w:tcW w:w="1241" w:type="dxa"/>
            <w:vAlign w:val="center"/>
          </w:tcPr>
          <w:p w14:paraId="40E149DC">
            <w:pPr>
              <w:jc w:val="center"/>
              <w:rPr>
                <w:rFonts w:ascii="Times New Roman" w:hAnsi="Times New Roman"/>
                <w:szCs w:val="21"/>
              </w:rPr>
            </w:pPr>
          </w:p>
        </w:tc>
        <w:tc>
          <w:tcPr>
            <w:tcW w:w="2292" w:type="dxa"/>
            <w:vAlign w:val="center"/>
          </w:tcPr>
          <w:p w14:paraId="4406982B">
            <w:pPr>
              <w:jc w:val="center"/>
              <w:rPr>
                <w:rFonts w:ascii="Times New Roman" w:hAnsi="Times New Roman"/>
                <w:szCs w:val="21"/>
              </w:rPr>
            </w:pPr>
          </w:p>
        </w:tc>
        <w:tc>
          <w:tcPr>
            <w:tcW w:w="1503" w:type="dxa"/>
            <w:vAlign w:val="center"/>
          </w:tcPr>
          <w:p w14:paraId="6136EB19">
            <w:pPr>
              <w:jc w:val="center"/>
              <w:rPr>
                <w:rFonts w:ascii="Times New Roman" w:hAnsi="Times New Roman"/>
                <w:szCs w:val="21"/>
              </w:rPr>
            </w:pPr>
          </w:p>
        </w:tc>
        <w:tc>
          <w:tcPr>
            <w:tcW w:w="720" w:type="dxa"/>
            <w:vAlign w:val="center"/>
          </w:tcPr>
          <w:p w14:paraId="3550977A">
            <w:pPr>
              <w:jc w:val="center"/>
              <w:rPr>
                <w:rFonts w:ascii="Times New Roman" w:hAnsi="Times New Roman"/>
                <w:szCs w:val="21"/>
              </w:rPr>
            </w:pPr>
          </w:p>
        </w:tc>
      </w:tr>
    </w:tbl>
    <w:p w14:paraId="310B9453">
      <w:pPr>
        <w:spacing w:line="360" w:lineRule="auto"/>
        <w:rPr>
          <w:rFonts w:ascii="Times New Roman" w:hAnsi="Times New Roman"/>
          <w:szCs w:val="21"/>
        </w:rPr>
      </w:pPr>
      <w:r>
        <w:rPr>
          <w:rFonts w:hint="eastAsia" w:ascii="Times New Roman" w:hAnsi="Times New Roman"/>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ascii="Times New Roman" w:hAnsi="Times New Roman"/>
          <w:szCs w:val="21"/>
        </w:rPr>
        <w:t>投标产品若不属于上述清单或目录范围内，则无需填写该表。</w:t>
      </w:r>
    </w:p>
    <w:p w14:paraId="264D3AE8">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727A42BA">
      <w:pPr>
        <w:spacing w:line="360" w:lineRule="auto"/>
      </w:pPr>
      <w:r>
        <w:rPr>
          <w:rFonts w:hint="eastAsia" w:ascii="宋体" w:hAnsi="宋体"/>
          <w:szCs w:val="21"/>
        </w:rPr>
        <w:t>3. “属于优先采购清单的类别”栏中填写“节能产品政府采购品目清单”或“环境标志产品政府采购品目清单”。</w:t>
      </w:r>
      <w:r>
        <w:br w:type="page"/>
      </w:r>
    </w:p>
    <w:p w14:paraId="5F2CE7B9">
      <w:pPr>
        <w:rPr>
          <w:rFonts w:ascii="仿宋_GB2312" w:eastAsia="仿宋_GB2312"/>
          <w:b/>
          <w:color w:val="FF0000"/>
          <w:sz w:val="30"/>
          <w:szCs w:val="30"/>
        </w:rPr>
      </w:pPr>
      <w:r>
        <w:rPr>
          <w:rFonts w:hint="eastAsia" w:ascii="仿宋_GB2312" w:eastAsia="仿宋_GB2312"/>
          <w:b/>
          <w:color w:val="FF0000"/>
          <w:sz w:val="30"/>
          <w:szCs w:val="30"/>
        </w:rPr>
        <w:t>投标文件附件（信息不公开部分）：</w:t>
      </w:r>
    </w:p>
    <w:p w14:paraId="27C74B8E">
      <w:pPr>
        <w:keepNext/>
        <w:keepLines/>
        <w:spacing w:before="260" w:after="260"/>
        <w:jc w:val="center"/>
        <w:outlineLvl w:val="2"/>
        <w:rPr>
          <w:rFonts w:ascii="黑体" w:hAnsi="宋体" w:eastAsia="黑体"/>
          <w:bCs/>
          <w:kern w:val="0"/>
          <w:sz w:val="24"/>
          <w:szCs w:val="32"/>
        </w:rPr>
      </w:pPr>
      <w:r>
        <w:rPr>
          <w:rFonts w:hint="eastAsia" w:ascii="黑体" w:hAnsi="宋体" w:eastAsia="黑体"/>
          <w:bCs/>
          <w:kern w:val="0"/>
          <w:sz w:val="24"/>
          <w:szCs w:val="32"/>
        </w:rPr>
        <w:t>五、政府采购违法行为风险知悉确认书</w:t>
      </w:r>
    </w:p>
    <w:p w14:paraId="5CB0B263">
      <w:pPr>
        <w:spacing w:before="0" w:beforeLines="0" w:after="157" w:afterLines="50" w:line="36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在投标前已充分知悉以下情形为参与政府采购活动时的重大风险事项，并承诺已对下述风险提示事项重点排查，</w:t>
      </w:r>
      <w:r>
        <w:rPr>
          <w:rFonts w:hint="eastAsia" w:ascii="宋体" w:hAnsi="宋体" w:eastAsia="宋体" w:cs="宋体"/>
          <w:b/>
          <w:bCs/>
          <w:color w:val="auto"/>
          <w:sz w:val="21"/>
          <w:szCs w:val="21"/>
          <w:lang w:val="en-US" w:eastAsia="zh-CN"/>
        </w:rPr>
        <w:t>若存在下述情况，我单位愿意依法承担被记入供应商诚信档案、罚款、取消参与政府采购资格、吊销营业执照等处罚；构成犯罪的，依法承担刑事责任。</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6EC1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11" w:type="dxa"/>
            <w:noWrap w:val="0"/>
            <w:vAlign w:val="top"/>
          </w:tcPr>
          <w:p w14:paraId="3E05CF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7811" w:type="dxa"/>
            <w:noWrap w:val="0"/>
            <w:vAlign w:val="top"/>
          </w:tcPr>
          <w:p w14:paraId="412DAA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供应商参与投标禁止情形</w:t>
            </w:r>
          </w:p>
        </w:tc>
      </w:tr>
      <w:tr w14:paraId="68EF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49A6D0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811" w:type="dxa"/>
            <w:noWrap w:val="0"/>
            <w:vAlign w:val="center"/>
          </w:tcPr>
          <w:p w14:paraId="1265B94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lang w:val="en-US" w:eastAsia="zh-CN"/>
              </w:rPr>
              <w:t>同一人、属同一单位或者在同一单位缴纳社会保险</w:t>
            </w:r>
            <w:r>
              <w:rPr>
                <w:rFonts w:hint="eastAsia" w:ascii="宋体" w:hAnsi="宋体" w:eastAsia="宋体" w:cs="宋体"/>
                <w:color w:val="auto"/>
                <w:sz w:val="21"/>
                <w:szCs w:val="21"/>
                <w:highlight w:val="none"/>
                <w:lang w:val="en-US" w:eastAsia="zh-CN"/>
              </w:rPr>
              <w:t>。</w:t>
            </w:r>
          </w:p>
        </w:tc>
      </w:tr>
      <w:tr w14:paraId="3CF6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14:paraId="0D7CD1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811" w:type="dxa"/>
            <w:noWrap w:val="0"/>
            <w:vAlign w:val="center"/>
          </w:tcPr>
          <w:p w14:paraId="797AA8E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参与本项目政府采购活动时，与其他投标供应商存在单位负责人为</w:t>
            </w:r>
            <w:r>
              <w:rPr>
                <w:rFonts w:hint="eastAsia" w:ascii="宋体" w:hAnsi="宋体" w:eastAsia="宋体" w:cs="宋体"/>
                <w:b/>
                <w:bCs/>
                <w:color w:val="auto"/>
                <w:sz w:val="21"/>
                <w:szCs w:val="21"/>
                <w:highlight w:val="none"/>
                <w:lang w:val="en-US" w:eastAsia="zh-CN"/>
              </w:rPr>
              <w:t>同一人或直接控股、管理关系</w:t>
            </w:r>
            <w:r>
              <w:rPr>
                <w:rFonts w:hint="eastAsia" w:ascii="宋体" w:hAnsi="宋体" w:eastAsia="宋体" w:cs="宋体"/>
                <w:color w:val="auto"/>
                <w:sz w:val="21"/>
                <w:szCs w:val="21"/>
                <w:highlight w:val="none"/>
                <w:lang w:val="en-US" w:eastAsia="zh-CN"/>
              </w:rPr>
              <w:t>。</w:t>
            </w:r>
          </w:p>
        </w:tc>
      </w:tr>
      <w:tr w14:paraId="1F7A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5E6790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811" w:type="dxa"/>
            <w:noWrap w:val="0"/>
            <w:vAlign w:val="center"/>
          </w:tcPr>
          <w:p w14:paraId="5E67F49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与其他投标供应商的投标文件或部分投标文件</w:t>
            </w:r>
            <w:r>
              <w:rPr>
                <w:rFonts w:hint="eastAsia" w:ascii="宋体" w:hAnsi="宋体" w:eastAsia="宋体" w:cs="宋体"/>
                <w:b/>
                <w:bCs/>
                <w:color w:val="auto"/>
                <w:sz w:val="21"/>
                <w:szCs w:val="21"/>
                <w:highlight w:val="none"/>
                <w:lang w:val="en-US" w:eastAsia="zh-CN"/>
              </w:rPr>
              <w:t>相互混装或存在非正常一致</w:t>
            </w:r>
            <w:r>
              <w:rPr>
                <w:rFonts w:hint="eastAsia" w:ascii="宋体" w:hAnsi="宋体" w:eastAsia="宋体" w:cs="宋体"/>
                <w:color w:val="auto"/>
                <w:sz w:val="21"/>
                <w:szCs w:val="21"/>
                <w:highlight w:val="none"/>
                <w:lang w:val="en-US" w:eastAsia="zh-CN"/>
              </w:rPr>
              <w:t>。</w:t>
            </w:r>
          </w:p>
        </w:tc>
      </w:tr>
      <w:tr w14:paraId="0FBF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753502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811" w:type="dxa"/>
            <w:noWrap w:val="0"/>
            <w:vAlign w:val="center"/>
          </w:tcPr>
          <w:p w14:paraId="59B8C46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与其他投标供应商的投标文件由</w:t>
            </w:r>
            <w:r>
              <w:rPr>
                <w:rFonts w:hint="eastAsia" w:ascii="宋体" w:hAnsi="宋体" w:eastAsia="宋体" w:cs="宋体"/>
                <w:b/>
                <w:bCs/>
                <w:color w:val="auto"/>
                <w:sz w:val="21"/>
                <w:szCs w:val="21"/>
                <w:highlight w:val="none"/>
                <w:lang w:val="en-US" w:eastAsia="zh-CN"/>
              </w:rPr>
              <w:t>同一单位或者同一人编制</w:t>
            </w:r>
            <w:r>
              <w:rPr>
                <w:rFonts w:hint="eastAsia" w:ascii="宋体" w:hAnsi="宋体" w:eastAsia="宋体" w:cs="宋体"/>
                <w:color w:val="auto"/>
                <w:sz w:val="21"/>
                <w:szCs w:val="21"/>
                <w:highlight w:val="none"/>
                <w:lang w:val="en-US" w:eastAsia="zh-CN"/>
              </w:rPr>
              <w:t>，或者使用</w:t>
            </w:r>
            <w:r>
              <w:rPr>
                <w:rFonts w:hint="eastAsia" w:ascii="宋体" w:hAnsi="宋体" w:eastAsia="宋体" w:cs="宋体"/>
                <w:b/>
                <w:bCs/>
                <w:color w:val="auto"/>
                <w:sz w:val="21"/>
                <w:szCs w:val="21"/>
                <w:highlight w:val="none"/>
                <w:lang w:val="en-US" w:eastAsia="zh-CN"/>
              </w:rPr>
              <w:t>同一设备编制</w:t>
            </w:r>
            <w:r>
              <w:rPr>
                <w:rFonts w:hint="eastAsia" w:ascii="宋体" w:hAnsi="宋体" w:eastAsia="宋体" w:cs="宋体"/>
                <w:color w:val="auto"/>
                <w:sz w:val="21"/>
                <w:szCs w:val="21"/>
                <w:highlight w:val="none"/>
                <w:lang w:val="en-US" w:eastAsia="zh-CN"/>
              </w:rPr>
              <w:t>（“文件制作机器码”“文件创建标识码”一致）。</w:t>
            </w:r>
          </w:p>
        </w:tc>
      </w:tr>
      <w:tr w14:paraId="0C25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14:paraId="22BB06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811" w:type="dxa"/>
            <w:noWrap w:val="0"/>
            <w:vAlign w:val="center"/>
          </w:tcPr>
          <w:p w14:paraId="203DDD8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b/>
                <w:bCs/>
                <w:color w:val="auto"/>
                <w:sz w:val="21"/>
                <w:szCs w:val="21"/>
                <w:highlight w:val="none"/>
                <w:lang w:val="en-US" w:eastAsia="zh-CN"/>
              </w:rPr>
              <w:t>未经出具机构核实</w:t>
            </w:r>
            <w:r>
              <w:rPr>
                <w:rFonts w:hint="eastAsia" w:ascii="宋体" w:hAnsi="宋体" w:eastAsia="宋体" w:cs="宋体"/>
                <w:color w:val="auto"/>
                <w:sz w:val="21"/>
                <w:szCs w:val="21"/>
                <w:highlight w:val="none"/>
                <w:lang w:val="en-US" w:eastAsia="zh-CN"/>
              </w:rPr>
              <w:t>的虚假的检验检测报告、业绩材料、社保缴纳证明、学历学位证书、职称认证证书等材料。</w:t>
            </w:r>
          </w:p>
        </w:tc>
      </w:tr>
      <w:tr w14:paraId="4B37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2FA021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811" w:type="dxa"/>
            <w:noWrap w:val="0"/>
            <w:vAlign w:val="center"/>
          </w:tcPr>
          <w:p w14:paraId="51191FB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擅自将投标密钥或电子营业执照出借他人使用或未妥善保管。</w:t>
            </w:r>
          </w:p>
        </w:tc>
      </w:tr>
    </w:tbl>
    <w:p w14:paraId="30F8DDAD">
      <w:pPr>
        <w:spacing w:before="157" w:beforeLines="5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一、</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已充分知悉“隐瞒真实情况，提供虚假资料”的法定情形，包括但不限于：</w:t>
      </w:r>
    </w:p>
    <w:p w14:paraId="4D6AD928">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（一）通过转让或者租借等方式从其他单位获取资格或者资质证书投标的</w:t>
      </w:r>
      <w:r>
        <w:rPr>
          <w:rFonts w:hint="eastAsia" w:ascii="宋体" w:hAnsi="宋体" w:eastAsia="宋体" w:cs="宋体"/>
          <w:color w:val="auto"/>
          <w:sz w:val="21"/>
          <w:szCs w:val="21"/>
          <w:highlight w:val="none"/>
        </w:rPr>
        <w:t>。</w:t>
      </w:r>
    </w:p>
    <w:p w14:paraId="7CA43375">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（二）由其他单位或者其他单位负责人在投标供应商编制的投标文件上加盖印章或者签字的。</w:t>
      </w:r>
    </w:p>
    <w:p w14:paraId="75A96675">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（三）项目负责人或者主要技术人员不是本单位人员的。</w:t>
      </w:r>
    </w:p>
    <w:p w14:paraId="44400D2C">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（四）投标保证金不是从投标供应商基本账户转出的。</w:t>
      </w:r>
    </w:p>
    <w:p w14:paraId="4E6A9C4A">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（五）其他隐瞒真实情况、提供虚假资料的行为。</w:t>
      </w:r>
    </w:p>
    <w:p w14:paraId="0CC03085">
      <w:pPr>
        <w:spacing w:beforeLines="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二、</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已充分知悉“与其他采购参加人串通投标”的法定情形，包括但不限于：</w:t>
      </w:r>
    </w:p>
    <w:p w14:paraId="4F483C4F">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（一）投标供应商之间相互约定给予未中标的供应商利益补偿。</w:t>
      </w:r>
    </w:p>
    <w:p w14:paraId="3126EA3D">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（二）不同投标供应商的法定代表人、主要经营负责人、项目投标授权代表人、项目负责人、主要技术人员为同一人、属同一单位或者在同一单位缴纳社会保险。</w:t>
      </w:r>
    </w:p>
    <w:p w14:paraId="3FEA9995">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（三）不同投标供应商的投标文件由同一单位或者同一人编制，或者由同一人分阶段参与编制的。</w:t>
      </w:r>
    </w:p>
    <w:p w14:paraId="7E4E982B">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（四）不同投标供应商的投标文件或部分投标文件相互混装。</w:t>
      </w:r>
    </w:p>
    <w:p w14:paraId="1742AF5D">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（五）不同投标供应商的投标文件内容存在非正常一致。</w:t>
      </w:r>
    </w:p>
    <w:p w14:paraId="2F9BE30C">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（六）由同一单位工作人员为两家以上（含两家）供应商进行同一项投标活动的。</w:t>
      </w:r>
    </w:p>
    <w:p w14:paraId="11904061">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（七）不同投标人的投标报价呈规律性差异。</w:t>
      </w:r>
    </w:p>
    <w:p w14:paraId="059708F3">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（八）不同投标人的投标保证金从同一单位或者个人的账户转出。</w:t>
      </w:r>
    </w:p>
    <w:p w14:paraId="7BF08C7F">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（九）主管部门依照法律、法规认定的其他情形。</w:t>
      </w:r>
    </w:p>
    <w:p w14:paraId="0F036128">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三、</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已充分知悉下列情形</w:t>
      </w:r>
      <w:r>
        <w:rPr>
          <w:rFonts w:hint="eastAsia" w:ascii="宋体" w:hAnsi="宋体" w:eastAsia="宋体" w:cs="宋体"/>
          <w:b/>
          <w:color w:val="auto"/>
          <w:sz w:val="21"/>
          <w:szCs w:val="21"/>
          <w:lang w:eastAsia="zh-CN"/>
        </w:rPr>
        <w:t>存在</w:t>
      </w:r>
      <w:r>
        <w:rPr>
          <w:rFonts w:hint="eastAsia" w:ascii="宋体" w:hAnsi="宋体" w:eastAsia="宋体" w:cs="宋体"/>
          <w:b/>
          <w:color w:val="auto"/>
          <w:sz w:val="21"/>
          <w:szCs w:val="21"/>
        </w:rPr>
        <w:t>法律风险，在投标前已对相关风险事项进行排</w:t>
      </w:r>
      <w:r>
        <w:rPr>
          <w:rFonts w:hint="eastAsia" w:ascii="宋体" w:hAnsi="宋体" w:eastAsia="宋体" w:cs="宋体"/>
          <w:b/>
          <w:color w:val="auto"/>
          <w:sz w:val="21"/>
          <w:szCs w:val="21"/>
          <w:highlight w:val="none"/>
        </w:rPr>
        <w:t>查。</w:t>
      </w:r>
    </w:p>
    <w:p w14:paraId="6FE3F969">
      <w:pPr>
        <w:spacing w:beforeLines="0" w:line="340" w:lineRule="exact"/>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（一）对于从其他主体获取的投标资料，</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应审慎核查，确保</w:t>
      </w:r>
      <w:r>
        <w:rPr>
          <w:rFonts w:hint="eastAsia" w:ascii="宋体" w:hAnsi="宋体" w:eastAsia="宋体" w:cs="宋体"/>
          <w:color w:val="auto"/>
          <w:sz w:val="21"/>
          <w:szCs w:val="21"/>
          <w:lang w:eastAsia="zh-CN"/>
        </w:rPr>
        <w:t>其</w:t>
      </w:r>
      <w:r>
        <w:rPr>
          <w:rFonts w:hint="eastAsia" w:ascii="宋体" w:hAnsi="宋体" w:eastAsia="宋体" w:cs="宋体"/>
          <w:color w:val="auto"/>
          <w:sz w:val="21"/>
          <w:szCs w:val="21"/>
        </w:rPr>
        <w:t>真实性。</w:t>
      </w:r>
      <w:r>
        <w:rPr>
          <w:rFonts w:hint="eastAsia" w:ascii="宋体" w:hAnsi="宋体" w:eastAsia="宋体" w:cs="宋体"/>
          <w:b/>
          <w:color w:val="auto"/>
          <w:sz w:val="21"/>
          <w:szCs w:val="21"/>
        </w:rPr>
        <w:t>如主管部门查实投标文件中存在虚假资料的，无论相关资料是否由第三方或本公司员工提供，均不影响主管部门对供应商存在“隐瞒真实情况，提供虚假资料”违法行为的认定。</w:t>
      </w:r>
    </w:p>
    <w:p w14:paraId="1E0E22E3">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sz w:val="21"/>
          <w:szCs w:val="21"/>
          <w:lang w:eastAsia="zh-CN"/>
        </w:rPr>
        <w:t>处理</w:t>
      </w:r>
      <w:r>
        <w:rPr>
          <w:rFonts w:hint="eastAsia" w:ascii="宋体" w:hAnsi="宋体" w:eastAsia="宋体" w:cs="宋体"/>
          <w:color w:val="auto"/>
          <w:sz w:val="21"/>
          <w:szCs w:val="21"/>
        </w:rPr>
        <w:t>。</w:t>
      </w:r>
    </w:p>
    <w:p w14:paraId="1BDF88D0">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对投标电子密钥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负有妥善保管、及时变更和续期等主体责任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使用电子密钥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在深圳政府采购网站进行的活动，均具有法律效力，须承担相应的法律后果。</w:t>
      </w:r>
      <w:r>
        <w:rPr>
          <w:rFonts w:hint="eastAsia" w:ascii="宋体" w:hAnsi="宋体" w:eastAsia="宋体" w:cs="宋体"/>
          <w:color w:val="auto"/>
          <w:sz w:val="21"/>
          <w:szCs w:val="21"/>
          <w:lang w:eastAsia="zh-CN"/>
        </w:rPr>
        <w:t>若</w:t>
      </w:r>
      <w:r>
        <w:rPr>
          <w:rFonts w:hint="eastAsia" w:ascii="宋体" w:hAnsi="宋体" w:eastAsia="宋体" w:cs="宋体"/>
          <w:b/>
          <w:bCs/>
          <w:color w:val="auto"/>
          <w:sz w:val="21"/>
          <w:szCs w:val="21"/>
        </w:rPr>
        <w:t>擅自将投标密钥</w:t>
      </w:r>
      <w:r>
        <w:rPr>
          <w:rFonts w:hint="eastAsia" w:ascii="宋体" w:hAnsi="宋体" w:eastAsia="宋体" w:cs="宋体"/>
          <w:b/>
          <w:bCs/>
          <w:color w:val="auto"/>
          <w:sz w:val="21"/>
          <w:szCs w:val="21"/>
          <w:lang w:eastAsia="zh-CN"/>
        </w:rPr>
        <w:t>或</w:t>
      </w:r>
      <w:r>
        <w:rPr>
          <w:rFonts w:hint="eastAsia" w:ascii="宋体" w:hAnsi="宋体" w:eastAsia="宋体" w:cs="宋体"/>
          <w:b/>
          <w:bCs/>
          <w:color w:val="auto"/>
          <w:sz w:val="21"/>
          <w:szCs w:val="21"/>
          <w:lang w:val="en-US" w:eastAsia="zh-CN"/>
        </w:rPr>
        <w:t>电子营业执照</w:t>
      </w:r>
      <w:r>
        <w:rPr>
          <w:rFonts w:hint="eastAsia" w:ascii="宋体" w:hAnsi="宋体" w:eastAsia="宋体" w:cs="宋体"/>
          <w:b/>
          <w:bCs/>
          <w:color w:val="auto"/>
          <w:sz w:val="21"/>
          <w:szCs w:val="21"/>
        </w:rPr>
        <w:t>出借他人使用所造成的法律后果，由</w:t>
      </w: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自行承担</w:t>
      </w:r>
      <w:r>
        <w:rPr>
          <w:rFonts w:hint="eastAsia" w:ascii="宋体" w:hAnsi="宋体" w:eastAsia="宋体" w:cs="宋体"/>
          <w:color w:val="auto"/>
          <w:sz w:val="21"/>
          <w:szCs w:val="21"/>
        </w:rPr>
        <w:t>。</w:t>
      </w:r>
    </w:p>
    <w:p w14:paraId="77042D68">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四、</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已充分知悉政府采购违法、违规行为的法律</w:t>
      </w:r>
      <w:r>
        <w:rPr>
          <w:rFonts w:hint="eastAsia" w:ascii="宋体" w:hAnsi="宋体" w:eastAsia="宋体" w:cs="宋体"/>
          <w:b/>
          <w:color w:val="auto"/>
          <w:sz w:val="21"/>
          <w:szCs w:val="21"/>
          <w:highlight w:val="none"/>
        </w:rPr>
        <w:t>后果。</w:t>
      </w:r>
    </w:p>
    <w:p w14:paraId="0E153D11">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经查实，若</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ascii="宋体" w:hAnsi="宋体" w:eastAsia="宋体" w:cs="宋体"/>
          <w:color w:val="auto"/>
          <w:sz w:val="21"/>
          <w:szCs w:val="21"/>
          <w:highlight w:val="none"/>
        </w:rPr>
        <w:t>分之二十以上千分之三十以下罚款，由市场监管部门依法吊销营业执照。</w:t>
      </w:r>
    </w:p>
    <w:p w14:paraId="6597DA16">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以下文字请投标供应商抄写并确认：“</w:t>
      </w:r>
      <w:r>
        <w:rPr>
          <w:rFonts w:hint="eastAsia" w:ascii="宋体" w:hAnsi="宋体" w:eastAsia="宋体" w:cs="宋体"/>
          <w:color w:val="auto"/>
          <w:sz w:val="21"/>
          <w:szCs w:val="21"/>
          <w:highlight w:val="none"/>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highlight w:val="none"/>
        </w:rPr>
        <w:t>已仔细阅读《政府采购违法行为风险知悉确认书》，充分知悉违法行为的法律后果，并承诺将严谨、诚信、依法依规参与政府采购活动”。</w:t>
      </w:r>
    </w:p>
    <w:tbl>
      <w:tblPr>
        <w:tblStyle w:val="219"/>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4B37EF9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noWrap w:val="0"/>
            <w:vAlign w:val="top"/>
          </w:tcPr>
          <w:p w14:paraId="654ADD62">
            <w:pPr>
              <w:autoSpaceDE w:val="0"/>
              <w:autoSpaceDN w:val="0"/>
              <w:spacing w:beforeLines="0" w:line="340" w:lineRule="exact"/>
              <w:ind w:firstLine="1866"/>
              <w:rPr>
                <w:rFonts w:hint="eastAsia" w:ascii="宋体" w:hAnsi="宋体" w:eastAsia="宋体" w:cs="宋体"/>
                <w:color w:val="auto"/>
                <w:spacing w:val="-4"/>
                <w:kern w:val="0"/>
                <w:sz w:val="21"/>
                <w:szCs w:val="21"/>
                <w:highlight w:val="none"/>
              </w:rPr>
            </w:pPr>
          </w:p>
        </w:tc>
      </w:tr>
      <w:tr w14:paraId="4CFB09D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val="0"/>
            <w:vAlign w:val="top"/>
          </w:tcPr>
          <w:p w14:paraId="7A19D97E">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39528BC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val="0"/>
            <w:vAlign w:val="top"/>
          </w:tcPr>
          <w:p w14:paraId="61CB465E">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518E9BA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noWrap w:val="0"/>
            <w:vAlign w:val="top"/>
          </w:tcPr>
          <w:p w14:paraId="3F4F98A9">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bl>
    <w:p w14:paraId="734B8372">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rPr>
      </w:pPr>
    </w:p>
    <w:p w14:paraId="477D1362">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eastAsia="zh-CN"/>
        </w:rPr>
        <w:t>单位</w:t>
      </w:r>
      <w:r>
        <w:rPr>
          <w:rFonts w:hint="eastAsia" w:ascii="宋体" w:hAnsi="宋体" w:eastAsia="宋体" w:cs="宋体"/>
          <w:color w:val="auto"/>
          <w:spacing w:val="-4"/>
          <w:kern w:val="0"/>
          <w:sz w:val="21"/>
          <w:szCs w:val="21"/>
        </w:rPr>
        <w:t>负责人签名：</w:t>
      </w:r>
      <w:r>
        <w:rPr>
          <w:rFonts w:hint="eastAsia" w:ascii="宋体" w:hAnsi="宋体" w:eastAsia="宋体" w:cs="宋体"/>
          <w:color w:val="auto"/>
          <w:spacing w:val="-4"/>
          <w:kern w:val="0"/>
          <w:sz w:val="21"/>
          <w:szCs w:val="21"/>
          <w:u w:val="single"/>
        </w:rPr>
        <w:t xml:space="preserve">              </w:t>
      </w:r>
    </w:p>
    <w:p w14:paraId="1A2CDB16">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val="en-US" w:eastAsia="zh-CN"/>
        </w:rPr>
        <w:t xml:space="preserve">                                  </w:t>
      </w:r>
      <w:r>
        <w:rPr>
          <w:rFonts w:hint="eastAsia" w:ascii="宋体" w:hAnsi="宋体" w:eastAsia="宋体" w:cs="宋体"/>
          <w:color w:val="auto"/>
          <w:spacing w:val="-4"/>
          <w:kern w:val="0"/>
          <w:sz w:val="21"/>
          <w:szCs w:val="21"/>
          <w:lang w:eastAsia="zh-CN"/>
        </w:rPr>
        <w:t>（加盖单位</w:t>
      </w:r>
      <w:r>
        <w:rPr>
          <w:rFonts w:hint="eastAsia" w:ascii="宋体" w:hAnsi="宋体" w:eastAsia="宋体" w:cs="宋体"/>
          <w:color w:val="auto"/>
          <w:spacing w:val="-4"/>
          <w:kern w:val="0"/>
          <w:sz w:val="21"/>
          <w:szCs w:val="21"/>
        </w:rPr>
        <w:t>公章</w:t>
      </w:r>
      <w:r>
        <w:rPr>
          <w:rFonts w:hint="eastAsia" w:ascii="宋体" w:hAnsi="宋体" w:eastAsia="宋体" w:cs="宋体"/>
          <w:color w:val="auto"/>
          <w:spacing w:val="-4"/>
          <w:kern w:val="0"/>
          <w:sz w:val="21"/>
          <w:szCs w:val="21"/>
          <w:lang w:eastAsia="zh-CN"/>
        </w:rPr>
        <w:t>）</w:t>
      </w:r>
    </w:p>
    <w:p w14:paraId="7E7BB165">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rPr>
        <w:t xml:space="preserve">     日期：</w:t>
      </w:r>
      <w:r>
        <w:rPr>
          <w:rFonts w:hint="eastAsia" w:ascii="宋体" w:hAnsi="宋体" w:eastAsia="宋体" w:cs="宋体"/>
          <w:color w:val="auto"/>
          <w:spacing w:val="-4"/>
          <w:kern w:val="0"/>
          <w:sz w:val="21"/>
          <w:szCs w:val="21"/>
          <w:u w:val="single"/>
        </w:rPr>
        <w:t xml:space="preserve">              </w:t>
      </w:r>
    </w:p>
    <w:p w14:paraId="191FF75E">
      <w:pPr>
        <w:widowControl/>
        <w:autoSpaceDE w:val="0"/>
        <w:autoSpaceDN w:val="0"/>
        <w:spacing w:beforeLines="0" w:line="340" w:lineRule="exact"/>
        <w:ind w:firstLine="406" w:firstLineChars="200"/>
        <w:jc w:val="left"/>
        <w:rPr>
          <w:rFonts w:hint="eastAsia" w:ascii="宋体" w:hAnsi="宋体" w:eastAsia="宋体" w:cs="宋体"/>
          <w:b/>
          <w:bCs/>
          <w:color w:val="auto"/>
          <w:spacing w:val="-4"/>
          <w:kern w:val="0"/>
          <w:sz w:val="21"/>
          <w:szCs w:val="21"/>
        </w:rPr>
      </w:pPr>
    </w:p>
    <w:p w14:paraId="6C3CD24F">
      <w:pPr>
        <w:keepNext w:val="0"/>
        <w:keepLines w:val="0"/>
        <w:pageBreakBefore w:val="0"/>
        <w:widowControl/>
        <w:suppressLineNumbers w:val="0"/>
        <w:kinsoku/>
        <w:wordWrap/>
        <w:overflowPunct/>
        <w:topLinePunct w:val="0"/>
        <w:autoSpaceDE w:val="0"/>
        <w:autoSpaceDN w:val="0"/>
        <w:bidi w:val="0"/>
        <w:adjustRightInd/>
        <w:snapToGrid/>
        <w:spacing w:beforeLines="0" w:line="340" w:lineRule="exact"/>
        <w:ind w:firstLine="406"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b/>
          <w:bCs/>
          <w:color w:val="auto"/>
          <w:spacing w:val="-4"/>
          <w:kern w:val="0"/>
          <w:sz w:val="21"/>
          <w:szCs w:val="21"/>
        </w:rPr>
        <w:t>注：</w:t>
      </w:r>
      <w:r>
        <w:rPr>
          <w:rFonts w:hint="eastAsia" w:ascii="宋体" w:hAnsi="宋体" w:eastAsia="宋体" w:cs="宋体"/>
          <w:b/>
          <w:bCs/>
          <w:color w:val="auto"/>
          <w:spacing w:val="-4"/>
          <w:kern w:val="0"/>
          <w:sz w:val="21"/>
          <w:szCs w:val="21"/>
          <w:lang w:eastAsia="zh-CN"/>
        </w:rPr>
        <w:t>《</w:t>
      </w:r>
      <w:r>
        <w:rPr>
          <w:rFonts w:hint="eastAsia" w:ascii="宋体" w:hAnsi="宋体" w:eastAsia="宋体" w:cs="宋体"/>
          <w:b/>
          <w:bCs/>
          <w:color w:val="auto"/>
          <w:spacing w:val="-4"/>
          <w:kern w:val="0"/>
          <w:sz w:val="21"/>
          <w:szCs w:val="21"/>
          <w:lang w:val="en-US" w:eastAsia="zh-CN"/>
        </w:rPr>
        <w:t>政府采购违法行为风险知悉确认书</w:t>
      </w:r>
      <w:r>
        <w:rPr>
          <w:rFonts w:hint="eastAsia" w:ascii="宋体" w:hAnsi="宋体" w:eastAsia="宋体" w:cs="宋体"/>
          <w:b/>
          <w:bCs/>
          <w:color w:val="auto"/>
          <w:spacing w:val="-4"/>
          <w:kern w:val="0"/>
          <w:sz w:val="21"/>
          <w:szCs w:val="21"/>
          <w:lang w:eastAsia="zh-CN"/>
        </w:rPr>
        <w:t>》需由</w:t>
      </w:r>
      <w:r>
        <w:rPr>
          <w:rFonts w:hint="eastAsia" w:ascii="宋体" w:hAnsi="宋体" w:eastAsia="宋体" w:cs="宋体"/>
          <w:b/>
          <w:bCs/>
          <w:color w:val="auto"/>
          <w:spacing w:val="-4"/>
          <w:kern w:val="0"/>
          <w:sz w:val="21"/>
          <w:szCs w:val="21"/>
          <w:highlight w:val="none"/>
        </w:rPr>
        <w:t>投标供应商负责人签字并加盖单位公章后，扫描上传至投标文件一并提交。</w:t>
      </w:r>
    </w:p>
    <w:p w14:paraId="611A01EA">
      <w:pPr>
        <w:spacing w:line="360" w:lineRule="auto"/>
        <w:ind w:firstLine="422" w:firstLineChars="200"/>
        <w:rPr>
          <w:rFonts w:ascii="宋体" w:hAnsi="宋体"/>
          <w:b/>
          <w:bCs/>
          <w:szCs w:val="21"/>
        </w:rPr>
      </w:pPr>
    </w:p>
    <w:p w14:paraId="14C00354">
      <w:pPr>
        <w:rPr>
          <w:rFonts w:ascii="宋体" w:hAnsi="宋体"/>
          <w:szCs w:val="21"/>
        </w:rPr>
      </w:pPr>
      <w:r>
        <w:rPr>
          <w:rFonts w:hint="eastAsia"/>
          <w:szCs w:val="21"/>
          <w:u w:val="single"/>
        </w:rPr>
        <w:t>（备注：如联合体投标，仅需加盖牵头人的公章）</w:t>
      </w:r>
    </w:p>
    <w:p w14:paraId="29069AE0">
      <w:pPr>
        <w:pStyle w:val="210"/>
        <w:rPr>
          <w:rFonts w:hint="eastAsia" w:ascii="宋体" w:hAnsi="宋体"/>
          <w:szCs w:val="21"/>
        </w:rPr>
      </w:pPr>
    </w:p>
    <w:p w14:paraId="5A954BE4">
      <w:pPr>
        <w:rPr>
          <w:rFonts w:ascii="仿宋_GB2312" w:eastAsia="仿宋_GB2312"/>
          <w:b/>
          <w:sz w:val="30"/>
          <w:szCs w:val="30"/>
        </w:rPr>
      </w:pPr>
    </w:p>
    <w:p w14:paraId="70C08B5F">
      <w:pPr>
        <w:rPr>
          <w:rFonts w:hint="eastAsia" w:ascii="黑体" w:hAnsi="宋体" w:eastAsia="黑体" w:cs="Times New Roman"/>
          <w:bCs/>
          <w:kern w:val="0"/>
          <w:sz w:val="24"/>
          <w:szCs w:val="32"/>
          <w:lang w:eastAsia="zh-CN"/>
        </w:rPr>
      </w:pPr>
      <w:r>
        <w:rPr>
          <w:rFonts w:hint="eastAsia" w:ascii="黑体" w:hAnsi="宋体" w:eastAsia="黑体" w:cs="Times New Roman"/>
          <w:bCs/>
          <w:kern w:val="0"/>
          <w:sz w:val="24"/>
          <w:szCs w:val="32"/>
          <w:lang w:eastAsia="zh-CN"/>
        </w:rPr>
        <w:br w:type="page"/>
      </w:r>
    </w:p>
    <w:p w14:paraId="5B50EFF4">
      <w:pPr>
        <w:keepNext/>
        <w:keepLines/>
        <w:spacing w:before="260" w:after="260"/>
        <w:jc w:val="center"/>
        <w:outlineLvl w:val="2"/>
        <w:rPr>
          <w:rFonts w:hint="eastAsia" w:ascii="黑体" w:hAnsi="宋体" w:eastAsia="黑体" w:cs="Times New Roman"/>
          <w:bCs/>
          <w:kern w:val="0"/>
          <w:sz w:val="24"/>
          <w:szCs w:val="32"/>
        </w:rPr>
      </w:pPr>
      <w:r>
        <w:rPr>
          <w:rFonts w:hint="eastAsia" w:ascii="黑体" w:hAnsi="宋体" w:eastAsia="黑体" w:cs="Times New Roman"/>
          <w:bCs/>
          <w:kern w:val="0"/>
          <w:sz w:val="24"/>
          <w:szCs w:val="32"/>
          <w:lang w:eastAsia="zh-CN"/>
        </w:rPr>
        <w:t>供应商自查</w:t>
      </w:r>
      <w:r>
        <w:rPr>
          <w:rFonts w:hint="eastAsia" w:ascii="黑体" w:hAnsi="宋体" w:eastAsia="黑体" w:cs="Times New Roman"/>
          <w:bCs/>
          <w:kern w:val="0"/>
          <w:sz w:val="24"/>
          <w:szCs w:val="32"/>
        </w:rPr>
        <w:t>表</w:t>
      </w:r>
    </w:p>
    <w:p w14:paraId="1B5B1F36">
      <w:pPr>
        <w:spacing w:before="157" w:line="198" w:lineRule="auto"/>
        <w:ind w:left="126" w:right="-21" w:rightChars="-10"/>
        <w:jc w:val="center"/>
      </w:pPr>
      <w:r>
        <w:rPr>
          <w:rFonts w:hint="eastAsia" w:ascii="宋体" w:hAnsi="宋体" w:eastAsia="宋体" w:cs="宋体"/>
          <w:sz w:val="21"/>
          <w:szCs w:val="21"/>
        </w:rPr>
        <w:t>填表单位：</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bl>
      <w:tblPr>
        <w:tblStyle w:val="42"/>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291B6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0"/>
            <w:vAlign w:val="center"/>
          </w:tcPr>
          <w:p w14:paraId="67F48C56">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noWrap w:val="0"/>
            <w:vAlign w:val="center"/>
          </w:tcPr>
          <w:p w14:paraId="038657B3">
            <w:pPr>
              <w:spacing w:line="360" w:lineRule="exact"/>
              <w:jc w:val="center"/>
              <w:rPr>
                <w:rFonts w:hint="eastAsia" w:ascii="宋体" w:hAnsi="宋体" w:eastAsia="宋体"/>
                <w:szCs w:val="21"/>
                <w:lang w:eastAsia="zh-CN"/>
              </w:rPr>
            </w:pPr>
            <w:r>
              <w:rPr>
                <w:rFonts w:hint="eastAsia" w:ascii="宋体" w:hAnsi="宋体" w:eastAsia="宋体"/>
                <w:szCs w:val="21"/>
                <w:lang w:eastAsia="zh-CN"/>
              </w:rPr>
              <w:t>是否存在以下投标违规行为</w:t>
            </w:r>
          </w:p>
        </w:tc>
        <w:tc>
          <w:tcPr>
            <w:tcW w:w="2921" w:type="dxa"/>
            <w:noWrap w:val="0"/>
            <w:vAlign w:val="center"/>
          </w:tcPr>
          <w:p w14:paraId="32D6710D">
            <w:pPr>
              <w:spacing w:line="360" w:lineRule="exact"/>
              <w:jc w:val="center"/>
              <w:rPr>
                <w:rFonts w:hint="eastAsia" w:ascii="宋体" w:hAnsi="宋体"/>
                <w:szCs w:val="21"/>
                <w:lang w:eastAsia="zh-CN"/>
              </w:rPr>
            </w:pPr>
            <w:r>
              <w:rPr>
                <w:rFonts w:hint="eastAsia" w:ascii="宋体" w:hAnsi="宋体"/>
                <w:szCs w:val="21"/>
                <w:lang w:eastAsia="zh-CN"/>
              </w:rPr>
              <w:t>自查情况</w:t>
            </w:r>
          </w:p>
          <w:p w14:paraId="2284357F">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noWrap w:val="0"/>
            <w:vAlign w:val="center"/>
          </w:tcPr>
          <w:p w14:paraId="50E571AC">
            <w:pPr>
              <w:spacing w:line="360" w:lineRule="exact"/>
              <w:jc w:val="center"/>
              <w:rPr>
                <w:rFonts w:ascii="宋体" w:hAnsi="宋体"/>
                <w:szCs w:val="21"/>
              </w:rPr>
            </w:pPr>
            <w:r>
              <w:rPr>
                <w:rFonts w:hint="eastAsia" w:ascii="宋体" w:hAnsi="宋体"/>
                <w:szCs w:val="21"/>
              </w:rPr>
              <w:t>备注</w:t>
            </w:r>
          </w:p>
        </w:tc>
      </w:tr>
      <w:tr w14:paraId="028B7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0"/>
            <w:vAlign w:val="center"/>
          </w:tcPr>
          <w:p w14:paraId="596D18F6">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noWrap w:val="0"/>
            <w:vAlign w:val="center"/>
          </w:tcPr>
          <w:p w14:paraId="2280D40E">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noWrap w:val="0"/>
            <w:vAlign w:val="center"/>
          </w:tcPr>
          <w:p w14:paraId="72C5C00D">
            <w:pPr>
              <w:spacing w:line="360" w:lineRule="exact"/>
              <w:jc w:val="center"/>
              <w:rPr>
                <w:rFonts w:ascii="宋体" w:hAnsi="宋体"/>
                <w:b/>
                <w:szCs w:val="21"/>
              </w:rPr>
            </w:pPr>
          </w:p>
        </w:tc>
        <w:tc>
          <w:tcPr>
            <w:tcW w:w="924" w:type="dxa"/>
            <w:noWrap w:val="0"/>
            <w:vAlign w:val="center"/>
          </w:tcPr>
          <w:p w14:paraId="43CD5971">
            <w:pPr>
              <w:spacing w:line="360" w:lineRule="exact"/>
              <w:jc w:val="center"/>
              <w:rPr>
                <w:rFonts w:ascii="宋体" w:hAnsi="宋体"/>
                <w:b/>
                <w:szCs w:val="21"/>
              </w:rPr>
            </w:pPr>
          </w:p>
        </w:tc>
      </w:tr>
      <w:tr w14:paraId="0D8D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49C1FB4F">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noWrap w:val="0"/>
            <w:vAlign w:val="center"/>
          </w:tcPr>
          <w:p w14:paraId="7FA5D884">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noWrap w:val="0"/>
            <w:vAlign w:val="center"/>
          </w:tcPr>
          <w:p w14:paraId="545761E7">
            <w:pPr>
              <w:spacing w:line="360" w:lineRule="exact"/>
              <w:jc w:val="center"/>
              <w:rPr>
                <w:rFonts w:ascii="宋体" w:hAnsi="宋体"/>
                <w:b/>
                <w:szCs w:val="21"/>
              </w:rPr>
            </w:pPr>
          </w:p>
        </w:tc>
        <w:tc>
          <w:tcPr>
            <w:tcW w:w="924" w:type="dxa"/>
            <w:noWrap w:val="0"/>
            <w:vAlign w:val="center"/>
          </w:tcPr>
          <w:p w14:paraId="1BC73DEC">
            <w:pPr>
              <w:spacing w:line="360" w:lineRule="exact"/>
              <w:jc w:val="center"/>
              <w:rPr>
                <w:rFonts w:ascii="宋体" w:hAnsi="宋体"/>
                <w:b/>
                <w:szCs w:val="21"/>
              </w:rPr>
            </w:pPr>
          </w:p>
        </w:tc>
      </w:tr>
      <w:tr w14:paraId="0421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0"/>
            <w:vAlign w:val="center"/>
          </w:tcPr>
          <w:p w14:paraId="1A58847A">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noWrap w:val="0"/>
            <w:vAlign w:val="center"/>
          </w:tcPr>
          <w:p w14:paraId="475CDDF2">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noWrap w:val="0"/>
            <w:vAlign w:val="center"/>
          </w:tcPr>
          <w:p w14:paraId="7617BB1B">
            <w:pPr>
              <w:spacing w:line="360" w:lineRule="exact"/>
              <w:jc w:val="center"/>
              <w:rPr>
                <w:rFonts w:ascii="宋体" w:hAnsi="宋体"/>
                <w:b/>
                <w:szCs w:val="21"/>
              </w:rPr>
            </w:pPr>
          </w:p>
        </w:tc>
        <w:tc>
          <w:tcPr>
            <w:tcW w:w="924" w:type="dxa"/>
            <w:noWrap w:val="0"/>
            <w:vAlign w:val="center"/>
          </w:tcPr>
          <w:p w14:paraId="67C5F46C">
            <w:pPr>
              <w:spacing w:line="360" w:lineRule="exact"/>
              <w:jc w:val="center"/>
              <w:rPr>
                <w:rFonts w:ascii="宋体" w:hAnsi="宋体"/>
                <w:b/>
                <w:szCs w:val="21"/>
              </w:rPr>
            </w:pPr>
          </w:p>
        </w:tc>
      </w:tr>
      <w:tr w14:paraId="3C668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0"/>
            <w:vAlign w:val="center"/>
          </w:tcPr>
          <w:p w14:paraId="617AABE7">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noWrap w:val="0"/>
            <w:vAlign w:val="center"/>
          </w:tcPr>
          <w:p w14:paraId="1A7D2A7C">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noWrap w:val="0"/>
            <w:vAlign w:val="center"/>
          </w:tcPr>
          <w:p w14:paraId="5BAD0AC3">
            <w:pPr>
              <w:spacing w:line="360" w:lineRule="exact"/>
              <w:jc w:val="center"/>
              <w:rPr>
                <w:rFonts w:ascii="宋体" w:hAnsi="宋体"/>
                <w:b/>
                <w:szCs w:val="21"/>
              </w:rPr>
            </w:pPr>
          </w:p>
        </w:tc>
        <w:tc>
          <w:tcPr>
            <w:tcW w:w="924" w:type="dxa"/>
            <w:noWrap w:val="0"/>
            <w:vAlign w:val="center"/>
          </w:tcPr>
          <w:p w14:paraId="60A71262">
            <w:pPr>
              <w:spacing w:line="360" w:lineRule="exact"/>
              <w:jc w:val="center"/>
              <w:rPr>
                <w:rFonts w:ascii="宋体" w:hAnsi="宋体"/>
                <w:b/>
                <w:szCs w:val="21"/>
              </w:rPr>
            </w:pPr>
          </w:p>
        </w:tc>
      </w:tr>
      <w:tr w14:paraId="1A54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255F140A">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noWrap w:val="0"/>
            <w:vAlign w:val="center"/>
          </w:tcPr>
          <w:p w14:paraId="57EE52DE">
            <w:pPr>
              <w:jc w:val="left"/>
              <w:rPr>
                <w:rFonts w:hint="eastAsia" w:ascii="宋体" w:hAnsi="宋体" w:eastAsia="宋体" w:cs="宋体"/>
                <w:snapToGrid w:val="0"/>
                <w:color w:val="auto"/>
                <w:kern w:val="0"/>
                <w:szCs w:val="21"/>
              </w:rPr>
            </w:pPr>
            <w:r>
              <w:rPr>
                <w:color w:val="auto"/>
                <w:sz w:val="21"/>
                <w:szCs w:val="21"/>
              </w:rPr>
              <w:t>不同投标供应商的投标文件内容存在非正常一致。</w:t>
            </w:r>
          </w:p>
        </w:tc>
        <w:tc>
          <w:tcPr>
            <w:tcW w:w="2921" w:type="dxa"/>
            <w:noWrap w:val="0"/>
            <w:vAlign w:val="center"/>
          </w:tcPr>
          <w:p w14:paraId="15EEF990">
            <w:pPr>
              <w:spacing w:line="360" w:lineRule="exact"/>
              <w:jc w:val="center"/>
              <w:rPr>
                <w:rFonts w:ascii="宋体" w:hAnsi="宋体"/>
                <w:b/>
                <w:szCs w:val="21"/>
              </w:rPr>
            </w:pPr>
          </w:p>
        </w:tc>
        <w:tc>
          <w:tcPr>
            <w:tcW w:w="924" w:type="dxa"/>
            <w:noWrap w:val="0"/>
            <w:vAlign w:val="center"/>
          </w:tcPr>
          <w:p w14:paraId="2AC77C93">
            <w:pPr>
              <w:spacing w:line="360" w:lineRule="exact"/>
              <w:jc w:val="center"/>
              <w:rPr>
                <w:rFonts w:ascii="宋体" w:hAnsi="宋体"/>
                <w:b/>
                <w:szCs w:val="21"/>
              </w:rPr>
            </w:pPr>
          </w:p>
        </w:tc>
      </w:tr>
      <w:tr w14:paraId="2CF6D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2D6C9D18">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noWrap w:val="0"/>
            <w:vAlign w:val="center"/>
          </w:tcPr>
          <w:p w14:paraId="073D80B4">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noWrap w:val="0"/>
            <w:vAlign w:val="center"/>
          </w:tcPr>
          <w:p w14:paraId="4160343F">
            <w:pPr>
              <w:spacing w:line="360" w:lineRule="exact"/>
              <w:jc w:val="center"/>
              <w:rPr>
                <w:rFonts w:ascii="宋体" w:hAnsi="宋体"/>
                <w:b/>
                <w:szCs w:val="21"/>
              </w:rPr>
            </w:pPr>
          </w:p>
        </w:tc>
        <w:tc>
          <w:tcPr>
            <w:tcW w:w="924" w:type="dxa"/>
            <w:noWrap w:val="0"/>
            <w:vAlign w:val="center"/>
          </w:tcPr>
          <w:p w14:paraId="5D4672D9">
            <w:pPr>
              <w:spacing w:line="360" w:lineRule="exact"/>
              <w:jc w:val="center"/>
              <w:rPr>
                <w:rFonts w:ascii="宋体" w:hAnsi="宋体"/>
                <w:b/>
                <w:szCs w:val="21"/>
              </w:rPr>
            </w:pPr>
          </w:p>
        </w:tc>
      </w:tr>
      <w:tr w14:paraId="74CB6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0"/>
            <w:vAlign w:val="center"/>
          </w:tcPr>
          <w:p w14:paraId="66DD3F5A">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noWrap w:val="0"/>
            <w:vAlign w:val="center"/>
          </w:tcPr>
          <w:p w14:paraId="75814895">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noWrap w:val="0"/>
            <w:vAlign w:val="center"/>
          </w:tcPr>
          <w:p w14:paraId="5D498269">
            <w:pPr>
              <w:spacing w:line="360" w:lineRule="exact"/>
              <w:jc w:val="center"/>
              <w:rPr>
                <w:rFonts w:ascii="宋体" w:hAnsi="宋体"/>
                <w:b/>
                <w:szCs w:val="21"/>
              </w:rPr>
            </w:pPr>
          </w:p>
        </w:tc>
        <w:tc>
          <w:tcPr>
            <w:tcW w:w="924" w:type="dxa"/>
            <w:noWrap w:val="0"/>
            <w:vAlign w:val="center"/>
          </w:tcPr>
          <w:p w14:paraId="385FE87E">
            <w:pPr>
              <w:spacing w:line="360" w:lineRule="exact"/>
              <w:jc w:val="center"/>
              <w:rPr>
                <w:rFonts w:ascii="宋体" w:hAnsi="宋体"/>
                <w:b/>
                <w:szCs w:val="21"/>
              </w:rPr>
            </w:pPr>
          </w:p>
        </w:tc>
      </w:tr>
      <w:tr w14:paraId="21609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0"/>
            <w:vAlign w:val="center"/>
          </w:tcPr>
          <w:p w14:paraId="272B0799">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noWrap w:val="0"/>
            <w:vAlign w:val="center"/>
          </w:tcPr>
          <w:p w14:paraId="2E31A82C">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921" w:type="dxa"/>
            <w:noWrap w:val="0"/>
            <w:vAlign w:val="center"/>
          </w:tcPr>
          <w:p w14:paraId="18BB6D3A">
            <w:pPr>
              <w:spacing w:line="360" w:lineRule="exact"/>
              <w:jc w:val="center"/>
              <w:rPr>
                <w:rFonts w:ascii="宋体" w:hAnsi="宋体"/>
                <w:b/>
                <w:szCs w:val="21"/>
              </w:rPr>
            </w:pPr>
          </w:p>
        </w:tc>
        <w:tc>
          <w:tcPr>
            <w:tcW w:w="924" w:type="dxa"/>
            <w:noWrap w:val="0"/>
            <w:vAlign w:val="center"/>
          </w:tcPr>
          <w:p w14:paraId="492E9509">
            <w:pPr>
              <w:spacing w:line="360" w:lineRule="exact"/>
              <w:jc w:val="center"/>
              <w:rPr>
                <w:rFonts w:ascii="宋体" w:hAnsi="宋体"/>
                <w:b/>
                <w:szCs w:val="21"/>
              </w:rPr>
            </w:pPr>
          </w:p>
        </w:tc>
      </w:tr>
      <w:tr w14:paraId="39093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0"/>
            <w:vAlign w:val="center"/>
          </w:tcPr>
          <w:p w14:paraId="5B60BFE4">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noWrap w:val="0"/>
            <w:vAlign w:val="center"/>
          </w:tcPr>
          <w:p w14:paraId="3E201071">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noWrap w:val="0"/>
            <w:vAlign w:val="center"/>
          </w:tcPr>
          <w:p w14:paraId="12600664">
            <w:pPr>
              <w:spacing w:line="360" w:lineRule="exact"/>
              <w:jc w:val="center"/>
              <w:rPr>
                <w:rFonts w:ascii="宋体" w:hAnsi="宋体"/>
                <w:b/>
                <w:szCs w:val="21"/>
              </w:rPr>
            </w:pPr>
          </w:p>
        </w:tc>
        <w:tc>
          <w:tcPr>
            <w:tcW w:w="924" w:type="dxa"/>
            <w:noWrap w:val="0"/>
            <w:vAlign w:val="center"/>
          </w:tcPr>
          <w:p w14:paraId="5953E2AE">
            <w:pPr>
              <w:spacing w:line="360" w:lineRule="exact"/>
              <w:jc w:val="center"/>
              <w:rPr>
                <w:rFonts w:ascii="宋体" w:hAnsi="宋体"/>
                <w:b/>
                <w:szCs w:val="21"/>
              </w:rPr>
            </w:pPr>
          </w:p>
        </w:tc>
      </w:tr>
      <w:tr w14:paraId="5C2A4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4F9E20E9">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noWrap w:val="0"/>
            <w:vAlign w:val="center"/>
          </w:tcPr>
          <w:p w14:paraId="5AF6A43F">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投标人之间协商投标报价等投标文件的实质性内容</w:t>
            </w:r>
            <w:r>
              <w:rPr>
                <w:rFonts w:hint="eastAsia" w:ascii="宋体" w:hAnsi="宋体" w:eastAsia="宋体"/>
                <w:sz w:val="21"/>
                <w:szCs w:val="21"/>
                <w:lang w:eastAsia="zh-CN"/>
              </w:rPr>
              <w:t>。</w:t>
            </w:r>
          </w:p>
        </w:tc>
        <w:tc>
          <w:tcPr>
            <w:tcW w:w="2921" w:type="dxa"/>
            <w:noWrap w:val="0"/>
            <w:vAlign w:val="center"/>
          </w:tcPr>
          <w:p w14:paraId="5C224FE7">
            <w:pPr>
              <w:spacing w:line="360" w:lineRule="exact"/>
              <w:jc w:val="center"/>
              <w:rPr>
                <w:rFonts w:ascii="宋体" w:hAnsi="宋体"/>
                <w:b/>
                <w:szCs w:val="21"/>
              </w:rPr>
            </w:pPr>
          </w:p>
        </w:tc>
        <w:tc>
          <w:tcPr>
            <w:tcW w:w="924" w:type="dxa"/>
            <w:noWrap w:val="0"/>
            <w:vAlign w:val="center"/>
          </w:tcPr>
          <w:p w14:paraId="4D55480C">
            <w:pPr>
              <w:spacing w:line="360" w:lineRule="exact"/>
              <w:jc w:val="center"/>
              <w:rPr>
                <w:rFonts w:ascii="宋体" w:hAnsi="宋体"/>
                <w:b/>
                <w:szCs w:val="21"/>
              </w:rPr>
            </w:pPr>
          </w:p>
        </w:tc>
      </w:tr>
      <w:tr w14:paraId="503FE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5387EFE">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noWrap w:val="0"/>
            <w:vAlign w:val="center"/>
          </w:tcPr>
          <w:p w14:paraId="130448E3">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投标人之间约定中标人</w:t>
            </w:r>
            <w:r>
              <w:rPr>
                <w:rFonts w:hint="eastAsia" w:ascii="宋体" w:hAnsi="宋体" w:eastAsia="宋体"/>
                <w:sz w:val="21"/>
                <w:szCs w:val="21"/>
                <w:lang w:eastAsia="zh-CN"/>
              </w:rPr>
              <w:t>。</w:t>
            </w:r>
          </w:p>
        </w:tc>
        <w:tc>
          <w:tcPr>
            <w:tcW w:w="2921" w:type="dxa"/>
            <w:noWrap w:val="0"/>
            <w:vAlign w:val="center"/>
          </w:tcPr>
          <w:p w14:paraId="7ED82FB6">
            <w:pPr>
              <w:spacing w:line="360" w:lineRule="exact"/>
              <w:jc w:val="center"/>
              <w:rPr>
                <w:rFonts w:ascii="宋体" w:hAnsi="宋体"/>
                <w:b/>
                <w:szCs w:val="21"/>
              </w:rPr>
            </w:pPr>
          </w:p>
        </w:tc>
        <w:tc>
          <w:tcPr>
            <w:tcW w:w="924" w:type="dxa"/>
            <w:noWrap w:val="0"/>
            <w:vAlign w:val="center"/>
          </w:tcPr>
          <w:p w14:paraId="5ECC0DD2">
            <w:pPr>
              <w:spacing w:line="360" w:lineRule="exact"/>
              <w:jc w:val="center"/>
              <w:rPr>
                <w:rFonts w:ascii="宋体" w:hAnsi="宋体"/>
                <w:b/>
                <w:szCs w:val="21"/>
              </w:rPr>
            </w:pPr>
          </w:p>
        </w:tc>
      </w:tr>
      <w:tr w14:paraId="317B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3C7BD7EE">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noWrap w:val="0"/>
            <w:vAlign w:val="center"/>
          </w:tcPr>
          <w:p w14:paraId="503FF68E">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投标人之间约定部分投标人放弃投标或者中标</w:t>
            </w:r>
            <w:r>
              <w:rPr>
                <w:rFonts w:hint="eastAsia" w:ascii="宋体" w:hAnsi="宋体" w:eastAsia="宋体"/>
                <w:sz w:val="21"/>
                <w:szCs w:val="21"/>
                <w:lang w:eastAsia="zh-CN"/>
              </w:rPr>
              <w:t>。</w:t>
            </w:r>
          </w:p>
        </w:tc>
        <w:tc>
          <w:tcPr>
            <w:tcW w:w="2921" w:type="dxa"/>
            <w:noWrap w:val="0"/>
            <w:vAlign w:val="center"/>
          </w:tcPr>
          <w:p w14:paraId="6616DDA5">
            <w:pPr>
              <w:spacing w:line="360" w:lineRule="exact"/>
              <w:jc w:val="center"/>
              <w:rPr>
                <w:rFonts w:ascii="宋体" w:hAnsi="宋体"/>
                <w:b/>
                <w:szCs w:val="21"/>
              </w:rPr>
            </w:pPr>
          </w:p>
        </w:tc>
        <w:tc>
          <w:tcPr>
            <w:tcW w:w="924" w:type="dxa"/>
            <w:noWrap w:val="0"/>
            <w:vAlign w:val="center"/>
          </w:tcPr>
          <w:p w14:paraId="36CFEF5C">
            <w:pPr>
              <w:spacing w:line="360" w:lineRule="exact"/>
              <w:jc w:val="center"/>
              <w:rPr>
                <w:rFonts w:ascii="宋体" w:hAnsi="宋体"/>
                <w:b/>
                <w:szCs w:val="21"/>
              </w:rPr>
            </w:pPr>
          </w:p>
        </w:tc>
      </w:tr>
      <w:tr w14:paraId="50DD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15536CE9">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noWrap w:val="0"/>
            <w:vAlign w:val="center"/>
          </w:tcPr>
          <w:p w14:paraId="31F132AA">
            <w:pPr>
              <w:jc w:val="left"/>
              <w:rPr>
                <w:rFonts w:hint="eastAsia" w:ascii="宋体" w:hAnsi="宋体" w:eastAsia="宋体" w:cs="宋体"/>
                <w:color w:val="auto"/>
                <w:sz w:val="21"/>
                <w:szCs w:val="21"/>
                <w:lang w:eastAsia="zh-CN"/>
              </w:rPr>
            </w:pPr>
            <w:r>
              <w:rPr>
                <w:rFonts w:hint="eastAsia" w:ascii="宋体" w:hAnsi="宋体" w:eastAsia="宋体"/>
                <w:sz w:val="21"/>
                <w:szCs w:val="21"/>
              </w:rPr>
              <w:t>属于同一集团、协会、商会等组织成员的投标人按照该组织要求协同投标</w:t>
            </w:r>
            <w:r>
              <w:rPr>
                <w:rFonts w:hint="eastAsia" w:ascii="宋体" w:hAnsi="宋体" w:eastAsia="宋体"/>
                <w:sz w:val="21"/>
                <w:szCs w:val="21"/>
                <w:lang w:eastAsia="zh-CN"/>
              </w:rPr>
              <w:t>。</w:t>
            </w:r>
          </w:p>
        </w:tc>
        <w:tc>
          <w:tcPr>
            <w:tcW w:w="2921" w:type="dxa"/>
            <w:noWrap w:val="0"/>
            <w:vAlign w:val="center"/>
          </w:tcPr>
          <w:p w14:paraId="1F3C9D28">
            <w:pPr>
              <w:spacing w:line="360" w:lineRule="exact"/>
              <w:jc w:val="center"/>
              <w:rPr>
                <w:rFonts w:ascii="宋体" w:hAnsi="宋体"/>
                <w:b/>
                <w:szCs w:val="21"/>
              </w:rPr>
            </w:pPr>
          </w:p>
        </w:tc>
        <w:tc>
          <w:tcPr>
            <w:tcW w:w="924" w:type="dxa"/>
            <w:noWrap w:val="0"/>
            <w:vAlign w:val="center"/>
          </w:tcPr>
          <w:p w14:paraId="09181F6C">
            <w:pPr>
              <w:spacing w:line="360" w:lineRule="exact"/>
              <w:jc w:val="center"/>
              <w:rPr>
                <w:rFonts w:ascii="宋体" w:hAnsi="宋体"/>
                <w:b/>
                <w:szCs w:val="21"/>
              </w:rPr>
            </w:pPr>
          </w:p>
        </w:tc>
      </w:tr>
      <w:tr w14:paraId="5C332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3F222998">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6023" w:type="dxa"/>
            <w:noWrap w:val="0"/>
            <w:vAlign w:val="center"/>
          </w:tcPr>
          <w:p w14:paraId="0188A9F9">
            <w:pPr>
              <w:jc w:val="left"/>
              <w:rPr>
                <w:rFonts w:hint="eastAsia" w:ascii="宋体" w:hAnsi="宋体" w:eastAsia="宋体" w:cs="宋体"/>
                <w:color w:val="auto"/>
                <w:sz w:val="21"/>
                <w:szCs w:val="21"/>
              </w:rPr>
            </w:pPr>
            <w:r>
              <w:rPr>
                <w:rFonts w:hint="eastAsia" w:ascii="宋体" w:hAnsi="宋体" w:eastAsia="宋体"/>
                <w:sz w:val="21"/>
                <w:szCs w:val="21"/>
              </w:rPr>
              <w:t>投标人之间为谋取中标或者排斥特定投标人而采取的其他联合行动。</w:t>
            </w:r>
          </w:p>
        </w:tc>
        <w:tc>
          <w:tcPr>
            <w:tcW w:w="2921" w:type="dxa"/>
            <w:noWrap w:val="0"/>
            <w:vAlign w:val="center"/>
          </w:tcPr>
          <w:p w14:paraId="0AA45748">
            <w:pPr>
              <w:spacing w:line="360" w:lineRule="exact"/>
              <w:jc w:val="center"/>
              <w:rPr>
                <w:rFonts w:ascii="宋体" w:hAnsi="宋体"/>
                <w:b/>
                <w:szCs w:val="21"/>
              </w:rPr>
            </w:pPr>
          </w:p>
        </w:tc>
        <w:tc>
          <w:tcPr>
            <w:tcW w:w="924" w:type="dxa"/>
            <w:noWrap w:val="0"/>
            <w:vAlign w:val="center"/>
          </w:tcPr>
          <w:p w14:paraId="745973C0">
            <w:pPr>
              <w:spacing w:line="360" w:lineRule="exact"/>
              <w:jc w:val="center"/>
              <w:rPr>
                <w:rFonts w:ascii="宋体" w:hAnsi="宋体"/>
                <w:b/>
                <w:szCs w:val="21"/>
              </w:rPr>
            </w:pPr>
          </w:p>
        </w:tc>
      </w:tr>
      <w:tr w14:paraId="4DCD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C530C39">
            <w:pPr>
              <w:spacing w:line="360" w:lineRule="exact"/>
              <w:jc w:val="center"/>
              <w:rPr>
                <w:rFonts w:hint="default" w:ascii="宋体" w:hAnsi="宋体"/>
                <w:szCs w:val="21"/>
                <w:lang w:val="en-US" w:eastAsia="zh-CN"/>
              </w:rPr>
            </w:pPr>
            <w:r>
              <w:rPr>
                <w:rFonts w:hint="eastAsia" w:ascii="宋体" w:hAnsi="宋体"/>
                <w:szCs w:val="21"/>
                <w:lang w:val="en-US" w:eastAsia="zh-CN"/>
              </w:rPr>
              <w:t>15</w:t>
            </w:r>
          </w:p>
        </w:tc>
        <w:tc>
          <w:tcPr>
            <w:tcW w:w="6023" w:type="dxa"/>
            <w:noWrap w:val="0"/>
            <w:vAlign w:val="center"/>
          </w:tcPr>
          <w:p w14:paraId="764C441C">
            <w:pPr>
              <w:jc w:val="left"/>
              <w:rPr>
                <w:rFonts w:hint="eastAsia" w:ascii="宋体" w:hAnsi="宋体" w:eastAsia="宋体" w:cs="宋体"/>
                <w:color w:val="auto"/>
                <w:sz w:val="21"/>
                <w:szCs w:val="21"/>
                <w:lang w:eastAsia="zh-CN"/>
              </w:rPr>
            </w:pPr>
            <w:r>
              <w:rPr>
                <w:rFonts w:hint="eastAsia" w:ascii="宋体" w:hAnsi="宋体" w:eastAsia="宋体"/>
                <w:snapToGrid w:val="0"/>
                <w:color w:val="auto"/>
                <w:sz w:val="21"/>
                <w:lang w:eastAsia="zh-CN"/>
              </w:rPr>
              <w:t>其他</w:t>
            </w:r>
            <w:r>
              <w:rPr>
                <w:rFonts w:hint="eastAsia" w:ascii="宋体" w:hAnsi="宋体" w:eastAsia="宋体"/>
                <w:snapToGrid w:val="0"/>
                <w:color w:val="auto"/>
                <w:sz w:val="21"/>
              </w:rPr>
              <w:t>与</w:t>
            </w:r>
            <w:r>
              <w:rPr>
                <w:rFonts w:hint="eastAsia" w:ascii="宋体" w:hAnsi="宋体" w:eastAsia="宋体"/>
                <w:snapToGrid w:val="0"/>
                <w:color w:val="auto"/>
                <w:sz w:val="21"/>
                <w:lang w:eastAsia="zh-CN"/>
              </w:rPr>
              <w:t>政府</w:t>
            </w:r>
            <w:r>
              <w:rPr>
                <w:rFonts w:hint="eastAsia" w:ascii="宋体" w:hAnsi="宋体" w:eastAsia="宋体"/>
                <w:snapToGrid w:val="0"/>
                <w:color w:val="auto"/>
                <w:sz w:val="21"/>
              </w:rPr>
              <w:t>采购</w:t>
            </w:r>
            <w:r>
              <w:rPr>
                <w:rFonts w:hint="eastAsia" w:ascii="宋体" w:hAnsi="宋体" w:eastAsia="宋体"/>
                <w:snapToGrid w:val="0"/>
                <w:color w:val="auto"/>
                <w:sz w:val="21"/>
                <w:lang w:eastAsia="zh-CN"/>
              </w:rPr>
              <w:t>活动</w:t>
            </w:r>
            <w:r>
              <w:rPr>
                <w:rFonts w:hint="eastAsia" w:ascii="宋体" w:hAnsi="宋体" w:eastAsia="宋体"/>
                <w:snapToGrid w:val="0"/>
                <w:color w:val="auto"/>
                <w:sz w:val="21"/>
              </w:rPr>
              <w:t>参加人串通投标</w:t>
            </w:r>
            <w:r>
              <w:rPr>
                <w:rFonts w:hint="eastAsia" w:ascii="宋体" w:hAnsi="宋体" w:eastAsia="宋体"/>
                <w:snapToGrid w:val="0"/>
                <w:color w:val="auto"/>
                <w:sz w:val="21"/>
                <w:lang w:eastAsia="zh-CN"/>
              </w:rPr>
              <w:t>的</w:t>
            </w:r>
            <w:r>
              <w:rPr>
                <w:rFonts w:hint="eastAsia" w:ascii="宋体" w:hAnsi="宋体" w:eastAsia="宋体" w:cs="宋体"/>
                <w:color w:val="auto"/>
                <w:sz w:val="21"/>
                <w:szCs w:val="21"/>
                <w:lang w:eastAsia="zh-CN"/>
              </w:rPr>
              <w:t>行为。</w:t>
            </w:r>
          </w:p>
        </w:tc>
        <w:tc>
          <w:tcPr>
            <w:tcW w:w="2921" w:type="dxa"/>
            <w:noWrap w:val="0"/>
            <w:vAlign w:val="center"/>
          </w:tcPr>
          <w:p w14:paraId="4C5659E5">
            <w:pPr>
              <w:spacing w:line="360" w:lineRule="exact"/>
              <w:jc w:val="center"/>
              <w:rPr>
                <w:rFonts w:ascii="宋体" w:hAnsi="宋体"/>
                <w:b/>
                <w:szCs w:val="21"/>
              </w:rPr>
            </w:pPr>
          </w:p>
        </w:tc>
        <w:tc>
          <w:tcPr>
            <w:tcW w:w="924" w:type="dxa"/>
            <w:noWrap w:val="0"/>
            <w:vAlign w:val="center"/>
          </w:tcPr>
          <w:p w14:paraId="7964929B">
            <w:pPr>
              <w:spacing w:line="360" w:lineRule="exact"/>
              <w:jc w:val="center"/>
              <w:rPr>
                <w:rFonts w:ascii="宋体" w:hAnsi="宋体"/>
                <w:b/>
                <w:szCs w:val="21"/>
              </w:rPr>
            </w:pPr>
          </w:p>
        </w:tc>
      </w:tr>
      <w:tr w14:paraId="6502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54DF654">
            <w:pPr>
              <w:spacing w:line="360" w:lineRule="exact"/>
              <w:jc w:val="center"/>
              <w:rPr>
                <w:rFonts w:hint="default" w:ascii="宋体" w:hAnsi="宋体"/>
                <w:szCs w:val="21"/>
                <w:lang w:val="en-US" w:eastAsia="zh-CN"/>
              </w:rPr>
            </w:pPr>
            <w:r>
              <w:rPr>
                <w:rFonts w:hint="eastAsia" w:ascii="宋体" w:hAnsi="宋体"/>
                <w:szCs w:val="21"/>
                <w:lang w:val="en-US" w:eastAsia="zh-CN"/>
              </w:rPr>
              <w:t>16</w:t>
            </w:r>
          </w:p>
        </w:tc>
        <w:tc>
          <w:tcPr>
            <w:tcW w:w="6023" w:type="dxa"/>
            <w:noWrap w:val="0"/>
            <w:vAlign w:val="center"/>
          </w:tcPr>
          <w:p w14:paraId="58BD8935">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noWrap w:val="0"/>
            <w:vAlign w:val="center"/>
          </w:tcPr>
          <w:p w14:paraId="38775E4C">
            <w:pPr>
              <w:spacing w:line="360" w:lineRule="exact"/>
              <w:jc w:val="center"/>
              <w:rPr>
                <w:rFonts w:ascii="宋体" w:hAnsi="宋体"/>
                <w:b/>
                <w:szCs w:val="21"/>
              </w:rPr>
            </w:pPr>
          </w:p>
        </w:tc>
        <w:tc>
          <w:tcPr>
            <w:tcW w:w="924" w:type="dxa"/>
            <w:noWrap w:val="0"/>
            <w:vAlign w:val="center"/>
          </w:tcPr>
          <w:p w14:paraId="4833397C">
            <w:pPr>
              <w:spacing w:line="360" w:lineRule="exact"/>
              <w:jc w:val="center"/>
              <w:rPr>
                <w:rFonts w:ascii="宋体" w:hAnsi="宋体"/>
                <w:b/>
                <w:szCs w:val="21"/>
              </w:rPr>
            </w:pPr>
          </w:p>
        </w:tc>
      </w:tr>
      <w:tr w14:paraId="503E1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0"/>
            <w:vAlign w:val="center"/>
          </w:tcPr>
          <w:p w14:paraId="5B95BC9E">
            <w:pPr>
              <w:spacing w:line="360" w:lineRule="exact"/>
              <w:jc w:val="center"/>
              <w:rPr>
                <w:rFonts w:hint="default" w:ascii="宋体" w:hAnsi="宋体"/>
                <w:szCs w:val="21"/>
                <w:lang w:val="en-US" w:eastAsia="zh-CN"/>
              </w:rPr>
            </w:pPr>
            <w:r>
              <w:rPr>
                <w:rFonts w:hint="eastAsia" w:ascii="宋体" w:hAnsi="宋体"/>
                <w:szCs w:val="21"/>
                <w:lang w:val="en-US" w:eastAsia="zh-CN"/>
              </w:rPr>
              <w:t>17</w:t>
            </w:r>
          </w:p>
        </w:tc>
        <w:tc>
          <w:tcPr>
            <w:tcW w:w="6023" w:type="dxa"/>
            <w:noWrap w:val="0"/>
            <w:vAlign w:val="center"/>
          </w:tcPr>
          <w:p w14:paraId="4C80AC7A">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noWrap w:val="0"/>
            <w:vAlign w:val="center"/>
          </w:tcPr>
          <w:p w14:paraId="32906206">
            <w:pPr>
              <w:spacing w:line="360" w:lineRule="exact"/>
              <w:jc w:val="center"/>
              <w:rPr>
                <w:rFonts w:ascii="宋体" w:hAnsi="宋体"/>
                <w:b/>
                <w:szCs w:val="21"/>
              </w:rPr>
            </w:pPr>
          </w:p>
        </w:tc>
        <w:tc>
          <w:tcPr>
            <w:tcW w:w="924" w:type="dxa"/>
            <w:noWrap w:val="0"/>
            <w:vAlign w:val="center"/>
          </w:tcPr>
          <w:p w14:paraId="206D6B3A">
            <w:pPr>
              <w:spacing w:line="360" w:lineRule="exact"/>
              <w:jc w:val="center"/>
              <w:rPr>
                <w:rFonts w:ascii="宋体" w:hAnsi="宋体"/>
                <w:b/>
                <w:szCs w:val="21"/>
              </w:rPr>
            </w:pPr>
          </w:p>
        </w:tc>
      </w:tr>
      <w:tr w14:paraId="24411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36FF1954">
            <w:pPr>
              <w:spacing w:line="360" w:lineRule="exact"/>
              <w:jc w:val="center"/>
              <w:rPr>
                <w:rFonts w:hint="default" w:ascii="宋体" w:hAnsi="宋体"/>
                <w:szCs w:val="21"/>
                <w:lang w:val="en-US" w:eastAsia="zh-CN"/>
              </w:rPr>
            </w:pPr>
            <w:r>
              <w:rPr>
                <w:rFonts w:hint="eastAsia" w:ascii="宋体" w:hAnsi="宋体"/>
                <w:szCs w:val="21"/>
                <w:lang w:val="en-US" w:eastAsia="zh-CN"/>
              </w:rPr>
              <w:t>18</w:t>
            </w:r>
          </w:p>
        </w:tc>
        <w:tc>
          <w:tcPr>
            <w:tcW w:w="6023" w:type="dxa"/>
            <w:noWrap w:val="0"/>
            <w:vAlign w:val="center"/>
          </w:tcPr>
          <w:p w14:paraId="544DB688">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noWrap w:val="0"/>
            <w:vAlign w:val="center"/>
          </w:tcPr>
          <w:p w14:paraId="6886AF6C">
            <w:pPr>
              <w:spacing w:line="360" w:lineRule="exact"/>
              <w:jc w:val="center"/>
              <w:rPr>
                <w:rFonts w:ascii="宋体" w:hAnsi="宋体"/>
                <w:b/>
                <w:szCs w:val="21"/>
              </w:rPr>
            </w:pPr>
          </w:p>
        </w:tc>
        <w:tc>
          <w:tcPr>
            <w:tcW w:w="924" w:type="dxa"/>
            <w:noWrap w:val="0"/>
            <w:vAlign w:val="center"/>
          </w:tcPr>
          <w:p w14:paraId="50E70372">
            <w:pPr>
              <w:spacing w:line="360" w:lineRule="exact"/>
              <w:jc w:val="center"/>
              <w:rPr>
                <w:rFonts w:ascii="宋体" w:hAnsi="宋体"/>
                <w:b/>
                <w:szCs w:val="21"/>
              </w:rPr>
            </w:pPr>
          </w:p>
        </w:tc>
      </w:tr>
      <w:tr w14:paraId="32E95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0"/>
            <w:vAlign w:val="center"/>
          </w:tcPr>
          <w:p w14:paraId="1993AF49">
            <w:pPr>
              <w:spacing w:line="360" w:lineRule="exact"/>
              <w:jc w:val="center"/>
              <w:rPr>
                <w:rFonts w:hint="default" w:ascii="宋体" w:hAnsi="宋体"/>
                <w:szCs w:val="21"/>
                <w:lang w:val="en-US" w:eastAsia="zh-CN"/>
              </w:rPr>
            </w:pPr>
            <w:r>
              <w:rPr>
                <w:rFonts w:hint="eastAsia" w:ascii="宋体" w:hAnsi="宋体"/>
                <w:szCs w:val="21"/>
                <w:lang w:val="en-US" w:eastAsia="zh-CN"/>
              </w:rPr>
              <w:t>19</w:t>
            </w:r>
          </w:p>
        </w:tc>
        <w:tc>
          <w:tcPr>
            <w:tcW w:w="6023" w:type="dxa"/>
            <w:noWrap w:val="0"/>
            <w:vAlign w:val="center"/>
          </w:tcPr>
          <w:p w14:paraId="52F40DB5">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noWrap w:val="0"/>
            <w:vAlign w:val="center"/>
          </w:tcPr>
          <w:p w14:paraId="3805329D">
            <w:pPr>
              <w:spacing w:line="360" w:lineRule="exact"/>
              <w:jc w:val="center"/>
              <w:rPr>
                <w:rFonts w:ascii="宋体" w:hAnsi="宋体"/>
                <w:b/>
                <w:szCs w:val="21"/>
              </w:rPr>
            </w:pPr>
          </w:p>
        </w:tc>
        <w:tc>
          <w:tcPr>
            <w:tcW w:w="924" w:type="dxa"/>
            <w:noWrap w:val="0"/>
            <w:vAlign w:val="center"/>
          </w:tcPr>
          <w:p w14:paraId="7DC6746D">
            <w:pPr>
              <w:spacing w:line="360" w:lineRule="exact"/>
              <w:jc w:val="center"/>
              <w:rPr>
                <w:rFonts w:ascii="宋体" w:hAnsi="宋体"/>
                <w:b/>
                <w:szCs w:val="21"/>
              </w:rPr>
            </w:pPr>
          </w:p>
        </w:tc>
      </w:tr>
      <w:tr w14:paraId="2167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0"/>
            <w:vAlign w:val="center"/>
          </w:tcPr>
          <w:p w14:paraId="6B49E1C1">
            <w:pPr>
              <w:spacing w:line="360" w:lineRule="exact"/>
              <w:jc w:val="center"/>
              <w:rPr>
                <w:rFonts w:hint="default" w:ascii="宋体" w:hAnsi="宋体"/>
                <w:szCs w:val="21"/>
                <w:lang w:val="en-US" w:eastAsia="zh-CN"/>
              </w:rPr>
            </w:pPr>
            <w:r>
              <w:rPr>
                <w:rFonts w:hint="eastAsia" w:ascii="宋体" w:hAnsi="宋体"/>
                <w:szCs w:val="21"/>
                <w:lang w:val="en-US" w:eastAsia="zh-CN"/>
              </w:rPr>
              <w:t>20</w:t>
            </w:r>
          </w:p>
        </w:tc>
        <w:tc>
          <w:tcPr>
            <w:tcW w:w="6023" w:type="dxa"/>
            <w:noWrap w:val="0"/>
            <w:vAlign w:val="center"/>
          </w:tcPr>
          <w:p w14:paraId="1BBE73FD">
            <w:pPr>
              <w:jc w:val="left"/>
              <w:rPr>
                <w:rFonts w:hint="eastAsia" w:ascii="宋体" w:hAnsi="宋体" w:eastAsia="宋体" w:cs="宋体"/>
                <w:snapToGrid w:val="0"/>
                <w:color w:val="auto"/>
                <w:kern w:val="0"/>
                <w:szCs w:val="21"/>
                <w:lang w:eastAsia="zh-CN"/>
              </w:rPr>
            </w:pPr>
            <w:r>
              <w:rPr>
                <w:color w:val="auto"/>
                <w:sz w:val="21"/>
                <w:szCs w:val="21"/>
              </w:rPr>
              <w:t>其他隐瞒真实情况、提供虚假资料的行为。</w:t>
            </w:r>
          </w:p>
        </w:tc>
        <w:tc>
          <w:tcPr>
            <w:tcW w:w="2921" w:type="dxa"/>
            <w:noWrap w:val="0"/>
            <w:vAlign w:val="center"/>
          </w:tcPr>
          <w:p w14:paraId="76296231">
            <w:pPr>
              <w:spacing w:line="360" w:lineRule="exact"/>
              <w:jc w:val="center"/>
              <w:rPr>
                <w:rFonts w:ascii="宋体" w:hAnsi="宋体"/>
                <w:b/>
                <w:szCs w:val="21"/>
              </w:rPr>
            </w:pPr>
          </w:p>
        </w:tc>
        <w:tc>
          <w:tcPr>
            <w:tcW w:w="924" w:type="dxa"/>
            <w:noWrap w:val="0"/>
            <w:vAlign w:val="center"/>
          </w:tcPr>
          <w:p w14:paraId="452EACA9">
            <w:pPr>
              <w:spacing w:line="360" w:lineRule="exact"/>
              <w:jc w:val="center"/>
              <w:rPr>
                <w:rFonts w:ascii="宋体" w:hAnsi="宋体"/>
                <w:b/>
                <w:szCs w:val="21"/>
              </w:rPr>
            </w:pPr>
          </w:p>
        </w:tc>
      </w:tr>
    </w:tbl>
    <w:p w14:paraId="41A2E4C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w:t>
      </w:r>
      <w:r>
        <w:rPr>
          <w:rFonts w:hint="eastAsia" w:ascii="宋体" w:hAnsi="宋体" w:cs="宋体"/>
          <w:color w:val="auto"/>
          <w:sz w:val="21"/>
          <w:szCs w:val="21"/>
          <w:lang w:eastAsia="zh-CN"/>
        </w:rPr>
        <w:t>（响应）</w:t>
      </w:r>
      <w:r>
        <w:rPr>
          <w:rFonts w:hint="eastAsia" w:ascii="宋体" w:hAnsi="宋体" w:eastAsia="宋体" w:cs="宋体"/>
          <w:color w:val="auto"/>
          <w:sz w:val="21"/>
          <w:szCs w:val="21"/>
          <w:lang w:eastAsia="zh-CN"/>
        </w:rPr>
        <w:t>供应商出现上述与其他采购参加人串通投标、隐瞒真实情况或提供虚假资料行为的，将依法承担法律责任。</w:t>
      </w:r>
    </w:p>
    <w:p w14:paraId="3AEB0DB8">
      <w:pPr>
        <w:rPr>
          <w:rFonts w:hint="eastAsia" w:ascii="仿宋" w:hAnsi="仿宋" w:eastAsia="仿宋"/>
          <w:lang w:eastAsia="zh-CN"/>
        </w:rPr>
      </w:pPr>
    </w:p>
    <w:p w14:paraId="1331E485">
      <w:pPr>
        <w:rPr>
          <w:rFonts w:hint="eastAsia"/>
          <w:szCs w:val="21"/>
          <w:u w:val="single"/>
        </w:rPr>
      </w:pPr>
      <w:r>
        <w:rPr>
          <w:rFonts w:hint="eastAsia"/>
          <w:szCs w:val="21"/>
          <w:u w:val="single"/>
        </w:rPr>
        <w:t>（备注：如为联合体投标，联合体各方</w:t>
      </w:r>
      <w:r>
        <w:rPr>
          <w:rFonts w:hint="eastAsia"/>
          <w:szCs w:val="21"/>
          <w:u w:val="single"/>
          <w:lang w:eastAsia="zh-CN"/>
        </w:rPr>
        <w:t>应分别填报《供应商自查表》</w:t>
      </w:r>
      <w:r>
        <w:rPr>
          <w:rFonts w:hint="eastAsia"/>
          <w:szCs w:val="21"/>
          <w:u w:val="single"/>
        </w:rPr>
        <w:t>）</w:t>
      </w:r>
    </w:p>
    <w:p w14:paraId="7520C41A">
      <w:pPr>
        <w:rPr>
          <w:rFonts w:hint="eastAsia" w:ascii="黑体" w:hAnsi="宋体" w:eastAsia="黑体" w:cs="Times New Roman"/>
          <w:bCs/>
          <w:kern w:val="0"/>
          <w:sz w:val="24"/>
          <w:szCs w:val="32"/>
          <w:lang w:eastAsia="zh-CN"/>
        </w:rPr>
      </w:pPr>
      <w:r>
        <w:rPr>
          <w:rFonts w:hint="eastAsia" w:ascii="黑体" w:hAnsi="宋体" w:eastAsia="黑体" w:cs="Times New Roman"/>
          <w:bCs/>
          <w:kern w:val="0"/>
          <w:sz w:val="24"/>
          <w:szCs w:val="32"/>
          <w:lang w:eastAsia="zh-CN"/>
        </w:rPr>
        <w:br w:type="page"/>
      </w:r>
    </w:p>
    <w:p w14:paraId="1D35CD2C">
      <w:pPr>
        <w:keepNext/>
        <w:keepLines/>
        <w:spacing w:before="260" w:after="260"/>
        <w:jc w:val="center"/>
        <w:outlineLvl w:val="2"/>
        <w:rPr>
          <w:rFonts w:hint="eastAsia" w:ascii="黑体" w:hAnsi="宋体" w:eastAsia="黑体" w:cs="Times New Roman"/>
          <w:bCs/>
          <w:kern w:val="0"/>
          <w:sz w:val="24"/>
          <w:szCs w:val="32"/>
          <w:lang w:eastAsia="zh-CN"/>
        </w:rPr>
      </w:pPr>
      <w:r>
        <w:rPr>
          <w:rFonts w:hint="eastAsia" w:ascii="黑体" w:hAnsi="宋体" w:eastAsia="黑体" w:cs="Times New Roman"/>
          <w:bCs/>
          <w:kern w:val="0"/>
          <w:sz w:val="24"/>
          <w:szCs w:val="32"/>
          <w:lang w:eastAsia="zh-CN"/>
        </w:rPr>
        <w:t>供应商基本情况表</w:t>
      </w:r>
    </w:p>
    <w:p w14:paraId="6D823B5D">
      <w:pPr>
        <w:spacing w:before="157" w:line="198" w:lineRule="auto"/>
        <w:ind w:left="126" w:right="-21" w:rightChars="-10"/>
        <w:jc w:val="center"/>
        <w:rPr>
          <w:rFonts w:hint="eastAsia" w:ascii="宋体" w:hAnsi="宋体" w:eastAsia="宋体" w:cs="宋体"/>
          <w:sz w:val="21"/>
          <w:szCs w:val="21"/>
        </w:rPr>
      </w:pPr>
      <w:r>
        <w:rPr>
          <w:rFonts w:hint="eastAsia" w:ascii="宋体" w:hAnsi="宋体" w:eastAsia="宋体" w:cs="宋体"/>
          <w:sz w:val="21"/>
          <w:szCs w:val="21"/>
        </w:rPr>
        <w:t>填表单位：</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159D8209">
      <w:pPr>
        <w:spacing w:line="75" w:lineRule="exact"/>
        <w:rPr>
          <w:rFonts w:hint="eastAsia" w:ascii="宋体" w:hAnsi="宋体" w:eastAsia="宋体" w:cs="宋体"/>
          <w:sz w:val="21"/>
          <w:szCs w:val="21"/>
        </w:rPr>
      </w:pPr>
    </w:p>
    <w:tbl>
      <w:tblPr>
        <w:tblStyle w:val="218"/>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120F3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vAlign w:val="top"/>
          </w:tcPr>
          <w:p w14:paraId="47E27576">
            <w:pPr>
              <w:pStyle w:val="217"/>
              <w:spacing w:before="180" w:line="203" w:lineRule="auto"/>
              <w:ind w:left="359"/>
              <w:rPr>
                <w:rFonts w:hint="eastAsia"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1E44B27F">
            <w:pPr>
              <w:jc w:val="center"/>
              <w:rPr>
                <w:rFonts w:hint="eastAsia" w:ascii="宋体" w:hAnsi="宋体" w:eastAsia="宋体" w:cs="宋体"/>
                <w:sz w:val="21"/>
                <w:szCs w:val="21"/>
              </w:rPr>
            </w:pPr>
          </w:p>
        </w:tc>
        <w:tc>
          <w:tcPr>
            <w:tcW w:w="1990" w:type="dxa"/>
            <w:gridSpan w:val="2"/>
            <w:vAlign w:val="top"/>
          </w:tcPr>
          <w:p w14:paraId="49ED6572">
            <w:pPr>
              <w:pStyle w:val="217"/>
              <w:spacing w:before="181" w:line="201" w:lineRule="auto"/>
              <w:ind w:left="527"/>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584E16DB">
            <w:pPr>
              <w:jc w:val="center"/>
              <w:rPr>
                <w:rFonts w:hint="eastAsia" w:ascii="宋体" w:hAnsi="宋体" w:eastAsia="宋体" w:cs="宋体"/>
                <w:sz w:val="21"/>
                <w:szCs w:val="21"/>
              </w:rPr>
            </w:pPr>
          </w:p>
        </w:tc>
      </w:tr>
      <w:tr w14:paraId="0EF12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vAlign w:val="top"/>
          </w:tcPr>
          <w:p w14:paraId="0135B464">
            <w:pPr>
              <w:pStyle w:val="217"/>
              <w:keepNext w:val="0"/>
              <w:keepLines w:val="0"/>
              <w:pageBreakBefore w:val="0"/>
              <w:widowControl/>
              <w:tabs>
                <w:tab w:val="left" w:pos="1260"/>
              </w:tabs>
              <w:kinsoku w:val="0"/>
              <w:wordWrap/>
              <w:overflowPunct/>
              <w:topLinePunct w:val="0"/>
              <w:autoSpaceDE w:val="0"/>
              <w:autoSpaceDN w:val="0"/>
              <w:bidi w:val="0"/>
              <w:adjustRightInd w:val="0"/>
              <w:snapToGrid w:val="0"/>
              <w:spacing w:before="40" w:line="360" w:lineRule="exact"/>
              <w:ind w:left="6" w:leftChars="0" w:right="105" w:hanging="6" w:firstLineChars="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0F4DCD1D">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c>
          <w:tcPr>
            <w:tcW w:w="1990" w:type="dxa"/>
            <w:gridSpan w:val="2"/>
            <w:vAlign w:val="top"/>
          </w:tcPr>
          <w:p w14:paraId="3E9B4B66">
            <w:pPr>
              <w:pStyle w:val="217"/>
              <w:keepNext w:val="0"/>
              <w:keepLines w:val="0"/>
              <w:pageBreakBefore w:val="0"/>
              <w:widowControl/>
              <w:kinsoku w:val="0"/>
              <w:wordWrap/>
              <w:overflowPunct/>
              <w:topLinePunct w:val="0"/>
              <w:autoSpaceDE w:val="0"/>
              <w:autoSpaceDN w:val="0"/>
              <w:bidi w:val="0"/>
              <w:adjustRightInd w:val="0"/>
              <w:snapToGrid w:val="0"/>
              <w:spacing w:before="40" w:line="360" w:lineRule="exact"/>
              <w:ind w:left="527" w:right="152" w:hanging="362"/>
              <w:textAlignment w:val="baseline"/>
              <w:rPr>
                <w:rFonts w:hint="eastAsia" w:ascii="宋体" w:hAnsi="宋体" w:eastAsia="宋体" w:cs="宋体"/>
                <w:sz w:val="21"/>
                <w:szCs w:val="21"/>
              </w:rPr>
            </w:pPr>
            <w:r>
              <w:rPr>
                <w:rFonts w:hint="eastAsia" w:ascii="宋体" w:hAnsi="宋体" w:eastAsia="宋体" w:cs="宋体"/>
                <w:spacing w:val="-2"/>
                <w:sz w:val="21"/>
                <w:szCs w:val="21"/>
              </w:rPr>
              <w:t>供应商统一社会</w:t>
            </w:r>
            <w:r>
              <w:rPr>
                <w:rFonts w:hint="eastAsia" w:ascii="宋体" w:hAnsi="宋体" w:eastAsia="宋体" w:cs="宋体"/>
                <w:sz w:val="21"/>
                <w:szCs w:val="21"/>
              </w:rPr>
              <w:t xml:space="preserve"> </w:t>
            </w:r>
            <w:r>
              <w:rPr>
                <w:rFonts w:hint="eastAsia" w:ascii="宋体" w:hAnsi="宋体" w:eastAsia="宋体" w:cs="宋体"/>
                <w:spacing w:val="-3"/>
                <w:sz w:val="21"/>
                <w:szCs w:val="21"/>
              </w:rPr>
              <w:t>信用代码</w:t>
            </w:r>
          </w:p>
        </w:tc>
        <w:tc>
          <w:tcPr>
            <w:tcW w:w="2988" w:type="dxa"/>
            <w:gridSpan w:val="2"/>
            <w:vAlign w:val="center"/>
          </w:tcPr>
          <w:p w14:paraId="12148112">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r>
      <w:tr w14:paraId="146F3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jc w:val="center"/>
        </w:trPr>
        <w:tc>
          <w:tcPr>
            <w:tcW w:w="8945" w:type="dxa"/>
            <w:gridSpan w:val="8"/>
            <w:vAlign w:val="top"/>
          </w:tcPr>
          <w:p w14:paraId="622E1149">
            <w:pPr>
              <w:pStyle w:val="217"/>
              <w:spacing w:before="175"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投标（响应）供应商相关人员情况</w:t>
            </w:r>
          </w:p>
        </w:tc>
      </w:tr>
      <w:tr w14:paraId="660D6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33835EA6">
            <w:pPr>
              <w:pStyle w:val="217"/>
              <w:spacing w:before="217"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74A56D80">
            <w:pPr>
              <w:pStyle w:val="217"/>
              <w:spacing w:before="213" w:line="202" w:lineRule="auto"/>
              <w:ind w:left="916"/>
              <w:rPr>
                <w:rFonts w:hint="eastAsia" w:ascii="宋体" w:hAnsi="宋体" w:eastAsia="宋体" w:cs="宋体"/>
                <w:sz w:val="21"/>
                <w:szCs w:val="21"/>
              </w:rPr>
            </w:pPr>
            <w:r>
              <w:rPr>
                <w:rFonts w:hint="eastAsia" w:ascii="宋体" w:hAnsi="宋体" w:eastAsia="宋体" w:cs="宋体"/>
                <w:spacing w:val="-6"/>
                <w:sz w:val="21"/>
                <w:szCs w:val="21"/>
              </w:rPr>
              <w:t>职务</w:t>
            </w:r>
          </w:p>
        </w:tc>
        <w:tc>
          <w:tcPr>
            <w:tcW w:w="946" w:type="dxa"/>
            <w:vAlign w:val="top"/>
          </w:tcPr>
          <w:p w14:paraId="007E6E78">
            <w:pPr>
              <w:pStyle w:val="217"/>
              <w:spacing w:before="213" w:line="203" w:lineRule="auto"/>
              <w:ind w:left="245"/>
              <w:rPr>
                <w:rFonts w:hint="eastAsia"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vAlign w:val="top"/>
          </w:tcPr>
          <w:p w14:paraId="22AF39D8">
            <w:pPr>
              <w:pStyle w:val="217"/>
              <w:spacing w:before="214" w:line="203" w:lineRule="auto"/>
              <w:ind w:left="410"/>
              <w:rPr>
                <w:rFonts w:hint="eastAsia" w:ascii="宋体" w:hAnsi="宋体" w:eastAsia="宋体" w:cs="宋体"/>
                <w:sz w:val="21"/>
                <w:szCs w:val="21"/>
              </w:rPr>
            </w:pPr>
            <w:r>
              <w:rPr>
                <w:rFonts w:hint="eastAsia" w:ascii="宋体" w:hAnsi="宋体" w:eastAsia="宋体" w:cs="宋体"/>
                <w:spacing w:val="-3"/>
                <w:sz w:val="21"/>
                <w:szCs w:val="21"/>
              </w:rPr>
              <w:t>身份证号码</w:t>
            </w:r>
          </w:p>
        </w:tc>
        <w:tc>
          <w:tcPr>
            <w:tcW w:w="1499" w:type="dxa"/>
            <w:vAlign w:val="top"/>
          </w:tcPr>
          <w:p w14:paraId="4EC966E1">
            <w:pPr>
              <w:pStyle w:val="217"/>
              <w:keepNext w:val="0"/>
              <w:keepLines w:val="0"/>
              <w:pageBreakBefore w:val="0"/>
              <w:widowControl/>
              <w:kinsoku w:val="0"/>
              <w:wordWrap/>
              <w:overflowPunct/>
              <w:topLinePunct w:val="0"/>
              <w:autoSpaceDE w:val="0"/>
              <w:autoSpaceDN w:val="0"/>
              <w:bidi w:val="0"/>
              <w:adjustRightInd w:val="0"/>
              <w:snapToGrid w:val="0"/>
              <w:spacing w:before="39" w:line="360" w:lineRule="exact"/>
              <w:ind w:left="288" w:right="266" w:firstLine="5"/>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劳动合同 关系单位</w:t>
            </w:r>
          </w:p>
        </w:tc>
        <w:tc>
          <w:tcPr>
            <w:tcW w:w="1489" w:type="dxa"/>
            <w:vAlign w:val="top"/>
          </w:tcPr>
          <w:p w14:paraId="5B1336C4">
            <w:pPr>
              <w:pStyle w:val="217"/>
              <w:keepNext w:val="0"/>
              <w:keepLines w:val="0"/>
              <w:pageBreakBefore w:val="0"/>
              <w:widowControl/>
              <w:kinsoku w:val="0"/>
              <w:wordWrap/>
              <w:overflowPunct/>
              <w:topLinePunct w:val="0"/>
              <w:autoSpaceDE w:val="0"/>
              <w:autoSpaceDN w:val="0"/>
              <w:bidi w:val="0"/>
              <w:adjustRightInd w:val="0"/>
              <w:snapToGrid w:val="0"/>
              <w:spacing w:before="39" w:line="360" w:lineRule="exact"/>
              <w:ind w:left="271" w:right="262" w:firstLine="8"/>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缴纳社会 保险单位</w:t>
            </w:r>
          </w:p>
        </w:tc>
      </w:tr>
      <w:tr w14:paraId="3765E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vAlign w:val="top"/>
          </w:tcPr>
          <w:p w14:paraId="1C67D065">
            <w:pPr>
              <w:spacing w:line="252" w:lineRule="auto"/>
              <w:rPr>
                <w:rFonts w:hint="eastAsia" w:ascii="宋体" w:hAnsi="宋体" w:eastAsia="宋体" w:cs="宋体"/>
                <w:sz w:val="21"/>
                <w:szCs w:val="21"/>
              </w:rPr>
            </w:pPr>
          </w:p>
          <w:p w14:paraId="67D96151">
            <w:pPr>
              <w:pStyle w:val="217"/>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78F2912E">
            <w:pPr>
              <w:pStyle w:val="217"/>
              <w:spacing w:before="174" w:line="235" w:lineRule="auto"/>
              <w:ind w:left="240" w:right="116" w:hanging="101"/>
              <w:rPr>
                <w:rFonts w:hint="eastAsia" w:ascii="宋体" w:hAnsi="宋体" w:eastAsia="宋体" w:cs="宋体"/>
                <w:sz w:val="21"/>
                <w:szCs w:val="21"/>
              </w:rPr>
            </w:pPr>
            <w:r>
              <w:rPr>
                <w:rFonts w:hint="eastAsia" w:ascii="宋体" w:hAnsi="宋体" w:eastAsia="宋体" w:cs="宋体"/>
                <w:spacing w:val="-6"/>
                <w:sz w:val="21"/>
                <w:szCs w:val="21"/>
              </w:rPr>
              <w:t>法定代表人/单位负责人/主要经营负责人</w:t>
            </w:r>
          </w:p>
        </w:tc>
        <w:tc>
          <w:tcPr>
            <w:tcW w:w="946" w:type="dxa"/>
            <w:vAlign w:val="center"/>
          </w:tcPr>
          <w:p w14:paraId="337C28D7">
            <w:pPr>
              <w:jc w:val="center"/>
              <w:rPr>
                <w:rFonts w:hint="eastAsia" w:ascii="宋体" w:hAnsi="宋体" w:eastAsia="宋体" w:cs="宋体"/>
                <w:sz w:val="21"/>
                <w:szCs w:val="21"/>
              </w:rPr>
            </w:pPr>
          </w:p>
        </w:tc>
        <w:tc>
          <w:tcPr>
            <w:tcW w:w="1990" w:type="dxa"/>
            <w:gridSpan w:val="2"/>
            <w:vAlign w:val="center"/>
          </w:tcPr>
          <w:p w14:paraId="7EE5E585">
            <w:pPr>
              <w:jc w:val="center"/>
              <w:rPr>
                <w:rFonts w:hint="eastAsia" w:ascii="宋体" w:hAnsi="宋体" w:eastAsia="宋体" w:cs="宋体"/>
                <w:sz w:val="21"/>
                <w:szCs w:val="21"/>
              </w:rPr>
            </w:pPr>
          </w:p>
        </w:tc>
        <w:tc>
          <w:tcPr>
            <w:tcW w:w="1499" w:type="dxa"/>
            <w:vAlign w:val="center"/>
          </w:tcPr>
          <w:p w14:paraId="5D057A64">
            <w:pPr>
              <w:jc w:val="center"/>
              <w:rPr>
                <w:rFonts w:hint="eastAsia" w:ascii="宋体" w:hAnsi="宋体" w:eastAsia="宋体" w:cs="宋体"/>
                <w:sz w:val="21"/>
                <w:szCs w:val="21"/>
              </w:rPr>
            </w:pPr>
          </w:p>
        </w:tc>
        <w:tc>
          <w:tcPr>
            <w:tcW w:w="1489" w:type="dxa"/>
            <w:vAlign w:val="center"/>
          </w:tcPr>
          <w:p w14:paraId="6F66A9D0">
            <w:pPr>
              <w:jc w:val="center"/>
              <w:rPr>
                <w:rFonts w:hint="eastAsia" w:ascii="宋体" w:hAnsi="宋体" w:eastAsia="宋体" w:cs="宋体"/>
                <w:sz w:val="21"/>
                <w:szCs w:val="21"/>
              </w:rPr>
            </w:pPr>
          </w:p>
        </w:tc>
      </w:tr>
      <w:tr w14:paraId="0C14E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jc w:val="center"/>
        </w:trPr>
        <w:tc>
          <w:tcPr>
            <w:tcW w:w="740" w:type="dxa"/>
            <w:vAlign w:val="top"/>
          </w:tcPr>
          <w:p w14:paraId="1CF4973D">
            <w:pPr>
              <w:pStyle w:val="217"/>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0BE2638E">
            <w:pPr>
              <w:pStyle w:val="217"/>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2580B178">
            <w:pPr>
              <w:jc w:val="center"/>
              <w:rPr>
                <w:rFonts w:hint="eastAsia" w:ascii="宋体" w:hAnsi="宋体" w:eastAsia="宋体" w:cs="宋体"/>
                <w:sz w:val="21"/>
                <w:szCs w:val="21"/>
              </w:rPr>
            </w:pPr>
          </w:p>
        </w:tc>
        <w:tc>
          <w:tcPr>
            <w:tcW w:w="1990" w:type="dxa"/>
            <w:gridSpan w:val="2"/>
            <w:vAlign w:val="center"/>
          </w:tcPr>
          <w:p w14:paraId="25C8E2A8">
            <w:pPr>
              <w:jc w:val="center"/>
              <w:rPr>
                <w:rFonts w:hint="eastAsia" w:ascii="宋体" w:hAnsi="宋体" w:eastAsia="宋体" w:cs="宋体"/>
                <w:sz w:val="21"/>
                <w:szCs w:val="21"/>
              </w:rPr>
            </w:pPr>
          </w:p>
        </w:tc>
        <w:tc>
          <w:tcPr>
            <w:tcW w:w="1499" w:type="dxa"/>
            <w:vAlign w:val="center"/>
          </w:tcPr>
          <w:p w14:paraId="43943FC6">
            <w:pPr>
              <w:jc w:val="center"/>
              <w:rPr>
                <w:rFonts w:hint="eastAsia" w:ascii="宋体" w:hAnsi="宋体" w:eastAsia="宋体" w:cs="宋体"/>
                <w:sz w:val="21"/>
                <w:szCs w:val="21"/>
              </w:rPr>
            </w:pPr>
          </w:p>
        </w:tc>
        <w:tc>
          <w:tcPr>
            <w:tcW w:w="1489" w:type="dxa"/>
            <w:vAlign w:val="center"/>
          </w:tcPr>
          <w:p w14:paraId="41F0CBA9">
            <w:pPr>
              <w:jc w:val="center"/>
              <w:rPr>
                <w:rFonts w:hint="eastAsia" w:ascii="宋体" w:hAnsi="宋体" w:eastAsia="宋体" w:cs="宋体"/>
                <w:sz w:val="21"/>
                <w:szCs w:val="21"/>
              </w:rPr>
            </w:pPr>
          </w:p>
        </w:tc>
      </w:tr>
      <w:tr w14:paraId="1BFF0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36F5FB3E">
            <w:pPr>
              <w:pStyle w:val="217"/>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281" w:type="dxa"/>
            <w:gridSpan w:val="2"/>
            <w:vAlign w:val="top"/>
          </w:tcPr>
          <w:p w14:paraId="1E6EA6E9">
            <w:pPr>
              <w:pStyle w:val="217"/>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2513884F">
            <w:pPr>
              <w:jc w:val="center"/>
              <w:rPr>
                <w:rFonts w:hint="eastAsia" w:ascii="宋体" w:hAnsi="宋体" w:eastAsia="宋体" w:cs="宋体"/>
                <w:sz w:val="21"/>
                <w:szCs w:val="21"/>
              </w:rPr>
            </w:pPr>
          </w:p>
        </w:tc>
        <w:tc>
          <w:tcPr>
            <w:tcW w:w="1990" w:type="dxa"/>
            <w:gridSpan w:val="2"/>
            <w:vAlign w:val="center"/>
          </w:tcPr>
          <w:p w14:paraId="4860A423">
            <w:pPr>
              <w:jc w:val="center"/>
              <w:rPr>
                <w:rFonts w:hint="eastAsia" w:ascii="宋体" w:hAnsi="宋体" w:eastAsia="宋体" w:cs="宋体"/>
                <w:sz w:val="21"/>
                <w:szCs w:val="21"/>
              </w:rPr>
            </w:pPr>
          </w:p>
        </w:tc>
        <w:tc>
          <w:tcPr>
            <w:tcW w:w="1499" w:type="dxa"/>
            <w:vAlign w:val="center"/>
          </w:tcPr>
          <w:p w14:paraId="6E6757DD">
            <w:pPr>
              <w:jc w:val="center"/>
              <w:rPr>
                <w:rFonts w:hint="eastAsia" w:ascii="宋体" w:hAnsi="宋体" w:eastAsia="宋体" w:cs="宋体"/>
                <w:sz w:val="21"/>
                <w:szCs w:val="21"/>
              </w:rPr>
            </w:pPr>
          </w:p>
        </w:tc>
        <w:tc>
          <w:tcPr>
            <w:tcW w:w="1489" w:type="dxa"/>
            <w:vAlign w:val="center"/>
          </w:tcPr>
          <w:p w14:paraId="709BF2B5">
            <w:pPr>
              <w:jc w:val="center"/>
              <w:rPr>
                <w:rFonts w:hint="eastAsia" w:ascii="宋体" w:hAnsi="宋体" w:eastAsia="宋体" w:cs="宋体"/>
                <w:sz w:val="21"/>
                <w:szCs w:val="21"/>
              </w:rPr>
            </w:pPr>
          </w:p>
        </w:tc>
      </w:tr>
      <w:tr w14:paraId="100B2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49A39F54">
            <w:pPr>
              <w:pStyle w:val="217"/>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281" w:type="dxa"/>
            <w:gridSpan w:val="2"/>
            <w:vAlign w:val="top"/>
          </w:tcPr>
          <w:p w14:paraId="44F4F1B7">
            <w:pPr>
              <w:pStyle w:val="217"/>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5F401D69">
            <w:pPr>
              <w:jc w:val="center"/>
              <w:rPr>
                <w:rFonts w:hint="eastAsia" w:ascii="宋体" w:hAnsi="宋体" w:eastAsia="宋体" w:cs="宋体"/>
                <w:sz w:val="21"/>
                <w:szCs w:val="21"/>
              </w:rPr>
            </w:pPr>
          </w:p>
        </w:tc>
        <w:tc>
          <w:tcPr>
            <w:tcW w:w="1990" w:type="dxa"/>
            <w:gridSpan w:val="2"/>
            <w:vAlign w:val="center"/>
          </w:tcPr>
          <w:p w14:paraId="21FCB897">
            <w:pPr>
              <w:jc w:val="center"/>
              <w:rPr>
                <w:rFonts w:hint="eastAsia" w:ascii="宋体" w:hAnsi="宋体" w:eastAsia="宋体" w:cs="宋体"/>
                <w:sz w:val="21"/>
                <w:szCs w:val="21"/>
              </w:rPr>
            </w:pPr>
          </w:p>
        </w:tc>
        <w:tc>
          <w:tcPr>
            <w:tcW w:w="1499" w:type="dxa"/>
            <w:vAlign w:val="center"/>
          </w:tcPr>
          <w:p w14:paraId="4BDB4075">
            <w:pPr>
              <w:jc w:val="center"/>
              <w:rPr>
                <w:rFonts w:hint="eastAsia" w:ascii="宋体" w:hAnsi="宋体" w:eastAsia="宋体" w:cs="宋体"/>
                <w:sz w:val="21"/>
                <w:szCs w:val="21"/>
              </w:rPr>
            </w:pPr>
          </w:p>
        </w:tc>
        <w:tc>
          <w:tcPr>
            <w:tcW w:w="1489" w:type="dxa"/>
            <w:vAlign w:val="center"/>
          </w:tcPr>
          <w:p w14:paraId="788426EE">
            <w:pPr>
              <w:jc w:val="center"/>
              <w:rPr>
                <w:rFonts w:hint="eastAsia" w:ascii="宋体" w:hAnsi="宋体" w:eastAsia="宋体" w:cs="宋体"/>
                <w:sz w:val="21"/>
                <w:szCs w:val="21"/>
              </w:rPr>
            </w:pPr>
          </w:p>
        </w:tc>
      </w:tr>
      <w:tr w14:paraId="154FB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64D7D108">
            <w:pPr>
              <w:pStyle w:val="217"/>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281" w:type="dxa"/>
            <w:gridSpan w:val="2"/>
            <w:vAlign w:val="top"/>
          </w:tcPr>
          <w:p w14:paraId="797D1D2A">
            <w:pPr>
              <w:pStyle w:val="217"/>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1AC5CCD9">
            <w:pPr>
              <w:jc w:val="center"/>
              <w:rPr>
                <w:rFonts w:hint="eastAsia" w:ascii="宋体" w:hAnsi="宋体" w:eastAsia="宋体" w:cs="宋体"/>
                <w:sz w:val="21"/>
                <w:szCs w:val="21"/>
              </w:rPr>
            </w:pPr>
          </w:p>
        </w:tc>
        <w:tc>
          <w:tcPr>
            <w:tcW w:w="1990" w:type="dxa"/>
            <w:gridSpan w:val="2"/>
            <w:vAlign w:val="center"/>
          </w:tcPr>
          <w:p w14:paraId="0B444A68">
            <w:pPr>
              <w:jc w:val="center"/>
              <w:rPr>
                <w:rFonts w:hint="eastAsia" w:ascii="宋体" w:hAnsi="宋体" w:eastAsia="宋体" w:cs="宋体"/>
                <w:sz w:val="21"/>
                <w:szCs w:val="21"/>
              </w:rPr>
            </w:pPr>
          </w:p>
        </w:tc>
        <w:tc>
          <w:tcPr>
            <w:tcW w:w="1499" w:type="dxa"/>
            <w:vAlign w:val="center"/>
          </w:tcPr>
          <w:p w14:paraId="5906EE83">
            <w:pPr>
              <w:jc w:val="center"/>
              <w:rPr>
                <w:rFonts w:hint="eastAsia" w:ascii="宋体" w:hAnsi="宋体" w:eastAsia="宋体" w:cs="宋体"/>
                <w:sz w:val="21"/>
                <w:szCs w:val="21"/>
              </w:rPr>
            </w:pPr>
          </w:p>
        </w:tc>
        <w:tc>
          <w:tcPr>
            <w:tcW w:w="1489" w:type="dxa"/>
            <w:vAlign w:val="center"/>
          </w:tcPr>
          <w:p w14:paraId="268A670E">
            <w:pPr>
              <w:jc w:val="center"/>
              <w:rPr>
                <w:rFonts w:hint="eastAsia" w:ascii="宋体" w:hAnsi="宋体" w:eastAsia="宋体" w:cs="宋体"/>
                <w:sz w:val="21"/>
                <w:szCs w:val="21"/>
              </w:rPr>
            </w:pPr>
          </w:p>
        </w:tc>
      </w:tr>
      <w:tr w14:paraId="29F94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jc w:val="center"/>
        </w:trPr>
        <w:tc>
          <w:tcPr>
            <w:tcW w:w="8945" w:type="dxa"/>
            <w:gridSpan w:val="8"/>
            <w:vAlign w:val="top"/>
          </w:tcPr>
          <w:p w14:paraId="5749EF60">
            <w:pPr>
              <w:pStyle w:val="217"/>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rPr>
              <w:t>说明：</w:t>
            </w:r>
            <w:r>
              <w:rPr>
                <w:rFonts w:hint="eastAsia" w:ascii="宋体" w:hAnsi="宋体" w:eastAsia="宋体" w:cs="宋体"/>
                <w:b/>
                <w:bCs/>
                <w:spacing w:val="-1"/>
                <w:sz w:val="21"/>
                <w:szCs w:val="21"/>
                <w:lang w:val="en-US" w:eastAsia="zh-CN"/>
              </w:rPr>
              <w:t>1.</w:t>
            </w:r>
            <w:r>
              <w:rPr>
                <w:rFonts w:hint="eastAsia" w:ascii="宋体" w:hAnsi="宋体" w:eastAsia="宋体" w:cs="宋体"/>
                <w:b/>
                <w:bCs/>
                <w:spacing w:val="-1"/>
                <w:sz w:val="21"/>
                <w:szCs w:val="21"/>
              </w:rPr>
              <w:t>同一职务有多人担任（如主要技术人员）</w:t>
            </w:r>
            <w:r>
              <w:rPr>
                <w:rFonts w:hint="eastAsia" w:ascii="宋体" w:hAnsi="宋体" w:eastAsia="宋体" w:cs="宋体"/>
                <w:b/>
                <w:bCs/>
                <w:spacing w:val="-1"/>
                <w:sz w:val="21"/>
                <w:szCs w:val="21"/>
                <w:lang w:eastAsia="zh-CN"/>
              </w:rPr>
              <w:t>的</w:t>
            </w:r>
            <w:r>
              <w:rPr>
                <w:rFonts w:hint="eastAsia" w:ascii="宋体" w:hAnsi="宋体" w:eastAsia="宋体" w:cs="宋体"/>
                <w:b/>
                <w:bCs/>
                <w:spacing w:val="-1"/>
                <w:sz w:val="21"/>
                <w:szCs w:val="21"/>
              </w:rPr>
              <w:t>，应分行填写。</w:t>
            </w:r>
          </w:p>
          <w:p w14:paraId="314D7AD7">
            <w:pPr>
              <w:pStyle w:val="217"/>
              <w:numPr>
                <w:ilvl w:val="0"/>
                <w:numId w:val="2"/>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同一人员可以担任多个职务。上述项目负责人、主要技术人员必须为供应商本单位人员，主要技术人员不等同于项目团队成员。</w:t>
            </w:r>
          </w:p>
          <w:p w14:paraId="3D3A28B0">
            <w:pPr>
              <w:pStyle w:val="217"/>
              <w:numPr>
                <w:ilvl w:val="0"/>
                <w:numId w:val="2"/>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法定代表人/单位负责人/主要经营负责人一栏填写“法定代表人”信息。</w:t>
            </w:r>
          </w:p>
        </w:tc>
      </w:tr>
      <w:tr w14:paraId="18901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139C53F4">
            <w:pPr>
              <w:pStyle w:val="217"/>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1337D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07F72472">
            <w:pPr>
              <w:pStyle w:val="217"/>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1A10BDAA">
            <w:pPr>
              <w:pStyle w:val="217"/>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top"/>
          </w:tcPr>
          <w:p w14:paraId="66171748">
            <w:pPr>
              <w:pStyle w:val="217"/>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top"/>
          </w:tcPr>
          <w:p w14:paraId="7C9619FC">
            <w:pPr>
              <w:pStyle w:val="217"/>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43A6D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vAlign w:val="top"/>
          </w:tcPr>
          <w:p w14:paraId="2C4B37FB">
            <w:pPr>
              <w:spacing w:line="290" w:lineRule="auto"/>
              <w:rPr>
                <w:rFonts w:hint="eastAsia" w:ascii="宋体" w:hAnsi="宋体" w:eastAsia="宋体" w:cs="宋体"/>
                <w:sz w:val="21"/>
                <w:szCs w:val="21"/>
              </w:rPr>
            </w:pPr>
          </w:p>
          <w:p w14:paraId="19AF5F42">
            <w:pPr>
              <w:spacing w:line="290" w:lineRule="auto"/>
              <w:rPr>
                <w:rFonts w:hint="eastAsia" w:ascii="宋体" w:hAnsi="宋体" w:eastAsia="宋体" w:cs="宋体"/>
                <w:sz w:val="21"/>
                <w:szCs w:val="21"/>
              </w:rPr>
            </w:pPr>
          </w:p>
          <w:p w14:paraId="3FAF1B3A">
            <w:pPr>
              <w:pStyle w:val="217"/>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5DFF75FE">
            <w:pPr>
              <w:spacing w:line="274" w:lineRule="auto"/>
              <w:rPr>
                <w:rFonts w:hint="eastAsia" w:ascii="宋体" w:hAnsi="宋体" w:eastAsia="宋体" w:cs="宋体"/>
                <w:sz w:val="21"/>
                <w:szCs w:val="21"/>
              </w:rPr>
            </w:pPr>
          </w:p>
          <w:p w14:paraId="050E0679">
            <w:pPr>
              <w:spacing w:line="274" w:lineRule="auto"/>
              <w:rPr>
                <w:rFonts w:hint="eastAsia" w:ascii="宋体" w:hAnsi="宋体" w:eastAsia="宋体" w:cs="宋体"/>
                <w:sz w:val="21"/>
                <w:szCs w:val="21"/>
              </w:rPr>
            </w:pPr>
          </w:p>
          <w:p w14:paraId="6B66E515">
            <w:pPr>
              <w:pStyle w:val="217"/>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6EA29EAB">
            <w:pPr>
              <w:jc w:val="center"/>
              <w:rPr>
                <w:rFonts w:hint="eastAsia" w:ascii="宋体" w:hAnsi="宋体" w:eastAsia="宋体" w:cs="宋体"/>
                <w:sz w:val="21"/>
                <w:szCs w:val="21"/>
              </w:rPr>
            </w:pPr>
          </w:p>
        </w:tc>
        <w:tc>
          <w:tcPr>
            <w:tcW w:w="4187" w:type="dxa"/>
            <w:gridSpan w:val="3"/>
            <w:vAlign w:val="center"/>
          </w:tcPr>
          <w:p w14:paraId="7E27A81A">
            <w:pPr>
              <w:pStyle w:val="217"/>
              <w:keepNext w:val="0"/>
              <w:keepLines w:val="0"/>
              <w:pageBreakBefore w:val="0"/>
              <w:widowControl/>
              <w:kinsoku w:val="0"/>
              <w:wordWrap/>
              <w:overflowPunct/>
              <w:topLinePunct w:val="0"/>
              <w:autoSpaceDE w:val="0"/>
              <w:autoSpaceDN w:val="0"/>
              <w:bidi w:val="0"/>
              <w:adjustRightInd w:val="0"/>
              <w:snapToGrid w:val="0"/>
              <w:spacing w:before="27" w:line="300" w:lineRule="exact"/>
              <w:ind w:left="98" w:right="116" w:firstLine="19"/>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z w:val="21"/>
                <w:szCs w:val="21"/>
              </w:rPr>
              <w:t>应）供应商股东会（或股东大会）的决议产生重要</w:t>
            </w:r>
            <w:r>
              <w:rPr>
                <w:rFonts w:hint="eastAsia" w:ascii="宋体" w:hAnsi="宋体" w:eastAsia="宋体" w:cs="宋体"/>
                <w:spacing w:val="-2"/>
                <w:sz w:val="21"/>
                <w:szCs w:val="21"/>
              </w:rPr>
              <w:t>影响的股东。</w:t>
            </w:r>
          </w:p>
        </w:tc>
      </w:tr>
      <w:tr w14:paraId="56F62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33D005E1">
            <w:pPr>
              <w:pStyle w:val="217"/>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39A6AB24">
            <w:pPr>
              <w:pStyle w:val="217"/>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0349A556">
            <w:pPr>
              <w:jc w:val="center"/>
              <w:rPr>
                <w:rFonts w:hint="eastAsia" w:ascii="宋体" w:hAnsi="宋体" w:eastAsia="宋体" w:cs="宋体"/>
                <w:sz w:val="21"/>
                <w:szCs w:val="21"/>
              </w:rPr>
            </w:pPr>
          </w:p>
        </w:tc>
        <w:tc>
          <w:tcPr>
            <w:tcW w:w="4187" w:type="dxa"/>
            <w:gridSpan w:val="3"/>
            <w:vAlign w:val="top"/>
          </w:tcPr>
          <w:p w14:paraId="22E01652">
            <w:pPr>
              <w:pStyle w:val="217"/>
              <w:keepNext w:val="0"/>
              <w:keepLines w:val="0"/>
              <w:pageBreakBefore w:val="0"/>
              <w:widowControl/>
              <w:kinsoku w:val="0"/>
              <w:wordWrap/>
              <w:overflowPunct/>
              <w:topLinePunct w:val="0"/>
              <w:autoSpaceDE w:val="0"/>
              <w:autoSpaceDN w:val="0"/>
              <w:bidi w:val="0"/>
              <w:adjustRightInd w:val="0"/>
              <w:snapToGrid w:val="0"/>
              <w:spacing w:before="43" w:line="300" w:lineRule="exact"/>
              <w:ind w:left="120" w:right="24"/>
              <w:textAlignment w:val="baseline"/>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67F5D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vAlign w:val="top"/>
          </w:tcPr>
          <w:p w14:paraId="408EC912">
            <w:pPr>
              <w:pStyle w:val="217"/>
              <w:spacing w:before="42" w:line="180"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说明：同一关联关系类型有多个主体的，应分行填写。</w:t>
            </w:r>
          </w:p>
        </w:tc>
      </w:tr>
    </w:tbl>
    <w:p w14:paraId="7194BD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lang w:eastAsia="zh-CN"/>
        </w:rPr>
      </w:pPr>
      <w:r>
        <w:rPr>
          <w:rFonts w:hint="eastAsia" w:ascii="宋体" w:hAnsi="宋体" w:eastAsia="宋体" w:cs="宋体"/>
          <w:b/>
          <w:bCs/>
          <w:lang w:eastAsia="zh-CN"/>
        </w:rPr>
        <w:t>填报</w:t>
      </w:r>
      <w:r>
        <w:rPr>
          <w:rFonts w:hint="eastAsia" w:ascii="宋体" w:hAnsi="宋体" w:cs="宋体"/>
          <w:b/>
          <w:bCs/>
          <w:lang w:eastAsia="zh-CN"/>
        </w:rPr>
        <w:t>要求</w:t>
      </w:r>
      <w:r>
        <w:rPr>
          <w:rFonts w:hint="eastAsia" w:ascii="宋体" w:hAnsi="宋体" w:eastAsia="宋体" w:cs="宋体"/>
          <w:b/>
          <w:bCs/>
          <w:lang w:eastAsia="zh-CN"/>
        </w:rPr>
        <w:t>：</w:t>
      </w:r>
    </w:p>
    <w:p w14:paraId="43AF92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1、</w:t>
      </w:r>
      <w:r>
        <w:rPr>
          <w:rFonts w:hint="eastAsia" w:ascii="宋体" w:hAnsi="宋体" w:cs="宋体"/>
          <w:b/>
          <w:bCs/>
          <w:highlight w:val="none"/>
          <w:lang w:val="en-US" w:eastAsia="zh-CN"/>
        </w:rPr>
        <w:t>投标（响应）供应商</w:t>
      </w:r>
      <w:r>
        <w:rPr>
          <w:rFonts w:hint="eastAsia" w:ascii="宋体" w:hAnsi="宋体" w:eastAsia="宋体" w:cs="宋体"/>
          <w:b/>
          <w:bCs/>
          <w:highlight w:val="none"/>
          <w:lang w:val="en-US" w:eastAsia="zh-CN"/>
        </w:rPr>
        <w:t>须如实填报《供应商基本情况表》。</w:t>
      </w:r>
    </w:p>
    <w:p w14:paraId="62AB62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2、</w:t>
      </w:r>
      <w:r>
        <w:rPr>
          <w:rFonts w:hint="eastAsia" w:ascii="宋体" w:hAnsi="宋体" w:cs="宋体"/>
          <w:b/>
          <w:bCs/>
          <w:highlight w:val="none"/>
          <w:lang w:val="en-US" w:eastAsia="zh-CN"/>
        </w:rPr>
        <w:t>投标（响应）供应商</w:t>
      </w:r>
      <w:r>
        <w:rPr>
          <w:rFonts w:hint="eastAsia" w:ascii="宋体" w:hAnsi="宋体" w:eastAsia="宋体" w:cs="宋体"/>
          <w:b/>
          <w:bCs/>
          <w:highlight w:val="none"/>
          <w:lang w:val="en-US" w:eastAsia="zh-CN"/>
        </w:rPr>
        <w:t>需提供法定代表人、主要经营负责人、项目投标授权代表人、项目负责人、主要技术人员</w:t>
      </w:r>
      <w:r>
        <w:rPr>
          <w:rFonts w:hint="eastAsia" w:ascii="宋体" w:hAnsi="宋体" w:cs="宋体"/>
          <w:b/>
          <w:bCs/>
          <w:highlight w:val="none"/>
          <w:lang w:val="en-US" w:eastAsia="zh-CN"/>
        </w:rPr>
        <w:t>、投标文件编制人员</w:t>
      </w:r>
      <w:r>
        <w:rPr>
          <w:rFonts w:hint="eastAsia" w:ascii="宋体" w:hAnsi="宋体" w:cs="宋体"/>
          <w:b/>
          <w:bCs/>
          <w:highlight w:val="yellow"/>
          <w:lang w:eastAsia="zh-CN"/>
        </w:rPr>
        <w:t>在投标（响应）截止日前最近</w:t>
      </w:r>
      <w:r>
        <w:rPr>
          <w:rFonts w:hint="eastAsia" w:ascii="宋体" w:hAnsi="宋体" w:cs="宋体"/>
          <w:b/>
          <w:bCs/>
          <w:highlight w:val="yellow"/>
        </w:rPr>
        <w:t>一个月</w:t>
      </w:r>
      <w:r>
        <w:rPr>
          <w:rFonts w:hint="eastAsia" w:ascii="宋体" w:hAnsi="宋体" w:cs="宋体"/>
          <w:b/>
          <w:bCs/>
          <w:highlight w:val="yellow"/>
          <w:lang w:eastAsia="zh-CN"/>
        </w:rPr>
        <w:t>载有社保部门或税务部门公章</w:t>
      </w:r>
      <w:r>
        <w:rPr>
          <w:rFonts w:hint="eastAsia" w:ascii="宋体" w:hAnsi="宋体" w:cs="宋体"/>
          <w:b/>
          <w:bCs/>
          <w:highlight w:val="yellow"/>
        </w:rPr>
        <w:t>的社会保险证明材料（</w:t>
      </w:r>
      <w:r>
        <w:rPr>
          <w:rFonts w:hint="eastAsia" w:ascii="宋体" w:hAnsi="宋体" w:cs="宋体"/>
          <w:b/>
          <w:bCs/>
          <w:highlight w:val="yellow"/>
          <w:lang w:eastAsia="zh-CN"/>
        </w:rPr>
        <w:t>如因主管部门原因最近一个月的社保证明无法提供，可往前顺延一至二个月</w:t>
      </w:r>
      <w:r>
        <w:rPr>
          <w:rFonts w:hint="eastAsia" w:ascii="宋体" w:hAnsi="宋体" w:cs="宋体"/>
          <w:b/>
          <w:bCs/>
          <w:highlight w:val="yellow"/>
        </w:rPr>
        <w:t>）</w:t>
      </w:r>
      <w:r>
        <w:rPr>
          <w:rFonts w:hint="eastAsia" w:ascii="宋体" w:hAnsi="宋体" w:eastAsia="宋体" w:cs="宋体"/>
          <w:b/>
          <w:bCs/>
          <w:highlight w:val="yellow"/>
          <w:lang w:val="en-US" w:eastAsia="zh-CN"/>
        </w:rPr>
        <w:t>。</w:t>
      </w:r>
    </w:p>
    <w:p w14:paraId="2B5C34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highlight w:val="yellow"/>
          <w:lang w:val="en-US" w:eastAsia="zh-CN"/>
        </w:rPr>
      </w:pPr>
      <w:r>
        <w:rPr>
          <w:rFonts w:hint="eastAsia" w:ascii="宋体" w:hAnsi="宋体" w:eastAsia="宋体" w:cs="宋体"/>
          <w:b/>
          <w:bCs/>
          <w:highlight w:val="none"/>
          <w:lang w:val="en-US" w:eastAsia="zh-CN"/>
        </w:rPr>
        <w:t>注：1)</w:t>
      </w:r>
      <w:r>
        <w:rPr>
          <w:rFonts w:hint="eastAsia" w:ascii="宋体" w:hAnsi="宋体" w:cs="宋体"/>
          <w:b/>
          <w:bCs/>
          <w:highlight w:val="none"/>
          <w:lang w:val="en-US" w:eastAsia="zh-CN"/>
        </w:rPr>
        <w:t>投标（响应）供应商</w:t>
      </w:r>
      <w:r>
        <w:rPr>
          <w:rFonts w:hint="eastAsia" w:ascii="宋体" w:hAnsi="宋体" w:eastAsia="宋体" w:cs="宋体"/>
          <w:b/>
          <w:bCs/>
          <w:highlight w:val="none"/>
          <w:lang w:val="en-US" w:eastAsia="zh-CN"/>
        </w:rPr>
        <w:t>应如实提供上述人员的社会保险证明，</w:t>
      </w:r>
      <w:r>
        <w:rPr>
          <w:rFonts w:hint="eastAsia" w:ascii="宋体" w:hAnsi="宋体" w:cs="宋体"/>
          <w:b/>
          <w:bCs/>
          <w:highlight w:val="yellow"/>
          <w:lang w:val="en-US" w:eastAsia="zh-CN"/>
        </w:rPr>
        <w:t>如</w:t>
      </w:r>
      <w:r>
        <w:rPr>
          <w:rFonts w:hint="eastAsia" w:ascii="宋体" w:hAnsi="宋体" w:eastAsia="宋体" w:cs="宋体"/>
          <w:b/>
          <w:bCs/>
          <w:highlight w:val="yellow"/>
          <w:lang w:val="en-US" w:eastAsia="zh-CN"/>
        </w:rPr>
        <w:t>社会保险未由</w:t>
      </w:r>
      <w:r>
        <w:rPr>
          <w:rFonts w:hint="eastAsia" w:ascii="宋体" w:hAnsi="宋体" w:cs="宋体"/>
          <w:b/>
          <w:bCs/>
          <w:highlight w:val="yellow"/>
          <w:lang w:val="en-US" w:eastAsia="zh-CN"/>
        </w:rPr>
        <w:t>投标（响应）供应商</w:t>
      </w:r>
      <w:r>
        <w:rPr>
          <w:rFonts w:hint="eastAsia" w:ascii="宋体" w:hAnsi="宋体" w:eastAsia="宋体" w:cs="宋体"/>
          <w:b/>
          <w:bCs/>
          <w:highlight w:val="yellow"/>
          <w:lang w:val="en-US" w:eastAsia="zh-CN"/>
        </w:rPr>
        <w:t>缴纳，</w:t>
      </w:r>
      <w:r>
        <w:rPr>
          <w:rFonts w:hint="eastAsia" w:ascii="宋体" w:hAnsi="宋体" w:cs="宋体"/>
          <w:b/>
          <w:bCs/>
          <w:highlight w:val="yellow"/>
          <w:lang w:val="en-US" w:eastAsia="zh-CN"/>
        </w:rPr>
        <w:t>亦须提供相应单位为其缴纳的社会保险证明。</w:t>
      </w:r>
    </w:p>
    <w:p w14:paraId="55CCDD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2)</w:t>
      </w:r>
      <w:r>
        <w:rPr>
          <w:rFonts w:hint="eastAsia" w:ascii="宋体" w:hAnsi="宋体" w:cs="宋体"/>
          <w:b/>
          <w:bCs/>
          <w:highlight w:val="none"/>
          <w:lang w:val="en-US" w:eastAsia="zh-CN"/>
        </w:rPr>
        <w:t>如因为主管部门原因无法提供社保证明的，需提供主管部门官方通知证明（或官网公告截图）。</w:t>
      </w:r>
    </w:p>
    <w:p w14:paraId="3012E8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3)如</w:t>
      </w:r>
      <w:r>
        <w:rPr>
          <w:rFonts w:hint="eastAsia" w:ascii="宋体" w:hAnsi="宋体" w:cs="宋体"/>
          <w:b/>
          <w:bCs/>
          <w:highlight w:val="none"/>
          <w:lang w:val="en-US" w:eastAsia="zh-CN"/>
        </w:rPr>
        <w:t>投标（响应）供应商</w:t>
      </w:r>
      <w:r>
        <w:rPr>
          <w:rFonts w:hint="eastAsia" w:ascii="宋体" w:hAnsi="宋体" w:eastAsia="宋体" w:cs="宋体"/>
          <w:b/>
          <w:bCs/>
          <w:highlight w:val="none"/>
          <w:lang w:val="en-US" w:eastAsia="zh-CN"/>
        </w:rPr>
        <w:t>为新成立单位且成立时间不足一个月或相关人员任职不足一个月，无法提供社保证明的，应提供</w:t>
      </w:r>
      <w:r>
        <w:rPr>
          <w:rFonts w:hint="eastAsia" w:ascii="宋体" w:hAnsi="宋体" w:cs="宋体"/>
          <w:b/>
          <w:bCs/>
          <w:highlight w:val="none"/>
          <w:lang w:val="en-US" w:eastAsia="zh-CN"/>
        </w:rPr>
        <w:t>相关</w:t>
      </w:r>
      <w:r>
        <w:rPr>
          <w:rFonts w:hint="eastAsia" w:ascii="宋体" w:hAnsi="宋体" w:eastAsia="宋体" w:cs="宋体"/>
          <w:b/>
          <w:bCs/>
          <w:highlight w:val="none"/>
          <w:lang w:val="en-US" w:eastAsia="zh-CN"/>
        </w:rPr>
        <w:t>情况说明或者证明材料。</w:t>
      </w:r>
    </w:p>
    <w:p w14:paraId="1DA8EF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4)如为退休人员，无法提供社保证明的，应提供</w:t>
      </w:r>
      <w:r>
        <w:rPr>
          <w:rFonts w:hint="eastAsia" w:ascii="宋体" w:hAnsi="宋体" w:cs="宋体"/>
          <w:b/>
          <w:bCs/>
          <w:highlight w:val="none"/>
          <w:lang w:val="en-US" w:eastAsia="zh-CN"/>
        </w:rPr>
        <w:t>相关</w:t>
      </w:r>
      <w:r>
        <w:rPr>
          <w:rFonts w:hint="eastAsia" w:ascii="宋体" w:hAnsi="宋体" w:eastAsia="宋体" w:cs="宋体"/>
          <w:b/>
          <w:bCs/>
          <w:highlight w:val="none"/>
          <w:lang w:val="en-US" w:eastAsia="zh-CN"/>
        </w:rPr>
        <w:t>情况说明或者证明材料。</w:t>
      </w:r>
    </w:p>
    <w:p w14:paraId="2949A6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5)</w:t>
      </w:r>
      <w:r>
        <w:rPr>
          <w:rFonts w:hint="eastAsia" w:ascii="宋体" w:hAnsi="宋体" w:cs="宋体"/>
          <w:b/>
          <w:bCs/>
        </w:rPr>
        <w:t>如为依法不需要缴纳社会保险</w:t>
      </w:r>
      <w:r>
        <w:rPr>
          <w:rFonts w:hint="eastAsia" w:ascii="宋体" w:hAnsi="宋体" w:cs="宋体"/>
          <w:b/>
          <w:bCs/>
          <w:lang w:eastAsia="zh-CN"/>
        </w:rPr>
        <w:t>或因为单位特殊性质、人员特殊情况等原因无法提供社保证明</w:t>
      </w:r>
      <w:r>
        <w:rPr>
          <w:rFonts w:hint="eastAsia" w:ascii="宋体" w:hAnsi="宋体" w:cs="宋体"/>
          <w:b/>
          <w:bCs/>
        </w:rPr>
        <w:t>的</w:t>
      </w:r>
      <w:r>
        <w:rPr>
          <w:rFonts w:hint="eastAsia" w:ascii="宋体" w:hAnsi="宋体" w:eastAsia="宋体" w:cs="宋体"/>
          <w:b/>
          <w:bCs/>
          <w:highlight w:val="none"/>
          <w:lang w:val="en-US" w:eastAsia="zh-CN"/>
        </w:rPr>
        <w:t>，应提供</w:t>
      </w:r>
      <w:r>
        <w:rPr>
          <w:rFonts w:hint="eastAsia" w:ascii="宋体" w:hAnsi="宋体" w:cs="宋体"/>
          <w:b/>
          <w:bCs/>
          <w:highlight w:val="none"/>
          <w:lang w:val="en-US" w:eastAsia="zh-CN"/>
        </w:rPr>
        <w:t>相关</w:t>
      </w:r>
      <w:r>
        <w:rPr>
          <w:rFonts w:hint="eastAsia" w:ascii="宋体" w:hAnsi="宋体" w:eastAsia="宋体" w:cs="宋体"/>
          <w:b/>
          <w:bCs/>
          <w:highlight w:val="none"/>
          <w:lang w:val="en-US" w:eastAsia="zh-CN"/>
        </w:rPr>
        <w:t>情况说明或者证明材料。</w:t>
      </w:r>
    </w:p>
    <w:p w14:paraId="049E5B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6)如本项目未安排项目投标授权代表人、项目负责人、主要技术人员的，</w:t>
      </w:r>
      <w:r>
        <w:rPr>
          <w:rFonts w:hint="eastAsia" w:ascii="宋体" w:hAnsi="宋体" w:cs="宋体"/>
          <w:b/>
          <w:bCs/>
          <w:highlight w:val="none"/>
          <w:lang w:val="en-US" w:eastAsia="zh-CN"/>
        </w:rPr>
        <w:t>相关人员信息可填写“无”</w:t>
      </w:r>
      <w:r>
        <w:rPr>
          <w:rFonts w:hint="eastAsia" w:ascii="宋体" w:hAnsi="宋体" w:eastAsia="宋体" w:cs="宋体"/>
          <w:b/>
          <w:bCs/>
          <w:highlight w:val="none"/>
          <w:lang w:val="en-US" w:eastAsia="zh-CN"/>
        </w:rPr>
        <w:t>，无需提供</w:t>
      </w:r>
      <w:r>
        <w:rPr>
          <w:rFonts w:hint="eastAsia" w:ascii="宋体" w:hAnsi="宋体" w:cs="宋体"/>
          <w:b/>
          <w:bCs/>
          <w:highlight w:val="none"/>
          <w:lang w:val="en-US" w:eastAsia="zh-CN"/>
        </w:rPr>
        <w:t>未安排</w:t>
      </w:r>
      <w:r>
        <w:rPr>
          <w:rFonts w:hint="eastAsia" w:ascii="宋体" w:hAnsi="宋体" w:eastAsia="宋体" w:cs="宋体"/>
          <w:b/>
          <w:bCs/>
          <w:highlight w:val="none"/>
          <w:lang w:val="en-US" w:eastAsia="zh-CN"/>
        </w:rPr>
        <w:t>人员的社保</w:t>
      </w:r>
      <w:r>
        <w:rPr>
          <w:rFonts w:hint="eastAsia" w:ascii="宋体" w:hAnsi="宋体" w:cs="宋体"/>
          <w:b/>
          <w:bCs/>
          <w:highlight w:val="none"/>
          <w:lang w:val="en-US" w:eastAsia="zh-CN"/>
        </w:rPr>
        <w:t>证明</w:t>
      </w:r>
      <w:r>
        <w:rPr>
          <w:rFonts w:hint="eastAsia" w:ascii="宋体" w:hAnsi="宋体" w:eastAsia="宋体" w:cs="宋体"/>
          <w:b/>
          <w:bCs/>
          <w:highlight w:val="none"/>
          <w:lang w:val="en-US" w:eastAsia="zh-CN"/>
        </w:rPr>
        <w:t>。</w:t>
      </w:r>
    </w:p>
    <w:p w14:paraId="26728D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7）本表中填报的人员姓名、身份证号码、缴纳社会保险单位应与社保证明材料中显示的信息相同。</w:t>
      </w:r>
    </w:p>
    <w:p w14:paraId="53F185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highlight w:val="yellow"/>
          <w:lang w:val="en-US" w:eastAsia="zh-CN"/>
        </w:rPr>
      </w:pPr>
      <w:r>
        <w:rPr>
          <w:rFonts w:hint="eastAsia" w:ascii="宋体" w:hAnsi="宋体" w:cs="宋体"/>
          <w:b/>
          <w:bCs/>
          <w:highlight w:val="yellow"/>
          <w:lang w:val="en-US" w:eastAsia="zh-CN"/>
        </w:rPr>
        <w:t>8）投标（响应）供应商未按要求填报《供应商基本情况表》或未按要求提供证明材料或提供的证明材料模糊不清导致无法识别的，将按投标（响应）无效处理。</w:t>
      </w:r>
    </w:p>
    <w:p w14:paraId="22CA7B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3、如审查发现</w:t>
      </w:r>
      <w:r>
        <w:rPr>
          <w:rFonts w:hint="eastAsia" w:ascii="宋体" w:hAnsi="宋体" w:cs="宋体"/>
          <w:b/>
          <w:bCs/>
          <w:highlight w:val="none"/>
          <w:lang w:val="en-US" w:eastAsia="zh-CN"/>
        </w:rPr>
        <w:t>投标（响应）供应商</w:t>
      </w:r>
      <w:r>
        <w:rPr>
          <w:rFonts w:hint="eastAsia" w:ascii="宋体" w:hAnsi="宋体" w:eastAsia="宋体" w:cs="宋体"/>
          <w:b/>
          <w:bCs/>
          <w:highlight w:val="none"/>
          <w:lang w:val="en-US" w:eastAsia="zh-CN"/>
        </w:rPr>
        <w:t>填报信息与其他平台查询结果不一致，将要求供应商在评审期间合理的时间内提供书面说明，供应商未按要求提供书面说明的，将导致</w:t>
      </w:r>
      <w:r>
        <w:rPr>
          <w:rFonts w:hint="eastAsia" w:ascii="宋体" w:hAnsi="宋体" w:cs="宋体"/>
          <w:b/>
          <w:bCs/>
          <w:highlight w:val="none"/>
          <w:lang w:val="en-US" w:eastAsia="zh-CN"/>
        </w:rPr>
        <w:t>投标（响应）无效</w:t>
      </w:r>
      <w:r>
        <w:rPr>
          <w:rFonts w:hint="eastAsia" w:ascii="宋体" w:hAnsi="宋体" w:eastAsia="宋体" w:cs="宋体"/>
          <w:b/>
          <w:bCs/>
          <w:highlight w:val="none"/>
          <w:lang w:val="en-US" w:eastAsia="zh-CN"/>
        </w:rPr>
        <w:t>。</w:t>
      </w:r>
    </w:p>
    <w:p w14:paraId="4CE51C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yellow"/>
          <w:lang w:val="en-US" w:eastAsia="zh-CN"/>
        </w:rPr>
      </w:pPr>
    </w:p>
    <w:p w14:paraId="4C333ACD">
      <w:pPr>
        <w:rPr>
          <w:rFonts w:hint="eastAsia"/>
          <w:szCs w:val="21"/>
          <w:u w:val="single"/>
        </w:rPr>
      </w:pPr>
      <w:r>
        <w:rPr>
          <w:rFonts w:hint="eastAsia"/>
          <w:szCs w:val="21"/>
          <w:u w:val="single"/>
        </w:rPr>
        <w:t>（备注：如为联合体投标，联合体各方</w:t>
      </w:r>
      <w:r>
        <w:rPr>
          <w:rFonts w:hint="eastAsia"/>
          <w:szCs w:val="21"/>
          <w:u w:val="single"/>
          <w:lang w:eastAsia="zh-CN"/>
        </w:rPr>
        <w:t>应分别填报《供应商基本情况表》</w:t>
      </w:r>
      <w:r>
        <w:rPr>
          <w:rFonts w:hint="eastAsia"/>
          <w:szCs w:val="21"/>
          <w:u w:val="single"/>
        </w:rPr>
        <w:t>）</w:t>
      </w:r>
    </w:p>
    <w:p w14:paraId="7B3947B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highlight w:val="yellow"/>
          <w:lang w:val="en-US" w:eastAsia="zh-CN"/>
        </w:rPr>
      </w:pPr>
    </w:p>
    <w:p w14:paraId="7952E17B">
      <w:pPr>
        <w:keepNext/>
        <w:keepLines/>
        <w:spacing w:before="260" w:after="260"/>
        <w:jc w:val="center"/>
        <w:outlineLvl w:val="2"/>
        <w:rPr>
          <w:rFonts w:hint="eastAsia" w:ascii="黑体" w:hAnsi="宋体" w:eastAsia="黑体" w:cs="Times New Roman"/>
          <w:bCs/>
          <w:kern w:val="0"/>
          <w:sz w:val="24"/>
          <w:szCs w:val="32"/>
          <w:lang w:eastAsia="zh-CN"/>
        </w:rPr>
      </w:pPr>
      <w:r>
        <w:rPr>
          <w:rFonts w:hint="eastAsia" w:ascii="黑体" w:hAnsi="宋体" w:eastAsia="黑体" w:cs="Times New Roman"/>
          <w:bCs/>
          <w:kern w:val="0"/>
          <w:sz w:val="24"/>
          <w:szCs w:val="32"/>
          <w:lang w:eastAsia="zh-CN"/>
        </w:rPr>
        <w:t>个人社保缴纳明细截图</w:t>
      </w:r>
    </w:p>
    <w:p w14:paraId="4A96C9A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spacing w:val="-6"/>
          <w:sz w:val="21"/>
          <w:szCs w:val="21"/>
        </w:rPr>
        <w:t>法定代表人/单位负责人/主要经营负责人</w:t>
      </w:r>
    </w:p>
    <w:p w14:paraId="1C546007">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E898A26">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5F5A4A80">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2、项目投标授权代表人</w:t>
      </w:r>
    </w:p>
    <w:p w14:paraId="6C4830B7">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757A1F89">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527F651D">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、项目负责人</w:t>
      </w:r>
    </w:p>
    <w:p w14:paraId="3BB05B40">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A6BA88F">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68272075">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rPr>
        <w:t>主要技术人员</w:t>
      </w:r>
    </w:p>
    <w:p w14:paraId="1695C77A">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03D7B6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34CB9151">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投标文件编制人员</w:t>
      </w:r>
    </w:p>
    <w:p w14:paraId="1FDDB2E6">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p>
    <w:p w14:paraId="25C5BB4D">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p>
    <w:p w14:paraId="3FC85E88">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其</w:t>
      </w:r>
      <w:r>
        <w:rPr>
          <w:rFonts w:hint="eastAsia" w:ascii="宋体" w:hAnsi="宋体" w:eastAsia="宋体" w:cs="宋体"/>
          <w:color w:val="auto"/>
          <w:sz w:val="21"/>
          <w:szCs w:val="21"/>
          <w:lang w:eastAsia="zh-CN"/>
        </w:rPr>
        <w:t>他说明材料：</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可以</w:t>
      </w:r>
      <w:r>
        <w:rPr>
          <w:rFonts w:hint="eastAsia" w:ascii="宋体" w:hAnsi="宋体" w:eastAsia="宋体" w:cs="宋体"/>
          <w:color w:val="auto"/>
          <w:sz w:val="21"/>
          <w:szCs w:val="21"/>
          <w:lang w:eastAsia="zh-CN"/>
        </w:rPr>
        <w:t>根据项目情况</w:t>
      </w:r>
      <w:r>
        <w:rPr>
          <w:rFonts w:hint="eastAsia" w:ascii="宋体" w:hAnsi="宋体" w:eastAsia="宋体" w:cs="宋体"/>
          <w:color w:val="auto"/>
          <w:sz w:val="21"/>
          <w:szCs w:val="21"/>
        </w:rPr>
        <w:t>增添附件</w:t>
      </w:r>
      <w:r>
        <w:rPr>
          <w:rFonts w:hint="eastAsia" w:ascii="宋体" w:hAnsi="宋体" w:eastAsia="宋体" w:cs="宋体"/>
          <w:color w:val="auto"/>
          <w:sz w:val="21"/>
          <w:szCs w:val="21"/>
          <w:lang w:val="en-US" w:eastAsia="zh-CN"/>
        </w:rPr>
        <w:t>)</w:t>
      </w:r>
    </w:p>
    <w:p w14:paraId="27CBC72C">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val="en-US" w:eastAsia="zh-CN"/>
        </w:rPr>
      </w:pPr>
    </w:p>
    <w:p w14:paraId="0499692D">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val="en-US" w:eastAsia="zh-CN"/>
        </w:rPr>
      </w:pPr>
    </w:p>
    <w:p w14:paraId="05B578EC">
      <w:pPr>
        <w:rPr>
          <w:rFonts w:hint="eastAsia" w:ascii="黑体" w:hAnsi="宋体" w:eastAsia="黑体"/>
          <w:bCs/>
          <w:kern w:val="0"/>
          <w:sz w:val="24"/>
          <w:szCs w:val="32"/>
        </w:rPr>
      </w:pPr>
      <w:r>
        <w:rPr>
          <w:rFonts w:hint="eastAsia" w:ascii="宋体" w:hAnsi="宋体" w:eastAsia="宋体" w:cs="宋体"/>
          <w:color w:val="auto"/>
          <w:sz w:val="21"/>
          <w:szCs w:val="21"/>
          <w:lang w:val="en-US" w:eastAsia="zh-CN"/>
        </w:rPr>
        <w:t>注：同一人员兼任不同职务的，可以合并提供社保等证明材料，本格式仅供参考。</w:t>
      </w:r>
      <w:r>
        <w:rPr>
          <w:rFonts w:hint="eastAsia" w:ascii="黑体" w:hAnsi="宋体" w:eastAsia="黑体"/>
          <w:bCs/>
          <w:kern w:val="0"/>
          <w:sz w:val="24"/>
          <w:szCs w:val="32"/>
        </w:rPr>
        <w:br w:type="page"/>
      </w:r>
    </w:p>
    <w:p w14:paraId="24FD56D6">
      <w:pPr>
        <w:keepNext/>
        <w:keepLines/>
        <w:spacing w:before="260" w:after="260"/>
        <w:jc w:val="center"/>
        <w:outlineLvl w:val="2"/>
        <w:rPr>
          <w:rFonts w:ascii="黑体" w:hAnsi="宋体" w:eastAsia="黑体"/>
          <w:bCs/>
          <w:kern w:val="0"/>
          <w:sz w:val="24"/>
          <w:szCs w:val="32"/>
        </w:rPr>
      </w:pPr>
      <w:r>
        <w:rPr>
          <w:rFonts w:hint="eastAsia" w:ascii="黑体" w:hAnsi="宋体" w:eastAsia="黑体"/>
          <w:bCs/>
          <w:kern w:val="0"/>
          <w:sz w:val="24"/>
          <w:szCs w:val="32"/>
        </w:rPr>
        <w:t>六、法定代表人（负责人）资格证明书</w:t>
      </w:r>
    </w:p>
    <w:p w14:paraId="3228A135">
      <w:pPr>
        <w:rPr>
          <w:rFonts w:ascii="Times New Roman" w:hAnsi="Times New Roman"/>
          <w:sz w:val="24"/>
          <w:szCs w:val="24"/>
        </w:rPr>
      </w:pPr>
    </w:p>
    <w:p w14:paraId="6DF6D4C8">
      <w:pPr>
        <w:spacing w:line="360" w:lineRule="auto"/>
        <w:rPr>
          <w:rFonts w:ascii="Times New Roman" w:hAnsi="Times New Roman"/>
          <w:szCs w:val="21"/>
        </w:rPr>
      </w:pPr>
      <w:r>
        <w:rPr>
          <w:rFonts w:hint="eastAsia" w:ascii="Times New Roman" w:hAnsi="Times New Roman"/>
          <w:szCs w:val="21"/>
        </w:rPr>
        <w:t xml:space="preserve">   </w:t>
      </w:r>
      <w:r>
        <w:rPr>
          <w:rFonts w:hint="eastAsia" w:ascii="Times New Roman" w:hAnsi="Times New Roman"/>
          <w:szCs w:val="21"/>
          <w:u w:val="single"/>
        </w:rPr>
        <w:t xml:space="preserve">         </w:t>
      </w:r>
      <w:r>
        <w:rPr>
          <w:rFonts w:hint="eastAsia" w:ascii="Times New Roman" w:hAnsi="Times New Roman"/>
          <w:szCs w:val="21"/>
        </w:rPr>
        <w:t>同志，现任我单位</w:t>
      </w:r>
      <w:r>
        <w:rPr>
          <w:rFonts w:hint="eastAsia" w:ascii="Times New Roman" w:hAnsi="Times New Roman"/>
          <w:szCs w:val="21"/>
          <w:u w:val="single"/>
        </w:rPr>
        <w:t xml:space="preserve">         </w:t>
      </w:r>
      <w:r>
        <w:rPr>
          <w:rFonts w:hint="eastAsia" w:ascii="Times New Roman" w:hAnsi="Times New Roman"/>
          <w:szCs w:val="21"/>
        </w:rPr>
        <w:t>职务，为法定代表人</w:t>
      </w:r>
      <w:r>
        <w:rPr>
          <w:rFonts w:hint="eastAsia" w:ascii="黑体" w:hAnsi="Times New Roman" w:eastAsia="黑体"/>
          <w:b/>
          <w:kern w:val="0"/>
          <w:sz w:val="24"/>
          <w:szCs w:val="24"/>
        </w:rPr>
        <w:t>（负责人）</w:t>
      </w:r>
      <w:r>
        <w:rPr>
          <w:rFonts w:hint="eastAsia" w:ascii="Times New Roman" w:hAnsi="Times New Roman"/>
          <w:szCs w:val="21"/>
        </w:rPr>
        <w:t>，特此证明。</w:t>
      </w:r>
    </w:p>
    <w:p w14:paraId="1953284E">
      <w:pPr>
        <w:spacing w:line="360" w:lineRule="auto"/>
        <w:rPr>
          <w:rFonts w:ascii="Times New Roman" w:hAnsi="Times New Roman"/>
          <w:szCs w:val="21"/>
        </w:rPr>
      </w:pPr>
      <w:r>
        <w:rPr>
          <w:rFonts w:hint="eastAsia" w:ascii="Times New Roman" w:hAnsi="Times New Roman"/>
          <w:szCs w:val="21"/>
        </w:rPr>
        <w:t>说明：1、法定代表人为企业事业单位、国家机关、社会团体的主要负责人。</w:t>
      </w:r>
    </w:p>
    <w:p w14:paraId="6A311A90">
      <w:pPr>
        <w:rPr>
          <w:rFonts w:ascii="Times New Roman" w:hAnsi="Times New Roman"/>
          <w:szCs w:val="21"/>
        </w:rPr>
      </w:pPr>
      <w:r>
        <w:rPr>
          <w:rFonts w:hint="eastAsia" w:ascii="Times New Roman" w:hAnsi="Times New Roman"/>
          <w:szCs w:val="21"/>
        </w:rPr>
        <w:t xml:space="preserve">      2、内容必须填写真实、清楚，涂改无效，不得转让、买卖。</w:t>
      </w:r>
    </w:p>
    <w:p w14:paraId="736239C4">
      <w:pPr>
        <w:spacing w:line="360" w:lineRule="auto"/>
        <w:rPr>
          <w:rFonts w:ascii="Times New Roman" w:hAnsi="Times New Roman"/>
          <w:b/>
          <w:szCs w:val="21"/>
        </w:rPr>
      </w:pPr>
    </w:p>
    <w:p w14:paraId="3FC624DB">
      <w:pPr>
        <w:spacing w:line="360" w:lineRule="auto"/>
        <w:rPr>
          <w:rFonts w:ascii="Times New Roman" w:hAnsi="Times New Roman"/>
          <w:b/>
          <w:sz w:val="24"/>
          <w:szCs w:val="24"/>
        </w:rPr>
      </w:pPr>
      <w:r>
        <w:rPr>
          <w:rFonts w:hint="eastAsia" w:ascii="Times New Roman" w:hAnsi="Times New Roman"/>
          <w:b/>
          <w:sz w:val="24"/>
          <w:szCs w:val="24"/>
        </w:rPr>
        <w:t>附：要求必须提供法定代表人（负责人）身份证扫描件（正反两面）</w:t>
      </w:r>
      <w:r>
        <w:rPr>
          <w:rFonts w:hint="eastAsia" w:ascii="Times New Roman" w:hAnsi="Times New Roman"/>
          <w:b/>
          <w:sz w:val="24"/>
          <w:szCs w:val="24"/>
          <w:lang w:eastAsia="zh-CN"/>
        </w:rPr>
        <w:t>且在有效期限内</w:t>
      </w:r>
      <w:r>
        <w:rPr>
          <w:rFonts w:hint="eastAsia" w:ascii="Times New Roman" w:hAnsi="Times New Roman"/>
          <w:b/>
          <w:sz w:val="24"/>
          <w:szCs w:val="24"/>
        </w:rPr>
        <w:t>。</w:t>
      </w:r>
    </w:p>
    <w:p w14:paraId="7CD4E134">
      <w:pPr>
        <w:spacing w:line="360" w:lineRule="auto"/>
        <w:rPr>
          <w:rFonts w:ascii="Times New Roman" w:hAnsi="Times New Roman"/>
          <w:b/>
          <w:sz w:val="24"/>
          <w:szCs w:val="24"/>
        </w:rPr>
      </w:pPr>
    </w:p>
    <w:p w14:paraId="6FD90234">
      <w:pPr>
        <w:rPr>
          <w:rFonts w:ascii="宋体" w:hAnsi="宋体"/>
          <w:szCs w:val="21"/>
        </w:rPr>
      </w:pPr>
      <w:r>
        <w:rPr>
          <w:rFonts w:hint="eastAsia"/>
          <w:szCs w:val="21"/>
          <w:u w:val="single"/>
        </w:rPr>
        <w:t>（备注：如联合体投标，单位一栏仅需填写牵头人的名称）</w:t>
      </w:r>
    </w:p>
    <w:p w14:paraId="36E077AB">
      <w:pPr>
        <w:spacing w:line="360" w:lineRule="auto"/>
        <w:rPr>
          <w:rFonts w:hint="eastAsia" w:ascii="Times New Roman" w:hAnsi="Times New Roman"/>
          <w:b/>
          <w:sz w:val="24"/>
          <w:szCs w:val="24"/>
          <w:lang w:val="en-US" w:eastAsia="zh-CN"/>
        </w:rPr>
      </w:pPr>
    </w:p>
    <w:p w14:paraId="2AD40417">
      <w:pPr>
        <w:spacing w:line="360" w:lineRule="auto"/>
        <w:rPr>
          <w:rFonts w:hint="eastAsia" w:ascii="Times New Roman" w:hAnsi="Times New Roman"/>
          <w:b/>
          <w:sz w:val="24"/>
          <w:szCs w:val="24"/>
          <w:lang w:val="en-US" w:eastAsia="zh-CN"/>
        </w:rPr>
      </w:pPr>
      <w:r>
        <w:rPr>
          <w:rFonts w:hint="eastAsia" w:ascii="Times New Roman" w:hAnsi="Times New Roman"/>
          <w:b/>
          <w:sz w:val="24"/>
          <w:szCs w:val="24"/>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6D38639A">
      <w:pPr>
        <w:pStyle w:val="210"/>
        <w:rPr>
          <w:rFonts w:hint="eastAsia"/>
        </w:rPr>
      </w:pPr>
    </w:p>
    <w:p w14:paraId="103DC134">
      <w:pPr>
        <w:keepNext/>
        <w:keepLines/>
        <w:spacing w:before="260" w:after="260"/>
        <w:jc w:val="center"/>
        <w:outlineLvl w:val="2"/>
        <w:rPr>
          <w:rFonts w:ascii="黑体" w:hAnsi="宋体" w:eastAsia="黑体"/>
          <w:bCs/>
          <w:sz w:val="24"/>
          <w:szCs w:val="24"/>
        </w:rPr>
      </w:pPr>
      <w:r>
        <w:rPr>
          <w:rFonts w:ascii="宋体" w:hAnsi="宋体"/>
          <w:b/>
          <w:bCs/>
          <w:sz w:val="28"/>
          <w:szCs w:val="32"/>
        </w:rPr>
        <w:tab/>
      </w:r>
      <w:r>
        <w:rPr>
          <w:rFonts w:hint="eastAsia" w:ascii="黑体" w:hAnsi="宋体" w:eastAsia="黑体"/>
          <w:bCs/>
          <w:kern w:val="0"/>
          <w:sz w:val="24"/>
          <w:szCs w:val="24"/>
        </w:rPr>
        <w:t>七、投标文件签署授权委托书</w:t>
      </w:r>
    </w:p>
    <w:p w14:paraId="15E453C8">
      <w:pPr>
        <w:spacing w:line="360" w:lineRule="auto"/>
        <w:ind w:firstLine="420" w:firstLineChars="200"/>
        <w:rPr>
          <w:rFonts w:ascii="Times New Roman" w:hAnsi="Times New Roman"/>
          <w:szCs w:val="21"/>
        </w:rPr>
      </w:pPr>
      <w:r>
        <w:rPr>
          <w:rFonts w:hint="eastAsia" w:ascii="Times New Roman" w:hAnsi="Times New Roman"/>
          <w:szCs w:val="21"/>
        </w:rPr>
        <w:t>本授权委托书声明：我</w:t>
      </w:r>
      <w:r>
        <w:rPr>
          <w:rFonts w:hint="eastAsia" w:ascii="Times New Roman" w:hAnsi="Times New Roman"/>
          <w:szCs w:val="21"/>
          <w:u w:val="single"/>
        </w:rPr>
        <w:t xml:space="preserve">           </w:t>
      </w:r>
      <w:r>
        <w:rPr>
          <w:rFonts w:hint="eastAsia" w:ascii="Times New Roman" w:hAnsi="Times New Roman"/>
          <w:szCs w:val="21"/>
        </w:rPr>
        <w:t>（姓名）系</w:t>
      </w:r>
      <w:r>
        <w:rPr>
          <w:rFonts w:hint="eastAsia" w:ascii="Times New Roman" w:hAnsi="Times New Roman"/>
          <w:szCs w:val="21"/>
          <w:u w:val="single"/>
        </w:rPr>
        <w:t xml:space="preserve">             </w:t>
      </w:r>
      <w:r>
        <w:rPr>
          <w:rFonts w:hint="eastAsia" w:ascii="Times New Roman" w:hAnsi="Times New Roman"/>
          <w:szCs w:val="21"/>
        </w:rPr>
        <w:t>（投标供应商名称）的法定代表人</w:t>
      </w:r>
      <w:r>
        <w:rPr>
          <w:rFonts w:hint="eastAsia" w:ascii="黑体" w:hAnsi="Times New Roman" w:eastAsia="黑体"/>
          <w:b/>
          <w:kern w:val="0"/>
          <w:sz w:val="24"/>
          <w:szCs w:val="24"/>
        </w:rPr>
        <w:t>（负责人）</w:t>
      </w:r>
      <w:r>
        <w:rPr>
          <w:rFonts w:hint="eastAsia" w:ascii="Times New Roman" w:hAnsi="Times New Roman"/>
          <w:szCs w:val="21"/>
        </w:rPr>
        <w:t>，现授权委托</w:t>
      </w:r>
      <w:r>
        <w:rPr>
          <w:rFonts w:hint="eastAsia" w:ascii="Times New Roman" w:hAnsi="Times New Roman"/>
          <w:szCs w:val="21"/>
          <w:u w:val="single"/>
        </w:rPr>
        <w:t xml:space="preserve">            </w:t>
      </w:r>
      <w:r>
        <w:rPr>
          <w:rFonts w:hint="eastAsia" w:ascii="Times New Roman" w:hAnsi="Times New Roman"/>
          <w:szCs w:val="21"/>
        </w:rPr>
        <w:t>（姓名）为我公司签署本项目已递交的投标文件的法定代表人的授权委托代理人，代理人全权代表我所签署的本项目已递交的投标文件内容我均承认。</w:t>
      </w:r>
    </w:p>
    <w:p w14:paraId="220051BD">
      <w:pPr>
        <w:spacing w:line="360" w:lineRule="auto"/>
        <w:ind w:firstLine="420"/>
        <w:rPr>
          <w:rFonts w:ascii="Times New Roman" w:hAnsi="Times New Roman"/>
          <w:szCs w:val="21"/>
        </w:rPr>
      </w:pPr>
      <w:r>
        <w:rPr>
          <w:rFonts w:hint="eastAsia" w:ascii="Times New Roman" w:hAnsi="Times New Roman"/>
          <w:szCs w:val="21"/>
        </w:rPr>
        <w:t>代理人无转委托权，特此委托。</w:t>
      </w:r>
    </w:p>
    <w:p w14:paraId="35410782">
      <w:pPr>
        <w:spacing w:line="360" w:lineRule="auto"/>
        <w:ind w:firstLine="420"/>
        <w:rPr>
          <w:rFonts w:ascii="Times New Roman" w:hAnsi="Times New Roman"/>
          <w:szCs w:val="21"/>
        </w:rPr>
      </w:pPr>
    </w:p>
    <w:p w14:paraId="1DB5149C">
      <w:pPr>
        <w:spacing w:line="360" w:lineRule="auto"/>
        <w:ind w:left="540" w:leftChars="257"/>
        <w:rPr>
          <w:rFonts w:ascii="Times New Roman" w:hAnsi="Times New Roman"/>
          <w:szCs w:val="21"/>
          <w:u w:val="single"/>
        </w:rPr>
      </w:pPr>
      <w:r>
        <w:rPr>
          <w:rFonts w:hint="eastAsia" w:ascii="Times New Roman" w:hAnsi="Times New Roman"/>
          <w:szCs w:val="21"/>
        </w:rPr>
        <w:t>代理人：</w:t>
      </w:r>
      <w:r>
        <w:rPr>
          <w:rFonts w:hint="eastAsia" w:ascii="Times New Roman" w:hAnsi="Times New Roman"/>
          <w:szCs w:val="21"/>
          <w:u w:val="single"/>
        </w:rPr>
        <w:t xml:space="preserve">             </w:t>
      </w:r>
    </w:p>
    <w:p w14:paraId="40CCE138">
      <w:pPr>
        <w:spacing w:line="360" w:lineRule="auto"/>
        <w:ind w:left="540" w:leftChars="257"/>
        <w:rPr>
          <w:rFonts w:ascii="Times New Roman" w:hAnsi="Times New Roman"/>
          <w:szCs w:val="21"/>
        </w:rPr>
      </w:pPr>
      <w:r>
        <w:rPr>
          <w:rFonts w:hint="eastAsia" w:ascii="Times New Roman" w:hAnsi="Times New Roman"/>
          <w:szCs w:val="21"/>
        </w:rPr>
        <w:t>联系电话：</w:t>
      </w:r>
      <w:r>
        <w:rPr>
          <w:rFonts w:hint="eastAsia" w:ascii="Times New Roman" w:hAnsi="Times New Roman"/>
          <w:szCs w:val="21"/>
          <w:u w:val="single"/>
        </w:rPr>
        <w:t xml:space="preserve">            </w:t>
      </w:r>
      <w:r>
        <w:rPr>
          <w:rFonts w:hint="eastAsia" w:ascii="Times New Roman" w:hAnsi="Times New Roman"/>
          <w:szCs w:val="21"/>
        </w:rPr>
        <w:t xml:space="preserve">  手机：</w:t>
      </w:r>
      <w:r>
        <w:rPr>
          <w:rFonts w:hint="eastAsia" w:ascii="Times New Roman" w:hAnsi="Times New Roman"/>
          <w:szCs w:val="21"/>
          <w:u w:val="single"/>
        </w:rPr>
        <w:t xml:space="preserve">                   </w:t>
      </w:r>
    </w:p>
    <w:p w14:paraId="4AB02AE2">
      <w:pPr>
        <w:spacing w:line="360" w:lineRule="auto"/>
        <w:ind w:left="540" w:leftChars="257"/>
        <w:rPr>
          <w:rFonts w:ascii="Times New Roman" w:hAnsi="Times New Roman"/>
          <w:szCs w:val="21"/>
          <w:u w:val="single"/>
        </w:rPr>
      </w:pPr>
      <w:r>
        <w:rPr>
          <w:rFonts w:hint="eastAsia" w:ascii="Times New Roman" w:hAnsi="Times New Roman"/>
          <w:szCs w:val="21"/>
        </w:rPr>
        <w:t>身份证号码：</w:t>
      </w:r>
      <w:r>
        <w:rPr>
          <w:rFonts w:hint="eastAsia" w:ascii="Times New Roman" w:hAnsi="Times New Roman"/>
          <w:szCs w:val="21"/>
          <w:u w:val="single"/>
        </w:rPr>
        <w:t xml:space="preserve">                        </w:t>
      </w:r>
      <w:r>
        <w:rPr>
          <w:rFonts w:hint="eastAsia" w:ascii="Times New Roman" w:hAnsi="Times New Roman"/>
          <w:szCs w:val="21"/>
        </w:rPr>
        <w:t>职务：</w:t>
      </w:r>
      <w:r>
        <w:rPr>
          <w:rFonts w:hint="eastAsia" w:ascii="Times New Roman" w:hAnsi="Times New Roman"/>
          <w:szCs w:val="21"/>
          <w:u w:val="single"/>
        </w:rPr>
        <w:t xml:space="preserve">       </w:t>
      </w:r>
    </w:p>
    <w:p w14:paraId="7383DCBC">
      <w:pPr>
        <w:spacing w:line="360" w:lineRule="auto"/>
        <w:ind w:left="540" w:leftChars="257"/>
        <w:rPr>
          <w:rFonts w:ascii="Times New Roman" w:hAnsi="Times New Roman"/>
          <w:szCs w:val="21"/>
        </w:rPr>
      </w:pPr>
      <w:r>
        <w:rPr>
          <w:rFonts w:hint="eastAsia" w:ascii="Times New Roman" w:hAnsi="Times New Roman"/>
          <w:szCs w:val="21"/>
        </w:rPr>
        <w:t>授权委托日期：</w:t>
      </w:r>
      <w:r>
        <w:rPr>
          <w:rFonts w:hint="eastAsia" w:ascii="Times New Roman" w:hAnsi="Times New Roman"/>
          <w:szCs w:val="21"/>
          <w:u w:val="single"/>
        </w:rPr>
        <w:t xml:space="preserve">         </w:t>
      </w:r>
      <w:r>
        <w:rPr>
          <w:rFonts w:hint="eastAsia" w:ascii="Times New Roman" w:hAnsi="Times New Roman"/>
          <w:szCs w:val="21"/>
        </w:rPr>
        <w:t>年</w:t>
      </w:r>
      <w:r>
        <w:rPr>
          <w:rFonts w:hint="eastAsia" w:ascii="Times New Roman" w:hAnsi="Times New Roman"/>
          <w:szCs w:val="21"/>
          <w:u w:val="single"/>
        </w:rPr>
        <w:t xml:space="preserve">     </w:t>
      </w:r>
      <w:r>
        <w:rPr>
          <w:rFonts w:hint="eastAsia" w:ascii="Times New Roman" w:hAnsi="Times New Roman"/>
          <w:szCs w:val="21"/>
        </w:rPr>
        <w:t xml:space="preserve">月 </w:t>
      </w:r>
      <w:r>
        <w:rPr>
          <w:rFonts w:hint="eastAsia" w:ascii="Times New Roman" w:hAnsi="Times New Roman"/>
          <w:szCs w:val="21"/>
          <w:u w:val="single"/>
        </w:rPr>
        <w:t xml:space="preserve">      </w:t>
      </w:r>
      <w:r>
        <w:rPr>
          <w:rFonts w:hint="eastAsia" w:ascii="Times New Roman" w:hAnsi="Times New Roman"/>
          <w:szCs w:val="21"/>
        </w:rPr>
        <w:t>日</w:t>
      </w:r>
    </w:p>
    <w:p w14:paraId="0747C60A">
      <w:pPr>
        <w:spacing w:line="360" w:lineRule="auto"/>
        <w:ind w:left="540" w:leftChars="257"/>
        <w:rPr>
          <w:rFonts w:ascii="Times New Roman" w:hAnsi="Times New Roman"/>
          <w:szCs w:val="21"/>
          <w:u w:val="single"/>
        </w:rPr>
      </w:pPr>
    </w:p>
    <w:p w14:paraId="2BE4003C">
      <w:pPr>
        <w:spacing w:line="360" w:lineRule="auto"/>
        <w:rPr>
          <w:rFonts w:ascii="Times New Roman" w:hAnsi="Times New Roman"/>
          <w:b/>
          <w:sz w:val="24"/>
          <w:szCs w:val="24"/>
        </w:rPr>
      </w:pPr>
      <w:r>
        <w:rPr>
          <w:rFonts w:hint="eastAsia" w:ascii="Times New Roman" w:hAnsi="Times New Roman"/>
          <w:b/>
          <w:sz w:val="24"/>
          <w:szCs w:val="24"/>
        </w:rPr>
        <w:t>附：要求必须提供代理人身份证扫描件（正反两面）</w:t>
      </w:r>
      <w:r>
        <w:rPr>
          <w:rFonts w:hint="eastAsia" w:ascii="Times New Roman" w:hAnsi="Times New Roman"/>
          <w:b/>
          <w:sz w:val="24"/>
          <w:szCs w:val="24"/>
          <w:lang w:eastAsia="zh-CN"/>
        </w:rPr>
        <w:t>且在有效期限内</w:t>
      </w:r>
      <w:r>
        <w:rPr>
          <w:rFonts w:hint="eastAsia" w:ascii="Times New Roman" w:hAnsi="Times New Roman"/>
          <w:b/>
          <w:sz w:val="24"/>
          <w:szCs w:val="24"/>
        </w:rPr>
        <w:t>。</w:t>
      </w:r>
    </w:p>
    <w:p w14:paraId="3C5DEFB9">
      <w:pPr>
        <w:rPr>
          <w:szCs w:val="21"/>
          <w:u w:val="single"/>
        </w:rPr>
      </w:pPr>
    </w:p>
    <w:p w14:paraId="5115AADF">
      <w:pPr>
        <w:rPr>
          <w:rFonts w:ascii="宋体" w:hAnsi="宋体"/>
          <w:szCs w:val="21"/>
        </w:rPr>
      </w:pPr>
      <w:r>
        <w:rPr>
          <w:rFonts w:hint="eastAsia"/>
          <w:szCs w:val="21"/>
          <w:u w:val="single"/>
        </w:rPr>
        <w:t>（备注：如联合体投标，投标供应商名称一栏仅需填写牵头人的名称）</w:t>
      </w:r>
    </w:p>
    <w:p w14:paraId="547D9071">
      <w:pPr>
        <w:spacing w:line="360" w:lineRule="auto"/>
        <w:rPr>
          <w:rFonts w:ascii="黑体" w:eastAsia="黑体"/>
          <w:b/>
          <w:sz w:val="24"/>
        </w:rPr>
      </w:pPr>
    </w:p>
    <w:p w14:paraId="6FB393DA">
      <w:pPr>
        <w:spacing w:line="360" w:lineRule="auto"/>
        <w:rPr>
          <w:rFonts w:hint="eastAsia" w:ascii="Times New Roman" w:hAnsi="Times New Roman"/>
          <w:b/>
          <w:sz w:val="24"/>
          <w:szCs w:val="24"/>
          <w:lang w:val="en-US" w:eastAsia="zh-CN"/>
        </w:rPr>
      </w:pPr>
      <w:r>
        <w:rPr>
          <w:rFonts w:hint="eastAsia" w:ascii="Times New Roman" w:hAnsi="Times New Roman"/>
          <w:b/>
          <w:sz w:val="24"/>
          <w:szCs w:val="24"/>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30771077">
      <w:pPr>
        <w:spacing w:line="360" w:lineRule="auto"/>
        <w:rPr>
          <w:rFonts w:ascii="黑体" w:eastAsia="黑体"/>
          <w:b/>
          <w:sz w:val="24"/>
        </w:rPr>
      </w:pPr>
    </w:p>
    <w:p w14:paraId="3A59CEDD">
      <w:pPr>
        <w:keepNext/>
        <w:keepLines/>
        <w:spacing w:before="260" w:after="260"/>
        <w:jc w:val="center"/>
        <w:outlineLvl w:val="2"/>
        <w:rPr>
          <w:rFonts w:ascii="黑体" w:hAnsi="宋体" w:eastAsia="黑体"/>
          <w:bCs/>
          <w:kern w:val="0"/>
          <w:sz w:val="24"/>
          <w:szCs w:val="24"/>
        </w:rPr>
      </w:pPr>
      <w:r>
        <w:rPr>
          <w:rFonts w:hint="eastAsia" w:ascii="黑体" w:hAnsi="宋体" w:eastAsia="黑体"/>
          <w:bCs/>
          <w:kern w:val="0"/>
          <w:sz w:val="24"/>
          <w:szCs w:val="24"/>
        </w:rPr>
        <w:t>八、实质性条款响应情况表</w:t>
      </w:r>
    </w:p>
    <w:tbl>
      <w:tblPr>
        <w:tblStyle w:val="4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4790"/>
        <w:gridCol w:w="3685"/>
      </w:tblGrid>
      <w:tr w14:paraId="0106C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1171E4AC">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4790" w:type="dxa"/>
          </w:tcPr>
          <w:p w14:paraId="7D776BD5">
            <w:pPr>
              <w:adjustRightInd w:val="0"/>
              <w:snapToGrid w:val="0"/>
              <w:spacing w:line="360" w:lineRule="auto"/>
              <w:jc w:val="center"/>
              <w:rPr>
                <w:rFonts w:ascii="宋体" w:hAnsi="宋体"/>
                <w:kern w:val="0"/>
                <w:szCs w:val="21"/>
              </w:rPr>
            </w:pPr>
            <w:r>
              <w:rPr>
                <w:rFonts w:hint="eastAsia" w:ascii="宋体" w:hAnsi="宋体"/>
                <w:kern w:val="0"/>
                <w:szCs w:val="21"/>
              </w:rPr>
              <w:t>采购人要求内容</w:t>
            </w:r>
          </w:p>
        </w:tc>
        <w:tc>
          <w:tcPr>
            <w:tcW w:w="3685" w:type="dxa"/>
          </w:tcPr>
          <w:p w14:paraId="7A9082A0">
            <w:pPr>
              <w:adjustRightInd w:val="0"/>
              <w:snapToGrid w:val="0"/>
              <w:spacing w:line="360" w:lineRule="auto"/>
              <w:jc w:val="center"/>
              <w:rPr>
                <w:rFonts w:ascii="宋体" w:hAnsi="宋体"/>
                <w:kern w:val="0"/>
                <w:szCs w:val="21"/>
              </w:rPr>
            </w:pPr>
            <w:r>
              <w:rPr>
                <w:rFonts w:hint="eastAsia" w:ascii="宋体" w:hAnsi="宋体"/>
                <w:kern w:val="0"/>
                <w:szCs w:val="21"/>
              </w:rPr>
              <w:t>投标人响应情况</w:t>
            </w:r>
          </w:p>
        </w:tc>
      </w:tr>
      <w:tr w14:paraId="68B4C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15D092D0">
            <w:pPr>
              <w:adjustRightInd w:val="0"/>
              <w:snapToGrid w:val="0"/>
              <w:spacing w:line="360" w:lineRule="auto"/>
              <w:rPr>
                <w:rFonts w:ascii="宋体" w:hAnsi="宋体"/>
                <w:kern w:val="0"/>
                <w:szCs w:val="21"/>
              </w:rPr>
            </w:pPr>
            <w:r>
              <w:rPr>
                <w:rFonts w:hint="eastAsia" w:ascii="宋体" w:hAnsi="宋体"/>
                <w:kern w:val="0"/>
                <w:szCs w:val="21"/>
              </w:rPr>
              <w:t>1</w:t>
            </w:r>
          </w:p>
        </w:tc>
        <w:tc>
          <w:tcPr>
            <w:tcW w:w="4790" w:type="dxa"/>
          </w:tcPr>
          <w:p w14:paraId="793FBDDF">
            <w:pPr>
              <w:adjustRightInd w:val="0"/>
              <w:snapToGrid w:val="0"/>
              <w:spacing w:line="360" w:lineRule="auto"/>
              <w:rPr>
                <w:rFonts w:ascii="Times New Roman" w:hAnsi="宋体"/>
                <w:kern w:val="0"/>
                <w:szCs w:val="21"/>
              </w:rPr>
            </w:pPr>
            <w:r>
              <w:rPr>
                <w:rFonts w:hint="eastAsia" w:ascii="宋体" w:hAnsi="宋体" w:eastAsia="宋体" w:cs="宋体"/>
                <w:kern w:val="0"/>
                <w:sz w:val="21"/>
                <w:szCs w:val="21"/>
              </w:rPr>
              <w:t>满足本项目</w:t>
            </w:r>
            <w:r>
              <w:rPr>
                <w:rFonts w:hint="eastAsia" w:ascii="宋体" w:hAnsi="宋体" w:eastAsia="宋体" w:cs="宋体"/>
                <w:kern w:val="0"/>
                <w:sz w:val="21"/>
                <w:szCs w:val="21"/>
                <w:lang w:eastAsia="zh-CN"/>
              </w:rPr>
              <w:t>所有</w:t>
            </w:r>
            <w:r>
              <w:rPr>
                <w:rFonts w:hint="eastAsia" w:ascii="宋体" w:hAnsi="宋体" w:eastAsia="宋体" w:cs="宋体"/>
                <w:kern w:val="0"/>
                <w:sz w:val="21"/>
                <w:szCs w:val="21"/>
              </w:rPr>
              <w:t>标★的条款要求</w:t>
            </w:r>
            <w:r>
              <w:rPr>
                <w:rFonts w:hint="eastAsia" w:ascii="宋体" w:hAnsi="宋体" w:eastAsia="宋体" w:cs="宋体"/>
                <w:b/>
                <w:bCs/>
                <w:kern w:val="0"/>
                <w:sz w:val="21"/>
                <w:szCs w:val="21"/>
                <w:lang w:eastAsia="zh-CN"/>
              </w:rPr>
              <w:t>（涉及提供佐证材料的，应按要求提供相应证明材料，任一项未响应或不满足要求的，将导致投标无效。）</w:t>
            </w:r>
          </w:p>
        </w:tc>
        <w:tc>
          <w:tcPr>
            <w:tcW w:w="3685" w:type="dxa"/>
          </w:tcPr>
          <w:p w14:paraId="7C17D718">
            <w:pPr>
              <w:adjustRightInd w:val="0"/>
              <w:snapToGrid w:val="0"/>
              <w:spacing w:line="360" w:lineRule="auto"/>
              <w:rPr>
                <w:rFonts w:ascii="宋体" w:hAnsi="宋体"/>
                <w:kern w:val="0"/>
                <w:szCs w:val="21"/>
              </w:rPr>
            </w:pPr>
          </w:p>
        </w:tc>
      </w:tr>
    </w:tbl>
    <w:p w14:paraId="6688354D">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注：1.“</w:t>
      </w:r>
      <w:r>
        <w:rPr>
          <w:rFonts w:hint="eastAsia" w:ascii="宋体" w:hAnsi="宋体"/>
          <w:kern w:val="0"/>
          <w:szCs w:val="21"/>
        </w:rPr>
        <w:t>采购人要求内容</w:t>
      </w:r>
      <w:r>
        <w:rPr>
          <w:rFonts w:hint="eastAsia" w:asciiTheme="minorEastAsia" w:hAnsiTheme="minorEastAsia" w:eastAsiaTheme="minorEastAsia"/>
          <w:bCs/>
          <w:kern w:val="0"/>
          <w:szCs w:val="21"/>
        </w:rPr>
        <w:t>”为</w:t>
      </w:r>
      <w:r>
        <w:rPr>
          <w:rFonts w:hint="eastAsia" w:asciiTheme="minorEastAsia" w:hAnsiTheme="minorEastAsia" w:eastAsiaTheme="minorEastAsia"/>
          <w:b/>
          <w:bCs/>
          <w:kern w:val="0"/>
          <w:szCs w:val="21"/>
          <w:highlight w:val="yellow"/>
        </w:rPr>
        <w:t>“第一册  专用条款/第二章  招标项目需求”</w:t>
      </w:r>
      <w:r>
        <w:rPr>
          <w:rFonts w:hint="eastAsia" w:asciiTheme="minorEastAsia" w:hAnsiTheme="minorEastAsia" w:eastAsiaTheme="minorEastAsia"/>
          <w:bCs/>
          <w:kern w:val="0"/>
          <w:szCs w:val="21"/>
        </w:rPr>
        <w:t>中的不可负偏离的实质性条款，即“实质性条款”。</w:t>
      </w:r>
    </w:p>
    <w:p w14:paraId="1023EA63">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2.“投标人响应情况”一栏应如实填写“响应”或“不响应”。</w:t>
      </w:r>
    </w:p>
    <w:p w14:paraId="552276C3">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3.“实质性条款响应情况表”与投标文件其它内容冲突的，以“实质性条款响应情况表”为准。</w:t>
      </w:r>
    </w:p>
    <w:p w14:paraId="030ECDCC">
      <w:pPr>
        <w:keepNext/>
        <w:keepLines/>
        <w:tabs>
          <w:tab w:val="left" w:pos="765"/>
        </w:tabs>
        <w:spacing w:line="376" w:lineRule="auto"/>
        <w:outlineLvl w:val="3"/>
        <w:rPr>
          <w:rFonts w:asciiTheme="minorEastAsia" w:hAnsiTheme="minorEastAsia" w:eastAsiaTheme="minorEastAsia"/>
          <w:bCs/>
          <w:kern w:val="0"/>
          <w:szCs w:val="21"/>
          <w:highlight w:val="yellow"/>
        </w:rPr>
      </w:pPr>
      <w:r>
        <w:rPr>
          <w:rFonts w:hint="eastAsia" w:asciiTheme="minorEastAsia" w:hAnsiTheme="minorEastAsia" w:eastAsiaTheme="minorEastAsia"/>
          <w:bCs/>
          <w:kern w:val="0"/>
          <w:szCs w:val="21"/>
          <w:highlight w:val="yellow"/>
        </w:rPr>
        <w:t>4.“</w:t>
      </w:r>
      <w:r>
        <w:rPr>
          <w:rFonts w:hint="eastAsia" w:ascii="宋体" w:hAnsi="宋体"/>
          <w:kern w:val="0"/>
          <w:szCs w:val="21"/>
          <w:highlight w:val="yellow"/>
        </w:rPr>
        <w:t>采购人要求内容</w:t>
      </w:r>
      <w:r>
        <w:rPr>
          <w:rFonts w:hint="eastAsia" w:asciiTheme="minorEastAsia" w:hAnsiTheme="minorEastAsia" w:eastAsiaTheme="minorEastAsia"/>
          <w:bCs/>
          <w:kern w:val="0"/>
          <w:szCs w:val="21"/>
          <w:highlight w:val="yellow"/>
        </w:rPr>
        <w:t>”中涉及提供证明材料的，应附在本表后，未提供证明材料或证明材料与响应情况不相符的，按负偏离处理。</w:t>
      </w:r>
    </w:p>
    <w:p w14:paraId="19676C5C">
      <w:pPr>
        <w:keepNext/>
        <w:keepLines/>
        <w:spacing w:before="260" w:after="260"/>
        <w:jc w:val="center"/>
        <w:outlineLvl w:val="2"/>
        <w:rPr>
          <w:rFonts w:ascii="黑体" w:hAnsi="宋体" w:eastAsia="黑体"/>
          <w:bCs/>
          <w:kern w:val="0"/>
          <w:sz w:val="24"/>
          <w:szCs w:val="24"/>
        </w:rPr>
      </w:pPr>
      <w:r>
        <w:rPr>
          <w:rFonts w:hint="eastAsia" w:ascii="黑体" w:hAnsi="宋体" w:eastAsia="黑体"/>
          <w:bCs/>
          <w:kern w:val="0"/>
          <w:sz w:val="24"/>
          <w:szCs w:val="24"/>
        </w:rPr>
        <w:t>九、详细分项报价清单</w:t>
      </w:r>
    </w:p>
    <w:tbl>
      <w:tblPr>
        <w:tblStyle w:val="4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85"/>
        <w:gridCol w:w="876"/>
        <w:gridCol w:w="909"/>
        <w:gridCol w:w="1643"/>
        <w:gridCol w:w="1701"/>
        <w:gridCol w:w="1125"/>
      </w:tblGrid>
      <w:tr w14:paraId="4B0E90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242ACE98">
            <w:pPr>
              <w:adjustRightInd w:val="0"/>
              <w:snapToGrid w:val="0"/>
              <w:spacing w:line="300" w:lineRule="auto"/>
              <w:jc w:val="center"/>
              <w:rPr>
                <w:rFonts w:ascii="Times New Roman" w:hAnsi="Times New Roman"/>
                <w:b/>
                <w:snapToGrid w:val="0"/>
                <w:kern w:val="0"/>
                <w:szCs w:val="24"/>
              </w:rPr>
            </w:pPr>
            <w:r>
              <w:rPr>
                <w:rFonts w:hint="eastAsia" w:ascii="Times New Roman" w:hAnsi="Times New Roman"/>
                <w:b/>
                <w:snapToGrid w:val="0"/>
                <w:kern w:val="0"/>
                <w:szCs w:val="24"/>
              </w:rPr>
              <w:t>序号</w:t>
            </w:r>
          </w:p>
        </w:tc>
        <w:tc>
          <w:tcPr>
            <w:tcW w:w="2485" w:type="dxa"/>
            <w:vAlign w:val="center"/>
          </w:tcPr>
          <w:p w14:paraId="574B11CC">
            <w:pPr>
              <w:adjustRightInd w:val="0"/>
              <w:snapToGrid w:val="0"/>
              <w:spacing w:line="300" w:lineRule="auto"/>
              <w:jc w:val="center"/>
              <w:rPr>
                <w:rFonts w:ascii="Times New Roman" w:hAnsi="Times New Roman"/>
                <w:b/>
                <w:snapToGrid w:val="0"/>
                <w:kern w:val="0"/>
                <w:szCs w:val="24"/>
              </w:rPr>
            </w:pPr>
            <w:r>
              <w:rPr>
                <w:rFonts w:hint="eastAsia" w:ascii="Times New Roman" w:hAnsi="Times New Roman"/>
                <w:b/>
                <w:snapToGrid w:val="0"/>
                <w:kern w:val="0"/>
                <w:szCs w:val="24"/>
              </w:rPr>
              <w:t>项目内容</w:t>
            </w:r>
          </w:p>
        </w:tc>
        <w:tc>
          <w:tcPr>
            <w:tcW w:w="876" w:type="dxa"/>
            <w:vAlign w:val="center"/>
          </w:tcPr>
          <w:p w14:paraId="710B64D0">
            <w:pPr>
              <w:adjustRightInd w:val="0"/>
              <w:snapToGrid w:val="0"/>
              <w:spacing w:line="300" w:lineRule="auto"/>
              <w:jc w:val="center"/>
              <w:rPr>
                <w:rFonts w:ascii="Times New Roman" w:hAnsi="Times New Roman"/>
                <w:b/>
                <w:snapToGrid w:val="0"/>
                <w:kern w:val="0"/>
                <w:szCs w:val="24"/>
              </w:rPr>
            </w:pPr>
            <w:r>
              <w:rPr>
                <w:rFonts w:hint="eastAsia" w:ascii="Times New Roman" w:hAnsi="Times New Roman"/>
                <w:b/>
                <w:snapToGrid w:val="0"/>
                <w:kern w:val="0"/>
                <w:szCs w:val="24"/>
              </w:rPr>
              <w:t>数量</w:t>
            </w:r>
          </w:p>
        </w:tc>
        <w:tc>
          <w:tcPr>
            <w:tcW w:w="909" w:type="dxa"/>
            <w:vAlign w:val="center"/>
          </w:tcPr>
          <w:p w14:paraId="595104E8">
            <w:pPr>
              <w:adjustRightInd w:val="0"/>
              <w:snapToGrid w:val="0"/>
              <w:spacing w:line="300" w:lineRule="auto"/>
              <w:jc w:val="center"/>
              <w:rPr>
                <w:rFonts w:ascii="Times New Roman" w:hAnsi="Times New Roman"/>
                <w:b/>
                <w:snapToGrid w:val="0"/>
                <w:kern w:val="0"/>
                <w:szCs w:val="24"/>
              </w:rPr>
            </w:pPr>
            <w:r>
              <w:rPr>
                <w:rFonts w:hint="eastAsia" w:ascii="Times New Roman" w:hAnsi="Times New Roman"/>
                <w:b/>
                <w:snapToGrid w:val="0"/>
                <w:kern w:val="0"/>
                <w:szCs w:val="24"/>
              </w:rPr>
              <w:t>单位</w:t>
            </w:r>
          </w:p>
        </w:tc>
        <w:tc>
          <w:tcPr>
            <w:tcW w:w="1643" w:type="dxa"/>
            <w:vAlign w:val="center"/>
          </w:tcPr>
          <w:p w14:paraId="3A3FB4A8">
            <w:pPr>
              <w:adjustRightInd w:val="0"/>
              <w:snapToGrid w:val="0"/>
              <w:spacing w:line="300" w:lineRule="auto"/>
              <w:jc w:val="center"/>
              <w:rPr>
                <w:rFonts w:ascii="Times New Roman" w:hAnsi="Times New Roman"/>
                <w:b/>
                <w:snapToGrid w:val="0"/>
                <w:kern w:val="0"/>
                <w:szCs w:val="24"/>
              </w:rPr>
            </w:pPr>
            <w:r>
              <w:rPr>
                <w:rFonts w:hint="eastAsia" w:ascii="Times New Roman" w:hAnsi="Times New Roman"/>
                <w:b/>
                <w:snapToGrid w:val="0"/>
                <w:kern w:val="0"/>
                <w:szCs w:val="24"/>
              </w:rPr>
              <w:t>单价（单位：元）</w:t>
            </w:r>
          </w:p>
        </w:tc>
        <w:tc>
          <w:tcPr>
            <w:tcW w:w="1701" w:type="dxa"/>
            <w:vAlign w:val="center"/>
          </w:tcPr>
          <w:p w14:paraId="7FE859F2">
            <w:pPr>
              <w:adjustRightInd w:val="0"/>
              <w:snapToGrid w:val="0"/>
              <w:spacing w:line="300" w:lineRule="auto"/>
              <w:jc w:val="center"/>
              <w:rPr>
                <w:rFonts w:ascii="Times New Roman" w:hAnsi="Times New Roman"/>
                <w:b/>
                <w:snapToGrid w:val="0"/>
                <w:kern w:val="0"/>
                <w:szCs w:val="24"/>
              </w:rPr>
            </w:pPr>
            <w:r>
              <w:rPr>
                <w:rFonts w:hint="eastAsia" w:ascii="Times New Roman" w:hAnsi="Times New Roman"/>
                <w:b/>
                <w:snapToGrid w:val="0"/>
                <w:kern w:val="0"/>
                <w:szCs w:val="24"/>
              </w:rPr>
              <w:t>总价（单位：元）</w:t>
            </w:r>
          </w:p>
        </w:tc>
        <w:tc>
          <w:tcPr>
            <w:tcW w:w="1125" w:type="dxa"/>
            <w:vAlign w:val="center"/>
          </w:tcPr>
          <w:p w14:paraId="165BB3BF">
            <w:pPr>
              <w:adjustRightInd w:val="0"/>
              <w:snapToGrid w:val="0"/>
              <w:spacing w:line="300" w:lineRule="auto"/>
              <w:jc w:val="center"/>
              <w:rPr>
                <w:rFonts w:ascii="Times New Roman" w:hAnsi="Times New Roman"/>
                <w:b/>
                <w:snapToGrid w:val="0"/>
                <w:kern w:val="0"/>
                <w:szCs w:val="24"/>
              </w:rPr>
            </w:pPr>
            <w:r>
              <w:rPr>
                <w:rFonts w:hint="eastAsia" w:ascii="Times New Roman" w:hAnsi="Times New Roman"/>
                <w:b/>
                <w:snapToGrid w:val="0"/>
                <w:kern w:val="0"/>
                <w:szCs w:val="24"/>
              </w:rPr>
              <w:t>备注</w:t>
            </w:r>
          </w:p>
        </w:tc>
      </w:tr>
      <w:tr w14:paraId="762813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06105916">
            <w:pPr>
              <w:adjustRightInd w:val="0"/>
              <w:snapToGrid w:val="0"/>
              <w:spacing w:line="300" w:lineRule="auto"/>
              <w:jc w:val="center"/>
              <w:rPr>
                <w:rFonts w:asciiTheme="minorEastAsia" w:hAnsiTheme="minorEastAsia" w:eastAsiaTheme="minorEastAsia"/>
                <w:snapToGrid w:val="0"/>
                <w:kern w:val="0"/>
                <w:szCs w:val="24"/>
              </w:rPr>
            </w:pPr>
            <w:r>
              <w:rPr>
                <w:rFonts w:asciiTheme="minorEastAsia" w:hAnsiTheme="minorEastAsia" w:eastAsiaTheme="minorEastAsia"/>
                <w:snapToGrid w:val="0"/>
                <w:kern w:val="0"/>
                <w:szCs w:val="24"/>
              </w:rPr>
              <w:t>1</w:t>
            </w:r>
          </w:p>
        </w:tc>
        <w:tc>
          <w:tcPr>
            <w:tcW w:w="2485" w:type="dxa"/>
            <w:vAlign w:val="center"/>
          </w:tcPr>
          <w:p w14:paraId="4D081413">
            <w:pPr>
              <w:adjustRightInd w:val="0"/>
              <w:snapToGrid w:val="0"/>
              <w:spacing w:line="300" w:lineRule="auto"/>
              <w:jc w:val="center"/>
              <w:rPr>
                <w:rFonts w:ascii="宋体" w:hAnsi="宋体"/>
                <w:szCs w:val="21"/>
                <w:lang w:val="zh-CN"/>
              </w:rPr>
            </w:pPr>
          </w:p>
        </w:tc>
        <w:tc>
          <w:tcPr>
            <w:tcW w:w="876" w:type="dxa"/>
            <w:vAlign w:val="center"/>
          </w:tcPr>
          <w:p w14:paraId="22B3225F">
            <w:pPr>
              <w:adjustRightInd w:val="0"/>
              <w:snapToGrid w:val="0"/>
              <w:spacing w:line="300" w:lineRule="auto"/>
              <w:jc w:val="center"/>
              <w:rPr>
                <w:rFonts w:ascii="Times New Roman" w:hAnsi="Times New Roman"/>
                <w:snapToGrid w:val="0"/>
                <w:kern w:val="0"/>
                <w:szCs w:val="24"/>
              </w:rPr>
            </w:pPr>
          </w:p>
        </w:tc>
        <w:tc>
          <w:tcPr>
            <w:tcW w:w="909" w:type="dxa"/>
            <w:vAlign w:val="center"/>
          </w:tcPr>
          <w:p w14:paraId="6A0D9B05">
            <w:pPr>
              <w:adjustRightInd w:val="0"/>
              <w:snapToGrid w:val="0"/>
              <w:spacing w:line="300" w:lineRule="auto"/>
              <w:jc w:val="center"/>
              <w:rPr>
                <w:rFonts w:ascii="Times New Roman" w:hAnsi="Times New Roman"/>
                <w:snapToGrid w:val="0"/>
                <w:kern w:val="0"/>
                <w:szCs w:val="24"/>
              </w:rPr>
            </w:pPr>
          </w:p>
        </w:tc>
        <w:tc>
          <w:tcPr>
            <w:tcW w:w="1643" w:type="dxa"/>
            <w:vAlign w:val="center"/>
          </w:tcPr>
          <w:p w14:paraId="278F7187">
            <w:pPr>
              <w:adjustRightInd w:val="0"/>
              <w:snapToGrid w:val="0"/>
              <w:spacing w:line="300" w:lineRule="auto"/>
              <w:jc w:val="center"/>
              <w:rPr>
                <w:rFonts w:ascii="Times New Roman" w:hAnsi="Times New Roman"/>
                <w:snapToGrid w:val="0"/>
                <w:kern w:val="0"/>
                <w:szCs w:val="24"/>
              </w:rPr>
            </w:pPr>
          </w:p>
        </w:tc>
        <w:tc>
          <w:tcPr>
            <w:tcW w:w="1701" w:type="dxa"/>
            <w:vAlign w:val="center"/>
          </w:tcPr>
          <w:p w14:paraId="1BB9AADD">
            <w:pPr>
              <w:adjustRightInd w:val="0"/>
              <w:snapToGrid w:val="0"/>
              <w:spacing w:line="300" w:lineRule="auto"/>
              <w:jc w:val="center"/>
              <w:rPr>
                <w:rFonts w:ascii="Times New Roman" w:hAnsi="Times New Roman"/>
                <w:snapToGrid w:val="0"/>
                <w:kern w:val="0"/>
                <w:szCs w:val="24"/>
              </w:rPr>
            </w:pPr>
          </w:p>
        </w:tc>
        <w:tc>
          <w:tcPr>
            <w:tcW w:w="1125" w:type="dxa"/>
            <w:vAlign w:val="center"/>
          </w:tcPr>
          <w:p w14:paraId="052CC279">
            <w:pPr>
              <w:adjustRightInd w:val="0"/>
              <w:snapToGrid w:val="0"/>
              <w:spacing w:line="300" w:lineRule="auto"/>
              <w:jc w:val="center"/>
              <w:rPr>
                <w:rFonts w:ascii="Times New Roman" w:hAnsi="Times New Roman"/>
                <w:snapToGrid w:val="0"/>
                <w:kern w:val="0"/>
                <w:szCs w:val="24"/>
              </w:rPr>
            </w:pPr>
          </w:p>
        </w:tc>
      </w:tr>
      <w:tr w14:paraId="40F69B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6C96B3AA">
            <w:pPr>
              <w:adjustRightInd w:val="0"/>
              <w:snapToGrid w:val="0"/>
              <w:spacing w:line="300" w:lineRule="auto"/>
              <w:jc w:val="center"/>
              <w:rPr>
                <w:rFonts w:asciiTheme="minorEastAsia" w:hAnsiTheme="minorEastAsia" w:eastAsiaTheme="minorEastAsia"/>
                <w:snapToGrid w:val="0"/>
                <w:kern w:val="0"/>
                <w:szCs w:val="24"/>
              </w:rPr>
            </w:pPr>
            <w:r>
              <w:rPr>
                <w:rFonts w:asciiTheme="minorEastAsia" w:hAnsiTheme="minorEastAsia" w:eastAsiaTheme="minorEastAsia"/>
                <w:snapToGrid w:val="0"/>
                <w:kern w:val="0"/>
                <w:szCs w:val="24"/>
              </w:rPr>
              <w:t>2</w:t>
            </w:r>
          </w:p>
        </w:tc>
        <w:tc>
          <w:tcPr>
            <w:tcW w:w="2485" w:type="dxa"/>
            <w:vAlign w:val="center"/>
          </w:tcPr>
          <w:p w14:paraId="43888E59">
            <w:pPr>
              <w:adjustRightInd w:val="0"/>
              <w:snapToGrid w:val="0"/>
              <w:spacing w:line="300" w:lineRule="auto"/>
              <w:jc w:val="center"/>
              <w:rPr>
                <w:rFonts w:ascii="宋体" w:hAnsi="宋体"/>
                <w:szCs w:val="21"/>
                <w:lang w:val="zh-CN"/>
              </w:rPr>
            </w:pPr>
          </w:p>
        </w:tc>
        <w:tc>
          <w:tcPr>
            <w:tcW w:w="876" w:type="dxa"/>
            <w:vAlign w:val="center"/>
          </w:tcPr>
          <w:p w14:paraId="6A0F63CC">
            <w:pPr>
              <w:adjustRightInd w:val="0"/>
              <w:snapToGrid w:val="0"/>
              <w:spacing w:line="300" w:lineRule="auto"/>
              <w:jc w:val="center"/>
              <w:rPr>
                <w:rFonts w:ascii="Times New Roman" w:hAnsi="Times New Roman"/>
                <w:snapToGrid w:val="0"/>
                <w:kern w:val="0"/>
                <w:szCs w:val="24"/>
              </w:rPr>
            </w:pPr>
          </w:p>
        </w:tc>
        <w:tc>
          <w:tcPr>
            <w:tcW w:w="909" w:type="dxa"/>
            <w:vAlign w:val="center"/>
          </w:tcPr>
          <w:p w14:paraId="0980B490">
            <w:pPr>
              <w:adjustRightInd w:val="0"/>
              <w:snapToGrid w:val="0"/>
              <w:spacing w:line="300" w:lineRule="auto"/>
              <w:jc w:val="center"/>
              <w:rPr>
                <w:rFonts w:ascii="Times New Roman" w:hAnsi="Times New Roman"/>
                <w:snapToGrid w:val="0"/>
                <w:kern w:val="0"/>
                <w:szCs w:val="24"/>
              </w:rPr>
            </w:pPr>
          </w:p>
        </w:tc>
        <w:tc>
          <w:tcPr>
            <w:tcW w:w="1643" w:type="dxa"/>
            <w:vAlign w:val="center"/>
          </w:tcPr>
          <w:p w14:paraId="656E8A60">
            <w:pPr>
              <w:adjustRightInd w:val="0"/>
              <w:snapToGrid w:val="0"/>
              <w:spacing w:line="300" w:lineRule="auto"/>
              <w:jc w:val="center"/>
              <w:rPr>
                <w:rFonts w:ascii="Times New Roman" w:hAnsi="Times New Roman"/>
                <w:snapToGrid w:val="0"/>
                <w:kern w:val="0"/>
                <w:szCs w:val="24"/>
              </w:rPr>
            </w:pPr>
          </w:p>
        </w:tc>
        <w:tc>
          <w:tcPr>
            <w:tcW w:w="1701" w:type="dxa"/>
            <w:vAlign w:val="center"/>
          </w:tcPr>
          <w:p w14:paraId="786E09D7">
            <w:pPr>
              <w:adjustRightInd w:val="0"/>
              <w:snapToGrid w:val="0"/>
              <w:spacing w:line="300" w:lineRule="auto"/>
              <w:jc w:val="center"/>
              <w:rPr>
                <w:rFonts w:ascii="Times New Roman" w:hAnsi="Times New Roman"/>
                <w:snapToGrid w:val="0"/>
                <w:kern w:val="0"/>
                <w:szCs w:val="24"/>
              </w:rPr>
            </w:pPr>
          </w:p>
        </w:tc>
        <w:tc>
          <w:tcPr>
            <w:tcW w:w="1125" w:type="dxa"/>
            <w:vAlign w:val="center"/>
          </w:tcPr>
          <w:p w14:paraId="408CAF55">
            <w:pPr>
              <w:adjustRightInd w:val="0"/>
              <w:snapToGrid w:val="0"/>
              <w:spacing w:line="300" w:lineRule="auto"/>
              <w:jc w:val="center"/>
              <w:rPr>
                <w:rFonts w:ascii="Times New Roman" w:hAnsi="Times New Roman"/>
                <w:snapToGrid w:val="0"/>
                <w:kern w:val="0"/>
                <w:szCs w:val="24"/>
              </w:rPr>
            </w:pPr>
          </w:p>
        </w:tc>
      </w:tr>
      <w:tr w14:paraId="114B2A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2077514">
            <w:pPr>
              <w:adjustRightInd w:val="0"/>
              <w:snapToGrid w:val="0"/>
              <w:spacing w:line="300" w:lineRule="auto"/>
              <w:jc w:val="center"/>
              <w:rPr>
                <w:rFonts w:asciiTheme="minorEastAsia" w:hAnsiTheme="minorEastAsia" w:eastAsiaTheme="minorEastAsia"/>
                <w:snapToGrid w:val="0"/>
                <w:kern w:val="0"/>
                <w:szCs w:val="24"/>
              </w:rPr>
            </w:pPr>
            <w:r>
              <w:rPr>
                <w:rFonts w:asciiTheme="minorEastAsia" w:hAnsiTheme="minorEastAsia" w:eastAsiaTheme="minorEastAsia"/>
                <w:snapToGrid w:val="0"/>
                <w:kern w:val="0"/>
                <w:szCs w:val="24"/>
              </w:rPr>
              <w:t xml:space="preserve">3 </w:t>
            </w:r>
          </w:p>
        </w:tc>
        <w:tc>
          <w:tcPr>
            <w:tcW w:w="2485" w:type="dxa"/>
            <w:vAlign w:val="center"/>
          </w:tcPr>
          <w:p w14:paraId="6BA1F705">
            <w:pPr>
              <w:adjustRightInd w:val="0"/>
              <w:snapToGrid w:val="0"/>
              <w:spacing w:line="300" w:lineRule="auto"/>
              <w:jc w:val="center"/>
              <w:rPr>
                <w:rFonts w:ascii="宋体" w:hAnsi="宋体"/>
                <w:szCs w:val="21"/>
                <w:lang w:val="zh-CN"/>
              </w:rPr>
            </w:pPr>
          </w:p>
        </w:tc>
        <w:tc>
          <w:tcPr>
            <w:tcW w:w="876" w:type="dxa"/>
            <w:vAlign w:val="center"/>
          </w:tcPr>
          <w:p w14:paraId="26E60FE8">
            <w:pPr>
              <w:adjustRightInd w:val="0"/>
              <w:snapToGrid w:val="0"/>
              <w:spacing w:line="300" w:lineRule="auto"/>
              <w:jc w:val="center"/>
              <w:rPr>
                <w:rFonts w:ascii="Times New Roman" w:hAnsi="Times New Roman"/>
                <w:snapToGrid w:val="0"/>
                <w:kern w:val="0"/>
                <w:szCs w:val="24"/>
              </w:rPr>
            </w:pPr>
          </w:p>
        </w:tc>
        <w:tc>
          <w:tcPr>
            <w:tcW w:w="909" w:type="dxa"/>
            <w:vAlign w:val="center"/>
          </w:tcPr>
          <w:p w14:paraId="4DC86C13">
            <w:pPr>
              <w:adjustRightInd w:val="0"/>
              <w:snapToGrid w:val="0"/>
              <w:spacing w:line="300" w:lineRule="auto"/>
              <w:jc w:val="center"/>
              <w:rPr>
                <w:rFonts w:ascii="Times New Roman" w:hAnsi="Times New Roman"/>
                <w:snapToGrid w:val="0"/>
                <w:kern w:val="0"/>
                <w:szCs w:val="24"/>
              </w:rPr>
            </w:pPr>
          </w:p>
        </w:tc>
        <w:tc>
          <w:tcPr>
            <w:tcW w:w="1643" w:type="dxa"/>
            <w:vAlign w:val="center"/>
          </w:tcPr>
          <w:p w14:paraId="695EBA0F">
            <w:pPr>
              <w:adjustRightInd w:val="0"/>
              <w:snapToGrid w:val="0"/>
              <w:spacing w:line="300" w:lineRule="auto"/>
              <w:jc w:val="center"/>
              <w:rPr>
                <w:rFonts w:ascii="Times New Roman" w:hAnsi="Times New Roman"/>
                <w:snapToGrid w:val="0"/>
                <w:kern w:val="0"/>
                <w:szCs w:val="24"/>
              </w:rPr>
            </w:pPr>
          </w:p>
        </w:tc>
        <w:tc>
          <w:tcPr>
            <w:tcW w:w="1701" w:type="dxa"/>
            <w:vAlign w:val="center"/>
          </w:tcPr>
          <w:p w14:paraId="5C3AB2E8">
            <w:pPr>
              <w:adjustRightInd w:val="0"/>
              <w:snapToGrid w:val="0"/>
              <w:spacing w:line="300" w:lineRule="auto"/>
              <w:jc w:val="center"/>
              <w:rPr>
                <w:rFonts w:ascii="Times New Roman" w:hAnsi="Times New Roman"/>
                <w:snapToGrid w:val="0"/>
                <w:kern w:val="0"/>
                <w:szCs w:val="24"/>
              </w:rPr>
            </w:pPr>
          </w:p>
        </w:tc>
        <w:tc>
          <w:tcPr>
            <w:tcW w:w="1125" w:type="dxa"/>
            <w:vAlign w:val="center"/>
          </w:tcPr>
          <w:p w14:paraId="69FC8A95">
            <w:pPr>
              <w:adjustRightInd w:val="0"/>
              <w:snapToGrid w:val="0"/>
              <w:spacing w:line="300" w:lineRule="auto"/>
              <w:jc w:val="center"/>
              <w:rPr>
                <w:rFonts w:ascii="Times New Roman" w:hAnsi="Times New Roman"/>
                <w:snapToGrid w:val="0"/>
                <w:kern w:val="0"/>
                <w:szCs w:val="24"/>
              </w:rPr>
            </w:pPr>
          </w:p>
        </w:tc>
      </w:tr>
      <w:tr w14:paraId="7AC4D4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589095D5">
            <w:pPr>
              <w:adjustRightInd w:val="0"/>
              <w:snapToGrid w:val="0"/>
              <w:spacing w:line="300" w:lineRule="auto"/>
              <w:jc w:val="center"/>
              <w:rPr>
                <w:rFonts w:asciiTheme="minorEastAsia" w:hAnsiTheme="minorEastAsia" w:eastAsiaTheme="minorEastAsia"/>
                <w:snapToGrid w:val="0"/>
                <w:kern w:val="0"/>
                <w:szCs w:val="24"/>
              </w:rPr>
            </w:pPr>
            <w:r>
              <w:rPr>
                <w:rFonts w:asciiTheme="minorEastAsia" w:hAnsiTheme="minorEastAsia" w:eastAsiaTheme="minorEastAsia"/>
                <w:snapToGrid w:val="0"/>
                <w:kern w:val="0"/>
                <w:szCs w:val="24"/>
              </w:rPr>
              <w:t>4</w:t>
            </w:r>
          </w:p>
        </w:tc>
        <w:tc>
          <w:tcPr>
            <w:tcW w:w="2485" w:type="dxa"/>
            <w:vAlign w:val="center"/>
          </w:tcPr>
          <w:p w14:paraId="3FD78F4A">
            <w:pPr>
              <w:adjustRightInd w:val="0"/>
              <w:snapToGrid w:val="0"/>
              <w:spacing w:line="300" w:lineRule="auto"/>
              <w:jc w:val="center"/>
              <w:rPr>
                <w:rFonts w:ascii="宋体" w:hAnsi="宋体"/>
                <w:szCs w:val="21"/>
                <w:lang w:val="zh-CN"/>
              </w:rPr>
            </w:pPr>
          </w:p>
        </w:tc>
        <w:tc>
          <w:tcPr>
            <w:tcW w:w="876" w:type="dxa"/>
            <w:vAlign w:val="center"/>
          </w:tcPr>
          <w:p w14:paraId="3A59106F">
            <w:pPr>
              <w:adjustRightInd w:val="0"/>
              <w:snapToGrid w:val="0"/>
              <w:spacing w:line="300" w:lineRule="auto"/>
              <w:jc w:val="center"/>
              <w:rPr>
                <w:rFonts w:ascii="Times New Roman" w:hAnsi="Times New Roman"/>
                <w:snapToGrid w:val="0"/>
                <w:kern w:val="0"/>
                <w:szCs w:val="24"/>
              </w:rPr>
            </w:pPr>
          </w:p>
        </w:tc>
        <w:tc>
          <w:tcPr>
            <w:tcW w:w="909" w:type="dxa"/>
            <w:vAlign w:val="center"/>
          </w:tcPr>
          <w:p w14:paraId="2F0D2866">
            <w:pPr>
              <w:adjustRightInd w:val="0"/>
              <w:snapToGrid w:val="0"/>
              <w:spacing w:line="300" w:lineRule="auto"/>
              <w:jc w:val="center"/>
              <w:rPr>
                <w:rFonts w:ascii="Times New Roman" w:hAnsi="Times New Roman"/>
                <w:snapToGrid w:val="0"/>
                <w:kern w:val="0"/>
                <w:szCs w:val="24"/>
              </w:rPr>
            </w:pPr>
          </w:p>
        </w:tc>
        <w:tc>
          <w:tcPr>
            <w:tcW w:w="1643" w:type="dxa"/>
            <w:vAlign w:val="center"/>
          </w:tcPr>
          <w:p w14:paraId="0540CE05">
            <w:pPr>
              <w:adjustRightInd w:val="0"/>
              <w:snapToGrid w:val="0"/>
              <w:spacing w:line="300" w:lineRule="auto"/>
              <w:jc w:val="center"/>
              <w:rPr>
                <w:rFonts w:ascii="Times New Roman" w:hAnsi="Times New Roman"/>
                <w:snapToGrid w:val="0"/>
                <w:kern w:val="0"/>
                <w:szCs w:val="24"/>
              </w:rPr>
            </w:pPr>
          </w:p>
        </w:tc>
        <w:tc>
          <w:tcPr>
            <w:tcW w:w="1701" w:type="dxa"/>
            <w:vAlign w:val="center"/>
          </w:tcPr>
          <w:p w14:paraId="1748470D">
            <w:pPr>
              <w:adjustRightInd w:val="0"/>
              <w:snapToGrid w:val="0"/>
              <w:spacing w:line="300" w:lineRule="auto"/>
              <w:jc w:val="center"/>
              <w:rPr>
                <w:rFonts w:ascii="Times New Roman" w:hAnsi="Times New Roman"/>
                <w:snapToGrid w:val="0"/>
                <w:kern w:val="0"/>
                <w:szCs w:val="24"/>
              </w:rPr>
            </w:pPr>
          </w:p>
        </w:tc>
        <w:tc>
          <w:tcPr>
            <w:tcW w:w="1125" w:type="dxa"/>
            <w:vAlign w:val="center"/>
          </w:tcPr>
          <w:p w14:paraId="1E4C30BB">
            <w:pPr>
              <w:adjustRightInd w:val="0"/>
              <w:snapToGrid w:val="0"/>
              <w:spacing w:line="300" w:lineRule="auto"/>
              <w:jc w:val="center"/>
              <w:rPr>
                <w:rFonts w:ascii="Times New Roman" w:hAnsi="Times New Roman"/>
                <w:snapToGrid w:val="0"/>
                <w:kern w:val="0"/>
                <w:szCs w:val="24"/>
              </w:rPr>
            </w:pPr>
          </w:p>
        </w:tc>
      </w:tr>
      <w:tr w14:paraId="5C4A53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bottom w:val="single" w:color="auto" w:sz="4" w:space="0"/>
            </w:tcBorders>
            <w:vAlign w:val="center"/>
          </w:tcPr>
          <w:p w14:paraId="08A08103">
            <w:pPr>
              <w:adjustRightInd w:val="0"/>
              <w:snapToGrid w:val="0"/>
              <w:spacing w:line="300" w:lineRule="auto"/>
              <w:jc w:val="center"/>
              <w:rPr>
                <w:rFonts w:asciiTheme="minorEastAsia" w:hAnsiTheme="minorEastAsia" w:eastAsiaTheme="minorEastAsia"/>
                <w:snapToGrid w:val="0"/>
                <w:kern w:val="0"/>
                <w:szCs w:val="24"/>
              </w:rPr>
            </w:pPr>
            <w:r>
              <w:rPr>
                <w:rFonts w:asciiTheme="minorEastAsia" w:hAnsiTheme="minorEastAsia" w:eastAsiaTheme="minorEastAsia"/>
                <w:snapToGrid w:val="0"/>
                <w:kern w:val="0"/>
                <w:szCs w:val="24"/>
              </w:rPr>
              <w:t>5</w:t>
            </w:r>
          </w:p>
        </w:tc>
        <w:tc>
          <w:tcPr>
            <w:tcW w:w="2485" w:type="dxa"/>
            <w:tcBorders>
              <w:bottom w:val="single" w:color="auto" w:sz="4" w:space="0"/>
            </w:tcBorders>
            <w:vAlign w:val="center"/>
          </w:tcPr>
          <w:p w14:paraId="41371EC8">
            <w:pPr>
              <w:adjustRightInd w:val="0"/>
              <w:snapToGrid w:val="0"/>
              <w:spacing w:line="300" w:lineRule="auto"/>
              <w:jc w:val="center"/>
              <w:rPr>
                <w:rFonts w:ascii="宋体" w:hAnsi="宋体"/>
                <w:szCs w:val="21"/>
                <w:lang w:val="zh-CN"/>
              </w:rPr>
            </w:pPr>
          </w:p>
        </w:tc>
        <w:tc>
          <w:tcPr>
            <w:tcW w:w="876" w:type="dxa"/>
            <w:tcBorders>
              <w:bottom w:val="single" w:color="auto" w:sz="4" w:space="0"/>
            </w:tcBorders>
            <w:vAlign w:val="center"/>
          </w:tcPr>
          <w:p w14:paraId="63C9079E">
            <w:pPr>
              <w:adjustRightInd w:val="0"/>
              <w:snapToGrid w:val="0"/>
              <w:spacing w:line="300" w:lineRule="auto"/>
              <w:jc w:val="center"/>
              <w:rPr>
                <w:rFonts w:ascii="Times New Roman" w:hAnsi="Times New Roman"/>
                <w:snapToGrid w:val="0"/>
                <w:kern w:val="0"/>
                <w:szCs w:val="24"/>
              </w:rPr>
            </w:pPr>
          </w:p>
        </w:tc>
        <w:tc>
          <w:tcPr>
            <w:tcW w:w="909" w:type="dxa"/>
            <w:tcBorders>
              <w:bottom w:val="single" w:color="auto" w:sz="4" w:space="0"/>
            </w:tcBorders>
            <w:vAlign w:val="center"/>
          </w:tcPr>
          <w:p w14:paraId="08FDEA75">
            <w:pPr>
              <w:adjustRightInd w:val="0"/>
              <w:snapToGrid w:val="0"/>
              <w:spacing w:line="300" w:lineRule="auto"/>
              <w:jc w:val="center"/>
              <w:rPr>
                <w:rFonts w:ascii="Times New Roman" w:hAnsi="Times New Roman"/>
                <w:snapToGrid w:val="0"/>
                <w:kern w:val="0"/>
                <w:szCs w:val="24"/>
              </w:rPr>
            </w:pPr>
          </w:p>
        </w:tc>
        <w:tc>
          <w:tcPr>
            <w:tcW w:w="1643" w:type="dxa"/>
            <w:tcBorders>
              <w:bottom w:val="single" w:color="auto" w:sz="4" w:space="0"/>
            </w:tcBorders>
            <w:vAlign w:val="center"/>
          </w:tcPr>
          <w:p w14:paraId="551ECF37">
            <w:pPr>
              <w:adjustRightInd w:val="0"/>
              <w:snapToGrid w:val="0"/>
              <w:spacing w:line="300" w:lineRule="auto"/>
              <w:jc w:val="center"/>
              <w:rPr>
                <w:rFonts w:ascii="Times New Roman" w:hAnsi="Times New Roman"/>
                <w:snapToGrid w:val="0"/>
                <w:kern w:val="0"/>
                <w:szCs w:val="24"/>
              </w:rPr>
            </w:pPr>
          </w:p>
        </w:tc>
        <w:tc>
          <w:tcPr>
            <w:tcW w:w="1701" w:type="dxa"/>
            <w:tcBorders>
              <w:bottom w:val="single" w:color="auto" w:sz="4" w:space="0"/>
            </w:tcBorders>
            <w:vAlign w:val="center"/>
          </w:tcPr>
          <w:p w14:paraId="53288EBC">
            <w:pPr>
              <w:adjustRightInd w:val="0"/>
              <w:snapToGrid w:val="0"/>
              <w:spacing w:line="300" w:lineRule="auto"/>
              <w:jc w:val="center"/>
              <w:rPr>
                <w:rFonts w:ascii="Times New Roman" w:hAnsi="Times New Roman"/>
                <w:snapToGrid w:val="0"/>
                <w:kern w:val="0"/>
                <w:szCs w:val="24"/>
              </w:rPr>
            </w:pPr>
          </w:p>
        </w:tc>
        <w:tc>
          <w:tcPr>
            <w:tcW w:w="1125" w:type="dxa"/>
            <w:tcBorders>
              <w:bottom w:val="single" w:color="auto" w:sz="4" w:space="0"/>
            </w:tcBorders>
            <w:vAlign w:val="center"/>
          </w:tcPr>
          <w:p w14:paraId="5A93FD1A">
            <w:pPr>
              <w:adjustRightInd w:val="0"/>
              <w:snapToGrid w:val="0"/>
              <w:spacing w:line="300" w:lineRule="auto"/>
              <w:jc w:val="center"/>
              <w:rPr>
                <w:rFonts w:ascii="Times New Roman" w:hAnsi="Times New Roman"/>
                <w:snapToGrid w:val="0"/>
                <w:kern w:val="0"/>
                <w:szCs w:val="24"/>
              </w:rPr>
            </w:pPr>
          </w:p>
        </w:tc>
      </w:tr>
      <w:tr w14:paraId="4F950B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70CC612C">
            <w:pPr>
              <w:adjustRightInd w:val="0"/>
              <w:snapToGrid w:val="0"/>
              <w:spacing w:line="300" w:lineRule="auto"/>
              <w:jc w:val="center"/>
              <w:rPr>
                <w:rFonts w:asciiTheme="minorEastAsia" w:hAnsiTheme="minorEastAsia" w:eastAsiaTheme="minorEastAsia"/>
                <w:snapToGrid w:val="0"/>
                <w:kern w:val="0"/>
                <w:szCs w:val="24"/>
              </w:rPr>
            </w:pPr>
            <w:r>
              <w:rPr>
                <w:rFonts w:asciiTheme="minorEastAsia" w:hAnsiTheme="minorEastAsia" w:eastAsiaTheme="minorEastAsia"/>
                <w:snapToGrid w:val="0"/>
                <w:kern w:val="0"/>
                <w:szCs w:val="24"/>
              </w:rPr>
              <w:t>6</w:t>
            </w:r>
          </w:p>
        </w:tc>
        <w:tc>
          <w:tcPr>
            <w:tcW w:w="2485" w:type="dxa"/>
            <w:tcBorders>
              <w:top w:val="single" w:color="auto" w:sz="4" w:space="0"/>
              <w:bottom w:val="single" w:color="auto" w:sz="4" w:space="0"/>
            </w:tcBorders>
            <w:vAlign w:val="center"/>
          </w:tcPr>
          <w:p w14:paraId="77FF1AB1">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04BC476F">
            <w:pPr>
              <w:adjustRightInd w:val="0"/>
              <w:snapToGrid w:val="0"/>
              <w:spacing w:line="300" w:lineRule="auto"/>
              <w:jc w:val="center"/>
              <w:rPr>
                <w:rFonts w:ascii="Times New Roman" w:hAnsi="Times New Roman"/>
                <w:snapToGrid w:val="0"/>
                <w:kern w:val="0"/>
                <w:szCs w:val="24"/>
              </w:rPr>
            </w:pPr>
          </w:p>
        </w:tc>
        <w:tc>
          <w:tcPr>
            <w:tcW w:w="909" w:type="dxa"/>
            <w:tcBorders>
              <w:top w:val="single" w:color="auto" w:sz="4" w:space="0"/>
              <w:bottom w:val="single" w:color="auto" w:sz="4" w:space="0"/>
            </w:tcBorders>
            <w:vAlign w:val="center"/>
          </w:tcPr>
          <w:p w14:paraId="37FFA704">
            <w:pPr>
              <w:adjustRightInd w:val="0"/>
              <w:snapToGrid w:val="0"/>
              <w:spacing w:line="300" w:lineRule="auto"/>
              <w:jc w:val="center"/>
              <w:rPr>
                <w:rFonts w:ascii="Times New Roman" w:hAnsi="Times New Roman"/>
                <w:snapToGrid w:val="0"/>
                <w:kern w:val="0"/>
                <w:szCs w:val="24"/>
              </w:rPr>
            </w:pPr>
          </w:p>
        </w:tc>
        <w:tc>
          <w:tcPr>
            <w:tcW w:w="1643" w:type="dxa"/>
            <w:tcBorders>
              <w:top w:val="single" w:color="auto" w:sz="4" w:space="0"/>
              <w:bottom w:val="single" w:color="auto" w:sz="4" w:space="0"/>
            </w:tcBorders>
            <w:vAlign w:val="center"/>
          </w:tcPr>
          <w:p w14:paraId="49516C07">
            <w:pPr>
              <w:adjustRightInd w:val="0"/>
              <w:snapToGrid w:val="0"/>
              <w:spacing w:line="300" w:lineRule="auto"/>
              <w:jc w:val="center"/>
              <w:rPr>
                <w:rFonts w:ascii="Times New Roman" w:hAnsi="Times New Roman"/>
                <w:snapToGrid w:val="0"/>
                <w:kern w:val="0"/>
                <w:szCs w:val="24"/>
              </w:rPr>
            </w:pPr>
          </w:p>
        </w:tc>
        <w:tc>
          <w:tcPr>
            <w:tcW w:w="1701" w:type="dxa"/>
            <w:tcBorders>
              <w:top w:val="single" w:color="auto" w:sz="4" w:space="0"/>
              <w:bottom w:val="single" w:color="auto" w:sz="4" w:space="0"/>
            </w:tcBorders>
            <w:vAlign w:val="center"/>
          </w:tcPr>
          <w:p w14:paraId="6572B37D">
            <w:pPr>
              <w:adjustRightInd w:val="0"/>
              <w:snapToGrid w:val="0"/>
              <w:spacing w:line="300" w:lineRule="auto"/>
              <w:jc w:val="center"/>
              <w:rPr>
                <w:rFonts w:ascii="Times New Roman" w:hAnsi="Times New Roman"/>
                <w:snapToGrid w:val="0"/>
                <w:kern w:val="0"/>
                <w:szCs w:val="24"/>
              </w:rPr>
            </w:pPr>
          </w:p>
        </w:tc>
        <w:tc>
          <w:tcPr>
            <w:tcW w:w="1125" w:type="dxa"/>
            <w:tcBorders>
              <w:bottom w:val="single" w:color="auto" w:sz="4" w:space="0"/>
            </w:tcBorders>
            <w:vAlign w:val="center"/>
          </w:tcPr>
          <w:p w14:paraId="067D85BD">
            <w:pPr>
              <w:adjustRightInd w:val="0"/>
              <w:snapToGrid w:val="0"/>
              <w:spacing w:line="300" w:lineRule="auto"/>
              <w:jc w:val="center"/>
              <w:rPr>
                <w:rFonts w:ascii="Times New Roman" w:hAnsi="Times New Roman"/>
                <w:snapToGrid w:val="0"/>
                <w:kern w:val="0"/>
                <w:szCs w:val="24"/>
              </w:rPr>
            </w:pPr>
          </w:p>
        </w:tc>
      </w:tr>
      <w:tr w14:paraId="1B2591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69CE4F1C">
            <w:pPr>
              <w:adjustRightInd w:val="0"/>
              <w:snapToGrid w:val="0"/>
              <w:spacing w:line="300" w:lineRule="auto"/>
              <w:jc w:val="center"/>
              <w:rPr>
                <w:rFonts w:asciiTheme="minorEastAsia" w:hAnsiTheme="minorEastAsia" w:eastAsiaTheme="minorEastAsia"/>
                <w:snapToGrid w:val="0"/>
                <w:kern w:val="0"/>
                <w:szCs w:val="24"/>
              </w:rPr>
            </w:pPr>
            <w:r>
              <w:rPr>
                <w:rFonts w:asciiTheme="minorEastAsia" w:hAnsiTheme="minorEastAsia" w:eastAsiaTheme="minorEastAsia"/>
                <w:snapToGrid w:val="0"/>
                <w:kern w:val="0"/>
                <w:szCs w:val="24"/>
              </w:rPr>
              <w:t>7</w:t>
            </w:r>
          </w:p>
        </w:tc>
        <w:tc>
          <w:tcPr>
            <w:tcW w:w="2485" w:type="dxa"/>
            <w:tcBorders>
              <w:top w:val="single" w:color="auto" w:sz="4" w:space="0"/>
              <w:bottom w:val="single" w:color="auto" w:sz="4" w:space="0"/>
            </w:tcBorders>
            <w:vAlign w:val="center"/>
          </w:tcPr>
          <w:p w14:paraId="57B8B932">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533DF2D1">
            <w:pPr>
              <w:adjustRightInd w:val="0"/>
              <w:snapToGrid w:val="0"/>
              <w:spacing w:line="300" w:lineRule="auto"/>
              <w:jc w:val="center"/>
              <w:rPr>
                <w:rFonts w:ascii="Times New Roman" w:hAnsi="Times New Roman"/>
                <w:snapToGrid w:val="0"/>
                <w:kern w:val="0"/>
                <w:szCs w:val="24"/>
              </w:rPr>
            </w:pPr>
          </w:p>
        </w:tc>
        <w:tc>
          <w:tcPr>
            <w:tcW w:w="909" w:type="dxa"/>
            <w:tcBorders>
              <w:top w:val="single" w:color="auto" w:sz="4" w:space="0"/>
              <w:bottom w:val="single" w:color="auto" w:sz="4" w:space="0"/>
            </w:tcBorders>
            <w:vAlign w:val="center"/>
          </w:tcPr>
          <w:p w14:paraId="66F86CB2">
            <w:pPr>
              <w:adjustRightInd w:val="0"/>
              <w:snapToGrid w:val="0"/>
              <w:spacing w:line="300" w:lineRule="auto"/>
              <w:jc w:val="center"/>
              <w:rPr>
                <w:rFonts w:ascii="Times New Roman" w:hAnsi="Times New Roman"/>
                <w:snapToGrid w:val="0"/>
                <w:kern w:val="0"/>
                <w:szCs w:val="24"/>
              </w:rPr>
            </w:pPr>
          </w:p>
        </w:tc>
        <w:tc>
          <w:tcPr>
            <w:tcW w:w="1643" w:type="dxa"/>
            <w:tcBorders>
              <w:top w:val="single" w:color="auto" w:sz="4" w:space="0"/>
              <w:bottom w:val="single" w:color="auto" w:sz="4" w:space="0"/>
            </w:tcBorders>
            <w:vAlign w:val="center"/>
          </w:tcPr>
          <w:p w14:paraId="6C902B26">
            <w:pPr>
              <w:adjustRightInd w:val="0"/>
              <w:snapToGrid w:val="0"/>
              <w:spacing w:line="300" w:lineRule="auto"/>
              <w:jc w:val="center"/>
              <w:rPr>
                <w:rFonts w:ascii="Times New Roman" w:hAnsi="Times New Roman"/>
                <w:snapToGrid w:val="0"/>
                <w:kern w:val="0"/>
                <w:szCs w:val="24"/>
              </w:rPr>
            </w:pPr>
          </w:p>
        </w:tc>
        <w:tc>
          <w:tcPr>
            <w:tcW w:w="1701" w:type="dxa"/>
            <w:tcBorders>
              <w:top w:val="single" w:color="auto" w:sz="4" w:space="0"/>
              <w:bottom w:val="single" w:color="auto" w:sz="4" w:space="0"/>
            </w:tcBorders>
            <w:vAlign w:val="center"/>
          </w:tcPr>
          <w:p w14:paraId="10233BD7">
            <w:pPr>
              <w:adjustRightInd w:val="0"/>
              <w:snapToGrid w:val="0"/>
              <w:spacing w:line="300" w:lineRule="auto"/>
              <w:jc w:val="center"/>
              <w:rPr>
                <w:rFonts w:ascii="Times New Roman" w:hAnsi="Times New Roman"/>
                <w:snapToGrid w:val="0"/>
                <w:kern w:val="0"/>
                <w:szCs w:val="24"/>
              </w:rPr>
            </w:pPr>
          </w:p>
        </w:tc>
        <w:tc>
          <w:tcPr>
            <w:tcW w:w="1125" w:type="dxa"/>
            <w:tcBorders>
              <w:bottom w:val="single" w:color="auto" w:sz="4" w:space="0"/>
            </w:tcBorders>
            <w:vAlign w:val="center"/>
          </w:tcPr>
          <w:p w14:paraId="55E67D9B">
            <w:pPr>
              <w:adjustRightInd w:val="0"/>
              <w:snapToGrid w:val="0"/>
              <w:spacing w:line="300" w:lineRule="auto"/>
              <w:jc w:val="center"/>
              <w:rPr>
                <w:rFonts w:ascii="Times New Roman" w:hAnsi="Times New Roman"/>
                <w:snapToGrid w:val="0"/>
                <w:kern w:val="0"/>
                <w:szCs w:val="24"/>
              </w:rPr>
            </w:pPr>
          </w:p>
        </w:tc>
      </w:tr>
      <w:tr w14:paraId="28E700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41" w:type="dxa"/>
            <w:gridSpan w:val="5"/>
            <w:tcBorders>
              <w:top w:val="single" w:color="auto" w:sz="4" w:space="0"/>
            </w:tcBorders>
            <w:vAlign w:val="center"/>
          </w:tcPr>
          <w:p w14:paraId="65E982CE">
            <w:pPr>
              <w:adjustRightInd w:val="0"/>
              <w:snapToGrid w:val="0"/>
              <w:spacing w:line="300" w:lineRule="auto"/>
              <w:jc w:val="center"/>
              <w:rPr>
                <w:rFonts w:ascii="Times New Roman" w:hAnsi="Times New Roman"/>
                <w:snapToGrid w:val="0"/>
                <w:kern w:val="0"/>
                <w:szCs w:val="24"/>
              </w:rPr>
            </w:pPr>
            <w:r>
              <w:rPr>
                <w:rFonts w:hint="eastAsia" w:ascii="Times New Roman" w:hAnsi="Times New Roman"/>
                <w:snapToGrid w:val="0"/>
                <w:kern w:val="0"/>
                <w:szCs w:val="24"/>
              </w:rPr>
              <w:t>合计（即投标总价，单位：元）</w:t>
            </w:r>
          </w:p>
        </w:tc>
        <w:tc>
          <w:tcPr>
            <w:tcW w:w="1701" w:type="dxa"/>
            <w:tcBorders>
              <w:top w:val="single" w:color="auto" w:sz="4" w:space="0"/>
            </w:tcBorders>
            <w:vAlign w:val="center"/>
          </w:tcPr>
          <w:p w14:paraId="08843520">
            <w:pPr>
              <w:adjustRightInd w:val="0"/>
              <w:snapToGrid w:val="0"/>
              <w:spacing w:line="300" w:lineRule="auto"/>
              <w:jc w:val="center"/>
              <w:rPr>
                <w:rFonts w:ascii="Times New Roman" w:hAnsi="Times New Roman"/>
                <w:snapToGrid w:val="0"/>
                <w:kern w:val="0"/>
                <w:szCs w:val="24"/>
              </w:rPr>
            </w:pPr>
          </w:p>
        </w:tc>
        <w:tc>
          <w:tcPr>
            <w:tcW w:w="1125" w:type="dxa"/>
            <w:tcBorders>
              <w:top w:val="single" w:color="auto" w:sz="4" w:space="0"/>
            </w:tcBorders>
            <w:vAlign w:val="center"/>
          </w:tcPr>
          <w:p w14:paraId="539DF386">
            <w:pPr>
              <w:adjustRightInd w:val="0"/>
              <w:snapToGrid w:val="0"/>
              <w:spacing w:line="300" w:lineRule="auto"/>
              <w:jc w:val="center"/>
              <w:rPr>
                <w:rFonts w:ascii="Times New Roman" w:hAnsi="Times New Roman"/>
                <w:snapToGrid w:val="0"/>
                <w:kern w:val="0"/>
                <w:szCs w:val="24"/>
              </w:rPr>
            </w:pPr>
          </w:p>
        </w:tc>
      </w:tr>
    </w:tbl>
    <w:p w14:paraId="36ECA234">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注：1、本表格仅为指导性范本，供应商可根据项目具体情况对各分项内容进行调整。</w:t>
      </w:r>
    </w:p>
    <w:p w14:paraId="79674E30">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2、投标总价应为以上各分项价格之和。</w:t>
      </w:r>
    </w:p>
    <w:p w14:paraId="4AE80F1C">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3、开标一览表的投标总价必须与以上分项报价清单的投标总价一致。</w:t>
      </w:r>
    </w:p>
    <w:p w14:paraId="55B3F042">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4、</w:t>
      </w:r>
      <w:r>
        <w:rPr>
          <w:rFonts w:hint="eastAsia" w:ascii="宋体" w:hAnsi="宋体"/>
          <w:szCs w:val="21"/>
        </w:rPr>
        <w:t>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EF86D90">
      <w:pPr>
        <w:keepNext/>
        <w:keepLines/>
        <w:tabs>
          <w:tab w:val="left" w:pos="765"/>
        </w:tabs>
        <w:spacing w:line="376" w:lineRule="auto"/>
        <w:outlineLvl w:val="3"/>
        <w:rPr>
          <w:rFonts w:asciiTheme="minorEastAsia" w:hAnsiTheme="minorEastAsia" w:eastAsiaTheme="minorEastAsia"/>
          <w:bCs/>
          <w:kern w:val="0"/>
          <w:szCs w:val="21"/>
        </w:rPr>
      </w:pPr>
    </w:p>
    <w:p w14:paraId="2A0594BB">
      <w:pPr>
        <w:spacing w:afterLines="50"/>
        <w:jc w:val="center"/>
        <w:rPr>
          <w:rFonts w:ascii="黑体" w:hAnsi="宋体" w:eastAsia="黑体"/>
          <w:bCs/>
          <w:kern w:val="0"/>
          <w:sz w:val="24"/>
          <w:szCs w:val="24"/>
        </w:rPr>
      </w:pPr>
      <w:r>
        <w:rPr>
          <w:rFonts w:hint="eastAsia" w:ascii="黑体" w:hAnsi="宋体" w:eastAsia="黑体"/>
          <w:bCs/>
          <w:kern w:val="0"/>
          <w:sz w:val="24"/>
          <w:szCs w:val="24"/>
        </w:rPr>
        <w:t>十、服务要求偏离表</w:t>
      </w:r>
    </w:p>
    <w:tbl>
      <w:tblPr>
        <w:tblStyle w:val="42"/>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1985"/>
        <w:gridCol w:w="1276"/>
        <w:gridCol w:w="2551"/>
      </w:tblGrid>
      <w:tr w14:paraId="0DC6B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51" w:type="dxa"/>
            <w:vAlign w:val="center"/>
          </w:tcPr>
          <w:p w14:paraId="48640FBB">
            <w:pPr>
              <w:jc w:val="center"/>
              <w:rPr>
                <w:rFonts w:ascii="宋体" w:hAnsi="宋体"/>
                <w:szCs w:val="21"/>
              </w:rPr>
            </w:pPr>
            <w:r>
              <w:rPr>
                <w:rFonts w:hint="eastAsia" w:ascii="宋体" w:hAnsi="宋体"/>
                <w:szCs w:val="21"/>
              </w:rPr>
              <w:t>序号</w:t>
            </w:r>
          </w:p>
        </w:tc>
        <w:tc>
          <w:tcPr>
            <w:tcW w:w="2551" w:type="dxa"/>
            <w:vAlign w:val="center"/>
          </w:tcPr>
          <w:p w14:paraId="46B115AE">
            <w:pPr>
              <w:jc w:val="center"/>
              <w:rPr>
                <w:rFonts w:ascii="宋体" w:hAnsi="宋体"/>
                <w:szCs w:val="21"/>
              </w:rPr>
            </w:pPr>
            <w:r>
              <w:rPr>
                <w:rFonts w:hint="eastAsia" w:ascii="宋体" w:hAnsi="宋体"/>
                <w:szCs w:val="21"/>
              </w:rPr>
              <w:t>招标文件服务要求</w:t>
            </w:r>
          </w:p>
        </w:tc>
        <w:tc>
          <w:tcPr>
            <w:tcW w:w="1985" w:type="dxa"/>
            <w:vAlign w:val="center"/>
          </w:tcPr>
          <w:p w14:paraId="485BC038">
            <w:pPr>
              <w:jc w:val="center"/>
              <w:rPr>
                <w:rFonts w:ascii="宋体" w:hAnsi="宋体"/>
                <w:szCs w:val="21"/>
              </w:rPr>
            </w:pPr>
            <w:r>
              <w:rPr>
                <w:rFonts w:hint="eastAsia" w:ascii="宋体" w:hAnsi="宋体"/>
                <w:szCs w:val="21"/>
              </w:rPr>
              <w:t>投标文件服务响应</w:t>
            </w:r>
          </w:p>
        </w:tc>
        <w:tc>
          <w:tcPr>
            <w:tcW w:w="1276" w:type="dxa"/>
            <w:vAlign w:val="center"/>
          </w:tcPr>
          <w:p w14:paraId="62C563D6">
            <w:pPr>
              <w:jc w:val="center"/>
              <w:rPr>
                <w:rFonts w:ascii="宋体" w:hAnsi="宋体"/>
                <w:szCs w:val="21"/>
              </w:rPr>
            </w:pPr>
            <w:r>
              <w:rPr>
                <w:rFonts w:hint="eastAsia" w:ascii="宋体" w:hAnsi="宋体"/>
                <w:szCs w:val="21"/>
              </w:rPr>
              <w:t>偏离情况</w:t>
            </w:r>
          </w:p>
        </w:tc>
        <w:tc>
          <w:tcPr>
            <w:tcW w:w="2551" w:type="dxa"/>
            <w:vAlign w:val="center"/>
          </w:tcPr>
          <w:p w14:paraId="19164E35">
            <w:pPr>
              <w:jc w:val="center"/>
              <w:rPr>
                <w:rFonts w:ascii="宋体" w:hAnsi="宋体"/>
                <w:szCs w:val="21"/>
              </w:rPr>
            </w:pPr>
            <w:r>
              <w:rPr>
                <w:rFonts w:hint="eastAsia" w:ascii="宋体" w:hAnsi="宋体"/>
                <w:szCs w:val="21"/>
              </w:rPr>
              <w:t>说明</w:t>
            </w:r>
          </w:p>
        </w:tc>
      </w:tr>
      <w:tr w14:paraId="0EBED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51" w:type="dxa"/>
          </w:tcPr>
          <w:p w14:paraId="4CA5D72C">
            <w:pPr>
              <w:rPr>
                <w:sz w:val="24"/>
              </w:rPr>
            </w:pPr>
          </w:p>
        </w:tc>
        <w:tc>
          <w:tcPr>
            <w:tcW w:w="2551" w:type="dxa"/>
          </w:tcPr>
          <w:p w14:paraId="7F464D8B">
            <w:pPr>
              <w:rPr>
                <w:sz w:val="24"/>
              </w:rPr>
            </w:pPr>
          </w:p>
        </w:tc>
        <w:tc>
          <w:tcPr>
            <w:tcW w:w="1985" w:type="dxa"/>
          </w:tcPr>
          <w:p w14:paraId="24584AE1">
            <w:pPr>
              <w:rPr>
                <w:sz w:val="24"/>
              </w:rPr>
            </w:pPr>
          </w:p>
        </w:tc>
        <w:tc>
          <w:tcPr>
            <w:tcW w:w="1276" w:type="dxa"/>
          </w:tcPr>
          <w:p w14:paraId="743B379B">
            <w:pPr>
              <w:rPr>
                <w:sz w:val="24"/>
              </w:rPr>
            </w:pPr>
          </w:p>
        </w:tc>
        <w:tc>
          <w:tcPr>
            <w:tcW w:w="2551" w:type="dxa"/>
          </w:tcPr>
          <w:p w14:paraId="46E6C32E">
            <w:pPr>
              <w:rPr>
                <w:szCs w:val="21"/>
              </w:rPr>
            </w:pPr>
            <w:r>
              <w:rPr>
                <w:rFonts w:hint="eastAsia"/>
                <w:szCs w:val="21"/>
              </w:rPr>
              <w:t>如需附证明文件，应在“说明”栏填写证明文件对应名称和页码。</w:t>
            </w:r>
          </w:p>
        </w:tc>
      </w:tr>
      <w:tr w14:paraId="7FBF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51" w:type="dxa"/>
          </w:tcPr>
          <w:p w14:paraId="4535F576">
            <w:pPr>
              <w:rPr>
                <w:sz w:val="24"/>
              </w:rPr>
            </w:pPr>
          </w:p>
        </w:tc>
        <w:tc>
          <w:tcPr>
            <w:tcW w:w="2551" w:type="dxa"/>
          </w:tcPr>
          <w:p w14:paraId="30F55B37">
            <w:pPr>
              <w:rPr>
                <w:sz w:val="24"/>
              </w:rPr>
            </w:pPr>
          </w:p>
        </w:tc>
        <w:tc>
          <w:tcPr>
            <w:tcW w:w="1985" w:type="dxa"/>
          </w:tcPr>
          <w:p w14:paraId="1092A174">
            <w:pPr>
              <w:rPr>
                <w:sz w:val="24"/>
              </w:rPr>
            </w:pPr>
          </w:p>
        </w:tc>
        <w:tc>
          <w:tcPr>
            <w:tcW w:w="1276" w:type="dxa"/>
          </w:tcPr>
          <w:p w14:paraId="6343C457">
            <w:pPr>
              <w:rPr>
                <w:sz w:val="24"/>
              </w:rPr>
            </w:pPr>
          </w:p>
        </w:tc>
        <w:tc>
          <w:tcPr>
            <w:tcW w:w="2551" w:type="dxa"/>
          </w:tcPr>
          <w:p w14:paraId="25FB6158">
            <w:pPr>
              <w:rPr>
                <w:sz w:val="24"/>
              </w:rPr>
            </w:pPr>
          </w:p>
        </w:tc>
      </w:tr>
    </w:tbl>
    <w:p w14:paraId="020C06AA">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备注：</w:t>
      </w:r>
    </w:p>
    <w:p w14:paraId="1051FFC4">
      <w:pPr>
        <w:keepNext/>
        <w:keepLines/>
        <w:tabs>
          <w:tab w:val="left" w:pos="765"/>
        </w:tabs>
        <w:spacing w:line="376" w:lineRule="auto"/>
        <w:outlineLvl w:val="3"/>
        <w:rPr>
          <w:rFonts w:asciiTheme="minorEastAsia" w:hAnsiTheme="minorEastAsia" w:eastAsiaTheme="minorEastAsia"/>
          <w:bCs/>
          <w:kern w:val="0"/>
          <w:szCs w:val="21"/>
        </w:rPr>
      </w:pPr>
      <w:r>
        <w:rPr>
          <w:rFonts w:asciiTheme="minorEastAsia" w:hAnsiTheme="minorEastAsia" w:eastAsiaTheme="minorEastAsia"/>
          <w:bCs/>
          <w:kern w:val="0"/>
          <w:szCs w:val="21"/>
        </w:rPr>
        <w:t>1</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“招标文件服务要求”一栏填写招标文件第二章“招标项目需求”</w:t>
      </w:r>
      <w:r>
        <w:rPr>
          <w:rFonts w:asciiTheme="minorEastAsia" w:hAnsiTheme="minorEastAsia" w:eastAsiaTheme="minorEastAsia"/>
          <w:b/>
          <w:bCs/>
          <w:kern w:val="0"/>
          <w:szCs w:val="21"/>
          <w:highlight w:val="yellow"/>
        </w:rPr>
        <w:t>“</w:t>
      </w:r>
      <w:r>
        <w:rPr>
          <w:rFonts w:hint="eastAsia" w:asciiTheme="minorEastAsia" w:hAnsiTheme="minorEastAsia" w:eastAsiaTheme="minorEastAsia"/>
          <w:b/>
          <w:bCs/>
          <w:kern w:val="0"/>
          <w:szCs w:val="21"/>
          <w:highlight w:val="yellow"/>
        </w:rPr>
        <w:t>四、项目</w:t>
      </w:r>
      <w:r>
        <w:rPr>
          <w:rFonts w:asciiTheme="minorEastAsia" w:hAnsiTheme="minorEastAsia" w:eastAsiaTheme="minorEastAsia"/>
          <w:b/>
          <w:bCs/>
          <w:kern w:val="0"/>
          <w:szCs w:val="21"/>
          <w:highlight w:val="yellow"/>
        </w:rPr>
        <w:t>服务</w:t>
      </w:r>
      <w:r>
        <w:rPr>
          <w:rFonts w:hint="eastAsia" w:asciiTheme="minorEastAsia" w:hAnsiTheme="minorEastAsia" w:eastAsiaTheme="minorEastAsia"/>
          <w:b/>
          <w:bCs/>
          <w:kern w:val="0"/>
          <w:szCs w:val="21"/>
          <w:highlight w:val="yellow"/>
        </w:rPr>
        <w:t>要求</w:t>
      </w:r>
      <w:r>
        <w:rPr>
          <w:rFonts w:asciiTheme="minorEastAsia" w:hAnsiTheme="minorEastAsia" w:eastAsiaTheme="minorEastAsia"/>
          <w:b/>
          <w:bCs/>
          <w:kern w:val="0"/>
          <w:szCs w:val="21"/>
          <w:highlight w:val="yellow"/>
        </w:rPr>
        <w:t>”</w:t>
      </w:r>
      <w:r>
        <w:rPr>
          <w:rFonts w:asciiTheme="minorEastAsia" w:hAnsiTheme="minorEastAsia" w:eastAsiaTheme="minorEastAsia"/>
          <w:bCs/>
          <w:kern w:val="0"/>
          <w:szCs w:val="21"/>
        </w:rPr>
        <w:t>的内容。</w:t>
      </w:r>
    </w:p>
    <w:p w14:paraId="36F20D34">
      <w:pPr>
        <w:keepNext/>
        <w:keepLines/>
        <w:tabs>
          <w:tab w:val="left" w:pos="765"/>
        </w:tabs>
        <w:spacing w:line="376" w:lineRule="auto"/>
        <w:outlineLvl w:val="3"/>
        <w:rPr>
          <w:rFonts w:asciiTheme="minorEastAsia" w:hAnsiTheme="minorEastAsia" w:eastAsiaTheme="minorEastAsia"/>
          <w:bCs/>
          <w:kern w:val="0"/>
          <w:szCs w:val="21"/>
        </w:rPr>
      </w:pPr>
      <w:r>
        <w:rPr>
          <w:rFonts w:asciiTheme="minorEastAsia" w:hAnsiTheme="minorEastAsia" w:eastAsiaTheme="minorEastAsia"/>
          <w:bCs/>
          <w:kern w:val="0"/>
          <w:szCs w:val="21"/>
        </w:rPr>
        <w:t>2</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“投标文件服务</w:t>
      </w:r>
      <w:r>
        <w:rPr>
          <w:rFonts w:hint="eastAsia" w:asciiTheme="minorEastAsia" w:hAnsiTheme="minorEastAsia" w:eastAsiaTheme="minorEastAsia"/>
          <w:bCs/>
          <w:kern w:val="0"/>
          <w:szCs w:val="21"/>
        </w:rPr>
        <w:t>响应</w:t>
      </w:r>
      <w:r>
        <w:rPr>
          <w:rFonts w:asciiTheme="minorEastAsia" w:hAnsiTheme="minorEastAsia" w:eastAsiaTheme="minorEastAsia"/>
          <w:bCs/>
          <w:kern w:val="0"/>
          <w:szCs w:val="21"/>
        </w:rPr>
        <w:t>”一栏详细填写响应情况，并应对照</w:t>
      </w:r>
      <w:r>
        <w:rPr>
          <w:rFonts w:hint="eastAsia" w:asciiTheme="minorEastAsia" w:hAnsiTheme="minorEastAsia" w:eastAsiaTheme="minorEastAsia"/>
          <w:bCs/>
          <w:kern w:val="0"/>
          <w:szCs w:val="21"/>
        </w:rPr>
        <w:t>招</w:t>
      </w:r>
      <w:r>
        <w:rPr>
          <w:rFonts w:asciiTheme="minorEastAsia" w:hAnsiTheme="minorEastAsia" w:eastAsiaTheme="minorEastAsia"/>
          <w:bCs/>
          <w:kern w:val="0"/>
          <w:szCs w:val="21"/>
        </w:rPr>
        <w:t>标文件</w:t>
      </w:r>
      <w:r>
        <w:rPr>
          <w:rFonts w:hint="eastAsia" w:asciiTheme="minorEastAsia" w:hAnsiTheme="minorEastAsia" w:eastAsiaTheme="minorEastAsia"/>
          <w:bCs/>
          <w:kern w:val="0"/>
          <w:szCs w:val="21"/>
        </w:rPr>
        <w:t>服务</w:t>
      </w:r>
      <w:r>
        <w:rPr>
          <w:rFonts w:asciiTheme="minorEastAsia" w:hAnsiTheme="minorEastAsia" w:eastAsiaTheme="minorEastAsia"/>
          <w:bCs/>
          <w:kern w:val="0"/>
          <w:szCs w:val="21"/>
        </w:rPr>
        <w:t>要求一一对应响应。</w:t>
      </w:r>
    </w:p>
    <w:p w14:paraId="2201A2A3">
      <w:pPr>
        <w:keepNext/>
        <w:keepLines/>
        <w:tabs>
          <w:tab w:val="left" w:pos="765"/>
        </w:tabs>
        <w:spacing w:line="376" w:lineRule="auto"/>
        <w:outlineLvl w:val="3"/>
        <w:rPr>
          <w:rFonts w:asciiTheme="minorEastAsia" w:hAnsiTheme="minorEastAsia" w:eastAsiaTheme="minorEastAsia"/>
          <w:bCs/>
          <w:kern w:val="0"/>
          <w:szCs w:val="21"/>
        </w:rPr>
      </w:pPr>
      <w:r>
        <w:rPr>
          <w:rFonts w:asciiTheme="minorEastAsia" w:hAnsiTheme="minorEastAsia" w:eastAsiaTheme="minorEastAsia"/>
          <w:bCs/>
          <w:kern w:val="0"/>
          <w:szCs w:val="21"/>
        </w:rPr>
        <w:t>3</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“偏离情况”一栏应如实填写“正偏离”、“负偏离”或“无偏离”。</w:t>
      </w:r>
    </w:p>
    <w:p w14:paraId="67F40780">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4、对于实质性条款，投标文件响应为“负偏离”的，投标文件将作投标无效处理</w:t>
      </w:r>
      <w:r>
        <w:rPr>
          <w:rFonts w:asciiTheme="minorEastAsia" w:hAnsiTheme="minorEastAsia" w:eastAsiaTheme="minorEastAsia"/>
          <w:bCs/>
          <w:kern w:val="0"/>
          <w:szCs w:val="21"/>
        </w:rPr>
        <w:t>。</w:t>
      </w:r>
    </w:p>
    <w:p w14:paraId="17538291">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5、如招标文件要求提供证明材料的，投标文件需提供相应证明材料扫描件（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14:paraId="2F26E5F3">
      <w:pPr>
        <w:spacing w:afterLines="50"/>
        <w:jc w:val="center"/>
        <w:rPr>
          <w:rFonts w:ascii="黑体" w:hAnsi="宋体" w:eastAsia="黑体"/>
          <w:bCs/>
          <w:kern w:val="0"/>
          <w:sz w:val="24"/>
          <w:szCs w:val="24"/>
        </w:rPr>
      </w:pPr>
      <w:r>
        <w:rPr>
          <w:rFonts w:hint="eastAsia" w:ascii="黑体" w:hAnsi="宋体" w:eastAsia="黑体"/>
          <w:bCs/>
          <w:kern w:val="0"/>
          <w:sz w:val="24"/>
          <w:szCs w:val="24"/>
        </w:rPr>
        <w:t>十一、商务要求偏离表</w:t>
      </w:r>
    </w:p>
    <w:tbl>
      <w:tblPr>
        <w:tblStyle w:val="42"/>
        <w:tblW w:w="91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2551"/>
        <w:gridCol w:w="1344"/>
        <w:gridCol w:w="2008"/>
      </w:tblGrid>
      <w:tr w14:paraId="24CC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1" w:type="dxa"/>
            <w:vAlign w:val="center"/>
          </w:tcPr>
          <w:p w14:paraId="25FCE393">
            <w:pPr>
              <w:jc w:val="center"/>
              <w:rPr>
                <w:rFonts w:ascii="宋体" w:hAnsi="宋体"/>
                <w:szCs w:val="21"/>
              </w:rPr>
            </w:pPr>
            <w:r>
              <w:rPr>
                <w:rFonts w:hint="eastAsia" w:ascii="宋体" w:hAnsi="宋体"/>
                <w:szCs w:val="21"/>
              </w:rPr>
              <w:t>序号</w:t>
            </w:r>
          </w:p>
        </w:tc>
        <w:tc>
          <w:tcPr>
            <w:tcW w:w="2410" w:type="dxa"/>
            <w:vAlign w:val="center"/>
          </w:tcPr>
          <w:p w14:paraId="2DD6E539">
            <w:pPr>
              <w:jc w:val="center"/>
              <w:rPr>
                <w:rFonts w:ascii="宋体" w:hAnsi="宋体"/>
                <w:szCs w:val="21"/>
              </w:rPr>
            </w:pPr>
            <w:r>
              <w:rPr>
                <w:rFonts w:hint="eastAsia" w:ascii="宋体" w:hAnsi="宋体"/>
                <w:szCs w:val="21"/>
              </w:rPr>
              <w:t>招标文件商务要求</w:t>
            </w:r>
          </w:p>
        </w:tc>
        <w:tc>
          <w:tcPr>
            <w:tcW w:w="2551" w:type="dxa"/>
            <w:vAlign w:val="center"/>
          </w:tcPr>
          <w:p w14:paraId="7AB24D24">
            <w:pPr>
              <w:jc w:val="center"/>
              <w:rPr>
                <w:rFonts w:ascii="宋体" w:hAnsi="宋体"/>
                <w:szCs w:val="21"/>
              </w:rPr>
            </w:pPr>
            <w:r>
              <w:rPr>
                <w:rFonts w:hint="eastAsia" w:ascii="宋体" w:hAnsi="宋体"/>
                <w:szCs w:val="21"/>
              </w:rPr>
              <w:t>投标文件商务响应</w:t>
            </w:r>
          </w:p>
        </w:tc>
        <w:tc>
          <w:tcPr>
            <w:tcW w:w="1344" w:type="dxa"/>
            <w:vAlign w:val="center"/>
          </w:tcPr>
          <w:p w14:paraId="46B4513A">
            <w:pPr>
              <w:jc w:val="center"/>
              <w:rPr>
                <w:rFonts w:ascii="宋体" w:hAnsi="宋体"/>
                <w:szCs w:val="21"/>
              </w:rPr>
            </w:pPr>
            <w:r>
              <w:rPr>
                <w:rFonts w:hint="eastAsia" w:ascii="宋体" w:hAnsi="宋体"/>
                <w:szCs w:val="21"/>
              </w:rPr>
              <w:t>偏离情况</w:t>
            </w:r>
          </w:p>
        </w:tc>
        <w:tc>
          <w:tcPr>
            <w:tcW w:w="2008" w:type="dxa"/>
            <w:vAlign w:val="center"/>
          </w:tcPr>
          <w:p w14:paraId="0FEA0059">
            <w:pPr>
              <w:jc w:val="center"/>
              <w:rPr>
                <w:rFonts w:ascii="宋体" w:hAnsi="宋体"/>
                <w:szCs w:val="21"/>
              </w:rPr>
            </w:pPr>
            <w:r>
              <w:rPr>
                <w:rFonts w:hint="eastAsia" w:ascii="宋体" w:hAnsi="宋体"/>
                <w:szCs w:val="21"/>
              </w:rPr>
              <w:t>说明</w:t>
            </w:r>
          </w:p>
        </w:tc>
      </w:tr>
      <w:tr w14:paraId="7255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51" w:type="dxa"/>
          </w:tcPr>
          <w:p w14:paraId="46D980BC">
            <w:pPr>
              <w:rPr>
                <w:sz w:val="24"/>
              </w:rPr>
            </w:pPr>
          </w:p>
        </w:tc>
        <w:tc>
          <w:tcPr>
            <w:tcW w:w="2410" w:type="dxa"/>
          </w:tcPr>
          <w:p w14:paraId="5DB95673">
            <w:pPr>
              <w:rPr>
                <w:sz w:val="24"/>
              </w:rPr>
            </w:pPr>
          </w:p>
        </w:tc>
        <w:tc>
          <w:tcPr>
            <w:tcW w:w="2551" w:type="dxa"/>
          </w:tcPr>
          <w:p w14:paraId="120BEE96">
            <w:pPr>
              <w:rPr>
                <w:sz w:val="24"/>
              </w:rPr>
            </w:pPr>
          </w:p>
        </w:tc>
        <w:tc>
          <w:tcPr>
            <w:tcW w:w="1344" w:type="dxa"/>
          </w:tcPr>
          <w:p w14:paraId="1586A0B4">
            <w:pPr>
              <w:rPr>
                <w:sz w:val="24"/>
              </w:rPr>
            </w:pPr>
          </w:p>
        </w:tc>
        <w:tc>
          <w:tcPr>
            <w:tcW w:w="2008" w:type="dxa"/>
          </w:tcPr>
          <w:p w14:paraId="420EBDB2">
            <w:pPr>
              <w:rPr>
                <w:sz w:val="24"/>
              </w:rPr>
            </w:pPr>
            <w:r>
              <w:rPr>
                <w:rFonts w:hint="eastAsia"/>
                <w:szCs w:val="21"/>
              </w:rPr>
              <w:t>如需附证明文件，应在“说明”栏填写证明文件对应名称和页码。</w:t>
            </w:r>
          </w:p>
        </w:tc>
      </w:tr>
      <w:tr w14:paraId="71B7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51" w:type="dxa"/>
          </w:tcPr>
          <w:p w14:paraId="7489E465">
            <w:pPr>
              <w:rPr>
                <w:sz w:val="24"/>
              </w:rPr>
            </w:pPr>
          </w:p>
        </w:tc>
        <w:tc>
          <w:tcPr>
            <w:tcW w:w="2410" w:type="dxa"/>
          </w:tcPr>
          <w:p w14:paraId="280149A8">
            <w:pPr>
              <w:rPr>
                <w:sz w:val="24"/>
              </w:rPr>
            </w:pPr>
          </w:p>
        </w:tc>
        <w:tc>
          <w:tcPr>
            <w:tcW w:w="2551" w:type="dxa"/>
          </w:tcPr>
          <w:p w14:paraId="61A24960">
            <w:pPr>
              <w:rPr>
                <w:sz w:val="24"/>
              </w:rPr>
            </w:pPr>
          </w:p>
        </w:tc>
        <w:tc>
          <w:tcPr>
            <w:tcW w:w="1344" w:type="dxa"/>
          </w:tcPr>
          <w:p w14:paraId="4EDA9717">
            <w:pPr>
              <w:rPr>
                <w:sz w:val="24"/>
              </w:rPr>
            </w:pPr>
          </w:p>
        </w:tc>
        <w:tc>
          <w:tcPr>
            <w:tcW w:w="2008" w:type="dxa"/>
          </w:tcPr>
          <w:p w14:paraId="453448DC">
            <w:pPr>
              <w:rPr>
                <w:sz w:val="24"/>
              </w:rPr>
            </w:pPr>
          </w:p>
        </w:tc>
      </w:tr>
    </w:tbl>
    <w:p w14:paraId="5872BF40">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备注：</w:t>
      </w:r>
    </w:p>
    <w:p w14:paraId="7DD5280E">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1、“招标文件商务服务要求”一栏填写招标文件第二章“招标项目需求”</w:t>
      </w:r>
      <w:r>
        <w:rPr>
          <w:rFonts w:hint="eastAsia" w:asciiTheme="minorEastAsia" w:hAnsiTheme="minorEastAsia" w:eastAsiaTheme="minorEastAsia"/>
          <w:b/>
          <w:bCs/>
          <w:kern w:val="0"/>
          <w:szCs w:val="21"/>
          <w:highlight w:val="yellow"/>
        </w:rPr>
        <w:t>“五、项目商务要求”</w:t>
      </w:r>
      <w:r>
        <w:rPr>
          <w:rFonts w:hint="eastAsia" w:asciiTheme="minorEastAsia" w:hAnsiTheme="minorEastAsia" w:eastAsiaTheme="minorEastAsia"/>
          <w:bCs/>
          <w:kern w:val="0"/>
          <w:szCs w:val="21"/>
        </w:rPr>
        <w:t>的内容</w:t>
      </w:r>
      <w:r>
        <w:rPr>
          <w:rFonts w:asciiTheme="minorEastAsia" w:hAnsiTheme="minorEastAsia" w:eastAsiaTheme="minorEastAsia"/>
          <w:bCs/>
          <w:kern w:val="0"/>
          <w:szCs w:val="21"/>
        </w:rPr>
        <w:t>。</w:t>
      </w:r>
    </w:p>
    <w:p w14:paraId="42F23856">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2、“投标文件商务响应”一栏详细填写投标商务条款的内容</w:t>
      </w:r>
      <w:r>
        <w:rPr>
          <w:rFonts w:asciiTheme="minorEastAsia" w:hAnsiTheme="minorEastAsia" w:eastAsiaTheme="minorEastAsia"/>
          <w:bCs/>
          <w:kern w:val="0"/>
          <w:szCs w:val="21"/>
        </w:rPr>
        <w:t>。</w:t>
      </w:r>
    </w:p>
    <w:p w14:paraId="5BB7D9FC">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3、“偏离情况”栏中应如实填写“正偏离”、“负偏离”或“无偏离”</w:t>
      </w:r>
      <w:r>
        <w:rPr>
          <w:rFonts w:asciiTheme="minorEastAsia" w:hAnsiTheme="minorEastAsia" w:eastAsiaTheme="minorEastAsia"/>
          <w:bCs/>
          <w:kern w:val="0"/>
          <w:szCs w:val="21"/>
        </w:rPr>
        <w:t>。</w:t>
      </w:r>
    </w:p>
    <w:p w14:paraId="1748F5FD">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4、对于实质性条款，投标文件响应为“负偏离”的，投标文件将作投标无效处理</w:t>
      </w:r>
      <w:r>
        <w:rPr>
          <w:rFonts w:asciiTheme="minorEastAsia" w:hAnsiTheme="minorEastAsia" w:eastAsiaTheme="minorEastAsia"/>
          <w:bCs/>
          <w:kern w:val="0"/>
          <w:szCs w:val="21"/>
        </w:rPr>
        <w:t>。</w:t>
      </w:r>
    </w:p>
    <w:p w14:paraId="030F673E">
      <w:pPr>
        <w:keepNext/>
        <w:keepLines/>
        <w:tabs>
          <w:tab w:val="left" w:pos="765"/>
        </w:tabs>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5、如招标文件要求提供证明材料的，投标文件需提供相应证明材料扫描件（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14:paraId="3B4DCA63">
      <w:pPr>
        <w:spacing w:afterLines="50"/>
        <w:jc w:val="center"/>
        <w:rPr>
          <w:rFonts w:ascii="黑体" w:hAnsi="宋体" w:eastAsia="黑体"/>
          <w:bCs/>
          <w:kern w:val="0"/>
          <w:sz w:val="24"/>
          <w:szCs w:val="24"/>
        </w:rPr>
      </w:pPr>
      <w:r>
        <w:rPr>
          <w:rFonts w:hint="eastAsia" w:ascii="黑体" w:hAnsi="宋体" w:eastAsia="黑体"/>
          <w:bCs/>
          <w:kern w:val="0"/>
          <w:sz w:val="24"/>
          <w:szCs w:val="24"/>
        </w:rPr>
        <w:t>十二、整体实施方案（格式自定）</w:t>
      </w:r>
    </w:p>
    <w:p w14:paraId="73884BE2">
      <w:pPr>
        <w:spacing w:afterLines="50"/>
        <w:jc w:val="center"/>
        <w:rPr>
          <w:rFonts w:hint="eastAsia" w:ascii="黑体" w:hAnsi="宋体" w:eastAsia="黑体"/>
          <w:bCs/>
          <w:kern w:val="0"/>
          <w:sz w:val="24"/>
          <w:szCs w:val="24"/>
          <w:lang w:eastAsia="zh-CN"/>
        </w:rPr>
      </w:pPr>
      <w:r>
        <w:rPr>
          <w:rFonts w:hint="eastAsia" w:ascii="黑体" w:hAnsi="宋体" w:eastAsia="黑体"/>
          <w:bCs/>
          <w:kern w:val="0"/>
          <w:sz w:val="24"/>
          <w:szCs w:val="24"/>
          <w:lang w:val="en-US" w:eastAsia="zh-CN"/>
        </w:rPr>
        <w:t>十三、</w:t>
      </w:r>
      <w:r>
        <w:rPr>
          <w:rFonts w:hint="eastAsia" w:ascii="黑体" w:hAnsi="宋体" w:eastAsia="黑体"/>
          <w:bCs/>
          <w:kern w:val="0"/>
          <w:sz w:val="24"/>
          <w:szCs w:val="24"/>
        </w:rPr>
        <w:t>项目重点难点分析、应对措施及相关的合理化建议</w:t>
      </w:r>
      <w:r>
        <w:rPr>
          <w:rFonts w:hint="eastAsia" w:ascii="黑体" w:hAnsi="宋体" w:eastAsia="黑体"/>
          <w:bCs/>
          <w:kern w:val="0"/>
          <w:sz w:val="24"/>
          <w:szCs w:val="24"/>
          <w:lang w:eastAsia="zh-CN"/>
        </w:rPr>
        <w:t>（</w:t>
      </w:r>
      <w:r>
        <w:rPr>
          <w:rFonts w:hint="eastAsia" w:ascii="黑体" w:hAnsi="宋体" w:eastAsia="黑体"/>
          <w:bCs/>
          <w:kern w:val="0"/>
          <w:sz w:val="24"/>
          <w:szCs w:val="24"/>
          <w:lang w:val="en-US" w:eastAsia="zh-CN"/>
        </w:rPr>
        <w:t>格式自定</w:t>
      </w:r>
      <w:r>
        <w:rPr>
          <w:rFonts w:hint="eastAsia" w:ascii="黑体" w:hAnsi="宋体" w:eastAsia="黑体"/>
          <w:bCs/>
          <w:kern w:val="0"/>
          <w:sz w:val="24"/>
          <w:szCs w:val="24"/>
          <w:lang w:eastAsia="zh-CN"/>
        </w:rPr>
        <w:t>）</w:t>
      </w:r>
    </w:p>
    <w:p w14:paraId="1E445695">
      <w:pPr>
        <w:spacing w:afterLines="50"/>
        <w:jc w:val="center"/>
        <w:rPr>
          <w:rFonts w:hint="eastAsia" w:ascii="黑体" w:hAnsi="宋体" w:eastAsia="黑体"/>
          <w:bCs/>
          <w:kern w:val="0"/>
          <w:sz w:val="24"/>
          <w:szCs w:val="24"/>
        </w:rPr>
      </w:pPr>
      <w:r>
        <w:rPr>
          <w:rFonts w:hint="eastAsia" w:ascii="黑体" w:hAnsi="宋体" w:eastAsia="黑体"/>
          <w:bCs/>
          <w:kern w:val="0"/>
          <w:sz w:val="24"/>
          <w:szCs w:val="24"/>
          <w:lang w:val="en-US" w:eastAsia="zh-CN"/>
        </w:rPr>
        <w:t>十四、</w:t>
      </w:r>
      <w:r>
        <w:rPr>
          <w:rFonts w:hint="eastAsia" w:ascii="黑体" w:hAnsi="宋体" w:eastAsia="黑体"/>
          <w:bCs/>
          <w:kern w:val="0"/>
          <w:sz w:val="24"/>
          <w:szCs w:val="24"/>
        </w:rPr>
        <w:t>技术条款响应情况（测评工具）</w:t>
      </w:r>
    </w:p>
    <w:p w14:paraId="35DDEEBE">
      <w:pPr>
        <w:spacing w:afterLines="50"/>
        <w:jc w:val="center"/>
        <w:rPr>
          <w:rFonts w:hint="eastAsia" w:ascii="黑体" w:hAnsi="宋体" w:eastAsia="黑体"/>
          <w:bCs/>
          <w:kern w:val="0"/>
          <w:sz w:val="24"/>
          <w:szCs w:val="24"/>
        </w:rPr>
      </w:pPr>
      <w:r>
        <w:rPr>
          <w:rFonts w:hint="eastAsia" w:ascii="黑体" w:hAnsi="宋体" w:eastAsia="黑体"/>
          <w:bCs/>
          <w:kern w:val="0"/>
          <w:sz w:val="24"/>
          <w:szCs w:val="24"/>
          <w:lang w:val="en-US" w:eastAsia="zh-CN"/>
        </w:rPr>
        <w:t>十五、</w:t>
      </w:r>
      <w:r>
        <w:rPr>
          <w:rFonts w:hint="eastAsia" w:ascii="黑体" w:hAnsi="宋体" w:eastAsia="黑体"/>
          <w:bCs/>
          <w:kern w:val="0"/>
          <w:sz w:val="24"/>
          <w:szCs w:val="24"/>
        </w:rPr>
        <w:t>拟安排项目负责人情况（仅限1人）</w:t>
      </w:r>
    </w:p>
    <w:p w14:paraId="6E5FED39">
      <w:pPr>
        <w:spacing w:afterLines="50"/>
        <w:jc w:val="center"/>
        <w:rPr>
          <w:rFonts w:hint="eastAsia" w:ascii="黑体" w:hAnsi="宋体" w:eastAsia="黑体"/>
          <w:bCs/>
          <w:kern w:val="0"/>
          <w:sz w:val="24"/>
          <w:szCs w:val="24"/>
        </w:rPr>
      </w:pPr>
      <w:r>
        <w:rPr>
          <w:rFonts w:hint="eastAsia" w:ascii="黑体" w:hAnsi="宋体" w:eastAsia="黑体"/>
          <w:bCs/>
          <w:kern w:val="0"/>
          <w:sz w:val="24"/>
          <w:szCs w:val="24"/>
          <w:lang w:val="en-US" w:eastAsia="zh-CN"/>
        </w:rPr>
        <w:t>十六、</w:t>
      </w:r>
      <w:r>
        <w:rPr>
          <w:rFonts w:hint="eastAsia" w:ascii="黑体" w:hAnsi="宋体" w:eastAsia="黑体"/>
          <w:bCs/>
          <w:kern w:val="0"/>
          <w:sz w:val="24"/>
          <w:szCs w:val="24"/>
        </w:rPr>
        <w:t>拟安排的项目团队成员（项目负责人除外）情况</w:t>
      </w:r>
    </w:p>
    <w:p w14:paraId="7F3EB11F">
      <w:pPr>
        <w:spacing w:afterLines="50"/>
        <w:jc w:val="center"/>
        <w:rPr>
          <w:rFonts w:hint="eastAsia" w:ascii="黑体" w:hAnsi="宋体" w:eastAsia="黑体"/>
          <w:bCs/>
          <w:kern w:val="0"/>
          <w:sz w:val="24"/>
          <w:szCs w:val="24"/>
          <w:lang w:val="en-US" w:eastAsia="zh-CN"/>
        </w:rPr>
      </w:pPr>
      <w:r>
        <w:rPr>
          <w:rFonts w:hint="eastAsia" w:ascii="黑体" w:hAnsi="宋体" w:eastAsia="黑体"/>
          <w:bCs/>
          <w:kern w:val="0"/>
          <w:sz w:val="24"/>
          <w:szCs w:val="24"/>
          <w:lang w:val="en-US" w:eastAsia="zh-CN"/>
        </w:rPr>
        <w:t>十七、</w:t>
      </w:r>
      <w:r>
        <w:rPr>
          <w:rFonts w:hint="eastAsia" w:ascii="黑体" w:hAnsi="宋体" w:eastAsia="黑体"/>
          <w:bCs/>
          <w:kern w:val="0"/>
          <w:sz w:val="24"/>
          <w:szCs w:val="24"/>
        </w:rPr>
        <w:t>违约承诺</w:t>
      </w:r>
      <w:r>
        <w:rPr>
          <w:rFonts w:hint="eastAsia" w:ascii="黑体" w:hAnsi="宋体" w:eastAsia="黑体"/>
          <w:bCs/>
          <w:kern w:val="0"/>
          <w:sz w:val="24"/>
          <w:szCs w:val="24"/>
          <w:lang w:eastAsia="zh-CN"/>
        </w:rPr>
        <w:t>（</w:t>
      </w:r>
      <w:r>
        <w:rPr>
          <w:rFonts w:hint="eastAsia" w:ascii="黑体" w:hAnsi="宋体" w:eastAsia="黑体"/>
          <w:bCs/>
          <w:kern w:val="0"/>
          <w:sz w:val="24"/>
          <w:szCs w:val="24"/>
          <w:lang w:val="en-US" w:eastAsia="zh-CN"/>
        </w:rPr>
        <w:t>格式自定</w:t>
      </w:r>
      <w:r>
        <w:rPr>
          <w:rFonts w:hint="eastAsia" w:ascii="黑体" w:hAnsi="宋体" w:eastAsia="黑体"/>
          <w:bCs/>
          <w:kern w:val="0"/>
          <w:sz w:val="24"/>
          <w:szCs w:val="24"/>
          <w:lang w:eastAsia="zh-CN"/>
        </w:rPr>
        <w:t>）</w:t>
      </w:r>
    </w:p>
    <w:p w14:paraId="03C6800D">
      <w:pPr>
        <w:spacing w:afterLines="50"/>
        <w:jc w:val="center"/>
        <w:rPr>
          <w:rFonts w:hint="eastAsia" w:ascii="黑体" w:hAnsi="宋体" w:eastAsia="黑体"/>
          <w:bCs/>
          <w:kern w:val="0"/>
          <w:sz w:val="24"/>
          <w:szCs w:val="24"/>
        </w:rPr>
      </w:pPr>
      <w:r>
        <w:rPr>
          <w:rFonts w:hint="eastAsia" w:ascii="黑体" w:hAnsi="宋体" w:eastAsia="黑体"/>
          <w:bCs/>
          <w:kern w:val="0"/>
          <w:sz w:val="24"/>
          <w:szCs w:val="24"/>
          <w:lang w:val="en-US" w:eastAsia="zh-CN"/>
        </w:rPr>
        <w:t>十八、</w:t>
      </w:r>
      <w:r>
        <w:rPr>
          <w:rFonts w:hint="eastAsia" w:ascii="黑体" w:hAnsi="宋体" w:eastAsia="黑体"/>
          <w:bCs/>
          <w:kern w:val="0"/>
          <w:sz w:val="24"/>
          <w:szCs w:val="24"/>
        </w:rPr>
        <w:t>供应商相关资质情况</w:t>
      </w:r>
    </w:p>
    <w:p w14:paraId="4EBF6E26">
      <w:pPr>
        <w:spacing w:afterLines="50"/>
        <w:jc w:val="center"/>
        <w:rPr>
          <w:rFonts w:hint="eastAsia" w:ascii="黑体" w:hAnsi="宋体" w:eastAsia="黑体"/>
          <w:bCs/>
          <w:kern w:val="0"/>
          <w:sz w:val="24"/>
          <w:szCs w:val="24"/>
        </w:rPr>
      </w:pPr>
      <w:r>
        <w:rPr>
          <w:rFonts w:hint="eastAsia" w:ascii="黑体" w:hAnsi="宋体" w:eastAsia="黑体"/>
          <w:bCs/>
          <w:kern w:val="0"/>
          <w:sz w:val="24"/>
          <w:szCs w:val="24"/>
          <w:lang w:val="en-US" w:eastAsia="zh-CN"/>
        </w:rPr>
        <w:t>十九、</w:t>
      </w:r>
      <w:r>
        <w:rPr>
          <w:rFonts w:hint="eastAsia" w:ascii="黑体" w:hAnsi="宋体" w:eastAsia="黑体"/>
          <w:bCs/>
          <w:kern w:val="0"/>
          <w:sz w:val="24"/>
          <w:szCs w:val="24"/>
        </w:rPr>
        <w:t>同类项目业绩</w:t>
      </w:r>
    </w:p>
    <w:p w14:paraId="3149FBD6">
      <w:pPr>
        <w:spacing w:afterLines="50"/>
        <w:jc w:val="center"/>
        <w:rPr>
          <w:rFonts w:hint="eastAsia" w:ascii="黑体" w:hAnsi="宋体" w:eastAsia="黑体"/>
          <w:bCs/>
          <w:kern w:val="0"/>
          <w:sz w:val="24"/>
          <w:szCs w:val="24"/>
        </w:rPr>
      </w:pPr>
      <w:r>
        <w:rPr>
          <w:rFonts w:hint="eastAsia" w:ascii="黑体" w:hAnsi="宋体" w:eastAsia="黑体"/>
          <w:bCs/>
          <w:kern w:val="0"/>
          <w:sz w:val="24"/>
          <w:szCs w:val="24"/>
          <w:lang w:val="en-US" w:eastAsia="zh-CN"/>
        </w:rPr>
        <w:t>二十、</w:t>
      </w:r>
      <w:r>
        <w:rPr>
          <w:rFonts w:hint="eastAsia" w:ascii="黑体" w:hAnsi="宋体" w:eastAsia="黑体"/>
          <w:bCs/>
          <w:kern w:val="0"/>
          <w:sz w:val="24"/>
          <w:szCs w:val="24"/>
        </w:rPr>
        <w:t>漏洞挖掘能力</w:t>
      </w:r>
    </w:p>
    <w:p w14:paraId="5BE8A085">
      <w:pPr>
        <w:jc w:val="center"/>
        <w:rPr>
          <w:rFonts w:ascii="宋体" w:hAnsi="宋体"/>
          <w:b/>
          <w:bCs/>
          <w:kern w:val="0"/>
          <w:sz w:val="24"/>
          <w:szCs w:val="20"/>
        </w:rPr>
      </w:pPr>
      <w:r>
        <w:rPr>
          <w:rFonts w:hint="eastAsia" w:ascii="黑体" w:hAnsi="宋体" w:eastAsia="黑体"/>
          <w:bCs/>
          <w:kern w:val="0"/>
          <w:sz w:val="24"/>
          <w:szCs w:val="24"/>
          <w:lang w:val="en-US" w:eastAsia="zh-CN"/>
        </w:rPr>
        <w:t>二十一、</w:t>
      </w:r>
      <w:r>
        <w:rPr>
          <w:rFonts w:hint="eastAsia" w:ascii="黑体" w:hAnsi="宋体" w:eastAsia="黑体"/>
          <w:bCs/>
          <w:kern w:val="0"/>
          <w:sz w:val="24"/>
          <w:szCs w:val="24"/>
        </w:rPr>
        <w:t>招标文件要求的其它内容或投标人认为需要补充的资料（格式自定）</w:t>
      </w:r>
      <w:r>
        <w:rPr>
          <w:rFonts w:ascii="宋体" w:hAnsi="宋体"/>
          <w:b/>
          <w:bCs/>
          <w:kern w:val="0"/>
          <w:sz w:val="24"/>
          <w:szCs w:val="20"/>
        </w:rPr>
        <w:br w:type="page"/>
      </w:r>
    </w:p>
    <w:p w14:paraId="34007A6E">
      <w:pPr>
        <w:jc w:val="center"/>
        <w:rPr>
          <w:rFonts w:ascii="宋体" w:hAnsi="宋体"/>
          <w:b/>
          <w:bCs/>
          <w:kern w:val="0"/>
          <w:sz w:val="24"/>
          <w:szCs w:val="20"/>
        </w:rPr>
      </w:pPr>
      <w:r>
        <w:rPr>
          <w:rFonts w:hint="eastAsia" w:ascii="宋体" w:hAnsi="宋体"/>
          <w:b/>
          <w:bCs/>
          <w:kern w:val="0"/>
          <w:sz w:val="24"/>
          <w:szCs w:val="20"/>
        </w:rPr>
        <w:t>第四章  合同条款及格式</w:t>
      </w:r>
    </w:p>
    <w:p w14:paraId="08A9F7C7">
      <w:pPr>
        <w:ind w:firstLine="411" w:firstLineChars="196"/>
        <w:rPr>
          <w:rFonts w:ascii="Times New Roman" w:hAnsi="Times New Roman"/>
          <w:szCs w:val="24"/>
        </w:rPr>
      </w:pPr>
    </w:p>
    <w:p w14:paraId="1C97DFE1">
      <w:pPr>
        <w:ind w:firstLine="470" w:firstLineChars="196"/>
        <w:jc w:val="center"/>
        <w:rPr>
          <w:rFonts w:ascii="Times New Roman" w:hAnsi="Times New Roman"/>
          <w:sz w:val="24"/>
          <w:szCs w:val="24"/>
        </w:rPr>
      </w:pPr>
      <w:bookmarkStart w:id="11" w:name="_Toc73521592"/>
      <w:bookmarkStart w:id="12" w:name="_Toc73517685"/>
      <w:bookmarkStart w:id="13" w:name="_Toc84303603"/>
      <w:bookmarkStart w:id="14" w:name="_Toc100052414"/>
      <w:bookmarkStart w:id="15" w:name="_Toc73518163"/>
      <w:bookmarkStart w:id="16" w:name="_Toc73521680"/>
      <w:bookmarkStart w:id="17" w:name="_Toc101074886"/>
    </w:p>
    <w:p w14:paraId="781ADF26">
      <w:pPr>
        <w:ind w:firstLine="470" w:firstLineChars="196"/>
        <w:jc w:val="center"/>
        <w:rPr>
          <w:rFonts w:ascii="Times New Roman" w:hAnsi="Times New Roman"/>
          <w:sz w:val="24"/>
          <w:szCs w:val="24"/>
        </w:rPr>
      </w:pPr>
    </w:p>
    <w:bookmarkEnd w:id="11"/>
    <w:bookmarkEnd w:id="12"/>
    <w:bookmarkEnd w:id="13"/>
    <w:bookmarkEnd w:id="14"/>
    <w:bookmarkEnd w:id="15"/>
    <w:bookmarkEnd w:id="16"/>
    <w:bookmarkEnd w:id="17"/>
    <w:p w14:paraId="1C6F9796">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2488ACBD">
      <w:pPr>
        <w:pStyle w:val="22"/>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0F67A63E">
      <w:pPr>
        <w:adjustRightInd w:val="0"/>
        <w:snapToGrid w:val="0"/>
        <w:spacing w:line="360" w:lineRule="auto"/>
        <w:ind w:firstLine="422" w:firstLineChars="200"/>
        <w:rPr>
          <w:rFonts w:ascii="宋体" w:hAnsi="宋体"/>
          <w:b/>
          <w:bCs/>
          <w:szCs w:val="21"/>
        </w:rPr>
      </w:pPr>
    </w:p>
    <w:p w14:paraId="2744CDA1">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12A442FD">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1A626442">
      <w:pPr>
        <w:adjustRightInd w:val="0"/>
        <w:snapToGrid w:val="0"/>
        <w:spacing w:line="360" w:lineRule="auto"/>
        <w:rPr>
          <w:rFonts w:ascii="宋体" w:hAnsi="宋体"/>
          <w:szCs w:val="21"/>
        </w:rPr>
      </w:pPr>
    </w:p>
    <w:p w14:paraId="3410F313">
      <w:pPr>
        <w:snapToGrid w:val="0"/>
        <w:spacing w:line="360" w:lineRule="auto"/>
        <w:ind w:firstLine="420" w:firstLineChars="200"/>
        <w:rPr>
          <w:rFonts w:ascii="宋体" w:hAnsi="宋体"/>
          <w:szCs w:val="21"/>
        </w:rPr>
      </w:pPr>
      <w:r>
        <w:rPr>
          <w:rFonts w:hint="eastAsia" w:ascii="宋体" w:hAnsi="宋体"/>
          <w:szCs w:val="21"/>
        </w:rPr>
        <w:t>根据招标项目（项目编号__________________）的中标结果，由_______________________单位为中标人。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76EE191C">
      <w:pPr>
        <w:pStyle w:val="22"/>
        <w:snapToGrid w:val="0"/>
        <w:spacing w:line="360" w:lineRule="auto"/>
        <w:ind w:firstLine="422" w:firstLineChars="200"/>
        <w:rPr>
          <w:rFonts w:hAnsi="宋体"/>
          <w:b/>
          <w:sz w:val="21"/>
          <w:szCs w:val="21"/>
        </w:rPr>
      </w:pPr>
      <w:r>
        <w:rPr>
          <w:rFonts w:hint="eastAsia" w:hAnsi="宋体"/>
          <w:b/>
          <w:sz w:val="21"/>
          <w:szCs w:val="21"/>
        </w:rPr>
        <w:t>一、服务内容</w:t>
      </w:r>
    </w:p>
    <w:p w14:paraId="41CA4759">
      <w:pPr>
        <w:spacing w:line="360" w:lineRule="auto"/>
        <w:ind w:firstLine="422" w:firstLineChars="201"/>
        <w:rPr>
          <w:rFonts w:ascii="宋体" w:hAnsi="宋体"/>
          <w:szCs w:val="21"/>
        </w:rPr>
      </w:pPr>
      <w:r>
        <w:rPr>
          <w:rFonts w:hint="eastAsia" w:ascii="宋体" w:hAnsi="宋体"/>
          <w:szCs w:val="21"/>
        </w:rPr>
        <w:t>______________________</w:t>
      </w:r>
    </w:p>
    <w:p w14:paraId="754B43D4">
      <w:pPr>
        <w:pStyle w:val="22"/>
        <w:snapToGrid w:val="0"/>
        <w:spacing w:line="360" w:lineRule="auto"/>
        <w:ind w:firstLine="422" w:firstLineChars="200"/>
        <w:rPr>
          <w:rFonts w:hAnsi="宋体"/>
          <w:b/>
          <w:sz w:val="21"/>
          <w:szCs w:val="21"/>
        </w:rPr>
      </w:pPr>
      <w:r>
        <w:rPr>
          <w:rFonts w:hint="eastAsia" w:hAnsi="宋体"/>
          <w:b/>
          <w:sz w:val="21"/>
          <w:szCs w:val="21"/>
        </w:rPr>
        <w:t>二、合同金额</w:t>
      </w:r>
    </w:p>
    <w:p w14:paraId="3B9986A2">
      <w:pPr>
        <w:pStyle w:val="22"/>
        <w:snapToGrid w:val="0"/>
        <w:spacing w:line="360" w:lineRule="auto"/>
        <w:ind w:firstLine="420" w:firstLineChars="200"/>
        <w:rPr>
          <w:rFonts w:hAnsi="宋体"/>
          <w:sz w:val="21"/>
          <w:szCs w:val="21"/>
        </w:rPr>
      </w:pPr>
      <w:r>
        <w:rPr>
          <w:rFonts w:hint="eastAsia" w:hAnsi="宋体"/>
          <w:sz w:val="21"/>
          <w:szCs w:val="21"/>
        </w:rPr>
        <w:t>本合同金额为（大写）：____________________________________元（￥_______________元）人民币。</w:t>
      </w:r>
    </w:p>
    <w:p w14:paraId="77D6D003">
      <w:pPr>
        <w:pStyle w:val="22"/>
        <w:snapToGrid w:val="0"/>
        <w:spacing w:line="360" w:lineRule="auto"/>
        <w:ind w:firstLine="422" w:firstLineChars="200"/>
        <w:rPr>
          <w:rFonts w:hAnsi="宋体"/>
          <w:b/>
          <w:sz w:val="21"/>
          <w:szCs w:val="21"/>
        </w:rPr>
      </w:pPr>
      <w:r>
        <w:rPr>
          <w:rFonts w:hint="eastAsia" w:hAnsi="宋体"/>
          <w:b/>
          <w:sz w:val="21"/>
          <w:szCs w:val="21"/>
        </w:rPr>
        <w:t>三、技术资料</w:t>
      </w:r>
    </w:p>
    <w:p w14:paraId="7ADB1BD5">
      <w:pPr>
        <w:pStyle w:val="22"/>
        <w:snapToGrid w:val="0"/>
        <w:spacing w:line="360" w:lineRule="auto"/>
        <w:ind w:firstLine="420" w:firstLineChars="200"/>
        <w:rPr>
          <w:rFonts w:hAnsi="宋体"/>
          <w:sz w:val="21"/>
          <w:szCs w:val="21"/>
        </w:rPr>
      </w:pPr>
      <w:r>
        <w:rPr>
          <w:rFonts w:hint="eastAsia" w:hAnsi="宋体"/>
          <w:sz w:val="21"/>
          <w:szCs w:val="21"/>
        </w:rPr>
        <w:t>1、中标人应按招标文件规定的时间向采购人提供有关技术资料。</w:t>
      </w:r>
    </w:p>
    <w:p w14:paraId="524442A2">
      <w:pPr>
        <w:pStyle w:val="22"/>
        <w:snapToGrid w:val="0"/>
        <w:spacing w:line="360" w:lineRule="auto"/>
        <w:ind w:firstLine="420" w:firstLineChars="200"/>
        <w:rPr>
          <w:rFonts w:hAnsi="宋体"/>
          <w:sz w:val="21"/>
          <w:szCs w:val="21"/>
        </w:rPr>
      </w:pPr>
      <w:r>
        <w:rPr>
          <w:rFonts w:hint="eastAsia" w:hAnsi="宋体"/>
          <w:sz w:val="21"/>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0B084AD3">
      <w:pPr>
        <w:pStyle w:val="22"/>
        <w:snapToGrid w:val="0"/>
        <w:spacing w:line="360" w:lineRule="auto"/>
        <w:ind w:firstLine="420" w:firstLineChars="200"/>
        <w:rPr>
          <w:rFonts w:hAnsi="宋体"/>
          <w:sz w:val="21"/>
          <w:szCs w:val="21"/>
        </w:rPr>
      </w:pPr>
      <w:r>
        <w:rPr>
          <w:rFonts w:hint="eastAsia" w:hAnsi="宋体"/>
          <w:sz w:val="21"/>
          <w:szCs w:val="21"/>
        </w:rPr>
        <w:t>3、合同履行完毕，未经采购人的书面同意，中标人不得保存在履行合同过程中所获得或接触到的任何内部数据资料。</w:t>
      </w:r>
    </w:p>
    <w:p w14:paraId="541CFA91">
      <w:pPr>
        <w:pStyle w:val="22"/>
        <w:snapToGrid w:val="0"/>
        <w:spacing w:line="360" w:lineRule="auto"/>
        <w:ind w:firstLine="422" w:firstLineChars="200"/>
        <w:rPr>
          <w:rFonts w:hAnsi="宋体"/>
          <w:b/>
          <w:sz w:val="21"/>
          <w:szCs w:val="21"/>
        </w:rPr>
      </w:pPr>
      <w:r>
        <w:rPr>
          <w:rFonts w:hint="eastAsia" w:hAnsi="宋体"/>
          <w:b/>
          <w:sz w:val="21"/>
          <w:szCs w:val="21"/>
        </w:rPr>
        <w:t>四、知识产权</w:t>
      </w:r>
    </w:p>
    <w:p w14:paraId="1A9D8717">
      <w:pPr>
        <w:pStyle w:val="22"/>
        <w:snapToGrid w:val="0"/>
        <w:spacing w:line="360" w:lineRule="auto"/>
        <w:ind w:firstLine="420" w:firstLineChars="200"/>
        <w:rPr>
          <w:rFonts w:hAnsi="宋体"/>
          <w:bCs/>
          <w:sz w:val="21"/>
          <w:szCs w:val="21"/>
        </w:rPr>
      </w:pPr>
      <w:r>
        <w:rPr>
          <w:rFonts w:hint="eastAsia" w:hAnsi="宋体"/>
          <w:sz w:val="21"/>
          <w:szCs w:val="21"/>
        </w:rPr>
        <w:t>中标人应保证提供服务过程中不会侵犯任何第三方的知识产权</w:t>
      </w:r>
      <w:r>
        <w:rPr>
          <w:rFonts w:hint="eastAsia" w:hAnsi="宋体"/>
          <w:bCs/>
          <w:sz w:val="21"/>
          <w:szCs w:val="21"/>
        </w:rPr>
        <w:t>。</w:t>
      </w:r>
    </w:p>
    <w:p w14:paraId="0F4441DF">
      <w:pPr>
        <w:pStyle w:val="22"/>
        <w:snapToGrid w:val="0"/>
        <w:spacing w:line="360" w:lineRule="auto"/>
        <w:ind w:firstLine="422" w:firstLineChars="200"/>
        <w:rPr>
          <w:rFonts w:hAnsi="宋体"/>
          <w:b/>
          <w:sz w:val="21"/>
          <w:szCs w:val="21"/>
        </w:rPr>
      </w:pPr>
      <w:r>
        <w:rPr>
          <w:rFonts w:hint="eastAsia" w:hAnsi="宋体"/>
          <w:b/>
          <w:sz w:val="21"/>
          <w:szCs w:val="21"/>
        </w:rPr>
        <w:t>五、履约保证金</w:t>
      </w:r>
    </w:p>
    <w:p w14:paraId="24A85E56">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514D0E46">
      <w:pPr>
        <w:snapToGrid w:val="0"/>
        <w:spacing w:line="360" w:lineRule="auto"/>
        <w:ind w:firstLine="420" w:firstLineChars="200"/>
        <w:rPr>
          <w:rFonts w:ascii="宋体" w:hAnsi="宋体"/>
          <w:szCs w:val="21"/>
        </w:rPr>
      </w:pPr>
      <w:r>
        <w:rPr>
          <w:rFonts w:hint="eastAsia" w:ascii="宋体" w:hAnsi="宋体"/>
          <w:szCs w:val="21"/>
        </w:rPr>
        <w:t>1、_______________________</w:t>
      </w:r>
    </w:p>
    <w:p w14:paraId="4D3D269E">
      <w:pPr>
        <w:snapToGrid w:val="0"/>
        <w:spacing w:line="360" w:lineRule="auto"/>
        <w:ind w:firstLine="420" w:firstLineChars="200"/>
        <w:rPr>
          <w:rFonts w:ascii="宋体" w:hAnsi="宋体"/>
          <w:szCs w:val="21"/>
        </w:rPr>
      </w:pPr>
      <w:r>
        <w:rPr>
          <w:rFonts w:hint="eastAsia" w:ascii="宋体" w:hAnsi="宋体"/>
          <w:szCs w:val="21"/>
        </w:rPr>
        <w:t>2、_______________________</w:t>
      </w:r>
    </w:p>
    <w:p w14:paraId="7620F700">
      <w:pPr>
        <w:snapToGrid w:val="0"/>
        <w:spacing w:line="360" w:lineRule="auto"/>
        <w:ind w:firstLine="420" w:firstLineChars="200"/>
        <w:rPr>
          <w:rFonts w:ascii="宋体" w:hAnsi="宋体"/>
          <w:szCs w:val="21"/>
        </w:rPr>
      </w:pPr>
      <w:r>
        <w:rPr>
          <w:rFonts w:hint="eastAsia" w:ascii="宋体" w:hAnsi="宋体"/>
          <w:szCs w:val="21"/>
        </w:rPr>
        <w:t>3、_______________________</w:t>
      </w:r>
    </w:p>
    <w:p w14:paraId="65DF5C6E">
      <w:pPr>
        <w:snapToGrid w:val="0"/>
        <w:spacing w:line="360" w:lineRule="auto"/>
        <w:ind w:firstLine="420" w:firstLineChars="200"/>
        <w:rPr>
          <w:rFonts w:ascii="宋体" w:hAnsi="宋体"/>
          <w:szCs w:val="21"/>
        </w:rPr>
      </w:pPr>
      <w:r>
        <w:rPr>
          <w:rFonts w:hint="eastAsia" w:ascii="宋体" w:hAnsi="宋体"/>
          <w:szCs w:val="21"/>
        </w:rPr>
        <w:t>4、_______________________</w:t>
      </w:r>
    </w:p>
    <w:p w14:paraId="75DF41A4">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346EEBB8">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1859D19F">
      <w:pPr>
        <w:snapToGrid w:val="0"/>
        <w:spacing w:line="360" w:lineRule="auto"/>
        <w:ind w:firstLine="420" w:firstLineChars="200"/>
        <w:rPr>
          <w:rFonts w:ascii="宋体" w:hAnsi="宋体"/>
          <w:szCs w:val="21"/>
        </w:rPr>
      </w:pPr>
      <w:r>
        <w:rPr>
          <w:rFonts w:hint="eastAsia" w:ascii="宋体" w:hAnsi="宋体"/>
          <w:szCs w:val="21"/>
        </w:rPr>
        <w:t>1、_______________________</w:t>
      </w:r>
    </w:p>
    <w:p w14:paraId="2EFF5564">
      <w:pPr>
        <w:snapToGrid w:val="0"/>
        <w:spacing w:line="360" w:lineRule="auto"/>
        <w:ind w:firstLine="420" w:firstLineChars="200"/>
        <w:rPr>
          <w:rFonts w:ascii="宋体" w:hAnsi="宋体"/>
          <w:szCs w:val="21"/>
        </w:rPr>
      </w:pPr>
      <w:r>
        <w:rPr>
          <w:rFonts w:hint="eastAsia" w:ascii="宋体" w:hAnsi="宋体"/>
          <w:szCs w:val="21"/>
        </w:rPr>
        <w:t>2、_______________________</w:t>
      </w:r>
    </w:p>
    <w:p w14:paraId="750A0F68">
      <w:pPr>
        <w:snapToGrid w:val="0"/>
        <w:spacing w:line="360" w:lineRule="auto"/>
        <w:ind w:firstLine="420" w:firstLineChars="200"/>
        <w:rPr>
          <w:rFonts w:ascii="宋体" w:hAnsi="宋体"/>
          <w:szCs w:val="21"/>
        </w:rPr>
      </w:pPr>
      <w:r>
        <w:rPr>
          <w:rFonts w:hint="eastAsia" w:ascii="宋体" w:hAnsi="宋体"/>
          <w:szCs w:val="21"/>
        </w:rPr>
        <w:t>3、_______________________</w:t>
      </w:r>
    </w:p>
    <w:p w14:paraId="20C436DD">
      <w:pPr>
        <w:snapToGrid w:val="0"/>
        <w:spacing w:line="360" w:lineRule="auto"/>
        <w:ind w:firstLine="420" w:firstLineChars="200"/>
        <w:rPr>
          <w:rFonts w:ascii="宋体" w:hAnsi="宋体"/>
          <w:szCs w:val="21"/>
        </w:rPr>
      </w:pPr>
      <w:r>
        <w:rPr>
          <w:rFonts w:hint="eastAsia" w:ascii="宋体" w:hAnsi="宋体"/>
          <w:szCs w:val="21"/>
        </w:rPr>
        <w:t>4、_______________________</w:t>
      </w:r>
    </w:p>
    <w:p w14:paraId="636C1B5C">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7EFF0162">
      <w:pPr>
        <w:pStyle w:val="22"/>
        <w:snapToGrid w:val="0"/>
        <w:spacing w:line="360" w:lineRule="auto"/>
        <w:ind w:firstLine="422" w:firstLineChars="200"/>
        <w:rPr>
          <w:rFonts w:hAnsi="宋体"/>
          <w:b/>
          <w:sz w:val="21"/>
          <w:szCs w:val="21"/>
        </w:rPr>
      </w:pPr>
      <w:r>
        <w:rPr>
          <w:rFonts w:hint="eastAsia" w:hAnsi="宋体"/>
          <w:b/>
          <w:sz w:val="21"/>
          <w:szCs w:val="21"/>
        </w:rPr>
        <w:t>八、合同履行时间、履行方式及履行地点</w:t>
      </w:r>
    </w:p>
    <w:p w14:paraId="63A1806D">
      <w:pPr>
        <w:pStyle w:val="22"/>
        <w:snapToGrid w:val="0"/>
        <w:spacing w:line="360" w:lineRule="auto"/>
        <w:ind w:firstLine="420" w:firstLineChars="200"/>
        <w:rPr>
          <w:rFonts w:hAnsi="宋体"/>
          <w:bCs/>
          <w:sz w:val="21"/>
          <w:szCs w:val="21"/>
        </w:rPr>
      </w:pPr>
      <w:r>
        <w:rPr>
          <w:rFonts w:hint="eastAsia" w:hAnsi="宋体"/>
          <w:bCs/>
          <w:sz w:val="21"/>
          <w:szCs w:val="21"/>
        </w:rPr>
        <w:t>1、</w:t>
      </w:r>
      <w:r>
        <w:rPr>
          <w:rFonts w:hint="eastAsia" w:hAnsi="宋体"/>
          <w:sz w:val="21"/>
          <w:szCs w:val="21"/>
        </w:rPr>
        <w:t>履行时间</w:t>
      </w:r>
      <w:r>
        <w:rPr>
          <w:rFonts w:hint="eastAsia" w:hAnsi="宋体"/>
          <w:bCs/>
          <w:sz w:val="21"/>
          <w:szCs w:val="21"/>
        </w:rPr>
        <w:t>：</w:t>
      </w:r>
      <w:r>
        <w:rPr>
          <w:rFonts w:hint="eastAsia" w:hAnsi="宋体"/>
          <w:sz w:val="21"/>
          <w:szCs w:val="21"/>
        </w:rPr>
        <w:t>______________________</w:t>
      </w:r>
    </w:p>
    <w:p w14:paraId="0A57450B">
      <w:pPr>
        <w:pStyle w:val="22"/>
        <w:snapToGrid w:val="0"/>
        <w:spacing w:line="360" w:lineRule="auto"/>
        <w:ind w:firstLine="420" w:firstLineChars="200"/>
        <w:rPr>
          <w:rFonts w:hAnsi="宋体"/>
          <w:bCs/>
          <w:sz w:val="21"/>
          <w:szCs w:val="21"/>
        </w:rPr>
      </w:pPr>
      <w:r>
        <w:rPr>
          <w:rFonts w:hint="eastAsia" w:hAnsi="宋体"/>
          <w:bCs/>
          <w:sz w:val="21"/>
          <w:szCs w:val="21"/>
        </w:rPr>
        <w:t>2、</w:t>
      </w:r>
      <w:r>
        <w:rPr>
          <w:rFonts w:hint="eastAsia" w:hAnsi="宋体"/>
          <w:sz w:val="21"/>
          <w:szCs w:val="21"/>
        </w:rPr>
        <w:t>履行方式</w:t>
      </w:r>
      <w:r>
        <w:rPr>
          <w:rFonts w:hint="eastAsia" w:hAnsi="宋体"/>
          <w:bCs/>
          <w:sz w:val="21"/>
          <w:szCs w:val="21"/>
        </w:rPr>
        <w:t>：</w:t>
      </w:r>
      <w:r>
        <w:rPr>
          <w:rFonts w:hint="eastAsia" w:hAnsi="宋体"/>
          <w:sz w:val="21"/>
          <w:szCs w:val="21"/>
        </w:rPr>
        <w:t>______________________</w:t>
      </w:r>
    </w:p>
    <w:p w14:paraId="5289F386">
      <w:pPr>
        <w:pStyle w:val="22"/>
        <w:snapToGrid w:val="0"/>
        <w:spacing w:line="360" w:lineRule="auto"/>
        <w:ind w:firstLine="420" w:firstLineChars="200"/>
        <w:rPr>
          <w:rFonts w:hAnsi="宋体"/>
          <w:sz w:val="21"/>
          <w:szCs w:val="21"/>
        </w:rPr>
      </w:pPr>
      <w:r>
        <w:rPr>
          <w:rFonts w:hint="eastAsia" w:hAnsi="宋体"/>
          <w:bCs/>
          <w:sz w:val="21"/>
          <w:szCs w:val="21"/>
        </w:rPr>
        <w:t>3、</w:t>
      </w:r>
      <w:r>
        <w:rPr>
          <w:rFonts w:hint="eastAsia" w:hAnsi="宋体"/>
          <w:sz w:val="21"/>
          <w:szCs w:val="21"/>
        </w:rPr>
        <w:t>履行地点</w:t>
      </w:r>
      <w:r>
        <w:rPr>
          <w:rFonts w:hint="eastAsia" w:hAnsi="宋体"/>
          <w:bCs/>
          <w:sz w:val="21"/>
          <w:szCs w:val="21"/>
        </w:rPr>
        <w:t>：</w:t>
      </w:r>
      <w:r>
        <w:rPr>
          <w:rFonts w:hint="eastAsia" w:hAnsi="宋体"/>
          <w:sz w:val="21"/>
          <w:szCs w:val="21"/>
          <w:u w:val="single"/>
        </w:rPr>
        <w:t>深圳市</w:t>
      </w:r>
    </w:p>
    <w:p w14:paraId="408FF7FC">
      <w:pPr>
        <w:snapToGrid w:val="0"/>
        <w:spacing w:line="360" w:lineRule="auto"/>
        <w:ind w:firstLine="422" w:firstLineChars="200"/>
        <w:rPr>
          <w:rFonts w:ascii="宋体" w:hAnsi="宋体"/>
          <w:b/>
          <w:szCs w:val="21"/>
        </w:rPr>
      </w:pPr>
      <w:r>
        <w:rPr>
          <w:rFonts w:hint="eastAsia" w:ascii="宋体" w:hAnsi="宋体"/>
          <w:b/>
          <w:szCs w:val="21"/>
        </w:rPr>
        <w:t>九、验收</w:t>
      </w:r>
    </w:p>
    <w:p w14:paraId="0BC32F42">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437A97D3">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07C1FA0B">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5708085B">
      <w:pPr>
        <w:pStyle w:val="22"/>
        <w:snapToGrid w:val="0"/>
        <w:spacing w:line="360" w:lineRule="auto"/>
        <w:ind w:firstLine="422" w:firstLineChars="200"/>
        <w:rPr>
          <w:rFonts w:hAnsi="宋体"/>
          <w:b/>
          <w:sz w:val="21"/>
          <w:szCs w:val="21"/>
        </w:rPr>
      </w:pPr>
      <w:r>
        <w:rPr>
          <w:rFonts w:hint="eastAsia" w:hAnsi="宋体"/>
          <w:b/>
          <w:sz w:val="21"/>
          <w:szCs w:val="21"/>
        </w:rPr>
        <w:t>十、付款方式和税费</w:t>
      </w:r>
    </w:p>
    <w:p w14:paraId="5EAF2EB6">
      <w:pPr>
        <w:pStyle w:val="22"/>
        <w:snapToGrid w:val="0"/>
        <w:spacing w:line="360" w:lineRule="auto"/>
        <w:ind w:firstLine="420" w:firstLineChars="200"/>
        <w:rPr>
          <w:rFonts w:hAnsi="宋体"/>
          <w:bCs/>
          <w:sz w:val="21"/>
          <w:szCs w:val="21"/>
        </w:rPr>
      </w:pPr>
      <w:r>
        <w:rPr>
          <w:rFonts w:hAnsi="宋体" w:cs="宋体"/>
          <w:sz w:val="21"/>
          <w:szCs w:val="21"/>
        </w:rPr>
        <w:t>本合同付款方式为</w:t>
      </w:r>
      <w:r>
        <w:rPr>
          <w:rFonts w:hint="eastAsia" w:hAnsi="宋体" w:cs="宋体"/>
          <w:sz w:val="21"/>
          <w:szCs w:val="21"/>
        </w:rPr>
        <w:t>：</w:t>
      </w:r>
      <w:r>
        <w:rPr>
          <w:rFonts w:hint="eastAsia" w:hAnsi="宋体"/>
          <w:bCs/>
          <w:sz w:val="21"/>
          <w:szCs w:val="21"/>
        </w:rPr>
        <w:t>。</w:t>
      </w:r>
    </w:p>
    <w:p w14:paraId="21006CA6">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04E2FE31">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17372D79">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03232AB9">
      <w:pPr>
        <w:pStyle w:val="22"/>
        <w:snapToGrid w:val="0"/>
        <w:spacing w:line="360" w:lineRule="auto"/>
        <w:ind w:firstLine="422" w:firstLineChars="200"/>
        <w:rPr>
          <w:rFonts w:hAnsi="宋体"/>
          <w:b/>
          <w:sz w:val="21"/>
          <w:szCs w:val="21"/>
        </w:rPr>
      </w:pPr>
      <w:r>
        <w:rPr>
          <w:rFonts w:hint="eastAsia" w:hAnsi="宋体"/>
          <w:b/>
          <w:sz w:val="21"/>
          <w:szCs w:val="21"/>
        </w:rPr>
        <w:t>十二、违约责任</w:t>
      </w:r>
    </w:p>
    <w:p w14:paraId="2304DE3B">
      <w:pPr>
        <w:pStyle w:val="22"/>
        <w:snapToGrid w:val="0"/>
        <w:spacing w:line="360" w:lineRule="auto"/>
        <w:ind w:firstLine="420" w:firstLineChars="200"/>
        <w:rPr>
          <w:rFonts w:hAnsi="宋体"/>
          <w:sz w:val="21"/>
          <w:szCs w:val="21"/>
        </w:rPr>
      </w:pPr>
      <w:r>
        <w:rPr>
          <w:rFonts w:hint="eastAsia" w:hAnsi="宋体"/>
          <w:sz w:val="21"/>
          <w:szCs w:val="21"/>
        </w:rPr>
        <w:t>1、因中标人原因，未能按规定完成本项目有关工作的，采购人可在支付合同余款中扣除合同价款。</w:t>
      </w:r>
    </w:p>
    <w:p w14:paraId="4683AA3E">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5760B840">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3B50AE38">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0CAB9D8A">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224ED456">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0E0C98C3">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03897270">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0D1EFA65">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52828ABE">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0B6573D8">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585201B1">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123C248B">
      <w:pPr>
        <w:pStyle w:val="22"/>
        <w:snapToGrid w:val="0"/>
        <w:spacing w:line="360" w:lineRule="auto"/>
        <w:ind w:firstLine="420" w:firstLineChars="200"/>
        <w:rPr>
          <w:rFonts w:hAnsi="宋体"/>
          <w:sz w:val="21"/>
          <w:szCs w:val="21"/>
        </w:rPr>
      </w:pPr>
      <w:r>
        <w:rPr>
          <w:rFonts w:hint="eastAsia" w:hAnsi="宋体"/>
          <w:sz w:val="21"/>
          <w:szCs w:val="21"/>
        </w:rPr>
        <w:t>附件：</w:t>
      </w:r>
    </w:p>
    <w:p w14:paraId="33068908">
      <w:pPr>
        <w:snapToGrid w:val="0"/>
        <w:spacing w:line="360" w:lineRule="auto"/>
        <w:ind w:firstLine="420" w:firstLineChars="200"/>
        <w:rPr>
          <w:rFonts w:ascii="宋体" w:hAnsi="宋体"/>
          <w:szCs w:val="21"/>
        </w:rPr>
      </w:pPr>
      <w:r>
        <w:rPr>
          <w:rFonts w:hint="eastAsia" w:ascii="宋体" w:hAnsi="宋体"/>
          <w:szCs w:val="21"/>
        </w:rPr>
        <w:t>1、《中标/成交通知书》</w:t>
      </w:r>
    </w:p>
    <w:p w14:paraId="464D5506">
      <w:pPr>
        <w:snapToGrid w:val="0"/>
        <w:spacing w:line="360" w:lineRule="auto"/>
        <w:ind w:firstLine="420" w:firstLineChars="200"/>
        <w:rPr>
          <w:rFonts w:ascii="宋体" w:hAnsi="宋体"/>
          <w:szCs w:val="21"/>
        </w:rPr>
      </w:pPr>
      <w:r>
        <w:rPr>
          <w:rFonts w:hint="eastAsia" w:ascii="宋体" w:hAnsi="宋体"/>
          <w:szCs w:val="21"/>
        </w:rPr>
        <w:t>2、《投标文件》</w:t>
      </w:r>
    </w:p>
    <w:p w14:paraId="36CE5D62">
      <w:pPr>
        <w:snapToGrid w:val="0"/>
        <w:spacing w:line="360" w:lineRule="auto"/>
        <w:ind w:firstLine="420" w:firstLineChars="200"/>
        <w:rPr>
          <w:rFonts w:ascii="宋体" w:hAnsi="宋体"/>
          <w:szCs w:val="21"/>
        </w:rPr>
      </w:pPr>
      <w:r>
        <w:rPr>
          <w:rFonts w:hint="eastAsia" w:ascii="宋体" w:hAnsi="宋体"/>
          <w:szCs w:val="21"/>
        </w:rPr>
        <w:t>3、《招标文件》</w:t>
      </w:r>
    </w:p>
    <w:p w14:paraId="33311112">
      <w:pPr>
        <w:snapToGrid w:val="0"/>
        <w:spacing w:line="360" w:lineRule="auto"/>
        <w:rPr>
          <w:rFonts w:ascii="宋体" w:hAnsi="宋体"/>
          <w:szCs w:val="21"/>
        </w:rPr>
      </w:pPr>
    </w:p>
    <w:p w14:paraId="5FBE4595">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  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4300B7C1">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2C2ADE7F">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委托代理人：</w:t>
      </w:r>
    </w:p>
    <w:p w14:paraId="5322B584">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日期：   年     月    日</w:t>
      </w:r>
    </w:p>
    <w:p w14:paraId="2F2CA4BB">
      <w:pPr>
        <w:ind w:firstLine="420" w:firstLineChars="200"/>
        <w:rPr>
          <w:rFonts w:ascii="宋体" w:hAnsi="宋体"/>
          <w:szCs w:val="21"/>
        </w:rPr>
      </w:pPr>
    </w:p>
    <w:p w14:paraId="0EA6EB03">
      <w:pPr>
        <w:ind w:firstLine="420" w:firstLineChars="200"/>
        <w:rPr>
          <w:rFonts w:ascii="宋体" w:hAnsi="宋体"/>
          <w:szCs w:val="21"/>
        </w:rPr>
      </w:pPr>
    </w:p>
    <w:p w14:paraId="04DA2BC5">
      <w:pPr>
        <w:keepNext/>
        <w:keepLines/>
        <w:spacing w:before="260" w:after="260"/>
        <w:jc w:val="center"/>
        <w:outlineLvl w:val="2"/>
        <w:rPr>
          <w:rFonts w:ascii="宋体" w:hAnsi="宋体"/>
          <w:szCs w:val="21"/>
        </w:rPr>
      </w:pPr>
    </w:p>
    <w:p w14:paraId="691A6058">
      <w:pPr>
        <w:keepNext/>
        <w:keepLines/>
        <w:spacing w:before="260" w:after="260"/>
        <w:jc w:val="center"/>
        <w:outlineLvl w:val="2"/>
        <w:rPr>
          <w:rFonts w:ascii="宋体" w:hAnsi="宋体"/>
          <w:szCs w:val="21"/>
        </w:rPr>
      </w:pPr>
    </w:p>
    <w:p w14:paraId="5A18D4F4">
      <w:pPr>
        <w:keepNext/>
        <w:keepLines/>
        <w:spacing w:before="260" w:after="260"/>
        <w:jc w:val="center"/>
        <w:outlineLvl w:val="2"/>
        <w:rPr>
          <w:rFonts w:ascii="宋体" w:hAnsi="宋体"/>
          <w:szCs w:val="21"/>
        </w:rPr>
      </w:pPr>
    </w:p>
    <w:p w14:paraId="1EE1F527">
      <w:pPr>
        <w:keepNext/>
        <w:keepLines/>
        <w:spacing w:before="260" w:after="260"/>
        <w:jc w:val="center"/>
        <w:outlineLvl w:val="2"/>
        <w:rPr>
          <w:rFonts w:ascii="宋体" w:hAnsi="宋体"/>
          <w:szCs w:val="21"/>
        </w:rPr>
      </w:pPr>
    </w:p>
    <w:p w14:paraId="5EFD2F9C">
      <w:pPr>
        <w:keepNext/>
        <w:keepLines/>
        <w:spacing w:before="260" w:after="260"/>
        <w:jc w:val="center"/>
        <w:outlineLvl w:val="2"/>
        <w:rPr>
          <w:rFonts w:ascii="宋体" w:hAnsi="宋体"/>
          <w:szCs w:val="21"/>
        </w:rPr>
      </w:pPr>
    </w:p>
    <w:p w14:paraId="7156142E">
      <w:pPr>
        <w:keepNext/>
        <w:keepLines/>
        <w:spacing w:before="260" w:after="260"/>
        <w:jc w:val="center"/>
        <w:outlineLvl w:val="2"/>
        <w:rPr>
          <w:rFonts w:ascii="宋体" w:hAnsi="宋体"/>
          <w:szCs w:val="21"/>
        </w:rPr>
      </w:pPr>
    </w:p>
    <w:p w14:paraId="27A79598">
      <w:pPr>
        <w:keepNext/>
        <w:keepLines/>
        <w:spacing w:before="260" w:after="260"/>
        <w:jc w:val="center"/>
        <w:outlineLvl w:val="2"/>
        <w:rPr>
          <w:rFonts w:ascii="宋体" w:hAnsi="宋体"/>
          <w:szCs w:val="21"/>
        </w:rPr>
      </w:pPr>
    </w:p>
    <w:p w14:paraId="158EB409">
      <w:pPr>
        <w:keepNext/>
        <w:keepLines/>
        <w:spacing w:before="260" w:after="260"/>
        <w:jc w:val="center"/>
        <w:outlineLvl w:val="2"/>
        <w:rPr>
          <w:rFonts w:ascii="宋体" w:hAnsi="宋体"/>
          <w:szCs w:val="21"/>
        </w:rPr>
      </w:pPr>
    </w:p>
    <w:p w14:paraId="635EC637">
      <w:pPr>
        <w:keepNext/>
        <w:keepLines/>
        <w:spacing w:before="260" w:after="260"/>
        <w:jc w:val="center"/>
        <w:outlineLvl w:val="2"/>
        <w:rPr>
          <w:rFonts w:ascii="宋体" w:hAnsi="宋体"/>
          <w:szCs w:val="21"/>
        </w:rPr>
      </w:pPr>
    </w:p>
    <w:p w14:paraId="4292F07D">
      <w:pPr>
        <w:widowControl/>
        <w:jc w:val="left"/>
        <w:rPr>
          <w:rFonts w:ascii="宋体" w:hAnsi="宋体"/>
          <w:b/>
          <w:szCs w:val="21"/>
        </w:rPr>
      </w:pPr>
      <w:r>
        <w:rPr>
          <w:bCs/>
          <w:szCs w:val="21"/>
        </w:rPr>
        <w:br w:type="page"/>
      </w:r>
    </w:p>
    <w:p w14:paraId="49369381">
      <w:pPr>
        <w:jc w:val="center"/>
        <w:rPr>
          <w:rFonts w:ascii="宋体" w:hAnsi="宋体"/>
          <w:b/>
          <w:bCs/>
          <w:kern w:val="0"/>
          <w:sz w:val="24"/>
          <w:szCs w:val="20"/>
        </w:rPr>
      </w:pPr>
      <w:r>
        <w:rPr>
          <w:rFonts w:hint="eastAsia" w:ascii="宋体" w:hAnsi="宋体"/>
          <w:b/>
          <w:bCs/>
          <w:kern w:val="0"/>
          <w:sz w:val="24"/>
          <w:szCs w:val="20"/>
        </w:rPr>
        <w:t>第五章  附件</w:t>
      </w:r>
    </w:p>
    <w:p w14:paraId="6B1901E7">
      <w:pPr>
        <w:jc w:val="center"/>
        <w:rPr>
          <w:rFonts w:ascii="宋体" w:hAnsi="宋体"/>
          <w:b/>
          <w:bCs/>
          <w:kern w:val="0"/>
          <w:sz w:val="24"/>
          <w:szCs w:val="20"/>
        </w:rPr>
      </w:pPr>
    </w:p>
    <w:p w14:paraId="7B53B8C6">
      <w:pPr>
        <w:pStyle w:val="3"/>
        <w:spacing w:before="0" w:after="0"/>
        <w:jc w:val="center"/>
      </w:pPr>
      <w:bookmarkStart w:id="18" w:name="_Toc73613644"/>
      <w:bookmarkStart w:id="19" w:name="_Toc73610162"/>
      <w:r>
        <w:rPr>
          <w:rFonts w:hint="eastAsia"/>
        </w:rPr>
        <w:t>一、财政部 工业和信息化部关于印发《政府采购促进中小企业发展管理办法》的通知</w:t>
      </w:r>
      <w:bookmarkEnd w:id="18"/>
      <w:bookmarkEnd w:id="19"/>
    </w:p>
    <w:p w14:paraId="1D75D42E">
      <w:pPr>
        <w:pStyle w:val="37"/>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财库〔2020〕46号</w:t>
      </w:r>
    </w:p>
    <w:p w14:paraId="764EE5C4">
      <w:pPr>
        <w:pStyle w:val="37"/>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各中央预算单位办公厅（室），各省、自治区、直辖市、计划单列市财政厅（局）、工业和信息化主管部门，新疆生产建设兵团财政局、工业和信息化主管部门：</w:t>
      </w:r>
    </w:p>
    <w:p w14:paraId="0C0AE3D9">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1C8B5ECE">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附件：政府采购促进中小企业发展管理办法</w:t>
      </w:r>
    </w:p>
    <w:p w14:paraId="47AC7E50">
      <w:pPr>
        <w:pStyle w:val="37"/>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财　　政　　部</w:t>
      </w:r>
    </w:p>
    <w:p w14:paraId="0A6DC1F7">
      <w:pPr>
        <w:pStyle w:val="37"/>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工业和信息化部</w:t>
      </w:r>
    </w:p>
    <w:p w14:paraId="13CCB17B">
      <w:pPr>
        <w:pStyle w:val="37"/>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2020年12月18日</w:t>
      </w:r>
    </w:p>
    <w:p w14:paraId="126131F6">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14:paraId="20631083">
      <w:pPr>
        <w:pStyle w:val="37"/>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附件</w:t>
      </w:r>
    </w:p>
    <w:p w14:paraId="71E586F8">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14:paraId="2381EBD4">
      <w:pPr>
        <w:pStyle w:val="37"/>
        <w:shd w:val="clear" w:color="auto" w:fill="FFFFFF"/>
        <w:spacing w:before="0" w:beforeAutospacing="0" w:after="0" w:afterAutospacing="0" w:line="360" w:lineRule="auto"/>
        <w:jc w:val="center"/>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政府采购促进中小企业发展管理办法</w:t>
      </w:r>
    </w:p>
    <w:p w14:paraId="03CE94B5">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14:paraId="606D76AE">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第一条</w:t>
      </w:r>
      <w:r>
        <w:rPr>
          <w:rFonts w:hint="eastAsia" w:asciiTheme="minorEastAsia" w:hAnsiTheme="minorEastAsia" w:eastAsiaTheme="minorEastAsia"/>
          <w:color w:val="333333"/>
          <w:sz w:val="21"/>
          <w:szCs w:val="21"/>
        </w:rPr>
        <w:t>　为了发挥政府采购的政策功能，促进中小企业健康发展，根据《中华人民共和国政府采购法》、《中华人民共和国中小企业促进法》等有关法律法规，制定本办法。</w:t>
      </w:r>
    </w:p>
    <w:p w14:paraId="28076FD8">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第二条</w:t>
      </w:r>
      <w:r>
        <w:rPr>
          <w:rFonts w:hint="eastAsia" w:asciiTheme="minorEastAsia" w:hAnsiTheme="minorEastAsia" w:eastAsiaTheme="minorEastAsia"/>
          <w:color w:val="333333"/>
          <w:sz w:val="21"/>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1F5260A">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符合中小企业划分标准的个体工商户，在政府采购活动中视同中小企业。</w:t>
      </w:r>
    </w:p>
    <w:p w14:paraId="7CBB914C">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第三条</w:t>
      </w:r>
      <w:r>
        <w:rPr>
          <w:rFonts w:hint="eastAsia" w:asciiTheme="minorEastAsia" w:hAnsiTheme="minorEastAsia" w:eastAsiaTheme="minorEastAsia"/>
          <w:color w:val="333333"/>
          <w:sz w:val="21"/>
          <w:szCs w:val="21"/>
        </w:rPr>
        <w:t>　采购人在政府采购活动中应当通过加强采购需求管理，落实预留采购份额、价格评审优惠、优先采购等措施，提高中小企业在政府采购中的份额，支持中小企业发展。</w:t>
      </w:r>
    </w:p>
    <w:p w14:paraId="5D34CAE9">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第四条</w:t>
      </w:r>
      <w:r>
        <w:rPr>
          <w:rFonts w:hint="eastAsia" w:asciiTheme="minorEastAsia" w:hAnsiTheme="minorEastAsia" w:eastAsiaTheme="minorEastAsia"/>
          <w:color w:val="333333"/>
          <w:sz w:val="21"/>
          <w:szCs w:val="21"/>
        </w:rPr>
        <w:t>　在政府采购活动中，供应商提供的货物、工程或者服务符合下列情形的，享受本办法规定的中小企业扶持政策：</w:t>
      </w:r>
    </w:p>
    <w:p w14:paraId="388DCE81">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（一）在货物采购项目中，货物由中小企业制造，即货物由中小企业生产且使用该中小企业商号或者注册商标；</w:t>
      </w:r>
    </w:p>
    <w:p w14:paraId="0CF1C93E">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（二）在工程采购项目中，工程由中小企业承建，即工程施工单位为中小企业；</w:t>
      </w:r>
    </w:p>
    <w:p w14:paraId="3E63A11B">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（三）在服务采购项目中，服务由中小企业承接，即提供服务的人员为中小企业依照《中华人民共和国劳动合同法》订立劳动合同的从业人员。</w:t>
      </w:r>
    </w:p>
    <w:p w14:paraId="1681ADDE">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在货物采购项目中，供应商提供的货物既有中小企业制造货物，也有大型企业制造货物的，不享受本办法规定的中小企业扶持政策。</w:t>
      </w:r>
    </w:p>
    <w:p w14:paraId="6DDE6F5E">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以联合体形式参加政府采购活动，联合体各方均为中小企业的，联合体视同中小企业。其中，联合体各方均为小微企业的，联合体视同小微企业。</w:t>
      </w:r>
    </w:p>
    <w:p w14:paraId="1ADCC230">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第五条</w:t>
      </w:r>
      <w:r>
        <w:rPr>
          <w:rFonts w:hint="eastAsia" w:asciiTheme="minorEastAsia" w:hAnsiTheme="minorEastAsia" w:eastAsiaTheme="minorEastAsia"/>
          <w:color w:val="333333"/>
          <w:sz w:val="21"/>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04E1B4FC">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第六条</w:t>
      </w:r>
      <w:r>
        <w:rPr>
          <w:rFonts w:hint="eastAsia" w:asciiTheme="minorEastAsia" w:hAnsiTheme="minorEastAsia" w:eastAsiaTheme="minorEastAsia"/>
          <w:color w:val="333333"/>
          <w:sz w:val="21"/>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DF52A72">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符合下列情形之一的，可不专门面向中小企业预留采购份额：</w:t>
      </w:r>
    </w:p>
    <w:p w14:paraId="34018227">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（一）法律法规和国家有关政策明确规定优先或者应当面向事业单位、社会组织等非企业主体采购的；</w:t>
      </w:r>
    </w:p>
    <w:p w14:paraId="4A02A20B">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（二）因确需使用不可替代的专利、专有技术，基础设施限制，或者提供特定公共服务等原因，只能从中小企业之外的供应商处采购的；</w:t>
      </w:r>
    </w:p>
    <w:p w14:paraId="02C6F528">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（三）按照本办法规定预留采购份额无法确保充分供应、充分竞争，或者存在可能影响政府采购目标实现的情形；</w:t>
      </w:r>
    </w:p>
    <w:p w14:paraId="29C79508">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（四）框架协议采购项目；</w:t>
      </w:r>
    </w:p>
    <w:p w14:paraId="0F433E3A">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（五）省级以上人民政府财政部门规定的其他情形。</w:t>
      </w:r>
    </w:p>
    <w:p w14:paraId="100B8DC0">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除上述情形外，其他均为适宜由中小企业提供的情形。</w:t>
      </w:r>
    </w:p>
    <w:p w14:paraId="6E192EA8">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第七条</w:t>
      </w:r>
      <w:r>
        <w:rPr>
          <w:rFonts w:hint="eastAsia" w:asciiTheme="minorEastAsia" w:hAnsiTheme="minorEastAsia" w:eastAsiaTheme="minorEastAsia"/>
          <w:color w:val="333333"/>
          <w:sz w:val="21"/>
          <w:szCs w:val="21"/>
        </w:rPr>
        <w:t>　采购限额标准以上，200万元以下的货物和服务采购项目、400万元以下的工程采购项目，适宜由中小企业提供的，采购人应当专门面向中小企业采购。</w:t>
      </w:r>
    </w:p>
    <w:p w14:paraId="3E0DC042">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第八条</w:t>
      </w:r>
      <w:r>
        <w:rPr>
          <w:rFonts w:hint="eastAsia" w:asciiTheme="minorEastAsia" w:hAnsiTheme="minorEastAsia" w:eastAsiaTheme="minorEastAsia"/>
          <w:color w:val="333333"/>
          <w:sz w:val="21"/>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3EE8701B">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（一）将采购项目整体或者设置采购包专门面向中小企业采购；</w:t>
      </w:r>
    </w:p>
    <w:p w14:paraId="41B78791">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（二）要求供应商以联合体形式参加采购活动，且联合体中中小企业承担的部分达到一定比例；</w:t>
      </w:r>
    </w:p>
    <w:p w14:paraId="197A50C7">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（三）要求获得采购合同的供应商将采购项目中的一定比例分包给一家或者多家中小企业。</w:t>
      </w:r>
    </w:p>
    <w:p w14:paraId="6E5D8882">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组成联合体或者接受分包合同的中小企业与联合体内其他企业、分包企业之间不得存在直接控股、管理关系。</w:t>
      </w:r>
    </w:p>
    <w:p w14:paraId="7F90709E">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第九条</w:t>
      </w:r>
      <w:r>
        <w:rPr>
          <w:rFonts w:hint="eastAsia" w:asciiTheme="minorEastAsia" w:hAnsiTheme="minorEastAsia" w:eastAsiaTheme="minorEastAsia"/>
          <w:color w:val="333333"/>
          <w:sz w:val="21"/>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53F799C">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66FA0515">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A3B4151">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第十条</w:t>
      </w:r>
      <w:r>
        <w:rPr>
          <w:rFonts w:hint="eastAsia" w:asciiTheme="minorEastAsia" w:hAnsiTheme="minorEastAsia" w:eastAsiaTheme="minorEastAsia"/>
          <w:color w:val="333333"/>
          <w:sz w:val="21"/>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1F57AC04">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第十一条</w:t>
      </w:r>
      <w:r>
        <w:rPr>
          <w:rFonts w:hint="eastAsia" w:asciiTheme="minorEastAsia" w:hAnsiTheme="minorEastAsia" w:eastAsiaTheme="minorEastAsia"/>
          <w:color w:val="333333"/>
          <w:sz w:val="21"/>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4769F3B3">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第十二条</w:t>
      </w:r>
      <w:r>
        <w:rPr>
          <w:rFonts w:hint="eastAsia" w:asciiTheme="minorEastAsia" w:hAnsiTheme="minorEastAsia" w:eastAsiaTheme="minorEastAsia"/>
          <w:color w:val="333333"/>
          <w:sz w:val="21"/>
          <w:szCs w:val="21"/>
        </w:rPr>
        <w:t>　采购项目涉及中小企业采购的，采购文件应当明确以下内容：</w:t>
      </w:r>
    </w:p>
    <w:p w14:paraId="59D1FF7D">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（一）预留份额的采购项目或者采购包，明确该项目或相关采购包专门面向中小企业采购，以及相关标的及预算金额；</w:t>
      </w:r>
    </w:p>
    <w:p w14:paraId="27AFCA9E">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（二）要求以联合体形式参加或者合同分包的，明确联合协议或者分包意向协议中中小企业合同金额应当达到的比例，并作为供应商资格条件；</w:t>
      </w:r>
    </w:p>
    <w:p w14:paraId="4A294D22">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（三）非预留份额的采购项目或者采购包，明确有关价格扣除比例或者价格分加分比例；</w:t>
      </w:r>
    </w:p>
    <w:p w14:paraId="1F80FCE8">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（四）规定依据本办法规定享受扶持政策获得政府采购合同的，小微企业不得将合同分包给大中型企业，中型企业不得将合同分包给大型企业；</w:t>
      </w:r>
    </w:p>
    <w:p w14:paraId="5D004236">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（五）采购人认为具备相关条件的，明确对中小企业在资金支付期限、预付款比例等方面的优惠措施；</w:t>
      </w:r>
    </w:p>
    <w:p w14:paraId="3F8A8F94">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（六）明确采购标的对应的中小企业划分标准所属行业；</w:t>
      </w:r>
    </w:p>
    <w:p w14:paraId="2964E4BC">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（七）法律法规和省级以上人民政府财政部门规定的其他事项。</w:t>
      </w:r>
    </w:p>
    <w:p w14:paraId="17F96C67">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第十三条</w:t>
      </w:r>
      <w:r>
        <w:rPr>
          <w:rFonts w:hint="eastAsia" w:asciiTheme="minorEastAsia" w:hAnsiTheme="minorEastAsia" w:eastAsiaTheme="minorEastAsia"/>
          <w:color w:val="333333"/>
          <w:sz w:val="21"/>
          <w:szCs w:val="21"/>
        </w:rPr>
        <w:t>　中标、成交供应商享受本办法规定的中小企业扶持政策的，采购人、采购代理机构应当随中标、成交结果公开中标、成交供应商的《中小企业声明函》。</w:t>
      </w:r>
    </w:p>
    <w:p w14:paraId="2E3665F7">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适用招标投标法的政府采购工程建设项目，应当在公示中标候选人时公开中标候选人的《中小企业声明函》。</w:t>
      </w:r>
    </w:p>
    <w:p w14:paraId="50CD4143">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第十四条</w:t>
      </w:r>
      <w:r>
        <w:rPr>
          <w:rFonts w:hint="eastAsia" w:asciiTheme="minorEastAsia" w:hAnsiTheme="minorEastAsia" w:eastAsiaTheme="minorEastAsia"/>
          <w:color w:val="333333"/>
          <w:sz w:val="21"/>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6B358D7">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第十五条</w:t>
      </w:r>
      <w:r>
        <w:rPr>
          <w:rFonts w:hint="eastAsia" w:asciiTheme="minorEastAsia" w:hAnsiTheme="minorEastAsia" w:eastAsiaTheme="minorEastAsia"/>
          <w:color w:val="333333"/>
          <w:sz w:val="21"/>
          <w:szCs w:val="21"/>
        </w:rPr>
        <w:t>　鼓励各地区、各部门在采购活动中允许中小企业引入信用担保手段，为中小企业在投标（响应）保证、履约保证等方面提供专业化服务。鼓励中小企业依法合规通过政府采购合同融资。</w:t>
      </w:r>
    </w:p>
    <w:p w14:paraId="12E45810">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第十六条</w:t>
      </w:r>
      <w:r>
        <w:rPr>
          <w:rFonts w:hint="eastAsia" w:asciiTheme="minorEastAsia" w:hAnsiTheme="minorEastAsia" w:eastAsiaTheme="minorEastAsia"/>
          <w:color w:val="333333"/>
          <w:sz w:val="21"/>
          <w:szCs w:val="21"/>
        </w:rPr>
        <w:t>　政府采购监督检查、投诉处理及政府采购行政处罚中对中小企业的认定，由货物制造商或者工程、服务供应商注册登记所在地的县级以上人民政府中小企业主管部门负责。</w:t>
      </w:r>
    </w:p>
    <w:p w14:paraId="0AF9CC01">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中小企业主管部门应当在收到财政部门或者有关招标投标行政监督部门关于协助开展中小企业认定函后10个工作日内做出书面答复。</w:t>
      </w:r>
    </w:p>
    <w:p w14:paraId="76D3408C">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第十七条</w:t>
      </w:r>
      <w:r>
        <w:rPr>
          <w:rFonts w:hint="eastAsia" w:asciiTheme="minorEastAsia" w:hAnsiTheme="minorEastAsia" w:eastAsiaTheme="minorEastAsia"/>
          <w:color w:val="333333"/>
          <w:sz w:val="21"/>
          <w:szCs w:val="21"/>
        </w:rPr>
        <w:t>　各地区、各部门应当对涉及中小企业采购的预算项目实施全过程绩效管理，合理设置绩效目标和指标，落实扶持中小企业有关政策要求，定期开展绩效监控和评价，强化绩效评价结果应用。</w:t>
      </w:r>
    </w:p>
    <w:p w14:paraId="6A9AFEF3">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第十八条</w:t>
      </w:r>
      <w:r>
        <w:rPr>
          <w:rFonts w:hint="eastAsia" w:asciiTheme="minorEastAsia" w:hAnsiTheme="minorEastAsia" w:eastAsiaTheme="minorEastAsia"/>
          <w:color w:val="333333"/>
          <w:sz w:val="21"/>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696B5567">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第十九条</w:t>
      </w:r>
      <w:r>
        <w:rPr>
          <w:rFonts w:hint="eastAsia" w:asciiTheme="minorEastAsia" w:hAnsiTheme="minorEastAsia" w:eastAsiaTheme="minorEastAsia"/>
          <w:color w:val="333333"/>
          <w:sz w:val="21"/>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44D513FF">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第二十条</w:t>
      </w:r>
      <w:r>
        <w:rPr>
          <w:rFonts w:hint="eastAsia" w:asciiTheme="minorEastAsia" w:hAnsiTheme="minorEastAsia" w:eastAsiaTheme="minorEastAsia"/>
          <w:color w:val="333333"/>
          <w:sz w:val="21"/>
          <w:szCs w:val="21"/>
        </w:rPr>
        <w:t>　供应商按照本办法规定提供声明函内容不实的，属于提供虚假材料谋取中标、成交，依照《中华人民共和国政府采购法》等国家有关规定追究相应责任。</w:t>
      </w:r>
    </w:p>
    <w:p w14:paraId="6A179E25">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14:paraId="6927AAD0">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第二十一条</w:t>
      </w:r>
      <w:r>
        <w:rPr>
          <w:rFonts w:hint="eastAsia" w:asciiTheme="minorEastAsia" w:hAnsiTheme="minorEastAsia" w:eastAsiaTheme="minorEastAsia"/>
          <w:color w:val="333333"/>
          <w:sz w:val="21"/>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FB75CF7">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第二十二条</w:t>
      </w:r>
      <w:r>
        <w:rPr>
          <w:rFonts w:hint="eastAsia" w:asciiTheme="minorEastAsia" w:hAnsiTheme="minorEastAsia" w:eastAsiaTheme="minorEastAsia"/>
          <w:color w:val="333333"/>
          <w:sz w:val="21"/>
          <w:szCs w:val="21"/>
        </w:rPr>
        <w:t>　对外援助项目、国家相关资格或者资质管理制度另有规定的项目，不适用本办法。</w:t>
      </w:r>
    </w:p>
    <w:p w14:paraId="6B7665B5">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第二十三条</w:t>
      </w:r>
      <w:r>
        <w:rPr>
          <w:rFonts w:hint="eastAsia" w:asciiTheme="minorEastAsia" w:hAnsiTheme="minorEastAsia" w:eastAsiaTheme="minorEastAsia"/>
          <w:color w:val="333333"/>
          <w:sz w:val="21"/>
          <w:szCs w:val="21"/>
        </w:rPr>
        <w:t>　关于视同中小企业的其他主体的政府采购扶持政策，由财政部会同有关部门另行规定。</w:t>
      </w:r>
    </w:p>
    <w:p w14:paraId="7B26B3AC">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第二十四条</w:t>
      </w:r>
      <w:r>
        <w:rPr>
          <w:rFonts w:hint="eastAsia" w:asciiTheme="minorEastAsia" w:hAnsiTheme="minorEastAsia" w:eastAsiaTheme="minorEastAsia"/>
          <w:color w:val="333333"/>
          <w:sz w:val="21"/>
          <w:szCs w:val="21"/>
        </w:rPr>
        <w:t>　省级财政部门可以会同中小企业主管部门根据本办法的规定制定具体实施办法。</w:t>
      </w:r>
    </w:p>
    <w:p w14:paraId="2199DCE2">
      <w:pPr>
        <w:pStyle w:val="37"/>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第二十五条</w:t>
      </w:r>
      <w:r>
        <w:rPr>
          <w:rFonts w:hint="eastAsia" w:asciiTheme="minorEastAsia" w:hAnsiTheme="minorEastAsia" w:eastAsiaTheme="minorEastAsia"/>
          <w:color w:val="333333"/>
          <w:sz w:val="21"/>
          <w:szCs w:val="21"/>
        </w:rPr>
        <w:t>　本办法自2021年1月1日起施行。《财政部 工业和信息化部关于印发〈政府采购促进中小企业发展暂行办法〉的通知》（财库〔2011〕181号）同时废止。</w:t>
      </w:r>
    </w:p>
    <w:p w14:paraId="08215D08">
      <w:pPr>
        <w:pStyle w:val="37"/>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p>
    <w:p w14:paraId="118EFF6F">
      <w:pPr>
        <w:spacing w:line="360" w:lineRule="auto"/>
        <w:rPr>
          <w:rFonts w:asciiTheme="minorEastAsia" w:hAnsiTheme="minorEastAsia" w:eastAsiaTheme="minorEastAsia"/>
          <w:szCs w:val="21"/>
        </w:rPr>
      </w:pPr>
    </w:p>
    <w:p w14:paraId="6653F361">
      <w:pPr>
        <w:pStyle w:val="3"/>
        <w:spacing w:before="0" w:after="0"/>
        <w:jc w:val="center"/>
      </w:pPr>
      <w:bookmarkStart w:id="20" w:name="_Toc73613645"/>
      <w:bookmarkStart w:id="21" w:name="_Toc73610163"/>
      <w:r>
        <w:rPr>
          <w:rFonts w:hint="eastAsia"/>
        </w:rPr>
        <w:t>二、关于印发中小企业划型标准规定的通知</w:t>
      </w:r>
      <w:bookmarkEnd w:id="20"/>
      <w:bookmarkEnd w:id="21"/>
    </w:p>
    <w:p w14:paraId="2722A14C">
      <w:pPr>
        <w:pStyle w:val="37"/>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工信部联企业〔2011〕300号</w:t>
      </w:r>
    </w:p>
    <w:p w14:paraId="1F6EE2C4">
      <w:pPr>
        <w:pStyle w:val="37"/>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各省、自治区、直辖市人民政府，国务院各部委、各直属机构及有关单位：</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E301BA4">
      <w:pPr>
        <w:pStyle w:val="37"/>
        <w:shd w:val="clear" w:color="auto" w:fill="FFFFFF"/>
        <w:spacing w:line="360" w:lineRule="auto"/>
        <w:jc w:val="righ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工业和信息化部　国家统计局</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国家发展和改革委员会　财政部</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二○一一年六月十八日</w:t>
      </w:r>
    </w:p>
    <w:p w14:paraId="36D6F67F">
      <w:pPr>
        <w:pStyle w:val="37"/>
        <w:shd w:val="clear" w:color="auto" w:fill="FFFFFF"/>
        <w:spacing w:line="360" w:lineRule="auto"/>
        <w:jc w:val="center"/>
        <w:rPr>
          <w:rFonts w:asciiTheme="minorEastAsia" w:hAnsiTheme="minorEastAsia" w:eastAsiaTheme="minorEastAsia"/>
          <w:color w:val="000000"/>
          <w:sz w:val="21"/>
          <w:szCs w:val="21"/>
        </w:rPr>
      </w:pPr>
      <w:r>
        <w:rPr>
          <w:rStyle w:val="45"/>
          <w:rFonts w:hint="eastAsia" w:asciiTheme="minorEastAsia" w:hAnsiTheme="minorEastAsia" w:eastAsiaTheme="minorEastAsia"/>
          <w:color w:val="000000"/>
          <w:sz w:val="21"/>
          <w:szCs w:val="21"/>
        </w:rPr>
        <w:t>中小企业划型标准规定</w:t>
      </w:r>
    </w:p>
    <w:p w14:paraId="746FFE29">
      <w:pPr>
        <w:pStyle w:val="37"/>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一、根据《中华人民共和国中小企业促进法》和《国务院关于进一步促进中小企业发展的若干意见》(国发〔2009〕36号)，制定本规定。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二、中小企业划分为中型、小型、微型三种类型，具体标准根据企业从业人员、营业收入、资产总额等指标，结合行业特点制定。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四、各行业划型标准为：</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（一）农、林、牧、渔业。营业收入20000万元以下的为中小微型企业。其中，营业收入500万元及以上的为中型企业，营业收入50万元及以上的为小型企业，营业收入50万元以下的为微型企业。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（十六）其他未列明行业。从业人员300人以下的为中小微型企业。其中，从业人员100人及以上的为中型企业；从业人员10人及以上的为小型企业；从业人员10人以下的为微型企业。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五、企业类型的划分以统计部门的统计数据为依据。</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六、本规定适用于在中华人民共和国境内依法设立的各类所有制和各种组织形式的企业。个体工商户和本规定以外的行业，参照本规定进行划型。</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八、本规定由工业和信息化部、国家统计局会同有关部门根据《国民经济行业分类》修订情况和企业发展变化情况适时修订。</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九、本规定由工业和信息化部、国家统计局会同有关部门负责解释。</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十、本规定自发布之日起执行，原国家经贸委、原国家计委、财政部和国家统计局2003年颁布的《中小企业标准暂行规定》同时废止。</w:t>
      </w:r>
    </w:p>
    <w:p w14:paraId="14ADA8DC">
      <w:pPr>
        <w:pStyle w:val="37"/>
        <w:shd w:val="clear" w:color="auto" w:fill="FFFFFF"/>
        <w:spacing w:line="360" w:lineRule="auto"/>
        <w:rPr>
          <w:rFonts w:asciiTheme="minorEastAsia" w:hAnsiTheme="minorEastAsia" w:eastAsiaTheme="minorEastAsia"/>
          <w:color w:val="000000"/>
          <w:sz w:val="21"/>
          <w:szCs w:val="21"/>
        </w:rPr>
      </w:pPr>
    </w:p>
    <w:p w14:paraId="38FC1945">
      <w:pPr>
        <w:pStyle w:val="3"/>
        <w:spacing w:before="0" w:after="0"/>
        <w:jc w:val="center"/>
        <w:rPr>
          <w:rFonts w:asciiTheme="minorEastAsia" w:hAnsiTheme="minorEastAsia" w:eastAsiaTheme="minorEastAsia"/>
        </w:rPr>
      </w:pPr>
      <w:bookmarkStart w:id="22" w:name="_Toc73613646"/>
      <w:bookmarkStart w:id="23" w:name="_Toc73610164"/>
      <w:r>
        <w:rPr>
          <w:rFonts w:hint="eastAsia" w:asciiTheme="minorEastAsia" w:hAnsiTheme="minorEastAsia" w:eastAsiaTheme="minorEastAsia"/>
          <w:bCs w:val="0"/>
        </w:rPr>
        <w:t>三、</w:t>
      </w:r>
      <w:r>
        <w:rPr>
          <w:rFonts w:asciiTheme="minorEastAsia" w:hAnsiTheme="minorEastAsia" w:eastAsiaTheme="minorEastAsia"/>
          <w:bCs w:val="0"/>
        </w:rPr>
        <w:t>国家统计局关于印发《统计上大中小微型企业划分办法 （2017）》的通知</w:t>
      </w:r>
      <w:bookmarkEnd w:id="22"/>
      <w:bookmarkEnd w:id="23"/>
      <w:r>
        <w:rPr>
          <w:rFonts w:asciiTheme="minorEastAsia" w:hAnsiTheme="minorEastAsia" w:eastAsiaTheme="minorEastAsia"/>
          <w:bCs w:val="0"/>
        </w:rPr>
        <w:t> </w:t>
      </w:r>
    </w:p>
    <w:p w14:paraId="14002BE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4C051E2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2442DF9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623AB63C">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1B891C5E">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45C4A745">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7D7AA5BD">
      <w:pPr>
        <w:widowControl/>
        <w:spacing w:line="360" w:lineRule="auto"/>
        <w:jc w:val="center"/>
        <w:rPr>
          <w:rFonts w:cs="宋体" w:asciiTheme="minorEastAsia" w:hAnsiTheme="minorEastAsia" w:eastAsiaTheme="minorEastAsia"/>
          <w:b/>
          <w:bCs/>
          <w:kern w:val="0"/>
          <w:szCs w:val="21"/>
        </w:rPr>
      </w:pPr>
    </w:p>
    <w:p w14:paraId="3177FB77">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0F17917B">
      <w:pPr>
        <w:widowControl/>
        <w:spacing w:line="360" w:lineRule="auto"/>
        <w:jc w:val="left"/>
        <w:rPr>
          <w:rFonts w:cs="宋体" w:asciiTheme="minorEastAsia" w:hAnsiTheme="minorEastAsia" w:eastAsiaTheme="minorEastAsia"/>
          <w:kern w:val="0"/>
          <w:szCs w:val="21"/>
        </w:rPr>
      </w:pPr>
    </w:p>
    <w:p w14:paraId="2098BECD">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AAEFFE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3C4B76D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3BD4DA1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7EEC9E4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7DDD993A">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40A2E7ED">
      <w:pPr>
        <w:widowControl/>
        <w:spacing w:line="360" w:lineRule="auto"/>
        <w:jc w:val="left"/>
        <w:rPr>
          <w:rFonts w:cs="宋体" w:asciiTheme="minorEastAsia" w:hAnsiTheme="minorEastAsia" w:eastAsiaTheme="minorEastAsia"/>
          <w:kern w:val="0"/>
          <w:szCs w:val="21"/>
        </w:rPr>
      </w:pPr>
    </w:p>
    <w:p w14:paraId="2D214FF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1FBCB609">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229F7027">
      <w:pPr>
        <w:widowControl/>
        <w:spacing w:line="360" w:lineRule="auto"/>
        <w:jc w:val="left"/>
        <w:rPr>
          <w:rFonts w:cs="宋体" w:asciiTheme="minorEastAsia" w:hAnsiTheme="minorEastAsia" w:eastAsiaTheme="minorEastAsia"/>
          <w:kern w:val="0"/>
          <w:szCs w:val="21"/>
        </w:rPr>
      </w:pPr>
    </w:p>
    <w:p w14:paraId="667A065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114DECC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2432383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6F66334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5C21D8E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0646109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320FAF0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51A4525D">
      <w:pPr>
        <w:widowControl/>
        <w:spacing w:line="360" w:lineRule="auto"/>
        <w:jc w:val="left"/>
        <w:rPr>
          <w:rFonts w:cs="宋体" w:asciiTheme="minorEastAsia" w:hAnsiTheme="minorEastAsia" w:eastAsiaTheme="minorEastAsia"/>
          <w:kern w:val="0"/>
          <w:szCs w:val="21"/>
        </w:rPr>
      </w:pPr>
    </w:p>
    <w:p w14:paraId="357AF11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21BEAD3F">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42"/>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8C3301F">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2AF74710">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69F1300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59ADCE5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7E34385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4F484BD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5FA59B5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092A5FC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6E2E7C66">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5DC4B1A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26B81E6F">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AC4C78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849F727">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053540E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261541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3C8B9ED1">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0BD5E22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100FE7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72C4913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FC3019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3D61D37">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547C18E">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28CA482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3B4A430F">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5D1380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1F749C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5078D5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452FB3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91022E">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722219A">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512B007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5614C9CD">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72A8CB7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B0271D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05EB00A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1130E8D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33C66DA9">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268CFF10">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230F67E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040C644A">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BA722B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758AE8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6A44AE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ADB261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F58FAED">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6D4CAB73">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35FCDF4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3D1D7C70">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52EC199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2DD904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3F39A9D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03910E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DF74321">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5472A992">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218CBA5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752D8A7B">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4DE3215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2DD92D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95C45F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9F67FA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11DF057">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7F86F430">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092F4EBE">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5956791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02AA4E0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55A4AC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1BA56D4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72FDB4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6E4E36D">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35BFD31">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706C7EE4">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08CCF44C">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4D6F15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DDBB47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47151E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C9C646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070BFC7">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139F3F4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4CD2A8C4">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74D793E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6B40D5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304D30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3360459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C6D4D4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08D51A5">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EBD8E8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648E8A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6CBA2C0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9BA9C5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7C372B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46C65A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7D687A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69B942B">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FD148EE">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6B8930A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5C68237D">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2957027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47F88F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40F4CF6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472FF1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06B0561">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58208A3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469D56F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3C26C982">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AF0091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BD757B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46C544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8585F2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D69CAC7">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3FC0A77">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31A3F2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0CDE1F1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1428F1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51FB87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3153C3A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687160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0E972F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50F61B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37076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BEAD22A">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516A65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FCD98A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0166A6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439E62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A913FC8">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12CAF8E0">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21117E3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438411F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57F7F2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D0FB7C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55C62C1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D54732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90EE533">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57A234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CD10FB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4A6229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915221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07999C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D39C7C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2686ED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AE1338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48FF5CE0">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774FC7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13801FB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6C3E18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BE2AA7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3D356F7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57DAC0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14FE926">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74F658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95DD53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EFFDC2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66376C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6B9167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8F1224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9362E4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C50B6B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8967ADC">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88C366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33B0BE0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620B5E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32D0C6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62817A6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3D9F8D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96352AA">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75FF0493">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07D5A92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013B36C">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AF616C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553EAC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C6D4FE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37E140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1FE7E6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54B613F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585B6B1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DB70BA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31A0D80">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07D3EEAE">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595CAF7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07DBCE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36CE1D7">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18B439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1968BE2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B6F4CF9">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69B387B">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770C18AB">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F0A810C">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F8854A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68A0889">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3938DCE">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3304203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702F0384">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2526122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0FE69C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6F4E5313">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2B72D74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59D706FF">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0252ABB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3B9D696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66A789E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9EDD493">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007940A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4EE0F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44162DD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1F3ED45">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7FA5A818">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2229956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185F92FC">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4B565FE4">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72E0BB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38B4EB2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245CA2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301C56C">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781B055">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6E7DDE3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0B3647D7">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1D2C8772">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D1441A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70BE5F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A3B3C6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C0918D5">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4B098FB">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0E59BB5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6EE0ACC8">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470627A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D12699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6D864BB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50354E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69B804A">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DAE44AD">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34041C0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B657D3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490312E">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0EEA2FB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D4D3CB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06D25E0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38A5B6E">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8BFF9E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06E87CC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2C08B1D2">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5E8C54B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4E5B2C4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46B994E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09EF9DF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1D791C7A">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0A1C1C5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226B10A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68EEBAB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5AA78FB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0110F92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217EB840">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4CBD7E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6DC7445">
      <w:pPr>
        <w:spacing w:line="360" w:lineRule="auto"/>
        <w:rPr>
          <w:rFonts w:asciiTheme="minorEastAsia" w:hAnsiTheme="minorEastAsia" w:eastAsiaTheme="minorEastAsia"/>
          <w:szCs w:val="21"/>
        </w:rPr>
      </w:pPr>
    </w:p>
    <w:p w14:paraId="5CEDCFCF">
      <w:pPr>
        <w:pStyle w:val="3"/>
        <w:spacing w:before="0" w:after="0"/>
        <w:jc w:val="center"/>
      </w:pPr>
      <w:bookmarkStart w:id="24" w:name="_Toc73610165"/>
      <w:bookmarkStart w:id="25" w:name="_Toc73613647"/>
      <w:r>
        <w:rPr>
          <w:rFonts w:hint="eastAsia"/>
        </w:rPr>
        <w:t>四、</w:t>
      </w:r>
      <w:r>
        <w:t>财政部 民政部 中国残疾人联合会关于促进残疾人就业 政府采购政策的通知</w:t>
      </w:r>
      <w:bookmarkEnd w:id="24"/>
      <w:bookmarkEnd w:id="25"/>
    </w:p>
    <w:p w14:paraId="5CE1E237">
      <w:pPr>
        <w:pStyle w:val="37"/>
        <w:shd w:val="clear" w:color="auto" w:fill="FFFFFF"/>
        <w:spacing w:line="360" w:lineRule="auto"/>
        <w:jc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财库〔2017〕141号</w:t>
      </w:r>
    </w:p>
    <w:p w14:paraId="2928EFD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8DC939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5A5CDAD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42C4075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66CE848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1AE9A76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6308729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79AE298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241996B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BD6A42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597CEF9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6C74F57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5E362DF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7903B40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0D0643D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7A7E9F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70D9507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15CEF34A">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383319B7">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49C990FC">
      <w:pPr>
        <w:widowControl/>
        <w:spacing w:line="360" w:lineRule="auto"/>
        <w:jc w:val="right"/>
        <w:rPr>
          <w:rFonts w:cs="宋体" w:asciiTheme="minorEastAsia" w:hAnsiTheme="minorEastAsia" w:eastAsiaTheme="minorEastAsia"/>
          <w:kern w:val="0"/>
          <w:szCs w:val="21"/>
        </w:rPr>
      </w:pPr>
    </w:p>
    <w:p w14:paraId="61E88A89">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527E8414">
      <w:pPr>
        <w:tabs>
          <w:tab w:val="left" w:pos="1875"/>
        </w:tabs>
      </w:pPr>
    </w:p>
    <w:p w14:paraId="186DD950"/>
    <w:p w14:paraId="7C25AC35">
      <w:pPr>
        <w:pStyle w:val="3"/>
        <w:spacing w:before="0" w:after="0"/>
        <w:jc w:val="center"/>
      </w:pPr>
      <w:r>
        <w:rPr>
          <w:rFonts w:hint="eastAsia"/>
        </w:rPr>
        <w:t>五、财政部 司法部关于政府采购支持监狱企业发展有关问题的通知</w:t>
      </w:r>
    </w:p>
    <w:p w14:paraId="576E0537">
      <w:pPr>
        <w:widowControl/>
        <w:spacing w:line="360" w:lineRule="auto"/>
        <w:jc w:val="center"/>
        <w:rPr>
          <w:rFonts w:cs="宋体" w:asciiTheme="minorEastAsia" w:hAnsiTheme="minorEastAsia" w:eastAsiaTheme="minorEastAsia"/>
          <w:kern w:val="0"/>
          <w:szCs w:val="21"/>
        </w:rPr>
      </w:pPr>
    </w:p>
    <w:p w14:paraId="0865F69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66D8B051">
      <w:pPr>
        <w:widowControl/>
        <w:spacing w:line="360" w:lineRule="auto"/>
        <w:jc w:val="left"/>
        <w:rPr>
          <w:rFonts w:cs="宋体" w:asciiTheme="minorEastAsia" w:hAnsiTheme="minorEastAsia" w:eastAsiaTheme="minorEastAsia"/>
          <w:kern w:val="0"/>
          <w:szCs w:val="21"/>
        </w:rPr>
      </w:pPr>
    </w:p>
    <w:p w14:paraId="64ED520D">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1E449DFB">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654D4001">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126E205">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7FB4CFA5">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5BC747C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01CB4118">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4FEEAD4">
      <w:pPr>
        <w:widowControl/>
        <w:spacing w:line="360" w:lineRule="auto"/>
        <w:jc w:val="left"/>
        <w:rPr>
          <w:rFonts w:cs="宋体" w:asciiTheme="minorEastAsia" w:hAnsiTheme="minorEastAsia" w:eastAsiaTheme="minorEastAsia"/>
          <w:kern w:val="0"/>
          <w:szCs w:val="21"/>
        </w:rPr>
      </w:pPr>
    </w:p>
    <w:p w14:paraId="5C2E9607">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146C0544">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36FE2168">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767653F3">
      <w:pPr>
        <w:widowControl/>
        <w:spacing w:line="360" w:lineRule="auto"/>
        <w:jc w:val="center"/>
        <w:rPr>
          <w:rFonts w:asciiTheme="majorEastAsia" w:hAnsiTheme="majorEastAsia" w:eastAsiaTheme="majorEastAsia"/>
          <w:b/>
          <w:sz w:val="32"/>
          <w:szCs w:val="32"/>
        </w:rPr>
      </w:pPr>
      <w:r>
        <w:rPr>
          <w:rFonts w:cs="宋体" w:asciiTheme="minorEastAsia" w:hAnsiTheme="minorEastAsia" w:eastAsiaTheme="minorEastAsia"/>
          <w:kern w:val="0"/>
          <w:szCs w:val="21"/>
        </w:rPr>
        <w:br w:type="page"/>
      </w:r>
      <w:r>
        <w:rPr>
          <w:rFonts w:hint="eastAsia" w:asciiTheme="majorEastAsia" w:hAnsiTheme="majorEastAsia" w:eastAsiaTheme="majorEastAsia"/>
          <w:b/>
          <w:sz w:val="32"/>
          <w:szCs w:val="32"/>
        </w:rPr>
        <w:t>第二册  通用条款（公开招标）</w:t>
      </w:r>
    </w:p>
    <w:p w14:paraId="65D9C535">
      <w:pPr>
        <w:keepNext/>
        <w:keepLines/>
        <w:widowControl/>
        <w:numPr>
          <w:ilvl w:val="0"/>
          <w:numId w:val="4"/>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bookmarkStart w:id="26" w:name="_Hlk72399513"/>
      <w:r>
        <w:rPr>
          <w:rFonts w:hint="eastAsia" w:asciiTheme="majorEastAsia" w:hAnsiTheme="majorEastAsia" w:eastAsiaTheme="majorEastAsia"/>
          <w:b/>
          <w:bCs/>
          <w:kern w:val="0"/>
          <w:sz w:val="28"/>
          <w:szCs w:val="28"/>
        </w:rPr>
        <w:t>总则</w:t>
      </w:r>
    </w:p>
    <w:bookmarkEnd w:id="26"/>
    <w:p w14:paraId="61344AAD">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1. 通用条款说明</w:t>
      </w:r>
    </w:p>
    <w:p w14:paraId="177055F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1.1采购代理机构发出招标文件通用条款版本，列出深圳市政府采购项目进行招标采购所适用的通用条款内容。</w:t>
      </w:r>
      <w:bookmarkStart w:id="27" w:name="_Hlk72399729"/>
      <w:r>
        <w:rPr>
          <w:rFonts w:hint="eastAsia" w:asciiTheme="majorEastAsia" w:hAnsiTheme="majorEastAsia" w:eastAsiaTheme="majorEastAsia"/>
          <w:szCs w:val="21"/>
        </w:rPr>
        <w:t>如有需要，采购代理机构可以对通用条款的内容进行补充。</w:t>
      </w:r>
      <w:bookmarkEnd w:id="27"/>
    </w:p>
    <w:p w14:paraId="62112F3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1.2招标文件分为第一册“专用条款”和第二册“通用条款”。</w:t>
      </w:r>
    </w:p>
    <w:p w14:paraId="46CD7AD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1.3“专用条款”是对本次采购项目的具体要求，包含招标公告、对通用条款的补充内容及其他关键信息、用户需求书、投标文件格式及附件、合同条款及格式等内容。</w:t>
      </w:r>
    </w:p>
    <w:p w14:paraId="5EC2C69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1.4“通用条款”是适用于政府采购公开招标项目的基础性条款，具有普遍性和通用性。</w:t>
      </w:r>
    </w:p>
    <w:p w14:paraId="7FF01DD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1.5 “专用条款”和“通用条款”表述不一致或有冲突时，以“专用条款”为准。</w:t>
      </w:r>
    </w:p>
    <w:p w14:paraId="68F000D5">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2</w:t>
      </w:r>
      <w:r>
        <w:rPr>
          <w:rFonts w:asciiTheme="majorEastAsia" w:hAnsiTheme="majorEastAsia" w:eastAsiaTheme="majorEastAsia"/>
          <w:b/>
          <w:bCs/>
          <w:szCs w:val="21"/>
        </w:rPr>
        <w:t>．</w:t>
      </w:r>
      <w:r>
        <w:rPr>
          <w:rFonts w:hint="eastAsia" w:asciiTheme="majorEastAsia" w:hAnsiTheme="majorEastAsia" w:eastAsiaTheme="majorEastAsia"/>
          <w:b/>
          <w:bCs/>
          <w:szCs w:val="21"/>
        </w:rPr>
        <w:t>招标说明</w:t>
      </w:r>
    </w:p>
    <w:p w14:paraId="7972EC2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本项目按照《深圳经济特区政府采购条例》、《深圳经济特区政府采购条例实施细则》及政府采购其他法律法规，通过公开招标方式确定中标供应商。</w:t>
      </w:r>
    </w:p>
    <w:p w14:paraId="643A8D4E">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3．定义</w:t>
      </w:r>
    </w:p>
    <w:p w14:paraId="3D59F8A4">
      <w:pPr>
        <w:spacing w:line="360" w:lineRule="auto"/>
        <w:ind w:firstLine="420" w:firstLineChars="200"/>
        <w:rPr>
          <w:rFonts w:asciiTheme="majorEastAsia" w:hAnsiTheme="majorEastAsia" w:eastAsiaTheme="majorEastAsia"/>
          <w:szCs w:val="21"/>
        </w:rPr>
      </w:pPr>
      <w:r>
        <w:rPr>
          <w:rFonts w:asciiTheme="majorEastAsia" w:hAnsiTheme="majorEastAsia" w:eastAsiaTheme="majorEastAsia"/>
          <w:szCs w:val="21"/>
        </w:rPr>
        <w:t>招标文件中下列术语应解释为：</w:t>
      </w:r>
    </w:p>
    <w:p w14:paraId="4FB44B9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w:t>
      </w:r>
      <w:r>
        <w:rPr>
          <w:rFonts w:asciiTheme="majorEastAsia" w:hAnsiTheme="majorEastAsia" w:eastAsiaTheme="majorEastAsia"/>
          <w:szCs w:val="21"/>
        </w:rPr>
        <w:t>1</w:t>
      </w:r>
      <w:r>
        <w:rPr>
          <w:rFonts w:hint="eastAsia" w:asciiTheme="majorEastAsia" w:hAnsiTheme="majorEastAsia" w:eastAsiaTheme="majorEastAsia"/>
          <w:szCs w:val="21"/>
        </w:rPr>
        <w:t>“采购人”：指利用财政性资金依法进行政府采购的国家机关、事业单位、团体组织；</w:t>
      </w:r>
    </w:p>
    <w:p w14:paraId="14B6749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 “政府集中采购机构”</w:t>
      </w:r>
      <w:r>
        <w:rPr>
          <w:rFonts w:hint="eastAsia" w:cs="Arial" w:asciiTheme="majorEastAsia" w:hAnsiTheme="majorEastAsia" w:eastAsiaTheme="majorEastAsia"/>
          <w:szCs w:val="21"/>
          <w:shd w:val="clear" w:color="auto" w:fill="FFFFFF"/>
        </w:rPr>
        <w:t>是指市政府设立的，对纳入集中采购目录内的采购项目组织实施采购，并对政府采购活动提供服务的专门机构；</w:t>
      </w:r>
      <w:r>
        <w:rPr>
          <w:rFonts w:hint="eastAsia" w:asciiTheme="majorEastAsia" w:hAnsiTheme="majorEastAsia" w:eastAsiaTheme="majorEastAsia"/>
          <w:szCs w:val="21"/>
        </w:rPr>
        <w:t>本文件所述的“政府集中采购机构”</w:t>
      </w:r>
      <w:r>
        <w:rPr>
          <w:rFonts w:asciiTheme="majorEastAsia" w:hAnsiTheme="majorEastAsia" w:eastAsiaTheme="majorEastAsia"/>
          <w:szCs w:val="21"/>
        </w:rPr>
        <w:t>指</w:t>
      </w:r>
      <w:r>
        <w:rPr>
          <w:rFonts w:hint="eastAsia" w:asciiTheme="majorEastAsia" w:hAnsiTheme="majorEastAsia" w:eastAsiaTheme="majorEastAsia"/>
          <w:szCs w:val="21"/>
        </w:rPr>
        <w:t>深圳公共资源交易中心；</w:t>
      </w:r>
    </w:p>
    <w:p w14:paraId="06A0DEC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3.3“采购代理机构”是指根据采购人委托，代理政府采购事宜的社会采购代理机构。本招标文件的招标机构特指</w:t>
      </w:r>
      <w:r>
        <w:rPr>
          <w:rFonts w:hint="eastAsia" w:asciiTheme="majorEastAsia" w:hAnsiTheme="majorEastAsia" w:eastAsiaTheme="majorEastAsia"/>
          <w:b/>
          <w:bCs/>
          <w:szCs w:val="21"/>
        </w:rPr>
        <w:t>深圳市中正招标有限公司；</w:t>
      </w:r>
    </w:p>
    <w:p w14:paraId="05D0713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3.4“投标人”，即供应商，指参加投标竞争并愿意按照招标文件要求向采购人提供货物、工程或者服务的依法成立的法人、其他组织或者自然人；</w:t>
      </w:r>
    </w:p>
    <w:p w14:paraId="4CA7F26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3.5“评审委员会”是依据《深圳经济特区政府采购条例》、《深圳经济特区政府采购条例实施细则》等有关规定组建的专门负责本次招标其评审工作的临时性机构；</w:t>
      </w:r>
    </w:p>
    <w:p w14:paraId="2FA45C7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3.6“日期”</w:t>
      </w:r>
      <w:r>
        <w:rPr>
          <w:rFonts w:asciiTheme="majorEastAsia" w:hAnsiTheme="majorEastAsia" w:eastAsiaTheme="majorEastAsia"/>
          <w:szCs w:val="21"/>
        </w:rPr>
        <w:t>指</w:t>
      </w:r>
      <w:r>
        <w:rPr>
          <w:rFonts w:hint="eastAsia" w:asciiTheme="majorEastAsia" w:hAnsiTheme="majorEastAsia" w:eastAsiaTheme="majorEastAsia"/>
          <w:szCs w:val="21"/>
        </w:rPr>
        <w:t>公历日；</w:t>
      </w:r>
    </w:p>
    <w:p w14:paraId="069F5B3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3.7“合同”指由本次招标所产生的合同或合约文件；</w:t>
      </w:r>
    </w:p>
    <w:p w14:paraId="6B06CEF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3.8“电子投标文件”指利用</w:t>
      </w:r>
      <w:r>
        <w:rPr>
          <w:rFonts w:hint="eastAsia" w:asciiTheme="majorEastAsia" w:hAnsiTheme="majorEastAsia" w:eastAsiaTheme="majorEastAsia"/>
          <w:bCs/>
          <w:szCs w:val="21"/>
        </w:rPr>
        <w:t>深圳公共资源交易网</w:t>
      </w:r>
      <w:r>
        <w:rPr>
          <w:rFonts w:hint="eastAsia" w:asciiTheme="majorEastAsia" w:hAnsiTheme="majorEastAsia" w:eastAsiaTheme="majorEastAsia"/>
          <w:szCs w:val="21"/>
        </w:rPr>
        <w:t>站提供的深圳智慧采购平台投标文件制作专用软件（以下简称：投标文件制作软件）制作并加密的投标文件,适用于网上投标；（投标文件制作软件可从“下载地址：</w:t>
      </w:r>
      <w:r>
        <w:rPr>
          <w:rFonts w:hint="eastAsia" w:ascii="宋体" w:hAnsi="宋体"/>
          <w:szCs w:val="21"/>
          <w:highlight w:val="yellow"/>
        </w:rPr>
        <w:t>https://www.szggzy.com/jyfw/details.html?contentId=2053275深圳市自行采购系统投标文件编制工具</w:t>
      </w:r>
      <w:r>
        <w:rPr>
          <w:rFonts w:hint="eastAsia" w:asciiTheme="majorEastAsia" w:hAnsiTheme="majorEastAsia" w:eastAsiaTheme="majorEastAsia"/>
          <w:szCs w:val="21"/>
        </w:rPr>
        <w:t>”下载）；</w:t>
      </w:r>
    </w:p>
    <w:p w14:paraId="1F2C748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3.9“网上投标”指通过</w:t>
      </w:r>
      <w:r>
        <w:rPr>
          <w:rFonts w:hint="eastAsia" w:asciiTheme="majorEastAsia" w:hAnsiTheme="majorEastAsia" w:eastAsiaTheme="majorEastAsia"/>
          <w:bCs/>
          <w:szCs w:val="21"/>
        </w:rPr>
        <w:t>深圳公共资源交易网</w:t>
      </w:r>
      <w:r>
        <w:rPr>
          <w:rFonts w:hint="eastAsia" w:asciiTheme="majorEastAsia" w:hAnsiTheme="majorEastAsia" w:eastAsiaTheme="majorEastAsia"/>
          <w:szCs w:val="21"/>
        </w:rPr>
        <w:t>站上传电子投标文件；</w:t>
      </w:r>
    </w:p>
    <w:p w14:paraId="29E0435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3.10招标文件中的标题或题名仅起引导作用，而不应视为对招标文件内容的理解和解释。</w:t>
      </w:r>
    </w:p>
    <w:p w14:paraId="113890F7">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 xml:space="preserve">4. </w:t>
      </w:r>
      <w:bookmarkStart w:id="28" w:name="_Hlk72398643"/>
      <w:r>
        <w:rPr>
          <w:rFonts w:hint="eastAsia" w:asciiTheme="majorEastAsia" w:hAnsiTheme="majorEastAsia" w:eastAsiaTheme="majorEastAsia"/>
          <w:b/>
          <w:bCs/>
          <w:szCs w:val="21"/>
        </w:rPr>
        <w:t>政府采购供应商责任</w:t>
      </w:r>
    </w:p>
    <w:p w14:paraId="0661037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4.1欢迎诚信、有实力和有社会责任心的供应商参与政府采购事业。</w:t>
      </w:r>
    </w:p>
    <w:p w14:paraId="2CCDE59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4.2投标人应当遵循公平竞争的原则，不得恶意串通，不得妨碍其他投标人的竞争行为，不得损害采购人或者其他投标人的合法权益。如违反上述要求，经核实后，供应商的投标无效。</w:t>
      </w:r>
    </w:p>
    <w:p w14:paraId="5C6EA8B6">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5．投标人参加政府采购的条件</w:t>
      </w:r>
    </w:p>
    <w:p w14:paraId="6F63616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5.1投标人应在投标前到</w:t>
      </w:r>
      <w:r>
        <w:rPr>
          <w:rFonts w:hint="eastAsia" w:asciiTheme="majorEastAsia" w:hAnsiTheme="majorEastAsia" w:eastAsiaTheme="majorEastAsia"/>
          <w:b/>
          <w:bCs/>
          <w:szCs w:val="21"/>
        </w:rPr>
        <w:t>深圳公共资源交易中心（具体在深圳交易集团有限公司政府采购业务分公司进行办理）</w:t>
      </w:r>
      <w:r>
        <w:rPr>
          <w:rFonts w:hint="eastAsia" w:asciiTheme="majorEastAsia" w:hAnsiTheme="majorEastAsia" w:eastAsiaTheme="majorEastAsia"/>
          <w:szCs w:val="21"/>
        </w:rPr>
        <w:t>进行注册并办理电子密钥。《</w:t>
      </w:r>
      <w:r>
        <w:fldChar w:fldCharType="begin"/>
      </w:r>
      <w:r>
        <w:instrText xml:space="preserve"> HYPERLINK "http://www.szzfcg.cn/viewer.do?id=2455258" \t "documentViewer2455258" </w:instrText>
      </w:r>
      <w:r>
        <w:fldChar w:fldCharType="separate"/>
      </w:r>
      <w:r>
        <w:rPr>
          <w:rFonts w:asciiTheme="majorEastAsia" w:hAnsiTheme="majorEastAsia" w:eastAsiaTheme="majorEastAsia"/>
          <w:szCs w:val="21"/>
        </w:rPr>
        <w:t>供应商注册及电子密钥新申请指引</w:t>
      </w:r>
      <w:r>
        <w:rPr>
          <w:rFonts w:asciiTheme="majorEastAsia" w:hAnsiTheme="majorEastAsia" w:eastAsiaTheme="majorEastAsia"/>
          <w:szCs w:val="21"/>
        </w:rPr>
        <w:fldChar w:fldCharType="end"/>
      </w:r>
      <w:r>
        <w:rPr>
          <w:rFonts w:hint="eastAsia" w:asciiTheme="majorEastAsia" w:hAnsiTheme="majorEastAsia" w:eastAsiaTheme="majorEastAsia"/>
          <w:szCs w:val="21"/>
        </w:rPr>
        <w:t>》详见</w:t>
      </w:r>
      <w:r>
        <w:rPr>
          <w:rFonts w:asciiTheme="majorEastAsia" w:hAnsiTheme="majorEastAsia" w:eastAsiaTheme="majorEastAsia"/>
          <w:szCs w:val="21"/>
        </w:rPr>
        <w:t>http://zfcg.szggzy.com/</w:t>
      </w:r>
      <w:r>
        <w:rPr>
          <w:rFonts w:hint="eastAsia" w:asciiTheme="majorEastAsia" w:hAnsiTheme="majorEastAsia" w:eastAsiaTheme="majorEastAsia"/>
          <w:szCs w:val="21"/>
        </w:rPr>
        <w:t>。</w:t>
      </w:r>
    </w:p>
    <w:p w14:paraId="434B69D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5.2投标人资格要求</w:t>
      </w:r>
    </w:p>
    <w:p w14:paraId="6A24557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参加本项目的投标人应具备的资格条件详见本项目招标公告中 “投标人资格要求”（即申请人的资格要求）的内容。</w:t>
      </w:r>
    </w:p>
    <w:p w14:paraId="5D145CD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5.3联合体投标</w:t>
      </w:r>
    </w:p>
    <w:p w14:paraId="7A52ACA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5.3.1　以下有关联合体投标的条款仅适用于允许投标人组成联合体投标的项目。</w:t>
      </w:r>
    </w:p>
    <w:p w14:paraId="5368365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5.3.2  由两个或两个以上的自然人、法人或者其他组织可以组成一个联合体，以一个供应商的身份共同投标时，应符合以下原则：</w:t>
      </w:r>
    </w:p>
    <w:p w14:paraId="67F8E9E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（1）投标联合体各方参加政府采购活动应当具备下列条件：</w:t>
      </w:r>
    </w:p>
    <w:p w14:paraId="37C21F91">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1、具有独立承担民事责任的能力；</w:t>
      </w:r>
    </w:p>
    <w:p w14:paraId="2A01E794">
      <w:pPr>
        <w:spacing w:line="360" w:lineRule="auto"/>
        <w:ind w:left="420" w:firstLine="411" w:firstLineChars="196"/>
        <w:rPr>
          <w:rFonts w:asciiTheme="majorEastAsia" w:hAnsiTheme="majorEastAsia" w:eastAsiaTheme="majorEastAsia"/>
          <w:szCs w:val="21"/>
        </w:rPr>
      </w:pPr>
      <w:r>
        <w:rPr>
          <w:rFonts w:hint="eastAsia" w:asciiTheme="majorEastAsia" w:hAnsiTheme="majorEastAsia" w:eastAsiaTheme="majorEastAsia"/>
          <w:szCs w:val="21"/>
        </w:rPr>
        <w:t>2、有良好的商业信誉和健全的财务会计制度；</w:t>
      </w:r>
    </w:p>
    <w:p w14:paraId="51ECD3E4">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3、具有履行合同所必需的设备和专业技术能力；</w:t>
      </w:r>
    </w:p>
    <w:p w14:paraId="179B1B77">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4、有依法缴纳税收和社会保障资金的良好记录；</w:t>
      </w:r>
    </w:p>
    <w:p w14:paraId="786888CF">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5、参加政府采购活动前三年内，在经营活动中没有重大违法记录；</w:t>
      </w:r>
    </w:p>
    <w:p w14:paraId="06036655">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6、法律、行政法规规定的其他条件。</w:t>
      </w:r>
    </w:p>
    <w:p w14:paraId="650C53A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（2）联合体中有同类资质的供应商按照联合体分工承担相同工作的，应当按照资质等级较低的供应商确定资质等级；</w:t>
      </w:r>
    </w:p>
    <w:p w14:paraId="2C69E46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（3）是否允许联合体参加投标，应当由采购人和采购代理机构根据项目的实际情况和潜在供应商的数量自主决定，如果决定接受联合体投标则应当在招标公告中明示；</w:t>
      </w:r>
    </w:p>
    <w:p w14:paraId="24ADE6C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（4）投标人的投标文件及中标后签署的合同协议对联合体各方均具法律约束力；</w:t>
      </w:r>
    </w:p>
    <w:p w14:paraId="36A0FE2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（5）联合体各方应当签订联合体投标协议，明确约定各方拟承担的工作和责任，并将该协议随投标文件一并递交给采购代理机构；</w:t>
      </w:r>
    </w:p>
    <w:p w14:paraId="36BCF35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（6）联合体中标后，联合体各方应当共同与采购人签订合同，就中标项目向采购人承担连带责任；</w:t>
      </w:r>
    </w:p>
    <w:p w14:paraId="43B7C24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以联合体形式参加政府采购活动的，联合体各方不得再单独参加或者与其他供应商另外组成联合体参加同一合同项下的政府采购活动，出现上述情况者，其投标和与此有关联合体、总包单位的投标将被拒绝；</w:t>
      </w:r>
    </w:p>
    <w:p w14:paraId="4F63665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（8）本通用条款中“投标人”一词亦指联合体各方，专用条款另有规定或说明的除外。</w:t>
      </w:r>
    </w:p>
    <w:p w14:paraId="11319E21">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6．政策导向</w:t>
      </w:r>
    </w:p>
    <w:p w14:paraId="64296E4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6.1政府采购扶持贫困地区、中小企业、监狱企业和残疾人福利性单位发展，支持节能减排、环境保护。</w:t>
      </w:r>
    </w:p>
    <w:p w14:paraId="3D5DA8C1">
      <w:pPr>
        <w:spacing w:line="360" w:lineRule="auto"/>
        <w:ind w:firstLine="405"/>
        <w:rPr>
          <w:rFonts w:asciiTheme="majorEastAsia" w:hAnsiTheme="majorEastAsia" w:eastAsiaTheme="majorEastAsia"/>
          <w:szCs w:val="21"/>
          <w:shd w:val="clear" w:color="auto" w:fill="FFFFFF"/>
        </w:rPr>
      </w:pPr>
      <w:r>
        <w:rPr>
          <w:rFonts w:hint="eastAsia" w:asciiTheme="majorEastAsia" w:hAnsiTheme="majorEastAsia" w:eastAsiaTheme="majorEastAsia"/>
          <w:szCs w:val="21"/>
        </w:rPr>
        <w:t>6.2本项目落实深圳市政府采购供应商诚信管理政策要求。</w:t>
      </w:r>
    </w:p>
    <w:p w14:paraId="2904E336">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7. 本项目若涉及采购货物，则合格的货物及相应服务应满足以下要求：</w:t>
      </w:r>
    </w:p>
    <w:p w14:paraId="72B89AB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w:t>
      </w:r>
      <w:r>
        <w:rPr>
          <w:rFonts w:asciiTheme="majorEastAsia" w:hAnsiTheme="majorEastAsia" w:eastAsiaTheme="majorEastAsia"/>
          <w:szCs w:val="21"/>
        </w:rPr>
        <w:t xml:space="preserve">.1  </w:t>
      </w:r>
      <w:r>
        <w:rPr>
          <w:rFonts w:hint="eastAsia" w:asciiTheme="majorEastAsia" w:hAnsiTheme="majorEastAsia" w:eastAsiaTheme="majorEastAsia"/>
          <w:szCs w:val="21"/>
        </w:rPr>
        <w:t>必须是全新、未使用过的原装合格正品（包括零部件），如安装或配置了软件的，须为正版软件。</w:t>
      </w:r>
    </w:p>
    <w:p w14:paraId="2492A32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7.2  国产的货物及其有关服务必须符合中华人民共和国的设计、制造生产标准及行业标准。招标公告有其他要求的，亦应符合其要求。</w:t>
      </w:r>
    </w:p>
    <w:p w14:paraId="4C9B2C4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2F75E33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4投标人</w:t>
      </w:r>
      <w:bookmarkStart w:id="29" w:name="_Hlk72152753"/>
      <w:r>
        <w:rPr>
          <w:rFonts w:hint="eastAsia" w:asciiTheme="majorEastAsia" w:hAnsiTheme="majorEastAsia" w:eastAsiaTheme="majorEastAsia"/>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29"/>
    </w:p>
    <w:p w14:paraId="5945777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6125C8D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7.6  工期要求：投标人在投标时对其所投项目应提交交货进度、交货计划等，在合同规定的时间内完成项目实施工作。</w:t>
      </w:r>
    </w:p>
    <w:p w14:paraId="08E11E6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7.7  投标人必须承担的设备运输、安装调试、验收检测和提供设备操作说明书、图纸等其他相关及类似的义务。</w:t>
      </w:r>
    </w:p>
    <w:p w14:paraId="17813244">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8．投标费用</w:t>
      </w:r>
    </w:p>
    <w:p w14:paraId="47009A3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不论投标结果如何，投标人应承担其编制投标文件与递交投标文件所涉及的一切费用。</w:t>
      </w:r>
    </w:p>
    <w:p w14:paraId="60C4D9C0">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9．踏勘现场</w:t>
      </w:r>
    </w:p>
    <w:p w14:paraId="35430B9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9.1如有需要（详见专用条款），采购人或采购代理机构将组织投标人对项目现场及周围环境进行踏勘，以便投标人获取有关编制投标文件和签署合同所需的资料。踏勘现场所发生的费用由投标人自行承担。投标人应按招标文件所约定的时间、地点踏勘现场。</w:t>
      </w:r>
    </w:p>
    <w:p w14:paraId="1E2CC90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9.2投标人及其人员经过采购人的允许，可以进入采购人的项目现场踏勘。若招标文件要求投标人于统一时间地点踏勘现场的，投标人应当按时前往。</w:t>
      </w:r>
    </w:p>
    <w:p w14:paraId="101A09E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9.3采购人应当通过采购代理机构向投标人提供有关现场的书面资料和数据。</w:t>
      </w:r>
    </w:p>
    <w:p w14:paraId="388C2FD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9.4任何人或任何组织在踏勘现场时向投标人提供的任何书面资料或口头承诺，未经采购代理机构在网上发布或书面通知，均作无效处理。</w:t>
      </w:r>
    </w:p>
    <w:p w14:paraId="794299D2">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9</w:t>
      </w:r>
      <w:r>
        <w:rPr>
          <w:rFonts w:hint="eastAsia" w:asciiTheme="majorEastAsia" w:hAnsiTheme="majorEastAsia" w:eastAsiaTheme="majorEastAsia"/>
          <w:szCs w:val="21"/>
        </w:rPr>
        <w:t>.</w:t>
      </w:r>
      <w:r>
        <w:rPr>
          <w:rFonts w:asciiTheme="majorEastAsia" w:hAnsiTheme="majorEastAsia" w:eastAsiaTheme="majorEastAsia"/>
          <w:szCs w:val="21"/>
        </w:rPr>
        <w:t>5</w:t>
      </w:r>
      <w:r>
        <w:rPr>
          <w:rFonts w:hint="eastAsia" w:asciiTheme="majorEastAsia" w:hAnsiTheme="majorEastAsia" w:eastAsiaTheme="majorEastAsia"/>
          <w:szCs w:val="21"/>
        </w:rPr>
        <w:t>未参与踏勘现场不作为否定投标人资格的理由。</w:t>
      </w:r>
    </w:p>
    <w:p w14:paraId="34709B25">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1</w:t>
      </w:r>
      <w:r>
        <w:rPr>
          <w:rFonts w:asciiTheme="majorEastAsia" w:hAnsiTheme="majorEastAsia" w:eastAsiaTheme="majorEastAsia"/>
          <w:b/>
          <w:bCs/>
          <w:szCs w:val="21"/>
        </w:rPr>
        <w:t>0</w:t>
      </w:r>
      <w:r>
        <w:rPr>
          <w:rFonts w:hint="eastAsia" w:asciiTheme="majorEastAsia" w:hAnsiTheme="majorEastAsia" w:eastAsiaTheme="majorEastAsia"/>
          <w:b/>
          <w:bCs/>
          <w:szCs w:val="21"/>
        </w:rPr>
        <w:t>．标前会议</w:t>
      </w:r>
    </w:p>
    <w:p w14:paraId="694CBAF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0</w:t>
      </w:r>
      <w:r>
        <w:rPr>
          <w:rFonts w:hint="eastAsia" w:asciiTheme="majorEastAsia" w:hAnsiTheme="majorEastAsia" w:eastAsiaTheme="majorEastAsia"/>
          <w:szCs w:val="21"/>
        </w:rPr>
        <w:t>.</w:t>
      </w:r>
      <w:r>
        <w:rPr>
          <w:rFonts w:asciiTheme="majorEastAsia" w:hAnsiTheme="majorEastAsia" w:eastAsiaTheme="majorEastAsia"/>
          <w:szCs w:val="21"/>
        </w:rPr>
        <w:t>1</w:t>
      </w:r>
      <w:r>
        <w:rPr>
          <w:rFonts w:hint="eastAsia" w:asciiTheme="majorEastAsia" w:hAnsiTheme="majorEastAsia" w:eastAsiaTheme="majorEastAsia"/>
          <w:szCs w:val="21"/>
        </w:rPr>
        <w:t>如采购人或采购代理机构认为有必要组织标前会议，投标人应按照招标文件规定的时间或采购代理机构另行书面通知（包括采购代理机构网站发布方式，如更正公告等）的时间和地点，参与标前会议。</w:t>
      </w:r>
    </w:p>
    <w:p w14:paraId="27A94C27">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10</w:t>
      </w:r>
      <w:r>
        <w:rPr>
          <w:rFonts w:hint="eastAsia" w:asciiTheme="majorEastAsia" w:hAnsiTheme="majorEastAsia" w:eastAsiaTheme="majorEastAsia"/>
          <w:szCs w:val="21"/>
        </w:rPr>
        <w:t>.</w:t>
      </w:r>
      <w:r>
        <w:rPr>
          <w:rFonts w:asciiTheme="majorEastAsia" w:hAnsiTheme="majorEastAsia" w:eastAsiaTheme="majorEastAsia"/>
          <w:szCs w:val="21"/>
        </w:rPr>
        <w:t>2</w:t>
      </w:r>
      <w:r>
        <w:rPr>
          <w:rFonts w:hint="eastAsia" w:asciiTheme="majorEastAsia" w:hAnsiTheme="majorEastAsia" w:eastAsiaTheme="majorEastAsia"/>
          <w:szCs w:val="21"/>
        </w:rPr>
        <w:t>任何人或任何组织在标前会议时向投标人提供的任何书面资料或口头承诺，未经采购代理机构在网上发布或书面通知，均作无效处理。</w:t>
      </w:r>
    </w:p>
    <w:p w14:paraId="278F07B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0</w:t>
      </w:r>
      <w:r>
        <w:rPr>
          <w:rFonts w:hint="eastAsia" w:asciiTheme="majorEastAsia" w:hAnsiTheme="majorEastAsia" w:eastAsiaTheme="majorEastAsia"/>
          <w:szCs w:val="21"/>
        </w:rPr>
        <w:t>.</w:t>
      </w:r>
      <w:r>
        <w:rPr>
          <w:rFonts w:asciiTheme="majorEastAsia" w:hAnsiTheme="majorEastAsia" w:eastAsiaTheme="majorEastAsia"/>
          <w:szCs w:val="21"/>
        </w:rPr>
        <w:t>3</w:t>
      </w:r>
      <w:r>
        <w:rPr>
          <w:rFonts w:hint="eastAsia" w:asciiTheme="majorEastAsia" w:hAnsiTheme="majorEastAsia" w:eastAsiaTheme="majorEastAsia"/>
          <w:szCs w:val="21"/>
        </w:rPr>
        <w:t>未参与标前会议不作为否定投标人资格的理由。</w:t>
      </w:r>
    </w:p>
    <w:bookmarkEnd w:id="28"/>
    <w:p w14:paraId="1401F1CA">
      <w:pPr>
        <w:keepNext/>
        <w:keepLines/>
        <w:widowControl/>
        <w:numPr>
          <w:ilvl w:val="0"/>
          <w:numId w:val="4"/>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招标文件</w:t>
      </w:r>
    </w:p>
    <w:p w14:paraId="23201FE7">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w:t>
      </w:r>
      <w:r>
        <w:rPr>
          <w:rFonts w:asciiTheme="majorEastAsia" w:hAnsiTheme="majorEastAsia" w:eastAsiaTheme="majorEastAsia"/>
          <w:b/>
          <w:bCs/>
          <w:szCs w:val="21"/>
        </w:rPr>
        <w:t>1</w:t>
      </w:r>
      <w:r>
        <w:rPr>
          <w:rFonts w:hint="eastAsia" w:asciiTheme="majorEastAsia" w:hAnsiTheme="majorEastAsia" w:eastAsiaTheme="majorEastAsia"/>
          <w:b/>
          <w:bCs/>
          <w:szCs w:val="21"/>
        </w:rPr>
        <w:t>．</w:t>
      </w:r>
      <w:bookmarkStart w:id="30" w:name="_Hlk72399819"/>
      <w:r>
        <w:rPr>
          <w:rFonts w:hint="eastAsia" w:asciiTheme="majorEastAsia" w:hAnsiTheme="majorEastAsia" w:eastAsiaTheme="majorEastAsia"/>
          <w:b/>
          <w:bCs/>
          <w:szCs w:val="21"/>
        </w:rPr>
        <w:t>招标文件的编制与组成</w:t>
      </w:r>
    </w:p>
    <w:p w14:paraId="7CC0D1F5">
      <w:pPr>
        <w:snapToGrid w:val="0"/>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1</w:t>
      </w:r>
      <w:r>
        <w:rPr>
          <w:rFonts w:hint="eastAsia" w:asciiTheme="majorEastAsia" w:hAnsiTheme="majorEastAsia" w:eastAsiaTheme="majorEastAsia"/>
          <w:szCs w:val="21"/>
        </w:rPr>
        <w:t>.1招标文件除以下内容外，采购代理机构在招标期间发出的澄清或修改等相关公告或通知内容，均是招标文件的组成部分，对投标人起约束作用；</w:t>
      </w:r>
    </w:p>
    <w:p w14:paraId="156BD0C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招标文件包括下列内容：</w:t>
      </w:r>
    </w:p>
    <w:p w14:paraId="18B378A0">
      <w:pPr>
        <w:spacing w:line="360" w:lineRule="auto"/>
        <w:ind w:left="420" w:leftChars="200" w:firstLine="413" w:firstLineChars="196"/>
        <w:rPr>
          <w:rFonts w:asciiTheme="majorEastAsia" w:hAnsiTheme="majorEastAsia" w:eastAsiaTheme="majorEastAsia"/>
          <w:b/>
          <w:szCs w:val="21"/>
        </w:rPr>
      </w:pPr>
      <w:r>
        <w:rPr>
          <w:rFonts w:hint="eastAsia" w:asciiTheme="majorEastAsia" w:hAnsiTheme="majorEastAsia" w:eastAsiaTheme="majorEastAsia"/>
          <w:b/>
          <w:szCs w:val="21"/>
        </w:rPr>
        <w:t>第一册  专用条款</w:t>
      </w:r>
    </w:p>
    <w:p w14:paraId="40F26CB8">
      <w:pPr>
        <w:spacing w:line="360" w:lineRule="auto"/>
        <w:ind w:left="1079" w:leftChars="514"/>
        <w:rPr>
          <w:rFonts w:asciiTheme="majorEastAsia" w:hAnsiTheme="majorEastAsia" w:eastAsiaTheme="majorEastAsia"/>
          <w:b/>
          <w:szCs w:val="21"/>
        </w:rPr>
      </w:pPr>
      <w:r>
        <w:rPr>
          <w:rFonts w:hint="eastAsia" w:asciiTheme="majorEastAsia" w:hAnsiTheme="majorEastAsia" w:eastAsiaTheme="majorEastAsia"/>
          <w:b/>
          <w:szCs w:val="21"/>
        </w:rPr>
        <w:t>关键信息</w:t>
      </w:r>
    </w:p>
    <w:p w14:paraId="22BF4C4D">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第一章  招标公告</w:t>
      </w:r>
    </w:p>
    <w:p w14:paraId="108DF659">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第二章  对通用条款的补充内容及其他关键信息</w:t>
      </w:r>
    </w:p>
    <w:p w14:paraId="1DE53B7D">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第三章  用户需求书</w:t>
      </w:r>
    </w:p>
    <w:p w14:paraId="1D491D26">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第四章  投标文件格式及附件</w:t>
      </w:r>
    </w:p>
    <w:p w14:paraId="7D20AA1E">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第五章  合同条款及格式</w:t>
      </w:r>
    </w:p>
    <w:p w14:paraId="4DEB9442">
      <w:pPr>
        <w:spacing w:line="360" w:lineRule="auto"/>
        <w:ind w:left="420" w:leftChars="200" w:firstLine="413" w:firstLineChars="196"/>
        <w:outlineLvl w:val="0"/>
        <w:rPr>
          <w:rFonts w:asciiTheme="majorEastAsia" w:hAnsiTheme="majorEastAsia" w:eastAsiaTheme="majorEastAsia"/>
          <w:b/>
          <w:szCs w:val="21"/>
        </w:rPr>
      </w:pPr>
      <w:r>
        <w:rPr>
          <w:rFonts w:hint="eastAsia" w:asciiTheme="majorEastAsia" w:hAnsiTheme="majorEastAsia" w:eastAsiaTheme="majorEastAsia"/>
          <w:b/>
          <w:szCs w:val="21"/>
        </w:rPr>
        <w:t>第二册  通用条款</w:t>
      </w:r>
    </w:p>
    <w:p w14:paraId="5F9BB891">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第一章  总则</w:t>
      </w:r>
    </w:p>
    <w:p w14:paraId="705C7B08">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第二章  招标文件</w:t>
      </w:r>
    </w:p>
    <w:p w14:paraId="65828C4B">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第三章  投标文件的编制</w:t>
      </w:r>
    </w:p>
    <w:p w14:paraId="3571FB1C">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第四章  投标文件的递交</w:t>
      </w:r>
    </w:p>
    <w:p w14:paraId="76B5F53A">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第五章  开标</w:t>
      </w:r>
    </w:p>
    <w:p w14:paraId="7ACD383E">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第六章  评审要求</w:t>
      </w:r>
    </w:p>
    <w:p w14:paraId="75CEDF94">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第七章  评审程序及评审方法</w:t>
      </w:r>
    </w:p>
    <w:p w14:paraId="03919797">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第八章  定标及公示</w:t>
      </w:r>
    </w:p>
    <w:p w14:paraId="50266CCB">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第九章  公开招标失败的后续处理</w:t>
      </w:r>
    </w:p>
    <w:p w14:paraId="0C130B3C">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第十章  合同的授予与备案</w:t>
      </w:r>
    </w:p>
    <w:p w14:paraId="69B95AF4">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第十一章  质疑处理</w:t>
      </w:r>
    </w:p>
    <w:p w14:paraId="137F882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1</w:t>
      </w:r>
      <w:r>
        <w:rPr>
          <w:rFonts w:hint="eastAsia" w:asciiTheme="majorEastAsia" w:hAnsiTheme="majorEastAsia" w:eastAsiaTheme="majorEastAsia"/>
          <w:szCs w:val="21"/>
        </w:rPr>
        <w:t>.2 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40D6E52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1</w:t>
      </w:r>
      <w:r>
        <w:rPr>
          <w:rFonts w:hint="eastAsia" w:asciiTheme="majorEastAsia" w:hAnsiTheme="majorEastAsia" w:eastAsiaTheme="majorEastAsia"/>
          <w:szCs w:val="21"/>
        </w:rPr>
        <w:t>.3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71A8E48A">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w:t>
      </w:r>
      <w:r>
        <w:rPr>
          <w:rFonts w:asciiTheme="majorEastAsia" w:hAnsiTheme="majorEastAsia" w:eastAsiaTheme="majorEastAsia"/>
          <w:b/>
          <w:bCs/>
          <w:szCs w:val="21"/>
        </w:rPr>
        <w:t>2</w:t>
      </w:r>
      <w:r>
        <w:rPr>
          <w:rFonts w:hint="eastAsia" w:asciiTheme="majorEastAsia" w:hAnsiTheme="majorEastAsia" w:eastAsiaTheme="majorEastAsia"/>
          <w:b/>
          <w:bCs/>
          <w:szCs w:val="21"/>
        </w:rPr>
        <w:t>．招标文件的澄清</w:t>
      </w:r>
    </w:p>
    <w:p w14:paraId="3AB8069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2</w:t>
      </w:r>
      <w:r>
        <w:rPr>
          <w:rFonts w:hint="eastAsia" w:asciiTheme="majorEastAsia" w:hAnsiTheme="majorEastAsia" w:eastAsiaTheme="majorEastAsia"/>
          <w:szCs w:val="21"/>
        </w:rPr>
        <w:t>.1招标文件澄清的目的是澄清、解答投标人在查阅招标文件后或现场踏勘中可能提出的与投标有关的疑问或询问。</w:t>
      </w:r>
    </w:p>
    <w:p w14:paraId="49DB60F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2</w:t>
      </w:r>
      <w:r>
        <w:rPr>
          <w:rFonts w:hint="eastAsia" w:asciiTheme="majorEastAsia" w:hAnsiTheme="majorEastAsia" w:eastAsiaTheme="majorEastAsia"/>
          <w:szCs w:val="21"/>
        </w:rPr>
        <w:t>.2投标人如对招标文件内容有疑问，应当在招标公告规定的澄清（提问）截止时间前以网上提问的形式通过网上政府采购系统提交采购代理机构。</w:t>
      </w:r>
    </w:p>
    <w:p w14:paraId="2C70F21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2</w:t>
      </w:r>
      <w:r>
        <w:rPr>
          <w:rFonts w:hint="eastAsia" w:asciiTheme="majorEastAsia" w:hAnsiTheme="majorEastAsia" w:eastAsiaTheme="majorEastAsia"/>
          <w:szCs w:val="21"/>
        </w:rPr>
        <w:t>.3不论是采购代理机构根据需要主动对招标文件进行必要的澄清或是根据投标人的要求对招标文件做出澄清，采购代理机构都将在投标截止日期前以书面形式（包括采购代理机构网站发布方式）答复或发送给所有投标人。答复内容是招标文件的组成部分，对投标人起约束作用，其有效性按照本通用条款第1</w:t>
      </w:r>
      <w:r>
        <w:rPr>
          <w:rFonts w:asciiTheme="majorEastAsia" w:hAnsiTheme="majorEastAsia" w:eastAsiaTheme="majorEastAsia"/>
          <w:szCs w:val="21"/>
        </w:rPr>
        <w:t>3.3</w:t>
      </w:r>
      <w:r>
        <w:rPr>
          <w:rFonts w:hint="eastAsia" w:asciiTheme="majorEastAsia" w:hAnsiTheme="majorEastAsia" w:eastAsiaTheme="majorEastAsia"/>
          <w:szCs w:val="21"/>
        </w:rPr>
        <w:t>、1</w:t>
      </w:r>
      <w:r>
        <w:rPr>
          <w:rFonts w:asciiTheme="majorEastAsia" w:hAnsiTheme="majorEastAsia" w:eastAsiaTheme="majorEastAsia"/>
          <w:szCs w:val="21"/>
        </w:rPr>
        <w:t>3.4</w:t>
      </w:r>
      <w:r>
        <w:rPr>
          <w:rFonts w:hint="eastAsia" w:asciiTheme="majorEastAsia" w:hAnsiTheme="majorEastAsia" w:eastAsiaTheme="majorEastAsia"/>
          <w:szCs w:val="21"/>
        </w:rPr>
        <w:t>款规定执行。</w:t>
      </w:r>
    </w:p>
    <w:p w14:paraId="0FA59EE6">
      <w:pPr>
        <w:spacing w:line="360" w:lineRule="auto"/>
        <w:rPr>
          <w:rFonts w:asciiTheme="majorEastAsia" w:hAnsiTheme="majorEastAsia" w:eastAsiaTheme="majorEastAsia"/>
          <w:b/>
          <w:bCs/>
          <w:szCs w:val="21"/>
        </w:rPr>
      </w:pPr>
      <w:r>
        <w:rPr>
          <w:rFonts w:asciiTheme="majorEastAsia" w:hAnsiTheme="majorEastAsia" w:eastAsiaTheme="majorEastAsia"/>
          <w:b/>
          <w:bCs/>
          <w:szCs w:val="21"/>
        </w:rPr>
        <w:t>1</w:t>
      </w:r>
      <w:r>
        <w:rPr>
          <w:rFonts w:hint="eastAsia" w:asciiTheme="majorEastAsia" w:hAnsiTheme="majorEastAsia" w:eastAsiaTheme="majorEastAsia"/>
          <w:b/>
          <w:bCs/>
          <w:szCs w:val="21"/>
        </w:rPr>
        <w:t>3．招标文件的修改</w:t>
      </w:r>
    </w:p>
    <w:p w14:paraId="14C2AAA4">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3.1招标文件发出后，在投标截止日期前任何时候，确需要变更招标文件内容的，采购代理机构可主动或在解答投标人提出的澄清问题时对招标文件进行修改。</w:t>
      </w:r>
    </w:p>
    <w:p w14:paraId="655DE104">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3.2招标文件的修改以书面形式（包括采购代理机构网站发布方式，如更正公告等）发送给所有投标人，招标文件的修改内容作为招标文件的组成部分，并具有约束力。</w:t>
      </w:r>
    </w:p>
    <w:p w14:paraId="4B2C923A">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3.3招标文件、招标文件澄清答复内容、招标文件修改补充内容均以书面形式（包括采购代理机构网站公开发布方式，如更正公告等）明确的内容为准。当招标文件、修改补充通知、招标文件澄清答复内容相互矛盾时，以最后发出的内容为准。</w:t>
      </w:r>
    </w:p>
    <w:p w14:paraId="36040201">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3.4采购代理机构保证招标文件澄清答复内容和招标文件修改补充内容在投标截止时间前以书面形式（包括采购代理机构网站发布方式，如更正公告等）发送给所有投标人。为使投标人在编制投标文件时有充分时间对招标文件的修改部分进行研究，采购代理机构可以酌情延长递交投标文件的截止日期。</w:t>
      </w:r>
      <w:bookmarkEnd w:id="30"/>
    </w:p>
    <w:p w14:paraId="004D4E1A">
      <w:pPr>
        <w:keepNext/>
        <w:keepLines/>
        <w:widowControl/>
        <w:numPr>
          <w:ilvl w:val="0"/>
          <w:numId w:val="4"/>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投标文件的编制</w:t>
      </w:r>
    </w:p>
    <w:p w14:paraId="2EB14BAB">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14．</w:t>
      </w:r>
      <w:bookmarkStart w:id="31" w:name="_Hlk72400236"/>
      <w:r>
        <w:rPr>
          <w:rFonts w:hint="eastAsia" w:asciiTheme="majorEastAsia" w:hAnsiTheme="majorEastAsia" w:eastAsiaTheme="majorEastAsia"/>
          <w:b/>
          <w:bCs/>
          <w:szCs w:val="21"/>
        </w:rPr>
        <w:t>投标文件的语言及度量单位</w:t>
      </w:r>
    </w:p>
    <w:p w14:paraId="418E59E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FDB5D5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14.2 除技术规范另有规定外，投标文件使用的度量单位，均采用中华人民共和国法定计量单位。</w:t>
      </w:r>
    </w:p>
    <w:bookmarkEnd w:id="31"/>
    <w:p w14:paraId="6A732149">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15．</w:t>
      </w:r>
      <w:bookmarkStart w:id="32" w:name="_Hlk72401567"/>
      <w:r>
        <w:rPr>
          <w:rFonts w:hint="eastAsia" w:asciiTheme="majorEastAsia" w:hAnsiTheme="majorEastAsia" w:eastAsiaTheme="majorEastAsia"/>
          <w:b/>
          <w:bCs/>
          <w:szCs w:val="21"/>
        </w:rPr>
        <w:t>投标文件的组成</w:t>
      </w:r>
    </w:p>
    <w:p w14:paraId="26E7478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具体内容在招标文件专用条款中进行规定。</w:t>
      </w:r>
    </w:p>
    <w:p w14:paraId="7FF26589">
      <w:pPr>
        <w:spacing w:line="360" w:lineRule="auto"/>
        <w:rPr>
          <w:rFonts w:asciiTheme="majorEastAsia" w:hAnsiTheme="majorEastAsia" w:eastAsiaTheme="majorEastAsia"/>
          <w:b/>
          <w:bCs/>
          <w:szCs w:val="21"/>
        </w:rPr>
      </w:pPr>
      <w:r>
        <w:rPr>
          <w:rFonts w:asciiTheme="majorEastAsia" w:hAnsiTheme="majorEastAsia" w:eastAsiaTheme="majorEastAsia"/>
          <w:b/>
          <w:bCs/>
          <w:szCs w:val="21"/>
        </w:rPr>
        <w:t>16．投标文件格式</w:t>
      </w:r>
    </w:p>
    <w:p w14:paraId="379B2C2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投标文件包括本通用条款第</w:t>
      </w:r>
      <w:r>
        <w:rPr>
          <w:rFonts w:asciiTheme="majorEastAsia" w:hAnsiTheme="majorEastAsia" w:eastAsiaTheme="majorEastAsia"/>
          <w:szCs w:val="21"/>
        </w:rPr>
        <w:t>15条中规定的内容。如招标文件提供了投标文件格式，则</w:t>
      </w:r>
      <w:r>
        <w:rPr>
          <w:rFonts w:hint="eastAsia" w:asciiTheme="majorEastAsia" w:hAnsiTheme="majorEastAsia" w:eastAsiaTheme="majorEastAsia"/>
          <w:b/>
          <w:bCs/>
          <w:szCs w:val="21"/>
        </w:rPr>
        <w:t>投标人提交的投标文件应使用招标文件所提供的相应格式</w:t>
      </w:r>
      <w:r>
        <w:rPr>
          <w:rFonts w:hint="eastAsia" w:asciiTheme="majorEastAsia" w:hAnsiTheme="majorEastAsia" w:eastAsiaTheme="majorEastAsia"/>
          <w:szCs w:val="21"/>
        </w:rPr>
        <w:t>（表格均可按同样格式扩展）。</w:t>
      </w:r>
    </w:p>
    <w:p w14:paraId="31A09EBE">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17．投标货币</w:t>
      </w:r>
    </w:p>
    <w:p w14:paraId="2877209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本项目的投标报价应以人民币计。</w:t>
      </w:r>
    </w:p>
    <w:bookmarkEnd w:id="32"/>
    <w:p w14:paraId="06DF6B37">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18．</w:t>
      </w:r>
      <w:bookmarkStart w:id="33" w:name="_Hlk72401735"/>
      <w:r>
        <w:rPr>
          <w:rFonts w:hint="eastAsia" w:asciiTheme="majorEastAsia" w:hAnsiTheme="majorEastAsia" w:eastAsiaTheme="majorEastAsia"/>
          <w:b/>
          <w:bCs/>
          <w:szCs w:val="21"/>
        </w:rPr>
        <w:t>证明投标文件投标技术方案的合格性和符合招标文件规定的文件要求</w:t>
      </w:r>
    </w:p>
    <w:p w14:paraId="722A2A0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w:t>
      </w:r>
      <w:r>
        <w:rPr>
          <w:rFonts w:asciiTheme="majorEastAsia" w:hAnsiTheme="majorEastAsia" w:eastAsiaTheme="majorEastAsia"/>
          <w:szCs w:val="21"/>
        </w:rPr>
        <w:t xml:space="preserve">.1 </w:t>
      </w:r>
      <w:r>
        <w:rPr>
          <w:rFonts w:hint="eastAsia" w:asciiTheme="majorEastAsia" w:hAnsiTheme="majorEastAsia" w:eastAsiaTheme="majorEastAsia"/>
          <w:szCs w:val="21"/>
        </w:rPr>
        <w:t>投标人应提交证明文件，证明其投标技术方案项下的货物和服务的合格性符合招标文件规定。该投标技术方案及其证明文件均作为投标文件组成部分。</w:t>
      </w:r>
    </w:p>
    <w:p w14:paraId="7BF9E9C9">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8</w:t>
      </w:r>
      <w:r>
        <w:rPr>
          <w:rFonts w:asciiTheme="majorEastAsia" w:hAnsiTheme="majorEastAsia" w:eastAsiaTheme="majorEastAsia"/>
          <w:szCs w:val="21"/>
        </w:rPr>
        <w:t xml:space="preserve">.2 </w:t>
      </w:r>
      <w:r>
        <w:rPr>
          <w:rFonts w:hint="eastAsia" w:asciiTheme="majorEastAsia" w:hAnsiTheme="majorEastAsia" w:eastAsiaTheme="major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02B4BDB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18.2.1主要技术指标和性能的详细说明。</w:t>
      </w:r>
    </w:p>
    <w:p w14:paraId="3E0B06F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w:t>
      </w:r>
      <w:r>
        <w:rPr>
          <w:rFonts w:asciiTheme="majorEastAsia" w:hAnsiTheme="majorEastAsia" w:eastAsiaTheme="majorEastAsia"/>
          <w:szCs w:val="21"/>
        </w:rPr>
        <w:t>2</w:t>
      </w:r>
      <w:r>
        <w:rPr>
          <w:rFonts w:hint="eastAsia" w:asciiTheme="majorEastAsia" w:hAnsiTheme="majorEastAsia" w:eastAsiaTheme="majorEastAsia"/>
          <w:szCs w:val="21"/>
        </w:rPr>
        <w:t>投标产品从采购人开始使用至招标文件中规定的周期内正常、连续地使用所必须的备件和专用工具清单，包括备件和专用工具的货源及现行价格。</w:t>
      </w:r>
    </w:p>
    <w:p w14:paraId="650288E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w:t>
      </w:r>
      <w:r>
        <w:rPr>
          <w:rFonts w:asciiTheme="majorEastAsia" w:hAnsiTheme="majorEastAsia" w:eastAsiaTheme="majorEastAsia"/>
          <w:szCs w:val="21"/>
        </w:rPr>
        <w:t>3</w:t>
      </w:r>
      <w:r>
        <w:rPr>
          <w:rFonts w:hint="eastAsia" w:asciiTheme="majorEastAsia" w:hAnsiTheme="majorEastAsia" w:eastAsiaTheme="major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590BDD3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56A020A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7B0F8C3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18.3相关资料不符合18.2款要求的，评审委员会有权认定为投标技术方案不合格响应，其相关分数予以扣减或作投标无效处理。</w:t>
      </w:r>
    </w:p>
    <w:p w14:paraId="6488B1A6">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8</w:t>
      </w:r>
      <w:r>
        <w:rPr>
          <w:rFonts w:asciiTheme="majorEastAsia" w:hAnsiTheme="majorEastAsia" w:eastAsiaTheme="majorEastAsia"/>
          <w:szCs w:val="21"/>
        </w:rPr>
        <w:t>.</w:t>
      </w:r>
      <w:r>
        <w:rPr>
          <w:rFonts w:hint="eastAsia" w:asciiTheme="majorEastAsia" w:hAnsiTheme="majorEastAsia" w:eastAsiaTheme="major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14:paraId="11E1D61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18.5除非另有规定或说明，投标人对同一项目投标时，不得同时提供两套或两套以上的投标方案。</w:t>
      </w:r>
    </w:p>
    <w:bookmarkEnd w:id="33"/>
    <w:p w14:paraId="475B26FD">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19．</w:t>
      </w:r>
      <w:bookmarkStart w:id="34" w:name="_Hlk72402034"/>
      <w:r>
        <w:rPr>
          <w:rFonts w:hint="eastAsia" w:asciiTheme="majorEastAsia" w:hAnsiTheme="majorEastAsia" w:eastAsiaTheme="majorEastAsia"/>
          <w:b/>
          <w:bCs/>
          <w:szCs w:val="21"/>
        </w:rPr>
        <w:t>投标文件其他证明文件的要求</w:t>
      </w:r>
    </w:p>
    <w:p w14:paraId="351EA21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35" w:name="_Hlk71407299"/>
    </w:p>
    <w:bookmarkEnd w:id="35"/>
    <w:p w14:paraId="4FE9E6E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01FBC30B">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20．投标有效期</w:t>
      </w:r>
    </w:p>
    <w:bookmarkEnd w:id="34"/>
    <w:p w14:paraId="207230AB">
      <w:pPr>
        <w:spacing w:line="360" w:lineRule="auto"/>
        <w:ind w:firstLine="411" w:firstLineChars="196"/>
        <w:rPr>
          <w:rFonts w:asciiTheme="majorEastAsia" w:hAnsiTheme="majorEastAsia" w:eastAsiaTheme="majorEastAsia"/>
          <w:szCs w:val="21"/>
        </w:rPr>
      </w:pPr>
      <w:bookmarkStart w:id="36" w:name="_Hlk72402214"/>
      <w:r>
        <w:rPr>
          <w:rFonts w:hint="eastAsia" w:asciiTheme="majorEastAsia" w:hAnsiTheme="majorEastAsia" w:eastAsiaTheme="majorEastAsia"/>
          <w:szCs w:val="21"/>
        </w:rPr>
        <w:t>20.1 投标有效期为</w:t>
      </w:r>
      <w:r>
        <w:rPr>
          <w:rFonts w:hint="eastAsia" w:cs="Arial" w:asciiTheme="majorEastAsia" w:hAnsiTheme="majorEastAsia" w:eastAsiaTheme="majorEastAsia"/>
          <w:szCs w:val="21"/>
        </w:rPr>
        <w:t>从投标截止之日算起的日历天数。</w:t>
      </w:r>
      <w:r>
        <w:rPr>
          <w:rFonts w:hint="eastAsia" w:asciiTheme="majorEastAsia" w:hAnsiTheme="majorEastAsia" w:eastAsiaTheme="majorEastAsia"/>
          <w:szCs w:val="21"/>
        </w:rPr>
        <w:t>在此期限内，所有投标文件均保持有效。</w:t>
      </w:r>
    </w:p>
    <w:p w14:paraId="33D8E12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20.2 在特殊情况下，采购代理机构在原定的投标有效期满之前，可以根据需要以书面形式（包括采购代理机构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w:t>
      </w:r>
    </w:p>
    <w:p w14:paraId="3F0E6BB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20</w:t>
      </w:r>
      <w:r>
        <w:rPr>
          <w:rFonts w:asciiTheme="majorEastAsia" w:hAnsiTheme="majorEastAsia" w:eastAsiaTheme="majorEastAsia"/>
          <w:szCs w:val="21"/>
        </w:rPr>
        <w:t>.3</w:t>
      </w:r>
      <w:r>
        <w:rPr>
          <w:rFonts w:hint="eastAsia" w:asciiTheme="majorEastAsia" w:hAnsiTheme="majorEastAsia" w:eastAsiaTheme="majorEastAsia"/>
          <w:szCs w:val="21"/>
        </w:rPr>
        <w:t xml:space="preserve"> 中标供应商的投标文件有效期，截止于完成本招标文件规定的全部项目内容，并通过竣工验收及保修期结束。</w:t>
      </w:r>
    </w:p>
    <w:bookmarkEnd w:id="36"/>
    <w:p w14:paraId="6F5ED44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21．</w:t>
      </w:r>
      <w:bookmarkStart w:id="37" w:name="_Hlk72402325"/>
      <w:r>
        <w:rPr>
          <w:rFonts w:hint="eastAsia" w:asciiTheme="majorEastAsia" w:hAnsiTheme="majorEastAsia" w:eastAsiaTheme="majorEastAsia"/>
          <w:szCs w:val="21"/>
        </w:rPr>
        <w:t xml:space="preserve">关于投标保证金 </w:t>
      </w:r>
    </w:p>
    <w:p w14:paraId="3ABC887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21.1 根据《</w:t>
      </w:r>
      <w:r>
        <w:rPr>
          <w:rFonts w:asciiTheme="majorEastAsia" w:hAnsiTheme="majorEastAsia" w:eastAsiaTheme="majorEastAsia"/>
          <w:szCs w:val="21"/>
        </w:rPr>
        <w:t>深圳市财政局关于明确政府采购保证金管理工作的通知</w:t>
      </w:r>
      <w:r>
        <w:rPr>
          <w:rFonts w:hint="eastAsia" w:asciiTheme="majorEastAsia" w:hAnsiTheme="majorEastAsia" w:eastAsiaTheme="majorEastAsia"/>
          <w:szCs w:val="21"/>
        </w:rPr>
        <w:t>》（深财购[</w:t>
      </w:r>
      <w:r>
        <w:rPr>
          <w:rFonts w:asciiTheme="majorEastAsia" w:hAnsiTheme="majorEastAsia" w:eastAsiaTheme="majorEastAsia"/>
          <w:szCs w:val="21"/>
        </w:rPr>
        <w:t>2019]42</w:t>
      </w:r>
      <w:r>
        <w:rPr>
          <w:rFonts w:hint="eastAsia" w:asciiTheme="majorEastAsia" w:hAnsiTheme="majorEastAsia" w:eastAsiaTheme="majorEastAsia"/>
          <w:szCs w:val="21"/>
        </w:rPr>
        <w:t>号）文的规定，本项目不收取投标保证金。</w:t>
      </w:r>
    </w:p>
    <w:p w14:paraId="4AB4BF0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22．投标人的替代方案</w:t>
      </w:r>
    </w:p>
    <w:p w14:paraId="4EDD889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186E0C2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37"/>
    <w:p w14:paraId="5D847B10">
      <w:pPr>
        <w:spacing w:line="360" w:lineRule="auto"/>
        <w:rPr>
          <w:rFonts w:hint="eastAsia" w:asciiTheme="majorEastAsia" w:hAnsiTheme="majorEastAsia" w:eastAsiaTheme="majorEastAsia"/>
          <w:b/>
          <w:bCs/>
          <w:szCs w:val="21"/>
        </w:rPr>
      </w:pPr>
      <w:r>
        <w:rPr>
          <w:rFonts w:hint="eastAsia" w:asciiTheme="majorEastAsia" w:hAnsiTheme="majorEastAsia" w:eastAsiaTheme="majorEastAsia"/>
          <w:b/>
          <w:bCs/>
          <w:szCs w:val="21"/>
        </w:rPr>
        <w:t>23．</w:t>
      </w:r>
      <w:bookmarkStart w:id="38" w:name="_Hlk72402860"/>
      <w:r>
        <w:rPr>
          <w:rFonts w:asciiTheme="majorEastAsia" w:hAnsiTheme="majorEastAsia" w:eastAsiaTheme="majorEastAsia"/>
          <w:b/>
          <w:bCs/>
          <w:szCs w:val="21"/>
        </w:rPr>
        <w:t>投标文件的</w:t>
      </w:r>
      <w:r>
        <w:rPr>
          <w:rFonts w:hint="eastAsia" w:asciiTheme="majorEastAsia" w:hAnsiTheme="majorEastAsia" w:eastAsiaTheme="majorEastAsia"/>
          <w:b/>
          <w:bCs/>
          <w:szCs w:val="21"/>
        </w:rPr>
        <w:t>制作</w:t>
      </w:r>
      <w:r>
        <w:rPr>
          <w:rFonts w:asciiTheme="majorEastAsia" w:hAnsiTheme="majorEastAsia" w:eastAsiaTheme="majorEastAsia"/>
          <w:b/>
          <w:bCs/>
          <w:szCs w:val="21"/>
        </w:rPr>
        <w:t>要求</w:t>
      </w:r>
    </w:p>
    <w:p w14:paraId="02BEE740">
      <w:pPr>
        <w:pStyle w:val="5"/>
        <w:rPr>
          <w:rFonts w:hint="eastAsia"/>
        </w:rPr>
      </w:pPr>
    </w:p>
    <w:p w14:paraId="68C01B67">
      <w:pPr>
        <w:spacing w:line="360" w:lineRule="auto"/>
        <w:ind w:firstLine="411" w:firstLineChars="196"/>
        <w:rPr>
          <w:rFonts w:ascii="宋体" w:hAnsi="宋体"/>
          <w:szCs w:val="24"/>
        </w:rPr>
      </w:pPr>
      <w:r>
        <w:rPr>
          <w:rFonts w:hint="eastAsia" w:ascii="宋体" w:hAnsi="宋体"/>
          <w:szCs w:val="24"/>
        </w:rPr>
        <w:t>23.1投标人应准备所投项目的电子投标文件一份。</w:t>
      </w:r>
    </w:p>
    <w:p w14:paraId="0BB73762">
      <w:pPr>
        <w:spacing w:line="360" w:lineRule="auto"/>
        <w:ind w:firstLine="411" w:firstLineChars="196"/>
        <w:rPr>
          <w:rFonts w:ascii="宋体" w:hAnsi="宋体"/>
          <w:szCs w:val="24"/>
        </w:rPr>
      </w:pPr>
      <w:r>
        <w:rPr>
          <w:rFonts w:hint="eastAsia" w:ascii="宋体" w:hAnsi="宋体"/>
          <w:szCs w:val="24"/>
        </w:rPr>
        <w:t>23.2投标人在使用《投标书编制软件》编制投标书时须注意：</w:t>
      </w:r>
    </w:p>
    <w:p w14:paraId="456082D7">
      <w:pPr>
        <w:spacing w:line="360" w:lineRule="auto"/>
        <w:ind w:firstLine="411" w:firstLineChars="196"/>
        <w:rPr>
          <w:rFonts w:ascii="宋体" w:hAnsi="宋体"/>
          <w:szCs w:val="24"/>
        </w:rPr>
      </w:pPr>
      <w:r>
        <w:rPr>
          <w:rFonts w:hint="eastAsia" w:ascii="宋体" w:hAnsi="宋体"/>
          <w:szCs w:val="24"/>
        </w:rPr>
        <w:t>23.2.1导入《投标书编制软件》的招标文件项目编号、包号应与以此制作的投标文件项目编号、包号一致。例如，不能将甲项目A包的招标书导入《投标书编制软件》，制作乙项目B包的投标书。</w:t>
      </w:r>
    </w:p>
    <w:p w14:paraId="19000A42">
      <w:pPr>
        <w:spacing w:line="360" w:lineRule="auto"/>
        <w:ind w:firstLine="411" w:firstLineChars="196"/>
        <w:rPr>
          <w:rFonts w:ascii="宋体" w:hAnsi="宋体"/>
          <w:szCs w:val="24"/>
        </w:rPr>
      </w:pPr>
      <w:r>
        <w:rPr>
          <w:rFonts w:hint="eastAsia" w:ascii="宋体" w:hAnsi="宋体"/>
          <w:szCs w:val="24"/>
        </w:rPr>
        <w:t>23.2.2不能用非本公司的电子密钥加密本公司的投标文件，或者用其它公司的登录用户上传本公司的投标文件。</w:t>
      </w:r>
    </w:p>
    <w:p w14:paraId="74F0ED2B">
      <w:pPr>
        <w:spacing w:line="360" w:lineRule="auto"/>
        <w:ind w:firstLine="411" w:firstLineChars="196"/>
        <w:rPr>
          <w:rFonts w:ascii="宋体" w:hAnsi="宋体"/>
          <w:szCs w:val="24"/>
        </w:rPr>
      </w:pPr>
      <w:r>
        <w:rPr>
          <w:rFonts w:hint="eastAsia" w:ascii="宋体" w:hAnsi="宋体"/>
          <w:szCs w:val="24"/>
        </w:rPr>
        <w:t>23.2.3要求用《投标书编制软件》编制投标书的包，不能用其它方式编制投标书。编制投标文件时，电脑须连通互联网。</w:t>
      </w:r>
    </w:p>
    <w:p w14:paraId="4F425A2A">
      <w:pPr>
        <w:spacing w:line="360" w:lineRule="auto"/>
        <w:ind w:firstLine="411" w:firstLineChars="196"/>
        <w:rPr>
          <w:rFonts w:ascii="宋体" w:hAnsi="宋体"/>
          <w:szCs w:val="24"/>
        </w:rPr>
      </w:pPr>
      <w:r>
        <w:rPr>
          <w:rFonts w:hint="eastAsia" w:ascii="宋体" w:hAnsi="宋体"/>
          <w:szCs w:val="24"/>
        </w:rPr>
        <w:t>23.2.4投标文件不能带病毒。政府集中采购机构将用专业杀毒软件对投标文件进行病毒检测，如果这两种软件均报告发现病毒，则政府集中采购机构认为该投标文件带病毒。</w:t>
      </w:r>
    </w:p>
    <w:p w14:paraId="0D40C5A0">
      <w:pPr>
        <w:spacing w:line="360" w:lineRule="auto"/>
        <w:ind w:firstLine="411" w:firstLineChars="196"/>
        <w:rPr>
          <w:rFonts w:ascii="宋体" w:hAnsi="宋体"/>
          <w:szCs w:val="24"/>
        </w:rPr>
      </w:pPr>
      <w:r>
        <w:rPr>
          <w:rFonts w:hint="eastAsia" w:ascii="宋体" w:hAnsi="宋体"/>
          <w:szCs w:val="24"/>
        </w:rPr>
        <w:t>23.2.6投标人在编辑投标文件时，</w:t>
      </w:r>
      <w:r>
        <w:rPr>
          <w:rFonts w:hint="eastAsia" w:ascii="宋体" w:hAnsi="宋体"/>
          <w:b/>
          <w:szCs w:val="24"/>
        </w:rPr>
        <w:t>在投标文件目录中属于本节点内容的必须在本节点中填写，填写到其他节点或附件，</w:t>
      </w:r>
      <w:r>
        <w:rPr>
          <w:rFonts w:hint="eastAsia" w:ascii="宋体" w:hAnsi="宋体"/>
          <w:szCs w:val="24"/>
        </w:rPr>
        <w:t>一切后果由供应商自行承担。</w:t>
      </w:r>
    </w:p>
    <w:p w14:paraId="2C04E097">
      <w:pPr>
        <w:spacing w:line="360" w:lineRule="auto"/>
        <w:ind w:firstLine="411" w:firstLineChars="196"/>
        <w:rPr>
          <w:rFonts w:ascii="宋体" w:hAnsi="宋体"/>
          <w:szCs w:val="24"/>
        </w:rPr>
      </w:pPr>
      <w:r>
        <w:rPr>
          <w:rFonts w:hint="eastAsia" w:ascii="宋体" w:hAnsi="宋体"/>
          <w:szCs w:val="24"/>
        </w:rPr>
        <w:t>23.2.7投标文件编写完成后，</w:t>
      </w:r>
      <w:r>
        <w:rPr>
          <w:rFonts w:hint="eastAsia" w:ascii="宋体" w:hAnsi="宋体"/>
          <w:b/>
          <w:szCs w:val="24"/>
        </w:rPr>
        <w:t>必须用属于投标人的电子密钥或电子营业执照进行加密，否则视同未盖公章，将导致投标文件无效。</w:t>
      </w:r>
    </w:p>
    <w:p w14:paraId="0F709483">
      <w:pPr>
        <w:spacing w:line="360" w:lineRule="auto"/>
        <w:ind w:firstLine="411" w:firstLineChars="196"/>
        <w:rPr>
          <w:rFonts w:ascii="宋体" w:hAnsi="宋体"/>
          <w:szCs w:val="24"/>
        </w:rPr>
      </w:pPr>
      <w:r>
        <w:rPr>
          <w:rFonts w:hint="eastAsia" w:ascii="宋体" w:hAnsi="宋体"/>
          <w:szCs w:val="24"/>
        </w:rPr>
        <w:t>23.2.8采购代理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41A84B61">
      <w:pPr>
        <w:spacing w:line="360" w:lineRule="auto"/>
        <w:ind w:firstLine="411" w:firstLineChars="196"/>
        <w:rPr>
          <w:rFonts w:ascii="宋体" w:hAnsi="宋体"/>
          <w:szCs w:val="24"/>
        </w:rPr>
      </w:pPr>
      <w:r>
        <w:rPr>
          <w:rFonts w:hint="eastAsia" w:ascii="宋体" w:hAnsi="宋体"/>
          <w:szCs w:val="24"/>
        </w:rPr>
        <w:t>23.2.9如果开标时出现网络故障、技术故障，影响了政府采购活动，政府集中采购机构有权采取措施如延期、接受无法从网上上传的投标书等，以保障政府采购活动的公开、公平和公正。</w:t>
      </w:r>
    </w:p>
    <w:p w14:paraId="5B0DEB40">
      <w:pPr>
        <w:spacing w:line="360" w:lineRule="auto"/>
        <w:ind w:firstLine="411" w:firstLineChars="196"/>
        <w:rPr>
          <w:rFonts w:ascii="宋体" w:hAnsi="宋体"/>
          <w:szCs w:val="24"/>
        </w:rPr>
      </w:pPr>
      <w:r>
        <w:rPr>
          <w:rFonts w:hint="eastAsia" w:ascii="宋体" w:hAnsi="宋体"/>
          <w:szCs w:val="24"/>
        </w:rPr>
        <w:t>23.3电报、电话、传真形式的投标概不接受。</w:t>
      </w:r>
    </w:p>
    <w:p w14:paraId="091F4FF7">
      <w:pPr>
        <w:spacing w:line="360" w:lineRule="auto"/>
        <w:ind w:firstLine="413" w:firstLineChars="196"/>
        <w:rPr>
          <w:rFonts w:ascii="宋体" w:hAnsi="宋体"/>
          <w:b/>
          <w:szCs w:val="24"/>
        </w:rPr>
      </w:pPr>
      <w:r>
        <w:rPr>
          <w:rFonts w:hint="eastAsia" w:ascii="宋体" w:hAnsi="宋体"/>
          <w:b/>
          <w:szCs w:val="24"/>
        </w:rPr>
        <w:t>23.4经投标人电子密钥或电子营业执照加密的投标文件无须盖章或签字，</w:t>
      </w:r>
      <w:r>
        <w:rPr>
          <w:rFonts w:hint="eastAsia" w:ascii="宋体" w:hAnsi="宋体"/>
          <w:szCs w:val="24"/>
        </w:rPr>
        <w:t>专用条款另有要求的除外。</w:t>
      </w:r>
    </w:p>
    <w:p w14:paraId="1002D631">
      <w:pPr>
        <w:spacing w:line="360" w:lineRule="auto"/>
        <w:ind w:firstLine="411" w:firstLineChars="196"/>
        <w:rPr>
          <w:rFonts w:ascii="宋体" w:hAnsi="宋体"/>
          <w:szCs w:val="24"/>
        </w:rPr>
      </w:pPr>
      <w:r>
        <w:rPr>
          <w:rFonts w:hint="eastAsia" w:ascii="宋体" w:hAnsi="宋体"/>
          <w:szCs w:val="24"/>
        </w:rPr>
        <w:t>23.5 各类资格（资质）文件提供扫描件，专用条款另有要求的除外。</w:t>
      </w:r>
    </w:p>
    <w:p w14:paraId="067F9A2B"/>
    <w:bookmarkEnd w:id="38"/>
    <w:p w14:paraId="2DD8F5EF">
      <w:pPr>
        <w:keepNext/>
        <w:keepLines/>
        <w:widowControl/>
        <w:numPr>
          <w:ilvl w:val="0"/>
          <w:numId w:val="4"/>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投标文件的递交</w:t>
      </w:r>
      <w:bookmarkStart w:id="39" w:name="_Hlk72405459"/>
    </w:p>
    <w:p w14:paraId="5D3BF8BF">
      <w:pPr>
        <w:spacing w:line="360" w:lineRule="auto"/>
        <w:rPr>
          <w:rFonts w:ascii="黑体" w:hAnsi="宋体" w:eastAsia="黑体"/>
          <w:sz w:val="24"/>
          <w:szCs w:val="24"/>
        </w:rPr>
      </w:pPr>
      <w:r>
        <w:rPr>
          <w:rFonts w:hint="eastAsia" w:asciiTheme="majorEastAsia" w:hAnsiTheme="majorEastAsia" w:eastAsiaTheme="majorEastAsia"/>
          <w:b/>
          <w:bCs/>
          <w:szCs w:val="21"/>
        </w:rPr>
        <w:t>24．投标文件的保密</w:t>
      </w:r>
    </w:p>
    <w:p w14:paraId="46AF620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14:paraId="33E78AE4">
      <w:pPr>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24.2若采购项目出现延期情况：</w:t>
      </w:r>
    </w:p>
    <w:p w14:paraId="2BD2685B">
      <w:pPr>
        <w:spacing w:line="360" w:lineRule="auto"/>
        <w:ind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如果供下载的招标文件有更新，投标人必须重新下载招标文件、重新制作投标文件、重新加密投标文件、重新上传投标文件。</w:t>
      </w:r>
    </w:p>
    <w:p w14:paraId="765864C5">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25．上传投标文件及投标截止日期</w:t>
      </w:r>
    </w:p>
    <w:p w14:paraId="45A9845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25</w:t>
      </w:r>
      <w:r>
        <w:rPr>
          <w:rFonts w:asciiTheme="majorEastAsia" w:hAnsiTheme="majorEastAsia" w:eastAsiaTheme="majorEastAsia"/>
          <w:szCs w:val="21"/>
        </w:rPr>
        <w:t>.</w:t>
      </w:r>
      <w:r>
        <w:rPr>
          <w:rFonts w:hint="eastAsia" w:asciiTheme="majorEastAsia" w:hAnsiTheme="majorEastAsia" w:eastAsiaTheme="majorEastAsia"/>
          <w:szCs w:val="21"/>
        </w:rPr>
        <w:t>1实行网上投标，</w:t>
      </w:r>
      <w:r>
        <w:rPr>
          <w:rFonts w:asciiTheme="majorEastAsia" w:hAnsiTheme="majorEastAsia" w:eastAsiaTheme="majorEastAsia"/>
          <w:szCs w:val="21"/>
        </w:rPr>
        <w:t>投标人必须</w:t>
      </w:r>
      <w:r>
        <w:rPr>
          <w:rFonts w:hint="eastAsia" w:asciiTheme="majorEastAsia" w:hAnsiTheme="majorEastAsia" w:eastAsiaTheme="majorEastAsia"/>
          <w:szCs w:val="21"/>
        </w:rPr>
        <w:t>在招标</w:t>
      </w:r>
      <w:r>
        <w:rPr>
          <w:rFonts w:asciiTheme="majorEastAsia" w:hAnsiTheme="majorEastAsia" w:eastAsiaTheme="majorEastAsia"/>
          <w:szCs w:val="21"/>
        </w:rPr>
        <w:t>文件规定的投标截止时间前</w:t>
      </w:r>
      <w:r>
        <w:rPr>
          <w:rFonts w:hint="eastAsia" w:asciiTheme="majorEastAsia" w:hAnsiTheme="majorEastAsia" w:eastAsiaTheme="majorEastAsia"/>
          <w:szCs w:val="21"/>
        </w:rPr>
        <w:t>用电子密钥登录“深圳市自行采购系统（https://trade.szggzy.com/ggzy/center/#/login）”上传投标文件，建议提前上传。如上传过程中遇到问题，可拨打深圳市自行采购系统中的技术支持电话或客服热线电话。如</w:t>
      </w:r>
      <w:r>
        <w:rPr>
          <w:rFonts w:asciiTheme="majorEastAsia" w:hAnsiTheme="majorEastAsia" w:eastAsiaTheme="majorEastAsia"/>
          <w:b/>
          <w:bCs/>
          <w:szCs w:val="21"/>
        </w:rPr>
        <w:t>投标截止时间到达仍无法上传成功的，由投标人自行负责</w:t>
      </w:r>
      <w:r>
        <w:rPr>
          <w:rFonts w:hint="eastAsia" w:asciiTheme="majorEastAsia" w:hAnsiTheme="majorEastAsia" w:eastAsiaTheme="majorEastAsia"/>
          <w:szCs w:val="21"/>
        </w:rPr>
        <w:t>。</w:t>
      </w:r>
    </w:p>
    <w:p w14:paraId="486E656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25.2采购代理机构可以按本通用条款第13条规定，通过修改招标文件自行决定酌情延长投标截止期。在此情况下，采购代理机构、采购人和投标人受投标截止期制约的所有权利和义务均应延长至新的截止期。</w:t>
      </w:r>
    </w:p>
    <w:p w14:paraId="0BD3F59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25</w:t>
      </w:r>
      <w:r>
        <w:rPr>
          <w:rFonts w:asciiTheme="majorEastAsia" w:hAnsiTheme="majorEastAsia" w:eastAsiaTheme="majorEastAsia"/>
          <w:szCs w:val="21"/>
        </w:rPr>
        <w:t>.</w:t>
      </w:r>
      <w:r>
        <w:rPr>
          <w:rFonts w:hint="eastAsia" w:asciiTheme="majorEastAsia" w:hAnsiTheme="majorEastAsia" w:eastAsiaTheme="majorEastAsia"/>
          <w:szCs w:val="21"/>
        </w:rPr>
        <w:t>3投标截止时间以后不得上传投标文件。</w:t>
      </w:r>
    </w:p>
    <w:p w14:paraId="619FE9C4">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26. 样品、现场演示、方案讲解</w:t>
      </w:r>
    </w:p>
    <w:p w14:paraId="6287124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26.1 样品、现场演示、方案讲解等事项在招标文件专用条款中进行规定。</w:t>
      </w:r>
    </w:p>
    <w:p w14:paraId="2098B444">
      <w:pPr>
        <w:spacing w:line="360" w:lineRule="auto"/>
        <w:rPr>
          <w:rFonts w:asciiTheme="majorEastAsia" w:hAnsiTheme="majorEastAsia" w:eastAsiaTheme="majorEastAsia"/>
          <w:b/>
          <w:bCs/>
          <w:szCs w:val="21"/>
        </w:rPr>
      </w:pPr>
      <w:bookmarkStart w:id="40" w:name="_Hlk72428346"/>
      <w:r>
        <w:rPr>
          <w:rFonts w:asciiTheme="majorEastAsia" w:hAnsiTheme="majorEastAsia" w:eastAsiaTheme="majorEastAsia"/>
          <w:b/>
          <w:bCs/>
          <w:szCs w:val="21"/>
        </w:rPr>
        <w:t>2</w:t>
      </w:r>
      <w:r>
        <w:rPr>
          <w:rFonts w:hint="eastAsia" w:asciiTheme="majorEastAsia" w:hAnsiTheme="majorEastAsia" w:eastAsiaTheme="majorEastAsia"/>
          <w:b/>
          <w:bCs/>
          <w:szCs w:val="21"/>
        </w:rPr>
        <w:t>7．</w:t>
      </w:r>
      <w:r>
        <w:rPr>
          <w:rFonts w:asciiTheme="majorEastAsia" w:hAnsiTheme="majorEastAsia" w:eastAsiaTheme="majorEastAsia"/>
          <w:b/>
          <w:bCs/>
          <w:szCs w:val="21"/>
        </w:rPr>
        <w:t>投标文件的修改和撤销</w:t>
      </w:r>
    </w:p>
    <w:p w14:paraId="1C51095A">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1</w:t>
      </w:r>
      <w:r>
        <w:rPr>
          <w:rFonts w:asciiTheme="majorEastAsia" w:hAnsiTheme="majorEastAsia" w:eastAsiaTheme="majorEastAsia"/>
          <w:szCs w:val="21"/>
        </w:rPr>
        <w:t>投标方在提交投标文件后可对其投标文件进行修改</w:t>
      </w:r>
      <w:r>
        <w:rPr>
          <w:rFonts w:hint="eastAsia" w:asciiTheme="majorEastAsia" w:hAnsiTheme="majorEastAsia" w:eastAsiaTheme="majorEastAsia"/>
          <w:szCs w:val="21"/>
        </w:rPr>
        <w:t>并重新上传投标文件</w:t>
      </w:r>
      <w:r>
        <w:rPr>
          <w:rFonts w:asciiTheme="majorEastAsia" w:hAnsiTheme="majorEastAsia" w:eastAsiaTheme="majorEastAsia"/>
          <w:szCs w:val="21"/>
        </w:rPr>
        <w:t>或</w:t>
      </w:r>
      <w:r>
        <w:rPr>
          <w:rFonts w:hint="eastAsia" w:asciiTheme="majorEastAsia" w:hAnsiTheme="majorEastAsia" w:eastAsiaTheme="majorEastAsia"/>
          <w:szCs w:val="21"/>
        </w:rPr>
        <w:t>在网上进行</w:t>
      </w:r>
      <w:r>
        <w:rPr>
          <w:rFonts w:asciiTheme="majorEastAsia" w:hAnsiTheme="majorEastAsia" w:eastAsiaTheme="majorEastAsia"/>
          <w:szCs w:val="21"/>
        </w:rPr>
        <w:t>撤销</w:t>
      </w:r>
      <w:r>
        <w:rPr>
          <w:rFonts w:hint="eastAsia" w:asciiTheme="majorEastAsia" w:hAnsiTheme="majorEastAsia" w:eastAsiaTheme="majorEastAsia"/>
          <w:szCs w:val="21"/>
        </w:rPr>
        <w:t>投标的操作</w:t>
      </w:r>
      <w:r>
        <w:rPr>
          <w:rFonts w:asciiTheme="majorEastAsia" w:hAnsiTheme="majorEastAsia" w:eastAsiaTheme="majorEastAsia"/>
          <w:szCs w:val="21"/>
        </w:rPr>
        <w:t>。</w:t>
      </w:r>
    </w:p>
    <w:p w14:paraId="125A97CB">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2</w:t>
      </w:r>
      <w:r>
        <w:rPr>
          <w:rFonts w:asciiTheme="majorEastAsia" w:hAnsiTheme="majorEastAsia" w:eastAsiaTheme="majorEastAsia"/>
          <w:szCs w:val="21"/>
        </w:rPr>
        <w:t>投标截止时间以后不得修改投标文件。</w:t>
      </w:r>
    </w:p>
    <w:p w14:paraId="3044398E">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3从投标截止期至投标人在投标文件中确定的投标有效期之间的这段时间内，投标人不得撤回其投标。</w:t>
      </w:r>
    </w:p>
    <w:p w14:paraId="089F139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27.4采购代理机构不退还投标文件，专用条款另有规定的除外。</w:t>
      </w:r>
    </w:p>
    <w:bookmarkEnd w:id="40"/>
    <w:p w14:paraId="1FA1D090">
      <w:pPr>
        <w:spacing w:line="360" w:lineRule="auto"/>
        <w:ind w:firstLine="411" w:firstLineChars="196"/>
        <w:rPr>
          <w:rFonts w:asciiTheme="majorEastAsia" w:hAnsiTheme="majorEastAsia" w:eastAsiaTheme="majorEastAsia"/>
          <w:szCs w:val="21"/>
        </w:rPr>
      </w:pPr>
    </w:p>
    <w:bookmarkEnd w:id="39"/>
    <w:p w14:paraId="36EF8199">
      <w:pPr>
        <w:keepNext/>
        <w:keepLines/>
        <w:widowControl/>
        <w:numPr>
          <w:ilvl w:val="0"/>
          <w:numId w:val="4"/>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开标</w:t>
      </w:r>
    </w:p>
    <w:p w14:paraId="14E2D8B4">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28．开标</w:t>
      </w:r>
    </w:p>
    <w:p w14:paraId="2B9243CF">
      <w:pPr>
        <w:spacing w:line="360" w:lineRule="auto"/>
        <w:ind w:firstLine="359" w:firstLineChars="171"/>
        <w:rPr>
          <w:rFonts w:hint="eastAsia" w:asciiTheme="majorEastAsia" w:hAnsiTheme="majorEastAsia" w:eastAsiaTheme="majorEastAsia"/>
          <w:szCs w:val="21"/>
        </w:rPr>
      </w:pPr>
      <w:r>
        <w:rPr>
          <w:rFonts w:hint="eastAsia" w:asciiTheme="majorEastAsia" w:hAnsiTheme="majorEastAsia" w:eastAsiaTheme="majorEastAsia"/>
          <w:szCs w:val="21"/>
        </w:rPr>
        <w:t>28.1投标人须在开标当日的开标时间至解密截止时间内进行解密，逾期未解密的作无效处理。解密方法：登录“深圳市自行采购系统（https://trade.szggzy.com/ggzy/center/#/login）”，使用本单位制作电子投标文件同一个电子密钥进行在线解密、查询开标情况。</w:t>
      </w:r>
    </w:p>
    <w:p w14:paraId="523F1217">
      <w:pPr>
        <w:spacing w:line="360" w:lineRule="auto"/>
        <w:ind w:firstLine="359" w:firstLineChars="171"/>
        <w:rPr>
          <w:rFonts w:asciiTheme="majorEastAsia" w:hAnsiTheme="majorEastAsia" w:eastAsiaTheme="majorEastAsia"/>
          <w:szCs w:val="21"/>
        </w:rPr>
      </w:pPr>
      <w:r>
        <w:rPr>
          <w:rFonts w:hint="eastAsia" w:asciiTheme="majorEastAsia" w:hAnsiTheme="majorEastAsia" w:eastAsiaTheme="majorEastAsia"/>
          <w:szCs w:val="21"/>
        </w:rPr>
        <w:t>28.2 采购代理机构将在满足开标条件（①解密时间结束，解密后的投标供应商数量满足开标要求或②解密时间结束前所有投标供应商均完成投标文件解密）后，对投标文件进行开标，并在网上公布开标结果。</w:t>
      </w:r>
    </w:p>
    <w:p w14:paraId="637EC465">
      <w:pPr>
        <w:keepNext/>
        <w:keepLines/>
        <w:widowControl/>
        <w:numPr>
          <w:ilvl w:val="0"/>
          <w:numId w:val="4"/>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评审要求</w:t>
      </w:r>
    </w:p>
    <w:p w14:paraId="5166FD1A">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29．评审委员会组成</w:t>
      </w:r>
    </w:p>
    <w:p w14:paraId="1441994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29.1网上开标结束后召开评审会议，评审委员会由采购代理机构依法组建，负责评审活动。</w:t>
      </w:r>
    </w:p>
    <w:p w14:paraId="6391F20F">
      <w:pPr>
        <w:spacing w:line="360" w:lineRule="auto"/>
        <w:ind w:firstLine="411" w:firstLineChars="196"/>
        <w:rPr>
          <w:rFonts w:asciiTheme="majorEastAsia" w:hAnsiTheme="majorEastAsia" w:eastAsiaTheme="majorEastAsia"/>
          <w:szCs w:val="21"/>
        </w:rPr>
      </w:pPr>
      <w:bookmarkStart w:id="41" w:name="_Hlk72436580"/>
      <w:r>
        <w:rPr>
          <w:rFonts w:hint="eastAsia" w:asciiTheme="majorEastAsia" w:hAnsiTheme="majorEastAsia" w:eastAsiaTheme="majorEastAsia"/>
          <w:szCs w:val="21"/>
        </w:rPr>
        <w:t>评审委员会由采购人代表和评审专家组成，成员人数应当为3人以上单数（部分条件下为7人以上单数），其中评审专家不得少于成员总数的三分之二。</w:t>
      </w:r>
      <w:bookmarkEnd w:id="41"/>
      <w:r>
        <w:rPr>
          <w:rFonts w:hint="eastAsia" w:asciiTheme="majorEastAsia" w:hAnsiTheme="majorEastAsia" w:eastAsiaTheme="majorEastAsia"/>
          <w:szCs w:val="21"/>
        </w:rPr>
        <w:t>评定分离项目</w:t>
      </w:r>
      <w:r>
        <w:rPr>
          <w:rFonts w:asciiTheme="majorEastAsia" w:hAnsiTheme="majorEastAsia" w:eastAsiaTheme="majorEastAsia"/>
          <w:szCs w:val="21"/>
        </w:rPr>
        <w:t>评审专家</w:t>
      </w:r>
      <w:r>
        <w:rPr>
          <w:rFonts w:hint="eastAsia" w:asciiTheme="majorEastAsia" w:hAnsiTheme="majorEastAsia" w:eastAsiaTheme="majorEastAsia"/>
          <w:szCs w:val="21"/>
        </w:rPr>
        <w:t>均</w:t>
      </w:r>
      <w:r>
        <w:rPr>
          <w:rFonts w:asciiTheme="majorEastAsia" w:hAnsiTheme="majorEastAsia" w:eastAsiaTheme="majorEastAsia"/>
          <w:szCs w:val="21"/>
        </w:rPr>
        <w:t>由</w:t>
      </w:r>
      <w:r>
        <w:rPr>
          <w:rFonts w:hint="eastAsia" w:asciiTheme="majorEastAsia" w:hAnsiTheme="majorEastAsia" w:eastAsiaTheme="majorEastAsia"/>
          <w:szCs w:val="21"/>
        </w:rPr>
        <w:t>评审专家组成。评审专家一般是从深圳市政府采购评审专家库中随机抽取。采购人代表须持本单位签发的《评审授权书》参加评审。</w:t>
      </w:r>
    </w:p>
    <w:p w14:paraId="6950958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29.2评审定标应当遵循公平、公正、科学、择优的原则。</w:t>
      </w:r>
    </w:p>
    <w:p w14:paraId="5A74CF6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29.3评审活动依法进行，任何单位和个人不得非法干预评标过程和结果。</w:t>
      </w:r>
    </w:p>
    <w:p w14:paraId="18137A4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29.4评审过程中不允许违背评标程序或采用招标文件未载明的评标方法或评标因素进行评标。</w:t>
      </w:r>
    </w:p>
    <w:p w14:paraId="1977DC94">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29.5 开标后，直到签订合同为止，凡属于对投标文件的审查、澄清、评价和比较的有关资料以及中标候选人的推荐情况、与评审有关的其他任何情况均严格保密（</w:t>
      </w:r>
      <w:r>
        <w:rPr>
          <w:rFonts w:hint="eastAsia" w:asciiTheme="majorEastAsia" w:hAnsiTheme="majorEastAsia" w:eastAsiaTheme="majorEastAsia"/>
          <w:szCs w:val="21"/>
        </w:rPr>
        <w:t>信息公开的内容除外</w:t>
      </w:r>
      <w:r>
        <w:rPr>
          <w:rFonts w:hint="eastAsia" w:asciiTheme="majorEastAsia" w:hAnsiTheme="majorEastAsia" w:eastAsiaTheme="majorEastAsia"/>
          <w:bCs/>
          <w:szCs w:val="21"/>
        </w:rPr>
        <w:t>）。</w:t>
      </w:r>
    </w:p>
    <w:p w14:paraId="20AAFE51">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30．向评审委员会提供的资料</w:t>
      </w:r>
    </w:p>
    <w:p w14:paraId="07C535E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30.1公开发布的招标文件，包括图纸、服务清单、答疑文件等；</w:t>
      </w:r>
    </w:p>
    <w:p w14:paraId="7F3F77F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30.2其他评标必须的资料。</w:t>
      </w:r>
    </w:p>
    <w:p w14:paraId="34D4C23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30.3评审委员会应当认真研究招标文件，至少应了解熟悉以下内容：</w:t>
      </w:r>
    </w:p>
    <w:p w14:paraId="2EABBC2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（1）招标的目的；</w:t>
      </w:r>
    </w:p>
    <w:p w14:paraId="3D0EE82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（2）招标项目需求的范围和性质；</w:t>
      </w:r>
    </w:p>
    <w:p w14:paraId="6787858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（3）招标文件规定的投标人的资格、财政预算限额、商务条款；</w:t>
      </w:r>
    </w:p>
    <w:p w14:paraId="396F35F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（4）招标文件规定的评标程序、评标方法和评标因素；</w:t>
      </w:r>
    </w:p>
    <w:p w14:paraId="48BDD13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（5）招标文件所列示的资格性审查表及符合性审查表。</w:t>
      </w:r>
    </w:p>
    <w:p w14:paraId="6B97C356">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31．独立评审</w:t>
      </w:r>
    </w:p>
    <w:p w14:paraId="67690800">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w:t>
      </w:r>
      <w:r>
        <w:rPr>
          <w:rFonts w:asciiTheme="majorEastAsia" w:hAnsiTheme="majorEastAsia" w:eastAsiaTheme="majorEastAsia"/>
          <w:bCs/>
          <w:szCs w:val="21"/>
        </w:rPr>
        <w:t>1</w:t>
      </w:r>
      <w:r>
        <w:rPr>
          <w:rFonts w:hint="eastAsia" w:asciiTheme="majorEastAsia" w:hAnsiTheme="majorEastAsia" w:eastAsiaTheme="majorEastAsia"/>
          <w:bCs/>
          <w:szCs w:val="21"/>
        </w:rPr>
        <w:t>.1</w:t>
      </w:r>
      <w:r>
        <w:rPr>
          <w:rFonts w:hint="eastAsia" w:asciiTheme="majorEastAsia" w:hAnsiTheme="majorEastAsia" w:eastAsiaTheme="majorEastAsia"/>
          <w:szCs w:val="21"/>
        </w:rPr>
        <w:t>评审委员会</w:t>
      </w:r>
      <w:r>
        <w:rPr>
          <w:rFonts w:hint="eastAsia" w:asciiTheme="majorEastAsia" w:hAnsiTheme="majorEastAsia" w:eastAsiaTheme="majorEastAsia"/>
          <w:bCs/>
          <w:szCs w:val="21"/>
        </w:rPr>
        <w:t>成员的评标活动应当独立进行，并应遵循投标文件初审、澄清有关问题、比较与评价、确定中标供应商、编写评审报告的工作程序。</w:t>
      </w:r>
    </w:p>
    <w:p w14:paraId="6AD414FC">
      <w:pPr>
        <w:keepNext/>
        <w:keepLines/>
        <w:widowControl/>
        <w:numPr>
          <w:ilvl w:val="0"/>
          <w:numId w:val="4"/>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评审程序及评审方法</w:t>
      </w:r>
    </w:p>
    <w:p w14:paraId="608CDF84">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32．投标文件初审</w:t>
      </w:r>
    </w:p>
    <w:p w14:paraId="3AA3B84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32.1投标文件初审包括资格性审查和符合性审查。</w:t>
      </w:r>
    </w:p>
    <w:p w14:paraId="3937A24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资格性审查：依据法律法规和招标文件的规定，对投标文件中的资格证明等进行审查，以确定投标供应商是否具备投标资格。</w:t>
      </w:r>
    </w:p>
    <w:p w14:paraId="21C72F0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符合性审查：依据招标文件的规定，对投标文件的有效性、完整性和对招标文件的响应程度进行审查，以确定是否满足符合性审查的要求。</w:t>
      </w:r>
    </w:p>
    <w:p w14:paraId="423EE02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32.2 投标文件初审内容请详见《资格性审查表》和《符合性审查表》部分。投标人若有一条审查不通过则按投标无效处理。</w:t>
      </w:r>
    </w:p>
    <w:p w14:paraId="01126C56">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 投标文件初审中关于供应商家数的计算:</w:t>
      </w:r>
    </w:p>
    <w:p w14:paraId="7FDA7846">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379BB284">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05426E00">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32.3.3非单一产品采购项目，采购人应当根据采购项目技术构成、产品价格比重等合理确定核心产品，并在招标文件中载明。多家投标人提供的核心产品品牌相同的，按前两款规定处理。</w:t>
      </w:r>
    </w:p>
    <w:p w14:paraId="37BAB04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32.4投标人投标文件作无效处理的情形，具体包括但不限于以下：</w:t>
      </w:r>
    </w:p>
    <w:p w14:paraId="0156674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32.4.1不同投标人的投标文件由同一单位或者同一个人编制，或者由同一个人分阶段参与编制；</w:t>
      </w:r>
    </w:p>
    <w:p w14:paraId="2A57DE85">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32.4.</w:t>
      </w:r>
      <w:r>
        <w:rPr>
          <w:rFonts w:hint="eastAsia" w:asciiTheme="majorEastAsia" w:hAnsiTheme="majorEastAsia" w:eastAsiaTheme="majorEastAsia"/>
          <w:szCs w:val="21"/>
        </w:rPr>
        <w:t>2不同投标人委托同一单位或者个人办理投标事宜；</w:t>
      </w:r>
    </w:p>
    <w:p w14:paraId="593ED69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32.4.3不同投标人的投标文件载明的项目管理成员或者联系人员为同一人；</w:t>
      </w:r>
    </w:p>
    <w:p w14:paraId="040A1CD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32.4.4不同投标人的投标文件异常一致或者投标报价呈规律性差异；</w:t>
      </w:r>
    </w:p>
    <w:p w14:paraId="4CADEE1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32.4.5</w:t>
      </w:r>
      <w:r>
        <w:rPr>
          <w:rFonts w:asciiTheme="majorEastAsia" w:hAnsiTheme="majorEastAsia" w:eastAsiaTheme="majorEastAsia"/>
          <w:szCs w:val="21"/>
        </w:rPr>
        <w:t>不同投标供应商的投标文件或部分投标文件相互混装</w:t>
      </w:r>
      <w:r>
        <w:rPr>
          <w:rFonts w:hint="eastAsia" w:asciiTheme="majorEastAsia" w:hAnsiTheme="majorEastAsia" w:eastAsiaTheme="majorEastAsia"/>
          <w:szCs w:val="21"/>
        </w:rPr>
        <w:t>；</w:t>
      </w:r>
    </w:p>
    <w:p w14:paraId="7E54719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32.4.6投标供应商之间相互约定给予未中标的供应商利益补偿；</w:t>
      </w:r>
    </w:p>
    <w:p w14:paraId="0DCD1AF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32.4.7不同投标供应商的法定代表人、主要经营负责人、项目投标授权代表人、项目负责人、主要技术人员为同一人、属同一单位或者同一单位缴纳社会保险；</w:t>
      </w:r>
    </w:p>
    <w:p w14:paraId="7BDE16F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32.4.8不同投标供应商的投标文件内容存在非正常一致；</w:t>
      </w:r>
    </w:p>
    <w:p w14:paraId="307E4C0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32.4.9在同一单位工作人员为两家以上（含两家）供应商进行同一项投标活动；</w:t>
      </w:r>
    </w:p>
    <w:p w14:paraId="21594DA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32.4.10主管部门依照法律、法规认定的其他情形。</w:t>
      </w:r>
    </w:p>
    <w:p w14:paraId="5F406C1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32.5对不属于《资格性审查表》和《符合性审查表》所列的其他情形，除专用条款另有规定和32.4条款所列情形外，不得作为投标无效的理由。</w:t>
      </w:r>
    </w:p>
    <w:p w14:paraId="76C373E4">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33．澄清有关问题</w:t>
      </w:r>
    </w:p>
    <w:p w14:paraId="3534734B">
      <w:pPr>
        <w:spacing w:line="360" w:lineRule="auto"/>
        <w:ind w:firstLine="411" w:firstLineChars="196"/>
        <w:rPr>
          <w:rFonts w:asciiTheme="majorEastAsia" w:hAnsiTheme="majorEastAsia" w:eastAsiaTheme="majorEastAsia"/>
          <w:szCs w:val="21"/>
        </w:rPr>
      </w:pPr>
      <w:bookmarkStart w:id="42" w:name="_Hlk71407321"/>
      <w:r>
        <w:rPr>
          <w:rFonts w:hint="eastAsia" w:asciiTheme="majorEastAsia" w:hAnsiTheme="majorEastAsia" w:eastAsiaTheme="majorEastAsia"/>
          <w:szCs w:val="21"/>
        </w:rPr>
        <w:t>3</w:t>
      </w:r>
      <w:r>
        <w:rPr>
          <w:rFonts w:asciiTheme="majorEastAsia" w:hAnsiTheme="majorEastAsia" w:eastAsiaTheme="majorEastAsia"/>
          <w:szCs w:val="21"/>
        </w:rPr>
        <w:t>3.1</w:t>
      </w:r>
      <w:r>
        <w:rPr>
          <w:rFonts w:hint="eastAsia" w:asciiTheme="majorEastAsia" w:hAnsiTheme="majorEastAsia" w:eastAsiaTheme="majorEastAsia"/>
          <w:szCs w:val="21"/>
        </w:rPr>
        <w:t>对招标文件中描述有歧义或前后不一致的地方（不含</w:t>
      </w:r>
      <w:r>
        <w:rPr>
          <w:rFonts w:asciiTheme="majorEastAsia" w:hAnsiTheme="majorEastAsia" w:eastAsiaTheme="majorEastAsia"/>
          <w:szCs w:val="21"/>
        </w:rPr>
        <w:t>招标文件存在歧义、重大缺陷导致评</w:t>
      </w:r>
      <w:r>
        <w:rPr>
          <w:rFonts w:hint="eastAsia" w:asciiTheme="majorEastAsia" w:hAnsiTheme="majorEastAsia" w:eastAsiaTheme="majorEastAsia"/>
          <w:szCs w:val="21"/>
        </w:rPr>
        <w:t>审</w:t>
      </w:r>
      <w:r>
        <w:rPr>
          <w:rFonts w:asciiTheme="majorEastAsia" w:hAnsiTheme="majorEastAsia" w:eastAsiaTheme="majorEastAsia"/>
          <w:szCs w:val="21"/>
        </w:rPr>
        <w:t>工作无法进行</w:t>
      </w:r>
      <w:r>
        <w:rPr>
          <w:rFonts w:hint="eastAsia" w:asciiTheme="majorEastAsia" w:hAnsiTheme="majorEastAsia" w:eastAsiaTheme="majorEastAsia"/>
          <w:szCs w:val="21"/>
        </w:rPr>
        <w:t>的情况），评审委员会有权进行评判，但对同一条款的评判应适用于每个投标人。</w:t>
      </w:r>
      <w:bookmarkEnd w:id="42"/>
    </w:p>
    <w:p w14:paraId="7866724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w:t>
      </w:r>
      <w:r>
        <w:rPr>
          <w:rFonts w:asciiTheme="majorEastAsia" w:hAnsiTheme="majorEastAsia" w:eastAsiaTheme="majorEastAsia"/>
          <w:szCs w:val="21"/>
        </w:rPr>
        <w:t>3.2评</w:t>
      </w:r>
      <w:r>
        <w:rPr>
          <w:rFonts w:hint="eastAsia" w:asciiTheme="majorEastAsia" w:hAnsiTheme="majorEastAsia" w:eastAsiaTheme="majorEastAsia"/>
          <w:szCs w:val="21"/>
        </w:rPr>
        <w:t>审</w:t>
      </w:r>
      <w:r>
        <w:rPr>
          <w:rFonts w:asciiTheme="majorEastAsia" w:hAnsiTheme="majorEastAsia" w:eastAsiaTheme="majorEastAsia"/>
          <w:szCs w:val="21"/>
        </w:rPr>
        <w:t>委员会发现招标文件存在歧义、重大缺陷导致评</w:t>
      </w:r>
      <w:r>
        <w:rPr>
          <w:rFonts w:hint="eastAsia" w:asciiTheme="majorEastAsia" w:hAnsiTheme="majorEastAsia" w:eastAsiaTheme="majorEastAsia"/>
          <w:szCs w:val="21"/>
        </w:rPr>
        <w:t>审</w:t>
      </w:r>
      <w:r>
        <w:rPr>
          <w:rFonts w:asciiTheme="majorEastAsia" w:hAnsiTheme="majorEastAsia" w:eastAsiaTheme="majorEastAsia"/>
          <w:szCs w:val="21"/>
        </w:rPr>
        <w:t>工作无法进行，或者招标文件内容违反国家有关强制性规定的，应当停止评</w:t>
      </w:r>
      <w:r>
        <w:rPr>
          <w:rFonts w:hint="eastAsia" w:asciiTheme="majorEastAsia" w:hAnsiTheme="majorEastAsia" w:eastAsiaTheme="majorEastAsia"/>
          <w:szCs w:val="21"/>
        </w:rPr>
        <w:t>审</w:t>
      </w:r>
      <w:r>
        <w:rPr>
          <w:rFonts w:asciiTheme="majorEastAsia" w:hAnsiTheme="majorEastAsia" w:eastAsiaTheme="majorEastAsia"/>
          <w:szCs w:val="21"/>
        </w:rPr>
        <w:t>工作，与</w:t>
      </w:r>
      <w:r>
        <w:rPr>
          <w:rFonts w:hint="eastAsia" w:asciiTheme="majorEastAsia" w:hAnsiTheme="majorEastAsia" w:eastAsiaTheme="majorEastAsia"/>
          <w:szCs w:val="21"/>
        </w:rPr>
        <w:t>采购代理机构</w:t>
      </w:r>
      <w:r>
        <w:rPr>
          <w:rFonts w:asciiTheme="majorEastAsia" w:hAnsiTheme="majorEastAsia" w:eastAsiaTheme="majorEastAsia"/>
          <w:szCs w:val="21"/>
        </w:rPr>
        <w:t>沟通并作书面记录。</w:t>
      </w:r>
      <w:r>
        <w:rPr>
          <w:rFonts w:hint="eastAsia" w:asciiTheme="majorEastAsia" w:hAnsiTheme="majorEastAsia" w:eastAsiaTheme="majorEastAsia"/>
          <w:szCs w:val="21"/>
        </w:rPr>
        <w:t>经</w:t>
      </w:r>
      <w:r>
        <w:rPr>
          <w:rFonts w:asciiTheme="majorEastAsia" w:hAnsiTheme="majorEastAsia" w:eastAsiaTheme="majorEastAsia"/>
          <w:szCs w:val="21"/>
        </w:rPr>
        <w:t>确认后，</w:t>
      </w:r>
      <w:r>
        <w:rPr>
          <w:rFonts w:hint="eastAsia" w:asciiTheme="majorEastAsia" w:hAnsiTheme="majorEastAsia" w:eastAsiaTheme="majorEastAsia"/>
          <w:szCs w:val="21"/>
        </w:rPr>
        <w:t>项目</w:t>
      </w:r>
      <w:r>
        <w:rPr>
          <w:rFonts w:asciiTheme="majorEastAsia" w:hAnsiTheme="majorEastAsia" w:eastAsiaTheme="majorEastAsia"/>
          <w:szCs w:val="21"/>
        </w:rPr>
        <w:t>应当修改招标文件，重新组织采购活动。</w:t>
      </w:r>
    </w:p>
    <w:p w14:paraId="262360D5">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33.3</w:t>
      </w:r>
      <w:r>
        <w:rPr>
          <w:rFonts w:hint="eastAsia" w:asciiTheme="majorEastAsia" w:hAnsiTheme="majorEastAsia" w:eastAsiaTheme="majorEastAsia"/>
          <w:szCs w:val="21"/>
        </w:rPr>
        <w:t>对于投标文件中含义不明确、同类问题表述不一致或者有明显文字和计算错误的内容，评审委员会应当以书面形式要求投标人作出必要的澄清、说明或者补正。</w:t>
      </w:r>
    </w:p>
    <w:p w14:paraId="7EC7421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4740632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根据本通用条款第34条，凡属于评审委员会在评审中发现的算术错误进行核实的修改不在此列。</w:t>
      </w:r>
    </w:p>
    <w:p w14:paraId="07C8D09F">
      <w:pPr>
        <w:spacing w:line="360" w:lineRule="auto"/>
        <w:rPr>
          <w:rFonts w:asciiTheme="majorEastAsia" w:hAnsiTheme="majorEastAsia" w:eastAsiaTheme="majorEastAsia"/>
          <w:b/>
          <w:bCs/>
          <w:szCs w:val="21"/>
        </w:rPr>
      </w:pPr>
      <w:bookmarkStart w:id="43" w:name="_Toc73518151"/>
      <w:bookmarkStart w:id="44" w:name="_Toc100052400"/>
      <w:bookmarkStart w:id="45" w:name="_Toc73521669"/>
      <w:bookmarkStart w:id="46" w:name="_Toc73517673"/>
      <w:bookmarkStart w:id="47" w:name="_Toc73521581"/>
      <w:r>
        <w:rPr>
          <w:rFonts w:hint="eastAsia" w:asciiTheme="majorEastAsia" w:hAnsiTheme="majorEastAsia" w:eastAsiaTheme="majorEastAsia"/>
          <w:b/>
          <w:bCs/>
          <w:szCs w:val="21"/>
        </w:rPr>
        <w:t>34．错误的修正</w:t>
      </w:r>
      <w:bookmarkEnd w:id="43"/>
      <w:bookmarkEnd w:id="44"/>
      <w:bookmarkEnd w:id="45"/>
      <w:bookmarkEnd w:id="46"/>
      <w:bookmarkEnd w:id="47"/>
    </w:p>
    <w:p w14:paraId="518604B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投标文件报价出现前后不一致的，除专用条款另有规定外，按照下列规定修正：</w:t>
      </w:r>
    </w:p>
    <w:p w14:paraId="598411F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34.1投标文件中开标一览表投标报价内容与投标文件中投标报价相应内容不一致的，以开标一览表为准；</w:t>
      </w:r>
    </w:p>
    <w:p w14:paraId="46623A9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34.2大写金额和小写金额不一致的，以大写金额为准；</w:t>
      </w:r>
    </w:p>
    <w:p w14:paraId="0F54E11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34.3单价金额小数点或者百分比有明显错位，以开标一览表的总价为准，并修改单价；</w:t>
      </w:r>
    </w:p>
    <w:p w14:paraId="27FD654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34.4总价金额与按单价汇总金额不一致的，以单价金额计算结果为准。</w:t>
      </w:r>
    </w:p>
    <w:p w14:paraId="23D58C1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34.5同时出现两种以上不一致的，按照前款规定的顺序修正。修正后的报价按照本通用条款33条的规定，经投标人确认后产生约束力，投标人不确认的，其投标无效。</w:t>
      </w:r>
    </w:p>
    <w:p w14:paraId="436595AF">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35．投标文件的比较与评价</w:t>
      </w:r>
    </w:p>
    <w:p w14:paraId="03BE33F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318DD14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评审委员会成员对需要共同认定的事项存在争议的，应当按照少数服从多数的原则作出结论。持不同意见的评审委员会成员应当书面作出说明，否则视为无异议。</w:t>
      </w:r>
    </w:p>
    <w:p w14:paraId="2643D855">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36. 实地考察或资料查验</w:t>
      </w:r>
    </w:p>
    <w:p w14:paraId="3F83F1B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36.1在评审过程中，评审委员会有权决定是否对本项目投标人进行实地考察或资料查验（原件）。投标人应随时做好接受实地考察或资料查验的准备。</w:t>
      </w:r>
    </w:p>
    <w:p w14:paraId="09DBBA2A">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37．评审方法</w:t>
      </w:r>
    </w:p>
    <w:p w14:paraId="6C91EBAA">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37.1.1最低价法</w:t>
      </w:r>
    </w:p>
    <w:p w14:paraId="3FCE12C0">
      <w:pPr>
        <w:spacing w:line="360" w:lineRule="auto"/>
        <w:ind w:firstLine="411" w:firstLineChars="196"/>
        <w:rPr>
          <w:rFonts w:asciiTheme="majorEastAsia" w:hAnsiTheme="majorEastAsia" w:eastAsiaTheme="majorEastAsia"/>
          <w:szCs w:val="21"/>
        </w:rPr>
      </w:pPr>
      <w:bookmarkStart w:id="48" w:name="_Hlk72438142"/>
      <w:r>
        <w:rPr>
          <w:rFonts w:asciiTheme="majorEastAsia" w:hAnsiTheme="majorEastAsia" w:eastAsiaTheme="majorEastAsia"/>
          <w:szCs w:val="21"/>
        </w:rPr>
        <w:t>最低价法，是指</w:t>
      </w:r>
      <w:r>
        <w:rPr>
          <w:rFonts w:hint="eastAsia" w:asciiTheme="majorEastAsia" w:hAnsiTheme="majorEastAsia" w:eastAsiaTheme="majorEastAsia"/>
          <w:szCs w:val="21"/>
        </w:rPr>
        <w:t>完全</w:t>
      </w:r>
      <w:r>
        <w:rPr>
          <w:rFonts w:asciiTheme="majorEastAsia" w:hAnsiTheme="majorEastAsia" w:eastAsiaTheme="majorEastAsia"/>
          <w:szCs w:val="21"/>
        </w:rPr>
        <w:t>满足招标文件实质性要求，</w:t>
      </w:r>
      <w:r>
        <w:rPr>
          <w:rFonts w:hint="eastAsia" w:asciiTheme="majorEastAsia" w:hAnsiTheme="majorEastAsia" w:eastAsiaTheme="majorEastAsia"/>
          <w:szCs w:val="21"/>
        </w:rPr>
        <w:t>按照报价由低到高的顺序，依据招标文件中规定的数量或者比例推荐候选中标供应商。</w:t>
      </w:r>
    </w:p>
    <w:p w14:paraId="1DACB4F6">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37.1.2综合评分法</w:t>
      </w:r>
    </w:p>
    <w:p w14:paraId="33DDFFFB">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综合评分法，是指</w:t>
      </w:r>
      <w:r>
        <w:rPr>
          <w:rFonts w:hint="eastAsia" w:asciiTheme="majorEastAsia" w:hAnsiTheme="majorEastAsia" w:eastAsiaTheme="majorEastAsia"/>
          <w:szCs w:val="21"/>
        </w:rPr>
        <w:t>在</w:t>
      </w:r>
      <w:r>
        <w:rPr>
          <w:rFonts w:asciiTheme="majorEastAsia" w:hAnsiTheme="majorEastAsia" w:eastAsiaTheme="majorEastAsia"/>
          <w:szCs w:val="21"/>
        </w:rPr>
        <w:t>满足招标文件全部实质性要求</w:t>
      </w:r>
      <w:r>
        <w:rPr>
          <w:rFonts w:hint="eastAsia" w:asciiTheme="majorEastAsia" w:hAnsiTheme="majorEastAsia" w:eastAsiaTheme="majorEastAsia"/>
          <w:szCs w:val="21"/>
        </w:rPr>
        <w:t>的前提下</w:t>
      </w:r>
      <w:r>
        <w:rPr>
          <w:rFonts w:asciiTheme="majorEastAsia" w:hAnsiTheme="majorEastAsia" w:eastAsiaTheme="majorEastAsia"/>
          <w:szCs w:val="21"/>
        </w:rPr>
        <w:t>，</w:t>
      </w:r>
      <w:r>
        <w:rPr>
          <w:rFonts w:hint="eastAsia" w:asciiTheme="majorEastAsia" w:hAnsiTheme="majorEastAsia" w:eastAsiaTheme="majorEastAsia"/>
          <w:szCs w:val="21"/>
        </w:rPr>
        <w:t>按照招标文件中规定的各项因素进行综合评审，评审总得分排名前列的投标人，作为推荐的候选中标供应商。</w:t>
      </w:r>
      <w:bookmarkEnd w:id="48"/>
    </w:p>
    <w:p w14:paraId="4B271F49">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37.2 本项目采用的评审方法见本项目招标文件第一册“专用条款”的相关内容。</w:t>
      </w:r>
    </w:p>
    <w:p w14:paraId="5525BCDA">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37.3重新评审的情形</w:t>
      </w:r>
    </w:p>
    <w:p w14:paraId="78F43B58">
      <w:pPr>
        <w:spacing w:line="360" w:lineRule="auto"/>
        <w:ind w:firstLine="411" w:firstLineChars="196"/>
        <w:rPr>
          <w:rFonts w:asciiTheme="majorEastAsia" w:hAnsiTheme="majorEastAsia" w:eastAsiaTheme="majorEastAsia"/>
          <w:b/>
          <w:bCs/>
          <w:szCs w:val="21"/>
        </w:rPr>
      </w:pPr>
      <w:r>
        <w:rPr>
          <w:rFonts w:hint="eastAsia" w:cs="宋体" w:asciiTheme="majorEastAsia" w:hAnsiTheme="majorEastAsia" w:eastAsiaTheme="majorEastAsia"/>
          <w:szCs w:val="21"/>
        </w:rPr>
        <w:t>评审结果汇总完成后，除下列情形外，任何人不得修改评审结果：</w:t>
      </w:r>
    </w:p>
    <w:p w14:paraId="6A572D91">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37.3.1分值汇总计算错误的；</w:t>
      </w:r>
    </w:p>
    <w:p w14:paraId="7B61DCDA">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37.3.2分项评分超出评分标准范围的；</w:t>
      </w:r>
    </w:p>
    <w:p w14:paraId="619B2F19">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37.3.3评审委员会成员对客观评审因素评分不一致的；</w:t>
      </w:r>
    </w:p>
    <w:p w14:paraId="05083909">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37.3.4经评审委员会认定评分畸高、畸低的。</w:t>
      </w:r>
    </w:p>
    <w:p w14:paraId="0D92F215">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00564930">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投标人对本条第一款情形提出质疑的，采购人或者采购代理机构可以组织原评审委员会进行重新评审，重新评审改变评审结果的，应当书面报告本级财政部门。</w:t>
      </w:r>
    </w:p>
    <w:p w14:paraId="0B7689EA">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 xml:space="preserve"> 37.4重新组建评审委员会的情形</w:t>
      </w:r>
    </w:p>
    <w:p w14:paraId="6B5B4AEF">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评审委员会或者其成员存在下列情形导致评审结果无效的，重新组建评审委员会进行评标，并书面报告本级财政部门：</w:t>
      </w:r>
    </w:p>
    <w:p w14:paraId="76110C68">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37.4.1评审委员会组成不符合《政府采购货物和服务招标投标管理办法》规定的；</w:t>
      </w:r>
    </w:p>
    <w:p w14:paraId="3388FA8A">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37.4.2有《政府采购货物和服务招标投标管理办法》第六十二条第一至五项情形的；</w:t>
      </w:r>
    </w:p>
    <w:p w14:paraId="2E611C72">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37.4.3评审委员会及其成员独立评标受到非法干预的；</w:t>
      </w:r>
    </w:p>
    <w:p w14:paraId="61D8DC98">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37.4.4有政府采购法实施条例第七十五条规定的违法行为的。</w:t>
      </w:r>
    </w:p>
    <w:p w14:paraId="12426DD5">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有违法违规行为的原评审委员会成员不得参加重新组建的评审委员会。</w:t>
      </w:r>
    </w:p>
    <w:p w14:paraId="056C4A1E">
      <w:pPr>
        <w:keepNext/>
        <w:keepLines/>
        <w:widowControl/>
        <w:numPr>
          <w:ilvl w:val="0"/>
          <w:numId w:val="4"/>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定标及公示</w:t>
      </w:r>
    </w:p>
    <w:p w14:paraId="28C0571C">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38．定标方法</w:t>
      </w:r>
    </w:p>
    <w:p w14:paraId="461CB16C">
      <w:pPr>
        <w:spacing w:line="360" w:lineRule="auto"/>
        <w:ind w:firstLine="411" w:firstLineChars="196"/>
        <w:rPr>
          <w:rFonts w:asciiTheme="majorEastAsia" w:hAnsiTheme="majorEastAsia" w:eastAsiaTheme="majorEastAsia"/>
          <w:szCs w:val="21"/>
        </w:rPr>
      </w:pPr>
      <w:bookmarkStart w:id="49" w:name="_Hlk73782795"/>
      <w:r>
        <w:rPr>
          <w:rFonts w:hint="eastAsia" w:asciiTheme="majorEastAsia" w:hAnsiTheme="majorEastAsia" w:eastAsiaTheme="majorEastAsia"/>
          <w:szCs w:val="21"/>
        </w:rPr>
        <w:t>38.1非评定分离项目定标方法</w:t>
      </w:r>
    </w:p>
    <w:p w14:paraId="121D286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w:t>
      </w:r>
      <w:r>
        <w:rPr>
          <w:rFonts w:asciiTheme="majorEastAsia" w:hAnsiTheme="majorEastAsia" w:eastAsiaTheme="majorEastAsia"/>
          <w:szCs w:val="21"/>
        </w:rPr>
        <w:t>.</w:t>
      </w:r>
      <w:r>
        <w:rPr>
          <w:rFonts w:hint="eastAsia" w:asciiTheme="majorEastAsia" w:hAnsiTheme="majorEastAsia" w:eastAsiaTheme="majorEastAsia"/>
          <w:szCs w:val="21"/>
        </w:rPr>
        <w:t>1.1评审委员会依据本项目招标文件所约定的评审方法进行评审和比较，向采购代理机构提交书面评审报告，并根据评审方法比较评价结果从优到劣进行排序，确定候选中标供应商。</w:t>
      </w:r>
    </w:p>
    <w:p w14:paraId="1C54FBE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w:t>
      </w:r>
      <w:r>
        <w:rPr>
          <w:rFonts w:asciiTheme="majorEastAsia" w:hAnsiTheme="majorEastAsia" w:eastAsiaTheme="majorEastAsia"/>
          <w:szCs w:val="21"/>
        </w:rPr>
        <w:t>.</w:t>
      </w:r>
      <w:r>
        <w:rPr>
          <w:rFonts w:hint="eastAsia" w:asciiTheme="majorEastAsia" w:hAnsiTheme="majorEastAsia" w:eastAsiaTheme="majorEastAsia"/>
          <w:szCs w:val="21"/>
        </w:rPr>
        <w:t>1.2</w:t>
      </w:r>
      <w:r>
        <w:rPr>
          <w:rFonts w:asciiTheme="majorEastAsia" w:hAnsiTheme="majorEastAsia" w:eastAsiaTheme="majorEastAsia"/>
          <w:szCs w:val="21"/>
        </w:rPr>
        <w:t>采用最低价法的，评</w:t>
      </w:r>
      <w:r>
        <w:rPr>
          <w:rFonts w:hint="eastAsia" w:asciiTheme="majorEastAsia" w:hAnsiTheme="majorEastAsia" w:eastAsiaTheme="majorEastAsia"/>
          <w:szCs w:val="21"/>
        </w:rPr>
        <w:t>审</w:t>
      </w:r>
      <w:r>
        <w:rPr>
          <w:rFonts w:asciiTheme="majorEastAsia" w:hAnsiTheme="majorEastAsia" w:eastAsiaTheme="majorEastAsia"/>
          <w:szCs w:val="21"/>
        </w:rPr>
        <w:t>结果按投标报价由低到高顺序排列。投标报价相同的并列。投标文件满足招标文件全部实质性要求且投标报价最低的</w:t>
      </w:r>
      <w:r>
        <w:rPr>
          <w:rFonts w:hint="eastAsia" w:asciiTheme="majorEastAsia" w:hAnsiTheme="majorEastAsia" w:eastAsiaTheme="majorEastAsia"/>
          <w:szCs w:val="21"/>
        </w:rPr>
        <w:t>投标人为</w:t>
      </w:r>
      <w:bookmarkStart w:id="50" w:name="_Hlk73821177"/>
      <w:r>
        <w:rPr>
          <w:rFonts w:hint="eastAsia" w:asciiTheme="majorEastAsia" w:hAnsiTheme="majorEastAsia" w:eastAsiaTheme="majorEastAsia"/>
          <w:szCs w:val="21"/>
        </w:rPr>
        <w:t>中标供应商</w:t>
      </w:r>
      <w:r>
        <w:rPr>
          <w:rFonts w:asciiTheme="majorEastAsia" w:hAnsiTheme="majorEastAsia" w:eastAsiaTheme="majorEastAsia"/>
          <w:szCs w:val="21"/>
        </w:rPr>
        <w:t>（</w:t>
      </w:r>
      <w:r>
        <w:rPr>
          <w:rFonts w:hint="eastAsia" w:asciiTheme="majorEastAsia" w:hAnsiTheme="majorEastAsia" w:eastAsiaTheme="majorEastAsia"/>
          <w:szCs w:val="21"/>
        </w:rPr>
        <w:t>排名</w:t>
      </w:r>
      <w:r>
        <w:rPr>
          <w:rFonts w:asciiTheme="majorEastAsia" w:hAnsiTheme="majorEastAsia" w:eastAsiaTheme="majorEastAsia"/>
          <w:szCs w:val="21"/>
        </w:rPr>
        <w:t>第二</w:t>
      </w:r>
      <w:r>
        <w:rPr>
          <w:rFonts w:hint="eastAsia" w:asciiTheme="majorEastAsia" w:hAnsiTheme="majorEastAsia" w:eastAsiaTheme="majorEastAsia"/>
          <w:szCs w:val="21"/>
        </w:rPr>
        <w:t>的投标人为第一替补中标候选人、排名</w:t>
      </w:r>
      <w:r>
        <w:rPr>
          <w:rFonts w:asciiTheme="majorEastAsia" w:hAnsiTheme="majorEastAsia" w:eastAsiaTheme="majorEastAsia"/>
          <w:szCs w:val="21"/>
        </w:rPr>
        <w:t>第</w:t>
      </w:r>
      <w:r>
        <w:rPr>
          <w:rFonts w:hint="eastAsia" w:asciiTheme="majorEastAsia" w:hAnsiTheme="majorEastAsia" w:eastAsiaTheme="majorEastAsia"/>
          <w:szCs w:val="21"/>
        </w:rPr>
        <w:t>三的投标人为第二替补中标候选人</w:t>
      </w:r>
      <w:bookmarkEnd w:id="50"/>
      <w:r>
        <w:rPr>
          <w:rFonts w:asciiTheme="majorEastAsia" w:hAnsiTheme="majorEastAsia" w:eastAsiaTheme="majorEastAsia"/>
          <w:szCs w:val="21"/>
        </w:rPr>
        <w:t>）。</w:t>
      </w:r>
    </w:p>
    <w:p w14:paraId="2436CDE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w:t>
      </w:r>
      <w:r>
        <w:rPr>
          <w:rFonts w:asciiTheme="majorEastAsia" w:hAnsiTheme="majorEastAsia" w:eastAsiaTheme="majorEastAsia"/>
          <w:szCs w:val="21"/>
        </w:rPr>
        <w:t>.</w:t>
      </w:r>
      <w:r>
        <w:rPr>
          <w:rFonts w:hint="eastAsia" w:asciiTheme="majorEastAsia" w:hAnsiTheme="majorEastAsia" w:eastAsiaTheme="majorEastAsia"/>
          <w:szCs w:val="21"/>
        </w:rPr>
        <w:t>1.3</w:t>
      </w:r>
      <w:r>
        <w:rPr>
          <w:rFonts w:asciiTheme="majorEastAsia" w:hAnsiTheme="majorEastAsia" w:eastAsiaTheme="major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Theme="majorEastAsia" w:hAnsiTheme="majorEastAsia" w:eastAsiaTheme="majorEastAsia"/>
          <w:szCs w:val="21"/>
        </w:rPr>
        <w:t>为中标供应商</w:t>
      </w:r>
      <w:r>
        <w:rPr>
          <w:rFonts w:asciiTheme="majorEastAsia" w:hAnsiTheme="majorEastAsia" w:eastAsiaTheme="majorEastAsia"/>
          <w:szCs w:val="21"/>
        </w:rPr>
        <w:t>（</w:t>
      </w:r>
      <w:r>
        <w:rPr>
          <w:rFonts w:hint="eastAsia" w:asciiTheme="majorEastAsia" w:hAnsiTheme="majorEastAsia" w:eastAsiaTheme="majorEastAsia"/>
          <w:szCs w:val="21"/>
        </w:rPr>
        <w:t>中标候选人如不止一名，则推选排名</w:t>
      </w:r>
      <w:r>
        <w:rPr>
          <w:rFonts w:asciiTheme="majorEastAsia" w:hAnsiTheme="majorEastAsia" w:eastAsiaTheme="majorEastAsia"/>
          <w:szCs w:val="21"/>
        </w:rPr>
        <w:t>第二</w:t>
      </w:r>
      <w:r>
        <w:rPr>
          <w:rFonts w:hint="eastAsia" w:asciiTheme="majorEastAsia" w:hAnsiTheme="majorEastAsia" w:eastAsiaTheme="majorEastAsia"/>
          <w:szCs w:val="21"/>
        </w:rPr>
        <w:t>的投标人为第一替补中标候选人、排名</w:t>
      </w:r>
      <w:r>
        <w:rPr>
          <w:rFonts w:asciiTheme="majorEastAsia" w:hAnsiTheme="majorEastAsia" w:eastAsiaTheme="majorEastAsia"/>
          <w:szCs w:val="21"/>
        </w:rPr>
        <w:t>第</w:t>
      </w:r>
      <w:r>
        <w:rPr>
          <w:rFonts w:hint="eastAsia" w:asciiTheme="majorEastAsia" w:hAnsiTheme="majorEastAsia" w:eastAsiaTheme="majorEastAsia"/>
          <w:szCs w:val="21"/>
        </w:rPr>
        <w:t>三的投标人为第二替补中标候选人</w:t>
      </w:r>
      <w:r>
        <w:rPr>
          <w:rFonts w:asciiTheme="majorEastAsia" w:hAnsiTheme="majorEastAsia" w:eastAsiaTheme="majorEastAsia"/>
          <w:szCs w:val="21"/>
        </w:rPr>
        <w:t>）。</w:t>
      </w:r>
      <w:r>
        <w:rPr>
          <w:rFonts w:hint="eastAsia" w:asciiTheme="majorEastAsia" w:hAnsiTheme="majorEastAsia" w:eastAsiaTheme="majorEastAsia"/>
          <w:szCs w:val="21"/>
        </w:rPr>
        <w:t>出现</w:t>
      </w:r>
      <w:r>
        <w:rPr>
          <w:rFonts w:asciiTheme="majorEastAsia" w:hAnsiTheme="majorEastAsia" w:eastAsiaTheme="majorEastAsia"/>
          <w:szCs w:val="21"/>
        </w:rPr>
        <w:t>得分且投标报价相同的并列</w:t>
      </w:r>
      <w:r>
        <w:rPr>
          <w:rFonts w:hint="eastAsia" w:asciiTheme="majorEastAsia" w:hAnsiTheme="majorEastAsia" w:eastAsiaTheme="majorEastAsia"/>
          <w:szCs w:val="21"/>
        </w:rPr>
        <w:t>情况时，采取随机抽取的方式确定，具体操作办法及流程由评审委员会确定（因落实政府采购政策进行价格调整的，以调整后的价格计算投标报价）。</w:t>
      </w:r>
    </w:p>
    <w:p w14:paraId="4174515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38.2评定分离项目定标方法</w:t>
      </w:r>
    </w:p>
    <w:p w14:paraId="7F58766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078C9603">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 xml:space="preserve">38.2.2 </w:t>
      </w:r>
      <w:bookmarkStart w:id="51" w:name="_Hlk71469733"/>
      <w:r>
        <w:rPr>
          <w:rFonts w:asciiTheme="majorEastAsia" w:hAnsiTheme="majorEastAsia" w:eastAsiaTheme="majorEastAsia"/>
          <w:szCs w:val="21"/>
        </w:rPr>
        <w:t>适用评定分离的政府采购项目，采用综合评分法评</w:t>
      </w:r>
      <w:r>
        <w:rPr>
          <w:rFonts w:hint="eastAsia" w:asciiTheme="majorEastAsia" w:hAnsiTheme="majorEastAsia" w:eastAsiaTheme="majorEastAsia"/>
          <w:szCs w:val="21"/>
        </w:rPr>
        <w:t>审。评审委员会按照评审结果，推荐</w:t>
      </w:r>
      <w:r>
        <w:rPr>
          <w:rFonts w:asciiTheme="majorEastAsia" w:hAnsiTheme="majorEastAsia" w:eastAsiaTheme="majorEastAsia"/>
          <w:szCs w:val="21"/>
        </w:rPr>
        <w:t>三个合格的候选中标供应商。</w:t>
      </w:r>
    </w:p>
    <w:p w14:paraId="71502A3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38.2.3</w:t>
      </w:r>
      <w:bookmarkStart w:id="52" w:name="_Hlk71469688"/>
      <w:r>
        <w:rPr>
          <w:rFonts w:asciiTheme="majorEastAsia" w:hAnsiTheme="majorEastAsia" w:eastAsiaTheme="majorEastAsia"/>
          <w:szCs w:val="21"/>
        </w:rPr>
        <w:t>适用评定分离的政府采购项目，</w:t>
      </w:r>
      <w:r>
        <w:rPr>
          <w:rFonts w:hint="eastAsia" w:asciiTheme="majorEastAsia" w:hAnsiTheme="majorEastAsia" w:eastAsiaTheme="majorEastAsia"/>
          <w:szCs w:val="21"/>
        </w:rPr>
        <w:t>按照自定法确定中标供应商：自定法是指采购人组织定标委员会，由定标委员会在三家候选中标供应商中确定中标供应商。</w:t>
      </w:r>
      <w:bookmarkEnd w:id="51"/>
      <w:bookmarkEnd w:id="52"/>
    </w:p>
    <w:p w14:paraId="4D1F30DE">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38.2.4</w:t>
      </w:r>
      <w:r>
        <w:rPr>
          <w:rFonts w:hint="eastAsia" w:asciiTheme="majorEastAsia" w:hAnsiTheme="majorEastAsia" w:eastAsiaTheme="majorEastAsia"/>
          <w:szCs w:val="21"/>
        </w:rPr>
        <w:t>采购代理机构</w:t>
      </w:r>
      <w:r>
        <w:rPr>
          <w:rFonts w:asciiTheme="majorEastAsia" w:hAnsiTheme="majorEastAsia" w:eastAsiaTheme="majorEastAsia"/>
          <w:szCs w:val="21"/>
        </w:rPr>
        <w:t>应当自评审结束之日起两个工作日内将候选中标供应商名单及其投标文件、评审报告送交采购人</w:t>
      </w:r>
      <w:r>
        <w:rPr>
          <w:rFonts w:hint="eastAsia" w:asciiTheme="majorEastAsia" w:hAnsiTheme="majorEastAsia" w:eastAsiaTheme="majorEastAsia"/>
          <w:szCs w:val="21"/>
        </w:rPr>
        <w:t>。</w:t>
      </w:r>
      <w:r>
        <w:rPr>
          <w:rFonts w:asciiTheme="majorEastAsia" w:hAnsiTheme="majorEastAsia" w:eastAsiaTheme="majorEastAsia"/>
          <w:szCs w:val="21"/>
        </w:rPr>
        <w:t>采购人应当安排专人对定标过程进行书面记录，形成定标报告，作为采购文件的组成部分存档，并及时将定标结果反馈</w:t>
      </w:r>
      <w:r>
        <w:rPr>
          <w:rFonts w:hint="eastAsia" w:asciiTheme="majorEastAsia" w:hAnsiTheme="majorEastAsia" w:eastAsiaTheme="majorEastAsia"/>
          <w:szCs w:val="21"/>
        </w:rPr>
        <w:t>采购代理机构。具体定标程序及相关要求以按照《</w:t>
      </w:r>
      <w:r>
        <w:rPr>
          <w:rFonts w:asciiTheme="majorEastAsia" w:hAnsiTheme="majorEastAsia" w:eastAsiaTheme="majorEastAsia"/>
          <w:szCs w:val="21"/>
        </w:rPr>
        <w:t>深圳市财政局关于印发</w:t>
      </w:r>
      <w:r>
        <w:rPr>
          <w:rFonts w:hint="eastAsia" w:asciiTheme="majorEastAsia" w:hAnsiTheme="majorEastAsia" w:eastAsiaTheme="majorEastAsia"/>
          <w:szCs w:val="21"/>
        </w:rPr>
        <w:t>〈</w:t>
      </w:r>
      <w:r>
        <w:rPr>
          <w:rFonts w:asciiTheme="majorEastAsia" w:hAnsiTheme="majorEastAsia" w:eastAsiaTheme="majorEastAsia"/>
          <w:szCs w:val="21"/>
        </w:rPr>
        <w:t>深圳市政府采购评标定标分离管理办法</w:t>
      </w:r>
      <w:r>
        <w:rPr>
          <w:rFonts w:hint="eastAsia" w:asciiTheme="majorEastAsia" w:hAnsiTheme="majorEastAsia" w:eastAsiaTheme="majorEastAsia"/>
          <w:szCs w:val="21"/>
        </w:rPr>
        <w:t>〉</w:t>
      </w:r>
      <w:r>
        <w:rPr>
          <w:rFonts w:asciiTheme="majorEastAsia" w:hAnsiTheme="majorEastAsia" w:eastAsiaTheme="majorEastAsia"/>
          <w:szCs w:val="21"/>
        </w:rPr>
        <w:t>的通知</w:t>
      </w:r>
      <w:r>
        <w:rPr>
          <w:rFonts w:hint="eastAsia" w:asciiTheme="majorEastAsia" w:hAnsiTheme="majorEastAsia" w:eastAsiaTheme="majorEastAsia"/>
          <w:szCs w:val="21"/>
        </w:rPr>
        <w:t>》（深财规【2</w:t>
      </w:r>
      <w:r>
        <w:rPr>
          <w:rFonts w:asciiTheme="majorEastAsia" w:hAnsiTheme="majorEastAsia" w:eastAsiaTheme="majorEastAsia"/>
          <w:szCs w:val="21"/>
        </w:rPr>
        <w:t>020</w:t>
      </w:r>
      <w:r>
        <w:rPr>
          <w:rFonts w:hint="eastAsia" w:asciiTheme="majorEastAsia" w:hAnsiTheme="majorEastAsia" w:eastAsiaTheme="majorEastAsia"/>
          <w:szCs w:val="21"/>
        </w:rPr>
        <w:t>】1号）执行。</w:t>
      </w:r>
    </w:p>
    <w:p w14:paraId="56E27F7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说明：采购人及投标供应商应按照上述方法提前做好相关准备。</w:t>
      </w:r>
    </w:p>
    <w:p w14:paraId="323FB3C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38.3专用条款另有规定的，按专用条款相关要求定标。</w:t>
      </w:r>
      <w:bookmarkEnd w:id="49"/>
    </w:p>
    <w:p w14:paraId="54372450">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39．编写评审报告</w:t>
      </w:r>
    </w:p>
    <w:p w14:paraId="3F72F5A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3C8C3AB5">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40．中标公告</w:t>
      </w:r>
    </w:p>
    <w:p w14:paraId="0E67257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40.1</w:t>
      </w:r>
      <w:bookmarkStart w:id="53" w:name="_Hlk72438709"/>
      <w:r>
        <w:rPr>
          <w:rFonts w:hint="eastAsia" w:asciiTheme="majorEastAsia" w:hAnsiTheme="majorEastAsia" w:eastAsiaTheme="majorEastAsia"/>
          <w:szCs w:val="21"/>
        </w:rPr>
        <w:t>为体现“公开、公平、公正”的原则，评审结束后经采购人确认（确定）评审结果，采购代理机构将在招标公告中明确的信息发布媒体上发布中标结果公告。</w:t>
      </w:r>
      <w:bookmarkEnd w:id="53"/>
      <w:bookmarkStart w:id="54" w:name="_Hlk72438751"/>
      <w:r>
        <w:rPr>
          <w:rFonts w:hint="eastAsia" w:asciiTheme="majorEastAsia" w:hAnsiTheme="majorEastAsia" w:eastAsiaTheme="majorEastAsia"/>
          <w:szCs w:val="21"/>
        </w:rPr>
        <w:t>供应商如对评审结果有异议，</w:t>
      </w:r>
      <w:r>
        <w:rPr>
          <w:rFonts w:asciiTheme="majorEastAsia" w:hAnsiTheme="majorEastAsia" w:eastAsiaTheme="majorEastAsia"/>
          <w:szCs w:val="21"/>
        </w:rPr>
        <w:t>可在发布公示日期起</w:t>
      </w:r>
      <w:r>
        <w:rPr>
          <w:rFonts w:hint="eastAsia" w:asciiTheme="majorEastAsia" w:hAnsiTheme="majorEastAsia" w:eastAsiaTheme="majorEastAsia"/>
          <w:szCs w:val="21"/>
        </w:rPr>
        <w:t>七</w:t>
      </w:r>
      <w:r>
        <w:rPr>
          <w:rFonts w:asciiTheme="majorEastAsia" w:hAnsiTheme="majorEastAsia" w:eastAsiaTheme="majorEastAsia"/>
          <w:szCs w:val="21"/>
        </w:rPr>
        <w:t>个工作日内向</w:t>
      </w:r>
      <w:r>
        <w:rPr>
          <w:rFonts w:hint="eastAsia" w:asciiTheme="majorEastAsia" w:hAnsiTheme="majorEastAsia" w:eastAsiaTheme="majorEastAsia"/>
          <w:szCs w:val="21"/>
        </w:rPr>
        <w:t>采购代理机构</w:t>
      </w:r>
      <w:r>
        <w:rPr>
          <w:rFonts w:asciiTheme="majorEastAsia" w:hAnsiTheme="majorEastAsia" w:eastAsiaTheme="majorEastAsia"/>
          <w:szCs w:val="21"/>
        </w:rPr>
        <w:t>提出。 监督电话：0755-83948143。</w:t>
      </w:r>
      <w:r>
        <w:rPr>
          <w:rFonts w:hint="eastAsia" w:asciiTheme="majorEastAsia" w:hAnsiTheme="majorEastAsia" w:eastAsiaTheme="majorEastAsia"/>
          <w:szCs w:val="21"/>
        </w:rPr>
        <w:t>若在公示期内未提出质疑，则视为认同该评审结果。</w:t>
      </w:r>
    </w:p>
    <w:bookmarkEnd w:id="54"/>
    <w:p w14:paraId="3F04688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40.2质疑、投诉供应商应保证质疑、投诉内容的真实性和可靠性，并承担相应的法律责任。</w:t>
      </w:r>
    </w:p>
    <w:p w14:paraId="112651F9">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41．中标通知书</w:t>
      </w:r>
    </w:p>
    <w:p w14:paraId="3DEFF39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41</w:t>
      </w:r>
      <w:r>
        <w:rPr>
          <w:rFonts w:asciiTheme="majorEastAsia" w:hAnsiTheme="majorEastAsia" w:eastAsiaTheme="majorEastAsia"/>
          <w:szCs w:val="21"/>
        </w:rPr>
        <w:t>.</w:t>
      </w:r>
      <w:r>
        <w:rPr>
          <w:rFonts w:hint="eastAsia" w:asciiTheme="majorEastAsia" w:hAnsiTheme="majorEastAsia" w:eastAsiaTheme="majorEastAsia"/>
          <w:szCs w:val="21"/>
        </w:rPr>
        <w:t>1</w:t>
      </w:r>
      <w:bookmarkStart w:id="55" w:name="_Hlk72438863"/>
      <w:r>
        <w:rPr>
          <w:rFonts w:hint="eastAsia" w:asciiTheme="majorEastAsia" w:hAnsiTheme="majorEastAsia" w:eastAsiaTheme="majorEastAsia"/>
          <w:szCs w:val="21"/>
        </w:rPr>
        <w:t>中标公告公布以后无异常的情况下,采购代理机构将向中标供应商和采购人发出中标通知书。</w:t>
      </w:r>
      <w:bookmarkEnd w:id="55"/>
    </w:p>
    <w:p w14:paraId="395B9C0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41</w:t>
      </w:r>
      <w:r>
        <w:rPr>
          <w:rFonts w:asciiTheme="majorEastAsia" w:hAnsiTheme="majorEastAsia" w:eastAsiaTheme="majorEastAsia"/>
          <w:szCs w:val="21"/>
        </w:rPr>
        <w:t>.2</w:t>
      </w:r>
      <w:r>
        <w:rPr>
          <w:rFonts w:hint="eastAsia" w:asciiTheme="majorEastAsia" w:hAnsiTheme="majorEastAsia" w:eastAsiaTheme="majorEastAsia"/>
          <w:szCs w:val="21"/>
        </w:rPr>
        <w:t>中标通知书是合同的重要组成部分。</w:t>
      </w:r>
    </w:p>
    <w:p w14:paraId="2BD14FD3">
      <w:pPr>
        <w:spacing w:line="360" w:lineRule="auto"/>
        <w:ind w:firstLine="411" w:firstLineChars="196"/>
        <w:rPr>
          <w:rFonts w:asciiTheme="majorEastAsia" w:hAnsiTheme="majorEastAsia" w:eastAsiaTheme="majorEastAsia"/>
          <w:szCs w:val="21"/>
        </w:rPr>
      </w:pPr>
      <w:bookmarkStart w:id="56" w:name="_Hlk71407340"/>
      <w:r>
        <w:rPr>
          <w:rFonts w:hint="eastAsia" w:asciiTheme="majorEastAsia" w:hAnsiTheme="majorEastAsia" w:eastAsiaTheme="majorEastAsia"/>
          <w:szCs w:val="21"/>
        </w:rPr>
        <w:t>41.3因质疑投诉或其它原因导致项目结果变更或采购终止的，采购代理机构有权吊销中标通知书。</w:t>
      </w:r>
    </w:p>
    <w:p w14:paraId="30BC358F">
      <w:pPr>
        <w:spacing w:line="360" w:lineRule="auto"/>
        <w:ind w:firstLine="411" w:firstLineChars="196"/>
        <w:rPr>
          <w:rFonts w:hint="eastAsia" w:asciiTheme="majorEastAsia" w:hAnsiTheme="majorEastAsia" w:eastAsiaTheme="majorEastAsia"/>
          <w:szCs w:val="21"/>
          <w:lang w:eastAsia="zh-CN"/>
        </w:rPr>
      </w:pPr>
      <w:r>
        <w:rPr>
          <w:rFonts w:hint="eastAsia" w:asciiTheme="majorEastAsia" w:hAnsiTheme="majorEastAsia" w:eastAsiaTheme="majorEastAsia"/>
          <w:szCs w:val="21"/>
        </w:rPr>
        <w:t>41.4</w:t>
      </w:r>
      <w:r>
        <w:rPr>
          <w:rFonts w:hint="eastAsia" w:asciiTheme="majorEastAsia" w:hAnsiTheme="majorEastAsia" w:eastAsiaTheme="majorEastAsia"/>
          <w:szCs w:val="21"/>
          <w:lang w:eastAsia="zh-CN"/>
        </w:rPr>
        <w:t>代理服务费</w:t>
      </w:r>
    </w:p>
    <w:p w14:paraId="23B94B8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中标人须在中标公告公示期结束后，向采购代理机构缴纳</w:t>
      </w:r>
      <w:r>
        <w:rPr>
          <w:rFonts w:hint="eastAsia" w:asciiTheme="majorEastAsia" w:hAnsiTheme="majorEastAsia" w:eastAsiaTheme="majorEastAsia"/>
          <w:szCs w:val="21"/>
          <w:lang w:eastAsia="zh-CN"/>
        </w:rPr>
        <w:t>代理服务费</w:t>
      </w:r>
      <w:r>
        <w:rPr>
          <w:rFonts w:hint="eastAsia" w:asciiTheme="majorEastAsia" w:hAnsiTheme="majorEastAsia" w:eastAsiaTheme="majorEastAsia"/>
          <w:szCs w:val="21"/>
        </w:rPr>
        <w:t>。</w:t>
      </w:r>
      <w:r>
        <w:rPr>
          <w:rFonts w:hint="eastAsia" w:asciiTheme="majorEastAsia" w:hAnsiTheme="majorEastAsia" w:eastAsiaTheme="majorEastAsia"/>
          <w:szCs w:val="21"/>
          <w:lang w:eastAsia="zh-CN"/>
        </w:rPr>
        <w:t>代理服务费</w:t>
      </w:r>
      <w:r>
        <w:rPr>
          <w:rFonts w:hint="eastAsia" w:asciiTheme="majorEastAsia" w:hAnsiTheme="majorEastAsia" w:eastAsiaTheme="majorEastAsia"/>
          <w:szCs w:val="21"/>
        </w:rPr>
        <w:t>收费标准根据《深圳市财政委员会关于规范深圳市社会采购代理机构的管理有关事项的补充通知（深财购[2018]27号）》文件相关规定，按照差额定率累进法计算。具体收费标准详见下表：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027"/>
        <w:gridCol w:w="2158"/>
        <w:gridCol w:w="2158"/>
      </w:tblGrid>
      <w:tr w14:paraId="5249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2802" w:type="dxa"/>
          </w:tcPr>
          <w:p w14:paraId="5457BB4D">
            <w:pPr>
              <w:spacing w:line="360" w:lineRule="auto"/>
              <w:ind w:firstLine="1629" w:firstLineChars="776"/>
              <w:rPr>
                <w:rFonts w:asciiTheme="majorEastAsia" w:hAnsiTheme="majorEastAsia" w:eastAsiaTheme="majorEastAsia"/>
                <w:b/>
                <w:szCs w:val="21"/>
              </w:rPr>
            </w:pPr>
            <w:r>
              <w:rPr>
                <w:rFonts w:asciiTheme="majorEastAsia" w:hAnsiTheme="majorEastAsia" w:eastAsiaTheme="majorEastAsia"/>
                <w:szCs w:val="21"/>
              </w:rPr>
              <mc:AlternateContent>
                <mc:Choice Requires="wps">
                  <w:drawing>
                    <wp:anchor distT="0" distB="0" distL="114300" distR="114300" simplePos="0" relativeHeight="251661312" behindDoc="0" locked="0" layoutInCell="0" allowOverlap="1">
                      <wp:simplePos x="0" y="0"/>
                      <wp:positionH relativeFrom="column">
                        <wp:posOffset>-19050</wp:posOffset>
                      </wp:positionH>
                      <wp:positionV relativeFrom="paragraph">
                        <wp:posOffset>436245</wp:posOffset>
                      </wp:positionV>
                      <wp:extent cx="1733550" cy="394335"/>
                      <wp:effectExtent l="1270" t="4445" r="5080" b="7620"/>
                      <wp:wrapNone/>
                      <wp:docPr id="7" name="直接连接符 7"/>
                      <wp:cNvGraphicFramePr/>
                      <a:graphic xmlns:a="http://schemas.openxmlformats.org/drawingml/2006/main">
                        <a:graphicData uri="http://schemas.microsoft.com/office/word/2010/wordprocessingShape">
                          <wps:wsp>
                            <wps:cNvCnPr/>
                            <wps:spPr>
                              <a:xfrm flipH="1" flipV="1">
                                <a:off x="0" y="0"/>
                                <a:ext cx="1771650" cy="54102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 y;margin-left:-1.5pt;margin-top:34.35pt;height:31.05pt;width:136.5pt;z-index:251661312;mso-width-relative:page;mso-height-relative:page;" filled="f" stroked="t" coordsize="21600,21600" o:allowincell="f" o:gfxdata="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alQLG1AAAAAkBAAAPAAAAAAAAAAEAIAAAACIAAABkcnMvZG93&#10;bnJldi54bWxQSwECFAAUAAAACACHTuJA5DiR7gQCAAD/AwAADgAAAAAAAAABACAAAAAjAQAAZHJz&#10;L2Uyb0RvYy54bWxQSwUGAAAAAAYABgBZAQAAmQUAAAAA&#10;">
                      <v:fill on="f" focussize="0,0"/>
                      <v:stroke color="#000000" joinstyle="round"/>
                      <v:imagedata o:title=""/>
                      <o:lock v:ext="edit" aspectratio="f"/>
                    </v:line>
                  </w:pict>
                </mc:Fallback>
              </mc:AlternateContent>
            </w:r>
            <w:r>
              <w:rPr>
                <w:rFonts w:asciiTheme="majorEastAsia" w:hAnsiTheme="majorEastAsia" w:eastAsiaTheme="majorEastAsia"/>
                <w:szCs w:val="21"/>
              </w:rPr>
              <mc:AlternateContent>
                <mc:Choice Requires="wps">
                  <w:drawing>
                    <wp:anchor distT="0" distB="0" distL="114300" distR="114300" simplePos="0" relativeHeight="251660288" behindDoc="0" locked="0" layoutInCell="0" allowOverlap="1">
                      <wp:simplePos x="0" y="0"/>
                      <wp:positionH relativeFrom="column">
                        <wp:posOffset>392430</wp:posOffset>
                      </wp:positionH>
                      <wp:positionV relativeFrom="paragraph">
                        <wp:posOffset>31750</wp:posOffset>
                      </wp:positionV>
                      <wp:extent cx="1322070" cy="798830"/>
                      <wp:effectExtent l="2540" t="3810" r="8890" b="10160"/>
                      <wp:wrapNone/>
                      <wp:docPr id="6" name="直接连接符 6"/>
                      <wp:cNvGraphicFramePr/>
                      <a:graphic xmlns:a="http://schemas.openxmlformats.org/drawingml/2006/main">
                        <a:graphicData uri="http://schemas.microsoft.com/office/word/2010/wordprocessingShape">
                          <wps:wsp>
                            <wps:cNvCnPr/>
                            <wps:spPr>
                              <a:xfrm flipH="1" flipV="1">
                                <a:off x="0" y="0"/>
                                <a:ext cx="1215390" cy="8515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 y;margin-left:30.9pt;margin-top:2.5pt;height:62.9pt;width:104.1pt;z-index:251660288;mso-width-relative:page;mso-height-relative:page;" filled="f" stroked="t" coordsize="21600,21600" o:allowincell="f" o:gfxdata="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tdP1dMAAAAIAQAADwAAAAAAAAABACAAAAAiAAAAZHJzL2Rvd25yZXYu&#10;eG1sUEsBAhQAFAAAAAgAh07iQPjl/UYAAgAA/wMAAA4AAAAAAAAAAQAgAAAAIgEAAGRycy9lMm9E&#10;b2MueG1sUEsFBgAAAAAGAAYAWQEAAJQFAAAAAA==&#10;">
                      <v:fill on="f" focussize="0,0"/>
                      <v:stroke color="#000000" joinstyle="round"/>
                      <v:imagedata o:title=""/>
                      <o:lock v:ext="edit" aspectratio="f"/>
                    </v:line>
                  </w:pict>
                </mc:Fallback>
              </mc:AlternateContent>
            </w:r>
            <w:r>
              <w:rPr>
                <w:rFonts w:asciiTheme="majorEastAsia" w:hAnsiTheme="majorEastAsia" w:eastAsiaTheme="majorEastAsia"/>
                <w:szCs w:val="21"/>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uR037V&#10;AAAACQEAAA8AAAAAAAAAAQAgAAAAIgAAAGRycy9kb3ducmV2LnhtbFBLAQIUABQAAAAIAIdO4kCU&#10;Y33D6gEAAOADAAAOAAAAAAAAAAEAIAAAACQBAABkcnMvZTJvRG9jLnhtbFBLBQYAAAAABgAGAFkB&#10;AACABQAAAAA=&#10;">
                      <v:fill on="f" focussize="0,0"/>
                      <v:stroke color="#000000" joinstyle="round"/>
                      <v:imagedata o:title=""/>
                      <o:lock v:ext="edit" aspectratio="f"/>
                    </v:line>
                  </w:pict>
                </mc:Fallback>
              </mc:AlternateContent>
            </w:r>
            <w:r>
              <w:rPr>
                <w:rFonts w:hint="eastAsia" w:asciiTheme="majorEastAsia" w:hAnsiTheme="majorEastAsia" w:eastAsiaTheme="majorEastAsia"/>
                <w:b/>
                <w:szCs w:val="21"/>
              </w:rPr>
              <w:t>服务类型</w:t>
            </w:r>
          </w:p>
          <w:p w14:paraId="4322D09D">
            <w:pPr>
              <w:spacing w:line="360" w:lineRule="auto"/>
              <w:ind w:firstLine="637" w:firstLineChars="302"/>
              <w:rPr>
                <w:rFonts w:asciiTheme="majorEastAsia" w:hAnsiTheme="majorEastAsia" w:eastAsiaTheme="majorEastAsia"/>
                <w:b/>
                <w:szCs w:val="21"/>
              </w:rPr>
            </w:pPr>
            <w:r>
              <w:rPr>
                <w:rFonts w:hint="eastAsia" w:asciiTheme="majorEastAsia" w:hAnsiTheme="majorEastAsia" w:eastAsiaTheme="majorEastAsia"/>
                <w:b/>
                <w:szCs w:val="21"/>
              </w:rPr>
              <w:t>费率　　　　　</w:t>
            </w:r>
          </w:p>
          <w:p w14:paraId="16C84D29">
            <w:pPr>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中标金额（万元）</w:t>
            </w:r>
          </w:p>
        </w:tc>
        <w:tc>
          <w:tcPr>
            <w:tcW w:w="2027" w:type="dxa"/>
            <w:vAlign w:val="center"/>
          </w:tcPr>
          <w:p w14:paraId="7669E4B2">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货物招标</w:t>
            </w:r>
          </w:p>
        </w:tc>
        <w:tc>
          <w:tcPr>
            <w:tcW w:w="2158" w:type="dxa"/>
            <w:vAlign w:val="center"/>
          </w:tcPr>
          <w:p w14:paraId="5D22409C">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服务招标</w:t>
            </w:r>
          </w:p>
        </w:tc>
        <w:tc>
          <w:tcPr>
            <w:tcW w:w="2158" w:type="dxa"/>
            <w:vAlign w:val="center"/>
          </w:tcPr>
          <w:p w14:paraId="34CAFF33">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工程招标</w:t>
            </w:r>
          </w:p>
        </w:tc>
      </w:tr>
      <w:tr w14:paraId="7814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6C90FF50">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100</w:t>
            </w:r>
            <w:r>
              <w:rPr>
                <w:rFonts w:hint="eastAsia" w:asciiTheme="majorEastAsia" w:hAnsiTheme="majorEastAsia" w:eastAsiaTheme="majorEastAsia"/>
                <w:szCs w:val="21"/>
              </w:rPr>
              <w:t>以下</w:t>
            </w:r>
          </w:p>
        </w:tc>
        <w:tc>
          <w:tcPr>
            <w:tcW w:w="2027" w:type="dxa"/>
            <w:vAlign w:val="center"/>
          </w:tcPr>
          <w:p w14:paraId="61C39016">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1.500%</w:t>
            </w:r>
          </w:p>
        </w:tc>
        <w:tc>
          <w:tcPr>
            <w:tcW w:w="2158" w:type="dxa"/>
            <w:vAlign w:val="center"/>
          </w:tcPr>
          <w:p w14:paraId="54D5559D">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1.500%</w:t>
            </w:r>
          </w:p>
        </w:tc>
        <w:tc>
          <w:tcPr>
            <w:tcW w:w="2158" w:type="dxa"/>
            <w:vAlign w:val="center"/>
          </w:tcPr>
          <w:p w14:paraId="7B26840C">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1.000%</w:t>
            </w:r>
          </w:p>
        </w:tc>
      </w:tr>
      <w:tr w14:paraId="0B39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36CC6062">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100</w:t>
            </w:r>
            <w:r>
              <w:rPr>
                <w:rFonts w:hint="eastAsia" w:asciiTheme="majorEastAsia" w:hAnsiTheme="majorEastAsia" w:eastAsiaTheme="majorEastAsia"/>
                <w:szCs w:val="21"/>
              </w:rPr>
              <w:t>～</w:t>
            </w:r>
            <w:r>
              <w:rPr>
                <w:rFonts w:asciiTheme="majorEastAsia" w:hAnsiTheme="majorEastAsia" w:eastAsiaTheme="majorEastAsia"/>
                <w:szCs w:val="21"/>
              </w:rPr>
              <w:t>500</w:t>
            </w:r>
          </w:p>
        </w:tc>
        <w:tc>
          <w:tcPr>
            <w:tcW w:w="2027" w:type="dxa"/>
            <w:vAlign w:val="center"/>
          </w:tcPr>
          <w:p w14:paraId="482E1986">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1.100%</w:t>
            </w:r>
          </w:p>
        </w:tc>
        <w:tc>
          <w:tcPr>
            <w:tcW w:w="2158" w:type="dxa"/>
            <w:vAlign w:val="center"/>
          </w:tcPr>
          <w:p w14:paraId="1F02DD1E">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0.800%</w:t>
            </w:r>
          </w:p>
        </w:tc>
        <w:tc>
          <w:tcPr>
            <w:tcW w:w="2158" w:type="dxa"/>
            <w:vAlign w:val="center"/>
          </w:tcPr>
          <w:p w14:paraId="4FE75843">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0.700%</w:t>
            </w:r>
          </w:p>
        </w:tc>
      </w:tr>
      <w:tr w14:paraId="2692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1CEBFC7A">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500</w:t>
            </w:r>
            <w:r>
              <w:rPr>
                <w:rFonts w:hint="eastAsia" w:asciiTheme="majorEastAsia" w:hAnsiTheme="majorEastAsia" w:eastAsiaTheme="majorEastAsia"/>
                <w:szCs w:val="21"/>
              </w:rPr>
              <w:t>～</w:t>
            </w:r>
            <w:r>
              <w:rPr>
                <w:rFonts w:asciiTheme="majorEastAsia" w:hAnsiTheme="majorEastAsia" w:eastAsiaTheme="majorEastAsia"/>
                <w:szCs w:val="21"/>
              </w:rPr>
              <w:t>1</w:t>
            </w:r>
            <w:r>
              <w:rPr>
                <w:rFonts w:hint="eastAsia" w:asciiTheme="majorEastAsia" w:hAnsiTheme="majorEastAsia" w:eastAsiaTheme="majorEastAsia"/>
                <w:szCs w:val="21"/>
              </w:rPr>
              <w:t>000</w:t>
            </w:r>
          </w:p>
        </w:tc>
        <w:tc>
          <w:tcPr>
            <w:tcW w:w="2027" w:type="dxa"/>
            <w:vAlign w:val="center"/>
          </w:tcPr>
          <w:p w14:paraId="1681C963">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0.800%</w:t>
            </w:r>
          </w:p>
        </w:tc>
        <w:tc>
          <w:tcPr>
            <w:tcW w:w="2158" w:type="dxa"/>
            <w:vAlign w:val="center"/>
          </w:tcPr>
          <w:p w14:paraId="534C1F40">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0.450%</w:t>
            </w:r>
          </w:p>
        </w:tc>
        <w:tc>
          <w:tcPr>
            <w:tcW w:w="2158" w:type="dxa"/>
            <w:vAlign w:val="center"/>
          </w:tcPr>
          <w:p w14:paraId="73F7440E">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0.550%</w:t>
            </w:r>
          </w:p>
        </w:tc>
      </w:tr>
      <w:tr w14:paraId="7B64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51AA4942">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000～</w:t>
            </w:r>
            <w:r>
              <w:rPr>
                <w:rFonts w:asciiTheme="majorEastAsia" w:hAnsiTheme="majorEastAsia" w:eastAsiaTheme="majorEastAsia"/>
                <w:szCs w:val="21"/>
              </w:rPr>
              <w:t>5</w:t>
            </w:r>
            <w:r>
              <w:rPr>
                <w:rFonts w:hint="eastAsia" w:asciiTheme="majorEastAsia" w:hAnsiTheme="majorEastAsia" w:eastAsiaTheme="majorEastAsia"/>
                <w:szCs w:val="21"/>
              </w:rPr>
              <w:t>000</w:t>
            </w:r>
          </w:p>
        </w:tc>
        <w:tc>
          <w:tcPr>
            <w:tcW w:w="2027" w:type="dxa"/>
            <w:vAlign w:val="center"/>
          </w:tcPr>
          <w:p w14:paraId="6B0B4059">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0.500%</w:t>
            </w:r>
          </w:p>
        </w:tc>
        <w:tc>
          <w:tcPr>
            <w:tcW w:w="2158" w:type="dxa"/>
            <w:vAlign w:val="center"/>
          </w:tcPr>
          <w:p w14:paraId="4A279017">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0.250%</w:t>
            </w:r>
          </w:p>
        </w:tc>
        <w:tc>
          <w:tcPr>
            <w:tcW w:w="2158" w:type="dxa"/>
            <w:vAlign w:val="center"/>
          </w:tcPr>
          <w:p w14:paraId="26CC19FB">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0.350%</w:t>
            </w:r>
          </w:p>
        </w:tc>
      </w:tr>
      <w:tr w14:paraId="47B1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4FAB4853">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w:t>
            </w:r>
            <w:r>
              <w:rPr>
                <w:rFonts w:hint="eastAsia" w:asciiTheme="majorEastAsia" w:hAnsiTheme="majorEastAsia" w:eastAsiaTheme="majorEastAsia"/>
                <w:szCs w:val="21"/>
              </w:rPr>
              <w:t>000～</w:t>
            </w:r>
            <w:r>
              <w:rPr>
                <w:rFonts w:asciiTheme="majorEastAsia" w:hAnsiTheme="majorEastAsia" w:eastAsiaTheme="majorEastAsia"/>
                <w:szCs w:val="21"/>
              </w:rPr>
              <w:t>1</w:t>
            </w:r>
            <w:r>
              <w:rPr>
                <w:rFonts w:hint="eastAsia" w:asciiTheme="majorEastAsia" w:hAnsiTheme="majorEastAsia" w:eastAsiaTheme="majorEastAsia"/>
                <w:szCs w:val="21"/>
              </w:rPr>
              <w:t>0000</w:t>
            </w:r>
          </w:p>
        </w:tc>
        <w:tc>
          <w:tcPr>
            <w:tcW w:w="2027" w:type="dxa"/>
            <w:vAlign w:val="center"/>
          </w:tcPr>
          <w:p w14:paraId="07A79B6D">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0.250%</w:t>
            </w:r>
          </w:p>
        </w:tc>
        <w:tc>
          <w:tcPr>
            <w:tcW w:w="2158" w:type="dxa"/>
            <w:vAlign w:val="center"/>
          </w:tcPr>
          <w:p w14:paraId="247E636D">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0.100%</w:t>
            </w:r>
          </w:p>
        </w:tc>
        <w:tc>
          <w:tcPr>
            <w:tcW w:w="2158" w:type="dxa"/>
            <w:vAlign w:val="center"/>
          </w:tcPr>
          <w:p w14:paraId="1863ECB8">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0.200%</w:t>
            </w:r>
          </w:p>
        </w:tc>
      </w:tr>
      <w:tr w14:paraId="1FAE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802" w:type="dxa"/>
            <w:vAlign w:val="center"/>
          </w:tcPr>
          <w:p w14:paraId="1D180437">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0000～</w:t>
            </w:r>
            <w:r>
              <w:rPr>
                <w:rFonts w:asciiTheme="majorEastAsia" w:hAnsiTheme="majorEastAsia" w:eastAsiaTheme="majorEastAsia"/>
                <w:szCs w:val="21"/>
              </w:rPr>
              <w:t>5</w:t>
            </w:r>
            <w:r>
              <w:rPr>
                <w:rFonts w:hint="eastAsia" w:asciiTheme="majorEastAsia" w:hAnsiTheme="majorEastAsia" w:eastAsiaTheme="majorEastAsia"/>
                <w:szCs w:val="21"/>
              </w:rPr>
              <w:t>0000</w:t>
            </w:r>
          </w:p>
        </w:tc>
        <w:tc>
          <w:tcPr>
            <w:tcW w:w="2027" w:type="dxa"/>
            <w:vAlign w:val="center"/>
          </w:tcPr>
          <w:p w14:paraId="4482128F">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0.050%</w:t>
            </w:r>
          </w:p>
        </w:tc>
        <w:tc>
          <w:tcPr>
            <w:tcW w:w="2158" w:type="dxa"/>
            <w:vAlign w:val="center"/>
          </w:tcPr>
          <w:p w14:paraId="57D01EFC">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0.050%</w:t>
            </w:r>
          </w:p>
        </w:tc>
        <w:tc>
          <w:tcPr>
            <w:tcW w:w="2158" w:type="dxa"/>
            <w:vAlign w:val="center"/>
          </w:tcPr>
          <w:p w14:paraId="19F8409A">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0.050%</w:t>
            </w:r>
          </w:p>
        </w:tc>
      </w:tr>
      <w:tr w14:paraId="0EE40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296DE13F">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w:t>
            </w:r>
            <w:r>
              <w:rPr>
                <w:rFonts w:hint="eastAsia" w:asciiTheme="majorEastAsia" w:hAnsiTheme="majorEastAsia" w:eastAsiaTheme="majorEastAsia"/>
                <w:szCs w:val="21"/>
              </w:rPr>
              <w:t>0000～</w:t>
            </w:r>
            <w:r>
              <w:rPr>
                <w:rFonts w:asciiTheme="majorEastAsia" w:hAnsiTheme="majorEastAsia" w:eastAsiaTheme="majorEastAsia"/>
                <w:szCs w:val="21"/>
              </w:rPr>
              <w:t>10</w:t>
            </w:r>
            <w:r>
              <w:rPr>
                <w:rFonts w:hint="eastAsia" w:asciiTheme="majorEastAsia" w:hAnsiTheme="majorEastAsia" w:eastAsiaTheme="majorEastAsia"/>
                <w:szCs w:val="21"/>
              </w:rPr>
              <w:t>0000</w:t>
            </w:r>
          </w:p>
        </w:tc>
        <w:tc>
          <w:tcPr>
            <w:tcW w:w="2027" w:type="dxa"/>
            <w:vAlign w:val="center"/>
          </w:tcPr>
          <w:p w14:paraId="34618266">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0.035%</w:t>
            </w:r>
          </w:p>
        </w:tc>
        <w:tc>
          <w:tcPr>
            <w:tcW w:w="2158" w:type="dxa"/>
            <w:vAlign w:val="center"/>
          </w:tcPr>
          <w:p w14:paraId="3F11E1A2">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0.035%</w:t>
            </w:r>
          </w:p>
        </w:tc>
        <w:tc>
          <w:tcPr>
            <w:tcW w:w="2158" w:type="dxa"/>
            <w:vAlign w:val="center"/>
          </w:tcPr>
          <w:p w14:paraId="24699335">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0.035%</w:t>
            </w:r>
          </w:p>
        </w:tc>
      </w:tr>
      <w:tr w14:paraId="55F0C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6227DDF5">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w:t>
            </w:r>
            <w:r>
              <w:rPr>
                <w:rFonts w:hint="eastAsia" w:asciiTheme="majorEastAsia" w:hAnsiTheme="majorEastAsia" w:eastAsiaTheme="majorEastAsia"/>
                <w:szCs w:val="21"/>
              </w:rPr>
              <w:t>0000～</w:t>
            </w:r>
            <w:r>
              <w:rPr>
                <w:rFonts w:asciiTheme="majorEastAsia" w:hAnsiTheme="majorEastAsia" w:eastAsiaTheme="majorEastAsia"/>
                <w:szCs w:val="21"/>
              </w:rPr>
              <w:t>50</w:t>
            </w:r>
            <w:r>
              <w:rPr>
                <w:rFonts w:hint="eastAsia" w:asciiTheme="majorEastAsia" w:hAnsiTheme="majorEastAsia" w:eastAsiaTheme="majorEastAsia"/>
                <w:szCs w:val="21"/>
              </w:rPr>
              <w:t>0000</w:t>
            </w:r>
          </w:p>
        </w:tc>
        <w:tc>
          <w:tcPr>
            <w:tcW w:w="2027" w:type="dxa"/>
            <w:vAlign w:val="center"/>
          </w:tcPr>
          <w:p w14:paraId="305CEAA9">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0.008%</w:t>
            </w:r>
          </w:p>
        </w:tc>
        <w:tc>
          <w:tcPr>
            <w:tcW w:w="2158" w:type="dxa"/>
            <w:vAlign w:val="center"/>
          </w:tcPr>
          <w:p w14:paraId="0E5C2E95">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0.008%</w:t>
            </w:r>
          </w:p>
        </w:tc>
        <w:tc>
          <w:tcPr>
            <w:tcW w:w="2158" w:type="dxa"/>
            <w:vAlign w:val="center"/>
          </w:tcPr>
          <w:p w14:paraId="30C2182D">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0.008%</w:t>
            </w:r>
          </w:p>
        </w:tc>
      </w:tr>
      <w:tr w14:paraId="5D2FC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606D079C">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50</w:t>
            </w:r>
            <w:r>
              <w:rPr>
                <w:rFonts w:hint="eastAsia" w:asciiTheme="majorEastAsia" w:hAnsiTheme="majorEastAsia" w:eastAsiaTheme="majorEastAsia"/>
                <w:szCs w:val="21"/>
              </w:rPr>
              <w:t>0000～</w:t>
            </w:r>
            <w:r>
              <w:rPr>
                <w:rFonts w:asciiTheme="majorEastAsia" w:hAnsiTheme="majorEastAsia" w:eastAsiaTheme="majorEastAsia"/>
                <w:szCs w:val="21"/>
              </w:rPr>
              <w:t>100</w:t>
            </w:r>
            <w:r>
              <w:rPr>
                <w:rFonts w:hint="eastAsia" w:asciiTheme="majorEastAsia" w:hAnsiTheme="majorEastAsia" w:eastAsiaTheme="majorEastAsia"/>
                <w:szCs w:val="21"/>
              </w:rPr>
              <w:t>0000</w:t>
            </w:r>
          </w:p>
        </w:tc>
        <w:tc>
          <w:tcPr>
            <w:tcW w:w="2027" w:type="dxa"/>
            <w:vAlign w:val="center"/>
          </w:tcPr>
          <w:p w14:paraId="5B5194BF">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0.006%</w:t>
            </w:r>
          </w:p>
        </w:tc>
        <w:tc>
          <w:tcPr>
            <w:tcW w:w="2158" w:type="dxa"/>
            <w:vAlign w:val="center"/>
          </w:tcPr>
          <w:p w14:paraId="6C9FA28E">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0.006%</w:t>
            </w:r>
          </w:p>
        </w:tc>
        <w:tc>
          <w:tcPr>
            <w:tcW w:w="2158" w:type="dxa"/>
            <w:vAlign w:val="center"/>
          </w:tcPr>
          <w:p w14:paraId="41555738">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0.006%</w:t>
            </w:r>
          </w:p>
        </w:tc>
      </w:tr>
      <w:tr w14:paraId="3C2C9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802" w:type="dxa"/>
            <w:vAlign w:val="center"/>
          </w:tcPr>
          <w:p w14:paraId="36AB5929">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100</w:t>
            </w:r>
            <w:r>
              <w:rPr>
                <w:rFonts w:hint="eastAsia" w:asciiTheme="majorEastAsia" w:hAnsiTheme="majorEastAsia" w:eastAsiaTheme="majorEastAsia"/>
                <w:szCs w:val="21"/>
              </w:rPr>
              <w:t>0000以上</w:t>
            </w:r>
          </w:p>
        </w:tc>
        <w:tc>
          <w:tcPr>
            <w:tcW w:w="2027" w:type="dxa"/>
            <w:vAlign w:val="center"/>
          </w:tcPr>
          <w:p w14:paraId="2C83B35B">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0.004%</w:t>
            </w:r>
          </w:p>
        </w:tc>
        <w:tc>
          <w:tcPr>
            <w:tcW w:w="2158" w:type="dxa"/>
            <w:vAlign w:val="center"/>
          </w:tcPr>
          <w:p w14:paraId="272BA61E">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0.004%</w:t>
            </w:r>
          </w:p>
        </w:tc>
        <w:tc>
          <w:tcPr>
            <w:tcW w:w="2158" w:type="dxa"/>
            <w:vAlign w:val="center"/>
          </w:tcPr>
          <w:p w14:paraId="650D3A4C">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0.004%</w:t>
            </w:r>
          </w:p>
        </w:tc>
      </w:tr>
    </w:tbl>
    <w:p w14:paraId="1DDBDC98">
      <w:pPr>
        <w:spacing w:line="360" w:lineRule="auto"/>
        <w:ind w:firstLine="411" w:firstLineChars="196"/>
        <w:rPr>
          <w:rFonts w:asciiTheme="majorEastAsia" w:hAnsiTheme="majorEastAsia" w:eastAsiaTheme="majorEastAsia"/>
          <w:szCs w:val="21"/>
        </w:rPr>
      </w:pPr>
    </w:p>
    <w:bookmarkEnd w:id="56"/>
    <w:p w14:paraId="128CD67D">
      <w:pPr>
        <w:keepNext/>
        <w:keepLines/>
        <w:widowControl/>
        <w:numPr>
          <w:ilvl w:val="0"/>
          <w:numId w:val="4"/>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公开招标失败的后续处理</w:t>
      </w:r>
    </w:p>
    <w:p w14:paraId="12C522A1">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42．公开招标失败的处理</w:t>
      </w:r>
    </w:p>
    <w:p w14:paraId="3D5D763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42.1本项目公开招标过程中若由于投标截止后实际递交</w:t>
      </w:r>
      <w:r>
        <w:rPr>
          <w:rFonts w:asciiTheme="majorEastAsia" w:hAnsiTheme="majorEastAsia" w:eastAsiaTheme="majorEastAsia"/>
          <w:szCs w:val="21"/>
        </w:rPr>
        <w:t>投标</w:t>
      </w:r>
      <w:r>
        <w:rPr>
          <w:rFonts w:hint="eastAsia" w:asciiTheme="majorEastAsia" w:hAnsiTheme="majorEastAsia" w:eastAsiaTheme="majorEastAsia"/>
          <w:szCs w:val="21"/>
        </w:rPr>
        <w:t>文件的供应商数量不足、经评审委员会评审对招标文件作实质响应的供应商不足等原因造成公开招标失败，可由</w:t>
      </w:r>
      <w:r>
        <w:rPr>
          <w:rFonts w:hint="eastAsia" w:cs="宋体" w:asciiTheme="majorEastAsia" w:hAnsiTheme="majorEastAsia" w:eastAsiaTheme="majorEastAsia"/>
          <w:szCs w:val="21"/>
        </w:rPr>
        <w:t>采购代理机构</w:t>
      </w:r>
      <w:r>
        <w:rPr>
          <w:rFonts w:hint="eastAsia" w:asciiTheme="majorEastAsia" w:hAnsiTheme="majorEastAsia" w:eastAsiaTheme="majorEastAsia"/>
          <w:szCs w:val="21"/>
        </w:rPr>
        <w:t>重新组织采购。</w:t>
      </w:r>
    </w:p>
    <w:p w14:paraId="62987EA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42.2对公开招标失败的项目，评审委员会在出具该项目招标失败结论的同时，可以提出重新采购组织形式的建议，以及进一步完善招标文件的资格、技术、商务要求的修改建议。</w:t>
      </w:r>
    </w:p>
    <w:p w14:paraId="57AE7DF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42.3重新组织采购有以下两种组织形式：</w:t>
      </w:r>
    </w:p>
    <w:p w14:paraId="55CEC03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（1）由采购代理机构重新组织公开招标；</w:t>
      </w:r>
    </w:p>
    <w:p w14:paraId="3B13FF3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（2）根据实际情况需要向同级财政部门提出非公开招标方式申请的，经同级财政部门批准，公开招标失败采购项目可转为竞争性谈判或单一来源谈判方式采购。</w:t>
      </w:r>
    </w:p>
    <w:p w14:paraId="5C00FF4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42.4公开招标失败的采购项目重新组织公开招标，由采购代理机构重新按公开招标流程组织采购活动。</w:t>
      </w:r>
    </w:p>
    <w:p w14:paraId="09006DF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42.5公开招标失败的采购项目经同级财政部门批准转为竞争性谈判或单一来源谈判方式采购的，按规定要求组织政府采购工作。</w:t>
      </w:r>
    </w:p>
    <w:p w14:paraId="706CE8FF">
      <w:pPr>
        <w:keepNext/>
        <w:keepLines/>
        <w:widowControl/>
        <w:numPr>
          <w:ilvl w:val="0"/>
          <w:numId w:val="4"/>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bookmarkStart w:id="57" w:name="_Hlk72439043"/>
      <w:r>
        <w:rPr>
          <w:rFonts w:hint="eastAsia" w:asciiTheme="majorEastAsia" w:hAnsiTheme="majorEastAsia" w:eastAsiaTheme="majorEastAsia"/>
          <w:b/>
          <w:bCs/>
          <w:kern w:val="0"/>
          <w:sz w:val="28"/>
          <w:szCs w:val="28"/>
        </w:rPr>
        <w:t>合同的授予与备案</w:t>
      </w:r>
      <w:bookmarkEnd w:id="57"/>
    </w:p>
    <w:p w14:paraId="1731CB9D">
      <w:pPr>
        <w:spacing w:line="360" w:lineRule="auto"/>
        <w:rPr>
          <w:rFonts w:asciiTheme="majorEastAsia" w:hAnsiTheme="majorEastAsia" w:eastAsiaTheme="majorEastAsia"/>
          <w:b/>
          <w:bCs/>
          <w:szCs w:val="21"/>
        </w:rPr>
      </w:pPr>
      <w:bookmarkStart w:id="58" w:name="_Toc73517679"/>
      <w:bookmarkStart w:id="59" w:name="_Toc73518157"/>
      <w:bookmarkStart w:id="60" w:name="_Toc73521674"/>
      <w:bookmarkStart w:id="61" w:name="_Toc100052408"/>
      <w:bookmarkStart w:id="62" w:name="_Toc73521586"/>
      <w:bookmarkStart w:id="63" w:name="_Hlk72439088"/>
      <w:r>
        <w:rPr>
          <w:rFonts w:hint="eastAsia" w:asciiTheme="majorEastAsia" w:hAnsiTheme="majorEastAsia" w:eastAsiaTheme="majorEastAsia"/>
          <w:b/>
          <w:bCs/>
          <w:szCs w:val="21"/>
        </w:rPr>
        <w:t>43．合同授予标准</w:t>
      </w:r>
      <w:bookmarkEnd w:id="58"/>
      <w:bookmarkEnd w:id="59"/>
      <w:bookmarkEnd w:id="60"/>
      <w:bookmarkEnd w:id="61"/>
      <w:bookmarkEnd w:id="62"/>
    </w:p>
    <w:p w14:paraId="760879B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本项目的合同将授予经本招标文件规定评审确定的中标供应商。</w:t>
      </w:r>
    </w:p>
    <w:p w14:paraId="1E18249A">
      <w:pPr>
        <w:spacing w:line="360" w:lineRule="auto"/>
        <w:rPr>
          <w:rFonts w:asciiTheme="majorEastAsia" w:hAnsiTheme="majorEastAsia" w:eastAsiaTheme="majorEastAsia"/>
          <w:b/>
          <w:bCs/>
          <w:szCs w:val="21"/>
        </w:rPr>
      </w:pPr>
      <w:bookmarkStart w:id="64" w:name="_Toc73518158"/>
      <w:bookmarkStart w:id="65" w:name="_Toc73521587"/>
      <w:bookmarkStart w:id="66" w:name="_Toc73517680"/>
      <w:bookmarkStart w:id="67" w:name="_Toc100052409"/>
      <w:bookmarkStart w:id="68" w:name="_Toc73521675"/>
      <w:r>
        <w:rPr>
          <w:rFonts w:hint="eastAsia" w:asciiTheme="majorEastAsia" w:hAnsiTheme="majorEastAsia" w:eastAsiaTheme="majorEastAsia"/>
          <w:b/>
          <w:bCs/>
          <w:szCs w:val="21"/>
        </w:rPr>
        <w:t>44．</w:t>
      </w:r>
      <w:bookmarkEnd w:id="64"/>
      <w:bookmarkEnd w:id="65"/>
      <w:bookmarkEnd w:id="66"/>
      <w:bookmarkEnd w:id="67"/>
      <w:bookmarkEnd w:id="68"/>
      <w:r>
        <w:rPr>
          <w:rFonts w:hint="eastAsia" w:asciiTheme="majorEastAsia" w:hAnsiTheme="majorEastAsia" w:eastAsiaTheme="majorEastAsia"/>
          <w:b/>
          <w:bCs/>
          <w:szCs w:val="21"/>
        </w:rPr>
        <w:t>接受和拒绝任何或所有投标的权力</w:t>
      </w:r>
    </w:p>
    <w:p w14:paraId="6553617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采购代理机构和采购人保留在投标之前任何时候接受或拒绝任何投标或所有投标，以及宣布招标无效的权力，对受影响的投标人不承担任何责任，也无义务向受影响的投标人解释采取这一行动的理由。</w:t>
      </w:r>
    </w:p>
    <w:p w14:paraId="579B311A">
      <w:pPr>
        <w:spacing w:line="360" w:lineRule="auto"/>
        <w:rPr>
          <w:rFonts w:asciiTheme="majorEastAsia" w:hAnsiTheme="majorEastAsia" w:eastAsiaTheme="majorEastAsia"/>
          <w:b/>
          <w:bCs/>
          <w:szCs w:val="21"/>
        </w:rPr>
      </w:pPr>
      <w:bookmarkStart w:id="69" w:name="_Toc73521589"/>
      <w:bookmarkStart w:id="70" w:name="_Toc100052410"/>
      <w:bookmarkStart w:id="71" w:name="_Toc73518160"/>
      <w:bookmarkStart w:id="72" w:name="_Toc73521677"/>
      <w:bookmarkStart w:id="73" w:name="_Toc73517682"/>
      <w:r>
        <w:rPr>
          <w:rFonts w:hint="eastAsia" w:asciiTheme="majorEastAsia" w:hAnsiTheme="majorEastAsia" w:eastAsiaTheme="majorEastAsia"/>
          <w:b/>
          <w:bCs/>
          <w:szCs w:val="21"/>
        </w:rPr>
        <w:t>45．合同的签订</w:t>
      </w:r>
      <w:bookmarkEnd w:id="69"/>
      <w:bookmarkEnd w:id="70"/>
      <w:bookmarkEnd w:id="71"/>
      <w:bookmarkEnd w:id="72"/>
      <w:bookmarkEnd w:id="73"/>
    </w:p>
    <w:p w14:paraId="6A15B01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45.1中标人将于中标通知书发出之日起十个工作日内，按照采购文件（招标文件和投标文件等）内容与采购人签订政府采购合同；合同的实质性内容应当符合招标文件的规定；</w:t>
      </w:r>
    </w:p>
    <w:p w14:paraId="0F668BD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45.2中标人如不按本通用条款第45</w:t>
      </w:r>
      <w:r>
        <w:rPr>
          <w:rFonts w:asciiTheme="majorEastAsia" w:hAnsiTheme="majorEastAsia" w:eastAsiaTheme="majorEastAsia"/>
          <w:szCs w:val="21"/>
        </w:rPr>
        <w:t>.1</w:t>
      </w:r>
      <w:r>
        <w:rPr>
          <w:rFonts w:hint="eastAsia" w:asciiTheme="majorEastAsia" w:hAnsiTheme="majorEastAsia" w:eastAsiaTheme="majorEastAsia"/>
          <w:szCs w:val="21"/>
        </w:rPr>
        <w:t>款的规定与采购人签订合同，</w:t>
      </w:r>
      <w:r>
        <w:rPr>
          <w:rFonts w:cs="宋体" w:asciiTheme="majorEastAsia" w:hAnsiTheme="majorEastAsia" w:eastAsiaTheme="majorEastAsia"/>
          <w:szCs w:val="21"/>
        </w:rPr>
        <w:t>情节严重的，由</w:t>
      </w:r>
      <w:r>
        <w:rPr>
          <w:rFonts w:hint="eastAsia" w:cs="宋体" w:asciiTheme="majorEastAsia" w:hAnsiTheme="majorEastAsia" w:eastAsiaTheme="majorEastAsia"/>
          <w:szCs w:val="21"/>
        </w:rPr>
        <w:t>同级财政</w:t>
      </w:r>
      <w:r>
        <w:rPr>
          <w:rFonts w:cs="宋体" w:asciiTheme="majorEastAsia" w:hAnsiTheme="majorEastAsia" w:eastAsiaTheme="majorEastAsia"/>
          <w:szCs w:val="21"/>
        </w:rPr>
        <w:t>部门记入供应商诚信档案，予以通报</w:t>
      </w:r>
      <w:r>
        <w:rPr>
          <w:rFonts w:hint="eastAsia" w:asciiTheme="majorEastAsia" w:hAnsiTheme="majorEastAsia" w:eastAsiaTheme="majorEastAsia"/>
          <w:szCs w:val="21"/>
        </w:rPr>
        <w:t>；</w:t>
      </w:r>
    </w:p>
    <w:p w14:paraId="07F559B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45.3中标人应当按照合同约定履行义务，完成中标项目，不得将中标项目转让（转包）给他人。</w:t>
      </w:r>
    </w:p>
    <w:p w14:paraId="610AEC42">
      <w:pPr>
        <w:spacing w:line="360" w:lineRule="auto"/>
        <w:rPr>
          <w:rFonts w:asciiTheme="majorEastAsia" w:hAnsiTheme="majorEastAsia" w:eastAsiaTheme="majorEastAsia"/>
          <w:b/>
          <w:bCs/>
          <w:szCs w:val="21"/>
        </w:rPr>
      </w:pPr>
      <w:bookmarkStart w:id="74" w:name="_Toc73521678"/>
      <w:bookmarkStart w:id="75" w:name="_Toc100052411"/>
      <w:bookmarkStart w:id="76" w:name="_Toc73521590"/>
      <w:bookmarkStart w:id="77" w:name="_Toc73517683"/>
      <w:bookmarkStart w:id="78" w:name="_Toc73518161"/>
      <w:r>
        <w:rPr>
          <w:rFonts w:hint="eastAsia" w:asciiTheme="majorEastAsia" w:hAnsiTheme="majorEastAsia" w:eastAsiaTheme="majorEastAsia"/>
          <w:b/>
          <w:bCs/>
          <w:szCs w:val="21"/>
        </w:rPr>
        <w:t>46．履约担保</w:t>
      </w:r>
      <w:bookmarkEnd w:id="74"/>
      <w:bookmarkEnd w:id="75"/>
      <w:bookmarkEnd w:id="76"/>
      <w:bookmarkEnd w:id="77"/>
      <w:bookmarkEnd w:id="78"/>
    </w:p>
    <w:p w14:paraId="2D42C4A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46.1在签订项目合同的同时，中标人应按“对通用条款的补充内容”中规定的金额向采购人提交履约担保；</w:t>
      </w:r>
    </w:p>
    <w:p w14:paraId="7AB073B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46.2，允许供应商自主选择以支票、汇票、本票、保函等非现金方式提交履约担保；</w:t>
      </w:r>
      <w:r>
        <w:rPr>
          <w:rFonts w:asciiTheme="majorEastAsia" w:hAnsiTheme="majorEastAsia" w:eastAsiaTheme="majorEastAsia"/>
          <w:szCs w:val="21"/>
        </w:rPr>
        <w:t>中标</w:t>
      </w:r>
      <w:r>
        <w:rPr>
          <w:rFonts w:hint="eastAsia" w:asciiTheme="majorEastAsia" w:hAnsiTheme="majorEastAsia" w:eastAsiaTheme="majorEastAsia"/>
          <w:szCs w:val="21"/>
        </w:rPr>
        <w:t>人</w:t>
      </w:r>
      <w:r>
        <w:rPr>
          <w:rFonts w:asciiTheme="majorEastAsia" w:hAnsiTheme="majorEastAsia" w:eastAsiaTheme="majorEastAsia"/>
          <w:szCs w:val="21"/>
        </w:rPr>
        <w:t>提交履约</w:t>
      </w:r>
      <w:r>
        <w:rPr>
          <w:rFonts w:hint="eastAsia" w:asciiTheme="majorEastAsia" w:hAnsiTheme="majorEastAsia" w:eastAsiaTheme="majorEastAsia"/>
          <w:szCs w:val="21"/>
        </w:rPr>
        <w:t>担保不是</w:t>
      </w:r>
      <w:r>
        <w:rPr>
          <w:rFonts w:asciiTheme="majorEastAsia" w:hAnsiTheme="majorEastAsia" w:eastAsiaTheme="majorEastAsia"/>
          <w:szCs w:val="21"/>
        </w:rPr>
        <w:t>合同签订的</w:t>
      </w:r>
      <w:r>
        <w:rPr>
          <w:rFonts w:hint="eastAsia" w:asciiTheme="majorEastAsia" w:hAnsiTheme="majorEastAsia" w:eastAsiaTheme="majorEastAsia"/>
          <w:szCs w:val="21"/>
        </w:rPr>
        <w:t>前提</w:t>
      </w:r>
      <w:r>
        <w:rPr>
          <w:rFonts w:asciiTheme="majorEastAsia" w:hAnsiTheme="majorEastAsia" w:eastAsiaTheme="majorEastAsia"/>
          <w:szCs w:val="21"/>
        </w:rPr>
        <w:t>条件，不要求中标</w:t>
      </w:r>
      <w:r>
        <w:rPr>
          <w:rFonts w:hint="eastAsia" w:asciiTheme="majorEastAsia" w:hAnsiTheme="majorEastAsia" w:eastAsiaTheme="majorEastAsia"/>
          <w:szCs w:val="21"/>
        </w:rPr>
        <w:t>人</w:t>
      </w:r>
      <w:r>
        <w:rPr>
          <w:rFonts w:asciiTheme="majorEastAsia" w:hAnsiTheme="majorEastAsia" w:eastAsiaTheme="majorEastAsia"/>
          <w:szCs w:val="21"/>
        </w:rPr>
        <w:t>提供除法律、法规明确规定外的其他担保</w:t>
      </w:r>
      <w:r>
        <w:rPr>
          <w:rFonts w:hint="eastAsia" w:asciiTheme="majorEastAsia" w:hAnsiTheme="majorEastAsia" w:eastAsiaTheme="majorEastAsia"/>
          <w:szCs w:val="21"/>
        </w:rPr>
        <w:t>。</w:t>
      </w:r>
    </w:p>
    <w:p w14:paraId="50FE7646">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47. 合同备案</w:t>
      </w:r>
    </w:p>
    <w:p w14:paraId="2D2EAA2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采购人与中标人应于合同签订之日起十日内，由采购人或委托中标人将采购合同副本抄送合同备案工作实施机构备案。</w:t>
      </w:r>
    </w:p>
    <w:p w14:paraId="5C454185">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48. 合同变更</w:t>
      </w:r>
    </w:p>
    <w:p w14:paraId="38BAA5C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合同变更事宜按《深圳市财政局 深圳市政府采购中心关于进一步加强市本级政府采购合同备案管理工作的通知》（深财购〔2019〕43号）相关规定执行。</w:t>
      </w:r>
    </w:p>
    <w:p w14:paraId="57F85998">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49. 项目验收</w:t>
      </w:r>
    </w:p>
    <w:p w14:paraId="48060719">
      <w:pPr>
        <w:spacing w:line="360" w:lineRule="auto"/>
        <w:ind w:right="176" w:firstLine="420"/>
        <w:rPr>
          <w:rFonts w:asciiTheme="majorEastAsia" w:hAnsiTheme="majorEastAsia" w:eastAsiaTheme="majorEastAsia"/>
          <w:szCs w:val="21"/>
        </w:rPr>
      </w:pPr>
      <w:r>
        <w:rPr>
          <w:rFonts w:hint="eastAsia" w:asciiTheme="majorEastAsia" w:hAnsiTheme="majorEastAsia" w:eastAsiaTheme="majorEastAsia"/>
          <w:szCs w:val="21"/>
        </w:rPr>
        <w:t>49.1采购人应当按照招标文件和合同规定的标准和方法，及时组织验收。</w:t>
      </w:r>
    </w:p>
    <w:p w14:paraId="06D04ED0">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50. 宣传</w:t>
      </w:r>
    </w:p>
    <w:p w14:paraId="1CE39C40">
      <w:pPr>
        <w:spacing w:line="360" w:lineRule="auto"/>
        <w:ind w:left="210" w:leftChars="100" w:firstLine="411" w:firstLineChars="196"/>
        <w:rPr>
          <w:rFonts w:asciiTheme="majorEastAsia" w:hAnsiTheme="majorEastAsia" w:eastAsiaTheme="majorEastAsia"/>
          <w:szCs w:val="21"/>
        </w:rPr>
      </w:pPr>
      <w:r>
        <w:rPr>
          <w:rFonts w:hint="eastAsia" w:asciiTheme="majorEastAsia" w:hAnsiTheme="majorEastAsia" w:eastAsiaTheme="majorEastAsia"/>
          <w:szCs w:val="21"/>
        </w:rPr>
        <w:t>凡与政府采购活动有关的宣传或广告，若当中提及政府采购，</w:t>
      </w:r>
      <w:r>
        <w:rPr>
          <w:rFonts w:asciiTheme="majorEastAsia" w:hAnsiTheme="majorEastAsia" w:eastAsiaTheme="majorEastAsia"/>
          <w:szCs w:val="21"/>
        </w:rPr>
        <w:t>必须事先将具体对外宣传方案报</w:t>
      </w:r>
      <w:r>
        <w:rPr>
          <w:rFonts w:hint="eastAsia" w:asciiTheme="majorEastAsia" w:hAnsiTheme="majorEastAsia" w:eastAsiaTheme="majorEastAsia"/>
          <w:szCs w:val="21"/>
        </w:rPr>
        <w:t>同级财政部门</w:t>
      </w:r>
      <w:r>
        <w:rPr>
          <w:rFonts w:asciiTheme="majorEastAsia" w:hAnsiTheme="majorEastAsia" w:eastAsiaTheme="majorEastAsia"/>
          <w:szCs w:val="21"/>
        </w:rPr>
        <w:t>和</w:t>
      </w:r>
      <w:r>
        <w:rPr>
          <w:rFonts w:hint="eastAsia" w:asciiTheme="majorEastAsia" w:hAnsiTheme="majorEastAsia" w:eastAsiaTheme="majorEastAsia"/>
          <w:szCs w:val="21"/>
        </w:rPr>
        <w:t>采购代理机构</w:t>
      </w:r>
      <w:r>
        <w:rPr>
          <w:rFonts w:asciiTheme="majorEastAsia" w:hAnsiTheme="majorEastAsia" w:eastAsiaTheme="majorEastAsia"/>
          <w:szCs w:val="21"/>
        </w:rPr>
        <w:t>，并征得其同意。对外市场宣传包括但不限于以下形式：</w:t>
      </w:r>
    </w:p>
    <w:p w14:paraId="29F4CFBC">
      <w:pPr>
        <w:spacing w:line="360" w:lineRule="auto"/>
        <w:ind w:left="210" w:leftChars="100" w:firstLine="411" w:firstLineChars="196"/>
        <w:rPr>
          <w:rFonts w:asciiTheme="majorEastAsia" w:hAnsiTheme="majorEastAsia" w:eastAsiaTheme="majorEastAsia"/>
          <w:szCs w:val="21"/>
        </w:rPr>
      </w:pPr>
      <w:r>
        <w:rPr>
          <w:rFonts w:asciiTheme="majorEastAsia" w:hAnsiTheme="majorEastAsia" w:eastAsiaTheme="majorEastAsia"/>
          <w:szCs w:val="21"/>
        </w:rPr>
        <w:t>a.名片、宣传册、广告标语等；</w:t>
      </w:r>
    </w:p>
    <w:p w14:paraId="2B0586C9">
      <w:pPr>
        <w:spacing w:line="360" w:lineRule="auto"/>
        <w:ind w:left="210" w:leftChars="100" w:firstLine="411" w:firstLineChars="196"/>
        <w:rPr>
          <w:rFonts w:asciiTheme="majorEastAsia" w:hAnsiTheme="majorEastAsia" w:eastAsiaTheme="majorEastAsia"/>
          <w:szCs w:val="21"/>
        </w:rPr>
      </w:pPr>
      <w:r>
        <w:rPr>
          <w:rFonts w:asciiTheme="majorEastAsia" w:hAnsiTheme="majorEastAsia" w:eastAsiaTheme="majorEastAsia"/>
          <w:szCs w:val="21"/>
        </w:rPr>
        <w:t>b.案例介绍、推广等；</w:t>
      </w:r>
    </w:p>
    <w:p w14:paraId="6D523D5B">
      <w:pPr>
        <w:spacing w:line="360" w:lineRule="auto"/>
        <w:ind w:left="210" w:leftChars="100" w:firstLine="411" w:firstLineChars="196"/>
        <w:rPr>
          <w:rFonts w:asciiTheme="majorEastAsia" w:hAnsiTheme="majorEastAsia" w:eastAsiaTheme="majorEastAsia"/>
          <w:szCs w:val="21"/>
        </w:rPr>
      </w:pPr>
      <w:r>
        <w:rPr>
          <w:rFonts w:hint="eastAsia" w:asciiTheme="majorEastAsia" w:hAnsiTheme="majorEastAsia" w:eastAsiaTheme="majorEastAsia"/>
          <w:szCs w:val="21"/>
        </w:rPr>
        <w:t>c.工作</w:t>
      </w:r>
      <w:r>
        <w:rPr>
          <w:rFonts w:asciiTheme="majorEastAsia" w:hAnsiTheme="majorEastAsia" w:eastAsiaTheme="majorEastAsia"/>
          <w:szCs w:val="21"/>
        </w:rPr>
        <w:t>人员向其他消费群体宣传。</w:t>
      </w:r>
    </w:p>
    <w:p w14:paraId="405A707E">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51. 供应商违法责任</w:t>
      </w:r>
    </w:p>
    <w:p w14:paraId="63B3B6D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w:t>
      </w:r>
      <w:r>
        <w:rPr>
          <w:rFonts w:asciiTheme="majorEastAsia" w:hAnsiTheme="majorEastAsia" w:eastAsiaTheme="majorEastAsia"/>
          <w:szCs w:val="21"/>
        </w:rPr>
        <w:t>1.1</w:t>
      </w:r>
      <w:r>
        <w:rPr>
          <w:rFonts w:hint="eastAsia" w:asciiTheme="majorEastAsia" w:hAnsiTheme="majorEastAsia" w:eastAsiaTheme="major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180CF9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（1）在采购活动中应当回避而未回避的；</w:t>
      </w:r>
    </w:p>
    <w:p w14:paraId="22275D5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（2）未按本条例规定签订、履行采购合同，造成严重后果的；</w:t>
      </w:r>
    </w:p>
    <w:p w14:paraId="6FCD75D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（3）隐瞒真实情况，提供虚假资料的；</w:t>
      </w:r>
    </w:p>
    <w:p w14:paraId="05F9170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（4）以非法手段排斥其他供应商参与竞争的；</w:t>
      </w:r>
    </w:p>
    <w:p w14:paraId="39E023B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（5）与其他采购参加人串通投标的；</w:t>
      </w:r>
    </w:p>
    <w:p w14:paraId="44FA4D8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（6）恶意投诉的；</w:t>
      </w:r>
    </w:p>
    <w:p w14:paraId="4C0E195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（7）向采购项目相关人行贿或者提供其他不当利益的；</w:t>
      </w:r>
    </w:p>
    <w:p w14:paraId="013650D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（8）阻碍、抗拒主管部门监督检查的；</w:t>
      </w:r>
    </w:p>
    <w:p w14:paraId="227CB05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（9）其他违反本条例规定的行为。</w:t>
      </w:r>
    </w:p>
    <w:p w14:paraId="1082F9B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w:t>
      </w:r>
      <w:r>
        <w:rPr>
          <w:rFonts w:asciiTheme="majorEastAsia" w:hAnsiTheme="majorEastAsia" w:eastAsiaTheme="majorEastAsia"/>
          <w:szCs w:val="21"/>
        </w:rPr>
        <w:t xml:space="preserve">1.2 </w:t>
      </w:r>
      <w:r>
        <w:rPr>
          <w:rFonts w:hint="eastAsia" w:asciiTheme="majorEastAsia" w:hAnsiTheme="majorEastAsia" w:eastAsiaTheme="majorEastAsia"/>
          <w:szCs w:val="21"/>
        </w:rPr>
        <w:t>根据《深圳市财政局关于明确政府采购保证金管理工作的通知》（深财购[2019]42号）的要求，供应商在政府采购活动中出现《深圳经济特区政府采购条例实施细则》第八十四条所列情形的，</w:t>
      </w:r>
      <w:bookmarkStart w:id="79" w:name="_Hlk72440769"/>
      <w:r>
        <w:rPr>
          <w:rFonts w:hint="eastAsia" w:asciiTheme="majorEastAsia" w:hAnsiTheme="majorEastAsia" w:eastAsiaTheme="majorEastAsia"/>
          <w:szCs w:val="21"/>
        </w:rPr>
        <w:t>采购人或采购代理机构</w:t>
      </w:r>
      <w:bookmarkEnd w:id="79"/>
      <w:r>
        <w:rPr>
          <w:rFonts w:hint="eastAsia" w:asciiTheme="majorEastAsia" w:hAnsiTheme="majorEastAsia" w:eastAsiaTheme="majorEastAsia"/>
          <w:szCs w:val="21"/>
        </w:rPr>
        <w:t>可将有关情况报同级财政部门，由财政部门根据实际情况记入供应商诚信档案，予以通报：</w:t>
      </w:r>
    </w:p>
    <w:p w14:paraId="57FCCF3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）投标截止后，撤销投标的；</w:t>
      </w:r>
    </w:p>
    <w:p w14:paraId="4496AF9E">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w:t>
      </w:r>
      <w:r>
        <w:rPr>
          <w:rFonts w:hint="eastAsia" w:asciiTheme="majorEastAsia" w:hAnsiTheme="majorEastAsia" w:eastAsiaTheme="majorEastAsia"/>
          <w:szCs w:val="21"/>
        </w:rPr>
        <w:t>2</w:t>
      </w:r>
      <w:r>
        <w:rPr>
          <w:rFonts w:asciiTheme="majorEastAsia" w:hAnsiTheme="majorEastAsia" w:eastAsiaTheme="majorEastAsia"/>
          <w:szCs w:val="21"/>
        </w:rPr>
        <w:t>）中标后无正当理由未在规定期限内签订合同的；</w:t>
      </w:r>
    </w:p>
    <w:p w14:paraId="25336C3C">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w:t>
      </w:r>
      <w:r>
        <w:rPr>
          <w:rFonts w:hint="eastAsia" w:asciiTheme="majorEastAsia" w:hAnsiTheme="majorEastAsia" w:eastAsiaTheme="majorEastAsia"/>
          <w:szCs w:val="21"/>
        </w:rPr>
        <w:t>3</w:t>
      </w:r>
      <w:r>
        <w:rPr>
          <w:rFonts w:asciiTheme="majorEastAsia" w:hAnsiTheme="majorEastAsia" w:eastAsiaTheme="majorEastAsia"/>
          <w:szCs w:val="21"/>
        </w:rPr>
        <w:t>）将中标项目转让给他人、或者在投标文件中未说明且未经采购人、采购招标机构同意，将中标项目分包给他人的；</w:t>
      </w:r>
    </w:p>
    <w:p w14:paraId="1FF144D8">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w:t>
      </w:r>
      <w:r>
        <w:rPr>
          <w:rFonts w:hint="eastAsia" w:asciiTheme="majorEastAsia" w:hAnsiTheme="majorEastAsia" w:eastAsiaTheme="majorEastAsia"/>
          <w:szCs w:val="21"/>
        </w:rPr>
        <w:t>4</w:t>
      </w:r>
      <w:r>
        <w:rPr>
          <w:rFonts w:asciiTheme="majorEastAsia" w:hAnsiTheme="majorEastAsia" w:eastAsiaTheme="majorEastAsia"/>
          <w:szCs w:val="21"/>
        </w:rPr>
        <w:t>）拒绝履行合同义务的</w:t>
      </w:r>
      <w:r>
        <w:rPr>
          <w:rFonts w:hint="eastAsia" w:asciiTheme="majorEastAsia" w:hAnsiTheme="majorEastAsia" w:eastAsiaTheme="majorEastAsia"/>
          <w:szCs w:val="21"/>
        </w:rPr>
        <w:t>。</w:t>
      </w:r>
    </w:p>
    <w:bookmarkEnd w:id="63"/>
    <w:p w14:paraId="300F1361">
      <w:pPr>
        <w:keepNext/>
        <w:keepLines/>
        <w:widowControl/>
        <w:numPr>
          <w:ilvl w:val="0"/>
          <w:numId w:val="4"/>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质疑处理</w:t>
      </w:r>
    </w:p>
    <w:p w14:paraId="5ADA66EC">
      <w:pPr>
        <w:spacing w:line="360" w:lineRule="auto"/>
        <w:rPr>
          <w:rFonts w:asciiTheme="majorEastAsia" w:hAnsiTheme="majorEastAsia" w:eastAsiaTheme="majorEastAsia"/>
          <w:b/>
          <w:bCs/>
          <w:szCs w:val="21"/>
        </w:rPr>
      </w:pPr>
      <w:bookmarkStart w:id="80" w:name="_Hlk72439706"/>
      <w:r>
        <w:rPr>
          <w:rFonts w:hint="eastAsia" w:asciiTheme="majorEastAsia" w:hAnsiTheme="majorEastAsia" w:eastAsiaTheme="majorEastAsia"/>
          <w:b/>
          <w:bCs/>
          <w:szCs w:val="21"/>
        </w:rPr>
        <w:t>52.质疑提出与答复</w:t>
      </w:r>
    </w:p>
    <w:p w14:paraId="61E5308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52.1提出质疑</w:t>
      </w:r>
    </w:p>
    <w:p w14:paraId="6EAB5E4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53607DC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52.2</w:t>
      </w:r>
      <w:r>
        <w:rPr>
          <w:rFonts w:asciiTheme="majorEastAsia" w:hAnsiTheme="majorEastAsia" w:eastAsiaTheme="majorEastAsia"/>
          <w:szCs w:val="21"/>
        </w:rPr>
        <w:t>法律依据</w:t>
      </w:r>
    </w:p>
    <w:p w14:paraId="57E0D73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3DA6D9F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52.3质疑条件</w:t>
      </w:r>
    </w:p>
    <w:p w14:paraId="1C194ED5">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52.3.1提出质疑的供应商应当是参与所质疑项目采购活动的供应商；</w:t>
      </w:r>
      <w:bookmarkStart w:id="81" w:name="_Hlk75374941"/>
      <w:r>
        <w:rPr>
          <w:rFonts w:hint="eastAsia" w:asciiTheme="majorEastAsia" w:hAnsiTheme="majorEastAsia" w:eastAsiaTheme="majorEastAsia"/>
          <w:szCs w:val="21"/>
        </w:rPr>
        <w:t>以联合体形式参与的，质疑应当由组成联合体的所有成员共同提出</w:t>
      </w:r>
      <w:bookmarkEnd w:id="81"/>
      <w:r>
        <w:rPr>
          <w:rFonts w:hint="eastAsia" w:asciiTheme="majorEastAsia" w:hAnsiTheme="majorEastAsia" w:eastAsiaTheme="majorEastAsia"/>
          <w:szCs w:val="21"/>
        </w:rPr>
        <w:t>；</w:t>
      </w:r>
    </w:p>
    <w:p w14:paraId="2CCD3B44">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36483B53">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52.3.3应提交书面质疑函，质疑函应当包括以下内容：</w:t>
      </w:r>
    </w:p>
    <w:p w14:paraId="26EAA871">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（1）供应商的名称（或者姓名）、地址、邮编、邮箱、联系人及联系电话；</w:t>
      </w:r>
    </w:p>
    <w:p w14:paraId="13D673C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21E5F49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2BE47EA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145DAA8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054C903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0380F95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05E0EDC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304A316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52.4提交</w:t>
      </w:r>
      <w:r>
        <w:rPr>
          <w:rFonts w:asciiTheme="majorEastAsia" w:hAnsiTheme="majorEastAsia" w:eastAsiaTheme="majorEastAsia"/>
          <w:szCs w:val="21"/>
        </w:rPr>
        <w:t>材料</w:t>
      </w:r>
    </w:p>
    <w:p w14:paraId="7199533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7EF6036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9B58A2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52.5提交方式</w:t>
      </w:r>
    </w:p>
    <w:p w14:paraId="5181FF0B">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5</w:t>
      </w:r>
      <w:r>
        <w:rPr>
          <w:rFonts w:asciiTheme="majorEastAsia" w:hAnsiTheme="majorEastAsia" w:eastAsiaTheme="majorEastAsia"/>
          <w:szCs w:val="21"/>
        </w:rPr>
        <w:t>2.5.1</w:t>
      </w:r>
      <w:r>
        <w:rPr>
          <w:rFonts w:hint="eastAsia" w:asciiTheme="majorEastAsia" w:hAnsiTheme="majorEastAsia" w:eastAsiaTheme="majorEastAsia"/>
          <w:szCs w:val="21"/>
        </w:rPr>
        <w:t>质疑供应商应按照52.3.3、52.4款规定，</w:t>
      </w:r>
      <w:r>
        <w:rPr>
          <w:rFonts w:hint="eastAsia" w:asciiTheme="majorEastAsia" w:hAnsiTheme="majorEastAsia" w:eastAsiaTheme="majorEastAsia"/>
        </w:rPr>
        <w:t>根据深圳公共资源交易中心网页（https://www.szggzy.com/globalSearch/details.html?contentId=1211037）所发布的质疑指引、质疑函模板填写质疑函，</w:t>
      </w:r>
      <w:r>
        <w:rPr>
          <w:rFonts w:hint="eastAsia" w:asciiTheme="majorEastAsia" w:hAnsiTheme="majorEastAsia" w:eastAsiaTheme="majorEastAsia"/>
          <w:szCs w:val="21"/>
        </w:rPr>
        <w:t>至采购代理机构现场递交质疑材料，地址：深圳市福田区民田路171号新华保险大厦903深圳市中正招标有限公司，质疑咨询电话：0755-83026699</w:t>
      </w:r>
      <w:r>
        <w:rPr>
          <w:rFonts w:hint="eastAsia" w:asciiTheme="majorEastAsia" w:hAnsiTheme="majorEastAsia" w:eastAsiaTheme="majorEastAsia"/>
          <w:bCs/>
          <w:szCs w:val="21"/>
        </w:rPr>
        <w:t>。</w:t>
      </w:r>
    </w:p>
    <w:p w14:paraId="1307E4A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52.6收文办理</w:t>
      </w:r>
      <w:r>
        <w:rPr>
          <w:rFonts w:asciiTheme="majorEastAsia" w:hAnsiTheme="majorEastAsia" w:eastAsiaTheme="majorEastAsia"/>
          <w:szCs w:val="21"/>
        </w:rPr>
        <w:t>程序</w:t>
      </w:r>
    </w:p>
    <w:p w14:paraId="5CCA157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52.6.1供应商提交的质疑符合受理条件的，采购代理机构自收到质疑材料之日起即为受理，应当向供应商出具质疑函收文回执并可以要求其递交质疑的法定代表人（负责人）或者授权代理人签署质疑文书送达地址确认书。</w:t>
      </w:r>
    </w:p>
    <w:p w14:paraId="4360616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52.6.2供应商提交的质疑材料不符合质疑条件的，视情况处理：</w:t>
      </w:r>
    </w:p>
    <w:p w14:paraId="039F558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326CFF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2151907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7CB2326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60A7C8E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56D3DB8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767A5E9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0BB9408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44E69F2">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52.7质疑答复时限</w:t>
      </w:r>
    </w:p>
    <w:p w14:paraId="36011FA5">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046208FA">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52.8投诉</w:t>
      </w:r>
    </w:p>
    <w:p w14:paraId="04A622E2">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80"/>
    </w:p>
    <w:p w14:paraId="6CAF66BB">
      <w:pPr>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53. 质疑后续处理</w:t>
      </w:r>
    </w:p>
    <w:p w14:paraId="542C10F3">
      <w:pPr>
        <w:spacing w:line="360" w:lineRule="auto"/>
        <w:ind w:firstLine="424" w:firstLineChars="202"/>
        <w:rPr>
          <w:rFonts w:hint="eastAsia" w:asciiTheme="majorEastAsia" w:hAnsiTheme="majorEastAsia" w:eastAsiaTheme="majorEastAsia"/>
          <w:szCs w:val="21"/>
        </w:rPr>
      </w:pPr>
      <w:r>
        <w:rPr>
          <w:rFonts w:hint="eastAsia" w:asciiTheme="majorEastAsia" w:hAnsiTheme="majorEastAsia" w:eastAsiaTheme="majorEastAsia"/>
          <w:szCs w:val="21"/>
        </w:rPr>
        <w:t>53.1供应商质疑不成立，或者成立但未对中标、成交结果构成影响的，继续开展采购活动。</w:t>
      </w:r>
    </w:p>
    <w:p w14:paraId="7F1D2F1D">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sectPr>
      <w:footerReference r:id="rId3" w:type="default"/>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W1)">
    <w:altName w:val="Arial"/>
    <w:panose1 w:val="00000000000000000000"/>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38497"/>
    </w:sdtPr>
    <w:sdtContent>
      <w:p w14:paraId="3A798952">
        <w:pPr>
          <w:pStyle w:val="27"/>
          <w:jc w:val="center"/>
        </w:pPr>
        <w:r>
          <w:fldChar w:fldCharType="begin"/>
        </w:r>
        <w:r>
          <w:instrText xml:space="preserve"> PAGE   \* MERGEFORMAT </w:instrText>
        </w:r>
        <w:r>
          <w:fldChar w:fldCharType="separate"/>
        </w:r>
        <w:r>
          <w:rPr>
            <w:lang w:val="zh-CN"/>
          </w:rPr>
          <w:t>21</w:t>
        </w:r>
        <w:r>
          <w:rPr>
            <w:lang w:val="zh-CN"/>
          </w:rPr>
          <w:fldChar w:fldCharType="end"/>
        </w:r>
      </w:p>
    </w:sdtContent>
  </w:sdt>
  <w:p w14:paraId="18740D7B">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A6D8D35F"/>
    <w:multiLevelType w:val="singleLevel"/>
    <w:tmpl w:val="A6D8D35F"/>
    <w:lvl w:ilvl="0" w:tentative="0">
      <w:start w:val="2"/>
      <w:numFmt w:val="decimal"/>
      <w:suff w:val="nothing"/>
      <w:lvlText w:val="%1、"/>
      <w:lvlJc w:val="left"/>
    </w:lvl>
  </w:abstractNum>
  <w:abstractNum w:abstractNumId="2">
    <w:nsid w:val="00000003"/>
    <w:multiLevelType w:val="multilevel"/>
    <w:tmpl w:val="0000000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2B3E98C"/>
    <w:multiLevelType w:val="singleLevel"/>
    <w:tmpl w:val="72B3E98C"/>
    <w:lvl w:ilvl="0" w:tentative="0">
      <w:start w:val="2"/>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s>
  <w:rsids>
    <w:rsidRoot w:val="00103A86"/>
    <w:rsid w:val="00000F5F"/>
    <w:rsid w:val="00001526"/>
    <w:rsid w:val="00002B3E"/>
    <w:rsid w:val="000051FB"/>
    <w:rsid w:val="00010CD3"/>
    <w:rsid w:val="00010EAF"/>
    <w:rsid w:val="00013C6F"/>
    <w:rsid w:val="00013F11"/>
    <w:rsid w:val="00017B27"/>
    <w:rsid w:val="00017EF4"/>
    <w:rsid w:val="00020580"/>
    <w:rsid w:val="000210AC"/>
    <w:rsid w:val="000212B9"/>
    <w:rsid w:val="00026D62"/>
    <w:rsid w:val="0002760A"/>
    <w:rsid w:val="00031553"/>
    <w:rsid w:val="00033434"/>
    <w:rsid w:val="00035488"/>
    <w:rsid w:val="00041BD3"/>
    <w:rsid w:val="00043C69"/>
    <w:rsid w:val="00045D06"/>
    <w:rsid w:val="00047456"/>
    <w:rsid w:val="0005288D"/>
    <w:rsid w:val="00052AA5"/>
    <w:rsid w:val="00053282"/>
    <w:rsid w:val="00053E42"/>
    <w:rsid w:val="00054E39"/>
    <w:rsid w:val="00055F35"/>
    <w:rsid w:val="00056152"/>
    <w:rsid w:val="00057148"/>
    <w:rsid w:val="00072314"/>
    <w:rsid w:val="00072877"/>
    <w:rsid w:val="00076F21"/>
    <w:rsid w:val="00081E93"/>
    <w:rsid w:val="00084FFC"/>
    <w:rsid w:val="000878B9"/>
    <w:rsid w:val="0009016D"/>
    <w:rsid w:val="00091185"/>
    <w:rsid w:val="00093911"/>
    <w:rsid w:val="00094626"/>
    <w:rsid w:val="0009519F"/>
    <w:rsid w:val="00097123"/>
    <w:rsid w:val="00097E95"/>
    <w:rsid w:val="000A0AE2"/>
    <w:rsid w:val="000A1CCC"/>
    <w:rsid w:val="000A2349"/>
    <w:rsid w:val="000A2EEF"/>
    <w:rsid w:val="000B1F98"/>
    <w:rsid w:val="000B3600"/>
    <w:rsid w:val="000B4026"/>
    <w:rsid w:val="000B4402"/>
    <w:rsid w:val="000B4536"/>
    <w:rsid w:val="000B5D6F"/>
    <w:rsid w:val="000B7AEC"/>
    <w:rsid w:val="000B7D39"/>
    <w:rsid w:val="000C1237"/>
    <w:rsid w:val="000C2DF7"/>
    <w:rsid w:val="000C3C3C"/>
    <w:rsid w:val="000C6F22"/>
    <w:rsid w:val="000D1E66"/>
    <w:rsid w:val="000D2659"/>
    <w:rsid w:val="000D2792"/>
    <w:rsid w:val="000D3A8C"/>
    <w:rsid w:val="000D63EA"/>
    <w:rsid w:val="000D7062"/>
    <w:rsid w:val="000D7BB3"/>
    <w:rsid w:val="000E0B80"/>
    <w:rsid w:val="000E0FC1"/>
    <w:rsid w:val="000E1A4A"/>
    <w:rsid w:val="000F345B"/>
    <w:rsid w:val="000F37FF"/>
    <w:rsid w:val="000F3E6E"/>
    <w:rsid w:val="000F4129"/>
    <w:rsid w:val="000F5B06"/>
    <w:rsid w:val="000F5ECB"/>
    <w:rsid w:val="000F6BC0"/>
    <w:rsid w:val="000F74E0"/>
    <w:rsid w:val="000F7A75"/>
    <w:rsid w:val="000F7F8C"/>
    <w:rsid w:val="00100E4E"/>
    <w:rsid w:val="00101F69"/>
    <w:rsid w:val="00101F8B"/>
    <w:rsid w:val="00103A86"/>
    <w:rsid w:val="00105734"/>
    <w:rsid w:val="001069FB"/>
    <w:rsid w:val="00112114"/>
    <w:rsid w:val="001207E9"/>
    <w:rsid w:val="00123879"/>
    <w:rsid w:val="00123D47"/>
    <w:rsid w:val="00124153"/>
    <w:rsid w:val="00127F85"/>
    <w:rsid w:val="00132093"/>
    <w:rsid w:val="00135F8D"/>
    <w:rsid w:val="00136086"/>
    <w:rsid w:val="0013643E"/>
    <w:rsid w:val="00136A99"/>
    <w:rsid w:val="0013763C"/>
    <w:rsid w:val="0014134B"/>
    <w:rsid w:val="001429E4"/>
    <w:rsid w:val="001434C4"/>
    <w:rsid w:val="00144AF1"/>
    <w:rsid w:val="00144C0F"/>
    <w:rsid w:val="00146B6B"/>
    <w:rsid w:val="00154E01"/>
    <w:rsid w:val="0016001B"/>
    <w:rsid w:val="00161B46"/>
    <w:rsid w:val="00162A02"/>
    <w:rsid w:val="0016401E"/>
    <w:rsid w:val="00164645"/>
    <w:rsid w:val="00165097"/>
    <w:rsid w:val="001663AA"/>
    <w:rsid w:val="00166DC3"/>
    <w:rsid w:val="00172186"/>
    <w:rsid w:val="00173FA7"/>
    <w:rsid w:val="00176757"/>
    <w:rsid w:val="001774EA"/>
    <w:rsid w:val="001779CB"/>
    <w:rsid w:val="00177D78"/>
    <w:rsid w:val="001829DD"/>
    <w:rsid w:val="00182C14"/>
    <w:rsid w:val="00182F93"/>
    <w:rsid w:val="00183E48"/>
    <w:rsid w:val="0018445D"/>
    <w:rsid w:val="00186C13"/>
    <w:rsid w:val="0019098F"/>
    <w:rsid w:val="00190E39"/>
    <w:rsid w:val="00192FA2"/>
    <w:rsid w:val="00195091"/>
    <w:rsid w:val="001A4688"/>
    <w:rsid w:val="001A6235"/>
    <w:rsid w:val="001A7B97"/>
    <w:rsid w:val="001A7E9F"/>
    <w:rsid w:val="001B0736"/>
    <w:rsid w:val="001B182A"/>
    <w:rsid w:val="001B23DF"/>
    <w:rsid w:val="001B3E1A"/>
    <w:rsid w:val="001B78B8"/>
    <w:rsid w:val="001B792B"/>
    <w:rsid w:val="001C2A95"/>
    <w:rsid w:val="001C3BC1"/>
    <w:rsid w:val="001D297A"/>
    <w:rsid w:val="001D532C"/>
    <w:rsid w:val="001E021F"/>
    <w:rsid w:val="001E5166"/>
    <w:rsid w:val="001E63A6"/>
    <w:rsid w:val="001E670C"/>
    <w:rsid w:val="001E7EC4"/>
    <w:rsid w:val="001F2756"/>
    <w:rsid w:val="001F5DBD"/>
    <w:rsid w:val="001F646F"/>
    <w:rsid w:val="001F7F91"/>
    <w:rsid w:val="00200342"/>
    <w:rsid w:val="00201237"/>
    <w:rsid w:val="00202335"/>
    <w:rsid w:val="00202D92"/>
    <w:rsid w:val="002034C2"/>
    <w:rsid w:val="00203AC5"/>
    <w:rsid w:val="00206F1A"/>
    <w:rsid w:val="002074CD"/>
    <w:rsid w:val="002108E8"/>
    <w:rsid w:val="002135F8"/>
    <w:rsid w:val="00216B91"/>
    <w:rsid w:val="00217A36"/>
    <w:rsid w:val="00217B3F"/>
    <w:rsid w:val="00220C5E"/>
    <w:rsid w:val="00222612"/>
    <w:rsid w:val="002300CF"/>
    <w:rsid w:val="00231DCF"/>
    <w:rsid w:val="00231E94"/>
    <w:rsid w:val="00231FB6"/>
    <w:rsid w:val="00234A66"/>
    <w:rsid w:val="002354A2"/>
    <w:rsid w:val="002418AD"/>
    <w:rsid w:val="00241C2F"/>
    <w:rsid w:val="00243E8A"/>
    <w:rsid w:val="0024433A"/>
    <w:rsid w:val="002452F6"/>
    <w:rsid w:val="002477F6"/>
    <w:rsid w:val="00247934"/>
    <w:rsid w:val="00252837"/>
    <w:rsid w:val="002531A5"/>
    <w:rsid w:val="00254756"/>
    <w:rsid w:val="002606E7"/>
    <w:rsid w:val="00260C60"/>
    <w:rsid w:val="002629C0"/>
    <w:rsid w:val="002652B4"/>
    <w:rsid w:val="00265F79"/>
    <w:rsid w:val="00267FC8"/>
    <w:rsid w:val="00270871"/>
    <w:rsid w:val="0027121B"/>
    <w:rsid w:val="0027312A"/>
    <w:rsid w:val="00273D6B"/>
    <w:rsid w:val="002753A8"/>
    <w:rsid w:val="0028241E"/>
    <w:rsid w:val="002867E0"/>
    <w:rsid w:val="00287E9E"/>
    <w:rsid w:val="00287F91"/>
    <w:rsid w:val="0029138D"/>
    <w:rsid w:val="00291B1B"/>
    <w:rsid w:val="00291D1C"/>
    <w:rsid w:val="00292956"/>
    <w:rsid w:val="002934B9"/>
    <w:rsid w:val="00293AB2"/>
    <w:rsid w:val="00294F5F"/>
    <w:rsid w:val="002952BC"/>
    <w:rsid w:val="0029679A"/>
    <w:rsid w:val="002968EA"/>
    <w:rsid w:val="002A19D6"/>
    <w:rsid w:val="002A1C9A"/>
    <w:rsid w:val="002A6A8D"/>
    <w:rsid w:val="002A73B4"/>
    <w:rsid w:val="002A7F40"/>
    <w:rsid w:val="002B1E2D"/>
    <w:rsid w:val="002B4848"/>
    <w:rsid w:val="002B73FC"/>
    <w:rsid w:val="002B763E"/>
    <w:rsid w:val="002C2B90"/>
    <w:rsid w:val="002C317D"/>
    <w:rsid w:val="002C3CEF"/>
    <w:rsid w:val="002C76FC"/>
    <w:rsid w:val="002D0555"/>
    <w:rsid w:val="002D175A"/>
    <w:rsid w:val="002D34A5"/>
    <w:rsid w:val="002D35C6"/>
    <w:rsid w:val="002D3FE3"/>
    <w:rsid w:val="002D5B4D"/>
    <w:rsid w:val="002D5F35"/>
    <w:rsid w:val="002E0E9F"/>
    <w:rsid w:val="002E2CA0"/>
    <w:rsid w:val="002E2D89"/>
    <w:rsid w:val="002E3119"/>
    <w:rsid w:val="002E424C"/>
    <w:rsid w:val="002E5857"/>
    <w:rsid w:val="002E665D"/>
    <w:rsid w:val="002E6858"/>
    <w:rsid w:val="002E6BA0"/>
    <w:rsid w:val="002E737B"/>
    <w:rsid w:val="002F01F4"/>
    <w:rsid w:val="002F4F2E"/>
    <w:rsid w:val="002F6879"/>
    <w:rsid w:val="002F7C97"/>
    <w:rsid w:val="003006BF"/>
    <w:rsid w:val="003008B6"/>
    <w:rsid w:val="00300B8A"/>
    <w:rsid w:val="0030199B"/>
    <w:rsid w:val="00304669"/>
    <w:rsid w:val="003134D0"/>
    <w:rsid w:val="0031455C"/>
    <w:rsid w:val="00315CA6"/>
    <w:rsid w:val="0031688D"/>
    <w:rsid w:val="0032060F"/>
    <w:rsid w:val="0032136F"/>
    <w:rsid w:val="0032158E"/>
    <w:rsid w:val="00321C26"/>
    <w:rsid w:val="00321D49"/>
    <w:rsid w:val="00323BF8"/>
    <w:rsid w:val="003274C9"/>
    <w:rsid w:val="00334DFC"/>
    <w:rsid w:val="00335B69"/>
    <w:rsid w:val="00335E1F"/>
    <w:rsid w:val="00340269"/>
    <w:rsid w:val="00341462"/>
    <w:rsid w:val="00343947"/>
    <w:rsid w:val="00343D25"/>
    <w:rsid w:val="0034602D"/>
    <w:rsid w:val="0034731C"/>
    <w:rsid w:val="00350D9C"/>
    <w:rsid w:val="00352073"/>
    <w:rsid w:val="003520D2"/>
    <w:rsid w:val="00353324"/>
    <w:rsid w:val="0035334F"/>
    <w:rsid w:val="00353C2B"/>
    <w:rsid w:val="003541EA"/>
    <w:rsid w:val="00355255"/>
    <w:rsid w:val="0035786E"/>
    <w:rsid w:val="003604E6"/>
    <w:rsid w:val="00362824"/>
    <w:rsid w:val="00364E19"/>
    <w:rsid w:val="0036526C"/>
    <w:rsid w:val="00366D19"/>
    <w:rsid w:val="00366E70"/>
    <w:rsid w:val="00381E45"/>
    <w:rsid w:val="00383F0B"/>
    <w:rsid w:val="00385398"/>
    <w:rsid w:val="003861CD"/>
    <w:rsid w:val="00386BE2"/>
    <w:rsid w:val="003909B8"/>
    <w:rsid w:val="00391C88"/>
    <w:rsid w:val="00395A00"/>
    <w:rsid w:val="0039674E"/>
    <w:rsid w:val="003A2F53"/>
    <w:rsid w:val="003A61C9"/>
    <w:rsid w:val="003A7BDB"/>
    <w:rsid w:val="003B1518"/>
    <w:rsid w:val="003B477B"/>
    <w:rsid w:val="003B5360"/>
    <w:rsid w:val="003C1A26"/>
    <w:rsid w:val="003C2295"/>
    <w:rsid w:val="003C3E40"/>
    <w:rsid w:val="003C5B3E"/>
    <w:rsid w:val="003D1B12"/>
    <w:rsid w:val="003D2340"/>
    <w:rsid w:val="003D23B8"/>
    <w:rsid w:val="003D2828"/>
    <w:rsid w:val="003D2EFA"/>
    <w:rsid w:val="003D3346"/>
    <w:rsid w:val="003D408D"/>
    <w:rsid w:val="003D6CD3"/>
    <w:rsid w:val="003E3B27"/>
    <w:rsid w:val="003E51D5"/>
    <w:rsid w:val="003E77F1"/>
    <w:rsid w:val="003E7AB6"/>
    <w:rsid w:val="003F1407"/>
    <w:rsid w:val="003F41FE"/>
    <w:rsid w:val="003F5834"/>
    <w:rsid w:val="003F5E4A"/>
    <w:rsid w:val="003F7201"/>
    <w:rsid w:val="003F7FB5"/>
    <w:rsid w:val="00401D0B"/>
    <w:rsid w:val="00401E20"/>
    <w:rsid w:val="0040345C"/>
    <w:rsid w:val="00406FB6"/>
    <w:rsid w:val="0041065D"/>
    <w:rsid w:val="004107D9"/>
    <w:rsid w:val="00411AFE"/>
    <w:rsid w:val="00412446"/>
    <w:rsid w:val="00415BBF"/>
    <w:rsid w:val="00415C66"/>
    <w:rsid w:val="00415D20"/>
    <w:rsid w:val="00416664"/>
    <w:rsid w:val="00422275"/>
    <w:rsid w:val="004235A4"/>
    <w:rsid w:val="004268C7"/>
    <w:rsid w:val="00436747"/>
    <w:rsid w:val="00436823"/>
    <w:rsid w:val="00436D0E"/>
    <w:rsid w:val="0043714D"/>
    <w:rsid w:val="0044288C"/>
    <w:rsid w:val="0044387F"/>
    <w:rsid w:val="00444F45"/>
    <w:rsid w:val="00452496"/>
    <w:rsid w:val="00457241"/>
    <w:rsid w:val="00457969"/>
    <w:rsid w:val="00470214"/>
    <w:rsid w:val="004702A4"/>
    <w:rsid w:val="00470AC3"/>
    <w:rsid w:val="00470DDE"/>
    <w:rsid w:val="00473BFB"/>
    <w:rsid w:val="00476ABF"/>
    <w:rsid w:val="00481615"/>
    <w:rsid w:val="0048258B"/>
    <w:rsid w:val="004836AC"/>
    <w:rsid w:val="00484215"/>
    <w:rsid w:val="00484D26"/>
    <w:rsid w:val="00484DBE"/>
    <w:rsid w:val="004858C0"/>
    <w:rsid w:val="004861CC"/>
    <w:rsid w:val="004867C3"/>
    <w:rsid w:val="00490CC8"/>
    <w:rsid w:val="0049604C"/>
    <w:rsid w:val="00496A0A"/>
    <w:rsid w:val="004972E7"/>
    <w:rsid w:val="004A2765"/>
    <w:rsid w:val="004A4F5D"/>
    <w:rsid w:val="004A5C8C"/>
    <w:rsid w:val="004A60AC"/>
    <w:rsid w:val="004A667C"/>
    <w:rsid w:val="004A6E9C"/>
    <w:rsid w:val="004B3843"/>
    <w:rsid w:val="004B3A3A"/>
    <w:rsid w:val="004B60AE"/>
    <w:rsid w:val="004B6178"/>
    <w:rsid w:val="004B757E"/>
    <w:rsid w:val="004B7C51"/>
    <w:rsid w:val="004C1ACC"/>
    <w:rsid w:val="004C31CC"/>
    <w:rsid w:val="004C40D7"/>
    <w:rsid w:val="004C5625"/>
    <w:rsid w:val="004C5ED6"/>
    <w:rsid w:val="004D02D0"/>
    <w:rsid w:val="004D04CE"/>
    <w:rsid w:val="004D08F6"/>
    <w:rsid w:val="004D536D"/>
    <w:rsid w:val="004D5953"/>
    <w:rsid w:val="004E0C6E"/>
    <w:rsid w:val="004E3678"/>
    <w:rsid w:val="004E39F1"/>
    <w:rsid w:val="004E48A7"/>
    <w:rsid w:val="004F18FA"/>
    <w:rsid w:val="004F3B85"/>
    <w:rsid w:val="004F5425"/>
    <w:rsid w:val="004F5B29"/>
    <w:rsid w:val="004F7FD4"/>
    <w:rsid w:val="00502B0E"/>
    <w:rsid w:val="00502F84"/>
    <w:rsid w:val="00505EE2"/>
    <w:rsid w:val="00507DFF"/>
    <w:rsid w:val="0051248B"/>
    <w:rsid w:val="005168DE"/>
    <w:rsid w:val="00521293"/>
    <w:rsid w:val="00523ABC"/>
    <w:rsid w:val="00523BC1"/>
    <w:rsid w:val="005244EE"/>
    <w:rsid w:val="00524C0B"/>
    <w:rsid w:val="005275BC"/>
    <w:rsid w:val="005276AA"/>
    <w:rsid w:val="00530F6C"/>
    <w:rsid w:val="00531FE5"/>
    <w:rsid w:val="00532F7C"/>
    <w:rsid w:val="00533BAC"/>
    <w:rsid w:val="00535553"/>
    <w:rsid w:val="0053625D"/>
    <w:rsid w:val="0053628E"/>
    <w:rsid w:val="00536989"/>
    <w:rsid w:val="00537D2D"/>
    <w:rsid w:val="00540E25"/>
    <w:rsid w:val="00541552"/>
    <w:rsid w:val="00545707"/>
    <w:rsid w:val="005473DF"/>
    <w:rsid w:val="00547E43"/>
    <w:rsid w:val="0055051A"/>
    <w:rsid w:val="00550D1C"/>
    <w:rsid w:val="005567C6"/>
    <w:rsid w:val="00556EB7"/>
    <w:rsid w:val="0055768A"/>
    <w:rsid w:val="00560F57"/>
    <w:rsid w:val="005620A7"/>
    <w:rsid w:val="005625D5"/>
    <w:rsid w:val="0056570D"/>
    <w:rsid w:val="00565ED8"/>
    <w:rsid w:val="00566BD4"/>
    <w:rsid w:val="00570797"/>
    <w:rsid w:val="00572443"/>
    <w:rsid w:val="0057724E"/>
    <w:rsid w:val="0058063A"/>
    <w:rsid w:val="005808E0"/>
    <w:rsid w:val="0058149B"/>
    <w:rsid w:val="0058192B"/>
    <w:rsid w:val="00581E11"/>
    <w:rsid w:val="00582367"/>
    <w:rsid w:val="00584A24"/>
    <w:rsid w:val="00585EC1"/>
    <w:rsid w:val="00586704"/>
    <w:rsid w:val="0059128B"/>
    <w:rsid w:val="005946C7"/>
    <w:rsid w:val="00595CFA"/>
    <w:rsid w:val="005A46D8"/>
    <w:rsid w:val="005A51D2"/>
    <w:rsid w:val="005A7BB6"/>
    <w:rsid w:val="005B62D6"/>
    <w:rsid w:val="005D3725"/>
    <w:rsid w:val="005D4FDB"/>
    <w:rsid w:val="005D6295"/>
    <w:rsid w:val="005D6659"/>
    <w:rsid w:val="005D7AF6"/>
    <w:rsid w:val="005E2FAA"/>
    <w:rsid w:val="005E3D64"/>
    <w:rsid w:val="005E45FD"/>
    <w:rsid w:val="005E5D0E"/>
    <w:rsid w:val="005E6167"/>
    <w:rsid w:val="005E7897"/>
    <w:rsid w:val="005F1472"/>
    <w:rsid w:val="005F1B11"/>
    <w:rsid w:val="005F22E2"/>
    <w:rsid w:val="005F2EDA"/>
    <w:rsid w:val="005F318E"/>
    <w:rsid w:val="005F6695"/>
    <w:rsid w:val="006049A0"/>
    <w:rsid w:val="00606E3B"/>
    <w:rsid w:val="00607E8A"/>
    <w:rsid w:val="0061141D"/>
    <w:rsid w:val="006137C4"/>
    <w:rsid w:val="00615160"/>
    <w:rsid w:val="006154A6"/>
    <w:rsid w:val="00615993"/>
    <w:rsid w:val="00615BEC"/>
    <w:rsid w:val="00616062"/>
    <w:rsid w:val="00620A11"/>
    <w:rsid w:val="00624B9B"/>
    <w:rsid w:val="0062508B"/>
    <w:rsid w:val="00625CB7"/>
    <w:rsid w:val="00630B07"/>
    <w:rsid w:val="0063464A"/>
    <w:rsid w:val="00636B52"/>
    <w:rsid w:val="00641F0A"/>
    <w:rsid w:val="006421A8"/>
    <w:rsid w:val="00642BA7"/>
    <w:rsid w:val="00643C1D"/>
    <w:rsid w:val="00643E89"/>
    <w:rsid w:val="00645D4B"/>
    <w:rsid w:val="00646407"/>
    <w:rsid w:val="00651051"/>
    <w:rsid w:val="0065448C"/>
    <w:rsid w:val="0066244E"/>
    <w:rsid w:val="00665DD7"/>
    <w:rsid w:val="006662BB"/>
    <w:rsid w:val="00667476"/>
    <w:rsid w:val="00670CB9"/>
    <w:rsid w:val="006737C8"/>
    <w:rsid w:val="00675289"/>
    <w:rsid w:val="00675810"/>
    <w:rsid w:val="00677A79"/>
    <w:rsid w:val="00681216"/>
    <w:rsid w:val="006835C3"/>
    <w:rsid w:val="00685854"/>
    <w:rsid w:val="00685E9E"/>
    <w:rsid w:val="00686EE7"/>
    <w:rsid w:val="00687212"/>
    <w:rsid w:val="00690397"/>
    <w:rsid w:val="00692281"/>
    <w:rsid w:val="00693711"/>
    <w:rsid w:val="00694D5D"/>
    <w:rsid w:val="006951CF"/>
    <w:rsid w:val="006958C0"/>
    <w:rsid w:val="00696A4E"/>
    <w:rsid w:val="006971BC"/>
    <w:rsid w:val="006A0193"/>
    <w:rsid w:val="006A13AC"/>
    <w:rsid w:val="006A180E"/>
    <w:rsid w:val="006A5182"/>
    <w:rsid w:val="006A5DC8"/>
    <w:rsid w:val="006A65A7"/>
    <w:rsid w:val="006A664E"/>
    <w:rsid w:val="006B098C"/>
    <w:rsid w:val="006B2978"/>
    <w:rsid w:val="006B311A"/>
    <w:rsid w:val="006B315C"/>
    <w:rsid w:val="006B3FF4"/>
    <w:rsid w:val="006C1B57"/>
    <w:rsid w:val="006C1F3B"/>
    <w:rsid w:val="006C2072"/>
    <w:rsid w:val="006C23B9"/>
    <w:rsid w:val="006C3731"/>
    <w:rsid w:val="006C5569"/>
    <w:rsid w:val="006D0CCD"/>
    <w:rsid w:val="006D1972"/>
    <w:rsid w:val="006D1F18"/>
    <w:rsid w:val="006D25B3"/>
    <w:rsid w:val="006D4071"/>
    <w:rsid w:val="006D6578"/>
    <w:rsid w:val="006E168A"/>
    <w:rsid w:val="006E38C9"/>
    <w:rsid w:val="006E459D"/>
    <w:rsid w:val="006E5EAA"/>
    <w:rsid w:val="006E699A"/>
    <w:rsid w:val="006E74F5"/>
    <w:rsid w:val="006E78BD"/>
    <w:rsid w:val="006E791B"/>
    <w:rsid w:val="006F03E1"/>
    <w:rsid w:val="006F1766"/>
    <w:rsid w:val="006F6C4C"/>
    <w:rsid w:val="0070084E"/>
    <w:rsid w:val="0070351A"/>
    <w:rsid w:val="007103FD"/>
    <w:rsid w:val="00710F8C"/>
    <w:rsid w:val="00711729"/>
    <w:rsid w:val="00712A61"/>
    <w:rsid w:val="0071385C"/>
    <w:rsid w:val="007204DB"/>
    <w:rsid w:val="007207C9"/>
    <w:rsid w:val="0072168E"/>
    <w:rsid w:val="00722FBA"/>
    <w:rsid w:val="007241B3"/>
    <w:rsid w:val="007248F4"/>
    <w:rsid w:val="00724CB4"/>
    <w:rsid w:val="007263ED"/>
    <w:rsid w:val="00726A25"/>
    <w:rsid w:val="00727DFE"/>
    <w:rsid w:val="0073340D"/>
    <w:rsid w:val="007338AF"/>
    <w:rsid w:val="00737FB5"/>
    <w:rsid w:val="007403FC"/>
    <w:rsid w:val="00742F00"/>
    <w:rsid w:val="00750911"/>
    <w:rsid w:val="00751F91"/>
    <w:rsid w:val="00757318"/>
    <w:rsid w:val="00760BD7"/>
    <w:rsid w:val="007613A2"/>
    <w:rsid w:val="00761C29"/>
    <w:rsid w:val="00763C5A"/>
    <w:rsid w:val="0076737B"/>
    <w:rsid w:val="00767F62"/>
    <w:rsid w:val="007722E5"/>
    <w:rsid w:val="00772474"/>
    <w:rsid w:val="0077351D"/>
    <w:rsid w:val="007746D6"/>
    <w:rsid w:val="00774778"/>
    <w:rsid w:val="0077772B"/>
    <w:rsid w:val="00777A80"/>
    <w:rsid w:val="00781154"/>
    <w:rsid w:val="00784499"/>
    <w:rsid w:val="00785645"/>
    <w:rsid w:val="0078577D"/>
    <w:rsid w:val="0078579D"/>
    <w:rsid w:val="007868DA"/>
    <w:rsid w:val="00787860"/>
    <w:rsid w:val="00792740"/>
    <w:rsid w:val="007957D3"/>
    <w:rsid w:val="00795CB4"/>
    <w:rsid w:val="007A2C8D"/>
    <w:rsid w:val="007A3488"/>
    <w:rsid w:val="007A46F2"/>
    <w:rsid w:val="007A511E"/>
    <w:rsid w:val="007A6441"/>
    <w:rsid w:val="007B0C04"/>
    <w:rsid w:val="007B16E8"/>
    <w:rsid w:val="007B1B17"/>
    <w:rsid w:val="007B2FB1"/>
    <w:rsid w:val="007B536E"/>
    <w:rsid w:val="007B57D9"/>
    <w:rsid w:val="007B6E38"/>
    <w:rsid w:val="007B7801"/>
    <w:rsid w:val="007C0B15"/>
    <w:rsid w:val="007C0FCA"/>
    <w:rsid w:val="007C2928"/>
    <w:rsid w:val="007C2C9B"/>
    <w:rsid w:val="007C4BFF"/>
    <w:rsid w:val="007C65F9"/>
    <w:rsid w:val="007C6CEB"/>
    <w:rsid w:val="007D1AB6"/>
    <w:rsid w:val="007D3423"/>
    <w:rsid w:val="007D35D5"/>
    <w:rsid w:val="007D5EFB"/>
    <w:rsid w:val="007E0D64"/>
    <w:rsid w:val="007E1313"/>
    <w:rsid w:val="007E3305"/>
    <w:rsid w:val="007E360C"/>
    <w:rsid w:val="007E41F2"/>
    <w:rsid w:val="007E45EA"/>
    <w:rsid w:val="007E4FA0"/>
    <w:rsid w:val="007E4FC3"/>
    <w:rsid w:val="007E6F50"/>
    <w:rsid w:val="007E79DF"/>
    <w:rsid w:val="007F3D14"/>
    <w:rsid w:val="007F46C5"/>
    <w:rsid w:val="007F6FC7"/>
    <w:rsid w:val="008031DA"/>
    <w:rsid w:val="00803DCC"/>
    <w:rsid w:val="00805099"/>
    <w:rsid w:val="00805780"/>
    <w:rsid w:val="00810F1A"/>
    <w:rsid w:val="00813E8D"/>
    <w:rsid w:val="00815984"/>
    <w:rsid w:val="00816D32"/>
    <w:rsid w:val="00817229"/>
    <w:rsid w:val="008201D8"/>
    <w:rsid w:val="00823940"/>
    <w:rsid w:val="00824CF8"/>
    <w:rsid w:val="00825A27"/>
    <w:rsid w:val="00826371"/>
    <w:rsid w:val="0083068F"/>
    <w:rsid w:val="00830D96"/>
    <w:rsid w:val="00835502"/>
    <w:rsid w:val="008401C6"/>
    <w:rsid w:val="00842565"/>
    <w:rsid w:val="00844024"/>
    <w:rsid w:val="0084498D"/>
    <w:rsid w:val="00850637"/>
    <w:rsid w:val="00852FDF"/>
    <w:rsid w:val="00853528"/>
    <w:rsid w:val="008554F3"/>
    <w:rsid w:val="0086173E"/>
    <w:rsid w:val="00861A6D"/>
    <w:rsid w:val="00864900"/>
    <w:rsid w:val="008650CC"/>
    <w:rsid w:val="00871284"/>
    <w:rsid w:val="00871A7E"/>
    <w:rsid w:val="00874608"/>
    <w:rsid w:val="008757E7"/>
    <w:rsid w:val="008758EA"/>
    <w:rsid w:val="0087603B"/>
    <w:rsid w:val="0087661F"/>
    <w:rsid w:val="00876C1D"/>
    <w:rsid w:val="008806FF"/>
    <w:rsid w:val="00880868"/>
    <w:rsid w:val="008852FB"/>
    <w:rsid w:val="00885781"/>
    <w:rsid w:val="008905B7"/>
    <w:rsid w:val="00894190"/>
    <w:rsid w:val="008952AD"/>
    <w:rsid w:val="008968CE"/>
    <w:rsid w:val="00896E4B"/>
    <w:rsid w:val="00897C06"/>
    <w:rsid w:val="008A18E2"/>
    <w:rsid w:val="008A245F"/>
    <w:rsid w:val="008A4CD7"/>
    <w:rsid w:val="008A6376"/>
    <w:rsid w:val="008A6815"/>
    <w:rsid w:val="008A6A96"/>
    <w:rsid w:val="008B0FE3"/>
    <w:rsid w:val="008B2A24"/>
    <w:rsid w:val="008B313A"/>
    <w:rsid w:val="008B412C"/>
    <w:rsid w:val="008B4C51"/>
    <w:rsid w:val="008B702D"/>
    <w:rsid w:val="008B7AC3"/>
    <w:rsid w:val="008C23F3"/>
    <w:rsid w:val="008C34E9"/>
    <w:rsid w:val="008C463B"/>
    <w:rsid w:val="008C6DFC"/>
    <w:rsid w:val="008C70E8"/>
    <w:rsid w:val="008C795C"/>
    <w:rsid w:val="008D03C4"/>
    <w:rsid w:val="008D2228"/>
    <w:rsid w:val="008D33E3"/>
    <w:rsid w:val="008D3709"/>
    <w:rsid w:val="008D59DB"/>
    <w:rsid w:val="008D5E13"/>
    <w:rsid w:val="008E461E"/>
    <w:rsid w:val="008E514D"/>
    <w:rsid w:val="008E5A20"/>
    <w:rsid w:val="008E5ABA"/>
    <w:rsid w:val="008E6C98"/>
    <w:rsid w:val="008E784D"/>
    <w:rsid w:val="008E7A67"/>
    <w:rsid w:val="008E7C1B"/>
    <w:rsid w:val="008F0E38"/>
    <w:rsid w:val="008F1CB5"/>
    <w:rsid w:val="008F26F6"/>
    <w:rsid w:val="008F4025"/>
    <w:rsid w:val="008F48EA"/>
    <w:rsid w:val="008F6908"/>
    <w:rsid w:val="00911492"/>
    <w:rsid w:val="00911682"/>
    <w:rsid w:val="00911DA3"/>
    <w:rsid w:val="009148F9"/>
    <w:rsid w:val="009154BF"/>
    <w:rsid w:val="009164A3"/>
    <w:rsid w:val="009164D4"/>
    <w:rsid w:val="00921D32"/>
    <w:rsid w:val="00924D9E"/>
    <w:rsid w:val="00927D9D"/>
    <w:rsid w:val="0093398E"/>
    <w:rsid w:val="0093468D"/>
    <w:rsid w:val="0093724D"/>
    <w:rsid w:val="00942B7F"/>
    <w:rsid w:val="00942D0C"/>
    <w:rsid w:val="00945B5C"/>
    <w:rsid w:val="00946FC2"/>
    <w:rsid w:val="00951232"/>
    <w:rsid w:val="00951278"/>
    <w:rsid w:val="0095651E"/>
    <w:rsid w:val="00956A14"/>
    <w:rsid w:val="00961CE9"/>
    <w:rsid w:val="0096217D"/>
    <w:rsid w:val="009625A5"/>
    <w:rsid w:val="0096260A"/>
    <w:rsid w:val="00962B14"/>
    <w:rsid w:val="009645EB"/>
    <w:rsid w:val="009646FC"/>
    <w:rsid w:val="00964F3E"/>
    <w:rsid w:val="00965D54"/>
    <w:rsid w:val="00970451"/>
    <w:rsid w:val="00971A14"/>
    <w:rsid w:val="00971B37"/>
    <w:rsid w:val="00974DB1"/>
    <w:rsid w:val="00975251"/>
    <w:rsid w:val="00975F55"/>
    <w:rsid w:val="0097677D"/>
    <w:rsid w:val="009767FD"/>
    <w:rsid w:val="00976FD1"/>
    <w:rsid w:val="009823CC"/>
    <w:rsid w:val="009824C2"/>
    <w:rsid w:val="009829EA"/>
    <w:rsid w:val="00984F4C"/>
    <w:rsid w:val="0098594E"/>
    <w:rsid w:val="009862D5"/>
    <w:rsid w:val="00987F57"/>
    <w:rsid w:val="00991492"/>
    <w:rsid w:val="00993BA7"/>
    <w:rsid w:val="00993F6B"/>
    <w:rsid w:val="00994092"/>
    <w:rsid w:val="009945C9"/>
    <w:rsid w:val="009A1A18"/>
    <w:rsid w:val="009A2405"/>
    <w:rsid w:val="009A4A1B"/>
    <w:rsid w:val="009A5506"/>
    <w:rsid w:val="009A575C"/>
    <w:rsid w:val="009A5C84"/>
    <w:rsid w:val="009A5DBB"/>
    <w:rsid w:val="009A7347"/>
    <w:rsid w:val="009B20DA"/>
    <w:rsid w:val="009B2C44"/>
    <w:rsid w:val="009B2D88"/>
    <w:rsid w:val="009B2E95"/>
    <w:rsid w:val="009B31DF"/>
    <w:rsid w:val="009B3BCB"/>
    <w:rsid w:val="009B3F58"/>
    <w:rsid w:val="009B44D9"/>
    <w:rsid w:val="009B6C5A"/>
    <w:rsid w:val="009B75D4"/>
    <w:rsid w:val="009B796A"/>
    <w:rsid w:val="009C47A8"/>
    <w:rsid w:val="009C5A01"/>
    <w:rsid w:val="009C6BEE"/>
    <w:rsid w:val="009D008F"/>
    <w:rsid w:val="009E1E90"/>
    <w:rsid w:val="009E4659"/>
    <w:rsid w:val="009E524D"/>
    <w:rsid w:val="009E5E7B"/>
    <w:rsid w:val="009F50AA"/>
    <w:rsid w:val="009F6192"/>
    <w:rsid w:val="009F61F2"/>
    <w:rsid w:val="00A046B8"/>
    <w:rsid w:val="00A06315"/>
    <w:rsid w:val="00A135C4"/>
    <w:rsid w:val="00A15F48"/>
    <w:rsid w:val="00A165CA"/>
    <w:rsid w:val="00A16CD2"/>
    <w:rsid w:val="00A179C9"/>
    <w:rsid w:val="00A2298A"/>
    <w:rsid w:val="00A23112"/>
    <w:rsid w:val="00A24E5D"/>
    <w:rsid w:val="00A30926"/>
    <w:rsid w:val="00A31C76"/>
    <w:rsid w:val="00A3623B"/>
    <w:rsid w:val="00A363A7"/>
    <w:rsid w:val="00A36CE5"/>
    <w:rsid w:val="00A40E23"/>
    <w:rsid w:val="00A414F5"/>
    <w:rsid w:val="00A41F98"/>
    <w:rsid w:val="00A466B9"/>
    <w:rsid w:val="00A46E0F"/>
    <w:rsid w:val="00A47E53"/>
    <w:rsid w:val="00A5057C"/>
    <w:rsid w:val="00A51A77"/>
    <w:rsid w:val="00A55AA5"/>
    <w:rsid w:val="00A613D3"/>
    <w:rsid w:val="00A61FD0"/>
    <w:rsid w:val="00A62D92"/>
    <w:rsid w:val="00A650F4"/>
    <w:rsid w:val="00A71542"/>
    <w:rsid w:val="00A715B4"/>
    <w:rsid w:val="00A71CF1"/>
    <w:rsid w:val="00A72B3B"/>
    <w:rsid w:val="00A72C03"/>
    <w:rsid w:val="00A737AF"/>
    <w:rsid w:val="00A76EDB"/>
    <w:rsid w:val="00A77F8F"/>
    <w:rsid w:val="00A80814"/>
    <w:rsid w:val="00A820E0"/>
    <w:rsid w:val="00A828E5"/>
    <w:rsid w:val="00A83E8C"/>
    <w:rsid w:val="00A845EF"/>
    <w:rsid w:val="00A84D4E"/>
    <w:rsid w:val="00A86931"/>
    <w:rsid w:val="00A90FA1"/>
    <w:rsid w:val="00A9242B"/>
    <w:rsid w:val="00A930DF"/>
    <w:rsid w:val="00A9362A"/>
    <w:rsid w:val="00A93712"/>
    <w:rsid w:val="00A96317"/>
    <w:rsid w:val="00AA05B1"/>
    <w:rsid w:val="00AA20B5"/>
    <w:rsid w:val="00AA2512"/>
    <w:rsid w:val="00AA4713"/>
    <w:rsid w:val="00AA71F7"/>
    <w:rsid w:val="00AA7419"/>
    <w:rsid w:val="00AB07B7"/>
    <w:rsid w:val="00AB0A6B"/>
    <w:rsid w:val="00AB0BB7"/>
    <w:rsid w:val="00AB1E4D"/>
    <w:rsid w:val="00AB3121"/>
    <w:rsid w:val="00AB3792"/>
    <w:rsid w:val="00AB5B89"/>
    <w:rsid w:val="00AB797B"/>
    <w:rsid w:val="00AC1E2C"/>
    <w:rsid w:val="00AC52C7"/>
    <w:rsid w:val="00AC570F"/>
    <w:rsid w:val="00AC77B1"/>
    <w:rsid w:val="00AD3124"/>
    <w:rsid w:val="00AD3630"/>
    <w:rsid w:val="00AD3A5A"/>
    <w:rsid w:val="00AD3C25"/>
    <w:rsid w:val="00AD6E58"/>
    <w:rsid w:val="00AE0A28"/>
    <w:rsid w:val="00AE49D4"/>
    <w:rsid w:val="00AE540F"/>
    <w:rsid w:val="00AE6484"/>
    <w:rsid w:val="00AE6968"/>
    <w:rsid w:val="00AF022E"/>
    <w:rsid w:val="00AF09B0"/>
    <w:rsid w:val="00AF43BC"/>
    <w:rsid w:val="00AF53A7"/>
    <w:rsid w:val="00AF54ED"/>
    <w:rsid w:val="00AF55B9"/>
    <w:rsid w:val="00AF5C48"/>
    <w:rsid w:val="00AF65F4"/>
    <w:rsid w:val="00B00A16"/>
    <w:rsid w:val="00B03275"/>
    <w:rsid w:val="00B03545"/>
    <w:rsid w:val="00B04A54"/>
    <w:rsid w:val="00B04CBE"/>
    <w:rsid w:val="00B07B88"/>
    <w:rsid w:val="00B12748"/>
    <w:rsid w:val="00B14CC3"/>
    <w:rsid w:val="00B16A32"/>
    <w:rsid w:val="00B16C43"/>
    <w:rsid w:val="00B2009D"/>
    <w:rsid w:val="00B214B6"/>
    <w:rsid w:val="00B2209E"/>
    <w:rsid w:val="00B229DE"/>
    <w:rsid w:val="00B22D54"/>
    <w:rsid w:val="00B23BB3"/>
    <w:rsid w:val="00B23EF9"/>
    <w:rsid w:val="00B25288"/>
    <w:rsid w:val="00B25D8A"/>
    <w:rsid w:val="00B25E6A"/>
    <w:rsid w:val="00B322B8"/>
    <w:rsid w:val="00B33FAA"/>
    <w:rsid w:val="00B35561"/>
    <w:rsid w:val="00B3679B"/>
    <w:rsid w:val="00B37C6A"/>
    <w:rsid w:val="00B412C9"/>
    <w:rsid w:val="00B452AF"/>
    <w:rsid w:val="00B4786E"/>
    <w:rsid w:val="00B5054B"/>
    <w:rsid w:val="00B51BEA"/>
    <w:rsid w:val="00B5286A"/>
    <w:rsid w:val="00B541FC"/>
    <w:rsid w:val="00B54B06"/>
    <w:rsid w:val="00B55F22"/>
    <w:rsid w:val="00B604E9"/>
    <w:rsid w:val="00B62507"/>
    <w:rsid w:val="00B62607"/>
    <w:rsid w:val="00B6481E"/>
    <w:rsid w:val="00B665C6"/>
    <w:rsid w:val="00B73168"/>
    <w:rsid w:val="00B76200"/>
    <w:rsid w:val="00B766AC"/>
    <w:rsid w:val="00B82DDF"/>
    <w:rsid w:val="00B85675"/>
    <w:rsid w:val="00B8687B"/>
    <w:rsid w:val="00B86EC6"/>
    <w:rsid w:val="00B90675"/>
    <w:rsid w:val="00B95C50"/>
    <w:rsid w:val="00B97F02"/>
    <w:rsid w:val="00BA0296"/>
    <w:rsid w:val="00BA1D47"/>
    <w:rsid w:val="00BA2D8B"/>
    <w:rsid w:val="00BA4FAC"/>
    <w:rsid w:val="00BA5078"/>
    <w:rsid w:val="00BA5264"/>
    <w:rsid w:val="00BA583B"/>
    <w:rsid w:val="00BA6294"/>
    <w:rsid w:val="00BA67B9"/>
    <w:rsid w:val="00BA6C73"/>
    <w:rsid w:val="00BB081F"/>
    <w:rsid w:val="00BB3E50"/>
    <w:rsid w:val="00BB6660"/>
    <w:rsid w:val="00BB7087"/>
    <w:rsid w:val="00BC094F"/>
    <w:rsid w:val="00BC0D39"/>
    <w:rsid w:val="00BC460E"/>
    <w:rsid w:val="00BC4F92"/>
    <w:rsid w:val="00BC5F98"/>
    <w:rsid w:val="00BC5FB4"/>
    <w:rsid w:val="00BC63F6"/>
    <w:rsid w:val="00BC708E"/>
    <w:rsid w:val="00BC79E7"/>
    <w:rsid w:val="00BD1E2D"/>
    <w:rsid w:val="00BD3721"/>
    <w:rsid w:val="00BE0AE2"/>
    <w:rsid w:val="00BE1825"/>
    <w:rsid w:val="00BE32D8"/>
    <w:rsid w:val="00BE49A5"/>
    <w:rsid w:val="00BE642B"/>
    <w:rsid w:val="00BE6BB9"/>
    <w:rsid w:val="00BE7EEF"/>
    <w:rsid w:val="00BF2899"/>
    <w:rsid w:val="00BF4933"/>
    <w:rsid w:val="00BF4D62"/>
    <w:rsid w:val="00BF5375"/>
    <w:rsid w:val="00BF650E"/>
    <w:rsid w:val="00BF6E15"/>
    <w:rsid w:val="00BF6F52"/>
    <w:rsid w:val="00BF76E3"/>
    <w:rsid w:val="00BF786F"/>
    <w:rsid w:val="00BF7D83"/>
    <w:rsid w:val="00C0099B"/>
    <w:rsid w:val="00C02D8B"/>
    <w:rsid w:val="00C04BCD"/>
    <w:rsid w:val="00C04E54"/>
    <w:rsid w:val="00C06291"/>
    <w:rsid w:val="00C07DF5"/>
    <w:rsid w:val="00C1004A"/>
    <w:rsid w:val="00C1178D"/>
    <w:rsid w:val="00C11CE1"/>
    <w:rsid w:val="00C12E40"/>
    <w:rsid w:val="00C15783"/>
    <w:rsid w:val="00C15C78"/>
    <w:rsid w:val="00C2349D"/>
    <w:rsid w:val="00C26ABB"/>
    <w:rsid w:val="00C36BBA"/>
    <w:rsid w:val="00C3761C"/>
    <w:rsid w:val="00C418E7"/>
    <w:rsid w:val="00C44968"/>
    <w:rsid w:val="00C46497"/>
    <w:rsid w:val="00C500EF"/>
    <w:rsid w:val="00C50373"/>
    <w:rsid w:val="00C5069F"/>
    <w:rsid w:val="00C50FC5"/>
    <w:rsid w:val="00C539DA"/>
    <w:rsid w:val="00C541A0"/>
    <w:rsid w:val="00C55CAC"/>
    <w:rsid w:val="00C56A8D"/>
    <w:rsid w:val="00C62E9D"/>
    <w:rsid w:val="00C6461C"/>
    <w:rsid w:val="00C655B8"/>
    <w:rsid w:val="00C669A6"/>
    <w:rsid w:val="00C70540"/>
    <w:rsid w:val="00C749E4"/>
    <w:rsid w:val="00C7552E"/>
    <w:rsid w:val="00C77E2F"/>
    <w:rsid w:val="00C87988"/>
    <w:rsid w:val="00C911D8"/>
    <w:rsid w:val="00C91DAE"/>
    <w:rsid w:val="00C92A58"/>
    <w:rsid w:val="00C93549"/>
    <w:rsid w:val="00C938C2"/>
    <w:rsid w:val="00C93A1E"/>
    <w:rsid w:val="00C93CEA"/>
    <w:rsid w:val="00C9482E"/>
    <w:rsid w:val="00C95C20"/>
    <w:rsid w:val="00C96FDD"/>
    <w:rsid w:val="00CA0F0E"/>
    <w:rsid w:val="00CA23FA"/>
    <w:rsid w:val="00CA3125"/>
    <w:rsid w:val="00CA3A3D"/>
    <w:rsid w:val="00CA59D5"/>
    <w:rsid w:val="00CA663E"/>
    <w:rsid w:val="00CA7130"/>
    <w:rsid w:val="00CB0035"/>
    <w:rsid w:val="00CB2144"/>
    <w:rsid w:val="00CB3613"/>
    <w:rsid w:val="00CB728F"/>
    <w:rsid w:val="00CC1984"/>
    <w:rsid w:val="00CC1BBB"/>
    <w:rsid w:val="00CC4F91"/>
    <w:rsid w:val="00CC5BD3"/>
    <w:rsid w:val="00CC627C"/>
    <w:rsid w:val="00CD0241"/>
    <w:rsid w:val="00CD0600"/>
    <w:rsid w:val="00CD51D1"/>
    <w:rsid w:val="00CD5452"/>
    <w:rsid w:val="00CE01CD"/>
    <w:rsid w:val="00CE36C6"/>
    <w:rsid w:val="00CE42E0"/>
    <w:rsid w:val="00CE6446"/>
    <w:rsid w:val="00CF07DB"/>
    <w:rsid w:val="00CF2164"/>
    <w:rsid w:val="00CF2BE5"/>
    <w:rsid w:val="00CF4887"/>
    <w:rsid w:val="00CF4979"/>
    <w:rsid w:val="00CF6D33"/>
    <w:rsid w:val="00CF7C49"/>
    <w:rsid w:val="00D02196"/>
    <w:rsid w:val="00D0333C"/>
    <w:rsid w:val="00D1055E"/>
    <w:rsid w:val="00D11A79"/>
    <w:rsid w:val="00D11AA0"/>
    <w:rsid w:val="00D20419"/>
    <w:rsid w:val="00D2066F"/>
    <w:rsid w:val="00D23845"/>
    <w:rsid w:val="00D24994"/>
    <w:rsid w:val="00D24ECB"/>
    <w:rsid w:val="00D275E9"/>
    <w:rsid w:val="00D3000A"/>
    <w:rsid w:val="00D30AF4"/>
    <w:rsid w:val="00D30B0B"/>
    <w:rsid w:val="00D30BCE"/>
    <w:rsid w:val="00D34028"/>
    <w:rsid w:val="00D34E6F"/>
    <w:rsid w:val="00D36869"/>
    <w:rsid w:val="00D4033E"/>
    <w:rsid w:val="00D411C3"/>
    <w:rsid w:val="00D45BDF"/>
    <w:rsid w:val="00D5043B"/>
    <w:rsid w:val="00D52A10"/>
    <w:rsid w:val="00D535BD"/>
    <w:rsid w:val="00D578D1"/>
    <w:rsid w:val="00D602E0"/>
    <w:rsid w:val="00D633C4"/>
    <w:rsid w:val="00D63404"/>
    <w:rsid w:val="00D660FF"/>
    <w:rsid w:val="00D67DCB"/>
    <w:rsid w:val="00D72BD9"/>
    <w:rsid w:val="00D77779"/>
    <w:rsid w:val="00D779AB"/>
    <w:rsid w:val="00D81481"/>
    <w:rsid w:val="00D81C45"/>
    <w:rsid w:val="00D83917"/>
    <w:rsid w:val="00D87C98"/>
    <w:rsid w:val="00D91551"/>
    <w:rsid w:val="00D91F2F"/>
    <w:rsid w:val="00D92A71"/>
    <w:rsid w:val="00D92E31"/>
    <w:rsid w:val="00D95C5E"/>
    <w:rsid w:val="00D974DF"/>
    <w:rsid w:val="00D977F5"/>
    <w:rsid w:val="00D97A4B"/>
    <w:rsid w:val="00DA1602"/>
    <w:rsid w:val="00DA244B"/>
    <w:rsid w:val="00DA339C"/>
    <w:rsid w:val="00DA573F"/>
    <w:rsid w:val="00DA6C95"/>
    <w:rsid w:val="00DB07EB"/>
    <w:rsid w:val="00DB090B"/>
    <w:rsid w:val="00DB393F"/>
    <w:rsid w:val="00DB4041"/>
    <w:rsid w:val="00DC2E80"/>
    <w:rsid w:val="00DC48F5"/>
    <w:rsid w:val="00DC5C73"/>
    <w:rsid w:val="00DC76A1"/>
    <w:rsid w:val="00DD5437"/>
    <w:rsid w:val="00DD7C3A"/>
    <w:rsid w:val="00DE0A5D"/>
    <w:rsid w:val="00DE2C87"/>
    <w:rsid w:val="00DE31EA"/>
    <w:rsid w:val="00DF061E"/>
    <w:rsid w:val="00DF0D87"/>
    <w:rsid w:val="00DF16DA"/>
    <w:rsid w:val="00DF43A3"/>
    <w:rsid w:val="00DF4A16"/>
    <w:rsid w:val="00DF53EF"/>
    <w:rsid w:val="00DF5A89"/>
    <w:rsid w:val="00DF685B"/>
    <w:rsid w:val="00E011DA"/>
    <w:rsid w:val="00E03289"/>
    <w:rsid w:val="00E03798"/>
    <w:rsid w:val="00E038AB"/>
    <w:rsid w:val="00E05710"/>
    <w:rsid w:val="00E114C9"/>
    <w:rsid w:val="00E12647"/>
    <w:rsid w:val="00E1274C"/>
    <w:rsid w:val="00E12A76"/>
    <w:rsid w:val="00E12C38"/>
    <w:rsid w:val="00E140A3"/>
    <w:rsid w:val="00E206F6"/>
    <w:rsid w:val="00E210AF"/>
    <w:rsid w:val="00E26064"/>
    <w:rsid w:val="00E266E8"/>
    <w:rsid w:val="00E27106"/>
    <w:rsid w:val="00E30699"/>
    <w:rsid w:val="00E32CEA"/>
    <w:rsid w:val="00E33A27"/>
    <w:rsid w:val="00E35582"/>
    <w:rsid w:val="00E36633"/>
    <w:rsid w:val="00E373D4"/>
    <w:rsid w:val="00E41540"/>
    <w:rsid w:val="00E50FC5"/>
    <w:rsid w:val="00E52BB8"/>
    <w:rsid w:val="00E52EE3"/>
    <w:rsid w:val="00E54BF8"/>
    <w:rsid w:val="00E55878"/>
    <w:rsid w:val="00E55B0E"/>
    <w:rsid w:val="00E55F63"/>
    <w:rsid w:val="00E56403"/>
    <w:rsid w:val="00E62DBC"/>
    <w:rsid w:val="00E630D2"/>
    <w:rsid w:val="00E65C58"/>
    <w:rsid w:val="00E6661B"/>
    <w:rsid w:val="00E667B9"/>
    <w:rsid w:val="00E67D62"/>
    <w:rsid w:val="00E67EC6"/>
    <w:rsid w:val="00E67ECD"/>
    <w:rsid w:val="00E729DB"/>
    <w:rsid w:val="00E73248"/>
    <w:rsid w:val="00E73610"/>
    <w:rsid w:val="00E777B3"/>
    <w:rsid w:val="00E77D81"/>
    <w:rsid w:val="00E81033"/>
    <w:rsid w:val="00E810C3"/>
    <w:rsid w:val="00E848E7"/>
    <w:rsid w:val="00E84EC5"/>
    <w:rsid w:val="00E859C4"/>
    <w:rsid w:val="00E93577"/>
    <w:rsid w:val="00E94837"/>
    <w:rsid w:val="00E95C79"/>
    <w:rsid w:val="00E9650A"/>
    <w:rsid w:val="00E965BF"/>
    <w:rsid w:val="00E97B57"/>
    <w:rsid w:val="00EA1E6F"/>
    <w:rsid w:val="00EA3258"/>
    <w:rsid w:val="00EA444E"/>
    <w:rsid w:val="00EA490A"/>
    <w:rsid w:val="00EA6107"/>
    <w:rsid w:val="00EB1011"/>
    <w:rsid w:val="00EB1AF5"/>
    <w:rsid w:val="00EB2D35"/>
    <w:rsid w:val="00EB4CB2"/>
    <w:rsid w:val="00EB5E48"/>
    <w:rsid w:val="00EC1475"/>
    <w:rsid w:val="00ED1F14"/>
    <w:rsid w:val="00ED52C1"/>
    <w:rsid w:val="00EE05A2"/>
    <w:rsid w:val="00EE102F"/>
    <w:rsid w:val="00EE2F37"/>
    <w:rsid w:val="00EE3297"/>
    <w:rsid w:val="00EE35D5"/>
    <w:rsid w:val="00EE4FEC"/>
    <w:rsid w:val="00EE57BE"/>
    <w:rsid w:val="00EE6875"/>
    <w:rsid w:val="00EF0218"/>
    <w:rsid w:val="00EF06AA"/>
    <w:rsid w:val="00EF0D9C"/>
    <w:rsid w:val="00EF19A3"/>
    <w:rsid w:val="00EF1FC5"/>
    <w:rsid w:val="00EF22CD"/>
    <w:rsid w:val="00EF2D43"/>
    <w:rsid w:val="00EF4691"/>
    <w:rsid w:val="00EF586D"/>
    <w:rsid w:val="00EF676C"/>
    <w:rsid w:val="00EF6CF5"/>
    <w:rsid w:val="00F07CA5"/>
    <w:rsid w:val="00F14FCA"/>
    <w:rsid w:val="00F16538"/>
    <w:rsid w:val="00F1653A"/>
    <w:rsid w:val="00F168A7"/>
    <w:rsid w:val="00F16DE1"/>
    <w:rsid w:val="00F170F2"/>
    <w:rsid w:val="00F20CB6"/>
    <w:rsid w:val="00F2155C"/>
    <w:rsid w:val="00F220BE"/>
    <w:rsid w:val="00F232DC"/>
    <w:rsid w:val="00F23802"/>
    <w:rsid w:val="00F307C5"/>
    <w:rsid w:val="00F31D56"/>
    <w:rsid w:val="00F352CC"/>
    <w:rsid w:val="00F36B62"/>
    <w:rsid w:val="00F4009A"/>
    <w:rsid w:val="00F406DC"/>
    <w:rsid w:val="00F40A44"/>
    <w:rsid w:val="00F435F7"/>
    <w:rsid w:val="00F44025"/>
    <w:rsid w:val="00F460DA"/>
    <w:rsid w:val="00F46629"/>
    <w:rsid w:val="00F5091F"/>
    <w:rsid w:val="00F5403D"/>
    <w:rsid w:val="00F54041"/>
    <w:rsid w:val="00F57424"/>
    <w:rsid w:val="00F57718"/>
    <w:rsid w:val="00F57C81"/>
    <w:rsid w:val="00F609C5"/>
    <w:rsid w:val="00F6269E"/>
    <w:rsid w:val="00F6379D"/>
    <w:rsid w:val="00F65248"/>
    <w:rsid w:val="00F710DD"/>
    <w:rsid w:val="00F73136"/>
    <w:rsid w:val="00F7354A"/>
    <w:rsid w:val="00F756B5"/>
    <w:rsid w:val="00F75DA8"/>
    <w:rsid w:val="00F75F6B"/>
    <w:rsid w:val="00F76760"/>
    <w:rsid w:val="00F76E63"/>
    <w:rsid w:val="00F80340"/>
    <w:rsid w:val="00F80564"/>
    <w:rsid w:val="00F80FD5"/>
    <w:rsid w:val="00F81E38"/>
    <w:rsid w:val="00F81FFA"/>
    <w:rsid w:val="00F86A3D"/>
    <w:rsid w:val="00F86B0D"/>
    <w:rsid w:val="00F86C46"/>
    <w:rsid w:val="00F917C0"/>
    <w:rsid w:val="00F95BC8"/>
    <w:rsid w:val="00F963FF"/>
    <w:rsid w:val="00F9763B"/>
    <w:rsid w:val="00FA5C09"/>
    <w:rsid w:val="00FB4952"/>
    <w:rsid w:val="00FB57CC"/>
    <w:rsid w:val="00FB599C"/>
    <w:rsid w:val="00FB7C69"/>
    <w:rsid w:val="00FC12CC"/>
    <w:rsid w:val="00FC1C17"/>
    <w:rsid w:val="00FC37AC"/>
    <w:rsid w:val="00FC40F2"/>
    <w:rsid w:val="00FC423F"/>
    <w:rsid w:val="00FC5FAA"/>
    <w:rsid w:val="00FC6AD5"/>
    <w:rsid w:val="00FD187E"/>
    <w:rsid w:val="00FD18FB"/>
    <w:rsid w:val="00FD192E"/>
    <w:rsid w:val="00FD2708"/>
    <w:rsid w:val="00FD4B1D"/>
    <w:rsid w:val="00FD7CD0"/>
    <w:rsid w:val="00FE1A3A"/>
    <w:rsid w:val="00FE2706"/>
    <w:rsid w:val="00FE39F6"/>
    <w:rsid w:val="00FE7934"/>
    <w:rsid w:val="00FE7FE7"/>
    <w:rsid w:val="00FF2EA8"/>
    <w:rsid w:val="00FF37F6"/>
    <w:rsid w:val="00FF3CDB"/>
    <w:rsid w:val="00FF4ADD"/>
    <w:rsid w:val="01602ACF"/>
    <w:rsid w:val="01B071FE"/>
    <w:rsid w:val="02186305"/>
    <w:rsid w:val="031C0C73"/>
    <w:rsid w:val="053A4512"/>
    <w:rsid w:val="05B801E9"/>
    <w:rsid w:val="07637028"/>
    <w:rsid w:val="08D30D1F"/>
    <w:rsid w:val="08F04AF2"/>
    <w:rsid w:val="09E10F5A"/>
    <w:rsid w:val="0B44786D"/>
    <w:rsid w:val="0BA6608B"/>
    <w:rsid w:val="0CA75782"/>
    <w:rsid w:val="0D337196"/>
    <w:rsid w:val="0D7A2203"/>
    <w:rsid w:val="11C277E9"/>
    <w:rsid w:val="122A4B9F"/>
    <w:rsid w:val="124B075F"/>
    <w:rsid w:val="1472693B"/>
    <w:rsid w:val="14FD3F17"/>
    <w:rsid w:val="15D419A2"/>
    <w:rsid w:val="162419F3"/>
    <w:rsid w:val="171B526B"/>
    <w:rsid w:val="181C072E"/>
    <w:rsid w:val="1C145B71"/>
    <w:rsid w:val="1EFD6E6C"/>
    <w:rsid w:val="1F152DDC"/>
    <w:rsid w:val="1F747045"/>
    <w:rsid w:val="1FB501C5"/>
    <w:rsid w:val="2171685F"/>
    <w:rsid w:val="22267E5B"/>
    <w:rsid w:val="22C43E51"/>
    <w:rsid w:val="248875F1"/>
    <w:rsid w:val="270D6163"/>
    <w:rsid w:val="27CD6297"/>
    <w:rsid w:val="28611E55"/>
    <w:rsid w:val="28DA0295"/>
    <w:rsid w:val="296C7298"/>
    <w:rsid w:val="29CE442C"/>
    <w:rsid w:val="29F51007"/>
    <w:rsid w:val="29FB698F"/>
    <w:rsid w:val="2CAC016D"/>
    <w:rsid w:val="2D166326"/>
    <w:rsid w:val="2FE500E7"/>
    <w:rsid w:val="2FF4615F"/>
    <w:rsid w:val="326C0CA5"/>
    <w:rsid w:val="335B21E4"/>
    <w:rsid w:val="34F53693"/>
    <w:rsid w:val="35B654D7"/>
    <w:rsid w:val="3738501A"/>
    <w:rsid w:val="383A339F"/>
    <w:rsid w:val="39EB162B"/>
    <w:rsid w:val="39FD637B"/>
    <w:rsid w:val="3DD35929"/>
    <w:rsid w:val="3E8D3B5F"/>
    <w:rsid w:val="3EEF333B"/>
    <w:rsid w:val="3EF458F2"/>
    <w:rsid w:val="3F1475D7"/>
    <w:rsid w:val="41AB0268"/>
    <w:rsid w:val="41BC10BE"/>
    <w:rsid w:val="43645228"/>
    <w:rsid w:val="43A538C3"/>
    <w:rsid w:val="43E60433"/>
    <w:rsid w:val="46394F9E"/>
    <w:rsid w:val="48446AA0"/>
    <w:rsid w:val="496A6C34"/>
    <w:rsid w:val="4A633E34"/>
    <w:rsid w:val="4B645E12"/>
    <w:rsid w:val="507A4879"/>
    <w:rsid w:val="53FF7351"/>
    <w:rsid w:val="552D350C"/>
    <w:rsid w:val="5747195C"/>
    <w:rsid w:val="598A50F9"/>
    <w:rsid w:val="59BB14AD"/>
    <w:rsid w:val="5A2C05B1"/>
    <w:rsid w:val="5A686AC3"/>
    <w:rsid w:val="5DC91399"/>
    <w:rsid w:val="5EB43C37"/>
    <w:rsid w:val="5EF673A8"/>
    <w:rsid w:val="5F474C24"/>
    <w:rsid w:val="607D1C31"/>
    <w:rsid w:val="61422C71"/>
    <w:rsid w:val="64D811FC"/>
    <w:rsid w:val="65E263BF"/>
    <w:rsid w:val="66255F81"/>
    <w:rsid w:val="6627240A"/>
    <w:rsid w:val="66C90D33"/>
    <w:rsid w:val="675F6813"/>
    <w:rsid w:val="679B231C"/>
    <w:rsid w:val="684D7F02"/>
    <w:rsid w:val="6BA0576F"/>
    <w:rsid w:val="6C452E11"/>
    <w:rsid w:val="6C4B12D0"/>
    <w:rsid w:val="6C9C01FF"/>
    <w:rsid w:val="6DDA4C92"/>
    <w:rsid w:val="6F5114F1"/>
    <w:rsid w:val="70651EF6"/>
    <w:rsid w:val="719D2D25"/>
    <w:rsid w:val="71DC3EC6"/>
    <w:rsid w:val="74B44E65"/>
    <w:rsid w:val="769D02A6"/>
    <w:rsid w:val="78573FEF"/>
    <w:rsid w:val="78DC1397"/>
    <w:rsid w:val="78E36255"/>
    <w:rsid w:val="79004B1D"/>
    <w:rsid w:val="79254583"/>
    <w:rsid w:val="79335E1C"/>
    <w:rsid w:val="79AA250E"/>
    <w:rsid w:val="79B32431"/>
    <w:rsid w:val="7D4B7446"/>
    <w:rsid w:val="7D5B49AA"/>
    <w:rsid w:val="7D850D85"/>
    <w:rsid w:val="7E3529E9"/>
    <w:rsid w:val="7F1402ED"/>
    <w:rsid w:val="7F3455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link w:val="52"/>
    <w:qFormat/>
    <w:uiPriority w:val="9"/>
    <w:pPr>
      <w:spacing w:before="340" w:after="330" w:line="360" w:lineRule="auto"/>
      <w:jc w:val="center"/>
      <w:outlineLvl w:val="0"/>
    </w:pPr>
    <w:rPr>
      <w:rFonts w:eastAsia="黑体"/>
      <w:kern w:val="44"/>
      <w:szCs w:val="44"/>
    </w:rPr>
  </w:style>
  <w:style w:type="paragraph" w:styleId="5">
    <w:name w:val="heading 2"/>
    <w:basedOn w:val="1"/>
    <w:next w:val="1"/>
    <w:link w:val="53"/>
    <w:qFormat/>
    <w:uiPriority w:val="0"/>
    <w:pPr>
      <w:adjustRightInd w:val="0"/>
      <w:jc w:val="center"/>
      <w:textAlignment w:val="baseline"/>
      <w:outlineLvl w:val="1"/>
    </w:pPr>
    <w:rPr>
      <w:sz w:val="24"/>
      <w:szCs w:val="20"/>
    </w:rPr>
  </w:style>
  <w:style w:type="paragraph" w:styleId="3">
    <w:name w:val="heading 3"/>
    <w:basedOn w:val="4"/>
    <w:next w:val="1"/>
    <w:link w:val="61"/>
    <w:qFormat/>
    <w:uiPriority w:val="9"/>
    <w:pPr>
      <w:spacing w:before="260" w:after="260" w:line="240" w:lineRule="auto"/>
      <w:outlineLvl w:val="2"/>
    </w:pPr>
    <w:rPr>
      <w:rFonts w:ascii="宋体" w:hAnsi="宋体" w:eastAsia="宋体"/>
      <w:szCs w:val="32"/>
    </w:rPr>
  </w:style>
  <w:style w:type="paragraph" w:styleId="4">
    <w:name w:val="heading 4"/>
    <w:basedOn w:val="1"/>
    <w:next w:val="1"/>
    <w:link w:val="55"/>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7"/>
    <w:link w:val="56"/>
    <w:qFormat/>
    <w:uiPriority w:val="0"/>
    <w:pPr>
      <w:keepNext/>
      <w:keepLines/>
      <w:spacing w:before="280" w:after="290" w:line="376" w:lineRule="auto"/>
      <w:outlineLvl w:val="4"/>
    </w:pPr>
    <w:rPr>
      <w:rFonts w:ascii="Times New Roman" w:hAnsi="Times New Roman"/>
      <w:b/>
      <w:kern w:val="0"/>
      <w:sz w:val="28"/>
      <w:szCs w:val="20"/>
    </w:rPr>
  </w:style>
  <w:style w:type="paragraph" w:styleId="8">
    <w:name w:val="heading 6"/>
    <w:basedOn w:val="1"/>
    <w:next w:val="7"/>
    <w:link w:val="57"/>
    <w:qFormat/>
    <w:uiPriority w:val="0"/>
    <w:pPr>
      <w:keepNext/>
      <w:keepLines/>
      <w:spacing w:before="240" w:after="64" w:line="320" w:lineRule="auto"/>
      <w:outlineLvl w:val="5"/>
    </w:pPr>
    <w:rPr>
      <w:rFonts w:ascii="Arial" w:hAnsi="Arial" w:eastAsia="黑体"/>
      <w:b/>
      <w:kern w:val="0"/>
      <w:sz w:val="24"/>
      <w:szCs w:val="20"/>
    </w:rPr>
  </w:style>
  <w:style w:type="paragraph" w:styleId="9">
    <w:name w:val="heading 7"/>
    <w:basedOn w:val="1"/>
    <w:next w:val="7"/>
    <w:link w:val="58"/>
    <w:qFormat/>
    <w:uiPriority w:val="0"/>
    <w:pPr>
      <w:keepNext/>
      <w:keepLines/>
      <w:spacing w:before="240" w:after="64" w:line="320" w:lineRule="auto"/>
      <w:outlineLvl w:val="6"/>
    </w:pPr>
    <w:rPr>
      <w:rFonts w:ascii="Times New Roman" w:hAnsi="Times New Roman"/>
      <w:b/>
      <w:kern w:val="0"/>
      <w:sz w:val="24"/>
      <w:szCs w:val="20"/>
    </w:rPr>
  </w:style>
  <w:style w:type="paragraph" w:styleId="10">
    <w:name w:val="heading 8"/>
    <w:basedOn w:val="1"/>
    <w:next w:val="7"/>
    <w:link w:val="59"/>
    <w:qFormat/>
    <w:uiPriority w:val="0"/>
    <w:pPr>
      <w:keepNext/>
      <w:keepLines/>
      <w:spacing w:before="240" w:after="64" w:line="320" w:lineRule="auto"/>
      <w:outlineLvl w:val="7"/>
    </w:pPr>
    <w:rPr>
      <w:rFonts w:ascii="Arial" w:hAnsi="Arial" w:eastAsia="黑体"/>
      <w:kern w:val="0"/>
      <w:sz w:val="24"/>
      <w:szCs w:val="20"/>
    </w:rPr>
  </w:style>
  <w:style w:type="paragraph" w:styleId="11">
    <w:name w:val="heading 9"/>
    <w:basedOn w:val="1"/>
    <w:next w:val="7"/>
    <w:link w:val="60"/>
    <w:qFormat/>
    <w:uiPriority w:val="0"/>
    <w:pPr>
      <w:keepNext/>
      <w:keepLines/>
      <w:spacing w:before="240" w:after="64" w:line="320" w:lineRule="auto"/>
      <w:outlineLvl w:val="8"/>
    </w:pPr>
    <w:rPr>
      <w:rFonts w:ascii="Arial" w:hAnsi="Arial" w:eastAsia="黑体"/>
      <w:kern w:val="0"/>
      <w:sz w:val="20"/>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73"/>
    <w:qFormat/>
    <w:uiPriority w:val="0"/>
    <w:pPr>
      <w:ind w:firstLine="420"/>
    </w:pPr>
    <w:rPr>
      <w:rFonts w:ascii="Times New Roman" w:hAnsi="Times New Roman"/>
      <w:kern w:val="0"/>
      <w:sz w:val="20"/>
      <w:szCs w:val="20"/>
    </w:rPr>
  </w:style>
  <w:style w:type="paragraph" w:styleId="12">
    <w:name w:val="toc 7"/>
    <w:basedOn w:val="1"/>
    <w:next w:val="1"/>
    <w:semiHidden/>
    <w:qFormat/>
    <w:uiPriority w:val="0"/>
    <w:pPr>
      <w:ind w:left="1260"/>
      <w:jc w:val="left"/>
    </w:pPr>
    <w:rPr>
      <w:rFonts w:ascii="Times New Roman" w:hAnsi="Times New Roman"/>
      <w:szCs w:val="21"/>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tabs>
        <w:tab w:val="left" w:pos="360"/>
      </w:tabs>
      <w:ind w:left="360" w:hanging="360"/>
    </w:pPr>
    <w:rPr>
      <w:rFonts w:ascii="Times New Roman" w:hAnsi="Times New Roman"/>
      <w:szCs w:val="20"/>
    </w:rPr>
  </w:style>
  <w:style w:type="paragraph" w:styleId="15">
    <w:name w:val="Document Map"/>
    <w:basedOn w:val="1"/>
    <w:link w:val="113"/>
    <w:semiHidden/>
    <w:qFormat/>
    <w:uiPriority w:val="0"/>
    <w:pPr>
      <w:shd w:val="clear" w:color="auto" w:fill="000080"/>
    </w:pPr>
    <w:rPr>
      <w:rFonts w:ascii="Times New Roman" w:hAnsi="Times New Roman"/>
      <w:kern w:val="0"/>
      <w:sz w:val="20"/>
      <w:szCs w:val="24"/>
    </w:rPr>
  </w:style>
  <w:style w:type="paragraph" w:styleId="16">
    <w:name w:val="annotation text"/>
    <w:basedOn w:val="1"/>
    <w:link w:val="117"/>
    <w:qFormat/>
    <w:uiPriority w:val="0"/>
    <w:pPr>
      <w:autoSpaceDE w:val="0"/>
      <w:autoSpaceDN w:val="0"/>
      <w:adjustRightInd w:val="0"/>
      <w:jc w:val="left"/>
      <w:textAlignment w:val="baseline"/>
    </w:pPr>
    <w:rPr>
      <w:rFonts w:ascii="宋体" w:hAnsi="Times New Roman"/>
      <w:kern w:val="0"/>
      <w:sz w:val="34"/>
      <w:szCs w:val="20"/>
    </w:rPr>
  </w:style>
  <w:style w:type="paragraph" w:styleId="17">
    <w:name w:val="Body Text 3"/>
    <w:basedOn w:val="1"/>
    <w:link w:val="111"/>
    <w:qFormat/>
    <w:uiPriority w:val="0"/>
    <w:pPr>
      <w:spacing w:after="120"/>
    </w:pPr>
    <w:rPr>
      <w:rFonts w:ascii="Times New Roman" w:hAnsi="Times New Roman"/>
      <w:kern w:val="0"/>
      <w:sz w:val="16"/>
      <w:szCs w:val="16"/>
    </w:rPr>
  </w:style>
  <w:style w:type="paragraph" w:styleId="18">
    <w:name w:val="Body Text"/>
    <w:basedOn w:val="1"/>
    <w:next w:val="1"/>
    <w:link w:val="115"/>
    <w:qFormat/>
    <w:uiPriority w:val="0"/>
    <w:pPr>
      <w:spacing w:line="360" w:lineRule="auto"/>
    </w:pPr>
    <w:rPr>
      <w:rFonts w:ascii="Times New Roman" w:hAnsi="Times New Roman"/>
      <w:b/>
      <w:bCs/>
      <w:kern w:val="0"/>
      <w:sz w:val="24"/>
      <w:szCs w:val="24"/>
    </w:rPr>
  </w:style>
  <w:style w:type="paragraph" w:styleId="19">
    <w:name w:val="Body Text Indent"/>
    <w:basedOn w:val="1"/>
    <w:link w:val="116"/>
    <w:qFormat/>
    <w:uiPriority w:val="0"/>
    <w:pPr>
      <w:spacing w:line="360" w:lineRule="auto"/>
      <w:ind w:firstLine="420" w:firstLineChars="200"/>
    </w:pPr>
    <w:rPr>
      <w:rFonts w:ascii="Times New Roman" w:hAnsi="Times New Roman"/>
      <w:kern w:val="0"/>
      <w:sz w:val="20"/>
      <w:szCs w:val="24"/>
    </w:rPr>
  </w:style>
  <w:style w:type="paragraph" w:styleId="20">
    <w:name w:val="toc 5"/>
    <w:basedOn w:val="1"/>
    <w:next w:val="1"/>
    <w:semiHidden/>
    <w:qFormat/>
    <w:uiPriority w:val="0"/>
    <w:pPr>
      <w:ind w:left="840"/>
      <w:jc w:val="left"/>
    </w:pPr>
    <w:rPr>
      <w:rFonts w:ascii="Times New Roman" w:hAnsi="Times New Roman"/>
      <w:szCs w:val="21"/>
    </w:rPr>
  </w:style>
  <w:style w:type="paragraph" w:styleId="21">
    <w:name w:val="toc 3"/>
    <w:basedOn w:val="1"/>
    <w:next w:val="1"/>
    <w:semiHidden/>
    <w:qFormat/>
    <w:uiPriority w:val="0"/>
    <w:pPr>
      <w:ind w:left="420"/>
      <w:jc w:val="left"/>
    </w:pPr>
    <w:rPr>
      <w:rFonts w:ascii="Times New Roman" w:hAnsi="Times New Roman"/>
      <w:i/>
      <w:iCs/>
      <w:szCs w:val="24"/>
    </w:rPr>
  </w:style>
  <w:style w:type="paragraph" w:styleId="22">
    <w:name w:val="Plain Text"/>
    <w:basedOn w:val="1"/>
    <w:link w:val="112"/>
    <w:qFormat/>
    <w:uiPriority w:val="0"/>
    <w:rPr>
      <w:rFonts w:ascii="宋体" w:hAnsi="Courier New"/>
      <w:kern w:val="0"/>
      <w:sz w:val="20"/>
      <w:szCs w:val="20"/>
    </w:rPr>
  </w:style>
  <w:style w:type="paragraph" w:styleId="23">
    <w:name w:val="toc 8"/>
    <w:basedOn w:val="1"/>
    <w:next w:val="1"/>
    <w:semiHidden/>
    <w:qFormat/>
    <w:uiPriority w:val="0"/>
    <w:pPr>
      <w:ind w:left="1470"/>
      <w:jc w:val="left"/>
    </w:pPr>
    <w:rPr>
      <w:rFonts w:ascii="Times New Roman" w:hAnsi="Times New Roman"/>
      <w:szCs w:val="21"/>
    </w:rPr>
  </w:style>
  <w:style w:type="paragraph" w:styleId="24">
    <w:name w:val="Date"/>
    <w:basedOn w:val="1"/>
    <w:next w:val="1"/>
    <w:link w:val="114"/>
    <w:qFormat/>
    <w:uiPriority w:val="0"/>
    <w:rPr>
      <w:rFonts w:ascii="宋体" w:hAnsi="Courier New"/>
      <w:kern w:val="0"/>
      <w:sz w:val="32"/>
      <w:szCs w:val="20"/>
    </w:rPr>
  </w:style>
  <w:style w:type="paragraph" w:styleId="25">
    <w:name w:val="Body Text Indent 2"/>
    <w:basedOn w:val="1"/>
    <w:link w:val="119"/>
    <w:qFormat/>
    <w:uiPriority w:val="0"/>
    <w:pPr>
      <w:spacing w:beforeLines="50" w:afterLines="50" w:line="120" w:lineRule="auto"/>
      <w:ind w:firstLine="840" w:firstLineChars="400"/>
      <w:jc w:val="left"/>
    </w:pPr>
    <w:rPr>
      <w:rFonts w:ascii="宋体" w:hAnsi="宋体"/>
      <w:kern w:val="0"/>
      <w:sz w:val="20"/>
      <w:szCs w:val="24"/>
    </w:rPr>
  </w:style>
  <w:style w:type="paragraph" w:styleId="26">
    <w:name w:val="Balloon Text"/>
    <w:basedOn w:val="1"/>
    <w:link w:val="121"/>
    <w:qFormat/>
    <w:uiPriority w:val="99"/>
    <w:rPr>
      <w:rFonts w:ascii="Times New Roman" w:hAnsi="Times New Roman"/>
      <w:kern w:val="0"/>
      <w:sz w:val="18"/>
      <w:szCs w:val="18"/>
    </w:rPr>
  </w:style>
  <w:style w:type="paragraph" w:styleId="27">
    <w:name w:val="footer"/>
    <w:basedOn w:val="1"/>
    <w:link w:val="51"/>
    <w:unhideWhenUsed/>
    <w:qFormat/>
    <w:uiPriority w:val="99"/>
    <w:pPr>
      <w:tabs>
        <w:tab w:val="center" w:pos="4153"/>
        <w:tab w:val="right" w:pos="8306"/>
      </w:tabs>
      <w:snapToGrid w:val="0"/>
      <w:jc w:val="left"/>
    </w:pPr>
    <w:rPr>
      <w:sz w:val="18"/>
      <w:szCs w:val="18"/>
    </w:rPr>
  </w:style>
  <w:style w:type="paragraph" w:styleId="28">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0"/>
    <w:pPr>
      <w:spacing w:before="120" w:after="120"/>
      <w:jc w:val="left"/>
    </w:pPr>
    <w:rPr>
      <w:rFonts w:ascii="Times New Roman" w:hAnsi="Times New Roman"/>
      <w:b/>
      <w:bCs/>
      <w:caps/>
      <w:szCs w:val="24"/>
    </w:rPr>
  </w:style>
  <w:style w:type="paragraph" w:styleId="30">
    <w:name w:val="toc 4"/>
    <w:basedOn w:val="1"/>
    <w:next w:val="1"/>
    <w:semiHidden/>
    <w:qFormat/>
    <w:uiPriority w:val="0"/>
    <w:pPr>
      <w:ind w:left="630"/>
      <w:jc w:val="left"/>
    </w:pPr>
    <w:rPr>
      <w:rFonts w:ascii="Times New Roman" w:hAnsi="Times New Roman"/>
      <w:szCs w:val="21"/>
    </w:rPr>
  </w:style>
  <w:style w:type="paragraph" w:styleId="31">
    <w:name w:val="toc 6"/>
    <w:basedOn w:val="1"/>
    <w:next w:val="1"/>
    <w:semiHidden/>
    <w:qFormat/>
    <w:uiPriority w:val="0"/>
    <w:pPr>
      <w:ind w:left="1050"/>
      <w:jc w:val="left"/>
    </w:pPr>
    <w:rPr>
      <w:rFonts w:ascii="Times New Roman" w:hAnsi="Times New Roman"/>
      <w:szCs w:val="21"/>
    </w:rPr>
  </w:style>
  <w:style w:type="paragraph" w:styleId="32">
    <w:name w:val="Body Text Indent 3"/>
    <w:basedOn w:val="1"/>
    <w:link w:val="122"/>
    <w:qFormat/>
    <w:uiPriority w:val="0"/>
    <w:pPr>
      <w:spacing w:line="360" w:lineRule="auto"/>
      <w:ind w:firstLine="482" w:firstLineChars="200"/>
    </w:pPr>
    <w:rPr>
      <w:rFonts w:ascii="宋体" w:hAnsi="Times New Roman"/>
      <w:b/>
      <w:bCs/>
      <w:kern w:val="0"/>
      <w:sz w:val="24"/>
      <w:szCs w:val="24"/>
    </w:rPr>
  </w:style>
  <w:style w:type="paragraph" w:styleId="33">
    <w:name w:val="toc 2"/>
    <w:basedOn w:val="1"/>
    <w:next w:val="1"/>
    <w:qFormat/>
    <w:uiPriority w:val="0"/>
    <w:pPr>
      <w:tabs>
        <w:tab w:val="right" w:leader="dot" w:pos="8296"/>
      </w:tabs>
      <w:ind w:left="210"/>
      <w:jc w:val="left"/>
    </w:pPr>
    <w:rPr>
      <w:rFonts w:ascii="Times New Roman" w:hAnsi="Times New Roman"/>
      <w:smallCaps/>
      <w:szCs w:val="24"/>
    </w:rPr>
  </w:style>
  <w:style w:type="paragraph" w:styleId="34">
    <w:name w:val="toc 9"/>
    <w:basedOn w:val="1"/>
    <w:next w:val="1"/>
    <w:semiHidden/>
    <w:qFormat/>
    <w:uiPriority w:val="0"/>
    <w:pPr>
      <w:ind w:left="1680"/>
      <w:jc w:val="left"/>
    </w:pPr>
    <w:rPr>
      <w:rFonts w:ascii="Times New Roman" w:hAnsi="Times New Roman"/>
      <w:szCs w:val="21"/>
    </w:rPr>
  </w:style>
  <w:style w:type="paragraph" w:styleId="35">
    <w:name w:val="Body Text 2"/>
    <w:basedOn w:val="1"/>
    <w:link w:val="120"/>
    <w:qFormat/>
    <w:uiPriority w:val="0"/>
    <w:pPr>
      <w:spacing w:line="360" w:lineRule="auto"/>
    </w:pPr>
    <w:rPr>
      <w:rFonts w:ascii="Times New Roman" w:hAnsi="Times New Roman"/>
      <w:kern w:val="0"/>
      <w:sz w:val="24"/>
      <w:szCs w:val="24"/>
    </w:rPr>
  </w:style>
  <w:style w:type="paragraph" w:styleId="36">
    <w:name w:val="HTML Preformatted"/>
    <w:basedOn w:val="1"/>
    <w:link w:val="1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szCs w:val="24"/>
    </w:rPr>
  </w:style>
  <w:style w:type="paragraph" w:styleId="39">
    <w:name w:val="Title"/>
    <w:basedOn w:val="1"/>
    <w:link w:val="123"/>
    <w:qFormat/>
    <w:uiPriority w:val="0"/>
    <w:pPr>
      <w:spacing w:before="240" w:after="60"/>
      <w:jc w:val="center"/>
      <w:outlineLvl w:val="0"/>
    </w:pPr>
    <w:rPr>
      <w:rFonts w:ascii="Arial" w:hAnsi="Arial" w:eastAsia="隶书"/>
      <w:b/>
      <w:bCs/>
      <w:kern w:val="0"/>
      <w:sz w:val="32"/>
      <w:szCs w:val="32"/>
    </w:rPr>
  </w:style>
  <w:style w:type="paragraph" w:styleId="40">
    <w:name w:val="annotation subject"/>
    <w:basedOn w:val="16"/>
    <w:next w:val="16"/>
    <w:link w:val="124"/>
    <w:qFormat/>
    <w:uiPriority w:val="99"/>
    <w:pPr>
      <w:autoSpaceDE/>
      <w:autoSpaceDN/>
      <w:adjustRightInd/>
      <w:textAlignment w:val="auto"/>
    </w:pPr>
    <w:rPr>
      <w:rFonts w:ascii="Times New Roman"/>
      <w:b/>
      <w:bCs/>
      <w:szCs w:val="24"/>
    </w:rPr>
  </w:style>
  <w:style w:type="paragraph" w:styleId="41">
    <w:name w:val="Body Text First Indent"/>
    <w:basedOn w:val="18"/>
    <w:link w:val="125"/>
    <w:qFormat/>
    <w:uiPriority w:val="0"/>
    <w:pPr>
      <w:spacing w:after="120" w:line="240" w:lineRule="auto"/>
      <w:ind w:firstLine="420" w:firstLineChars="100"/>
    </w:pPr>
    <w:rPr>
      <w:sz w:val="20"/>
    </w:rPr>
  </w:style>
  <w:style w:type="table" w:styleId="43">
    <w:name w:val="Table Grid"/>
    <w:basedOn w:val="4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22"/>
    <w:rPr>
      <w:b/>
      <w:bCs/>
    </w:rPr>
  </w:style>
  <w:style w:type="character" w:styleId="46">
    <w:name w:val="page number"/>
    <w:basedOn w:val="44"/>
    <w:qFormat/>
    <w:uiPriority w:val="0"/>
  </w:style>
  <w:style w:type="character" w:styleId="47">
    <w:name w:val="FollowedHyperlink"/>
    <w:basedOn w:val="44"/>
    <w:unhideWhenUsed/>
    <w:qFormat/>
    <w:uiPriority w:val="99"/>
    <w:rPr>
      <w:color w:val="800080"/>
      <w:u w:val="single"/>
    </w:rPr>
  </w:style>
  <w:style w:type="character" w:styleId="48">
    <w:name w:val="Hyperlink"/>
    <w:basedOn w:val="44"/>
    <w:qFormat/>
    <w:uiPriority w:val="0"/>
    <w:rPr>
      <w:color w:val="0000FF"/>
      <w:u w:val="single"/>
    </w:rPr>
  </w:style>
  <w:style w:type="character" w:styleId="49">
    <w:name w:val="annotation reference"/>
    <w:qFormat/>
    <w:uiPriority w:val="0"/>
    <w:rPr>
      <w:sz w:val="21"/>
      <w:szCs w:val="21"/>
    </w:rPr>
  </w:style>
  <w:style w:type="character" w:customStyle="1" w:styleId="50">
    <w:name w:val="页眉 Char"/>
    <w:basedOn w:val="44"/>
    <w:link w:val="28"/>
    <w:qFormat/>
    <w:uiPriority w:val="99"/>
    <w:rPr>
      <w:sz w:val="18"/>
      <w:szCs w:val="18"/>
    </w:rPr>
  </w:style>
  <w:style w:type="character" w:customStyle="1" w:styleId="51">
    <w:name w:val="页脚 Char"/>
    <w:basedOn w:val="44"/>
    <w:link w:val="27"/>
    <w:qFormat/>
    <w:uiPriority w:val="99"/>
    <w:rPr>
      <w:sz w:val="18"/>
      <w:szCs w:val="18"/>
    </w:rPr>
  </w:style>
  <w:style w:type="character" w:customStyle="1" w:styleId="52">
    <w:name w:val="标题 1 Char"/>
    <w:basedOn w:val="44"/>
    <w:link w:val="2"/>
    <w:qFormat/>
    <w:uiPriority w:val="9"/>
    <w:rPr>
      <w:rFonts w:ascii="宋体" w:hAnsi="宋体" w:eastAsia="黑体" w:cs="Times New Roman"/>
      <w:b/>
      <w:bCs/>
      <w:kern w:val="44"/>
      <w:sz w:val="28"/>
      <w:szCs w:val="44"/>
    </w:rPr>
  </w:style>
  <w:style w:type="character" w:customStyle="1" w:styleId="53">
    <w:name w:val="标题 2 Char"/>
    <w:basedOn w:val="44"/>
    <w:link w:val="5"/>
    <w:qFormat/>
    <w:uiPriority w:val="0"/>
    <w:rPr>
      <w:rFonts w:ascii="宋体" w:hAnsi="宋体" w:eastAsia="宋体" w:cs="Times New Roman"/>
      <w:b/>
      <w:bCs/>
      <w:kern w:val="0"/>
      <w:sz w:val="24"/>
      <w:szCs w:val="20"/>
    </w:rPr>
  </w:style>
  <w:style w:type="character" w:customStyle="1" w:styleId="54">
    <w:name w:val="标题 3 Char"/>
    <w:basedOn w:val="44"/>
    <w:link w:val="3"/>
    <w:qFormat/>
    <w:uiPriority w:val="9"/>
    <w:rPr>
      <w:rFonts w:ascii="Calibri" w:hAnsi="Calibri" w:eastAsia="宋体" w:cs="Times New Roman"/>
      <w:b/>
      <w:bCs/>
      <w:sz w:val="32"/>
      <w:szCs w:val="32"/>
    </w:rPr>
  </w:style>
  <w:style w:type="character" w:customStyle="1" w:styleId="55">
    <w:name w:val="标题 4 Char"/>
    <w:basedOn w:val="44"/>
    <w:link w:val="4"/>
    <w:qFormat/>
    <w:uiPriority w:val="0"/>
    <w:rPr>
      <w:rFonts w:ascii="Arial" w:hAnsi="Arial" w:eastAsia="黑体" w:cs="Times New Roman"/>
      <w:b/>
      <w:bCs/>
      <w:kern w:val="0"/>
      <w:sz w:val="28"/>
      <w:szCs w:val="28"/>
    </w:rPr>
  </w:style>
  <w:style w:type="character" w:customStyle="1" w:styleId="56">
    <w:name w:val="标题 5 Char"/>
    <w:basedOn w:val="44"/>
    <w:link w:val="6"/>
    <w:qFormat/>
    <w:uiPriority w:val="0"/>
    <w:rPr>
      <w:rFonts w:ascii="Times New Roman" w:hAnsi="Times New Roman" w:eastAsia="宋体" w:cs="Times New Roman"/>
      <w:b/>
      <w:kern w:val="0"/>
      <w:sz w:val="28"/>
      <w:szCs w:val="20"/>
    </w:rPr>
  </w:style>
  <w:style w:type="character" w:customStyle="1" w:styleId="57">
    <w:name w:val="标题 6 Char"/>
    <w:basedOn w:val="44"/>
    <w:link w:val="8"/>
    <w:qFormat/>
    <w:uiPriority w:val="0"/>
    <w:rPr>
      <w:rFonts w:ascii="Arial" w:hAnsi="Arial" w:eastAsia="黑体" w:cs="Times New Roman"/>
      <w:b/>
      <w:kern w:val="0"/>
      <w:sz w:val="24"/>
      <w:szCs w:val="20"/>
    </w:rPr>
  </w:style>
  <w:style w:type="character" w:customStyle="1" w:styleId="58">
    <w:name w:val="标题 7 Char"/>
    <w:basedOn w:val="44"/>
    <w:link w:val="9"/>
    <w:qFormat/>
    <w:uiPriority w:val="0"/>
    <w:rPr>
      <w:rFonts w:ascii="Times New Roman" w:hAnsi="Times New Roman" w:eastAsia="宋体" w:cs="Times New Roman"/>
      <w:b/>
      <w:kern w:val="0"/>
      <w:sz w:val="24"/>
      <w:szCs w:val="20"/>
    </w:rPr>
  </w:style>
  <w:style w:type="character" w:customStyle="1" w:styleId="59">
    <w:name w:val="标题 8 Char"/>
    <w:basedOn w:val="44"/>
    <w:link w:val="10"/>
    <w:qFormat/>
    <w:uiPriority w:val="0"/>
    <w:rPr>
      <w:rFonts w:ascii="Arial" w:hAnsi="Arial" w:eastAsia="黑体" w:cs="Times New Roman"/>
      <w:kern w:val="0"/>
      <w:sz w:val="24"/>
      <w:szCs w:val="20"/>
    </w:rPr>
  </w:style>
  <w:style w:type="character" w:customStyle="1" w:styleId="60">
    <w:name w:val="标题 9 Char"/>
    <w:basedOn w:val="44"/>
    <w:link w:val="11"/>
    <w:qFormat/>
    <w:uiPriority w:val="0"/>
    <w:rPr>
      <w:rFonts w:ascii="Arial" w:hAnsi="Arial" w:eastAsia="黑体" w:cs="Times New Roman"/>
      <w:kern w:val="0"/>
      <w:sz w:val="20"/>
      <w:szCs w:val="20"/>
    </w:rPr>
  </w:style>
  <w:style w:type="character" w:customStyle="1" w:styleId="61">
    <w:name w:val="标题 3 Char1"/>
    <w:link w:val="3"/>
    <w:qFormat/>
    <w:uiPriority w:val="0"/>
    <w:rPr>
      <w:rFonts w:ascii="宋体" w:hAnsi="宋体" w:eastAsia="宋体" w:cs="Times New Roman"/>
      <w:b/>
      <w:bCs/>
      <w:kern w:val="0"/>
      <w:sz w:val="28"/>
      <w:szCs w:val="32"/>
    </w:rPr>
  </w:style>
  <w:style w:type="character" w:customStyle="1" w:styleId="62">
    <w:name w:val="--规划正文 Char Char"/>
    <w:qFormat/>
    <w:uiPriority w:val="0"/>
    <w:rPr>
      <w:rFonts w:eastAsia="宋体"/>
      <w:kern w:val="2"/>
      <w:sz w:val="24"/>
      <w:szCs w:val="24"/>
      <w:lang w:val="en-US" w:eastAsia="zh-CN" w:bidi="ar-SA"/>
    </w:rPr>
  </w:style>
  <w:style w:type="character" w:customStyle="1" w:styleId="63">
    <w:name w:val="grame"/>
    <w:basedOn w:val="44"/>
    <w:qFormat/>
    <w:uiPriority w:val="0"/>
  </w:style>
  <w:style w:type="character" w:customStyle="1" w:styleId="64">
    <w:name w:val="font"/>
    <w:basedOn w:val="44"/>
    <w:qFormat/>
    <w:uiPriority w:val="0"/>
  </w:style>
  <w:style w:type="character" w:customStyle="1" w:styleId="65">
    <w:name w:val="font2"/>
    <w:basedOn w:val="44"/>
    <w:qFormat/>
    <w:uiPriority w:val="0"/>
  </w:style>
  <w:style w:type="character" w:customStyle="1" w:styleId="66">
    <w:name w:val="unnamed4"/>
    <w:basedOn w:val="44"/>
    <w:qFormat/>
    <w:uiPriority w:val="0"/>
  </w:style>
  <w:style w:type="character" w:customStyle="1" w:styleId="67">
    <w:name w:val="样式 小三 加粗"/>
    <w:qFormat/>
    <w:uiPriority w:val="0"/>
    <w:rPr>
      <w:rFonts w:eastAsia="宋体"/>
      <w:b/>
      <w:bCs/>
      <w:sz w:val="32"/>
    </w:rPr>
  </w:style>
  <w:style w:type="character" w:customStyle="1" w:styleId="68">
    <w:name w:val="z-窗体顶端 Char"/>
    <w:basedOn w:val="44"/>
    <w:qFormat/>
    <w:uiPriority w:val="0"/>
    <w:rPr>
      <w:rFonts w:ascii="Arial" w:hAnsi="Arial" w:eastAsia="宋体" w:cs="Times New Roman"/>
      <w:vanish/>
      <w:kern w:val="0"/>
      <w:sz w:val="16"/>
      <w:szCs w:val="16"/>
      <w:lang w:val="en-US" w:eastAsia="zh-CN"/>
    </w:rPr>
  </w:style>
  <w:style w:type="paragraph" w:customStyle="1" w:styleId="69">
    <w:name w:val="z-窗体顶端1"/>
    <w:basedOn w:val="1"/>
    <w:next w:val="1"/>
    <w:link w:val="179"/>
    <w:qFormat/>
    <w:uiPriority w:val="0"/>
    <w:pPr>
      <w:widowControl/>
      <w:pBdr>
        <w:bottom w:val="single" w:color="auto" w:sz="6" w:space="1"/>
      </w:pBdr>
      <w:jc w:val="center"/>
    </w:pPr>
    <w:rPr>
      <w:rFonts w:ascii="Arial" w:hAnsi="Arial"/>
      <w:vanish/>
      <w:kern w:val="0"/>
      <w:sz w:val="16"/>
      <w:szCs w:val="16"/>
    </w:rPr>
  </w:style>
  <w:style w:type="character" w:customStyle="1" w:styleId="70">
    <w:name w:val="批注文字 Char"/>
    <w:basedOn w:val="44"/>
    <w:link w:val="16"/>
    <w:qFormat/>
    <w:uiPriority w:val="0"/>
    <w:rPr>
      <w:rFonts w:ascii="宋体" w:hAnsi="Times New Roman" w:eastAsia="宋体" w:cs="Times New Roman"/>
      <w:kern w:val="0"/>
      <w:sz w:val="34"/>
      <w:szCs w:val="20"/>
    </w:rPr>
  </w:style>
  <w:style w:type="character" w:customStyle="1" w:styleId="71">
    <w:name w:val="标题 Char"/>
    <w:basedOn w:val="44"/>
    <w:link w:val="39"/>
    <w:qFormat/>
    <w:uiPriority w:val="0"/>
    <w:rPr>
      <w:rFonts w:ascii="Arial" w:hAnsi="Arial" w:eastAsia="隶书" w:cs="Times New Roman"/>
      <w:b/>
      <w:bCs/>
      <w:kern w:val="0"/>
      <w:sz w:val="32"/>
      <w:szCs w:val="32"/>
    </w:rPr>
  </w:style>
  <w:style w:type="character" w:customStyle="1" w:styleId="72">
    <w:name w:val="正文文本 Char"/>
    <w:basedOn w:val="44"/>
    <w:semiHidden/>
    <w:qFormat/>
    <w:uiPriority w:val="99"/>
    <w:rPr>
      <w:rFonts w:ascii="Calibri" w:hAnsi="Calibri" w:eastAsia="宋体" w:cs="Times New Roman"/>
    </w:rPr>
  </w:style>
  <w:style w:type="character" w:customStyle="1" w:styleId="73">
    <w:name w:val="正文缩进 Char"/>
    <w:link w:val="7"/>
    <w:qFormat/>
    <w:uiPriority w:val="0"/>
    <w:rPr>
      <w:rFonts w:ascii="Times New Roman" w:hAnsi="Times New Roman" w:eastAsia="宋体" w:cs="Times New Roman"/>
      <w:kern w:val="0"/>
      <w:sz w:val="20"/>
      <w:szCs w:val="20"/>
    </w:rPr>
  </w:style>
  <w:style w:type="character" w:customStyle="1" w:styleId="74">
    <w:name w:val="日期 Char"/>
    <w:basedOn w:val="44"/>
    <w:link w:val="24"/>
    <w:qFormat/>
    <w:uiPriority w:val="0"/>
    <w:rPr>
      <w:rFonts w:ascii="宋体" w:hAnsi="Courier New" w:eastAsia="宋体" w:cs="Times New Roman"/>
      <w:kern w:val="0"/>
      <w:sz w:val="32"/>
      <w:szCs w:val="20"/>
    </w:rPr>
  </w:style>
  <w:style w:type="character" w:customStyle="1" w:styleId="75">
    <w:name w:val="正文文字首行缩进 Char"/>
    <w:qFormat/>
    <w:uiPriority w:val="0"/>
    <w:rPr>
      <w:kern w:val="2"/>
      <w:sz w:val="21"/>
      <w:szCs w:val="24"/>
    </w:rPr>
  </w:style>
  <w:style w:type="character" w:customStyle="1" w:styleId="76">
    <w:name w:val="unnamed3"/>
    <w:basedOn w:val="44"/>
    <w:qFormat/>
    <w:uiPriority w:val="0"/>
  </w:style>
  <w:style w:type="character" w:customStyle="1" w:styleId="77">
    <w:name w:val="批注主题 Char"/>
    <w:basedOn w:val="70"/>
    <w:link w:val="40"/>
    <w:qFormat/>
    <w:uiPriority w:val="99"/>
    <w:rPr>
      <w:rFonts w:ascii="Times New Roman"/>
      <w:b/>
      <w:bCs/>
      <w:szCs w:val="24"/>
    </w:rPr>
  </w:style>
  <w:style w:type="character" w:customStyle="1" w:styleId="78">
    <w:name w:val="gray6"/>
    <w:basedOn w:val="44"/>
    <w:qFormat/>
    <w:uiPriority w:val="0"/>
  </w:style>
  <w:style w:type="character" w:customStyle="1" w:styleId="79">
    <w:name w:val="纯文本 Char"/>
    <w:basedOn w:val="44"/>
    <w:link w:val="22"/>
    <w:qFormat/>
    <w:uiPriority w:val="0"/>
    <w:rPr>
      <w:rFonts w:ascii="宋体" w:hAnsi="Courier New" w:eastAsia="宋体" w:cs="Times New Roman"/>
      <w:kern w:val="0"/>
      <w:sz w:val="20"/>
      <w:szCs w:val="20"/>
    </w:rPr>
  </w:style>
  <w:style w:type="character" w:customStyle="1" w:styleId="80">
    <w:name w:val="正文文本缩进 Char"/>
    <w:basedOn w:val="44"/>
    <w:link w:val="19"/>
    <w:qFormat/>
    <w:uiPriority w:val="0"/>
    <w:rPr>
      <w:rFonts w:ascii="Times New Roman" w:hAnsi="Times New Roman" w:eastAsia="宋体" w:cs="Times New Roman"/>
      <w:kern w:val="0"/>
      <w:sz w:val="20"/>
      <w:szCs w:val="24"/>
    </w:rPr>
  </w:style>
  <w:style w:type="character" w:customStyle="1" w:styleId="81">
    <w:name w:val="正文文本 2 Char"/>
    <w:basedOn w:val="44"/>
    <w:link w:val="35"/>
    <w:qFormat/>
    <w:uiPriority w:val="0"/>
    <w:rPr>
      <w:rFonts w:ascii="Times New Roman" w:hAnsi="Times New Roman" w:eastAsia="宋体" w:cs="Times New Roman"/>
      <w:kern w:val="0"/>
      <w:sz w:val="24"/>
      <w:szCs w:val="24"/>
    </w:rPr>
  </w:style>
  <w:style w:type="character" w:customStyle="1" w:styleId="82">
    <w:name w:val="标题 3 Char Char"/>
    <w:qFormat/>
    <w:uiPriority w:val="0"/>
    <w:rPr>
      <w:rFonts w:eastAsia="宋体"/>
      <w:b/>
      <w:bCs/>
      <w:kern w:val="2"/>
      <w:sz w:val="32"/>
      <w:szCs w:val="32"/>
      <w:lang w:val="en-US" w:eastAsia="zh-CN" w:bidi="ar-SA"/>
    </w:rPr>
  </w:style>
  <w:style w:type="character" w:customStyle="1" w:styleId="83">
    <w:name w:val="--规划正文 Char1"/>
    <w:qFormat/>
    <w:uiPriority w:val="0"/>
    <w:rPr>
      <w:rFonts w:eastAsia="宋体"/>
      <w:kern w:val="2"/>
      <w:sz w:val="21"/>
      <w:lang w:val="en-US" w:eastAsia="zh-CN" w:bidi="ar-SA"/>
    </w:rPr>
  </w:style>
  <w:style w:type="character" w:customStyle="1" w:styleId="84">
    <w:name w:val="正文首行缩进 Char"/>
    <w:basedOn w:val="72"/>
    <w:link w:val="41"/>
    <w:qFormat/>
    <w:uiPriority w:val="0"/>
    <w:rPr>
      <w:rFonts w:ascii="Times New Roman" w:hAnsi="Times New Roman"/>
      <w:b/>
      <w:bCs/>
      <w:kern w:val="0"/>
      <w:sz w:val="20"/>
      <w:szCs w:val="24"/>
      <w:lang w:val="en-US" w:eastAsia="zh-CN"/>
    </w:rPr>
  </w:style>
  <w:style w:type="character" w:customStyle="1" w:styleId="85">
    <w:name w:val="z-窗体底端 Char"/>
    <w:basedOn w:val="44"/>
    <w:qFormat/>
    <w:uiPriority w:val="0"/>
    <w:rPr>
      <w:rFonts w:ascii="Arial" w:hAnsi="Arial" w:eastAsia="宋体" w:cs="Times New Roman"/>
      <w:vanish/>
      <w:kern w:val="0"/>
      <w:sz w:val="16"/>
      <w:szCs w:val="16"/>
      <w:lang w:val="en-US" w:eastAsia="zh-CN"/>
    </w:rPr>
  </w:style>
  <w:style w:type="paragraph" w:customStyle="1" w:styleId="86">
    <w:name w:val="z-窗体底端1"/>
    <w:basedOn w:val="1"/>
    <w:next w:val="1"/>
    <w:link w:val="199"/>
    <w:qFormat/>
    <w:uiPriority w:val="0"/>
    <w:pPr>
      <w:widowControl/>
      <w:pBdr>
        <w:top w:val="single" w:color="auto" w:sz="6" w:space="1"/>
      </w:pBdr>
      <w:jc w:val="center"/>
    </w:pPr>
    <w:rPr>
      <w:rFonts w:ascii="Arial" w:hAnsi="Arial"/>
      <w:vanish/>
      <w:kern w:val="0"/>
      <w:sz w:val="16"/>
      <w:szCs w:val="16"/>
    </w:rPr>
  </w:style>
  <w:style w:type="character" w:customStyle="1" w:styleId="87">
    <w:name w:val="HTML 预设格式 Char"/>
    <w:basedOn w:val="44"/>
    <w:link w:val="36"/>
    <w:qFormat/>
    <w:uiPriority w:val="0"/>
    <w:rPr>
      <w:rFonts w:ascii="Arial Unicode MS" w:hAnsi="Arial Unicode MS" w:eastAsia="Arial Unicode MS" w:cs="Times New Roman"/>
      <w:color w:val="000000"/>
      <w:kern w:val="0"/>
      <w:sz w:val="20"/>
      <w:szCs w:val="20"/>
    </w:rPr>
  </w:style>
  <w:style w:type="character" w:customStyle="1" w:styleId="88">
    <w:name w:val="H4 Char2"/>
    <w:qFormat/>
    <w:uiPriority w:val="0"/>
    <w:rPr>
      <w:rFonts w:ascii="Arial" w:hAnsi="Arial" w:eastAsia="黑体"/>
      <w:b/>
      <w:bCs/>
      <w:kern w:val="2"/>
      <w:sz w:val="28"/>
      <w:szCs w:val="28"/>
      <w:lang w:val="en-US" w:eastAsia="zh-CN" w:bidi="ar-SA"/>
    </w:rPr>
  </w:style>
  <w:style w:type="character" w:customStyle="1" w:styleId="89">
    <w:name w:val="正文文本 Char1"/>
    <w:link w:val="18"/>
    <w:qFormat/>
    <w:uiPriority w:val="0"/>
    <w:rPr>
      <w:rFonts w:ascii="Times New Roman" w:hAnsi="Times New Roman" w:eastAsia="宋体" w:cs="Times New Roman"/>
      <w:b/>
      <w:bCs/>
      <w:kern w:val="0"/>
      <w:sz w:val="24"/>
      <w:szCs w:val="24"/>
    </w:rPr>
  </w:style>
  <w:style w:type="character" w:customStyle="1" w:styleId="90">
    <w:name w:val="body text Char1"/>
    <w:qFormat/>
    <w:uiPriority w:val="0"/>
    <w:rPr>
      <w:rFonts w:eastAsia="宋体"/>
      <w:kern w:val="2"/>
      <w:sz w:val="21"/>
      <w:lang w:val="en-US" w:eastAsia="zh-CN" w:bidi="ar-SA"/>
    </w:rPr>
  </w:style>
  <w:style w:type="character" w:customStyle="1" w:styleId="91">
    <w:name w:val="文档结构图 Char"/>
    <w:basedOn w:val="44"/>
    <w:link w:val="15"/>
    <w:semiHidden/>
    <w:qFormat/>
    <w:uiPriority w:val="0"/>
    <w:rPr>
      <w:rFonts w:ascii="Times New Roman" w:hAnsi="Times New Roman" w:eastAsia="宋体" w:cs="Times New Roman"/>
      <w:kern w:val="0"/>
      <w:sz w:val="20"/>
      <w:szCs w:val="24"/>
      <w:shd w:val="clear" w:color="auto" w:fill="000080"/>
    </w:rPr>
  </w:style>
  <w:style w:type="character" w:customStyle="1" w:styleId="92">
    <w:name w:val="正文文本 3 Char"/>
    <w:basedOn w:val="44"/>
    <w:link w:val="17"/>
    <w:qFormat/>
    <w:uiPriority w:val="0"/>
    <w:rPr>
      <w:rFonts w:ascii="Times New Roman" w:hAnsi="Times New Roman" w:eastAsia="宋体" w:cs="Times New Roman"/>
      <w:kern w:val="0"/>
      <w:sz w:val="16"/>
      <w:szCs w:val="16"/>
    </w:rPr>
  </w:style>
  <w:style w:type="character" w:customStyle="1" w:styleId="93">
    <w:name w:val="blue"/>
    <w:basedOn w:val="44"/>
    <w:qFormat/>
    <w:uiPriority w:val="0"/>
  </w:style>
  <w:style w:type="character" w:customStyle="1" w:styleId="94">
    <w:name w:val="proddescription"/>
    <w:basedOn w:val="44"/>
    <w:qFormat/>
    <w:uiPriority w:val="0"/>
  </w:style>
  <w:style w:type="character" w:customStyle="1" w:styleId="95">
    <w:name w:val="缩进正文 Char"/>
    <w:link w:val="96"/>
    <w:qFormat/>
    <w:uiPriority w:val="0"/>
    <w:rPr>
      <w:rFonts w:ascii="Times New Roman" w:hAnsi="Times New Roman" w:eastAsia="仿宋_GB2312" w:cs="Times New Roman"/>
      <w:kern w:val="0"/>
      <w:sz w:val="28"/>
      <w:szCs w:val="20"/>
    </w:rPr>
  </w:style>
  <w:style w:type="paragraph" w:customStyle="1" w:styleId="96">
    <w:name w:val="缩进正文"/>
    <w:basedOn w:val="1"/>
    <w:link w:val="95"/>
    <w:qFormat/>
    <w:uiPriority w:val="0"/>
    <w:pPr>
      <w:ind w:firstLine="560" w:firstLineChars="200"/>
    </w:pPr>
    <w:rPr>
      <w:rFonts w:ascii="Times New Roman" w:hAnsi="Times New Roman" w:eastAsia="仿宋_GB2312"/>
      <w:kern w:val="0"/>
      <w:sz w:val="28"/>
      <w:szCs w:val="20"/>
    </w:rPr>
  </w:style>
  <w:style w:type="character" w:customStyle="1" w:styleId="97">
    <w:name w:val="style9"/>
    <w:basedOn w:val="44"/>
    <w:qFormat/>
    <w:uiPriority w:val="0"/>
  </w:style>
  <w:style w:type="character" w:customStyle="1" w:styleId="98">
    <w:name w:val="prodheadlines"/>
    <w:basedOn w:val="44"/>
    <w:qFormat/>
    <w:uiPriority w:val="0"/>
  </w:style>
  <w:style w:type="character" w:customStyle="1" w:styleId="99">
    <w:name w:val="content1"/>
    <w:qFormat/>
    <w:uiPriority w:val="0"/>
    <w:rPr>
      <w:rFonts w:hint="default" w:ascii="??" w:hAnsi="??"/>
      <w:sz w:val="16"/>
      <w:szCs w:val="16"/>
      <w:u w:val="none"/>
    </w:rPr>
  </w:style>
  <w:style w:type="character" w:customStyle="1" w:styleId="100">
    <w:name w:val="正文文本缩进 3 Char"/>
    <w:basedOn w:val="44"/>
    <w:link w:val="32"/>
    <w:qFormat/>
    <w:uiPriority w:val="0"/>
    <w:rPr>
      <w:rFonts w:ascii="宋体" w:hAnsi="Times New Roman" w:eastAsia="宋体" w:cs="Times New Roman"/>
      <w:b/>
      <w:bCs/>
      <w:kern w:val="0"/>
      <w:sz w:val="24"/>
      <w:szCs w:val="24"/>
    </w:rPr>
  </w:style>
  <w:style w:type="character" w:customStyle="1" w:styleId="101">
    <w:name w:val="章标题1 Char"/>
    <w:qFormat/>
    <w:uiPriority w:val="0"/>
    <w:rPr>
      <w:rFonts w:eastAsia="宋体"/>
      <w:b/>
      <w:bCs/>
      <w:kern w:val="2"/>
      <w:sz w:val="32"/>
      <w:szCs w:val="32"/>
      <w:lang w:val="en-US" w:eastAsia="zh-CN" w:bidi="ar-SA"/>
    </w:rPr>
  </w:style>
  <w:style w:type="character" w:customStyle="1" w:styleId="102">
    <w:name w:val="font41"/>
    <w:qFormat/>
    <w:uiPriority w:val="0"/>
    <w:rPr>
      <w:color w:val="000000"/>
      <w:spacing w:val="260"/>
      <w:sz w:val="18"/>
      <w:szCs w:val="18"/>
      <w:u w:val="none"/>
    </w:rPr>
  </w:style>
  <w:style w:type="character" w:customStyle="1" w:styleId="103">
    <w:name w:val="alt-edited1"/>
    <w:qFormat/>
    <w:uiPriority w:val="0"/>
    <w:rPr>
      <w:color w:val="4D90F0"/>
    </w:rPr>
  </w:style>
  <w:style w:type="character" w:customStyle="1" w:styleId="104">
    <w:name w:val="info4"/>
    <w:basedOn w:val="44"/>
    <w:qFormat/>
    <w:uiPriority w:val="0"/>
  </w:style>
  <w:style w:type="character" w:customStyle="1" w:styleId="105">
    <w:name w:val="第*章 Char"/>
    <w:qFormat/>
    <w:uiPriority w:val="0"/>
    <w:rPr>
      <w:rFonts w:ascii="Arial" w:hAnsi="Arial" w:eastAsia="黑体"/>
      <w:b/>
      <w:bCs/>
      <w:kern w:val="2"/>
      <w:sz w:val="32"/>
      <w:szCs w:val="32"/>
    </w:rPr>
  </w:style>
  <w:style w:type="character" w:customStyle="1" w:styleId="106">
    <w:name w:val="text"/>
    <w:basedOn w:val="44"/>
    <w:qFormat/>
    <w:uiPriority w:val="0"/>
  </w:style>
  <w:style w:type="character" w:customStyle="1" w:styleId="107">
    <w:name w:val="正文文本缩进 2 Char"/>
    <w:basedOn w:val="44"/>
    <w:link w:val="25"/>
    <w:qFormat/>
    <w:uiPriority w:val="0"/>
    <w:rPr>
      <w:rFonts w:ascii="宋体" w:hAnsi="宋体" w:eastAsia="宋体" w:cs="Times New Roman"/>
      <w:kern w:val="0"/>
      <w:sz w:val="20"/>
      <w:szCs w:val="24"/>
    </w:rPr>
  </w:style>
  <w:style w:type="character" w:customStyle="1" w:styleId="108">
    <w:name w:val="font11"/>
    <w:qFormat/>
    <w:uiPriority w:val="0"/>
    <w:rPr>
      <w:rFonts w:hint="default" w:ascii="ˎ̥" w:hAnsi="ˎ̥"/>
    </w:rPr>
  </w:style>
  <w:style w:type="character" w:customStyle="1" w:styleId="109">
    <w:name w:val="批注框文本 Char"/>
    <w:basedOn w:val="44"/>
    <w:link w:val="26"/>
    <w:qFormat/>
    <w:uiPriority w:val="99"/>
    <w:rPr>
      <w:rFonts w:ascii="Times New Roman" w:hAnsi="Times New Roman" w:eastAsia="宋体" w:cs="Times New Roman"/>
      <w:kern w:val="0"/>
      <w:sz w:val="18"/>
      <w:szCs w:val="18"/>
    </w:rPr>
  </w:style>
  <w:style w:type="character" w:customStyle="1" w:styleId="110">
    <w:name w:val="mode"/>
    <w:basedOn w:val="44"/>
    <w:qFormat/>
    <w:uiPriority w:val="0"/>
  </w:style>
  <w:style w:type="character" w:customStyle="1" w:styleId="111">
    <w:name w:val="正文文本 3 Char1"/>
    <w:basedOn w:val="44"/>
    <w:link w:val="17"/>
    <w:semiHidden/>
    <w:qFormat/>
    <w:uiPriority w:val="99"/>
    <w:rPr>
      <w:rFonts w:ascii="Calibri" w:hAnsi="Calibri" w:eastAsia="宋体" w:cs="Times New Roman"/>
      <w:sz w:val="16"/>
      <w:szCs w:val="16"/>
    </w:rPr>
  </w:style>
  <w:style w:type="character" w:customStyle="1" w:styleId="112">
    <w:name w:val="纯文本 Char1"/>
    <w:basedOn w:val="44"/>
    <w:link w:val="22"/>
    <w:semiHidden/>
    <w:qFormat/>
    <w:uiPriority w:val="99"/>
    <w:rPr>
      <w:rFonts w:ascii="宋体" w:hAnsi="Courier New" w:eastAsia="宋体" w:cs="Courier New"/>
      <w:szCs w:val="21"/>
    </w:rPr>
  </w:style>
  <w:style w:type="character" w:customStyle="1" w:styleId="113">
    <w:name w:val="文档结构图 Char1"/>
    <w:basedOn w:val="44"/>
    <w:link w:val="15"/>
    <w:semiHidden/>
    <w:qFormat/>
    <w:uiPriority w:val="99"/>
    <w:rPr>
      <w:rFonts w:ascii="宋体" w:hAnsi="Calibri" w:eastAsia="宋体" w:cs="Times New Roman"/>
      <w:sz w:val="18"/>
      <w:szCs w:val="18"/>
    </w:rPr>
  </w:style>
  <w:style w:type="character" w:customStyle="1" w:styleId="114">
    <w:name w:val="日期 Char1"/>
    <w:basedOn w:val="44"/>
    <w:link w:val="24"/>
    <w:semiHidden/>
    <w:qFormat/>
    <w:uiPriority w:val="99"/>
    <w:rPr>
      <w:rFonts w:ascii="Calibri" w:hAnsi="Calibri" w:eastAsia="宋体" w:cs="Times New Roman"/>
    </w:rPr>
  </w:style>
  <w:style w:type="character" w:customStyle="1" w:styleId="115">
    <w:name w:val="正文文本 Char2"/>
    <w:basedOn w:val="44"/>
    <w:link w:val="18"/>
    <w:semiHidden/>
    <w:qFormat/>
    <w:uiPriority w:val="99"/>
    <w:rPr>
      <w:rFonts w:ascii="Calibri" w:hAnsi="Calibri" w:eastAsia="宋体" w:cs="Times New Roman"/>
    </w:rPr>
  </w:style>
  <w:style w:type="character" w:customStyle="1" w:styleId="116">
    <w:name w:val="正文文本缩进 Char1"/>
    <w:basedOn w:val="44"/>
    <w:link w:val="19"/>
    <w:semiHidden/>
    <w:qFormat/>
    <w:uiPriority w:val="99"/>
    <w:rPr>
      <w:rFonts w:ascii="Calibri" w:hAnsi="Calibri" w:eastAsia="宋体" w:cs="Times New Roman"/>
    </w:rPr>
  </w:style>
  <w:style w:type="character" w:customStyle="1" w:styleId="117">
    <w:name w:val="批注文字 Char1"/>
    <w:basedOn w:val="44"/>
    <w:link w:val="16"/>
    <w:semiHidden/>
    <w:qFormat/>
    <w:uiPriority w:val="99"/>
    <w:rPr>
      <w:rFonts w:ascii="Calibri" w:hAnsi="Calibri" w:eastAsia="宋体" w:cs="Times New Roman"/>
    </w:rPr>
  </w:style>
  <w:style w:type="character" w:customStyle="1" w:styleId="118">
    <w:name w:val="HTML 预设格式 Char1"/>
    <w:basedOn w:val="44"/>
    <w:link w:val="36"/>
    <w:semiHidden/>
    <w:qFormat/>
    <w:uiPriority w:val="99"/>
    <w:rPr>
      <w:rFonts w:ascii="Courier New" w:hAnsi="Courier New" w:eastAsia="宋体" w:cs="Courier New"/>
      <w:sz w:val="20"/>
      <w:szCs w:val="20"/>
    </w:rPr>
  </w:style>
  <w:style w:type="character" w:customStyle="1" w:styleId="119">
    <w:name w:val="正文文本缩进 2 Char1"/>
    <w:basedOn w:val="44"/>
    <w:link w:val="25"/>
    <w:semiHidden/>
    <w:qFormat/>
    <w:uiPriority w:val="99"/>
    <w:rPr>
      <w:rFonts w:ascii="Calibri" w:hAnsi="Calibri" w:eastAsia="宋体" w:cs="Times New Roman"/>
    </w:rPr>
  </w:style>
  <w:style w:type="character" w:customStyle="1" w:styleId="120">
    <w:name w:val="正文文本 2 Char1"/>
    <w:basedOn w:val="44"/>
    <w:link w:val="35"/>
    <w:semiHidden/>
    <w:qFormat/>
    <w:uiPriority w:val="99"/>
    <w:rPr>
      <w:rFonts w:ascii="Calibri" w:hAnsi="Calibri" w:eastAsia="宋体" w:cs="Times New Roman"/>
    </w:rPr>
  </w:style>
  <w:style w:type="character" w:customStyle="1" w:styleId="121">
    <w:name w:val="批注框文本 Char1"/>
    <w:basedOn w:val="44"/>
    <w:link w:val="26"/>
    <w:semiHidden/>
    <w:qFormat/>
    <w:uiPriority w:val="99"/>
    <w:rPr>
      <w:rFonts w:ascii="Calibri" w:hAnsi="Calibri" w:eastAsia="宋体" w:cs="Times New Roman"/>
      <w:sz w:val="18"/>
      <w:szCs w:val="18"/>
    </w:rPr>
  </w:style>
  <w:style w:type="character" w:customStyle="1" w:styleId="122">
    <w:name w:val="正文文本缩进 3 Char1"/>
    <w:basedOn w:val="44"/>
    <w:link w:val="32"/>
    <w:semiHidden/>
    <w:qFormat/>
    <w:uiPriority w:val="99"/>
    <w:rPr>
      <w:rFonts w:ascii="Calibri" w:hAnsi="Calibri" w:eastAsia="宋体" w:cs="Times New Roman"/>
      <w:sz w:val="16"/>
      <w:szCs w:val="16"/>
    </w:rPr>
  </w:style>
  <w:style w:type="character" w:customStyle="1" w:styleId="123">
    <w:name w:val="标题 Char1"/>
    <w:basedOn w:val="44"/>
    <w:link w:val="39"/>
    <w:qFormat/>
    <w:uiPriority w:val="10"/>
    <w:rPr>
      <w:rFonts w:eastAsia="宋体" w:asciiTheme="majorHAnsi" w:hAnsiTheme="majorHAnsi" w:cstheme="majorBidi"/>
      <w:b/>
      <w:bCs/>
      <w:sz w:val="32"/>
      <w:szCs w:val="32"/>
    </w:rPr>
  </w:style>
  <w:style w:type="character" w:customStyle="1" w:styleId="124">
    <w:name w:val="批注主题 Char1"/>
    <w:basedOn w:val="117"/>
    <w:link w:val="40"/>
    <w:semiHidden/>
    <w:qFormat/>
    <w:uiPriority w:val="99"/>
    <w:rPr>
      <w:b/>
      <w:bCs/>
    </w:rPr>
  </w:style>
  <w:style w:type="character" w:customStyle="1" w:styleId="125">
    <w:name w:val="正文首行缩进 Char1"/>
    <w:basedOn w:val="115"/>
    <w:link w:val="41"/>
    <w:semiHidden/>
    <w:qFormat/>
    <w:uiPriority w:val="99"/>
  </w:style>
  <w:style w:type="paragraph" w:customStyle="1" w:styleId="126">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27">
    <w:name w:val="编号1"/>
    <w:basedOn w:val="1"/>
    <w:qFormat/>
    <w:uiPriority w:val="0"/>
    <w:pPr>
      <w:tabs>
        <w:tab w:val="left" w:pos="360"/>
      </w:tabs>
      <w:adjustRightInd w:val="0"/>
      <w:spacing w:line="300" w:lineRule="auto"/>
      <w:ind w:left="360" w:right="210" w:hanging="360"/>
      <w:textAlignment w:val="center"/>
    </w:pPr>
    <w:rPr>
      <w:rFonts w:ascii="宋体" w:hAnsi="宋体"/>
      <w:snapToGrid w:val="0"/>
      <w:spacing w:val="10"/>
      <w:kern w:val="24"/>
      <w:szCs w:val="24"/>
    </w:rPr>
  </w:style>
  <w:style w:type="paragraph" w:customStyle="1" w:styleId="128">
    <w:name w:val="--规划正文"/>
    <w:basedOn w:val="1"/>
    <w:qFormat/>
    <w:uiPriority w:val="0"/>
    <w:pPr>
      <w:spacing w:line="360" w:lineRule="auto"/>
      <w:ind w:firstLine="200" w:firstLineChars="200"/>
    </w:pPr>
    <w:rPr>
      <w:rFonts w:ascii="Times New Roman" w:hAnsi="Times New Roman"/>
      <w:szCs w:val="20"/>
    </w:rPr>
  </w:style>
  <w:style w:type="paragraph" w:customStyle="1" w:styleId="129">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3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1">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2">
    <w:name w:val="9"/>
    <w:basedOn w:val="1"/>
    <w:next w:val="7"/>
    <w:qFormat/>
    <w:uiPriority w:val="0"/>
    <w:pPr>
      <w:autoSpaceDE w:val="0"/>
      <w:autoSpaceDN w:val="0"/>
      <w:adjustRightInd w:val="0"/>
      <w:ind w:firstLine="420"/>
      <w:jc w:val="left"/>
      <w:textAlignment w:val="baseline"/>
    </w:pPr>
    <w:rPr>
      <w:rFonts w:ascii="宋体" w:hAnsi="Times New Roman"/>
      <w:kern w:val="0"/>
      <w:sz w:val="34"/>
      <w:szCs w:val="20"/>
    </w:rPr>
  </w:style>
  <w:style w:type="paragraph" w:customStyle="1" w:styleId="133">
    <w:name w:val="00"/>
    <w:basedOn w:val="1"/>
    <w:qFormat/>
    <w:uiPriority w:val="0"/>
    <w:pPr>
      <w:autoSpaceDE w:val="0"/>
      <w:autoSpaceDN w:val="0"/>
      <w:adjustRightInd w:val="0"/>
      <w:jc w:val="left"/>
    </w:pPr>
    <w:rPr>
      <w:rFonts w:ascii="黑体" w:hAnsi="Times New Roman" w:eastAsia="黑体"/>
      <w:b/>
      <w:bCs/>
      <w:kern w:val="0"/>
      <w:sz w:val="20"/>
      <w:szCs w:val="20"/>
    </w:rPr>
  </w:style>
  <w:style w:type="paragraph" w:customStyle="1" w:styleId="134">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35">
    <w:name w:val="blu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6">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37">
    <w:name w:val="样式 标题 2 + 段前: 13 磅 段后: 13 磅 行距: 单倍行距"/>
    <w:basedOn w:val="5"/>
    <w:qFormat/>
    <w:uiPriority w:val="0"/>
    <w:pPr>
      <w:adjustRightInd/>
      <w:jc w:val="both"/>
      <w:textAlignment w:val="auto"/>
    </w:pPr>
    <w:rPr>
      <w:rFonts w:ascii="Cambria" w:hAnsi="Cambria" w:cs="宋体"/>
      <w:sz w:val="32"/>
    </w:rPr>
  </w:style>
  <w:style w:type="paragraph" w:customStyle="1" w:styleId="138">
    <w:name w:val="RFI text from 3rd Level"/>
    <w:basedOn w:val="1"/>
    <w:qFormat/>
    <w:uiPriority w:val="0"/>
    <w:pPr>
      <w:widowControl/>
      <w:tabs>
        <w:tab w:val="left" w:pos="1080"/>
      </w:tabs>
      <w:spacing w:beforeLines="50" w:line="360" w:lineRule="auto"/>
    </w:pPr>
    <w:rPr>
      <w:rFonts w:ascii="Arial (W1)" w:hAnsi="Arial (W1)"/>
      <w:bCs/>
      <w:kern w:val="0"/>
      <w:sz w:val="24"/>
      <w:szCs w:val="24"/>
      <w:lang w:val="en-GB"/>
    </w:rPr>
  </w:style>
  <w:style w:type="paragraph" w:customStyle="1" w:styleId="139">
    <w:name w:val="列出段落1"/>
    <w:basedOn w:val="1"/>
    <w:link w:val="213"/>
    <w:qFormat/>
    <w:uiPriority w:val="0"/>
    <w:pPr>
      <w:ind w:firstLine="420" w:firstLineChars="200"/>
    </w:pPr>
    <w:rPr>
      <w:rFonts w:cs="Calibri"/>
      <w:szCs w:val="21"/>
    </w:rPr>
  </w:style>
  <w:style w:type="paragraph" w:customStyle="1" w:styleId="140">
    <w:name w:val="5"/>
    <w:basedOn w:val="1"/>
    <w:qFormat/>
    <w:uiPriority w:val="0"/>
    <w:pPr>
      <w:autoSpaceDE w:val="0"/>
      <w:autoSpaceDN w:val="0"/>
      <w:adjustRightInd w:val="0"/>
      <w:jc w:val="left"/>
    </w:pPr>
    <w:rPr>
      <w:rFonts w:ascii="宋体" w:hAnsi="Times New Roman"/>
      <w:b/>
      <w:bCs/>
      <w:kern w:val="0"/>
      <w:sz w:val="18"/>
      <w:szCs w:val="18"/>
    </w:rPr>
  </w:style>
  <w:style w:type="paragraph" w:customStyle="1" w:styleId="141">
    <w:name w:val="_Style 28"/>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2">
    <w:name w:val="设计依据"/>
    <w:basedOn w:val="18"/>
    <w:qFormat/>
    <w:uiPriority w:val="0"/>
    <w:pPr>
      <w:tabs>
        <w:tab w:val="left" w:pos="1440"/>
      </w:tabs>
      <w:adjustRightInd w:val="0"/>
      <w:ind w:left="1440" w:hanging="420"/>
      <w:textAlignment w:val="baseline"/>
    </w:pPr>
    <w:rPr>
      <w:rFonts w:ascii="宋体" w:hAnsi="宋体"/>
      <w:b w:val="0"/>
      <w:sz w:val="28"/>
      <w:szCs w:val="18"/>
    </w:rPr>
  </w:style>
  <w:style w:type="paragraph" w:styleId="143">
    <w:name w:val="List Paragraph"/>
    <w:basedOn w:val="1"/>
    <w:qFormat/>
    <w:uiPriority w:val="34"/>
    <w:pPr>
      <w:ind w:firstLine="420" w:firstLineChars="200"/>
    </w:pPr>
  </w:style>
  <w:style w:type="paragraph" w:customStyle="1" w:styleId="144">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5">
    <w:name w:val="--规划-小标题"/>
    <w:basedOn w:val="1"/>
    <w:next w:val="128"/>
    <w:qFormat/>
    <w:uiPriority w:val="0"/>
    <w:pPr>
      <w:keepNext/>
      <w:keepLines/>
      <w:spacing w:line="360" w:lineRule="auto"/>
      <w:outlineLvl w:val="4"/>
    </w:pPr>
    <w:rPr>
      <w:rFonts w:ascii="Times New Roman" w:hAnsi="Times New Roman" w:eastAsia="黑体"/>
      <w:szCs w:val="24"/>
    </w:rPr>
  </w:style>
  <w:style w:type="paragraph" w:customStyle="1" w:styleId="146">
    <w:name w:val="自定义正文"/>
    <w:basedOn w:val="1"/>
    <w:qFormat/>
    <w:uiPriority w:val="0"/>
    <w:pPr>
      <w:spacing w:afterLines="50"/>
      <w:ind w:left="600" w:leftChars="600"/>
    </w:pPr>
    <w:rPr>
      <w:rFonts w:ascii="Times New Roman" w:hAnsi="Times New Roman"/>
      <w:szCs w:val="24"/>
    </w:rPr>
  </w:style>
  <w:style w:type="paragraph" w:customStyle="1" w:styleId="147">
    <w:name w:val="段落正文"/>
    <w:basedOn w:val="22"/>
    <w:qFormat/>
    <w:uiPriority w:val="0"/>
    <w:pPr>
      <w:ind w:firstLine="560" w:firstLineChars="200"/>
    </w:pPr>
    <w:rPr>
      <w:sz w:val="28"/>
    </w:rPr>
  </w:style>
  <w:style w:type="paragraph" w:customStyle="1" w:styleId="148">
    <w:name w:val="封面文档标题"/>
    <w:basedOn w:val="1"/>
    <w:qFormat/>
    <w:uiPriority w:val="0"/>
    <w:pPr>
      <w:autoSpaceDE w:val="0"/>
      <w:autoSpaceDN w:val="0"/>
      <w:adjustRightInd w:val="0"/>
      <w:spacing w:line="360" w:lineRule="auto"/>
      <w:jc w:val="center"/>
    </w:pPr>
    <w:rPr>
      <w:rFonts w:ascii="Arial" w:hAnsi="Arial"/>
      <w:b/>
      <w:kern w:val="0"/>
      <w:sz w:val="56"/>
      <w:szCs w:val="24"/>
    </w:rPr>
  </w:style>
  <w:style w:type="paragraph" w:customStyle="1" w:styleId="149">
    <w:name w:val="--规划-表格-居中"/>
    <w:basedOn w:val="128"/>
    <w:qFormat/>
    <w:uiPriority w:val="0"/>
    <w:pPr>
      <w:spacing w:line="240" w:lineRule="auto"/>
      <w:ind w:firstLine="0" w:firstLineChars="0"/>
      <w:jc w:val="center"/>
    </w:pPr>
    <w:rPr>
      <w:sz w:val="20"/>
    </w:rPr>
  </w:style>
  <w:style w:type="paragraph" w:customStyle="1" w:styleId="15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1">
    <w:name w:val="Normal Paragraph"/>
    <w:basedOn w:val="1"/>
    <w:qFormat/>
    <w:uiPriority w:val="0"/>
    <w:pPr>
      <w:widowControl/>
      <w:spacing w:before="120" w:line="360" w:lineRule="auto"/>
      <w:ind w:firstLine="425"/>
    </w:pPr>
    <w:rPr>
      <w:rFonts w:ascii="Times New Roman" w:hAnsi="Times New Roman"/>
      <w:kern w:val="0"/>
      <w:sz w:val="24"/>
      <w:szCs w:val="24"/>
    </w:rPr>
  </w:style>
  <w:style w:type="paragraph" w:customStyle="1" w:styleId="152">
    <w:name w:val="正文文字缩进项目"/>
    <w:basedOn w:val="19"/>
    <w:qFormat/>
    <w:uiPriority w:val="0"/>
    <w:pPr>
      <w:tabs>
        <w:tab w:val="left" w:pos="840"/>
      </w:tabs>
      <w:spacing w:after="120" w:line="240" w:lineRule="auto"/>
      <w:ind w:left="840" w:firstLine="0" w:firstLineChars="0"/>
    </w:pPr>
    <w:rPr>
      <w:rFonts w:ascii="Tahoma" w:hAnsi="Tahoma"/>
      <w:sz w:val="22"/>
      <w:szCs w:val="20"/>
    </w:rPr>
  </w:style>
  <w:style w:type="paragraph" w:customStyle="1" w:styleId="153">
    <w:name w:val="小标题 1"/>
    <w:basedOn w:val="1"/>
    <w:qFormat/>
    <w:uiPriority w:val="0"/>
    <w:pPr>
      <w:autoSpaceDE w:val="0"/>
      <w:autoSpaceDN w:val="0"/>
      <w:adjustRightInd w:val="0"/>
      <w:spacing w:line="360" w:lineRule="atLeast"/>
    </w:pPr>
    <w:rPr>
      <w:rFonts w:ascii="文鼎粗黑" w:hAnsi="Times New Roman" w:eastAsia="文鼎粗黑"/>
      <w:kern w:val="0"/>
      <w:sz w:val="22"/>
      <w:szCs w:val="20"/>
    </w:rPr>
  </w:style>
  <w:style w:type="paragraph" w:customStyle="1" w:styleId="154">
    <w:name w:val="样式2"/>
    <w:basedOn w:val="39"/>
    <w:next w:val="155"/>
    <w:qFormat/>
    <w:uiPriority w:val="0"/>
    <w:pPr>
      <w:spacing w:before="120" w:after="120"/>
    </w:pPr>
    <w:rPr>
      <w:rFonts w:eastAsia="黑体"/>
      <w:b w:val="0"/>
      <w:sz w:val="30"/>
      <w:szCs w:val="30"/>
    </w:rPr>
  </w:style>
  <w:style w:type="paragraph" w:customStyle="1" w:styleId="155">
    <w:name w:val="样式1"/>
    <w:basedOn w:val="39"/>
    <w:qFormat/>
    <w:uiPriority w:val="0"/>
    <w:pPr>
      <w:spacing w:before="120" w:after="120"/>
    </w:pPr>
    <w:rPr>
      <w:rFonts w:eastAsia="黑体"/>
      <w:b w:val="0"/>
      <w:sz w:val="30"/>
      <w:szCs w:val="21"/>
    </w:rPr>
  </w:style>
  <w:style w:type="paragraph" w:customStyle="1" w:styleId="156">
    <w:name w:val="样式41"/>
    <w:basedOn w:val="1"/>
    <w:qFormat/>
    <w:uiPriority w:val="0"/>
    <w:pPr>
      <w:tabs>
        <w:tab w:val="left" w:pos="945"/>
        <w:tab w:val="left" w:pos="2040"/>
      </w:tabs>
      <w:spacing w:line="360" w:lineRule="auto"/>
      <w:ind w:left="2040" w:hanging="360"/>
    </w:pPr>
    <w:rPr>
      <w:rFonts w:ascii="Times New Roman" w:hAnsi="Times New Roman"/>
      <w:b/>
      <w:color w:val="000000"/>
      <w:sz w:val="24"/>
      <w:szCs w:val="20"/>
    </w:rPr>
  </w:style>
  <w:style w:type="paragraph" w:customStyle="1" w:styleId="157">
    <w:name w:val="Char Char"/>
    <w:basedOn w:val="1"/>
    <w:qFormat/>
    <w:uiPriority w:val="0"/>
    <w:rPr>
      <w:rFonts w:ascii="Tahoma" w:hAnsi="Tahoma"/>
      <w:sz w:val="24"/>
      <w:szCs w:val="20"/>
    </w:rPr>
  </w:style>
  <w:style w:type="paragraph" w:customStyle="1" w:styleId="15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59">
    <w:name w:val="Char Char Char"/>
    <w:basedOn w:val="1"/>
    <w:qFormat/>
    <w:uiPriority w:val="0"/>
    <w:rPr>
      <w:rFonts w:ascii="Tahoma" w:hAnsi="Tahoma"/>
      <w:sz w:val="24"/>
      <w:szCs w:val="20"/>
    </w:rPr>
  </w:style>
  <w:style w:type="paragraph" w:customStyle="1" w:styleId="160">
    <w:name w:val="Char Char Char Char Char"/>
    <w:basedOn w:val="1"/>
    <w:qFormat/>
    <w:uiPriority w:val="0"/>
    <w:rPr>
      <w:rFonts w:ascii="Tahoma" w:hAnsi="Tahoma"/>
      <w:sz w:val="24"/>
      <w:szCs w:val="20"/>
    </w:rPr>
  </w:style>
  <w:style w:type="paragraph" w:customStyle="1" w:styleId="161">
    <w:name w:val="文档正文"/>
    <w:basedOn w:val="1"/>
    <w:qFormat/>
    <w:uiPriority w:val="0"/>
    <w:pPr>
      <w:adjustRightInd w:val="0"/>
      <w:spacing w:line="480" w:lineRule="atLeast"/>
      <w:ind w:firstLine="567" w:firstLineChars="200"/>
      <w:textAlignment w:val="baseline"/>
    </w:pPr>
    <w:rPr>
      <w:rFonts w:ascii="长城仿宋" w:hAnsi="Times New Roman"/>
      <w:kern w:val="0"/>
      <w:szCs w:val="20"/>
    </w:rPr>
  </w:style>
  <w:style w:type="paragraph" w:customStyle="1" w:styleId="162">
    <w:name w:val="USE 1"/>
    <w:basedOn w:val="1"/>
    <w:qFormat/>
    <w:uiPriority w:val="0"/>
    <w:pPr>
      <w:spacing w:line="200" w:lineRule="atLeast"/>
      <w:jc w:val="left"/>
    </w:pPr>
    <w:rPr>
      <w:rFonts w:ascii="宋体" w:hAnsi="宋体"/>
      <w:b/>
      <w:sz w:val="24"/>
      <w:szCs w:val="28"/>
    </w:rPr>
  </w:style>
  <w:style w:type="paragraph" w:customStyle="1" w:styleId="163">
    <w:name w:val="--编号内缩进"/>
    <w:basedOn w:val="1"/>
    <w:qFormat/>
    <w:uiPriority w:val="0"/>
    <w:pPr>
      <w:spacing w:line="360" w:lineRule="auto"/>
      <w:ind w:left="420" w:firstLine="200" w:firstLineChars="200"/>
    </w:pPr>
    <w:rPr>
      <w:rFonts w:ascii="Times New Roman" w:hAnsi="Times New Roman"/>
      <w:szCs w:val="21"/>
    </w:rPr>
  </w:style>
  <w:style w:type="paragraph" w:customStyle="1" w:styleId="164">
    <w:name w:val="图"/>
    <w:basedOn w:val="1"/>
    <w:qFormat/>
    <w:uiPriority w:val="99"/>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165">
    <w:name w:val="È±Ê¡ÎÄ±¾"/>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166">
    <w:name w:val="6"/>
    <w:basedOn w:val="140"/>
    <w:qFormat/>
    <w:uiPriority w:val="0"/>
    <w:pPr>
      <w:spacing w:line="270" w:lineRule="atLeast"/>
      <w:jc w:val="both"/>
    </w:pPr>
    <w:rPr>
      <w:b w:val="0"/>
      <w:bCs w:val="0"/>
    </w:rPr>
  </w:style>
  <w:style w:type="paragraph" w:customStyle="1" w:styleId="16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68">
    <w:name w:val="2册标题4"/>
    <w:basedOn w:val="1"/>
    <w:next w:val="1"/>
    <w:qFormat/>
    <w:uiPriority w:val="0"/>
    <w:pPr>
      <w:spacing w:beforeLines="50" w:afterLines="50" w:line="300" w:lineRule="auto"/>
      <w:ind w:left="420" w:leftChars="200"/>
      <w:outlineLvl w:val="3"/>
    </w:pPr>
    <w:rPr>
      <w:rFonts w:ascii="Arial" w:hAnsi="Arial" w:eastAsia="幼圆" w:cs="Arial"/>
      <w:b/>
      <w:sz w:val="24"/>
      <w:szCs w:val="24"/>
    </w:rPr>
  </w:style>
  <w:style w:type="paragraph" w:customStyle="1" w:styleId="169">
    <w:name w:val="--规划-表格-居左"/>
    <w:basedOn w:val="128"/>
    <w:qFormat/>
    <w:uiPriority w:val="0"/>
    <w:pPr>
      <w:spacing w:line="240" w:lineRule="auto"/>
      <w:ind w:firstLine="0" w:firstLineChars="0"/>
    </w:pPr>
    <w:rPr>
      <w:sz w:val="20"/>
    </w:rPr>
  </w:style>
  <w:style w:type="paragraph" w:customStyle="1" w:styleId="170">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1">
    <w:name w:val="方案要点"/>
    <w:basedOn w:val="1"/>
    <w:qFormat/>
    <w:uiPriority w:val="0"/>
    <w:pPr>
      <w:tabs>
        <w:tab w:val="left" w:pos="420"/>
      </w:tabs>
      <w:spacing w:line="360" w:lineRule="auto"/>
      <w:ind w:left="420" w:hanging="420"/>
    </w:pPr>
    <w:rPr>
      <w:rFonts w:ascii="仿宋_GB2312" w:hAnsi="宋体" w:eastAsia="仿宋_GB2312"/>
      <w:color w:val="000000"/>
      <w:sz w:val="28"/>
      <w:szCs w:val="28"/>
    </w:rPr>
  </w:style>
  <w:style w:type="paragraph" w:customStyle="1" w:styleId="172">
    <w:name w:val="--规划-图和表"/>
    <w:next w:val="128"/>
    <w:qFormat/>
    <w:uiPriority w:val="0"/>
    <w:pPr>
      <w:jc w:val="center"/>
    </w:pPr>
    <w:rPr>
      <w:rFonts w:ascii="Times New Roman" w:hAnsi="Times New Roman" w:eastAsia="宋体" w:cs="Times New Roman"/>
      <w:kern w:val="2"/>
      <w:sz w:val="21"/>
      <w:lang w:val="en-US" w:eastAsia="zh-CN" w:bidi="ar-SA"/>
    </w:rPr>
  </w:style>
  <w:style w:type="paragraph" w:customStyle="1" w:styleId="173">
    <w:name w:val="Char1"/>
    <w:basedOn w:val="1"/>
    <w:qFormat/>
    <w:uiPriority w:val="0"/>
    <w:pPr>
      <w:jc w:val="left"/>
    </w:pPr>
    <w:rPr>
      <w:rFonts w:ascii="Tahoma" w:hAnsi="Tahoma"/>
      <w:sz w:val="24"/>
      <w:szCs w:val="20"/>
    </w:rPr>
  </w:style>
  <w:style w:type="paragraph" w:customStyle="1" w:styleId="174">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75">
    <w:name w:val="汉仪细等线简9BOLD"/>
    <w:basedOn w:val="1"/>
    <w:qFormat/>
    <w:uiPriority w:val="0"/>
    <w:pPr>
      <w:autoSpaceDE w:val="0"/>
      <w:autoSpaceDN w:val="0"/>
      <w:adjustRightInd w:val="0"/>
      <w:spacing w:line="240" w:lineRule="atLeast"/>
    </w:pPr>
    <w:rPr>
      <w:rFonts w:ascii="汉仪细等线简" w:hAnsi="Times New Roman" w:eastAsia="汉仪细等线简"/>
      <w:b/>
      <w:bCs/>
      <w:kern w:val="0"/>
      <w:sz w:val="18"/>
      <w:szCs w:val="18"/>
    </w:rPr>
  </w:style>
  <w:style w:type="paragraph" w:customStyle="1" w:styleId="176">
    <w:name w:val="列表项目"/>
    <w:basedOn w:val="1"/>
    <w:qFormat/>
    <w:uiPriority w:val="0"/>
    <w:pPr>
      <w:tabs>
        <w:tab w:val="left" w:pos="420"/>
        <w:tab w:val="left" w:pos="1080"/>
      </w:tabs>
      <w:spacing w:line="288" w:lineRule="auto"/>
      <w:ind w:left="1080" w:hanging="360"/>
    </w:pPr>
    <w:rPr>
      <w:rFonts w:ascii="Times New Roman" w:hAnsi="Times New Roman"/>
      <w:sz w:val="24"/>
      <w:szCs w:val="20"/>
    </w:rPr>
  </w:style>
  <w:style w:type="paragraph" w:customStyle="1" w:styleId="177">
    <w:name w:val="tex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8">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character" w:customStyle="1" w:styleId="179">
    <w:name w:val="z-窗体顶端 Char1"/>
    <w:basedOn w:val="44"/>
    <w:link w:val="69"/>
    <w:semiHidden/>
    <w:qFormat/>
    <w:uiPriority w:val="99"/>
    <w:rPr>
      <w:rFonts w:ascii="Arial" w:hAnsi="Arial" w:eastAsia="宋体" w:cs="Arial"/>
      <w:vanish/>
      <w:sz w:val="16"/>
      <w:szCs w:val="16"/>
    </w:rPr>
  </w:style>
  <w:style w:type="paragraph" w:customStyle="1" w:styleId="180">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81">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8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3">
    <w:name w:val="样式4"/>
    <w:basedOn w:val="1"/>
    <w:qFormat/>
    <w:uiPriority w:val="0"/>
    <w:pPr>
      <w:tabs>
        <w:tab w:val="left" w:pos="842"/>
      </w:tabs>
      <w:spacing w:line="360" w:lineRule="auto"/>
      <w:ind w:left="842" w:hanging="420"/>
    </w:pPr>
    <w:rPr>
      <w:rFonts w:ascii="Times New Roman" w:hAnsi="Times New Roman"/>
      <w:sz w:val="24"/>
      <w:szCs w:val="24"/>
    </w:rPr>
  </w:style>
  <w:style w:type="paragraph" w:customStyle="1" w:styleId="184">
    <w:name w:val="文字"/>
    <w:basedOn w:val="1"/>
    <w:qFormat/>
    <w:uiPriority w:val="0"/>
    <w:pPr>
      <w:tabs>
        <w:tab w:val="left" w:pos="8520"/>
      </w:tabs>
      <w:spacing w:line="312" w:lineRule="auto"/>
      <w:ind w:right="-210" w:firstLine="556"/>
    </w:pPr>
    <w:rPr>
      <w:rFonts w:ascii="宋体" w:hAnsi="Times New Roman"/>
      <w:sz w:val="28"/>
      <w:szCs w:val="20"/>
    </w:rPr>
  </w:style>
  <w:style w:type="paragraph" w:customStyle="1" w:styleId="18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86">
    <w:name w:val="--规划-题注"/>
    <w:basedOn w:val="1"/>
    <w:next w:val="128"/>
    <w:qFormat/>
    <w:uiPriority w:val="0"/>
    <w:pPr>
      <w:spacing w:line="360" w:lineRule="auto"/>
      <w:jc w:val="center"/>
    </w:pPr>
    <w:rPr>
      <w:rFonts w:ascii="Times New Roman" w:hAnsi="Times New Roman" w:eastAsia="黑体"/>
      <w:szCs w:val="24"/>
    </w:rPr>
  </w:style>
  <w:style w:type="paragraph" w:customStyle="1" w:styleId="187">
    <w:name w:val="font6"/>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88">
    <w:name w:val="--规划正文 Char"/>
    <w:basedOn w:val="1"/>
    <w:qFormat/>
    <w:uiPriority w:val="0"/>
    <w:pPr>
      <w:spacing w:line="360" w:lineRule="auto"/>
      <w:ind w:firstLine="200" w:firstLineChars="200"/>
    </w:pPr>
    <w:rPr>
      <w:rFonts w:ascii="Times New Roman" w:hAnsi="Times New Roman"/>
      <w:sz w:val="24"/>
      <w:szCs w:val="24"/>
    </w:rPr>
  </w:style>
  <w:style w:type="paragraph" w:customStyle="1" w:styleId="189">
    <w:name w:val="缺省文本"/>
    <w:basedOn w:val="1"/>
    <w:qFormat/>
    <w:uiPriority w:val="0"/>
    <w:pPr>
      <w:autoSpaceDE w:val="0"/>
      <w:autoSpaceDN w:val="0"/>
      <w:adjustRightInd w:val="0"/>
      <w:jc w:val="left"/>
    </w:pPr>
    <w:rPr>
      <w:rFonts w:ascii="Times New Roman" w:hAnsi="Times New Roman"/>
      <w:kern w:val="0"/>
      <w:szCs w:val="24"/>
    </w:rPr>
  </w:style>
  <w:style w:type="paragraph" w:customStyle="1" w:styleId="190">
    <w:name w:val="样式3"/>
    <w:basedOn w:val="2"/>
    <w:qFormat/>
    <w:uiPriority w:val="0"/>
    <w:pPr>
      <w:tabs>
        <w:tab w:val="left" w:pos="420"/>
      </w:tabs>
      <w:spacing w:before="240" w:after="240" w:line="480" w:lineRule="auto"/>
      <w:ind w:left="420" w:right="210" w:rightChars="100" w:hanging="420"/>
      <w:jc w:val="left"/>
    </w:pPr>
    <w:rPr>
      <w:rFonts w:ascii="Times New Roman" w:hAnsi="Times New Roman"/>
      <w:sz w:val="32"/>
    </w:rPr>
  </w:style>
  <w:style w:type="paragraph" w:customStyle="1" w:styleId="19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92">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193">
    <w:name w:val="7"/>
    <w:basedOn w:val="1"/>
    <w:qFormat/>
    <w:uiPriority w:val="0"/>
    <w:pPr>
      <w:autoSpaceDE w:val="0"/>
      <w:autoSpaceDN w:val="0"/>
      <w:adjustRightInd w:val="0"/>
      <w:spacing w:line="270" w:lineRule="atLeast"/>
      <w:jc w:val="left"/>
    </w:pPr>
    <w:rPr>
      <w:rFonts w:ascii="宋体" w:hAnsi="Times New Roman"/>
      <w:kern w:val="0"/>
      <w:sz w:val="18"/>
      <w:szCs w:val="18"/>
    </w:rPr>
  </w:style>
  <w:style w:type="paragraph" w:customStyle="1" w:styleId="194">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95">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96">
    <w:name w:val="8"/>
    <w:basedOn w:val="1"/>
    <w:next w:val="19"/>
    <w:qFormat/>
    <w:uiPriority w:val="0"/>
    <w:pPr>
      <w:spacing w:after="120"/>
      <w:ind w:left="420" w:leftChars="200"/>
    </w:pPr>
    <w:rPr>
      <w:rFonts w:ascii="Times New Roman" w:hAnsi="Times New Roman"/>
      <w:szCs w:val="24"/>
    </w:rPr>
  </w:style>
  <w:style w:type="paragraph" w:customStyle="1" w:styleId="197">
    <w:name w:val="姜文清定义的正文"/>
    <w:basedOn w:val="1"/>
    <w:qFormat/>
    <w:uiPriority w:val="0"/>
    <w:pPr>
      <w:spacing w:line="240" w:lineRule="atLeast"/>
      <w:ind w:firstLine="567"/>
    </w:pPr>
    <w:rPr>
      <w:rFonts w:ascii="Times New Roman" w:hAnsi="Times New Roman"/>
      <w:szCs w:val="20"/>
    </w:rPr>
  </w:style>
  <w:style w:type="paragraph" w:customStyle="1" w:styleId="198">
    <w:name w:val="CM2"/>
    <w:basedOn w:val="178"/>
    <w:next w:val="178"/>
    <w:qFormat/>
    <w:uiPriority w:val="0"/>
    <w:pPr>
      <w:spacing w:line="200" w:lineRule="atLeast"/>
    </w:pPr>
    <w:rPr>
      <w:rFonts w:ascii="Arial" w:hAnsi="Arial" w:eastAsia="宋体" w:cs="Times New Roman"/>
      <w:color w:val="auto"/>
    </w:rPr>
  </w:style>
  <w:style w:type="character" w:customStyle="1" w:styleId="199">
    <w:name w:val="z-窗体底端 Char1"/>
    <w:basedOn w:val="44"/>
    <w:link w:val="86"/>
    <w:semiHidden/>
    <w:qFormat/>
    <w:uiPriority w:val="99"/>
    <w:rPr>
      <w:rFonts w:ascii="Arial" w:hAnsi="Arial" w:eastAsia="宋体" w:cs="Arial"/>
      <w:vanish/>
      <w:sz w:val="16"/>
      <w:szCs w:val="16"/>
    </w:rPr>
  </w:style>
  <w:style w:type="paragraph" w:customStyle="1" w:styleId="200">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201">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kern w:val="0"/>
      <w:sz w:val="28"/>
      <w:szCs w:val="20"/>
    </w:rPr>
  </w:style>
  <w:style w:type="paragraph" w:customStyle="1" w:styleId="20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203">
    <w:name w:val="表格字"/>
    <w:basedOn w:val="1"/>
    <w:qFormat/>
    <w:uiPriority w:val="0"/>
    <w:pPr>
      <w:adjustRightInd w:val="0"/>
      <w:jc w:val="center"/>
    </w:pPr>
    <w:rPr>
      <w:rFonts w:ascii="宋体" w:hAnsi="Times New Roman"/>
      <w:sz w:val="24"/>
      <w:szCs w:val="20"/>
    </w:rPr>
  </w:style>
  <w:style w:type="paragraph" w:customStyle="1" w:styleId="20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5">
    <w:name w:val="评价"/>
    <w:basedOn w:val="1"/>
    <w:qFormat/>
    <w:uiPriority w:val="0"/>
    <w:pPr>
      <w:spacing w:afterLines="20"/>
      <w:ind w:firstLine="1446" w:firstLineChars="200"/>
    </w:pPr>
    <w:rPr>
      <w:sz w:val="24"/>
      <w:szCs w:val="24"/>
    </w:rPr>
  </w:style>
  <w:style w:type="paragraph" w:customStyle="1" w:styleId="206">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207">
    <w:name w:val="正文(缩进) 五号"/>
    <w:basedOn w:val="1"/>
    <w:qFormat/>
    <w:uiPriority w:val="0"/>
    <w:pPr>
      <w:widowControl/>
      <w:spacing w:after="120" w:line="360" w:lineRule="auto"/>
      <w:ind w:firstLine="420" w:firstLineChars="200"/>
      <w:jc w:val="left"/>
    </w:pPr>
    <w:rPr>
      <w:rFonts w:ascii="Arial" w:hAnsi="Arial" w:cs="宋体"/>
      <w:kern w:val="0"/>
      <w:szCs w:val="20"/>
    </w:rPr>
  </w:style>
  <w:style w:type="paragraph" w:customStyle="1" w:styleId="208">
    <w:name w:val="封面标题"/>
    <w:basedOn w:val="1"/>
    <w:qFormat/>
    <w:uiPriority w:val="0"/>
    <w:pPr>
      <w:spacing w:line="360" w:lineRule="auto"/>
      <w:jc w:val="center"/>
    </w:pPr>
    <w:rPr>
      <w:rFonts w:ascii="Times New Roman" w:hAnsi="Times New Roman" w:eastAsia="黑体"/>
      <w:sz w:val="48"/>
      <w:szCs w:val="20"/>
    </w:rPr>
  </w:style>
  <w:style w:type="paragraph" w:customStyle="1" w:styleId="209">
    <w:name w:val="列出段落2"/>
    <w:basedOn w:val="1"/>
    <w:qFormat/>
    <w:uiPriority w:val="0"/>
    <w:pPr>
      <w:ind w:firstLine="420" w:firstLineChars="200"/>
    </w:pPr>
    <w:rPr>
      <w:szCs w:val="20"/>
    </w:rPr>
  </w:style>
  <w:style w:type="paragraph" w:styleId="210">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211">
    <w:name w:val="font31"/>
    <w:basedOn w:val="44"/>
    <w:qFormat/>
    <w:uiPriority w:val="0"/>
    <w:rPr>
      <w:rFonts w:hint="default" w:ascii="Times New Roman" w:hAnsi="Times New Roman" w:cs="Times New Roman"/>
      <w:color w:val="000000"/>
      <w:sz w:val="21"/>
      <w:szCs w:val="21"/>
      <w:u w:val="none"/>
    </w:rPr>
  </w:style>
  <w:style w:type="character" w:customStyle="1" w:styleId="212">
    <w:name w:val="正文缩进 Char1"/>
    <w:qFormat/>
    <w:uiPriority w:val="0"/>
    <w:rPr>
      <w:rFonts w:eastAsia="宋体"/>
      <w:kern w:val="2"/>
      <w:sz w:val="21"/>
      <w:lang w:val="en-US" w:eastAsia="zh-CN" w:bidi="ar-SA"/>
    </w:rPr>
  </w:style>
  <w:style w:type="character" w:customStyle="1" w:styleId="213">
    <w:name w:val="列表段落 字符"/>
    <w:link w:val="139"/>
    <w:qFormat/>
    <w:uiPriority w:val="0"/>
    <w:rPr>
      <w:rFonts w:ascii="Calibri" w:hAnsi="Calibri" w:eastAsia="宋体" w:cs="Calibri"/>
      <w:szCs w:val="21"/>
    </w:rPr>
  </w:style>
  <w:style w:type="paragraph" w:customStyle="1" w:styleId="214">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szCs w:val="24"/>
    </w:rPr>
  </w:style>
  <w:style w:type="paragraph" w:customStyle="1" w:styleId="215">
    <w:name w:val=".正文"/>
    <w:basedOn w:val="1"/>
    <w:qFormat/>
    <w:uiPriority w:val="0"/>
    <w:pPr>
      <w:spacing w:beforeLines="50"/>
      <w:ind w:firstLine="200" w:firstLineChars="200"/>
    </w:pPr>
    <w:rPr>
      <w:rFonts w:eastAsia="华文仿宋"/>
    </w:rPr>
  </w:style>
  <w:style w:type="paragraph" w:customStyle="1" w:styleId="216">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217">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218">
    <w:name w:val="Table Normal"/>
    <w:semiHidden/>
    <w:unhideWhenUsed/>
    <w:qFormat/>
    <w:uiPriority w:val="0"/>
    <w:tblPr>
      <w:tblCellMar>
        <w:top w:w="0" w:type="dxa"/>
        <w:left w:w="0" w:type="dxa"/>
        <w:bottom w:w="0" w:type="dxa"/>
        <w:right w:w="0" w:type="dxa"/>
      </w:tblCellMar>
    </w:tblPr>
  </w:style>
  <w:style w:type="table" w:customStyle="1" w:styleId="219">
    <w:name w:val="网格型1"/>
    <w:basedOn w:val="42"/>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0">
    <w:name w:val="Ｒ07-正!!文"/>
    <w:autoRedefine/>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paragraph" w:customStyle="1" w:styleId="221">
    <w:name w:val="*正文"/>
    <w:basedOn w:val="1"/>
    <w:autoRedefine/>
    <w:qFormat/>
    <w:uiPriority w:val="0"/>
    <w:pPr>
      <w:spacing w:line="360" w:lineRule="auto"/>
      <w:ind w:firstLine="200" w:firstLineChars="200"/>
    </w:pPr>
    <w:rPr>
      <w:rFonts w:ascii="宋体" w:hAnsi="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mycomputer</Company>
  <Pages>85</Pages>
  <Words>2671</Words>
  <Characters>2728</Characters>
  <Lines>427</Lines>
  <Paragraphs>120</Paragraphs>
  <TotalTime>65</TotalTime>
  <ScaleCrop>false</ScaleCrop>
  <LinksUpToDate>false</LinksUpToDate>
  <CharactersWithSpaces>2752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2020-09-24T06:11:00Z</dcterms:created>
  <dc:creator>Administrator</dc:creator>
  <cp:lastModifiedBy>中正招标庄学华</cp:lastModifiedBy>
  <cp:lastPrinted>2019-10-21T08:50:00Z</cp:lastPrinted>
  <dcterms:modified xsi:type="dcterms:W3CDTF">2025-07-07T04:20:53Z</dcterms:modified>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FAFECB47EBCC47FE9C905A0772886A78_13</vt:lpwstr>
  </property>
  <property fmtid="{D5CDD505-2E9C-101B-9397-08002B2CF9AE}" pid="4" name="KSOTemplateDocerSaveRecord">
    <vt:lpwstr>eyJoZGlkIjoiY2FkNzhjOTRiYTFjZGFkODk1NGVjZmFjOTg4ODM4ZjUiLCJ1c2VySWQiOiI0NTA5MTc1MTkifQ==</vt:lpwstr>
  </property>
</Properties>
</file>