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双反牵引骨折复位专用器械（包）</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项目编号：SZZZ2024-QA0115</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
      <w:pPr>
        <w:pStyle w:val="28"/>
        <w:adjustRightInd w:val="0"/>
        <w:snapToGrid w:val="0"/>
        <w:spacing w:line="300" w:lineRule="auto"/>
        <w:ind w:hanging="835"/>
        <w:jc w:val="center"/>
        <w:rPr>
          <w:b/>
          <w:kern w:val="0"/>
          <w:sz w:val="28"/>
          <w:szCs w:val="28"/>
        </w:rPr>
      </w:pPr>
      <w:r>
        <w:rPr>
          <w:rFonts w:hint="eastAsia"/>
          <w:b/>
          <w:snapToGrid w:val="0"/>
          <w:sz w:val="30"/>
        </w:rPr>
        <w:t>二〇二四年六月</w:t>
      </w:r>
    </w:p>
    <w:p/>
    <w:p/>
    <w:p/>
    <w:p/>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2"/>
      </w:pPr>
      <w:bookmarkStart w:id="0" w:name="_Toc1352933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双反牵引骨折复位专用器械（包）</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SZZZ2024-QA0115</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2、项目名称：双反牵引骨折复位专用器械（包）</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4、预算金额：人民币147,800.00元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5、最高限价：人民币147,800.00元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名称：深圳市宝安区福永人民医院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地址：深圳市宝安区福永街道德丰路81号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联系方式：罗工，0755-27391395</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11</w:t>
      </w:r>
      <w:r>
        <w:rPr>
          <w:rFonts w:hint="eastAsia" w:ascii="宋体" w:hAnsi="宋体"/>
          <w:snapToGrid w:val="0"/>
          <w:kern w:val="0"/>
          <w:sz w:val="24"/>
        </w:rPr>
        <w:t>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pPr>
        <w:rPr>
          <w:szCs w:val="21"/>
        </w:rPr>
      </w:pPr>
    </w:p>
    <w:p>
      <w:pPr>
        <w:pStyle w:val="2"/>
      </w:pPr>
      <w:bookmarkStart w:id="1" w:name="_Toc135293321"/>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双反牵引骨折复位专用器械（包）</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pPr>
              <w:jc w:val="center"/>
              <w:rPr>
                <w:rFonts w:ascii="宋体" w:hAnsi="宋体" w:cs="宋体"/>
                <w:bCs/>
                <w:kern w:val="0"/>
                <w:szCs w:val="21"/>
              </w:rPr>
            </w:pPr>
            <w:r>
              <w:rPr>
                <w:rFonts w:hint="eastAsia" w:ascii="宋体" w:hAnsi="宋体"/>
                <w:snapToGrid w:val="0"/>
                <w:szCs w:val="21"/>
              </w:rPr>
              <w:t>147,800.00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双反牵引骨折复位专用器械（包）</w:t>
            </w:r>
          </w:p>
        </w:tc>
        <w:tc>
          <w:tcPr>
            <w:tcW w:w="79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5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843" w:type="dxa"/>
            <w:vAlign w:val="center"/>
          </w:tcPr>
          <w:p>
            <w:pPr>
              <w:jc w:val="center"/>
              <w:rPr>
                <w:rFonts w:ascii="宋体" w:hAnsi="宋体" w:cs="宋体"/>
                <w:kern w:val="0"/>
                <w:szCs w:val="21"/>
              </w:rPr>
            </w:pPr>
            <w:r>
              <w:rPr>
                <w:rFonts w:hint="eastAsia" w:ascii="宋体" w:hAnsi="宋体"/>
                <w:snapToGrid w:val="0"/>
                <w:szCs w:val="21"/>
              </w:rPr>
              <w:t>147,800.00</w:t>
            </w:r>
          </w:p>
        </w:tc>
        <w:tc>
          <w:tcPr>
            <w:tcW w:w="620" w:type="dxa"/>
            <w:vAlign w:val="center"/>
          </w:tcPr>
          <w:p>
            <w:pPr>
              <w:spacing w:line="360" w:lineRule="auto"/>
              <w:jc w:val="left"/>
              <w:rPr>
                <w:rFonts w:ascii="宋体" w:hAnsi="宋体" w:cs="宋体"/>
                <w:kern w:val="0"/>
                <w:szCs w:val="21"/>
              </w:rPr>
            </w:pP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pStyle w:val="453"/>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auto"/>
          <w:sz w:val="21"/>
          <w:highlight w:val="yellow"/>
        </w:rPr>
      </w:pPr>
      <w:r>
        <w:rPr>
          <w:rFonts w:hint="eastAsia" w:asciiTheme="minorEastAsia" w:hAnsiTheme="minorEastAsia" w:eastAsiaTheme="minorEastAsia"/>
          <w:b/>
          <w:bCs/>
          <w:snapToGrid w:val="0"/>
          <w:color w:val="auto"/>
          <w:sz w:val="21"/>
          <w:highlight w:val="yellow"/>
        </w:rPr>
        <w:t>★（5）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pPr>
        <w:adjustRightInd w:val="0"/>
        <w:snapToGrid w:val="0"/>
        <w:spacing w:line="360" w:lineRule="auto"/>
        <w:ind w:firstLine="424" w:firstLineChars="201"/>
        <w:rPr>
          <w:rFonts w:ascii="宋体" w:hAnsi="宋体"/>
          <w:bCs/>
          <w:snapToGrid w:val="0"/>
          <w:kern w:val="0"/>
          <w:szCs w:val="21"/>
        </w:rPr>
      </w:pPr>
      <w:r>
        <w:rPr>
          <w:rFonts w:hint="eastAsia" w:asciiTheme="minorEastAsia" w:hAnsiTheme="minorEastAsia" w:eastAsiaTheme="minorEastAsia"/>
          <w:b/>
          <w:bCs/>
          <w:snapToGrid w:val="0"/>
          <w:highlight w:val="yellow"/>
        </w:rPr>
        <w:t>★（6）投标人必须具备所投产品的《医疗器械注册（备案）证》（证明文件：须提供《医疗器械注册（备案）证》证书），开标时，该注册证应在有效期内；若不在有效期内，则需提供该注册证和所投产品在该注册证有效期内生产的药监局出具的证明文件，或在注册证有效期内出厂的证明文件。以上资料均提供复印件或扫描件加盖投标人公章。</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617" w:type="dxa"/>
            <w:gridSpan w:val="3"/>
            <w:vAlign w:val="center"/>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功能要求：</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1.产</w:t>
            </w:r>
            <w:bookmarkStart w:id="114" w:name="_GoBack"/>
            <w:bookmarkEnd w:id="114"/>
            <w:r>
              <w:rPr>
                <w:rFonts w:hint="eastAsia" w:asciiTheme="minorEastAsia" w:hAnsiTheme="minorEastAsia" w:eastAsiaTheme="minorEastAsia"/>
                <w:szCs w:val="21"/>
              </w:rPr>
              <w:t>品包括骨科保护支具（如：固定架）、医用外固定支具（如：支撑杆）、可调式固定支具（如：牵引弓）等配件。</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2.骨科保护支具可被折叠，折叠高度应≤100mm；展开后高度应＞200mm。</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3.医用外固定支具长度应≥700mm，且可透X光线。</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4.可调式固定支具的张口宽度可调，最小张口尺寸应≤120mm，最大张口尺寸应≥200mm。</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5.可调式固定支具应配置至少两种形式。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Merge w:val="restart"/>
            <w:vAlign w:val="center"/>
          </w:tcPr>
          <w:p>
            <w:pPr>
              <w:spacing w:after="6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双反牵引骨折复位专用器械（包）</w:t>
            </w: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1.骨科保护支具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b/>
                <w:szCs w:val="21"/>
              </w:rPr>
            </w:pP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1.1长度≥420mm，宽度≥300mm，展开高度≥260mm，折叠高度＜100mm，方便消毒、安装、使用。</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1.2连接套可与医用外固定支具连接，可根据手术需求调节方向。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b/>
                <w:szCs w:val="21"/>
              </w:rPr>
            </w:pP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2.医用外固定支具</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2.1外圆≥25mm，最大跨度≥700mm，支具为高分子材料，可透X光。</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2.2配备不锈钢固定销。</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2.3配备锁紧钉。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pPr>
          </w:p>
        </w:tc>
        <w:tc>
          <w:tcPr>
            <w:tcW w:w="1980" w:type="dxa"/>
            <w:vMerge w:val="continue"/>
          </w:tcPr>
          <w:p>
            <w:pPr>
              <w:spacing w:after="60" w:line="360" w:lineRule="auto"/>
            </w:pP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3.可调式牵开器</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3.1张口可调，最大张口尺寸≥200mm，最小张口尺寸≤195mm。</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3.2配备通用型、专用型牵开器各一个。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szCs w:val="21"/>
              </w:rPr>
            </w:pPr>
          </w:p>
        </w:tc>
        <w:tc>
          <w:tcPr>
            <w:tcW w:w="6737" w:type="dxa"/>
          </w:tcPr>
          <w:p>
            <w:pPr>
              <w:spacing w:after="60" w:line="360" w:lineRule="auto"/>
              <w:rPr>
                <w:rFonts w:asciiTheme="minorEastAsia" w:hAnsiTheme="minorEastAsia"/>
                <w:szCs w:val="21"/>
              </w:rPr>
            </w:pPr>
            <w:r>
              <w:rPr>
                <w:rFonts w:hint="eastAsia" w:ascii="宋体" w:hAnsi="宋体"/>
                <w:szCs w:val="21"/>
              </w:rPr>
              <w:t>4.骨折固定夹：具备单孔、双孔两种，长度≥240mm。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szCs w:val="21"/>
              </w:rPr>
            </w:pPr>
          </w:p>
        </w:tc>
        <w:tc>
          <w:tcPr>
            <w:tcW w:w="6737"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5.M6骨把持器：长度≥320mm。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szCs w:val="21"/>
              </w:rPr>
            </w:pPr>
          </w:p>
        </w:tc>
        <w:tc>
          <w:tcPr>
            <w:tcW w:w="6737" w:type="dxa"/>
          </w:tcPr>
          <w:p>
            <w:pPr>
              <w:spacing w:line="360" w:lineRule="auto"/>
              <w:rPr>
                <w:rFonts w:asciiTheme="minorEastAsia" w:hAnsiTheme="minorEastAsia"/>
                <w:szCs w:val="21"/>
              </w:rPr>
            </w:pPr>
            <w:r>
              <w:rPr>
                <w:rFonts w:hint="eastAsia" w:asciiTheme="minorEastAsia" w:hAnsiTheme="minorEastAsia"/>
                <w:szCs w:val="21"/>
              </w:rPr>
              <w:t>6.</w:t>
            </w:r>
            <w:r>
              <w:rPr>
                <w:rFonts w:hint="eastAsia" w:ascii="宋体" w:hAnsi="宋体"/>
                <w:szCs w:val="21"/>
              </w:rPr>
              <w:t>5mm肢体固定器：长度≥35mm。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pPr>
              <w:spacing w:after="60" w:line="360" w:lineRule="auto"/>
              <w:rPr>
                <w:rFonts w:asciiTheme="minorEastAsia" w:hAnsiTheme="minorEastAsia" w:eastAsiaTheme="minorEastAsia"/>
                <w:szCs w:val="21"/>
              </w:rPr>
            </w:pPr>
          </w:p>
        </w:tc>
        <w:tc>
          <w:tcPr>
            <w:tcW w:w="1980" w:type="dxa"/>
            <w:vMerge w:val="continue"/>
          </w:tcPr>
          <w:p>
            <w:pPr>
              <w:spacing w:after="60" w:line="360" w:lineRule="auto"/>
              <w:rPr>
                <w:rFonts w:asciiTheme="minorEastAsia" w:hAnsiTheme="minorEastAsia" w:eastAsiaTheme="minorEastAsia"/>
                <w:szCs w:val="21"/>
              </w:rPr>
            </w:pPr>
          </w:p>
        </w:tc>
        <w:tc>
          <w:tcPr>
            <w:tcW w:w="6737" w:type="dxa"/>
          </w:tcPr>
          <w:p>
            <w:pPr>
              <w:numPr>
                <w:ilvl w:val="0"/>
                <w:numId w:val="4"/>
              </w:numPr>
              <w:spacing w:after="60" w:line="360" w:lineRule="auto"/>
              <w:rPr>
                <w:rFonts w:ascii="宋体" w:hAnsi="宋体"/>
                <w:szCs w:val="21"/>
              </w:rPr>
            </w:pPr>
            <w:r>
              <w:rPr>
                <w:rFonts w:hint="eastAsia" w:ascii="宋体" w:hAnsi="宋体"/>
                <w:szCs w:val="21"/>
              </w:rPr>
              <w:t>骨牵引针</w:t>
            </w:r>
            <w:r>
              <w:rPr>
                <w:rFonts w:hint="eastAsia" w:ascii="宋体" w:hAnsi="宋体"/>
                <w:szCs w:val="21"/>
                <w:lang w:eastAsia="zh-CN"/>
              </w:rPr>
              <w:t>（</w:t>
            </w:r>
            <w:r>
              <w:rPr>
                <w:rFonts w:hint="eastAsia"/>
              </w:rPr>
              <w:t>包含直径为</w:t>
            </w:r>
            <w:r>
              <w:rPr>
                <w:rFonts w:hint="eastAsia" w:ascii="宋体" w:hAnsi="宋体"/>
                <w:szCs w:val="21"/>
              </w:rPr>
              <w:t>2.5mm及3.0mm</w:t>
            </w:r>
            <w:r>
              <w:rPr>
                <w:rFonts w:hint="eastAsia" w:ascii="宋体" w:hAnsi="宋体"/>
                <w:szCs w:val="21"/>
                <w:lang w:eastAsia="zh-CN"/>
              </w:rPr>
              <w:t>）</w:t>
            </w:r>
            <w:r>
              <w:rPr>
                <w:rFonts w:hint="eastAsia" w:ascii="宋体" w:hAnsi="宋体"/>
                <w:szCs w:val="21"/>
              </w:rPr>
              <w:t>：2.5mm，长度≥450mm；3.0mm，长度≥350mm。</w:t>
            </w:r>
          </w:p>
        </w:tc>
      </w:tr>
    </w:tbl>
    <w:p>
      <w:pPr>
        <w:spacing w:line="360" w:lineRule="auto"/>
        <w:rPr>
          <w:rFonts w:ascii="宋体" w:hAnsi="宋体"/>
          <w:b/>
          <w:bCs/>
          <w:snapToGrid w:val="0"/>
          <w:kern w:val="0"/>
          <w:sz w:val="24"/>
        </w:rPr>
      </w:pPr>
      <w:r>
        <w:rPr>
          <w:rFonts w:hint="eastAsia" w:ascii="宋体" w:hAnsi="宋体"/>
          <w:b/>
          <w:bCs/>
          <w:snapToGrid w:val="0"/>
          <w:kern w:val="0"/>
          <w:sz w:val="24"/>
        </w:rPr>
        <w:t>配置清单（总配置）</w:t>
      </w:r>
    </w:p>
    <w:tbl>
      <w:tblPr>
        <w:tblStyle w:val="5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812"/>
        <w:gridCol w:w="1336"/>
        <w:gridCol w:w="1428"/>
        <w:gridCol w:w="1459"/>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blHeader/>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asciiTheme="minorEastAsia" w:hAnsiTheme="minorEastAsia" w:eastAsiaTheme="minorEastAsia"/>
                <w:szCs w:val="21"/>
              </w:rPr>
              <w:t>序号</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产品名称</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asciiTheme="minorEastAsia" w:hAnsiTheme="minorEastAsia" w:eastAsiaTheme="minorEastAsia"/>
                <w:szCs w:val="21"/>
              </w:rPr>
              <w:t>单位</w:t>
            </w:r>
          </w:p>
        </w:tc>
        <w:tc>
          <w:tcPr>
            <w:tcW w:w="1655" w:type="dxa"/>
            <w:tcBorders>
              <w:top w:val="single" w:color="auto" w:sz="4" w:space="0"/>
              <w:left w:val="single" w:color="auto" w:sz="4" w:space="0"/>
              <w:bottom w:val="single" w:color="auto" w:sz="4" w:space="0"/>
              <w:right w:val="single" w:color="auto" w:sz="4" w:space="0"/>
            </w:tcBorders>
          </w:tcPr>
          <w:p>
            <w:pPr>
              <w:spacing w:after="60" w:line="360" w:lineRule="auto"/>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最高</w:t>
            </w:r>
            <w:r>
              <w:rPr>
                <w:rFonts w:hint="eastAsia" w:asciiTheme="minorEastAsia" w:hAnsiTheme="minorEastAsia" w:eastAsiaTheme="minorEastAsia"/>
                <w:szCs w:val="21"/>
              </w:rPr>
              <w:t>单价</w:t>
            </w:r>
            <w:r>
              <w:rPr>
                <w:rFonts w:hint="eastAsia" w:asciiTheme="minorEastAsia" w:hAnsiTheme="minorEastAsia" w:eastAsiaTheme="minorEastAsia"/>
                <w:szCs w:val="21"/>
                <w:lang w:val="en-US" w:eastAsia="zh-CN"/>
              </w:rPr>
              <w:t>限额</w:t>
            </w:r>
          </w:p>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骨科保护支具</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医用外固定支具</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Φ25</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可调式牵开器</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I型</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可调式牵开器</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II型</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扳手</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T型</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扳手</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棘轮</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扳手</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Φ5</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骨折固定夹</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I型</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骨折固定夹</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II型</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骨把持器</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M6</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肢体固定器</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5.0mm</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骨牵引针</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2.5mm</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骨牵引针</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3.0mm</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快速连接杆</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骨科用螺丝刀</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SW5</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骨科用螺丝刀</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SW3.5</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快装手柄</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72mm</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工具盒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Ø9</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Ø9 弯</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Ø10</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Ø10 弯</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Ø11</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撬棒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Ø11 弯</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骨锯</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Ø12</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骨锯</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Ø14</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骨锯</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Ø16</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骨科钻孔瞄准器</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Ø16</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骨科定位片</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Ø16</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骨导引针</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Ø3</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L 型六角扳手</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SW2.5</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2812"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胫骨平台塌陷骨折复位工具</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器械盒</w:t>
            </w:r>
          </w:p>
        </w:tc>
        <w:tc>
          <w:tcPr>
            <w:tcW w:w="1336"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59"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1400</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872"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bookmarkStart w:id="2" w:name="_Hlk49779002"/>
            <w:r>
              <w:rPr>
                <w:rFonts w:hint="eastAsia" w:asciiTheme="minorEastAsia" w:hAnsiTheme="minorEastAsia" w:eastAsiaTheme="minorEastAsia"/>
                <w:b/>
                <w:kern w:val="0"/>
                <w:szCs w:val="21"/>
                <w:highlight w:val="yellow"/>
              </w:rPr>
              <w:t>★报价要求</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★控制金额</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本项目控制金额为人民币14.78万元整，超出控制金额将被当作无效投标处理。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★交货地点</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深圳市宝安区福永人民医院，由采购人指定具体交货地点。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★交货时间</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签订合同后60个日历日内交货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★付款方式</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签订合同后，设备到货安装验收合格并收到中标人开具的正规等额发票，采购人按财务规定程序支付合同价款100%给中标人；中标人出具经采购人确认的验收报告同时，中标人需向采购人出具向厂家购买保修服务合同或厂家维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05" w:type="dxa"/>
            <w:tcBorders>
              <w:top w:val="single" w:color="auto" w:sz="4" w:space="0"/>
              <w:left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★验收方式</w:t>
            </w:r>
          </w:p>
        </w:tc>
        <w:tc>
          <w:tcPr>
            <w:tcW w:w="8367" w:type="dxa"/>
            <w:tcBorders>
              <w:top w:val="single" w:color="auto" w:sz="4" w:space="0"/>
              <w:left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1.货到安装，现场验收。中标人须向采购人提供全套的材料、设备配置清单、检验产品合格证、使用说明书及其他技术资料。中标人负责通知厂家派有经验的技术人员到现场进行安装、调试，直到设备正常使用。因甲方现场不具备安装调试条件导致工期延误时，安装调试完工日期应当顺延，具体顺延期限由甲乙双方商定。</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2.设备安装调试正常使用后20个工作日内进行验收，由使用科室、设备科、厂家代表、中标人等代表在场进行验收，维保期从验收合格之日起计。</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3.产品质量和安装调试检验标准遵照国家相关规定和最新标准以及招标文件执行。验收中如发现有质量不合格或型号规格、数量、技术参数等不符招标文件的情况，中标人应免费更换或补齐，并承担因此产生的任何费用及采购人全部损失。经更换或补齐后，仍不符合要求的，采购人有权单方解除合同。中标人提供的货物经过双方检验认可后，采购人签署验收报告。</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4.对于未发现的隐蔽质量瑕疵，若在维保期内发现的，采购人除有权要求中标人采取修理、更换或退货等处理措施并赔偿采购人因此遭受的经济损失外，还有权要求延长保修期（针对修理设备的情形）或重新计算维保期（针对更换设备的情形）。</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5.当满足以下条件时，采购人才向中标人签发货物验收报告：</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（1）中标人已按照合同规定提供了全部产品及完整的技术资料；</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（2）货物符合招标文件技术规格书的要求，性能满足要求；</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（3）货物具备产品合格证；</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（4）提供维修手册、售后服务承诺书、中文操作手册。</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6.若采购人对中标产品质量有质疑，中标人需无条件配合采购人委托有资质的第三方质量检测部门按照招投标文件进行技术参数检测确认，委托检测验收事项由中标人负责。检测报告的结果为合格，采购人将履行采购合同；若检测报告不合格，采购人有权单方解除合同，因此造成的经济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★包装及运输要求</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1.包装方式按照原厂出厂原标准，外包装到货时应完好无损，包装费用由中标人承担，外包装破损时采购人有权拒绝收货。中标人承担由于其包装或其防护措施不妥而引起的货物锈蚀、损坏和丢失等任何损失，并承担因此而发生的违约责任。</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2.中标人负责送货上门，并应确保产品运输过程的安全性。中标人将货物运至双方约定的交付地点，卸载、摆放至采购人指定的位置，并办理相关交货手续，运费及包装清理费由中标人承担。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★售后服务要求</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 xml:space="preserve">1.各投标人应在投标文件中列明各主机、配件和易耗品的保修期限,并承诺提供整机免费保修期 </w:t>
            </w:r>
            <w:r>
              <w:rPr>
                <w:rFonts w:hint="eastAsia" w:asciiTheme="minorEastAsia" w:hAnsiTheme="minorEastAsia" w:eastAsiaTheme="minorEastAsia"/>
                <w:b/>
                <w:kern w:val="0"/>
                <w:szCs w:val="21"/>
                <w:highlight w:val="yellow"/>
                <w:u w:val="single"/>
              </w:rPr>
              <w:t>2</w:t>
            </w:r>
            <w:r>
              <w:rPr>
                <w:rFonts w:hint="eastAsia" w:asciiTheme="minorEastAsia" w:hAnsiTheme="minorEastAsia" w:eastAsiaTheme="minorEastAsia"/>
                <w:b/>
                <w:kern w:val="0"/>
                <w:szCs w:val="21"/>
                <w:highlight w:val="yellow"/>
              </w:rPr>
              <w:t>年</w:t>
            </w:r>
            <w:r>
              <w:rPr>
                <w:rFonts w:hint="eastAsia" w:asciiTheme="minorEastAsia" w:hAnsiTheme="minorEastAsia" w:eastAsiaTheme="minorEastAsia"/>
                <w:b/>
                <w:kern w:val="0"/>
                <w:szCs w:val="21"/>
                <w:highlight w:val="yellow"/>
                <w:lang w:val="en-US" w:eastAsia="zh-CN"/>
              </w:rPr>
              <w:t>或以上</w:t>
            </w:r>
            <w:r>
              <w:rPr>
                <w:rFonts w:hint="eastAsia" w:asciiTheme="minorEastAsia" w:hAnsiTheme="minorEastAsia" w:eastAsiaTheme="minorEastAsia"/>
                <w:b/>
                <w:kern w:val="0"/>
                <w:szCs w:val="21"/>
                <w:highlight w:val="yellow"/>
              </w:rPr>
              <w:t>,含刃口器械保修期</w:t>
            </w:r>
            <w:r>
              <w:rPr>
                <w:rFonts w:hint="eastAsia" w:asciiTheme="minorEastAsia" w:hAnsiTheme="minorEastAsia" w:eastAsiaTheme="minorEastAsia"/>
                <w:b/>
                <w:kern w:val="0"/>
                <w:szCs w:val="21"/>
                <w:highlight w:val="yellow"/>
                <w:u w:val="single"/>
              </w:rPr>
              <w:t>12</w:t>
            </w:r>
            <w:r>
              <w:rPr>
                <w:rFonts w:hint="eastAsia" w:asciiTheme="minorEastAsia" w:hAnsiTheme="minorEastAsia" w:eastAsiaTheme="minorEastAsia"/>
                <w:b/>
                <w:kern w:val="0"/>
                <w:szCs w:val="21"/>
                <w:highlight w:val="yellow"/>
              </w:rPr>
              <w:t>个月</w:t>
            </w:r>
            <w:r>
              <w:rPr>
                <w:rFonts w:hint="eastAsia" w:asciiTheme="minorEastAsia" w:hAnsiTheme="minorEastAsia" w:eastAsiaTheme="minorEastAsia"/>
                <w:b/>
                <w:kern w:val="0"/>
                <w:szCs w:val="21"/>
                <w:highlight w:val="yellow"/>
                <w:lang w:val="en-US" w:eastAsia="zh-CN"/>
              </w:rPr>
              <w:t>或以上</w:t>
            </w:r>
            <w:r>
              <w:rPr>
                <w:rFonts w:hint="eastAsia" w:asciiTheme="minorEastAsia" w:hAnsiTheme="minorEastAsia" w:eastAsiaTheme="minorEastAsia"/>
                <w:b/>
                <w:kern w:val="0"/>
                <w:szCs w:val="21"/>
                <w:highlight w:val="yellow"/>
              </w:rPr>
              <w:t>，保修期内产品如无法修复，则予以免费更换。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培训</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1.投标人应派专业技术人员免费对采购单位指定人员进行定期培训及指导，直至其完全掌握设备的基本故障处理技术。</w:t>
            </w:r>
          </w:p>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2.现场培训：投标人应提供现场技术培训，保证使用人员正常操作设备的各种功能。</w:t>
            </w:r>
          </w:p>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3.集中培训：根据设备技术要求，可向投标人提供使用和维修技术人员培训。</w:t>
            </w:r>
          </w:p>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4. 计算机辅助培训：针对该机型的多媒体互动操作教学软件，方便学习掌握基本操作和各项高级功能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b/>
                <w:bCs/>
                <w:color w:val="000000"/>
                <w:szCs w:val="21"/>
              </w:rPr>
            </w:pPr>
            <w:r>
              <w:rPr>
                <w:rFonts w:hint="eastAsia" w:asciiTheme="minorEastAsia" w:hAnsiTheme="minorEastAsia" w:eastAsiaTheme="minorEastAsia"/>
                <w:b/>
                <w:kern w:val="0"/>
                <w:szCs w:val="21"/>
                <w:highlight w:val="yellow"/>
              </w:rPr>
              <w:t>★其他要求</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1、本项目中如有涉及水、电、气设备安装及调试、室外高空作业等项目的中标人承诺使用具有国家认可资质的操作人员（资质证书仍在有效期内）实施，否则由此造成的后果由中标人负责。</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2、如所投产品受行业主管部门规定强制认证或检测或许可的（如3C认证或检测报告或工信部进网许可证等），中标人在签订合同前向采购单位提供相关认证证书或检测报告。</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3、本项目所要求的硬件、软件，中标人要配备给采购人，并保证采购人能正常使用，不需要另外增加其他附件和其他费用。</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4、中标人免费负责对接医院相关系统等</w:t>
            </w:r>
            <w:r>
              <w:rPr>
                <w:rFonts w:hint="eastAsia" w:asciiTheme="minorEastAsia" w:hAnsiTheme="minorEastAsia" w:eastAsiaTheme="minorEastAsia"/>
                <w:b/>
                <w:kern w:val="0"/>
                <w:szCs w:val="21"/>
                <w:highlight w:val="yellow"/>
                <w:lang w:eastAsia="zh-CN"/>
              </w:rPr>
              <w:t>（</w:t>
            </w:r>
            <w:r>
              <w:rPr>
                <w:rFonts w:hint="eastAsia" w:asciiTheme="minorEastAsia" w:hAnsiTheme="minorEastAsia" w:eastAsiaTheme="minorEastAsia"/>
                <w:b/>
                <w:kern w:val="0"/>
                <w:szCs w:val="21"/>
                <w:highlight w:val="yellow"/>
                <w:lang w:val="en-US" w:eastAsia="zh-CN"/>
              </w:rPr>
              <w:t>如需</w:t>
            </w:r>
            <w:r>
              <w:rPr>
                <w:rFonts w:hint="eastAsia" w:asciiTheme="minorEastAsia" w:hAnsiTheme="minorEastAsia" w:eastAsiaTheme="minorEastAsia"/>
                <w:b/>
                <w:kern w:val="0"/>
                <w:szCs w:val="21"/>
                <w:highlight w:val="yellow"/>
                <w:lang w:eastAsia="zh-CN"/>
              </w:rPr>
              <w:t>）</w:t>
            </w:r>
            <w:r>
              <w:rPr>
                <w:rFonts w:hint="eastAsia" w:asciiTheme="minorEastAsia" w:hAnsiTheme="minorEastAsia" w:eastAsiaTheme="minorEastAsia"/>
                <w:b/>
                <w:kern w:val="0"/>
                <w:szCs w:val="21"/>
                <w:highlight w:val="yellow"/>
              </w:rPr>
              <w:t>，实现数据实时自动本地备份，保证数据安全和共享，无需另外购置即可满足临床需求。</w:t>
            </w:r>
          </w:p>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5、包装方式按照原厂出厂原标准，中标人承担由于其包装或其防护措施不妥而引起货物锈蚀、损坏和丢失等任何损失，并承担因此而发生的违约责任。</w:t>
            </w:r>
          </w:p>
          <w:p>
            <w:pPr>
              <w:spacing w:line="360" w:lineRule="auto"/>
            </w:pPr>
            <w:r>
              <w:rPr>
                <w:rFonts w:hint="eastAsia" w:asciiTheme="minorEastAsia" w:hAnsiTheme="minorEastAsia" w:eastAsiaTheme="minorEastAsia"/>
                <w:b/>
                <w:kern w:val="0"/>
                <w:szCs w:val="21"/>
                <w:highlight w:val="yellow"/>
              </w:rPr>
              <w:t>6、投标人应按其投标文件中的承诺，进行其他售后服务工作。每年维保服务期结束后，厂家或其指定维保服务商应向采购人提交年度服务总结报告，报告内容包括但不限于维修情况、PM情况、设备运行情况分析、维保成本分析、设备存在问题及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b/>
                <w:kern w:val="0"/>
                <w:szCs w:val="21"/>
                <w:highlight w:val="yellow"/>
              </w:rPr>
            </w:pPr>
            <w:r>
              <w:rPr>
                <w:rFonts w:hint="eastAsia" w:ascii="宋体" w:hAnsi="宋体"/>
                <w:b/>
                <w:kern w:val="0"/>
                <w:szCs w:val="21"/>
              </w:rPr>
              <w:t>质量保证</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jc w:val="left"/>
              <w:rPr>
                <w:rFonts w:asciiTheme="minorEastAsia" w:hAnsiTheme="minorEastAsia" w:eastAsiaTheme="minorEastAsia"/>
                <w:b/>
                <w:kern w:val="0"/>
                <w:szCs w:val="21"/>
                <w:highlight w:val="yellow"/>
              </w:rPr>
            </w:pPr>
            <w:r>
              <w:rPr>
                <w:rFonts w:hint="eastAsia" w:asciiTheme="minorEastAsia" w:hAnsiTheme="minorEastAsia" w:eastAsiaTheme="minorEastAsia"/>
                <w:bCs/>
                <w:kern w:val="0"/>
                <w:szCs w:val="21"/>
              </w:rPr>
              <w:t>在保修期内, 投标人应确保年开机率在95%以上, 若不能达到此开机率，将作以下处理：a. 年开机率在90-95%之间按一赔 2 延长保修期；b. 年开机率在85-90%之间按一赔 3 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★报价要求</w:t>
            </w:r>
          </w:p>
        </w:tc>
        <w:tc>
          <w:tcPr>
            <w:tcW w:w="8367" w:type="dxa"/>
            <w:tcBorders>
              <w:top w:val="single" w:color="auto" w:sz="4" w:space="0"/>
              <w:left w:val="single" w:color="auto" w:sz="4" w:space="0"/>
              <w:bottom w:val="single" w:color="auto" w:sz="4" w:space="0"/>
              <w:right w:val="single" w:color="auto" w:sz="4" w:space="0"/>
            </w:tcBorders>
            <w:noWrap/>
          </w:tcPr>
          <w:p>
            <w:pPr>
              <w:spacing w:line="360" w:lineRule="auto"/>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bookmarkEnd w:id="2"/>
    </w:tbl>
    <w:p/>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pPr>
      <w:bookmarkStart w:id="3" w:name="_Toc135293322"/>
      <w:r>
        <w:rPr>
          <w:rFonts w:hint="eastAsia"/>
        </w:rPr>
        <w:t>第三章  投标文件初审</w:t>
      </w:r>
      <w:bookmarkEnd w:id="3"/>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Pr>
        <w:rPr>
          <w:rFonts w:hint="eastAsia"/>
        </w:rPr>
      </w:pPr>
    </w:p>
    <w:p/>
    <w:p>
      <w:pPr>
        <w:pStyle w:val="2"/>
      </w:pPr>
      <w:bookmarkStart w:id="4" w:name="_Toc135293323"/>
      <w:r>
        <w:rPr>
          <w:rFonts w:hint="eastAsia"/>
        </w:rPr>
        <w:t>第四章  评标方法和标准</w:t>
      </w:r>
      <w:bookmarkEnd w:id="4"/>
    </w:p>
    <w:p>
      <w:pPr>
        <w:pStyle w:val="4"/>
        <w:spacing w:before="0" w:after="0"/>
      </w:pPr>
      <w:bookmarkStart w:id="5" w:name="_Toc44691161"/>
      <w:bookmarkStart w:id="6" w:name="_Toc44690702"/>
      <w:bookmarkStart w:id="7" w:name="_Toc44691393"/>
      <w:bookmarkStart w:id="8" w:name="_Toc44690429"/>
      <w:bookmarkStart w:id="9" w:name="_Toc135293324"/>
      <w:r>
        <w:rPr>
          <w:rFonts w:hint="eastAsia"/>
        </w:rPr>
        <w:t>一、</w:t>
      </w:r>
      <w:r>
        <w:t>评标方法</w:t>
      </w:r>
      <w:bookmarkEnd w:id="5"/>
      <w:bookmarkEnd w:id="6"/>
      <w:bookmarkEnd w:id="7"/>
      <w:bookmarkEnd w:id="8"/>
      <w:bookmarkEnd w:id="9"/>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0" w:name="_Toc135293325"/>
      <w:r>
        <w:rPr>
          <w:rFonts w:hint="eastAsia"/>
        </w:rPr>
        <w:t>二、评标标准</w:t>
      </w:r>
      <w:bookmarkEnd w:id="10"/>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6"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40</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 40分；每负偏离一项扣2.5分，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hint="eastAsia" w:ascii="宋体" w:hAnsi="宋体" w:cs="仿宋"/>
                <w:szCs w:val="21"/>
                <w:lang w:val="zh-CN"/>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cs="仿宋"/>
                <w:szCs w:val="21"/>
                <w:lang w:val="zh-CN"/>
              </w:rPr>
              <w:t>技术要求中包含子项参数的，按子项参数响应情况逐项评分。</w:t>
            </w:r>
          </w:p>
          <w:p>
            <w:pPr>
              <w:spacing w:line="360" w:lineRule="exact"/>
              <w:jc w:val="left"/>
              <w:rPr>
                <w:rFonts w:ascii="宋体" w:hAnsi="宋体" w:cs="仿宋"/>
                <w:szCs w:val="21"/>
              </w:rPr>
            </w:pPr>
            <w:r>
              <w:rPr>
                <w:rFonts w:hint="eastAsia" w:ascii="宋体" w:hAnsi="宋体" w:cs="仿宋"/>
                <w:szCs w:val="21"/>
              </w:rPr>
              <w:t>证明材料涉及检测报告的，需提供检测机构出具的“检测报告载明的检测事项未超出本机构检测范围”的承诺（格式自拟），未按要求提供承诺的，</w:t>
            </w:r>
            <w:r>
              <w:rPr>
                <w:rFonts w:ascii="宋体" w:hAnsi="宋体" w:cs="仿宋"/>
                <w:szCs w:val="21"/>
              </w:rPr>
              <w:t>该项技术指标按负偏离处理</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b/>
                <w:szCs w:val="21"/>
              </w:rPr>
              <w:t>特别提醒：投标人的“技术规格响应情况”、“技术规格偏离情况”等必须与客观实际保持一致，响应不实且情节严重的，经查实，将依法记入供应商诚信档案或受到行政处罚。</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pPr>
              <w:spacing w:line="360" w:lineRule="exact"/>
              <w:jc w:val="left"/>
              <w:rPr>
                <w:rFonts w:ascii="宋体" w:hAnsi="宋体" w:cs="仿宋"/>
                <w:szCs w:val="21"/>
              </w:rPr>
            </w:pPr>
            <w:r>
              <w:rPr>
                <w:rFonts w:hint="eastAsia" w:ascii="宋体" w:hAnsi="宋体" w:cs="仿宋"/>
                <w:szCs w:val="21"/>
              </w:rPr>
              <w:t>（1）技术方案；</w:t>
            </w:r>
          </w:p>
          <w:p>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pPr>
              <w:spacing w:line="360" w:lineRule="exact"/>
              <w:jc w:val="left"/>
              <w:rPr>
                <w:rFonts w:ascii="宋体" w:hAnsi="宋体" w:cs="仿宋"/>
                <w:szCs w:val="21"/>
              </w:rPr>
            </w:pPr>
            <w:r>
              <w:rPr>
                <w:rFonts w:hint="eastAsia" w:ascii="宋体" w:hAnsi="宋体" w:cs="仿宋"/>
                <w:szCs w:val="21"/>
              </w:rPr>
              <w:t>在此基础上，根据方案响应情况进一步评审：</w:t>
            </w:r>
          </w:p>
          <w:p>
            <w:pPr>
              <w:spacing w:line="360" w:lineRule="exact"/>
              <w:jc w:val="left"/>
              <w:rPr>
                <w:rFonts w:ascii="宋体" w:hAnsi="宋体" w:cs="仿宋"/>
                <w:szCs w:val="21"/>
              </w:rPr>
            </w:pPr>
            <w:r>
              <w:rPr>
                <w:rFonts w:hint="eastAsia" w:ascii="宋体" w:hAnsi="宋体" w:cs="仿宋"/>
                <w:szCs w:val="21"/>
              </w:rPr>
              <w:t>1.方案内容全面、具体，可行性高，加5分；</w:t>
            </w:r>
          </w:p>
          <w:p>
            <w:pPr>
              <w:spacing w:line="360" w:lineRule="exact"/>
              <w:jc w:val="left"/>
              <w:rPr>
                <w:rFonts w:ascii="宋体" w:hAnsi="宋体" w:cs="仿宋"/>
                <w:szCs w:val="21"/>
              </w:rPr>
            </w:pPr>
            <w:r>
              <w:rPr>
                <w:rFonts w:hint="eastAsia" w:ascii="宋体" w:hAnsi="宋体" w:cs="仿宋"/>
                <w:szCs w:val="21"/>
              </w:rPr>
              <w:t>2.方案内容较全面，可行性较高，加3分；</w:t>
            </w:r>
          </w:p>
          <w:p>
            <w:pPr>
              <w:spacing w:line="360" w:lineRule="exact"/>
              <w:jc w:val="left"/>
              <w:rPr>
                <w:rFonts w:ascii="宋体" w:hAnsi="宋体" w:cs="仿宋"/>
                <w:szCs w:val="21"/>
              </w:rPr>
            </w:pPr>
            <w:r>
              <w:rPr>
                <w:rFonts w:hint="eastAsia" w:ascii="宋体" w:hAnsi="宋体" w:cs="仿宋"/>
                <w:szCs w:val="21"/>
              </w:rPr>
              <w:t>3.方案全面性、可行性一般，加1分；</w:t>
            </w:r>
          </w:p>
          <w:p>
            <w:pPr>
              <w:spacing w:line="360" w:lineRule="exact"/>
              <w:jc w:val="left"/>
              <w:rPr>
                <w:rFonts w:ascii="宋体" w:hAnsi="宋体" w:cs="仿宋"/>
                <w:szCs w:val="21"/>
              </w:rPr>
            </w:pPr>
            <w:r>
              <w:rPr>
                <w:rFonts w:hint="eastAsia" w:ascii="宋体" w:hAnsi="宋体" w:cs="仿宋"/>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78"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pPr>
              <w:widowControl/>
              <w:spacing w:line="360" w:lineRule="exact"/>
              <w:jc w:val="center"/>
              <w:rPr>
                <w:rFonts w:ascii="宋体" w:hAnsi="宋体" w:cs="宋体"/>
                <w:szCs w:val="21"/>
              </w:rPr>
            </w:pPr>
            <w:r>
              <w:rPr>
                <w:rFonts w:hint="eastAsia"/>
              </w:rPr>
              <w:t>售后服务方案</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pPr>
              <w:widowControl/>
              <w:spacing w:line="360" w:lineRule="exact"/>
              <w:rPr>
                <w:rFonts w:ascii="宋体" w:hAnsi="宋体" w:cs="仿宋"/>
                <w:szCs w:val="21"/>
              </w:rPr>
            </w:pPr>
            <w:r>
              <w:rPr>
                <w:rFonts w:hint="eastAsia" w:ascii="宋体" w:hAnsi="宋体" w:cs="仿宋"/>
                <w:szCs w:val="21"/>
              </w:rPr>
              <w:t>（1）售后服务机构及维护人员配置；</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pPr>
              <w:spacing w:line="360" w:lineRule="exact"/>
              <w:jc w:val="left"/>
              <w:rPr>
                <w:rFonts w:ascii="宋体" w:hAnsi="宋体" w:cs="仿宋"/>
                <w:szCs w:val="21"/>
              </w:rPr>
            </w:pPr>
            <w:r>
              <w:rPr>
                <w:rFonts w:hint="eastAsia" w:ascii="宋体" w:hAnsi="宋体" w:cs="仿宋"/>
                <w:szCs w:val="21"/>
              </w:rPr>
              <w:t>在此基础上，根据方案响应情况进一步评审：</w:t>
            </w:r>
          </w:p>
          <w:p>
            <w:pPr>
              <w:spacing w:line="360" w:lineRule="exact"/>
              <w:jc w:val="left"/>
              <w:rPr>
                <w:rFonts w:ascii="宋体" w:hAnsi="宋体" w:cs="仿宋"/>
                <w:szCs w:val="21"/>
              </w:rPr>
            </w:pPr>
            <w:r>
              <w:rPr>
                <w:rFonts w:hint="eastAsia" w:ascii="宋体" w:hAnsi="宋体" w:cs="仿宋"/>
                <w:szCs w:val="21"/>
              </w:rPr>
              <w:t>1.方案内容全面、具体，可行性高，加5分；</w:t>
            </w:r>
          </w:p>
          <w:p>
            <w:pPr>
              <w:spacing w:line="360" w:lineRule="exact"/>
              <w:jc w:val="left"/>
              <w:rPr>
                <w:rFonts w:ascii="宋体" w:hAnsi="宋体" w:cs="仿宋"/>
                <w:szCs w:val="21"/>
              </w:rPr>
            </w:pPr>
            <w:r>
              <w:rPr>
                <w:rFonts w:hint="eastAsia" w:ascii="宋体" w:hAnsi="宋体" w:cs="仿宋"/>
                <w:szCs w:val="21"/>
              </w:rPr>
              <w:t>2.方案内容较全面，可行性较高，加3分；</w:t>
            </w:r>
          </w:p>
          <w:p>
            <w:pPr>
              <w:spacing w:line="360" w:lineRule="exact"/>
              <w:jc w:val="left"/>
              <w:rPr>
                <w:rFonts w:ascii="宋体" w:hAnsi="宋体" w:cs="仿宋"/>
                <w:szCs w:val="21"/>
              </w:rPr>
            </w:pPr>
            <w:r>
              <w:rPr>
                <w:rFonts w:hint="eastAsia" w:ascii="宋体" w:hAnsi="宋体" w:cs="仿宋"/>
                <w:szCs w:val="21"/>
              </w:rPr>
              <w:t>3.方案全面性、可行性一般，加1分；</w:t>
            </w:r>
          </w:p>
          <w:p>
            <w:pPr>
              <w:pStyle w:val="94"/>
              <w:spacing w:line="360" w:lineRule="exact"/>
              <w:ind w:firstLine="0" w:firstLineChars="0"/>
              <w:rPr>
                <w:rFonts w:ascii="宋体" w:hAnsi="宋体"/>
                <w:szCs w:val="21"/>
              </w:rPr>
            </w:pPr>
            <w:r>
              <w:rPr>
                <w:rFonts w:hint="eastAsia" w:ascii="宋体" w:hAnsi="宋体" w:cs="仿宋"/>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pPr>
              <w:widowControl/>
              <w:spacing w:line="360" w:lineRule="exact"/>
              <w:jc w:val="center"/>
              <w:rPr>
                <w:rFonts w:ascii="宋体" w:hAnsi="宋体" w:cs="宋体"/>
                <w:szCs w:val="21"/>
              </w:rPr>
            </w:pPr>
            <w:r>
              <w:t>政府采购品目清单产品</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4"/>
              <w:spacing w:line="360" w:lineRule="exact"/>
              <w:ind w:firstLine="0" w:firstLineChars="0"/>
              <w:rPr>
                <w:rFonts w:ascii="宋体" w:hAnsi="宋体"/>
                <w:szCs w:val="21"/>
              </w:rPr>
            </w:pPr>
            <w:r>
              <w:rPr>
                <w:rFonts w:hint="eastAsia" w:ascii="宋体" w:hAnsi="宋体"/>
                <w:szCs w:val="21"/>
              </w:rPr>
              <w:t>同时提供以下证明材料： 1.提供品目清单截图并对所投产品对应的品目作明显标识，未作明显标识不得分；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仿宋"/>
                <w:szCs w:val="21"/>
              </w:rPr>
              <w:t>免费保修期</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2</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投标人应如实填写《商务条款偏离表》，评审委员会根据免费保修期响应情况进行评审：</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免费保修期在满足招标要求的基础上，每增加一年得1分，最高得2分。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rPr>
              <w:t>2020年1月1日至本项目投标截止日（以合同签订日期为准），投标人</w:t>
            </w:r>
            <w:r>
              <w:rPr>
                <w:rFonts w:hint="eastAsia" w:ascii="宋体" w:hAnsi="宋体" w:cs="仿宋"/>
                <w:szCs w:val="21"/>
              </w:rPr>
              <w:t>具有同类项目业绩的，每提供1个项目得2分，最高得6分。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 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评委打分</w:t>
            </w:r>
          </w:p>
        </w:tc>
      </w:tr>
    </w:tbl>
    <w:p>
      <w:pPr>
        <w:pStyle w:val="4"/>
        <w:spacing w:before="0" w:after="0"/>
        <w:jc w:val="left"/>
        <w:rPr>
          <w:rFonts w:asciiTheme="minorEastAsia" w:hAnsiTheme="minorEastAsia"/>
          <w:bCs w:val="0"/>
          <w:sz w:val="21"/>
          <w:szCs w:val="21"/>
        </w:rPr>
      </w:pPr>
      <w:bookmarkStart w:id="11" w:name="_Toc135293326"/>
      <w:bookmarkStart w:id="12" w:name="_Toc44690703"/>
      <w:bookmarkStart w:id="13" w:name="_Toc44691394"/>
      <w:bookmarkStart w:id="14" w:name="_Toc44691162"/>
      <w:bookmarkStart w:id="15" w:name="_Toc44690430"/>
      <w:r>
        <w:rPr>
          <w:rFonts w:hint="eastAsia" w:asciiTheme="minorEastAsia" w:hAnsiTheme="minorEastAsia"/>
          <w:bCs w:val="0"/>
          <w:sz w:val="21"/>
          <w:szCs w:val="21"/>
        </w:rPr>
        <w:t>备注：</w:t>
      </w:r>
      <w:bookmarkEnd w:id="11"/>
      <w:bookmarkEnd w:id="12"/>
      <w:bookmarkEnd w:id="13"/>
      <w:bookmarkEnd w:id="14"/>
      <w:bookmarkEnd w:id="15"/>
    </w:p>
    <w:p>
      <w:pPr>
        <w:pStyle w:val="3"/>
        <w:spacing w:before="0" w:after="0"/>
      </w:pPr>
      <w:bookmarkStart w:id="16" w:name="_Toc135293327"/>
      <w:r>
        <w:rPr>
          <w:rFonts w:hint="eastAsia"/>
        </w:rPr>
        <w:t>1、资质证书有效期</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spacing w:line="240" w:lineRule="exact"/>
        <w:ind w:firstLine="424" w:firstLineChars="202"/>
        <w:jc w:val="left"/>
        <w:rPr>
          <w:rFonts w:asciiTheme="minorEastAsia" w:hAnsiTheme="minorEastAsia" w:eastAsiaTheme="minorEastAsia"/>
          <w:szCs w:val="21"/>
        </w:rPr>
      </w:pPr>
    </w:p>
    <w:p>
      <w:pPr>
        <w:pStyle w:val="2"/>
      </w:pPr>
      <w:bookmarkStart w:id="18" w:name="_Toc135293329"/>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双反牵引骨折复位专用器械（包）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zCs w:val="24"/>
              </w:rPr>
              <w:t>深圳市宝安区福永人民医院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pStyle w:val="2"/>
      </w:pPr>
      <w:bookmarkStart w:id="19" w:name="_Toc135293330"/>
      <w:r>
        <w:rPr>
          <w:rFonts w:hint="eastAsia"/>
        </w:rPr>
        <w:t>第六章  投标人须知</w:t>
      </w:r>
      <w:bookmarkEnd w:id="19"/>
    </w:p>
    <w:p>
      <w:pPr>
        <w:pStyle w:val="4"/>
        <w:spacing w:before="0" w:after="0"/>
      </w:pPr>
      <w:bookmarkStart w:id="20" w:name="_Toc135293331"/>
      <w:r>
        <w:rPr>
          <w:rFonts w:hint="eastAsia"/>
        </w:rPr>
        <w:t>一、说</w:t>
      </w:r>
      <w:r>
        <w:t xml:space="preserve">  </w:t>
      </w:r>
      <w:r>
        <w:rPr>
          <w:rFonts w:hint="eastAsia"/>
        </w:rPr>
        <w:t>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4"/>
        <w:spacing w:before="0" w:after="0"/>
      </w:pPr>
      <w:bookmarkStart w:id="22" w:name="_Toc135293332"/>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3" w:name="q6"/>
      <w:bookmarkEnd w:id="23"/>
      <w:bookmarkStart w:id="24" w:name="_Toc135293333"/>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5" w:name="q7"/>
      <w:bookmarkEnd w:id="25"/>
      <w:bookmarkStart w:id="26" w:name="_Toc135293334"/>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8" w:name="q8"/>
      <w:bookmarkEnd w:id="28"/>
      <w:bookmarkStart w:id="29" w:name="_Toc135293335"/>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4"/>
        <w:spacing w:before="0" w:after="0"/>
      </w:pPr>
      <w:bookmarkStart w:id="31" w:name="_Toc135293336"/>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2" w:name="_Toc135293337"/>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p/>
    <w:p/>
    <w:p/>
    <w:p/>
    <w:p/>
    <w:p/>
    <w:p>
      <w:pPr>
        <w:pStyle w:val="2"/>
      </w:pPr>
      <w:bookmarkStart w:id="35" w:name="_Toc135293338"/>
      <w:r>
        <w:rPr>
          <w:rFonts w:hint="eastAsia"/>
        </w:rPr>
        <w:t>第七章  投标文件格式</w:t>
      </w:r>
      <w:bookmarkEnd w:id="35"/>
    </w:p>
    <w:p>
      <w:pPr>
        <w:jc w:val="center"/>
        <w:rPr>
          <w:b/>
          <w:sz w:val="52"/>
          <w:szCs w:val="52"/>
        </w:rPr>
      </w:pPr>
    </w:p>
    <w:p>
      <w:pPr>
        <w:pStyle w:val="4"/>
        <w:spacing w:line="400" w:lineRule="exact"/>
        <w:rPr>
          <w:rFonts w:ascii="仿宋" w:hAnsi="仿宋" w:eastAsia="仿宋"/>
        </w:rPr>
      </w:pPr>
      <w:bookmarkStart w:id="36" w:name="_Toc44691395"/>
      <w:bookmarkStart w:id="37" w:name="_Toc25194"/>
      <w:bookmarkStart w:id="38" w:name="_Toc31468"/>
      <w:bookmarkStart w:id="39" w:name="_Toc11772"/>
      <w:bookmarkStart w:id="40" w:name="_Toc44690704"/>
      <w:bookmarkStart w:id="41" w:name="_Toc135293339"/>
      <w:bookmarkStart w:id="42" w:name="_Toc14934"/>
      <w:bookmarkStart w:id="43" w:name="_Toc44691163"/>
      <w:bookmarkStart w:id="44" w:name="_Toc44690431"/>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5" w:name="_投标文件格式（第一册）"/>
      <w:bookmarkEnd w:id="45"/>
      <w:bookmarkStart w:id="46"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4"/>
        <w:spacing w:line="400" w:lineRule="exact"/>
        <w:rPr>
          <w:rFonts w:ascii="仿宋" w:hAnsi="仿宋" w:eastAsia="仿宋"/>
        </w:rPr>
      </w:pPr>
      <w:bookmarkStart w:id="51" w:name="_Toc135293342"/>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2" w:name="_Toc44690705"/>
      <w:bookmarkStart w:id="53" w:name="_Toc44690432"/>
      <w:bookmarkStart w:id="54" w:name="_Toc135293343"/>
      <w:bookmarkStart w:id="55" w:name="_Toc44691164"/>
      <w:bookmarkStart w:id="56" w:name="_Toc44691396"/>
      <w:r>
        <w:rPr>
          <w:rFonts w:hint="eastAsia" w:asciiTheme="minorEastAsia" w:hAnsiTheme="minorEastAsia" w:eastAsiaTheme="minorEastAsia"/>
        </w:rPr>
        <w:t>格式1  投标人资格证明文件</w:t>
      </w:r>
      <w:bookmarkEnd w:id="52"/>
      <w:bookmarkEnd w:id="53"/>
      <w:bookmarkEnd w:id="54"/>
      <w:bookmarkEnd w:id="55"/>
      <w:bookmarkEnd w:id="56"/>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00" w:lineRule="auto"/>
        <w:jc w:val="center"/>
        <w:rPr>
          <w:b/>
          <w:snapToGrid w:val="0"/>
          <w:sz w:val="32"/>
          <w:szCs w:val="32"/>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8"/>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snapToGrid w:val="0"/>
        <w:spacing w:line="360" w:lineRule="auto"/>
        <w:jc w:val="left"/>
      </w:pPr>
    </w:p>
    <w:p>
      <w:pPr>
        <w:widowControl/>
        <w:snapToGrid w:val="0"/>
        <w:spacing w:line="360" w:lineRule="auto"/>
        <w:jc w:val="left"/>
      </w:pPr>
    </w:p>
    <w:p>
      <w:pPr>
        <w:widowControl/>
        <w:snapToGrid w:val="0"/>
        <w:spacing w:line="360" w:lineRule="auto"/>
        <w:jc w:val="left"/>
        <w:rPr>
          <w:rFonts w:asciiTheme="minorEastAsia" w:hAnsiTheme="minorEastAsia" w:eastAsiaTheme="minorEastAsia"/>
          <w:color w:val="FF0000"/>
          <w:kern w:val="0"/>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tabs>
          <w:tab w:val="left" w:pos="371"/>
        </w:tabs>
        <w:spacing w:before="120" w:after="120"/>
        <w:ind w:left="-1" w:leftChars="-1" w:hanging="1"/>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napToGrid w:val="0"/>
        <w:spacing w:line="360" w:lineRule="auto"/>
        <w:ind w:firstLine="600"/>
        <w:jc w:val="left"/>
      </w:pPr>
    </w:p>
    <w:p>
      <w:pPr>
        <w:adjustRightInd w:val="0"/>
        <w:snapToGrid w:val="0"/>
        <w:spacing w:line="360" w:lineRule="auto"/>
        <w:ind w:firstLine="600"/>
        <w:jc w:val="left"/>
      </w:pPr>
    </w:p>
    <w:p>
      <w:pPr>
        <w:pStyle w:val="3"/>
        <w:tabs>
          <w:tab w:val="left" w:pos="371"/>
        </w:tabs>
        <w:spacing w:before="120" w:after="120"/>
        <w:ind w:left="-1" w:leftChars="-1" w:hanging="1"/>
        <w:jc w:val="center"/>
        <w:rPr>
          <w:rFonts w:asciiTheme="minorEastAsia" w:hAnsiTheme="minorEastAsia" w:eastAsiaTheme="minorEastAsia"/>
        </w:rPr>
      </w:pPr>
      <w:bookmarkStart w:id="62" w:name="_Toc44690706"/>
      <w:bookmarkStart w:id="63" w:name="_Toc44691165"/>
      <w:bookmarkStart w:id="64" w:name="_Toc135293347"/>
      <w:bookmarkStart w:id="65" w:name="_Toc44691397"/>
      <w:bookmarkStart w:id="66" w:name="_Toc44690433"/>
      <w:r>
        <w:rPr>
          <w:rFonts w:hint="eastAsia" w:asciiTheme="minorEastAsia" w:hAnsiTheme="minorEastAsia" w:eastAsiaTheme="minorEastAsia"/>
        </w:rPr>
        <w:t>格式5  开标一览表</w:t>
      </w:r>
      <w:bookmarkEnd w:id="62"/>
      <w:bookmarkEnd w:id="63"/>
      <w:bookmarkEnd w:id="64"/>
      <w:bookmarkEnd w:id="65"/>
      <w:bookmarkEnd w:id="66"/>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双反牵引骨折复位专用器械（包）</w:t>
            </w:r>
          </w:p>
        </w:tc>
        <w:tc>
          <w:tcPr>
            <w:tcW w:w="4396" w:type="dxa"/>
            <w:tcBorders>
              <w:top w:val="single" w:color="auto" w:sz="4" w:space="0"/>
            </w:tcBorders>
            <w:vAlign w:val="center"/>
          </w:tcPr>
          <w:p>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67" w:name="_Toc44690707"/>
      <w:bookmarkStart w:id="68" w:name="_Toc44690434"/>
      <w:bookmarkStart w:id="69" w:name="_Toc135293348"/>
      <w:bookmarkStart w:id="70" w:name="_Toc44691166"/>
      <w:bookmarkStart w:id="71" w:name="_Toc44691398"/>
      <w:r>
        <w:rPr>
          <w:rFonts w:hint="eastAsia" w:asciiTheme="minorEastAsia" w:hAnsiTheme="minorEastAsia" w:eastAsiaTheme="minorEastAsia"/>
        </w:rPr>
        <w:t>格式6  报价表</w:t>
      </w:r>
      <w:bookmarkEnd w:id="67"/>
      <w:bookmarkEnd w:id="68"/>
      <w:bookmarkEnd w:id="69"/>
      <w:bookmarkEnd w:id="70"/>
      <w:bookmarkEnd w:id="71"/>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tabs>
          <w:tab w:val="left" w:pos="371"/>
        </w:tabs>
        <w:spacing w:before="120" w:after="120"/>
        <w:ind w:left="-1" w:leftChars="-1" w:hanging="1"/>
        <w:jc w:val="center"/>
        <w:rPr>
          <w:rFonts w:asciiTheme="minorEastAsia" w:hAnsiTheme="minorEastAsia" w:eastAsiaTheme="minorEastAsia"/>
          <w:sz w:val="24"/>
        </w:rPr>
      </w:pPr>
      <w:bookmarkStart w:id="72" w:name="_Toc44690435"/>
      <w:bookmarkStart w:id="73" w:name="_Toc44691399"/>
      <w:bookmarkStart w:id="74" w:name="_Toc44691167"/>
      <w:bookmarkStart w:id="75" w:name="_Toc44690708"/>
    </w:p>
    <w:p>
      <w:pPr>
        <w:pStyle w:val="3"/>
        <w:tabs>
          <w:tab w:val="left" w:pos="371"/>
        </w:tabs>
        <w:spacing w:before="120" w:after="120"/>
        <w:ind w:left="-1" w:leftChars="-1" w:hanging="1"/>
        <w:jc w:val="center"/>
        <w:rPr>
          <w:rFonts w:asciiTheme="minorEastAsia" w:hAnsiTheme="minorEastAsia" w:eastAsiaTheme="minorEastAsia"/>
        </w:rPr>
      </w:pPr>
      <w:bookmarkStart w:id="76" w:name="_Toc135293349"/>
      <w:r>
        <w:rPr>
          <w:rFonts w:hint="eastAsia" w:asciiTheme="minorEastAsia" w:hAnsiTheme="minorEastAsia" w:eastAsiaTheme="minorEastAsia"/>
        </w:rPr>
        <w:t>格式7  技术规格</w:t>
      </w:r>
      <w:bookmarkEnd w:id="72"/>
      <w:bookmarkEnd w:id="73"/>
      <w:bookmarkEnd w:id="74"/>
      <w:bookmarkEnd w:id="75"/>
      <w:bookmarkEnd w:id="76"/>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77"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
    <w:p/>
    <w:p>
      <w:pPr>
        <w:tabs>
          <w:tab w:val="left" w:pos="371"/>
        </w:tabs>
        <w:spacing w:before="120" w:after="120"/>
        <w:ind w:left="-1" w:leftChars="-1" w:hanging="1"/>
        <w:jc w:val="center"/>
      </w:pPr>
      <w:bookmarkStart w:id="78" w:name="_Toc44691400"/>
      <w:bookmarkStart w:id="79" w:name="_Toc44691168"/>
      <w:bookmarkStart w:id="80" w:name="_Toc44690436"/>
      <w:bookmarkStart w:id="81" w:name="_Toc44690709"/>
    </w:p>
    <w:p>
      <w:pPr>
        <w:tabs>
          <w:tab w:val="left" w:pos="371"/>
        </w:tabs>
        <w:spacing w:before="120" w:after="120"/>
        <w:ind w:left="-1" w:leftChars="-1" w:hanging="1"/>
        <w:jc w:val="cente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3" w:name="_格式2__投标保证金凭证"/>
      <w:bookmarkEnd w:id="83"/>
      <w:bookmarkStart w:id="84" w:name="_格式3__"/>
      <w:bookmarkEnd w:id="84"/>
      <w:bookmarkStart w:id="85" w:name="_格式4__"/>
      <w:bookmarkEnd w:id="85"/>
      <w:bookmarkStart w:id="86" w:name="q17"/>
      <w:bookmarkEnd w:id="86"/>
      <w:bookmarkStart w:id="87" w:name="q16"/>
      <w:bookmarkEnd w:id="87"/>
      <w:bookmarkStart w:id="88" w:name="_格式5__"/>
      <w:bookmarkEnd w:id="88"/>
      <w:bookmarkStart w:id="89" w:name="q15"/>
      <w:bookmarkEnd w:id="89"/>
      <w:r>
        <w:rPr>
          <w:rFonts w:asciiTheme="minorEastAsia" w:hAnsiTheme="minorEastAsia" w:eastAsiaTheme="minorEastAsia"/>
        </w:rPr>
        <w:tab/>
      </w:r>
      <w:bookmarkStart w:id="90" w:name="_Toc44691169"/>
      <w:bookmarkStart w:id="91" w:name="_Toc44690710"/>
      <w:bookmarkStart w:id="92" w:name="_Toc44691401"/>
      <w:bookmarkStart w:id="93" w:name="_Toc44690437"/>
      <w:bookmarkStart w:id="94" w:name="_Toc135293352"/>
      <w:r>
        <w:rPr>
          <w:rFonts w:hint="eastAsia" w:asciiTheme="minorEastAsia" w:hAnsiTheme="minorEastAsia" w:eastAsiaTheme="minorEastAsia"/>
        </w:rPr>
        <w:t>格式10  投标人情况介绍</w:t>
      </w:r>
      <w:bookmarkEnd w:id="90"/>
      <w:bookmarkEnd w:id="91"/>
      <w:bookmarkEnd w:id="92"/>
      <w:bookmarkEnd w:id="93"/>
      <w:bookmarkEnd w:id="94"/>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95" w:name="_格式7__投标人资格声明"/>
      <w:bookmarkEnd w:id="95"/>
      <w:bookmarkStart w:id="96" w:name="q40"/>
    </w:p>
    <w:p>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p/>
    <w:p/>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p/>
    <w:p/>
    <w:p/>
    <w:p/>
    <w:p/>
    <w:p/>
    <w:p/>
    <w:p>
      <w:pPr>
        <w:pStyle w:val="2"/>
      </w:pPr>
      <w:bookmarkStart w:id="99" w:name="_Toc135293355"/>
      <w:r>
        <w:rPr>
          <w:rFonts w:hint="eastAsia"/>
        </w:rPr>
        <w:t>第八章  合同条款</w:t>
      </w:r>
      <w:bookmarkEnd w:id="99"/>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
      <w:pPr>
        <w:pStyle w:val="2"/>
      </w:pPr>
      <w:bookmarkStart w:id="100" w:name="_Toc135293356"/>
      <w:r>
        <w:rPr>
          <w:rFonts w:hint="eastAsia"/>
        </w:rPr>
        <w:t>第九章  附件</w:t>
      </w:r>
      <w:bookmarkEnd w:id="100"/>
    </w:p>
    <w:p>
      <w:pPr>
        <w:pStyle w:val="4"/>
        <w:spacing w:before="0" w:after="0"/>
      </w:pPr>
      <w:bookmarkStart w:id="101" w:name="_Toc73613644"/>
      <w:bookmarkStart w:id="102" w:name="_Toc135293357"/>
      <w:bookmarkStart w:id="103" w:name="_Toc73610162"/>
      <w:r>
        <w:rPr>
          <w:rFonts w:hint="eastAsia"/>
        </w:rPr>
        <w:t>一、财政部 工业和信息化部关于印发《政府采购促进中小企业发展管理办法》的通知</w:t>
      </w:r>
      <w:bookmarkEnd w:id="101"/>
      <w:bookmarkEnd w:id="102"/>
      <w:bookmarkEnd w:id="103"/>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4" w:name="_Toc135293358"/>
      <w:bookmarkStart w:id="105" w:name="_Toc73610163"/>
      <w:bookmarkStart w:id="106" w:name="_Toc73613645"/>
      <w:r>
        <w:rPr>
          <w:rFonts w:hint="eastAsia"/>
        </w:rPr>
        <w:t>二、关于印发中小企业划型标准规定的通知</w:t>
      </w:r>
      <w:bookmarkEnd w:id="104"/>
      <w:bookmarkEnd w:id="105"/>
      <w:bookmarkEnd w:id="106"/>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7" w:name="_Toc73613646"/>
      <w:bookmarkStart w:id="108" w:name="_Toc135293359"/>
      <w:bookmarkStart w:id="109" w:name="_Toc73610164"/>
      <w:r>
        <w:rPr>
          <w:rFonts w:hint="eastAsia"/>
        </w:rPr>
        <w:t>三、</w:t>
      </w:r>
      <w:r>
        <w:t>国家统计局关于印发《统计上大中小微型企业划分办法 （2017）》的通知</w:t>
      </w:r>
      <w:bookmarkEnd w:id="107"/>
      <w:bookmarkEnd w:id="108"/>
      <w:bookmarkEnd w:id="109"/>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10" w:name="_Toc135293360"/>
      <w:bookmarkStart w:id="111" w:name="_Toc73610165"/>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55</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项目名称：双反牵引骨折复位专用器械（包）                                          项目编号：SZZZ2024-QA0115</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A4E1F"/>
    <w:multiLevelType w:val="singleLevel"/>
    <w:tmpl w:val="D02A4E1F"/>
    <w:lvl w:ilvl="0" w:tentative="0">
      <w:start w:val="7"/>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WMyZTllMDZjNzdjZDY1MGEwYzFmYTFiNzdlYz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584"/>
    <w:rsid w:val="00056617"/>
    <w:rsid w:val="00057655"/>
    <w:rsid w:val="00060349"/>
    <w:rsid w:val="00060526"/>
    <w:rsid w:val="00061300"/>
    <w:rsid w:val="000621B0"/>
    <w:rsid w:val="00062570"/>
    <w:rsid w:val="0006264D"/>
    <w:rsid w:val="0006301D"/>
    <w:rsid w:val="0006339B"/>
    <w:rsid w:val="00063A09"/>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3BC"/>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0B26"/>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AD1"/>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1428"/>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57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83B"/>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2CC7"/>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307"/>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552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866A9C"/>
    <w:rsid w:val="01F0299B"/>
    <w:rsid w:val="026E4F91"/>
    <w:rsid w:val="041D095D"/>
    <w:rsid w:val="05642F46"/>
    <w:rsid w:val="05C87DB9"/>
    <w:rsid w:val="06EC277B"/>
    <w:rsid w:val="0961739E"/>
    <w:rsid w:val="098E6083"/>
    <w:rsid w:val="0B205B2B"/>
    <w:rsid w:val="0B782559"/>
    <w:rsid w:val="0D566BC9"/>
    <w:rsid w:val="0E180322"/>
    <w:rsid w:val="0E8C4995"/>
    <w:rsid w:val="0EF27BFB"/>
    <w:rsid w:val="0FBC50EF"/>
    <w:rsid w:val="115F3FD7"/>
    <w:rsid w:val="11A259DD"/>
    <w:rsid w:val="120027E5"/>
    <w:rsid w:val="120474A0"/>
    <w:rsid w:val="13102ABE"/>
    <w:rsid w:val="162063B0"/>
    <w:rsid w:val="167D280D"/>
    <w:rsid w:val="17047766"/>
    <w:rsid w:val="17935895"/>
    <w:rsid w:val="179B1FE6"/>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DEF6D5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115C9"/>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516103"/>
    <w:rsid w:val="48C86EE1"/>
    <w:rsid w:val="49F71DEF"/>
    <w:rsid w:val="49FA6EF8"/>
    <w:rsid w:val="4A784961"/>
    <w:rsid w:val="4ACF3A3C"/>
    <w:rsid w:val="4B1700DF"/>
    <w:rsid w:val="4B3C4946"/>
    <w:rsid w:val="4C1B284E"/>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3728F"/>
    <w:rsid w:val="68460AAC"/>
    <w:rsid w:val="68AC1CFE"/>
    <w:rsid w:val="6BCD1DE6"/>
    <w:rsid w:val="6C505023"/>
    <w:rsid w:val="6D14299F"/>
    <w:rsid w:val="6D552ABF"/>
    <w:rsid w:val="6D672A1E"/>
    <w:rsid w:val="6DC237D1"/>
    <w:rsid w:val="6F40725E"/>
    <w:rsid w:val="711172CF"/>
    <w:rsid w:val="71FD54DD"/>
    <w:rsid w:val="73E7493A"/>
    <w:rsid w:val="7410294D"/>
    <w:rsid w:val="757964DB"/>
    <w:rsid w:val="76D71644"/>
    <w:rsid w:val="776C2FB6"/>
    <w:rsid w:val="79982284"/>
    <w:rsid w:val="7998662D"/>
    <w:rsid w:val="79D15C97"/>
    <w:rsid w:val="7A8C5878"/>
    <w:rsid w:val="7B471854"/>
    <w:rsid w:val="7B5F6A02"/>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autoRedefine/>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autoRedefine/>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autoRedefine/>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autoRedefine/>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autoRedefine/>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autoRedefine/>
    <w:qFormat/>
    <w:uiPriority w:val="0"/>
    <w:pPr>
      <w:jc w:val="left"/>
    </w:pPr>
  </w:style>
  <w:style w:type="paragraph" w:styleId="19">
    <w:name w:val="Body Text 3"/>
    <w:basedOn w:val="1"/>
    <w:link w:val="458"/>
    <w:autoRedefine/>
    <w:unhideWhenUsed/>
    <w:qFormat/>
    <w:uiPriority w:val="0"/>
    <w:pPr>
      <w:spacing w:after="120"/>
    </w:pPr>
    <w:rPr>
      <w:sz w:val="16"/>
      <w:szCs w:val="16"/>
    </w:rPr>
  </w:style>
  <w:style w:type="paragraph" w:styleId="20">
    <w:name w:val="Body Text"/>
    <w:basedOn w:val="1"/>
    <w:link w:val="71"/>
    <w:autoRedefine/>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autoRedefine/>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autoRedefine/>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63"/>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autoRedefine/>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autoRedefine/>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autoRedefine/>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customStyle="1" w:styleId="59">
    <w:name w:val="标题 3 Char"/>
    <w:basedOn w:val="52"/>
    <w:link w:val="3"/>
    <w:autoRedefine/>
    <w:qFormat/>
    <w:uiPriority w:val="0"/>
    <w:rPr>
      <w:b/>
      <w:bCs/>
      <w:kern w:val="2"/>
      <w:sz w:val="24"/>
      <w:szCs w:val="32"/>
    </w:rPr>
  </w:style>
  <w:style w:type="character" w:customStyle="1" w:styleId="60">
    <w:name w:val="标题 1 Char"/>
    <w:basedOn w:val="52"/>
    <w:link w:val="2"/>
    <w:autoRedefine/>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autoRedefine/>
    <w:qFormat/>
    <w:uiPriority w:val="99"/>
    <w:rPr>
      <w:rFonts w:ascii="Arial" w:hAnsi="Arial" w:eastAsia="黑体"/>
      <w:b/>
      <w:bCs/>
      <w:kern w:val="2"/>
      <w:sz w:val="28"/>
      <w:szCs w:val="28"/>
    </w:rPr>
  </w:style>
  <w:style w:type="character" w:customStyle="1" w:styleId="63">
    <w:name w:val="正文缩进 Char"/>
    <w:link w:val="7"/>
    <w:autoRedefine/>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autoRedefine/>
    <w:qFormat/>
    <w:uiPriority w:val="0"/>
    <w:rPr>
      <w:kern w:val="2"/>
      <w:sz w:val="21"/>
      <w:szCs w:val="24"/>
    </w:rPr>
  </w:style>
  <w:style w:type="paragraph" w:customStyle="1" w:styleId="96">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98">
    <w:name w:val="缩进正文"/>
    <w:basedOn w:val="1"/>
    <w:link w:val="99"/>
    <w:autoRedefine/>
    <w:qFormat/>
    <w:uiPriority w:val="0"/>
    <w:pPr>
      <w:ind w:firstLine="560" w:firstLineChars="200"/>
    </w:pPr>
    <w:rPr>
      <w:rFonts w:eastAsia="仿宋_GB2312" w:cs="宋体"/>
      <w:sz w:val="28"/>
      <w:szCs w:val="20"/>
    </w:rPr>
  </w:style>
  <w:style w:type="character" w:customStyle="1" w:styleId="99">
    <w:name w:val="缩进正文 Char"/>
    <w:link w:val="98"/>
    <w:autoRedefine/>
    <w:qFormat/>
    <w:uiPriority w:val="0"/>
    <w:rPr>
      <w:rFonts w:eastAsia="仿宋_GB2312" w:cs="宋体"/>
      <w:kern w:val="2"/>
      <w:sz w:val="28"/>
      <w:lang w:val="en-US" w:eastAsia="zh-CN" w:bidi="ar-SA"/>
    </w:rPr>
  </w:style>
  <w:style w:type="character" w:customStyle="1" w:styleId="100">
    <w:name w:val="访问过的超链接1"/>
    <w:autoRedefine/>
    <w:qFormat/>
    <w:uiPriority w:val="0"/>
    <w:rPr>
      <w:color w:val="800080"/>
      <w:u w:val="single"/>
    </w:rPr>
  </w:style>
  <w:style w:type="paragraph" w:customStyle="1" w:styleId="101">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2">
    <w:name w:val="正文缩进 Char1"/>
    <w:autoRedefine/>
    <w:qFormat/>
    <w:uiPriority w:val="0"/>
    <w:rPr>
      <w:rFonts w:eastAsia="宋体"/>
      <w:kern w:val="2"/>
      <w:sz w:val="21"/>
      <w:lang w:val="en-US" w:eastAsia="zh-CN" w:bidi="ar-SA"/>
    </w:rPr>
  </w:style>
  <w:style w:type="paragraph" w:customStyle="1" w:styleId="103">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autoRedefine/>
    <w:unhideWhenUsed/>
    <w:qFormat/>
    <w:uiPriority w:val="34"/>
    <w:pPr>
      <w:ind w:firstLine="420" w:firstLineChars="200"/>
    </w:pPr>
  </w:style>
  <w:style w:type="paragraph" w:customStyle="1" w:styleId="105">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6">
    <w:name w:val="font11"/>
    <w:basedOn w:val="52"/>
    <w:autoRedefine/>
    <w:qFormat/>
    <w:uiPriority w:val="0"/>
    <w:rPr>
      <w:rFonts w:hint="eastAsia" w:ascii="宋体" w:hAnsi="宋体" w:eastAsia="宋体" w:cs="宋体"/>
      <w:b/>
      <w:color w:val="000000"/>
      <w:sz w:val="21"/>
      <w:szCs w:val="21"/>
      <w:u w:val="none"/>
    </w:rPr>
  </w:style>
  <w:style w:type="character" w:customStyle="1" w:styleId="107">
    <w:name w:val="批注文字 Char1"/>
    <w:autoRedefine/>
    <w:qFormat/>
    <w:locked/>
    <w:uiPriority w:val="0"/>
    <w:rPr>
      <w:rFonts w:ascii="Calibri" w:hAnsi="Calibri" w:eastAsia="宋体" w:cs="Calibri"/>
      <w:szCs w:val="21"/>
    </w:rPr>
  </w:style>
  <w:style w:type="character" w:customStyle="1" w:styleId="108">
    <w:name w:val="title1"/>
    <w:autoRedefine/>
    <w:qFormat/>
    <w:uiPriority w:val="0"/>
    <w:rPr>
      <w:rFonts w:hint="eastAsia" w:ascii="微软雅黑" w:hAnsi="微软雅黑" w:eastAsia="微软雅黑"/>
      <w:sz w:val="21"/>
      <w:szCs w:val="21"/>
    </w:rPr>
  </w:style>
  <w:style w:type="character" w:customStyle="1" w:styleId="109">
    <w:name w:val="sect2title1"/>
    <w:autoRedefine/>
    <w:qFormat/>
    <w:uiPriority w:val="0"/>
    <w:rPr>
      <w:rFonts w:hint="eastAsia" w:ascii="微软雅黑" w:hAnsi="微软雅黑" w:eastAsia="微软雅黑"/>
      <w:b/>
      <w:bCs/>
      <w:sz w:val="21"/>
      <w:szCs w:val="21"/>
    </w:rPr>
  </w:style>
  <w:style w:type="paragraph" w:customStyle="1" w:styleId="110">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autoRedefine/>
    <w:qFormat/>
    <w:uiPriority w:val="0"/>
    <w:rPr>
      <w:rFonts w:ascii="Tahoma" w:hAnsi="Tahoma" w:eastAsia="Tahoma" w:cs="Tahoma"/>
      <w:color w:val="000000"/>
      <w:sz w:val="20"/>
      <w:szCs w:val="20"/>
      <w:u w:val="none"/>
    </w:rPr>
  </w:style>
  <w:style w:type="paragraph" w:customStyle="1" w:styleId="112">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6">
    <w:name w:val="正文A缩进"/>
    <w:basedOn w:val="1"/>
    <w:autoRedefine/>
    <w:qFormat/>
    <w:uiPriority w:val="0"/>
    <w:pPr>
      <w:spacing w:line="360" w:lineRule="auto"/>
      <w:ind w:firstLine="200" w:firstLineChars="200"/>
    </w:pPr>
    <w:rPr>
      <w:kern w:val="0"/>
      <w:sz w:val="28"/>
      <w:szCs w:val="20"/>
    </w:rPr>
  </w:style>
  <w:style w:type="paragraph" w:customStyle="1" w:styleId="257">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autoRedefine/>
    <w:qFormat/>
    <w:uiPriority w:val="0"/>
    <w:rPr>
      <w:b/>
      <w:bCs/>
      <w:kern w:val="2"/>
      <w:sz w:val="28"/>
      <w:szCs w:val="28"/>
    </w:rPr>
  </w:style>
  <w:style w:type="character" w:customStyle="1" w:styleId="259">
    <w:name w:val="标题 6 Char"/>
    <w:basedOn w:val="52"/>
    <w:autoRedefine/>
    <w:qFormat/>
    <w:uiPriority w:val="9"/>
    <w:rPr>
      <w:rFonts w:asciiTheme="majorHAnsi" w:hAnsiTheme="majorHAnsi" w:eastAsiaTheme="majorEastAsia" w:cstheme="majorBidi"/>
      <w:b/>
      <w:bCs/>
      <w:kern w:val="2"/>
      <w:sz w:val="24"/>
      <w:szCs w:val="24"/>
    </w:rPr>
  </w:style>
  <w:style w:type="character" w:customStyle="1" w:styleId="260">
    <w:name w:val="标题 7 Char"/>
    <w:basedOn w:val="52"/>
    <w:autoRedefine/>
    <w:qFormat/>
    <w:uiPriority w:val="9"/>
    <w:rPr>
      <w:b/>
      <w:bCs/>
      <w:kern w:val="2"/>
      <w:sz w:val="24"/>
      <w:szCs w:val="24"/>
    </w:rPr>
  </w:style>
  <w:style w:type="character" w:customStyle="1" w:styleId="261">
    <w:name w:val="标题 8 Char"/>
    <w:basedOn w:val="52"/>
    <w:autoRedefine/>
    <w:qFormat/>
    <w:uiPriority w:val="9"/>
    <w:rPr>
      <w:rFonts w:asciiTheme="majorHAnsi" w:hAnsiTheme="majorHAnsi" w:eastAsiaTheme="majorEastAsia" w:cstheme="majorBidi"/>
      <w:kern w:val="2"/>
      <w:sz w:val="24"/>
      <w:szCs w:val="24"/>
    </w:rPr>
  </w:style>
  <w:style w:type="character" w:customStyle="1" w:styleId="262">
    <w:name w:val="标题 9 Char"/>
    <w:basedOn w:val="52"/>
    <w:autoRedefine/>
    <w:qFormat/>
    <w:uiPriority w:val="0"/>
    <w:rPr>
      <w:rFonts w:asciiTheme="majorHAnsi" w:hAnsiTheme="majorHAnsi" w:eastAsiaTheme="majorEastAsia" w:cstheme="majorBidi"/>
      <w:kern w:val="2"/>
      <w:sz w:val="21"/>
      <w:szCs w:val="21"/>
    </w:rPr>
  </w:style>
  <w:style w:type="paragraph" w:customStyle="1" w:styleId="263">
    <w:name w:val="！表格内容"/>
    <w:basedOn w:val="1"/>
    <w:autoRedefine/>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autoRedefine/>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autoRedefine/>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autoRedefine/>
    <w:qFormat/>
    <w:uiPriority w:val="0"/>
    <w:rPr>
      <w:rFonts w:ascii="Times New Roman" w:hAnsi="Times New Roman" w:eastAsia="宋体" w:cs="Times New Roman"/>
      <w:sz w:val="18"/>
      <w:szCs w:val="18"/>
    </w:rPr>
  </w:style>
  <w:style w:type="character" w:customStyle="1" w:styleId="271">
    <w:name w:val="标题 1 Char1"/>
    <w:basedOn w:val="52"/>
    <w:autoRedefine/>
    <w:qFormat/>
    <w:uiPriority w:val="0"/>
    <w:rPr>
      <w:b/>
      <w:bCs/>
      <w:kern w:val="44"/>
      <w:sz w:val="44"/>
      <w:szCs w:val="44"/>
    </w:rPr>
  </w:style>
  <w:style w:type="character" w:customStyle="1" w:styleId="272">
    <w:name w:val="标题 2 Char1"/>
    <w:basedOn w:val="52"/>
    <w:autoRedefine/>
    <w:qFormat/>
    <w:uiPriority w:val="0"/>
    <w:rPr>
      <w:rFonts w:asciiTheme="majorHAnsi" w:hAnsiTheme="majorHAnsi" w:eastAsiaTheme="majorEastAsia" w:cstheme="majorBidi"/>
      <w:b/>
      <w:bCs/>
      <w:kern w:val="2"/>
      <w:sz w:val="32"/>
      <w:szCs w:val="32"/>
    </w:rPr>
  </w:style>
  <w:style w:type="character" w:customStyle="1" w:styleId="273">
    <w:name w:val="标题 3 Char1"/>
    <w:basedOn w:val="52"/>
    <w:autoRedefine/>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autoRedefine/>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autoRedefine/>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autoRedefine/>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autoRedefine/>
    <w:qFormat/>
    <w:uiPriority w:val="0"/>
    <w:rPr>
      <w:rFonts w:ascii="宋体" w:hAnsi="Courier New"/>
      <w:szCs w:val="20"/>
    </w:rPr>
  </w:style>
  <w:style w:type="paragraph" w:customStyle="1" w:styleId="474">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autoRedefine/>
    <w:qFormat/>
    <w:uiPriority w:val="0"/>
    <w:pPr>
      <w:widowControl/>
      <w:spacing w:after="160" w:line="240" w:lineRule="exact"/>
      <w:jc w:val="left"/>
    </w:pPr>
  </w:style>
  <w:style w:type="paragraph" w:customStyle="1" w:styleId="476">
    <w:name w:val="USE 1"/>
    <w:basedOn w:val="1"/>
    <w:autoRedefine/>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autoRedefine/>
    <w:qFormat/>
    <w:uiPriority w:val="0"/>
    <w:rPr>
      <w:rFonts w:ascii="宋体" w:hAnsi="Courier New"/>
      <w:szCs w:val="20"/>
    </w:rPr>
  </w:style>
  <w:style w:type="paragraph" w:customStyle="1" w:styleId="495">
    <w:name w:val="Char Char Char"/>
    <w:basedOn w:val="1"/>
    <w:autoRedefine/>
    <w:qFormat/>
    <w:uiPriority w:val="0"/>
    <w:rPr>
      <w:szCs w:val="20"/>
    </w:rPr>
  </w:style>
  <w:style w:type="paragraph" w:customStyle="1" w:styleId="496">
    <w:name w:val="Char2"/>
    <w:basedOn w:val="1"/>
    <w:autoRedefine/>
    <w:qFormat/>
    <w:uiPriority w:val="0"/>
    <w:rPr>
      <w:rFonts w:ascii="Tahoma" w:hAnsi="Tahoma"/>
      <w:sz w:val="24"/>
      <w:szCs w:val="20"/>
    </w:rPr>
  </w:style>
  <w:style w:type="paragraph" w:customStyle="1" w:styleId="49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autoRedefine/>
    <w:qFormat/>
    <w:uiPriority w:val="0"/>
    <w:rPr>
      <w:rFonts w:ascii="宋体" w:hAnsi="Courier New"/>
      <w:szCs w:val="20"/>
    </w:rPr>
  </w:style>
  <w:style w:type="paragraph" w:customStyle="1" w:styleId="501">
    <w:name w:val="2"/>
    <w:basedOn w:val="1"/>
    <w:next w:val="45"/>
    <w:autoRedefine/>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503">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autoRedefine/>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8977</Words>
  <Characters>51170</Characters>
  <Lines>426</Lines>
  <Paragraphs>120</Paragraphs>
  <TotalTime>7</TotalTime>
  <ScaleCrop>false</ScaleCrop>
  <LinksUpToDate>false</LinksUpToDate>
  <CharactersWithSpaces>60027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中正招标庄学华</cp:lastModifiedBy>
  <cp:lastPrinted>2020-05-26T01:03:00Z</cp:lastPrinted>
  <dcterms:modified xsi:type="dcterms:W3CDTF">2024-06-11T02:50:56Z</dcterms:modified>
  <dc:title>招标编号：UHO2010-G0029</dc:title>
  <cp:revision>676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D7906CDD49E5463A9C8A3944762F9122_13</vt:lpwstr>
  </property>
</Properties>
</file>