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hint="eastAsia"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hint="eastAsia"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共享业务处理与企业实务流程教学软件</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hint="eastAsia"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038840CF">
      <w:pPr>
        <w:adjustRightInd w:val="0"/>
        <w:snapToGrid w:val="0"/>
        <w:spacing w:line="300" w:lineRule="auto"/>
        <w:jc w:val="center"/>
        <w:rPr>
          <w:rFonts w:hint="eastAsia" w:asciiTheme="minorEastAsia" w:hAnsiTheme="minorEastAsia" w:eastAsiaTheme="minorEastAsia"/>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项目编号：CGXM-2024-005644</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30"/>
        <w:adjustRightInd w:val="0"/>
        <w:snapToGrid w:val="0"/>
        <w:spacing w:line="300" w:lineRule="auto"/>
        <w:jc w:val="center"/>
        <w:rPr>
          <w:rFonts w:ascii="Times New Roman" w:hAnsi="Times New Roman" w:eastAsia="经典等线简"/>
          <w:b/>
          <w:snapToGrid w:val="0"/>
          <w:sz w:val="30"/>
        </w:rPr>
      </w:pPr>
    </w:p>
    <w:p w14:paraId="69BA36C2"/>
    <w:p w14:paraId="2E51165F"/>
    <w:p w14:paraId="7B993714"/>
    <w:p w14:paraId="27468FD6">
      <w:pPr>
        <w:pStyle w:val="30"/>
        <w:adjustRightInd w:val="0"/>
        <w:snapToGrid w:val="0"/>
        <w:spacing w:line="300" w:lineRule="auto"/>
        <w:ind w:hanging="835"/>
        <w:jc w:val="center"/>
        <w:rPr>
          <w:rFonts w:hint="eastAsia"/>
          <w:b/>
          <w:kern w:val="0"/>
          <w:sz w:val="28"/>
          <w:szCs w:val="28"/>
        </w:rPr>
      </w:pPr>
      <w:r>
        <w:rPr>
          <w:rFonts w:hint="eastAsia"/>
          <w:b/>
          <w:snapToGrid w:val="0"/>
          <w:sz w:val="30"/>
        </w:rPr>
        <w:t>二〇二五年</w:t>
      </w:r>
      <w:r>
        <w:rPr>
          <w:rFonts w:hint="eastAsia"/>
          <w:b/>
          <w:snapToGrid w:val="0"/>
          <w:sz w:val="30"/>
          <w:lang w:val="en-US" w:eastAsia="zh-CN"/>
        </w:rPr>
        <w:t>五</w:t>
      </w:r>
      <w:r>
        <w:rPr>
          <w:rFonts w:hint="eastAsia"/>
          <w:b/>
          <w:snapToGrid w:val="0"/>
          <w:sz w:val="30"/>
        </w:rPr>
        <w:t>月</w:t>
      </w:r>
    </w:p>
    <w:p w14:paraId="0E9B1833"/>
    <w:p w14:paraId="3EE5AD1B"/>
    <w:p w14:paraId="3737A5AC"/>
    <w:p w14:paraId="3F3E8B0C"/>
    <w:p w14:paraId="4D804BA9">
      <w:pPr>
        <w:rPr>
          <w:rFonts w:hint="eastAsia" w:asciiTheme="minorEastAsia" w:hAnsiTheme="minorEastAsia" w:eastAsiaTheme="minorEastAsia"/>
          <w:b/>
          <w:bCs/>
          <w:szCs w:val="21"/>
        </w:rPr>
      </w:pPr>
    </w:p>
    <w:p w14:paraId="1367AE05">
      <w:pPr>
        <w:jc w:val="cente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hint="eastAsia" w:ascii="宋体" w:hAnsi="宋体"/>
          <w:sz w:val="24"/>
        </w:rPr>
      </w:pPr>
    </w:p>
    <w:p w14:paraId="7652862D">
      <w:pPr>
        <w:spacing w:line="440" w:lineRule="exact"/>
        <w:ind w:firstLine="480" w:firstLineChars="200"/>
        <w:rPr>
          <w:rFonts w:hint="eastAsia"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hint="eastAsia"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hint="eastAsia"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hint="eastAsia"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hint="eastAsia"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hint="eastAsia"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hint="eastAsia"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hint="eastAsia"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hint="eastAsia"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hint="eastAsia"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hint="eastAsia"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hint="eastAsia" w:ascii="仿宋" w:hAnsi="仿宋" w:eastAsia="仿宋"/>
          <w:sz w:val="24"/>
        </w:rPr>
      </w:pPr>
    </w:p>
    <w:p w14:paraId="765C94BC">
      <w:pPr>
        <w:spacing w:line="440" w:lineRule="exact"/>
        <w:ind w:firstLine="480" w:firstLineChars="200"/>
        <w:rPr>
          <w:rFonts w:hint="eastAsia"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hint="eastAsia"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hint="eastAsia"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hint="eastAsia"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hint="eastAsia"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hint="eastAsia"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hint="eastAsia"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hint="eastAsia"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hint="eastAsia" w:ascii="仿宋" w:hAnsi="仿宋" w:eastAsia="仿宋"/>
          <w:sz w:val="24"/>
        </w:rPr>
      </w:pPr>
    </w:p>
    <w:p w14:paraId="1A9DB0BD">
      <w:pPr>
        <w:spacing w:line="440" w:lineRule="exact"/>
        <w:ind w:firstLine="480" w:firstLineChars="200"/>
        <w:rPr>
          <w:rFonts w:hint="eastAsia"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hint="eastAsia"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hint="eastAsia"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00B84C0">
      <w:pPr>
        <w:pStyle w:val="60"/>
      </w:pPr>
    </w:p>
    <w:p w14:paraId="46C6857F">
      <w:pPr>
        <w:spacing w:line="440" w:lineRule="exact"/>
        <w:ind w:firstLine="424" w:firstLineChars="177"/>
        <w:rPr>
          <w:rFonts w:hint="eastAsia"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2590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2235242A">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8720" w:type="dxa"/>
            <w:vAlign w:val="center"/>
          </w:tcPr>
          <w:p w14:paraId="3918AC98">
            <w:pPr>
              <w:spacing w:line="400" w:lineRule="exact"/>
              <w:jc w:val="center"/>
              <w:rPr>
                <w:rFonts w:hint="eastAsia" w:ascii="仿宋" w:hAnsi="仿宋" w:eastAsia="仿宋" w:cs="仿宋"/>
                <w:sz w:val="24"/>
              </w:rPr>
            </w:pPr>
            <w:r>
              <w:rPr>
                <w:rFonts w:hint="eastAsia" w:ascii="仿宋" w:hAnsi="仿宋" w:eastAsia="仿宋" w:cs="仿宋"/>
                <w:b/>
                <w:bCs/>
                <w:sz w:val="24"/>
              </w:rPr>
              <w:t>供应商参与投标禁止情形</w:t>
            </w:r>
          </w:p>
        </w:tc>
      </w:tr>
      <w:tr w14:paraId="0345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C7E762">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720" w:type="dxa"/>
            <w:vAlign w:val="center"/>
          </w:tcPr>
          <w:p w14:paraId="2FF40D36">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0793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0160B771">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720" w:type="dxa"/>
            <w:vAlign w:val="center"/>
          </w:tcPr>
          <w:p w14:paraId="5BC5A058">
            <w:pPr>
              <w:spacing w:line="400" w:lineRule="exact"/>
              <w:jc w:val="left"/>
              <w:rPr>
                <w:rFonts w:hint="eastAsia"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66ED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618249DE">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8720" w:type="dxa"/>
            <w:vAlign w:val="center"/>
          </w:tcPr>
          <w:p w14:paraId="7EE00943">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4BDC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1ED99AB7">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720" w:type="dxa"/>
            <w:vAlign w:val="center"/>
          </w:tcPr>
          <w:p w14:paraId="058513E3">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42BF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61A8C3A8">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8720" w:type="dxa"/>
            <w:vAlign w:val="center"/>
          </w:tcPr>
          <w:p w14:paraId="5388AAB6">
            <w:pPr>
              <w:spacing w:line="400" w:lineRule="exact"/>
              <w:jc w:val="left"/>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906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2EBEF8F">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720" w:type="dxa"/>
            <w:vAlign w:val="center"/>
          </w:tcPr>
          <w:p w14:paraId="51282A3E">
            <w:pPr>
              <w:spacing w:line="400" w:lineRule="exact"/>
              <w:jc w:val="left"/>
              <w:rPr>
                <w:rFonts w:hint="eastAsia"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2AC9AA91">
      <w:pPr>
        <w:pStyle w:val="506"/>
        <w:jc w:val="both"/>
        <w:rPr>
          <w:rFonts w:ascii="Times New Roman" w:hAnsi="Times New Roman" w:eastAsia="宋体" w:cs="Times New Roman"/>
          <w:b w:val="0"/>
          <w:bCs w:val="0"/>
          <w:iCs/>
          <w:smallCaps/>
          <w:color w:val="auto"/>
          <w:kern w:val="2"/>
          <w:sz w:val="21"/>
          <w:szCs w:val="24"/>
          <w:lang w:val="zh-CN"/>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F6EED3C">
          <w:pPr>
            <w:pStyle w:val="506"/>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6"/>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48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48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50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51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53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101</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104</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107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109</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3"/>
            <w:tabs>
              <w:tab w:val="right" w:leader="dot" w:pos="9628"/>
            </w:tabs>
            <w:spacing w:line="360" w:lineRule="exact"/>
          </w:pPr>
          <w:r>
            <w:rPr>
              <w:rFonts w:hint="eastAsia" w:ascii="仿宋_GB2312" w:eastAsia="仿宋_GB2312"/>
              <w:sz w:val="24"/>
            </w:rPr>
            <w:fldChar w:fldCharType="end"/>
          </w:r>
        </w:p>
      </w:sdtContent>
    </w:sdt>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共享业务处理与企业实务流程教学软件</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16</w:t>
      </w:r>
      <w:r>
        <w:rPr>
          <w:rFonts w:hint="eastAsia" w:ascii="宋体" w:hAnsi="宋体" w:cs="Arial Unicode MS"/>
          <w:snapToGrid w:val="0"/>
          <w:kern w:val="0"/>
          <w:szCs w:val="21"/>
          <w:u w:val="single"/>
        </w:rPr>
        <w:t>日9点30分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hint="eastAsia" w:ascii="宋体" w:hAnsi="宋体" w:cs="Arial Unicode MS"/>
          <w:snapToGrid w:val="0"/>
          <w:kern w:val="0"/>
          <w:szCs w:val="21"/>
        </w:rPr>
      </w:pPr>
    </w:p>
    <w:p w14:paraId="45A42C55">
      <w:pPr>
        <w:pStyle w:val="455"/>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CGXM-2024-005644</w:t>
      </w:r>
    </w:p>
    <w:p w14:paraId="649AF3F2">
      <w:pPr>
        <w:pStyle w:val="45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2、项目名称：共享业务处理与企业实务流程教学软件</w:t>
      </w:r>
      <w:bookmarkStart w:id="128" w:name="_GoBack"/>
      <w:bookmarkEnd w:id="128"/>
    </w:p>
    <w:p w14:paraId="6A52D401">
      <w:pPr>
        <w:pStyle w:val="45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880,000.00</w:t>
      </w:r>
      <w:r>
        <w:rPr>
          <w:rFonts w:hint="eastAsia" w:ascii="宋体" w:hAnsi="宋体" w:eastAsia="宋体"/>
          <w:snapToGrid w:val="0"/>
          <w:color w:val="auto"/>
          <w:sz w:val="21"/>
          <w:szCs w:val="21"/>
        </w:rPr>
        <w:t>元</w:t>
      </w:r>
    </w:p>
    <w:p w14:paraId="3D212948">
      <w:pPr>
        <w:pStyle w:val="45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880,000.00</w:t>
      </w:r>
      <w:r>
        <w:rPr>
          <w:rFonts w:hint="eastAsia" w:ascii="宋体" w:hAnsi="宋体" w:eastAsia="宋体"/>
          <w:snapToGrid w:val="0"/>
          <w:color w:val="auto"/>
          <w:sz w:val="21"/>
          <w:szCs w:val="21"/>
        </w:rPr>
        <w:t>元</w:t>
      </w:r>
    </w:p>
    <w:p w14:paraId="3A6DF4A7">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6"/>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6"/>
              <w:spacing w:line="360" w:lineRule="auto"/>
              <w:jc w:val="center"/>
              <w:rPr>
                <w:sz w:val="21"/>
              </w:rPr>
            </w:pPr>
            <w:r>
              <w:rPr>
                <w:sz w:val="21"/>
              </w:rPr>
              <w:t>标的名称</w:t>
            </w:r>
          </w:p>
        </w:tc>
        <w:tc>
          <w:tcPr>
            <w:tcW w:w="850" w:type="dxa"/>
            <w:shd w:val="clear" w:color="auto" w:fill="ABCDEF"/>
            <w:vAlign w:val="center"/>
          </w:tcPr>
          <w:p w14:paraId="10910DA6">
            <w:pPr>
              <w:pStyle w:val="46"/>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6"/>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6"/>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6"/>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6"/>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6"/>
              <w:spacing w:line="360" w:lineRule="auto"/>
              <w:jc w:val="center"/>
              <w:rPr>
                <w:rFonts w:hint="eastAsia"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6"/>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eastAsiaTheme="minorEastAsia"/>
                <w:sz w:val="21"/>
                <w:szCs w:val="21"/>
              </w:rPr>
              <w:t>2</w:t>
            </w:r>
          </w:p>
        </w:tc>
        <w:tc>
          <w:tcPr>
            <w:tcW w:w="851" w:type="dxa"/>
            <w:shd w:val="clear" w:color="auto" w:fill="auto"/>
            <w:vAlign w:val="center"/>
          </w:tcPr>
          <w:p w14:paraId="6FE3DB69">
            <w:pPr>
              <w:pStyle w:val="46"/>
              <w:spacing w:before="0" w:beforeAutospacing="0" w:after="0" w:afterAutospacing="0" w:line="36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2977" w:type="dxa"/>
            <w:shd w:val="clear" w:color="auto" w:fill="auto"/>
            <w:vAlign w:val="center"/>
          </w:tcPr>
          <w:p w14:paraId="73E04DCD">
            <w:pPr>
              <w:pStyle w:val="46"/>
              <w:spacing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0E67BD9D">
      <w:pPr>
        <w:pStyle w:val="455"/>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5"/>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5"/>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259DA3B8">
      <w:pPr>
        <w:pStyle w:val="455"/>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69FDDF28">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4B66F153">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744D74A">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37041F6E">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43687DE">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B071F60">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B4B638A">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63691C8">
      <w:pPr>
        <w:pStyle w:val="455"/>
        <w:adjustRightInd w:val="0"/>
        <w:snapToGrid w:val="0"/>
        <w:spacing w:before="0" w:beforeAutospacing="0" w:after="0" w:afterAutospacing="0" w:line="360" w:lineRule="auto"/>
        <w:ind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68367AC">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A2CE5EF">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77DE15C">
      <w:pPr>
        <w:pStyle w:val="45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733B5099">
      <w:pPr>
        <w:pStyle w:val="455"/>
        <w:adjustRightInd w:val="0"/>
        <w:snapToGrid w:val="0"/>
        <w:spacing w:before="0" w:beforeAutospacing="0" w:after="0" w:afterAutospacing="0" w:line="360" w:lineRule="auto"/>
        <w:ind w:firstLine="424" w:firstLineChars="202"/>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114FBB79">
      <w:pPr>
        <w:pStyle w:val="455"/>
        <w:adjustRightInd w:val="0"/>
        <w:snapToGrid w:val="0"/>
        <w:spacing w:before="0" w:beforeAutospacing="0" w:after="0" w:afterAutospacing="0" w:line="360" w:lineRule="auto"/>
        <w:rPr>
          <w:rFonts w:hint="eastAsia" w:ascii="宋体" w:hAnsi="宋体" w:eastAsia="宋体"/>
          <w:snapToGrid w:val="0"/>
          <w:color w:val="auto"/>
          <w:sz w:val="21"/>
          <w:szCs w:val="21"/>
        </w:rPr>
      </w:pPr>
    </w:p>
    <w:p w14:paraId="2EB5C9BD">
      <w:pPr>
        <w:pStyle w:val="455"/>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CBE7B72">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7B78E852">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0DBDDED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snapToGrid w:val="0"/>
          <w:szCs w:val="21"/>
        </w:rPr>
        <w:t xml:space="preserve">现场及线上报名均需提供以下资料: </w:t>
      </w:r>
      <w:r>
        <w:rPr>
          <w:rFonts w:hint="eastAsia" w:ascii="宋体" w:hAnsi="宋体"/>
          <w:snapToGrid w:val="0"/>
          <w:szCs w:val="21"/>
        </w:rPr>
        <w:fldChar w:fldCharType="begin"/>
      </w:r>
      <w:r>
        <w:rPr>
          <w:rFonts w:hint="eastAsia" w:ascii="宋体" w:hAnsi="宋体"/>
          <w:snapToGrid w:val="0"/>
          <w:szCs w:val="21"/>
        </w:rPr>
        <w:instrText xml:space="preserve"> = 1 \* GB3 </w:instrText>
      </w:r>
      <w:r>
        <w:rPr>
          <w:rFonts w:hint="eastAsia" w:ascii="宋体" w:hAnsi="宋体"/>
          <w:snapToGrid w:val="0"/>
          <w:szCs w:val="21"/>
        </w:rPr>
        <w:fldChar w:fldCharType="separate"/>
      </w:r>
      <w:r>
        <w:rPr>
          <w:rFonts w:hint="eastAsia" w:ascii="宋体" w:hAnsi="宋体"/>
          <w:snapToGrid w:val="0"/>
          <w:szCs w:val="21"/>
        </w:rPr>
        <w:t>①</w:t>
      </w:r>
      <w:r>
        <w:rPr>
          <w:rFonts w:hint="eastAsia" w:ascii="宋体" w:hAnsi="宋体"/>
          <w:snapToGrid w:val="0"/>
          <w:szCs w:val="21"/>
        </w:rPr>
        <w:fldChar w:fldCharType="end"/>
      </w:r>
      <w:r>
        <w:rPr>
          <w:rFonts w:hint="eastAsia" w:ascii="宋体" w:hAnsi="宋体"/>
          <w:snapToGrid w:val="0"/>
          <w:szCs w:val="21"/>
        </w:rPr>
        <w:t>加盖公章的《购买标书登记表》（下载地址：www.szzzt.com 首页“下载中心”）；</w:t>
      </w:r>
      <w:r>
        <w:rPr>
          <w:rFonts w:hint="eastAsia" w:ascii="宋体" w:hAnsi="宋体"/>
          <w:snapToGrid w:val="0"/>
          <w:szCs w:val="21"/>
        </w:rPr>
        <w:fldChar w:fldCharType="begin"/>
      </w:r>
      <w:r>
        <w:rPr>
          <w:rFonts w:hint="eastAsia" w:ascii="宋体" w:hAnsi="宋体"/>
          <w:snapToGrid w:val="0"/>
          <w:szCs w:val="21"/>
        </w:rPr>
        <w:instrText xml:space="preserve"> = 2 \* GB3 </w:instrText>
      </w:r>
      <w:r>
        <w:rPr>
          <w:rFonts w:hint="eastAsia" w:ascii="宋体" w:hAnsi="宋体"/>
          <w:snapToGrid w:val="0"/>
          <w:szCs w:val="21"/>
        </w:rPr>
        <w:fldChar w:fldCharType="separate"/>
      </w:r>
      <w:r>
        <w:rPr>
          <w:rFonts w:hint="eastAsia" w:ascii="宋体" w:hAnsi="宋体"/>
          <w:snapToGrid w:val="0"/>
          <w:szCs w:val="21"/>
        </w:rPr>
        <w:t>②</w:t>
      </w:r>
      <w:r>
        <w:rPr>
          <w:rFonts w:hint="eastAsia" w:ascii="宋体" w:hAnsi="宋体"/>
          <w:snapToGrid w:val="0"/>
          <w:szCs w:val="21"/>
        </w:rPr>
        <w:fldChar w:fldCharType="end"/>
      </w:r>
      <w:r>
        <w:rPr>
          <w:rFonts w:hint="eastAsia" w:ascii="宋体" w:hAnsi="宋体"/>
          <w:snapToGrid w:val="0"/>
          <w:szCs w:val="21"/>
        </w:rPr>
        <w:t>购买招标文件费用的银行转账凭证。</w:t>
      </w:r>
    </w:p>
    <w:p w14:paraId="57BFC1AE">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5"/>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5"/>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9911FA8">
      <w:pPr>
        <w:pStyle w:val="455"/>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5"/>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日9点30分（北京时间）</w:t>
      </w:r>
    </w:p>
    <w:p w14:paraId="334B5CD9">
      <w:pPr>
        <w:pStyle w:val="45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5"/>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0DA3AEFF">
      <w:pPr>
        <w:pStyle w:val="455"/>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5"/>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677ED6D2">
      <w:pPr>
        <w:pStyle w:val="455"/>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5"/>
        <w:adjustRightInd w:val="0"/>
        <w:snapToGrid w:val="0"/>
        <w:spacing w:before="0" w:beforeAutospacing="0" w:after="0" w:afterAutospacing="0" w:line="360" w:lineRule="auto"/>
        <w:ind w:firstLine="424" w:firstLineChars="202"/>
        <w:rPr>
          <w:rFonts w:eastAsia="宋体"/>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36957274">
      <w:pPr>
        <w:pStyle w:val="455"/>
        <w:adjustRightInd w:val="0"/>
        <w:snapToGrid w:val="0"/>
        <w:spacing w:before="0" w:beforeAutospacing="0" w:after="0" w:afterAutospacing="0" w:line="360" w:lineRule="auto"/>
        <w:ind w:firstLine="424" w:firstLineChars="202"/>
      </w:pPr>
      <w:r>
        <w:rPr>
          <w:rFonts w:hint="eastAsia" w:ascii="宋体" w:hAnsi="宋体" w:eastAsia="宋体"/>
          <w:snapToGrid w:val="0"/>
          <w:color w:val="auto"/>
          <w:sz w:val="21"/>
          <w:szCs w:val="21"/>
        </w:rPr>
        <w:t>3）深圳职业技术大学采购中心网站（zhaobiao.szpu.edu.cn/）。</w:t>
      </w:r>
    </w:p>
    <w:p w14:paraId="3B7902D0">
      <w:pPr>
        <w:pStyle w:val="455"/>
        <w:adjustRightInd w:val="0"/>
        <w:snapToGrid w:val="0"/>
        <w:spacing w:before="0" w:beforeAutospacing="0" w:after="0" w:afterAutospacing="0" w:line="360" w:lineRule="auto"/>
        <w:ind w:firstLine="363" w:firstLineChars="202"/>
      </w:pPr>
    </w:p>
    <w:p w14:paraId="53F776C9">
      <w:pPr>
        <w:pStyle w:val="45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5"/>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16B8EDBC">
      <w:pPr>
        <w:pStyle w:val="455"/>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w:t>
      </w:r>
      <w:r>
        <w:rPr>
          <w:rFonts w:ascii="宋体" w:hAnsi="宋体" w:eastAsia="宋体"/>
          <w:snapToGrid w:val="0"/>
          <w:color w:val="auto"/>
          <w:sz w:val="21"/>
          <w:szCs w:val="21"/>
        </w:rPr>
        <w:t xml:space="preserve"> </w:t>
      </w:r>
      <w:r>
        <w:rPr>
          <w:rFonts w:hint="eastAsia" w:ascii="宋体" w:hAnsi="宋体" w:eastAsia="宋体"/>
          <w:snapToGrid w:val="0"/>
          <w:color w:val="auto"/>
          <w:sz w:val="21"/>
          <w:szCs w:val="21"/>
        </w:rPr>
        <w:t>广东省深圳市南山区留仙大道7098号</w:t>
      </w:r>
    </w:p>
    <w:p w14:paraId="3D2102F0">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联系方式：陈老师</w:t>
      </w:r>
      <w:r>
        <w:rPr>
          <w:rFonts w:hint="eastAsia" w:eastAsia="宋体"/>
        </w:rPr>
        <w:t>，</w:t>
      </w:r>
      <w:r>
        <w:rPr>
          <w:rFonts w:hint="eastAsia" w:ascii="宋体" w:hAnsi="宋体" w:eastAsia="宋体"/>
          <w:snapToGrid w:val="0"/>
          <w:color w:val="auto"/>
          <w:sz w:val="21"/>
          <w:szCs w:val="21"/>
        </w:rPr>
        <w:t>0755-26019032</w:t>
      </w:r>
    </w:p>
    <w:p w14:paraId="03A28445">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581CC658">
      <w:pPr>
        <w:pStyle w:val="45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6</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AE2CF0C">
      <w:bookmarkStart w:id="2" w:name="_Toc135293321"/>
    </w:p>
    <w:p w14:paraId="0526D094">
      <w:pPr>
        <w:pStyle w:val="2"/>
      </w:pPr>
      <w:r>
        <w:rPr>
          <w:rFonts w:hint="eastAsia"/>
        </w:rPr>
        <w:t>第二章  项目需求</w:t>
      </w:r>
      <w:bookmarkEnd w:id="2"/>
    </w:p>
    <w:p w14:paraId="594C8182">
      <w:pPr>
        <w:spacing w:after="156" w:afterLines="50" w:line="360" w:lineRule="auto"/>
        <w:ind w:left="2"/>
        <w:jc w:val="center"/>
        <w:rPr>
          <w:rFonts w:hint="eastAsia"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4AA14473">
      <w:pPr>
        <w:autoSpaceDE w:val="0"/>
        <w:autoSpaceDN w:val="0"/>
        <w:adjustRightInd w:val="0"/>
        <w:spacing w:line="360" w:lineRule="auto"/>
        <w:ind w:firstLine="482" w:firstLineChars="200"/>
        <w:jc w:val="left"/>
        <w:rPr>
          <w:rFonts w:ascii="仿宋_GB2312" w:eastAsia="仿宋_GB2312"/>
          <w:b/>
          <w:sz w:val="24"/>
          <w:highlight w:val="yellow"/>
        </w:rPr>
      </w:pPr>
      <w:r>
        <w:rPr>
          <w:rFonts w:hint="eastAsia" w:ascii="仿宋_GB2312" w:eastAsia="仿宋_GB2312"/>
          <w:b/>
          <w:sz w:val="24"/>
          <w:highlight w:val="yellow"/>
        </w:rPr>
        <w:t>6、加注★的条款为不可负偏离的实质性条款，任一项未响应或不满足要求的，将导致投标无效。</w:t>
      </w:r>
    </w:p>
    <w:p w14:paraId="0859FF74">
      <w:pPr>
        <w:autoSpaceDE w:val="0"/>
        <w:autoSpaceDN w:val="0"/>
        <w:adjustRightInd w:val="0"/>
        <w:spacing w:line="360" w:lineRule="auto"/>
        <w:ind w:firstLine="482" w:firstLineChars="200"/>
        <w:jc w:val="left"/>
        <w:rPr>
          <w:rFonts w:ascii="仿宋_GB2312" w:eastAsia="仿宋_GB2312"/>
          <w:b/>
          <w:sz w:val="24"/>
          <w:highlight w:val="yellow"/>
        </w:rPr>
      </w:pPr>
    </w:p>
    <w:p w14:paraId="7D784403">
      <w:pPr>
        <w:spacing w:line="360" w:lineRule="auto"/>
        <w:ind w:firstLine="482" w:firstLineChars="200"/>
        <w:rPr>
          <w:szCs w:val="21"/>
        </w:rPr>
      </w:pPr>
      <w:r>
        <w:rPr>
          <w:rFonts w:hint="eastAsia" w:ascii="宋体" w:hAnsi="宋体"/>
          <w:b/>
          <w:snapToGrid w:val="0"/>
          <w:kern w:val="0"/>
          <w:sz w:val="24"/>
        </w:rPr>
        <w:t>一、</w:t>
      </w:r>
      <w:r>
        <w:rPr>
          <w:rFonts w:hint="eastAsia" w:ascii="宋体" w:hAnsi="宋体"/>
          <w:b/>
          <w:sz w:val="24"/>
        </w:rPr>
        <w:t>采购范围</w:t>
      </w:r>
      <w:r>
        <w:rPr>
          <w:rFonts w:hint="eastAsia" w:ascii="宋体" w:hAnsi="宋体"/>
          <w:b/>
          <w:sz w:val="24"/>
        </w:rPr>
        <w:br w:type="textWrapping"/>
      </w:r>
      <w:r>
        <w:rPr>
          <w:rFonts w:hint="eastAsia" w:asciiTheme="minorEastAsia" w:hAnsiTheme="minorEastAsia" w:eastAsiaTheme="minorEastAsia" w:cstheme="minorEastAsia"/>
          <w:b/>
          <w:szCs w:val="21"/>
        </w:rPr>
        <w:t>（一）项目背景</w:t>
      </w:r>
      <w:r>
        <w:rPr>
          <w:rFonts w:hint="eastAsia" w:asciiTheme="minorEastAsia" w:hAnsiTheme="minorEastAsia" w:eastAsiaTheme="minorEastAsia" w:cstheme="minorEastAsia"/>
          <w:b/>
          <w:sz w:val="24"/>
        </w:rPr>
        <w:br w:type="textWrapping"/>
      </w:r>
      <w:r>
        <w:rPr>
          <w:rFonts w:hint="eastAsia" w:asciiTheme="minorEastAsia" w:hAnsiTheme="minorEastAsia" w:eastAsiaTheme="minorEastAsia" w:cstheme="minorEastAsia"/>
          <w:b/>
          <w:sz w:val="24"/>
        </w:rPr>
        <w:t xml:space="preserve">   </w:t>
      </w:r>
      <w:r>
        <w:rPr>
          <w:rFonts w:hint="eastAsia" w:ascii="等线" w:hAnsi="等线"/>
          <w:szCs w:val="21"/>
        </w:rPr>
        <w:t>本项目教学软件可以满足《财务共享服务中心规划与设计》、《企业实务流程设计》等课程的实训教学需要，并满足培养学生企业内部控制基本流程与设计、企业财务业务流程设计、企业财务共享中心规划与设计、云财务业务处理等技能的需求。</w:t>
      </w:r>
    </w:p>
    <w:p w14:paraId="097EFBB2">
      <w:pPr>
        <w:spacing w:line="360" w:lineRule="auto"/>
        <w:ind w:firstLine="420" w:firstLineChars="200"/>
        <w:rPr>
          <w:rFonts w:hint="eastAsia" w:asciiTheme="minorEastAsia" w:hAnsiTheme="minorEastAsia" w:eastAsiaTheme="minorEastAsia" w:cstheme="minorEastAsia"/>
          <w:b/>
          <w:sz w:val="24"/>
        </w:rPr>
      </w:pPr>
      <w:r>
        <w:rPr>
          <w:rFonts w:hint="eastAsia" w:ascii="等线" w:hAnsi="等线"/>
          <w:szCs w:val="21"/>
        </w:rPr>
        <w:t>同时，两款软件还可以为学校与企业之间的合作提供一个平台。学校可以邀请企业专家和从业人员来给学生们提供实际案例以及进行经验分享，加强学校与企业之间的交流与合作。学校还可以将实验室的成果应用到企业实际运营中，为企业提供咨询服务和解决方案。</w:t>
      </w:r>
    </w:p>
    <w:p w14:paraId="593B4105">
      <w:pPr>
        <w:spacing w:line="360" w:lineRule="auto"/>
        <w:rPr>
          <w:rFonts w:hint="eastAsia" w:ascii="宋体" w:hAnsi="宋体"/>
          <w:b/>
          <w:szCs w:val="21"/>
        </w:rPr>
      </w:pPr>
      <w:r>
        <w:rPr>
          <w:rFonts w:hint="eastAsia" w:ascii="宋体" w:hAnsi="宋体"/>
          <w:b/>
          <w:szCs w:val="21"/>
        </w:rPr>
        <w:t>（二）货物总清单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hint="eastAsia"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hint="eastAsia"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hint="eastAsia"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hint="eastAsia"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hint="eastAsia"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cs="宋体"/>
                <w:kern w:val="0"/>
                <w:szCs w:val="21"/>
              </w:rPr>
            </w:pPr>
            <w:r>
              <w:rPr>
                <w:rFonts w:hint="eastAsia" w:ascii="宋体" w:hAnsi="宋体" w:cs="宋体"/>
                <w:kern w:val="0"/>
                <w:szCs w:val="21"/>
              </w:rPr>
              <w:t>共享业务处理与企业实务流程教学软件</w:t>
            </w:r>
          </w:p>
        </w:tc>
        <w:tc>
          <w:tcPr>
            <w:tcW w:w="850" w:type="dxa"/>
            <w:tcMar>
              <w:top w:w="0" w:type="dxa"/>
              <w:left w:w="108" w:type="dxa"/>
              <w:bottom w:w="0" w:type="dxa"/>
              <w:right w:w="108" w:type="dxa"/>
            </w:tcMar>
            <w:vAlign w:val="center"/>
          </w:tcPr>
          <w:p w14:paraId="7F7A48C0">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993" w:type="dxa"/>
            <w:vAlign w:val="center"/>
          </w:tcPr>
          <w:p w14:paraId="479CCE44">
            <w:pPr>
              <w:widowControl/>
              <w:spacing w:line="360" w:lineRule="auto"/>
              <w:jc w:val="center"/>
              <w:rPr>
                <w:rFonts w:hint="eastAsia" w:ascii="宋体" w:hAnsi="宋体" w:cs="宋体"/>
                <w:kern w:val="0"/>
                <w:szCs w:val="21"/>
              </w:rPr>
            </w:pPr>
            <w:r>
              <w:rPr>
                <w:rFonts w:hint="eastAsia" w:ascii="宋体" w:hAnsi="宋体" w:cs="宋体"/>
                <w:kern w:val="0"/>
                <w:szCs w:val="21"/>
              </w:rPr>
              <w:t>套</w:t>
            </w:r>
          </w:p>
        </w:tc>
        <w:tc>
          <w:tcPr>
            <w:tcW w:w="1701" w:type="dxa"/>
            <w:vAlign w:val="center"/>
          </w:tcPr>
          <w:p w14:paraId="7C1C0756">
            <w:pPr>
              <w:jc w:val="center"/>
              <w:rPr>
                <w:rFonts w:hint="eastAsia" w:ascii="宋体" w:hAnsi="宋体" w:cs="宋体"/>
                <w:bCs/>
                <w:kern w:val="0"/>
                <w:szCs w:val="21"/>
              </w:rPr>
            </w:pPr>
            <w:r>
              <w:rPr>
                <w:rFonts w:hint="eastAsia" w:ascii="宋体" w:hAnsi="宋体" w:cs="宋体"/>
                <w:bCs/>
                <w:kern w:val="0"/>
                <w:szCs w:val="21"/>
              </w:rPr>
              <w:t>880,000.00</w:t>
            </w:r>
          </w:p>
        </w:tc>
        <w:tc>
          <w:tcPr>
            <w:tcW w:w="1417" w:type="dxa"/>
            <w:vAlign w:val="center"/>
          </w:tcPr>
          <w:p w14:paraId="52DE30B4">
            <w:pPr>
              <w:widowControl/>
              <w:spacing w:line="360" w:lineRule="auto"/>
              <w:jc w:val="center"/>
              <w:rPr>
                <w:rFonts w:hint="eastAsia" w:ascii="宋体" w:hAnsi="宋体" w:cs="宋体"/>
                <w:kern w:val="0"/>
                <w:szCs w:val="21"/>
              </w:rPr>
            </w:pPr>
            <w:r>
              <w:rPr>
                <w:rFonts w:hint="eastAsia" w:ascii="宋体" w:hAnsi="宋体" w:cs="宋体"/>
                <w:kern w:val="0"/>
                <w:szCs w:val="21"/>
              </w:rPr>
              <w:t>拒绝进口</w:t>
            </w:r>
          </w:p>
        </w:tc>
      </w:tr>
    </w:tbl>
    <w:p w14:paraId="6BBE45FC">
      <w:pPr>
        <w:widowControl/>
        <w:snapToGrid w:val="0"/>
        <w:spacing w:before="140" w:line="360" w:lineRule="auto"/>
        <w:jc w:val="left"/>
        <w:rPr>
          <w:rFonts w:hint="eastAsia" w:ascii="宋体" w:hAnsi="宋体"/>
          <w:bCs/>
          <w:snapToGrid w:val="0"/>
          <w:kern w:val="0"/>
          <w:szCs w:val="21"/>
        </w:rPr>
      </w:pPr>
      <w:r>
        <w:rPr>
          <w:rFonts w:hint="eastAsia" w:ascii="宋体" w:hAnsi="宋体"/>
          <w:b/>
          <w:szCs w:val="21"/>
        </w:rPr>
        <w:t>（三）货物清单明细</w:t>
      </w:r>
    </w:p>
    <w:tbl>
      <w:tblPr>
        <w:tblStyle w:val="5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199"/>
        <w:gridCol w:w="1126"/>
        <w:gridCol w:w="1133"/>
        <w:gridCol w:w="710"/>
        <w:gridCol w:w="709"/>
        <w:gridCol w:w="1635"/>
      </w:tblGrid>
      <w:tr w14:paraId="1787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84" w:type="dxa"/>
            <w:vAlign w:val="center"/>
          </w:tcPr>
          <w:p w14:paraId="6B95451E">
            <w:pPr>
              <w:jc w:val="center"/>
              <w:rPr>
                <w:b/>
                <w:bCs/>
                <w:szCs w:val="21"/>
              </w:rPr>
            </w:pPr>
            <w:r>
              <w:rPr>
                <w:rFonts w:hint="eastAsia"/>
                <w:b/>
                <w:bCs/>
                <w:szCs w:val="21"/>
              </w:rPr>
              <w:t>序号</w:t>
            </w:r>
          </w:p>
        </w:tc>
        <w:tc>
          <w:tcPr>
            <w:tcW w:w="3199" w:type="dxa"/>
            <w:vAlign w:val="center"/>
          </w:tcPr>
          <w:p w14:paraId="421A7C9F">
            <w:pPr>
              <w:jc w:val="center"/>
              <w:rPr>
                <w:b/>
                <w:bCs/>
                <w:szCs w:val="21"/>
              </w:rPr>
            </w:pPr>
            <w:r>
              <w:rPr>
                <w:rFonts w:hint="eastAsia"/>
                <w:b/>
                <w:bCs/>
                <w:color w:val="FF0000"/>
                <w:szCs w:val="21"/>
              </w:rPr>
              <w:t>标的名称</w:t>
            </w:r>
          </w:p>
        </w:tc>
        <w:tc>
          <w:tcPr>
            <w:tcW w:w="1126" w:type="dxa"/>
            <w:vAlign w:val="center"/>
          </w:tcPr>
          <w:p w14:paraId="44ED94EA">
            <w:pPr>
              <w:jc w:val="center"/>
              <w:rPr>
                <w:b/>
                <w:bCs/>
                <w:szCs w:val="21"/>
              </w:rPr>
            </w:pPr>
            <w:r>
              <w:rPr>
                <w:rFonts w:hint="eastAsia"/>
                <w:b/>
                <w:bCs/>
                <w:szCs w:val="21"/>
              </w:rPr>
              <w:t>是否进口</w:t>
            </w:r>
          </w:p>
        </w:tc>
        <w:tc>
          <w:tcPr>
            <w:tcW w:w="1133" w:type="dxa"/>
            <w:vAlign w:val="center"/>
          </w:tcPr>
          <w:p w14:paraId="77CBD129">
            <w:pPr>
              <w:jc w:val="center"/>
              <w:rPr>
                <w:b/>
                <w:bCs/>
                <w:szCs w:val="21"/>
              </w:rPr>
            </w:pPr>
            <w:r>
              <w:rPr>
                <w:rFonts w:hint="eastAsia"/>
                <w:b/>
                <w:bCs/>
                <w:szCs w:val="21"/>
              </w:rPr>
              <w:t>是否免税</w:t>
            </w:r>
          </w:p>
        </w:tc>
        <w:tc>
          <w:tcPr>
            <w:tcW w:w="710" w:type="dxa"/>
            <w:vAlign w:val="center"/>
          </w:tcPr>
          <w:p w14:paraId="1516EF78">
            <w:pPr>
              <w:jc w:val="center"/>
              <w:rPr>
                <w:b/>
                <w:bCs/>
                <w:szCs w:val="21"/>
              </w:rPr>
            </w:pPr>
            <w:r>
              <w:rPr>
                <w:rFonts w:hint="eastAsia"/>
                <w:b/>
                <w:bCs/>
                <w:szCs w:val="21"/>
              </w:rPr>
              <w:t>数量</w:t>
            </w:r>
          </w:p>
        </w:tc>
        <w:tc>
          <w:tcPr>
            <w:tcW w:w="709" w:type="dxa"/>
            <w:vAlign w:val="center"/>
          </w:tcPr>
          <w:p w14:paraId="45559E23">
            <w:pPr>
              <w:jc w:val="center"/>
              <w:rPr>
                <w:b/>
                <w:bCs/>
                <w:szCs w:val="21"/>
              </w:rPr>
            </w:pPr>
            <w:r>
              <w:rPr>
                <w:rFonts w:hint="eastAsia"/>
                <w:b/>
                <w:bCs/>
                <w:szCs w:val="21"/>
              </w:rPr>
              <w:t>单位</w:t>
            </w:r>
          </w:p>
        </w:tc>
        <w:tc>
          <w:tcPr>
            <w:tcW w:w="1635" w:type="dxa"/>
            <w:vAlign w:val="center"/>
          </w:tcPr>
          <w:p w14:paraId="35672002">
            <w:pPr>
              <w:widowControl/>
              <w:spacing w:line="360" w:lineRule="auto"/>
              <w:jc w:val="center"/>
              <w:rPr>
                <w:rFonts w:hint="eastAsia" w:ascii="宋体" w:hAnsi="宋体" w:cs="宋体"/>
                <w:b/>
                <w:kern w:val="0"/>
                <w:szCs w:val="21"/>
              </w:rPr>
            </w:pPr>
            <w:r>
              <w:rPr>
                <w:rFonts w:hint="eastAsia" w:ascii="宋体" w:hAnsi="宋体" w:cs="宋体"/>
                <w:b/>
                <w:kern w:val="0"/>
                <w:szCs w:val="21"/>
              </w:rPr>
              <w:t>预算金额</w:t>
            </w:r>
          </w:p>
          <w:p w14:paraId="14CEFF58">
            <w:pPr>
              <w:jc w:val="center"/>
              <w:rPr>
                <w:b/>
                <w:bCs/>
                <w:szCs w:val="21"/>
              </w:rPr>
            </w:pPr>
            <w:r>
              <w:rPr>
                <w:rFonts w:hint="eastAsia" w:ascii="宋体" w:hAnsi="宋体" w:cs="宋体"/>
                <w:b/>
                <w:szCs w:val="21"/>
              </w:rPr>
              <w:t>（人民币元）</w:t>
            </w:r>
          </w:p>
        </w:tc>
      </w:tr>
      <w:tr w14:paraId="599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4" w:type="dxa"/>
            <w:vAlign w:val="center"/>
          </w:tcPr>
          <w:p w14:paraId="7A7B6309">
            <w:pPr>
              <w:spacing w:line="360" w:lineRule="auto"/>
              <w:jc w:val="center"/>
              <w:rPr>
                <w:rFonts w:hint="eastAsia" w:ascii="宋体" w:hAnsi="宋体" w:cs="宋体"/>
                <w:bCs/>
                <w:szCs w:val="21"/>
              </w:rPr>
            </w:pPr>
            <w:r>
              <w:rPr>
                <w:rFonts w:hint="eastAsia" w:ascii="宋体" w:hAnsi="宋体" w:cs="宋体"/>
                <w:bCs/>
                <w:szCs w:val="21"/>
              </w:rPr>
              <w:t>1</w:t>
            </w:r>
          </w:p>
        </w:tc>
        <w:tc>
          <w:tcPr>
            <w:tcW w:w="3199" w:type="dxa"/>
            <w:vAlign w:val="center"/>
          </w:tcPr>
          <w:p w14:paraId="5456C6D6">
            <w:pPr>
              <w:spacing w:line="360" w:lineRule="auto"/>
              <w:jc w:val="center"/>
              <w:rPr>
                <w:rFonts w:hint="eastAsia" w:ascii="宋体" w:hAnsi="宋体" w:cs="宋体"/>
                <w:bCs/>
                <w:szCs w:val="21"/>
              </w:rPr>
            </w:pPr>
            <w:r>
              <w:rPr>
                <w:rFonts w:hint="eastAsia" w:ascii="宋体" w:hAnsi="宋体" w:cs="宋体"/>
                <w:bCs/>
                <w:szCs w:val="21"/>
              </w:rPr>
              <w:t>财务共享服务业务处理教学软件</w:t>
            </w:r>
          </w:p>
        </w:tc>
        <w:tc>
          <w:tcPr>
            <w:tcW w:w="1126" w:type="dxa"/>
            <w:vAlign w:val="center"/>
          </w:tcPr>
          <w:p w14:paraId="3D30274C">
            <w:pPr>
              <w:spacing w:line="360" w:lineRule="auto"/>
              <w:jc w:val="center"/>
              <w:rPr>
                <w:rFonts w:hint="eastAsia" w:ascii="宋体" w:hAnsi="宋体" w:cs="宋体"/>
                <w:bCs/>
                <w:szCs w:val="21"/>
              </w:rPr>
            </w:pPr>
            <w:r>
              <w:rPr>
                <w:rFonts w:hint="eastAsia" w:ascii="宋体" w:hAnsi="宋体" w:cs="宋体"/>
                <w:bCs/>
                <w:szCs w:val="21"/>
              </w:rPr>
              <w:t>否</w:t>
            </w:r>
          </w:p>
        </w:tc>
        <w:tc>
          <w:tcPr>
            <w:tcW w:w="1133" w:type="dxa"/>
            <w:vAlign w:val="center"/>
          </w:tcPr>
          <w:p w14:paraId="62E0409C">
            <w:pPr>
              <w:spacing w:line="360" w:lineRule="auto"/>
              <w:jc w:val="center"/>
              <w:rPr>
                <w:rFonts w:hint="eastAsia" w:ascii="宋体" w:hAnsi="宋体" w:cs="宋体"/>
                <w:bCs/>
                <w:szCs w:val="21"/>
              </w:rPr>
            </w:pPr>
            <w:r>
              <w:rPr>
                <w:rFonts w:hint="eastAsia" w:ascii="宋体" w:hAnsi="宋体" w:cs="宋体"/>
                <w:bCs/>
                <w:szCs w:val="21"/>
              </w:rPr>
              <w:t>否</w:t>
            </w:r>
          </w:p>
        </w:tc>
        <w:tc>
          <w:tcPr>
            <w:tcW w:w="710" w:type="dxa"/>
            <w:vAlign w:val="center"/>
          </w:tcPr>
          <w:p w14:paraId="34739EE6">
            <w:pPr>
              <w:spacing w:line="360" w:lineRule="auto"/>
              <w:jc w:val="center"/>
              <w:rPr>
                <w:rFonts w:hint="eastAsia" w:ascii="宋体" w:hAnsi="宋体" w:cs="宋体"/>
                <w:bCs/>
                <w:szCs w:val="21"/>
              </w:rPr>
            </w:pPr>
            <w:r>
              <w:rPr>
                <w:rFonts w:hint="eastAsia" w:ascii="宋体" w:hAnsi="宋体" w:cs="宋体"/>
                <w:bCs/>
                <w:szCs w:val="21"/>
              </w:rPr>
              <w:t>1</w:t>
            </w:r>
          </w:p>
        </w:tc>
        <w:tc>
          <w:tcPr>
            <w:tcW w:w="709" w:type="dxa"/>
            <w:vAlign w:val="center"/>
          </w:tcPr>
          <w:p w14:paraId="3F64C522">
            <w:pPr>
              <w:spacing w:line="360" w:lineRule="auto"/>
              <w:jc w:val="center"/>
              <w:rPr>
                <w:rFonts w:hint="eastAsia" w:ascii="宋体" w:hAnsi="宋体" w:cs="宋体"/>
                <w:bCs/>
                <w:szCs w:val="21"/>
              </w:rPr>
            </w:pPr>
            <w:r>
              <w:rPr>
                <w:rFonts w:hint="eastAsia" w:ascii="宋体" w:hAnsi="宋体" w:cs="宋体"/>
                <w:bCs/>
                <w:szCs w:val="21"/>
              </w:rPr>
              <w:t>套</w:t>
            </w:r>
          </w:p>
        </w:tc>
        <w:tc>
          <w:tcPr>
            <w:tcW w:w="1635" w:type="dxa"/>
            <w:vAlign w:val="center"/>
          </w:tcPr>
          <w:p w14:paraId="4BDA042A">
            <w:pPr>
              <w:spacing w:line="360" w:lineRule="auto"/>
              <w:jc w:val="center"/>
              <w:rPr>
                <w:rFonts w:hint="eastAsia" w:ascii="宋体" w:hAnsi="宋体" w:cs="宋体"/>
                <w:bCs/>
                <w:szCs w:val="21"/>
              </w:rPr>
            </w:pPr>
            <w:r>
              <w:rPr>
                <w:rFonts w:hint="eastAsia" w:ascii="宋体" w:hAnsi="宋体" w:cs="宋体"/>
                <w:bCs/>
                <w:szCs w:val="21"/>
              </w:rPr>
              <w:t>520,000.00</w:t>
            </w:r>
          </w:p>
        </w:tc>
      </w:tr>
      <w:tr w14:paraId="703F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4" w:type="dxa"/>
            <w:vAlign w:val="center"/>
          </w:tcPr>
          <w:p w14:paraId="7660A7AA">
            <w:pPr>
              <w:spacing w:line="360" w:lineRule="auto"/>
              <w:jc w:val="center"/>
              <w:rPr>
                <w:rFonts w:hint="eastAsia" w:ascii="宋体" w:hAnsi="宋体" w:cs="宋体"/>
                <w:bCs/>
                <w:szCs w:val="21"/>
              </w:rPr>
            </w:pPr>
            <w:r>
              <w:rPr>
                <w:rFonts w:hint="eastAsia" w:ascii="宋体" w:hAnsi="宋体" w:cs="宋体"/>
                <w:bCs/>
                <w:szCs w:val="21"/>
              </w:rPr>
              <w:t>2</w:t>
            </w:r>
          </w:p>
        </w:tc>
        <w:tc>
          <w:tcPr>
            <w:tcW w:w="3199" w:type="dxa"/>
            <w:vAlign w:val="center"/>
          </w:tcPr>
          <w:p w14:paraId="257833AF">
            <w:pPr>
              <w:spacing w:line="360" w:lineRule="auto"/>
              <w:jc w:val="center"/>
              <w:rPr>
                <w:rFonts w:hint="eastAsia" w:ascii="宋体" w:hAnsi="宋体" w:cs="宋体"/>
                <w:bCs/>
                <w:szCs w:val="21"/>
              </w:rPr>
            </w:pPr>
            <w:r>
              <w:rPr>
                <w:rFonts w:hint="eastAsia" w:ascii="宋体" w:hAnsi="宋体" w:cs="宋体"/>
                <w:bCs/>
                <w:szCs w:val="21"/>
              </w:rPr>
              <w:t>企业实务流程设计教学软件</w:t>
            </w:r>
          </w:p>
        </w:tc>
        <w:tc>
          <w:tcPr>
            <w:tcW w:w="1126" w:type="dxa"/>
            <w:vAlign w:val="center"/>
          </w:tcPr>
          <w:p w14:paraId="030A8AD4">
            <w:pPr>
              <w:spacing w:line="360" w:lineRule="auto"/>
              <w:jc w:val="center"/>
              <w:rPr>
                <w:rFonts w:hint="eastAsia" w:ascii="宋体" w:hAnsi="宋体" w:cs="宋体"/>
                <w:bCs/>
                <w:szCs w:val="21"/>
              </w:rPr>
            </w:pPr>
            <w:r>
              <w:rPr>
                <w:rFonts w:hint="eastAsia" w:ascii="宋体" w:hAnsi="宋体" w:cs="宋体"/>
                <w:bCs/>
                <w:szCs w:val="21"/>
              </w:rPr>
              <w:t>否</w:t>
            </w:r>
          </w:p>
        </w:tc>
        <w:tc>
          <w:tcPr>
            <w:tcW w:w="1133" w:type="dxa"/>
            <w:vAlign w:val="center"/>
          </w:tcPr>
          <w:p w14:paraId="21FFA9C3">
            <w:pPr>
              <w:spacing w:line="360" w:lineRule="auto"/>
              <w:jc w:val="center"/>
              <w:rPr>
                <w:rFonts w:hint="eastAsia" w:ascii="宋体" w:hAnsi="宋体" w:cs="宋体"/>
                <w:bCs/>
                <w:szCs w:val="21"/>
              </w:rPr>
            </w:pPr>
            <w:r>
              <w:rPr>
                <w:rFonts w:hint="eastAsia" w:ascii="宋体" w:hAnsi="宋体" w:cs="宋体"/>
                <w:bCs/>
                <w:szCs w:val="21"/>
              </w:rPr>
              <w:t>否</w:t>
            </w:r>
          </w:p>
        </w:tc>
        <w:tc>
          <w:tcPr>
            <w:tcW w:w="710" w:type="dxa"/>
            <w:vAlign w:val="center"/>
          </w:tcPr>
          <w:p w14:paraId="70307677">
            <w:pPr>
              <w:spacing w:line="360" w:lineRule="auto"/>
              <w:jc w:val="center"/>
              <w:rPr>
                <w:rFonts w:hint="eastAsia" w:ascii="宋体" w:hAnsi="宋体" w:cs="宋体"/>
                <w:bCs/>
                <w:szCs w:val="21"/>
              </w:rPr>
            </w:pPr>
            <w:r>
              <w:rPr>
                <w:rFonts w:hint="eastAsia" w:ascii="宋体" w:hAnsi="宋体" w:cs="宋体"/>
                <w:bCs/>
                <w:szCs w:val="21"/>
              </w:rPr>
              <w:t>1</w:t>
            </w:r>
          </w:p>
        </w:tc>
        <w:tc>
          <w:tcPr>
            <w:tcW w:w="709" w:type="dxa"/>
            <w:vAlign w:val="center"/>
          </w:tcPr>
          <w:p w14:paraId="6C150313">
            <w:pPr>
              <w:spacing w:line="360" w:lineRule="auto"/>
              <w:jc w:val="center"/>
              <w:rPr>
                <w:rFonts w:hint="eastAsia" w:ascii="宋体" w:hAnsi="宋体" w:cs="宋体"/>
                <w:bCs/>
                <w:szCs w:val="21"/>
              </w:rPr>
            </w:pPr>
            <w:r>
              <w:rPr>
                <w:rFonts w:hint="eastAsia" w:ascii="宋体" w:hAnsi="宋体" w:cs="宋体"/>
                <w:bCs/>
                <w:szCs w:val="21"/>
              </w:rPr>
              <w:t>套</w:t>
            </w:r>
          </w:p>
        </w:tc>
        <w:tc>
          <w:tcPr>
            <w:tcW w:w="1635" w:type="dxa"/>
            <w:vAlign w:val="center"/>
          </w:tcPr>
          <w:p w14:paraId="08D26558">
            <w:pPr>
              <w:spacing w:line="360" w:lineRule="auto"/>
              <w:jc w:val="center"/>
              <w:rPr>
                <w:rFonts w:hint="eastAsia" w:ascii="宋体" w:hAnsi="宋体" w:cs="宋体"/>
                <w:bCs/>
                <w:szCs w:val="21"/>
              </w:rPr>
            </w:pPr>
            <w:r>
              <w:rPr>
                <w:rFonts w:hint="eastAsia" w:ascii="宋体" w:hAnsi="宋体" w:cs="宋体"/>
                <w:bCs/>
                <w:szCs w:val="21"/>
              </w:rPr>
              <w:t>360,000.00</w:t>
            </w:r>
          </w:p>
        </w:tc>
      </w:tr>
    </w:tbl>
    <w:p w14:paraId="7236E125">
      <w:pPr>
        <w:pStyle w:val="455"/>
        <w:adjustRightInd w:val="0"/>
        <w:snapToGrid w:val="0"/>
        <w:spacing w:before="40" w:beforeAutospacing="0" w:after="0" w:afterAutospacing="0" w:line="360" w:lineRule="auto"/>
        <w:ind w:firstLine="424" w:firstLineChars="202"/>
        <w:rPr>
          <w:rFonts w:hint="eastAsia" w:ascii="宋体" w:hAnsi="宋体"/>
          <w:bCs/>
          <w:snapToGrid w:val="0"/>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0B24B29B">
      <w:pPr>
        <w:widowControl/>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财务共享服务业务处理教学软件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hint="eastAsia"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hint="eastAsia" w:ascii="宋体" w:hAnsi="宋体"/>
          <w:b/>
          <w:bCs/>
          <w:snapToGrid w:val="0"/>
          <w:kern w:val="0"/>
          <w:sz w:val="24"/>
        </w:rPr>
      </w:pPr>
    </w:p>
    <w:p w14:paraId="3B31147E">
      <w:pPr>
        <w:spacing w:line="360" w:lineRule="auto"/>
        <w:rPr>
          <w:rFonts w:hint="eastAsia" w:ascii="宋体" w:hAnsi="宋体"/>
          <w:b/>
          <w:bCs/>
          <w:snapToGrid w:val="0"/>
          <w:kern w:val="0"/>
          <w:sz w:val="24"/>
        </w:rPr>
      </w:pPr>
      <w:r>
        <w:rPr>
          <w:rFonts w:hint="eastAsia"/>
          <w:b/>
          <w:bCs/>
          <w:sz w:val="24"/>
        </w:rPr>
        <w:t>二、</w:t>
      </w:r>
      <w:r>
        <w:rPr>
          <w:rFonts w:hint="eastAsia" w:ascii="宋体" w:hAnsi="宋体"/>
          <w:b/>
          <w:bCs/>
          <w:snapToGrid w:val="0"/>
          <w:kern w:val="0"/>
          <w:sz w:val="24"/>
        </w:rPr>
        <w:t>技术要求</w:t>
      </w:r>
    </w:p>
    <w:tbl>
      <w:tblPr>
        <w:tblStyle w:val="51"/>
        <w:tblW w:w="997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308"/>
      </w:tblGrid>
      <w:tr w14:paraId="68B8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1" w:type="dxa"/>
            <w:vAlign w:val="center"/>
          </w:tcPr>
          <w:p w14:paraId="5B42E345">
            <w:pPr>
              <w:spacing w:line="360" w:lineRule="auto"/>
              <w:jc w:val="center"/>
              <w:rPr>
                <w:rFonts w:hint="eastAsia" w:ascii="宋体" w:hAnsi="宋体" w:cs="宋体"/>
                <w:b/>
                <w:kern w:val="0"/>
                <w:szCs w:val="21"/>
              </w:rPr>
            </w:pPr>
          </w:p>
          <w:p w14:paraId="443F0D09">
            <w:pPr>
              <w:spacing w:line="288" w:lineRule="auto"/>
              <w:jc w:val="center"/>
              <w:rPr>
                <w:rFonts w:hint="eastAsia" w:ascii="宋体" w:hAnsi="宋体" w:cs="宋体"/>
                <w:b/>
                <w:kern w:val="0"/>
                <w:szCs w:val="21"/>
              </w:rPr>
            </w:pPr>
            <w:r>
              <w:rPr>
                <w:rFonts w:hint="eastAsia" w:ascii="宋体" w:hAnsi="宋体" w:cs="宋体"/>
                <w:b/>
                <w:kern w:val="0"/>
                <w:szCs w:val="21"/>
              </w:rPr>
              <w:t>具体技术要求</w:t>
            </w:r>
          </w:p>
        </w:tc>
        <w:tc>
          <w:tcPr>
            <w:tcW w:w="9308" w:type="dxa"/>
          </w:tcPr>
          <w:p w14:paraId="6CD27079">
            <w:pPr>
              <w:spacing w:line="288" w:lineRule="auto"/>
              <w:ind w:firstLine="422" w:firstLineChars="200"/>
              <w:rPr>
                <w:rFonts w:hint="eastAsia"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p w14:paraId="4DC3950E">
            <w:pPr>
              <w:spacing w:line="288" w:lineRule="auto"/>
              <w:ind w:firstLine="422" w:firstLineChars="200"/>
              <w:rPr>
                <w:rFonts w:hint="eastAsia" w:ascii="宋体" w:hAnsi="宋体" w:cs="宋体"/>
                <w:b/>
                <w:szCs w:val="21"/>
              </w:rPr>
            </w:pPr>
            <w:r>
              <w:rPr>
                <w:rFonts w:hint="eastAsia" w:ascii="宋体" w:hAnsi="宋体" w:cs="宋体"/>
                <w:b/>
                <w:szCs w:val="21"/>
              </w:rPr>
              <w:t>1.带“★”指标项为实质性条款，如出现负偏离，将被视为未实质性满足招标文件要求作投标无效处理。带“</w:t>
            </w:r>
            <w:r>
              <w:rPr>
                <w:rFonts w:hint="eastAsia" w:ascii="宋体" w:hAnsi="宋体" w:cs="宋体"/>
              </w:rPr>
              <w:t>▲</w:t>
            </w:r>
            <w:r>
              <w:rPr>
                <w:rFonts w:hint="eastAsia" w:ascii="宋体" w:hAnsi="宋体" w:cs="宋体"/>
                <w:b/>
                <w:szCs w:val="21"/>
              </w:rPr>
              <w:t xml:space="preserve">”指标项为重要参数，负偏离时依相关评分准则内容作重点扣分处理。 </w:t>
            </w:r>
          </w:p>
          <w:p w14:paraId="07262A63">
            <w:pPr>
              <w:spacing w:line="288" w:lineRule="auto"/>
              <w:ind w:firstLine="422" w:firstLineChars="200"/>
              <w:rPr>
                <w:rFonts w:hint="eastAsia" w:ascii="宋体" w:hAnsi="宋体" w:cs="宋体"/>
                <w:b/>
                <w:szCs w:val="21"/>
              </w:rPr>
            </w:pPr>
            <w:r>
              <w:rPr>
                <w:rFonts w:hint="eastAsia" w:ascii="宋体" w:hAnsi="宋体" w:cs="宋体"/>
                <w:b/>
                <w:szCs w:val="21"/>
              </w:rPr>
              <w:t>2.在招标技术要求中，用红色加粗字体标注的技术条款为要求提供证明资料的条款，其余为未要求提供证明资料的条款，无需提供相关证明资料。</w:t>
            </w:r>
          </w:p>
          <w:p w14:paraId="7678541D">
            <w:pPr>
              <w:spacing w:line="288" w:lineRule="auto"/>
              <w:ind w:firstLine="422" w:firstLineChars="200"/>
              <w:rPr>
                <w:rFonts w:hint="eastAsia" w:ascii="宋体" w:hAnsi="宋体" w:cs="宋体"/>
                <w:b/>
              </w:rPr>
            </w:pPr>
            <w:r>
              <w:rPr>
                <w:rFonts w:hint="eastAsia" w:ascii="宋体" w:hAnsi="宋体" w:cs="宋体"/>
                <w:b/>
              </w:rPr>
              <w:t>3.评分时，如对一项招标技术要求（以划分框为准）中的内容存在两处（或以上）负偏离的，在评分时只作一项负偏离扣分。</w:t>
            </w:r>
          </w:p>
          <w:p w14:paraId="41FFABAD">
            <w:pPr>
              <w:spacing w:line="288" w:lineRule="auto"/>
              <w:ind w:firstLine="422" w:firstLineChars="200"/>
              <w:rPr>
                <w:b/>
                <w:color w:val="000000" w:themeColor="text1"/>
                <w14:textFill>
                  <w14:solidFill>
                    <w14:schemeClr w14:val="tx1"/>
                  </w14:solidFill>
                </w14:textFill>
              </w:rPr>
            </w:pPr>
            <w:r>
              <w:rPr>
                <w:rFonts w:hint="eastAsia" w:ascii="宋体" w:hAnsi="宋体" w:cs="宋体"/>
                <w:b/>
              </w:rPr>
              <w:t>4.</w:t>
            </w:r>
            <w:r>
              <w:rPr>
                <w:rFonts w:hint="eastAsia"/>
                <w:b/>
                <w:color w:val="000000" w:themeColor="text1"/>
                <w14:textFill>
                  <w14:solidFill>
                    <w14:schemeClr w14:val="tx1"/>
                  </w14:solidFill>
                </w14:textFill>
              </w:rPr>
              <w:t>技术参数中涉及固定数值的，投标响应内容与该参数中的数值不等同者，均视为负偏离（例如：变焦：1.5倍，投标响应为：变焦：1.2倍或1.6倍或1.2倍-1.5倍等情形，与招标要求不等同的，均视为负偏离）。</w:t>
            </w:r>
          </w:p>
          <w:p w14:paraId="11C56BF7">
            <w:pPr>
              <w:spacing w:line="288" w:lineRule="auto"/>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注：如技术参数中关于数值未作说明的，按上述规定认定负偏离情形；如技术参数中关于数值作出说明且与上述规定存在冲突或不一致的，以技术参数中的具体要求为准。</w:t>
            </w:r>
          </w:p>
          <w:p w14:paraId="0A39361D">
            <w:pPr>
              <w:rPr>
                <w:rFonts w:hint="eastAsia" w:ascii="宋体" w:hAnsi="宋体"/>
                <w:b/>
                <w:szCs w:val="21"/>
              </w:rPr>
            </w:pPr>
          </w:p>
          <w:tbl>
            <w:tblPr>
              <w:tblStyle w:val="51"/>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17"/>
              <w:gridCol w:w="6962"/>
            </w:tblGrid>
            <w:tr w14:paraId="639D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7" w:type="pct"/>
                  <w:vAlign w:val="center"/>
                </w:tcPr>
                <w:p w14:paraId="6A6776D3">
                  <w:pPr>
                    <w:spacing w:line="288" w:lineRule="auto"/>
                    <w:jc w:val="center"/>
                    <w:rPr>
                      <w:rFonts w:hint="eastAsia" w:ascii="宋体" w:hAnsi="宋体" w:cs="宋体"/>
                      <w:color w:val="000000"/>
                      <w:szCs w:val="21"/>
                    </w:rPr>
                  </w:pPr>
                  <w:bookmarkStart w:id="3" w:name="_Hlk70236148"/>
                  <w:r>
                    <w:rPr>
                      <w:rFonts w:hint="eastAsia" w:ascii="宋体" w:hAnsi="宋体" w:cs="宋体"/>
                      <w:color w:val="000000"/>
                      <w:szCs w:val="21"/>
                    </w:rPr>
                    <w:t>序号</w:t>
                  </w:r>
                </w:p>
              </w:tc>
              <w:tc>
                <w:tcPr>
                  <w:tcW w:w="670" w:type="pct"/>
                  <w:vAlign w:val="center"/>
                </w:tcPr>
                <w:p w14:paraId="530558E7">
                  <w:pPr>
                    <w:widowControl/>
                    <w:spacing w:line="288" w:lineRule="auto"/>
                    <w:jc w:val="center"/>
                    <w:rPr>
                      <w:rFonts w:hint="eastAsia" w:ascii="宋体" w:hAnsi="宋体" w:cs="宋体"/>
                      <w:color w:val="000000"/>
                      <w:szCs w:val="21"/>
                    </w:rPr>
                  </w:pPr>
                  <w:r>
                    <w:rPr>
                      <w:rFonts w:hint="eastAsia" w:ascii="宋体" w:hAnsi="宋体" w:cs="宋体"/>
                      <w:color w:val="000000"/>
                      <w:szCs w:val="21"/>
                    </w:rPr>
                    <w:t>货物名称</w:t>
                  </w:r>
                </w:p>
              </w:tc>
              <w:tc>
                <w:tcPr>
                  <w:tcW w:w="3832" w:type="pct"/>
                  <w:vAlign w:val="center"/>
                </w:tcPr>
                <w:p w14:paraId="2C34C975">
                  <w:pPr>
                    <w:spacing w:line="288" w:lineRule="auto"/>
                    <w:jc w:val="center"/>
                    <w:rPr>
                      <w:rFonts w:hint="eastAsia" w:ascii="宋体" w:hAnsi="宋体" w:cs="宋体"/>
                      <w:color w:val="000000"/>
                      <w:szCs w:val="21"/>
                    </w:rPr>
                  </w:pPr>
                  <w:r>
                    <w:rPr>
                      <w:rFonts w:hint="eastAsia" w:ascii="宋体" w:hAnsi="宋体" w:cs="宋体"/>
                      <w:color w:val="000000"/>
                      <w:szCs w:val="21"/>
                    </w:rPr>
                    <w:t>招标技术要求</w:t>
                  </w:r>
                </w:p>
              </w:tc>
            </w:tr>
            <w:tr w14:paraId="61C2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restart"/>
                  <w:vAlign w:val="center"/>
                </w:tcPr>
                <w:p w14:paraId="5051BD7F">
                  <w:pPr>
                    <w:spacing w:line="288" w:lineRule="auto"/>
                    <w:jc w:val="center"/>
                    <w:rPr>
                      <w:rFonts w:hint="eastAsia" w:ascii="宋体" w:hAnsi="宋体" w:cs="宋体"/>
                      <w:color w:val="000000"/>
                      <w:szCs w:val="21"/>
                    </w:rPr>
                  </w:pPr>
                  <w:r>
                    <w:rPr>
                      <w:rFonts w:hint="eastAsia" w:ascii="宋体" w:hAnsi="宋体" w:cs="宋体"/>
                      <w:color w:val="000000"/>
                      <w:szCs w:val="21"/>
                    </w:rPr>
                    <w:t>1</w:t>
                  </w:r>
                </w:p>
              </w:tc>
              <w:tc>
                <w:tcPr>
                  <w:tcW w:w="670" w:type="pct"/>
                  <w:vMerge w:val="restart"/>
                  <w:vAlign w:val="center"/>
                </w:tcPr>
                <w:p w14:paraId="280751AF">
                  <w:pPr>
                    <w:spacing w:line="288" w:lineRule="auto"/>
                    <w:jc w:val="center"/>
                    <w:rPr>
                      <w:rFonts w:hint="eastAsia" w:ascii="宋体" w:hAnsi="宋体" w:cs="宋体"/>
                      <w:color w:val="000000"/>
                      <w:szCs w:val="21"/>
                    </w:rPr>
                  </w:pPr>
                  <w:r>
                    <w:rPr>
                      <w:rFonts w:hint="eastAsia" w:ascii="宋体" w:hAnsi="宋体" w:cs="宋体"/>
                      <w:bCs/>
                      <w:szCs w:val="21"/>
                    </w:rPr>
                    <w:t>财务共享服务业务处理教学软件</w:t>
                  </w:r>
                </w:p>
              </w:tc>
              <w:tc>
                <w:tcPr>
                  <w:tcW w:w="3832" w:type="pct"/>
                </w:tcPr>
                <w:p w14:paraId="14B5E9B4">
                  <w:pPr>
                    <w:spacing w:line="288" w:lineRule="auto"/>
                    <w:jc w:val="left"/>
                    <w:rPr>
                      <w:rFonts w:hint="eastAsia" w:ascii="宋体" w:hAnsi="宋体" w:cs="宋体"/>
                      <w:b/>
                      <w:bCs/>
                      <w:szCs w:val="21"/>
                    </w:rPr>
                  </w:pPr>
                  <w:r>
                    <w:rPr>
                      <w:rFonts w:hint="eastAsia" w:ascii="宋体" w:hAnsi="宋体" w:cs="宋体"/>
                      <w:b/>
                      <w:bCs/>
                      <w:szCs w:val="21"/>
                    </w:rPr>
                    <w:t>一、软件平台功能指标</w:t>
                  </w:r>
                </w:p>
                <w:p w14:paraId="56A19E73">
                  <w:pPr>
                    <w:spacing w:line="288" w:lineRule="auto"/>
                    <w:jc w:val="left"/>
                    <w:rPr>
                      <w:rFonts w:hint="eastAsia" w:ascii="宋体" w:hAnsi="宋体" w:cs="宋体"/>
                      <w:szCs w:val="21"/>
                    </w:rPr>
                  </w:pPr>
                  <w:r>
                    <w:rPr>
                      <w:rFonts w:hint="eastAsia" w:ascii="宋体" w:hAnsi="宋体" w:cs="宋体"/>
                      <w:szCs w:val="21"/>
                    </w:rPr>
                    <w:t>1.1、可以满足最多120个学生同时开课。</w:t>
                  </w:r>
                </w:p>
              </w:tc>
            </w:tr>
            <w:tr w14:paraId="6CED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0BCB63F">
                  <w:pPr>
                    <w:spacing w:line="288" w:lineRule="auto"/>
                    <w:jc w:val="center"/>
                    <w:rPr>
                      <w:rFonts w:hint="eastAsia" w:ascii="宋体" w:hAnsi="宋体" w:cs="宋体"/>
                      <w:color w:val="000000"/>
                      <w:szCs w:val="21"/>
                    </w:rPr>
                  </w:pPr>
                </w:p>
              </w:tc>
              <w:tc>
                <w:tcPr>
                  <w:tcW w:w="670" w:type="pct"/>
                  <w:vMerge w:val="continue"/>
                  <w:vAlign w:val="center"/>
                </w:tcPr>
                <w:p w14:paraId="12B8C3B0">
                  <w:pPr>
                    <w:spacing w:line="288" w:lineRule="auto"/>
                    <w:jc w:val="center"/>
                    <w:rPr>
                      <w:rFonts w:hint="eastAsia" w:ascii="宋体" w:hAnsi="宋体" w:cs="宋体"/>
                      <w:color w:val="000000"/>
                      <w:szCs w:val="21"/>
                    </w:rPr>
                  </w:pPr>
                </w:p>
              </w:tc>
              <w:tc>
                <w:tcPr>
                  <w:tcW w:w="3832" w:type="pct"/>
                </w:tcPr>
                <w:p w14:paraId="2427947D">
                  <w:pPr>
                    <w:spacing w:line="288" w:lineRule="auto"/>
                    <w:rPr>
                      <w:rFonts w:hint="eastAsia" w:ascii="宋体" w:hAnsi="宋体" w:cs="宋体"/>
                      <w:color w:val="000000"/>
                      <w:szCs w:val="21"/>
                    </w:rPr>
                  </w:pPr>
                  <w:r>
                    <w:rPr>
                      <w:rFonts w:hint="eastAsia" w:ascii="宋体" w:hAnsi="宋体" w:cs="宋体"/>
                      <w:color w:val="000000"/>
                      <w:szCs w:val="21"/>
                    </w:rPr>
                    <w:t>1.2、财务共享规划设计与方案实现：支持学生将财务共享服务中心规划设计在教学沙盘上演练实战，并可将最终设计方案在信息系统中实现。</w:t>
                  </w:r>
                </w:p>
              </w:tc>
            </w:tr>
            <w:tr w14:paraId="35BD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97" w:type="pct"/>
                  <w:vMerge w:val="continue"/>
                  <w:vAlign w:val="center"/>
                </w:tcPr>
                <w:p w14:paraId="31547199">
                  <w:pPr>
                    <w:spacing w:line="288" w:lineRule="auto"/>
                    <w:jc w:val="center"/>
                    <w:rPr>
                      <w:rFonts w:hint="eastAsia" w:ascii="宋体" w:hAnsi="宋体" w:cs="宋体"/>
                      <w:color w:val="000000"/>
                      <w:szCs w:val="21"/>
                    </w:rPr>
                  </w:pPr>
                </w:p>
              </w:tc>
              <w:tc>
                <w:tcPr>
                  <w:tcW w:w="670" w:type="pct"/>
                  <w:vMerge w:val="continue"/>
                  <w:vAlign w:val="center"/>
                </w:tcPr>
                <w:p w14:paraId="449437D6">
                  <w:pPr>
                    <w:spacing w:line="288" w:lineRule="auto"/>
                    <w:jc w:val="center"/>
                    <w:rPr>
                      <w:rFonts w:hint="eastAsia" w:ascii="宋体" w:hAnsi="宋体" w:cs="宋体"/>
                      <w:color w:val="000000"/>
                      <w:szCs w:val="21"/>
                    </w:rPr>
                  </w:pPr>
                </w:p>
              </w:tc>
              <w:tc>
                <w:tcPr>
                  <w:tcW w:w="3832" w:type="pct"/>
                </w:tcPr>
                <w:p w14:paraId="056ED0B1">
                  <w:pPr>
                    <w:spacing w:line="288" w:lineRule="auto"/>
                    <w:rPr>
                      <w:rFonts w:hint="eastAsia" w:ascii="宋体" w:hAnsi="宋体" w:cs="宋体"/>
                      <w:color w:val="000000"/>
                      <w:szCs w:val="21"/>
                    </w:rPr>
                  </w:pPr>
                  <w:r>
                    <w:rPr>
                      <w:rFonts w:hint="eastAsia" w:ascii="宋体" w:hAnsi="宋体" w:cs="宋体"/>
                      <w:color w:val="000000"/>
                      <w:szCs w:val="21"/>
                    </w:rPr>
                    <w:t>1.3、提供模拟企业财务共享中心规划建设的物理介质平台及辅助教具，物理介质沙</w:t>
                  </w:r>
                  <w:r>
                    <w:rPr>
                      <w:rFonts w:hint="eastAsia" w:ascii="宋体" w:hAnsi="宋体" w:cs="宋体"/>
                      <w:szCs w:val="21"/>
                    </w:rPr>
                    <w:t>盘至少支持</w:t>
                  </w:r>
                  <w:r>
                    <w:rPr>
                      <w:rFonts w:hint="eastAsia" w:ascii="宋体" w:hAnsi="宋体" w:cs="宋体"/>
                      <w:color w:val="000000"/>
                      <w:szCs w:val="21"/>
                    </w:rPr>
                    <w:t>挂盘、摆盘两种教学方式，</w:t>
                  </w:r>
                  <w:r>
                    <w:rPr>
                      <w:rFonts w:hint="eastAsia" w:ascii="宋体" w:hAnsi="宋体" w:cs="宋体"/>
                      <w:szCs w:val="21"/>
                    </w:rPr>
                    <w:t>9本或以上</w:t>
                  </w:r>
                  <w:r>
                    <w:rPr>
                      <w:rFonts w:hint="eastAsia" w:ascii="宋体" w:hAnsi="宋体" w:cs="宋体"/>
                      <w:color w:val="000000"/>
                      <w:szCs w:val="21"/>
                    </w:rPr>
                    <w:t>财务共享单据手册；沙盘盘面实物规格，盘面</w:t>
                  </w:r>
                  <w:r>
                    <w:rPr>
                      <w:rFonts w:hint="eastAsia" w:ascii="宋体" w:hAnsi="宋体" w:cs="宋体"/>
                      <w:szCs w:val="21"/>
                    </w:rPr>
                    <w:t>长与宽尺寸分别不</w:t>
                  </w:r>
                  <w:r>
                    <w:rPr>
                      <w:rFonts w:hint="eastAsia" w:ascii="宋体" w:hAnsi="宋体" w:cs="宋体"/>
                      <w:color w:val="000000"/>
                      <w:szCs w:val="21"/>
                    </w:rPr>
                    <w:t>少于1450mm×850mm。</w:t>
                  </w:r>
                </w:p>
              </w:tc>
            </w:tr>
            <w:tr w14:paraId="71DD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0BCADEE">
                  <w:pPr>
                    <w:spacing w:line="288" w:lineRule="auto"/>
                    <w:jc w:val="center"/>
                    <w:rPr>
                      <w:rFonts w:hint="eastAsia" w:ascii="宋体" w:hAnsi="宋体" w:cs="宋体"/>
                      <w:color w:val="000000"/>
                      <w:szCs w:val="21"/>
                    </w:rPr>
                  </w:pPr>
                </w:p>
              </w:tc>
              <w:tc>
                <w:tcPr>
                  <w:tcW w:w="670" w:type="pct"/>
                  <w:vMerge w:val="continue"/>
                  <w:vAlign w:val="center"/>
                </w:tcPr>
                <w:p w14:paraId="27F9B3A9">
                  <w:pPr>
                    <w:spacing w:line="288" w:lineRule="auto"/>
                    <w:jc w:val="center"/>
                    <w:rPr>
                      <w:rFonts w:hint="eastAsia" w:ascii="宋体" w:hAnsi="宋体" w:cs="宋体"/>
                      <w:color w:val="000000"/>
                      <w:szCs w:val="21"/>
                    </w:rPr>
                  </w:pPr>
                </w:p>
              </w:tc>
              <w:tc>
                <w:tcPr>
                  <w:tcW w:w="3832" w:type="pct"/>
                </w:tcPr>
                <w:p w14:paraId="5D317FB2">
                  <w:pPr>
                    <w:spacing w:line="288" w:lineRule="auto"/>
                    <w:rPr>
                      <w:rFonts w:hint="eastAsia" w:ascii="宋体" w:hAnsi="宋体" w:cs="宋体"/>
                      <w:color w:val="000000"/>
                      <w:szCs w:val="21"/>
                    </w:rPr>
                  </w:pPr>
                  <w:r>
                    <w:rPr>
                      <w:rFonts w:hint="eastAsia" w:ascii="宋体" w:hAnsi="宋体" w:cs="宋体"/>
                      <w:b/>
                      <w:bCs/>
                      <w:color w:val="FF0000"/>
                      <w:szCs w:val="21"/>
                    </w:rPr>
                    <w:t>▲1.4、共享中心作业实训：支持按团队和个人两种模式进行财务共享服务中心作业实训，系统可自动甄别学生抢单结果的正确性，并通过评价中心中的柱状图随时查看团队任务或个人任务的人均完成数量、平均处理时长、正确率。</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4CDD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pct"/>
                  <w:vMerge w:val="continue"/>
                  <w:vAlign w:val="center"/>
                </w:tcPr>
                <w:p w14:paraId="25E5DC8E">
                  <w:pPr>
                    <w:spacing w:line="288" w:lineRule="auto"/>
                    <w:jc w:val="center"/>
                    <w:rPr>
                      <w:rFonts w:hint="eastAsia" w:ascii="宋体" w:hAnsi="宋体" w:cs="宋体"/>
                      <w:color w:val="000000"/>
                      <w:szCs w:val="21"/>
                    </w:rPr>
                  </w:pPr>
                </w:p>
              </w:tc>
              <w:tc>
                <w:tcPr>
                  <w:tcW w:w="670" w:type="pct"/>
                  <w:vMerge w:val="continue"/>
                  <w:vAlign w:val="center"/>
                </w:tcPr>
                <w:p w14:paraId="18723979">
                  <w:pPr>
                    <w:spacing w:line="288" w:lineRule="auto"/>
                    <w:jc w:val="center"/>
                    <w:rPr>
                      <w:rFonts w:hint="eastAsia" w:ascii="宋体" w:hAnsi="宋体" w:cs="宋体"/>
                      <w:color w:val="000000"/>
                      <w:szCs w:val="21"/>
                    </w:rPr>
                  </w:pPr>
                </w:p>
              </w:tc>
              <w:tc>
                <w:tcPr>
                  <w:tcW w:w="3832" w:type="pct"/>
                </w:tcPr>
                <w:p w14:paraId="29494E22">
                  <w:pPr>
                    <w:spacing w:line="288" w:lineRule="auto"/>
                    <w:rPr>
                      <w:rFonts w:hint="eastAsia" w:ascii="宋体" w:hAnsi="宋体" w:cs="宋体"/>
                      <w:color w:val="000000"/>
                      <w:szCs w:val="21"/>
                    </w:rPr>
                  </w:pPr>
                  <w:r>
                    <w:rPr>
                      <w:rFonts w:hint="eastAsia" w:ascii="宋体" w:hAnsi="宋体" w:cs="宋体"/>
                      <w:szCs w:val="21"/>
                    </w:rPr>
                    <w:t>1.5、智能共享运营绩效服务：系统提供基于派单、影像、审核、绩效看板、运营报告等一体的智能化共享服务运营门户。支持共享中心负责人、作业组长、作业人员角色分工；支持查看组织及共享中心作业人员、工作组任务执行情况；支持主题定义，支持看板管理，支持实时预览当前面板定义效果。</w:t>
                  </w:r>
                </w:p>
              </w:tc>
            </w:tr>
            <w:tr w14:paraId="6FB3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546E48B">
                  <w:pPr>
                    <w:spacing w:line="288" w:lineRule="auto"/>
                    <w:jc w:val="center"/>
                    <w:rPr>
                      <w:rFonts w:hint="eastAsia" w:ascii="宋体" w:hAnsi="宋体" w:cs="宋体"/>
                      <w:color w:val="000000"/>
                      <w:szCs w:val="21"/>
                    </w:rPr>
                  </w:pPr>
                </w:p>
              </w:tc>
              <w:tc>
                <w:tcPr>
                  <w:tcW w:w="670" w:type="pct"/>
                  <w:vMerge w:val="continue"/>
                  <w:vAlign w:val="center"/>
                </w:tcPr>
                <w:p w14:paraId="12BBA9E6">
                  <w:pPr>
                    <w:spacing w:line="288" w:lineRule="auto"/>
                    <w:jc w:val="center"/>
                    <w:rPr>
                      <w:rFonts w:hint="eastAsia" w:ascii="宋体" w:hAnsi="宋体" w:cs="宋体"/>
                      <w:color w:val="000000"/>
                      <w:szCs w:val="21"/>
                    </w:rPr>
                  </w:pPr>
                </w:p>
              </w:tc>
              <w:tc>
                <w:tcPr>
                  <w:tcW w:w="3832" w:type="pct"/>
                </w:tcPr>
                <w:p w14:paraId="6CFBA971">
                  <w:pPr>
                    <w:spacing w:line="288" w:lineRule="auto"/>
                    <w:rPr>
                      <w:rFonts w:hint="eastAsia" w:ascii="宋体" w:hAnsi="宋体" w:cs="宋体"/>
                      <w:szCs w:val="21"/>
                    </w:rPr>
                  </w:pPr>
                  <w:r>
                    <w:rPr>
                      <w:rFonts w:hint="eastAsia" w:ascii="宋体" w:hAnsi="宋体" w:cs="宋体"/>
                      <w:color w:val="000000"/>
                      <w:szCs w:val="21"/>
                    </w:rPr>
                    <w:t>1.6、员工信用管理：可以查看报账人的信用情况；支持财务共享服务中心在审核报账人的单据时，根据单据的填写情况对报账人进行信用评价。</w:t>
                  </w:r>
                </w:p>
              </w:tc>
            </w:tr>
            <w:tr w14:paraId="431A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89818D2">
                  <w:pPr>
                    <w:spacing w:line="288" w:lineRule="auto"/>
                    <w:jc w:val="center"/>
                    <w:rPr>
                      <w:rFonts w:hint="eastAsia" w:ascii="宋体" w:hAnsi="宋体" w:cs="宋体"/>
                      <w:color w:val="000000"/>
                      <w:szCs w:val="21"/>
                    </w:rPr>
                  </w:pPr>
                </w:p>
              </w:tc>
              <w:tc>
                <w:tcPr>
                  <w:tcW w:w="670" w:type="pct"/>
                  <w:vMerge w:val="continue"/>
                  <w:vAlign w:val="center"/>
                </w:tcPr>
                <w:p w14:paraId="25FFA54D">
                  <w:pPr>
                    <w:spacing w:line="288" w:lineRule="auto"/>
                    <w:jc w:val="center"/>
                    <w:rPr>
                      <w:rFonts w:hint="eastAsia" w:ascii="宋体" w:hAnsi="宋体" w:cs="宋体"/>
                      <w:color w:val="000000"/>
                      <w:szCs w:val="21"/>
                    </w:rPr>
                  </w:pPr>
                </w:p>
              </w:tc>
              <w:tc>
                <w:tcPr>
                  <w:tcW w:w="3832" w:type="pct"/>
                </w:tcPr>
                <w:p w14:paraId="0F1A8C2B">
                  <w:pPr>
                    <w:spacing w:line="288" w:lineRule="auto"/>
                    <w:rPr>
                      <w:rFonts w:hint="eastAsia" w:ascii="宋体" w:hAnsi="宋体" w:cs="宋体"/>
                      <w:szCs w:val="21"/>
                    </w:rPr>
                  </w:pPr>
                  <w:r>
                    <w:rPr>
                      <w:rFonts w:hint="eastAsia" w:ascii="宋体" w:hAnsi="宋体" w:cs="宋体"/>
                      <w:color w:val="000000"/>
                      <w:szCs w:val="21"/>
                    </w:rPr>
                    <w:t>1.7、共享中心知识管理：支持管理人员将企业公共的知识如:报销制度、业务的操作指引等与具体业务关联，使员工（学生）处理业务时可方便查看；支持发布公共知识，供搜索并查看；支持对报账业务进行简要说明，在报账平台的菜单上可看到单据对应的业务说明。</w:t>
                  </w:r>
                </w:p>
              </w:tc>
            </w:tr>
            <w:tr w14:paraId="7FD4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21E58BB">
                  <w:pPr>
                    <w:spacing w:line="288" w:lineRule="auto"/>
                    <w:jc w:val="center"/>
                    <w:rPr>
                      <w:rFonts w:hint="eastAsia" w:ascii="宋体" w:hAnsi="宋体" w:cs="宋体"/>
                      <w:color w:val="000000"/>
                      <w:szCs w:val="21"/>
                    </w:rPr>
                  </w:pPr>
                </w:p>
              </w:tc>
              <w:tc>
                <w:tcPr>
                  <w:tcW w:w="670" w:type="pct"/>
                  <w:vMerge w:val="continue"/>
                  <w:vAlign w:val="center"/>
                </w:tcPr>
                <w:p w14:paraId="41B9BEEC">
                  <w:pPr>
                    <w:spacing w:line="288" w:lineRule="auto"/>
                    <w:jc w:val="center"/>
                    <w:rPr>
                      <w:rFonts w:hint="eastAsia" w:ascii="宋体" w:hAnsi="宋体" w:cs="宋体"/>
                      <w:color w:val="000000"/>
                      <w:szCs w:val="21"/>
                    </w:rPr>
                  </w:pPr>
                </w:p>
              </w:tc>
              <w:tc>
                <w:tcPr>
                  <w:tcW w:w="3832" w:type="pct"/>
                </w:tcPr>
                <w:p w14:paraId="4BF4761E">
                  <w:pPr>
                    <w:spacing w:line="288" w:lineRule="auto"/>
                    <w:rPr>
                      <w:rFonts w:hint="eastAsia" w:ascii="宋体" w:hAnsi="宋体" w:cs="宋体"/>
                      <w:szCs w:val="21"/>
                    </w:rPr>
                  </w:pPr>
                  <w:r>
                    <w:rPr>
                      <w:rFonts w:hint="eastAsia" w:ascii="宋体" w:hAnsi="宋体" w:cs="宋体"/>
                      <w:b/>
                      <w:bCs/>
                      <w:color w:val="FF0000"/>
                      <w:szCs w:val="21"/>
                    </w:rPr>
                    <w:t>▲1.8、共享服务稽核管理：支持由质检经理定期或不定期发起稽核任务，确定稽核方案；支持稽核任务分配给相应稽核员，抽取单据；支持按照组织、交易类型、日期范围、金额大小、业务组等维度定义抽样范围来定义稽核任务；支持稽核报告生成时，会以当前任务的单据抽取及稽核结果。支持联查某个具体类型下的单据详细信息同时给出稽核评分建议和稽核评价结果。</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21E8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EAA60FE">
                  <w:pPr>
                    <w:spacing w:line="288" w:lineRule="auto"/>
                    <w:jc w:val="center"/>
                    <w:rPr>
                      <w:rFonts w:hint="eastAsia" w:ascii="宋体" w:hAnsi="宋体" w:cs="宋体"/>
                      <w:color w:val="000000"/>
                      <w:szCs w:val="21"/>
                    </w:rPr>
                  </w:pPr>
                </w:p>
              </w:tc>
              <w:tc>
                <w:tcPr>
                  <w:tcW w:w="670" w:type="pct"/>
                  <w:vMerge w:val="continue"/>
                  <w:vAlign w:val="center"/>
                </w:tcPr>
                <w:p w14:paraId="3A3D1E1C">
                  <w:pPr>
                    <w:spacing w:line="288" w:lineRule="auto"/>
                    <w:jc w:val="center"/>
                    <w:rPr>
                      <w:rFonts w:hint="eastAsia" w:ascii="宋体" w:hAnsi="宋体" w:cs="宋体"/>
                      <w:color w:val="000000"/>
                      <w:szCs w:val="21"/>
                    </w:rPr>
                  </w:pPr>
                </w:p>
              </w:tc>
              <w:tc>
                <w:tcPr>
                  <w:tcW w:w="3832" w:type="pct"/>
                </w:tcPr>
                <w:p w14:paraId="0EDE5541">
                  <w:pPr>
                    <w:spacing w:line="288" w:lineRule="auto"/>
                    <w:rPr>
                      <w:rFonts w:hint="eastAsia" w:ascii="宋体" w:hAnsi="宋体" w:cs="宋体"/>
                      <w:szCs w:val="21"/>
                    </w:rPr>
                  </w:pPr>
                  <w:r>
                    <w:rPr>
                      <w:rFonts w:hint="eastAsia" w:ascii="宋体" w:hAnsi="宋体" w:cs="宋体"/>
                      <w:b/>
                      <w:bCs/>
                      <w:color w:val="FF0000"/>
                      <w:szCs w:val="21"/>
                    </w:rPr>
                    <w:t>▲1.9、仿真商旅服务平台：提供电脑和手机移动报账功能，支持教学应用系统与仿真移动商旅无缝集成，实现移动报销平台与社会化商业平台连接，如出行服务，商旅服务。学生通过此工作应用完成预订机票、打车、酒店，形成差旅费报销单，支持事前预算、事中控制、事后分析的费用管控学习。</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6658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9254BD1">
                  <w:pPr>
                    <w:spacing w:line="288" w:lineRule="auto"/>
                    <w:jc w:val="center"/>
                    <w:rPr>
                      <w:rFonts w:hint="eastAsia" w:ascii="宋体" w:hAnsi="宋体" w:cs="宋体"/>
                      <w:color w:val="000000"/>
                      <w:szCs w:val="21"/>
                    </w:rPr>
                  </w:pPr>
                </w:p>
              </w:tc>
              <w:tc>
                <w:tcPr>
                  <w:tcW w:w="670" w:type="pct"/>
                  <w:vMerge w:val="continue"/>
                  <w:vAlign w:val="center"/>
                </w:tcPr>
                <w:p w14:paraId="7DDC745E">
                  <w:pPr>
                    <w:spacing w:line="288" w:lineRule="auto"/>
                    <w:jc w:val="center"/>
                    <w:rPr>
                      <w:rFonts w:hint="eastAsia" w:ascii="宋体" w:hAnsi="宋体" w:cs="宋体"/>
                      <w:color w:val="000000"/>
                      <w:szCs w:val="21"/>
                    </w:rPr>
                  </w:pPr>
                </w:p>
              </w:tc>
              <w:tc>
                <w:tcPr>
                  <w:tcW w:w="3832" w:type="pct"/>
                </w:tcPr>
                <w:p w14:paraId="7529D608">
                  <w:pPr>
                    <w:spacing w:line="288" w:lineRule="auto"/>
                    <w:rPr>
                      <w:rFonts w:hint="eastAsia" w:ascii="宋体" w:hAnsi="宋体" w:cs="宋体"/>
                      <w:color w:val="000000"/>
                      <w:szCs w:val="21"/>
                    </w:rPr>
                  </w:pPr>
                  <w:r>
                    <w:rPr>
                      <w:rFonts w:hint="eastAsia" w:ascii="宋体" w:hAnsi="宋体" w:cs="宋体"/>
                      <w:color w:val="000000"/>
                      <w:szCs w:val="21"/>
                    </w:rPr>
                    <w:t>1.10、预算控制：运用全面预算管理进行报销费用事前控制，对于超预算的业务自动预警，自动控制。</w:t>
                  </w:r>
                </w:p>
              </w:tc>
            </w:tr>
            <w:tr w14:paraId="3861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F20E51B">
                  <w:pPr>
                    <w:spacing w:line="288" w:lineRule="auto"/>
                    <w:jc w:val="center"/>
                    <w:rPr>
                      <w:rFonts w:hint="eastAsia" w:ascii="宋体" w:hAnsi="宋体" w:cs="宋体"/>
                      <w:color w:val="000000"/>
                      <w:szCs w:val="21"/>
                    </w:rPr>
                  </w:pPr>
                </w:p>
              </w:tc>
              <w:tc>
                <w:tcPr>
                  <w:tcW w:w="670" w:type="pct"/>
                  <w:vMerge w:val="continue"/>
                  <w:vAlign w:val="center"/>
                </w:tcPr>
                <w:p w14:paraId="0E558ABA">
                  <w:pPr>
                    <w:spacing w:line="288" w:lineRule="auto"/>
                    <w:jc w:val="center"/>
                    <w:rPr>
                      <w:rFonts w:hint="eastAsia" w:ascii="宋体" w:hAnsi="宋体" w:cs="宋体"/>
                      <w:color w:val="000000"/>
                      <w:szCs w:val="21"/>
                    </w:rPr>
                  </w:pPr>
                </w:p>
              </w:tc>
              <w:tc>
                <w:tcPr>
                  <w:tcW w:w="3832" w:type="pct"/>
                </w:tcPr>
                <w:p w14:paraId="09C8F111">
                  <w:pPr>
                    <w:spacing w:line="288" w:lineRule="auto"/>
                    <w:rPr>
                      <w:rFonts w:hint="eastAsia" w:ascii="宋体" w:hAnsi="宋体" w:cs="宋体"/>
                      <w:b/>
                      <w:bCs/>
                      <w:color w:val="FF0000"/>
                      <w:szCs w:val="21"/>
                    </w:rPr>
                  </w:pPr>
                  <w:r>
                    <w:rPr>
                      <w:rFonts w:hint="eastAsia" w:ascii="宋体" w:hAnsi="宋体" w:cs="宋体"/>
                      <w:b/>
                      <w:bCs/>
                      <w:color w:val="FF0000"/>
                      <w:szCs w:val="21"/>
                    </w:rPr>
                    <w:t>▲1.11、共享大数据看板：支持学生可以定义多组绩效看板，同时在多个大屏上展示不同的内容。每组绩效看板可以定义多块展板，每块展板可以设置不同的停留时间。</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73AD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72FCFDB">
                  <w:pPr>
                    <w:spacing w:line="288" w:lineRule="auto"/>
                    <w:jc w:val="center"/>
                    <w:rPr>
                      <w:rFonts w:hint="eastAsia" w:ascii="宋体" w:hAnsi="宋体" w:cs="宋体"/>
                      <w:color w:val="000000"/>
                      <w:szCs w:val="21"/>
                    </w:rPr>
                  </w:pPr>
                </w:p>
              </w:tc>
              <w:tc>
                <w:tcPr>
                  <w:tcW w:w="670" w:type="pct"/>
                  <w:vMerge w:val="continue"/>
                  <w:vAlign w:val="center"/>
                </w:tcPr>
                <w:p w14:paraId="36578447">
                  <w:pPr>
                    <w:spacing w:line="288" w:lineRule="auto"/>
                    <w:jc w:val="center"/>
                    <w:rPr>
                      <w:rFonts w:hint="eastAsia" w:ascii="宋体" w:hAnsi="宋体" w:cs="宋体"/>
                      <w:color w:val="000000"/>
                      <w:szCs w:val="21"/>
                    </w:rPr>
                  </w:pPr>
                </w:p>
              </w:tc>
              <w:tc>
                <w:tcPr>
                  <w:tcW w:w="3832" w:type="pct"/>
                  <w:shd w:val="clear" w:color="auto" w:fill="auto"/>
                </w:tcPr>
                <w:p w14:paraId="6FDD8680">
                  <w:pPr>
                    <w:spacing w:line="288" w:lineRule="auto"/>
                    <w:rPr>
                      <w:rFonts w:hint="eastAsia" w:ascii="宋体" w:hAnsi="宋体" w:cs="宋体"/>
                      <w:bCs/>
                      <w:color w:val="000000"/>
                      <w:szCs w:val="21"/>
                    </w:rPr>
                  </w:pPr>
                  <w:r>
                    <w:rPr>
                      <w:rFonts w:hint="eastAsia" w:ascii="宋体" w:hAnsi="宋体" w:cs="宋体"/>
                      <w:bCs/>
                      <w:color w:val="000000"/>
                      <w:szCs w:val="21"/>
                    </w:rPr>
                    <w:t>1.12、网上银行：提供资金结算的银企直联功能，支持教学应用系统与虚拟银行的无缝集成；实现资金集中自动支付；支持银行收支账户明细查询、下载。</w:t>
                  </w:r>
                </w:p>
              </w:tc>
            </w:tr>
            <w:tr w14:paraId="6E7B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pct"/>
                  <w:vMerge w:val="continue"/>
                  <w:vAlign w:val="center"/>
                </w:tcPr>
                <w:p w14:paraId="57716595">
                  <w:pPr>
                    <w:spacing w:line="288" w:lineRule="auto"/>
                    <w:jc w:val="center"/>
                    <w:rPr>
                      <w:rFonts w:hint="eastAsia" w:ascii="宋体" w:hAnsi="宋体" w:cs="宋体"/>
                      <w:color w:val="000000"/>
                      <w:szCs w:val="21"/>
                    </w:rPr>
                  </w:pPr>
                </w:p>
              </w:tc>
              <w:tc>
                <w:tcPr>
                  <w:tcW w:w="670" w:type="pct"/>
                  <w:vMerge w:val="continue"/>
                  <w:vAlign w:val="center"/>
                </w:tcPr>
                <w:p w14:paraId="57904D9E">
                  <w:pPr>
                    <w:spacing w:line="288" w:lineRule="auto"/>
                    <w:jc w:val="center"/>
                    <w:rPr>
                      <w:rFonts w:hint="eastAsia" w:ascii="宋体" w:hAnsi="宋体" w:cs="宋体"/>
                      <w:color w:val="000000"/>
                      <w:szCs w:val="21"/>
                    </w:rPr>
                  </w:pPr>
                </w:p>
              </w:tc>
              <w:tc>
                <w:tcPr>
                  <w:tcW w:w="3832" w:type="pct"/>
                </w:tcPr>
                <w:p w14:paraId="67B11E32">
                  <w:pPr>
                    <w:spacing w:line="288" w:lineRule="auto"/>
                    <w:rPr>
                      <w:rFonts w:hint="eastAsia" w:ascii="宋体" w:hAnsi="宋体" w:cs="宋体"/>
                      <w:b/>
                      <w:bCs/>
                      <w:color w:val="FF0000"/>
                      <w:szCs w:val="21"/>
                    </w:rPr>
                  </w:pPr>
                  <w:r>
                    <w:rPr>
                      <w:rFonts w:hint="eastAsia" w:ascii="宋体" w:hAnsi="宋体" w:cs="宋体"/>
                      <w:b/>
                      <w:bCs/>
                      <w:color w:val="FF0000"/>
                      <w:szCs w:val="21"/>
                    </w:rPr>
                    <w:t>▲1.13、仿真税务云：支持教学应用系统与仿真税务云的无缝集成；实现增值税电子普通发票的开票、发票验真、进项税认证、增值税与附加税费申报与缴纳等为核心的全方位税务管理，并和仿真国家电子税务局连接，完成一键报税。</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0224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AC0F8E7">
                  <w:pPr>
                    <w:spacing w:line="288" w:lineRule="auto"/>
                    <w:jc w:val="center"/>
                    <w:rPr>
                      <w:rFonts w:hint="eastAsia" w:ascii="宋体" w:hAnsi="宋体" w:cs="宋体"/>
                      <w:color w:val="000000"/>
                      <w:szCs w:val="21"/>
                    </w:rPr>
                  </w:pPr>
                </w:p>
              </w:tc>
              <w:tc>
                <w:tcPr>
                  <w:tcW w:w="670" w:type="pct"/>
                  <w:vMerge w:val="continue"/>
                  <w:vAlign w:val="center"/>
                </w:tcPr>
                <w:p w14:paraId="666DA180">
                  <w:pPr>
                    <w:spacing w:line="288" w:lineRule="auto"/>
                    <w:jc w:val="center"/>
                    <w:rPr>
                      <w:rFonts w:hint="eastAsia" w:ascii="宋体" w:hAnsi="宋体" w:cs="宋体"/>
                      <w:color w:val="000000"/>
                      <w:szCs w:val="21"/>
                    </w:rPr>
                  </w:pPr>
                </w:p>
              </w:tc>
              <w:tc>
                <w:tcPr>
                  <w:tcW w:w="3832" w:type="pct"/>
                </w:tcPr>
                <w:p w14:paraId="7254852B">
                  <w:pPr>
                    <w:spacing w:line="288" w:lineRule="auto"/>
                    <w:rPr>
                      <w:rFonts w:hint="eastAsia" w:ascii="宋体" w:hAnsi="宋体" w:cs="宋体"/>
                      <w:b/>
                      <w:bCs/>
                      <w:color w:val="FF0000"/>
                      <w:szCs w:val="21"/>
                    </w:rPr>
                  </w:pPr>
                  <w:r>
                    <w:rPr>
                      <w:rFonts w:hint="eastAsia" w:ascii="宋体" w:hAnsi="宋体" w:cs="宋体"/>
                      <w:b/>
                      <w:bCs/>
                      <w:color w:val="FF0000"/>
                      <w:szCs w:val="21"/>
                    </w:rPr>
                    <w:t>▲ 1.14、仿真国家电子税务局：提供增值税、附加税费等多税种的申报功能，支持教学应用系统与仿真国家电子税务局的无缝集成。实现税务云和国家电子税务局申报数据同步，而且仿真国家电子税务局数据可修改；纳税申报后，通过第三方协议直联银行完成缴款。</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43B4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349062E">
                  <w:pPr>
                    <w:spacing w:line="288" w:lineRule="auto"/>
                    <w:jc w:val="center"/>
                    <w:rPr>
                      <w:rFonts w:hint="eastAsia" w:ascii="宋体" w:hAnsi="宋体" w:cs="宋体"/>
                      <w:color w:val="000000"/>
                      <w:szCs w:val="21"/>
                    </w:rPr>
                  </w:pPr>
                </w:p>
              </w:tc>
              <w:tc>
                <w:tcPr>
                  <w:tcW w:w="670" w:type="pct"/>
                  <w:vMerge w:val="continue"/>
                  <w:vAlign w:val="center"/>
                </w:tcPr>
                <w:p w14:paraId="54BE4445">
                  <w:pPr>
                    <w:spacing w:line="288" w:lineRule="auto"/>
                    <w:jc w:val="center"/>
                    <w:rPr>
                      <w:rFonts w:hint="eastAsia" w:ascii="宋体" w:hAnsi="宋体" w:cs="宋体"/>
                      <w:color w:val="000000"/>
                      <w:szCs w:val="21"/>
                    </w:rPr>
                  </w:pPr>
                </w:p>
              </w:tc>
              <w:tc>
                <w:tcPr>
                  <w:tcW w:w="3832" w:type="pct"/>
                </w:tcPr>
                <w:p w14:paraId="02A3AA36">
                  <w:pPr>
                    <w:spacing w:line="288" w:lineRule="auto"/>
                    <w:rPr>
                      <w:rFonts w:hint="eastAsia" w:ascii="宋体" w:hAnsi="宋体" w:cs="宋体"/>
                      <w:b/>
                      <w:bCs/>
                      <w:color w:val="FF0000"/>
                      <w:szCs w:val="21"/>
                    </w:rPr>
                  </w:pPr>
                  <w:r>
                    <w:rPr>
                      <w:rFonts w:hint="eastAsia" w:ascii="宋体" w:hAnsi="宋体" w:cs="宋体"/>
                      <w:b/>
                      <w:bCs/>
                      <w:color w:val="FF0000"/>
                      <w:szCs w:val="21"/>
                    </w:rPr>
                    <w:t>▲1.15、仿真电子会计档案：支持对电子会计档案立卷、归档、查询与借阅等相关操作，仿真还原共享服务中心对电子会计档案管理的相关操作。支持凭证以及影像文件的装册、浏览，档案装册完成后所有已装册的档案盒自动归档，归档的档案盒对应的纸质档案自动上架到档案保管位置方便调阅，通过建立电子会计档案与纸质会计档案索引关系，实现互阅互查。</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5108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1D76A6A1">
                  <w:pPr>
                    <w:spacing w:line="288" w:lineRule="auto"/>
                    <w:jc w:val="center"/>
                    <w:rPr>
                      <w:rFonts w:hint="eastAsia" w:ascii="宋体" w:hAnsi="宋体" w:cs="宋体"/>
                      <w:color w:val="000000"/>
                      <w:szCs w:val="21"/>
                    </w:rPr>
                  </w:pPr>
                </w:p>
              </w:tc>
              <w:tc>
                <w:tcPr>
                  <w:tcW w:w="670" w:type="pct"/>
                  <w:vMerge w:val="continue"/>
                  <w:vAlign w:val="center"/>
                </w:tcPr>
                <w:p w14:paraId="73A8C944">
                  <w:pPr>
                    <w:spacing w:line="288" w:lineRule="auto"/>
                    <w:jc w:val="center"/>
                    <w:rPr>
                      <w:rFonts w:hint="eastAsia" w:ascii="宋体" w:hAnsi="宋体" w:cs="宋体"/>
                      <w:color w:val="000000"/>
                      <w:szCs w:val="21"/>
                    </w:rPr>
                  </w:pPr>
                </w:p>
              </w:tc>
              <w:tc>
                <w:tcPr>
                  <w:tcW w:w="3832" w:type="pct"/>
                </w:tcPr>
                <w:p w14:paraId="76FC9E84">
                  <w:pPr>
                    <w:spacing w:line="288" w:lineRule="auto"/>
                    <w:rPr>
                      <w:rFonts w:hint="eastAsia" w:ascii="宋体" w:hAnsi="宋体" w:cs="宋体"/>
                      <w:color w:val="000000"/>
                      <w:szCs w:val="21"/>
                    </w:rPr>
                  </w:pPr>
                  <w:r>
                    <w:rPr>
                      <w:rFonts w:hint="eastAsia" w:ascii="宋体" w:hAnsi="宋体" w:cs="宋体"/>
                      <w:color w:val="000000"/>
                      <w:szCs w:val="21"/>
                    </w:rPr>
                    <w:t xml:space="preserve">1.16、课程至少包含认知财务共享服务、财务共享沙盘实训、费用报销实训、采购到付款共享实训、销售到收款共享实训、资金结算共享实训、固定资产共享实训、其他共享实训、FSSC运营管理实训等教学内容。 </w:t>
                  </w:r>
                </w:p>
              </w:tc>
            </w:tr>
            <w:tr w14:paraId="1852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36E63A55">
                  <w:pPr>
                    <w:spacing w:line="288" w:lineRule="auto"/>
                    <w:jc w:val="center"/>
                    <w:rPr>
                      <w:rFonts w:hint="eastAsia" w:ascii="宋体" w:hAnsi="宋体" w:cs="宋体"/>
                      <w:color w:val="000000"/>
                      <w:szCs w:val="21"/>
                    </w:rPr>
                  </w:pPr>
                </w:p>
              </w:tc>
              <w:tc>
                <w:tcPr>
                  <w:tcW w:w="670" w:type="pct"/>
                  <w:vMerge w:val="continue"/>
                  <w:vAlign w:val="center"/>
                </w:tcPr>
                <w:p w14:paraId="2B293EF6">
                  <w:pPr>
                    <w:spacing w:line="288" w:lineRule="auto"/>
                    <w:jc w:val="center"/>
                    <w:rPr>
                      <w:rFonts w:hint="eastAsia" w:ascii="宋体" w:hAnsi="宋体" w:cs="宋体"/>
                      <w:color w:val="000000"/>
                      <w:szCs w:val="21"/>
                    </w:rPr>
                  </w:pPr>
                </w:p>
              </w:tc>
              <w:tc>
                <w:tcPr>
                  <w:tcW w:w="3832" w:type="pct"/>
                </w:tcPr>
                <w:p w14:paraId="38E1C009">
                  <w:pPr>
                    <w:spacing w:line="288" w:lineRule="auto"/>
                    <w:rPr>
                      <w:rFonts w:hint="eastAsia" w:ascii="宋体" w:hAnsi="宋体" w:cs="宋体"/>
                      <w:b/>
                      <w:bCs/>
                      <w:szCs w:val="21"/>
                    </w:rPr>
                  </w:pPr>
                  <w:r>
                    <w:rPr>
                      <w:rFonts w:hint="eastAsia" w:ascii="宋体" w:hAnsi="宋体" w:cs="宋体"/>
                      <w:b/>
                      <w:bCs/>
                      <w:szCs w:val="21"/>
                    </w:rPr>
                    <w:t>二、</w:t>
                  </w:r>
                  <w:bookmarkStart w:id="4" w:name="OLE_LINK2"/>
                  <w:r>
                    <w:rPr>
                      <w:rFonts w:hint="eastAsia" w:ascii="宋体" w:hAnsi="宋体" w:cs="宋体"/>
                      <w:b/>
                      <w:bCs/>
                      <w:szCs w:val="21"/>
                    </w:rPr>
                    <w:t>业务平台功能指标</w:t>
                  </w:r>
                </w:p>
                <w:bookmarkEnd w:id="4"/>
                <w:p w14:paraId="0BA0E5FF">
                  <w:pPr>
                    <w:spacing w:line="288" w:lineRule="auto"/>
                    <w:rPr>
                      <w:rFonts w:hint="eastAsia" w:ascii="宋体" w:hAnsi="宋体" w:cs="宋体"/>
                      <w:szCs w:val="21"/>
                    </w:rPr>
                  </w:pPr>
                  <w:r>
                    <w:rPr>
                      <w:rFonts w:hint="eastAsia" w:ascii="宋体" w:hAnsi="宋体" w:cs="宋体"/>
                      <w:szCs w:val="21"/>
                    </w:rPr>
                    <w:t>2.1、会计平台：可以将各业务单据自动转换成总账凭证、责任凭证、财税凭证，支持按不同报告要求建立多个核算账簿、多准则、多币种、国际化等的应用。</w:t>
                  </w:r>
                </w:p>
              </w:tc>
            </w:tr>
            <w:tr w14:paraId="4FF3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6F880BEF">
                  <w:pPr>
                    <w:spacing w:line="288" w:lineRule="auto"/>
                    <w:jc w:val="center"/>
                    <w:rPr>
                      <w:rFonts w:hint="eastAsia" w:ascii="宋体" w:hAnsi="宋体" w:cs="宋体"/>
                      <w:color w:val="000000"/>
                      <w:szCs w:val="21"/>
                    </w:rPr>
                  </w:pPr>
                </w:p>
              </w:tc>
              <w:tc>
                <w:tcPr>
                  <w:tcW w:w="670" w:type="pct"/>
                  <w:vMerge w:val="continue"/>
                  <w:vAlign w:val="center"/>
                </w:tcPr>
                <w:p w14:paraId="2925D6A0">
                  <w:pPr>
                    <w:spacing w:line="288" w:lineRule="auto"/>
                    <w:jc w:val="center"/>
                    <w:rPr>
                      <w:rFonts w:hint="eastAsia" w:ascii="宋体" w:hAnsi="宋体" w:cs="宋体"/>
                      <w:color w:val="000000"/>
                      <w:szCs w:val="21"/>
                    </w:rPr>
                  </w:pPr>
                </w:p>
              </w:tc>
              <w:tc>
                <w:tcPr>
                  <w:tcW w:w="3832" w:type="pct"/>
                </w:tcPr>
                <w:p w14:paraId="601BC39E">
                  <w:pPr>
                    <w:spacing w:line="288" w:lineRule="auto"/>
                    <w:rPr>
                      <w:rFonts w:hint="eastAsia" w:ascii="宋体" w:hAnsi="宋体" w:cs="宋体"/>
                      <w:szCs w:val="21"/>
                    </w:rPr>
                  </w:pPr>
                  <w:r>
                    <w:rPr>
                      <w:rFonts w:hint="eastAsia" w:ascii="宋体" w:hAnsi="宋体" w:cs="宋体"/>
                      <w:szCs w:val="21"/>
                    </w:rPr>
                    <w:t>2.2、总账：财务核算系统的核心系统，支持处理从会计凭证编制到财务账簿查询的全部会计处理过程。总账作为财务会计系统的核心，除了支持企业日常基本财务核算工作中常用的凭证管理、往来核销管理、汇兑损益处理、自定义转账、期末处理、常用账簿查询等业务要求外，同时提供有现金流量分析及查询、账簿间财务折算、各财务组织间的内部交易对账与内部交易协同等特殊业务功能。</w:t>
                  </w:r>
                </w:p>
              </w:tc>
            </w:tr>
            <w:tr w14:paraId="7E3D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69E00739">
                  <w:pPr>
                    <w:spacing w:line="288" w:lineRule="auto"/>
                    <w:jc w:val="center"/>
                    <w:rPr>
                      <w:rFonts w:hint="eastAsia" w:ascii="宋体" w:hAnsi="宋体" w:cs="宋体"/>
                      <w:color w:val="000000"/>
                      <w:szCs w:val="21"/>
                    </w:rPr>
                  </w:pPr>
                </w:p>
              </w:tc>
              <w:tc>
                <w:tcPr>
                  <w:tcW w:w="670" w:type="pct"/>
                  <w:vMerge w:val="continue"/>
                  <w:vAlign w:val="center"/>
                </w:tcPr>
                <w:p w14:paraId="0BF25734">
                  <w:pPr>
                    <w:spacing w:line="288" w:lineRule="auto"/>
                    <w:jc w:val="center"/>
                    <w:rPr>
                      <w:rFonts w:hint="eastAsia" w:ascii="宋体" w:hAnsi="宋体" w:cs="宋体"/>
                      <w:color w:val="000000"/>
                      <w:szCs w:val="21"/>
                    </w:rPr>
                  </w:pPr>
                </w:p>
              </w:tc>
              <w:tc>
                <w:tcPr>
                  <w:tcW w:w="3832" w:type="pct"/>
                </w:tcPr>
                <w:p w14:paraId="5DB64FDC">
                  <w:pPr>
                    <w:spacing w:line="288" w:lineRule="auto"/>
                    <w:rPr>
                      <w:rFonts w:hint="eastAsia" w:ascii="宋体" w:hAnsi="宋体" w:cs="宋体"/>
                      <w:szCs w:val="21"/>
                    </w:rPr>
                  </w:pPr>
                  <w:r>
                    <w:rPr>
                      <w:rFonts w:hint="eastAsia" w:ascii="宋体" w:hAnsi="宋体" w:cs="宋体"/>
                      <w:szCs w:val="21"/>
                    </w:rPr>
                    <w:t>2.3、应收管理：支持处理企业所有债权业务及相关管理工作，其主要包括：灵活的收款协议；应收账款确认环节灵活可配置：1) 出库确认应收账。2) 出库暂估应收——开发票确认应收。3)开发票确认应收；预收款管理；收款管理；支持应收核销：自动、手动核销，支持同币种、异币种核销，录入业务单据过程中即时核销；应收冲应付核销。多种坏账计提方法：应收余额百分比法、销货百分比法、账龄分析法计提坏账准备等。</w:t>
                  </w:r>
                </w:p>
              </w:tc>
            </w:tr>
            <w:tr w14:paraId="03F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0EFD5338">
                  <w:pPr>
                    <w:spacing w:line="288" w:lineRule="auto"/>
                    <w:jc w:val="center"/>
                    <w:rPr>
                      <w:rFonts w:hint="eastAsia" w:ascii="宋体" w:hAnsi="宋体" w:cs="宋体"/>
                      <w:color w:val="000000"/>
                      <w:szCs w:val="21"/>
                    </w:rPr>
                  </w:pPr>
                </w:p>
              </w:tc>
              <w:tc>
                <w:tcPr>
                  <w:tcW w:w="670" w:type="pct"/>
                  <w:vMerge w:val="continue"/>
                  <w:vAlign w:val="center"/>
                </w:tcPr>
                <w:p w14:paraId="61AE921E">
                  <w:pPr>
                    <w:spacing w:line="288" w:lineRule="auto"/>
                    <w:jc w:val="center"/>
                    <w:rPr>
                      <w:rFonts w:hint="eastAsia" w:ascii="宋体" w:hAnsi="宋体" w:cs="宋体"/>
                      <w:color w:val="000000"/>
                      <w:szCs w:val="21"/>
                    </w:rPr>
                  </w:pPr>
                </w:p>
              </w:tc>
              <w:tc>
                <w:tcPr>
                  <w:tcW w:w="3832" w:type="pct"/>
                </w:tcPr>
                <w:p w14:paraId="53BC3527">
                  <w:pPr>
                    <w:spacing w:line="288" w:lineRule="auto"/>
                    <w:rPr>
                      <w:rFonts w:hint="eastAsia" w:ascii="宋体" w:hAnsi="宋体" w:cs="宋体"/>
                      <w:szCs w:val="21"/>
                    </w:rPr>
                  </w:pPr>
                  <w:r>
                    <w:rPr>
                      <w:rFonts w:hint="eastAsia" w:ascii="宋体" w:hAnsi="宋体" w:cs="宋体"/>
                      <w:szCs w:val="21"/>
                    </w:rPr>
                    <w:t>2.4、应付管理：支持处理企业所有债务业务及相关管理工作，其主要包括：灵活的付款协议；应付账款确认环节灵活可配置：1)入库确认应付账；2)入库暂估应付——收发票确认应付；3)收发票确认应付；预付款管理；付款管理；应付核销：支持自动、手动核销。支持同币种、异币种核销。支持录入业务单据过程中即时核销。支持应收冲应付核销；支持更全面的保留审计线索：记录业务日志，包括操作人、操作方式、操作内容等。</w:t>
                  </w:r>
                </w:p>
              </w:tc>
            </w:tr>
            <w:tr w14:paraId="0B59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1E865D08">
                  <w:pPr>
                    <w:spacing w:line="288" w:lineRule="auto"/>
                    <w:jc w:val="center"/>
                    <w:rPr>
                      <w:rFonts w:hint="eastAsia" w:ascii="宋体" w:hAnsi="宋体" w:cs="宋体"/>
                      <w:color w:val="000000"/>
                      <w:szCs w:val="21"/>
                    </w:rPr>
                  </w:pPr>
                </w:p>
              </w:tc>
              <w:tc>
                <w:tcPr>
                  <w:tcW w:w="670" w:type="pct"/>
                  <w:vMerge w:val="continue"/>
                  <w:vAlign w:val="center"/>
                </w:tcPr>
                <w:p w14:paraId="6738BA86">
                  <w:pPr>
                    <w:spacing w:line="288" w:lineRule="auto"/>
                    <w:jc w:val="center"/>
                    <w:rPr>
                      <w:rFonts w:hint="eastAsia" w:ascii="宋体" w:hAnsi="宋体" w:cs="宋体"/>
                      <w:color w:val="000000"/>
                      <w:szCs w:val="21"/>
                    </w:rPr>
                  </w:pPr>
                </w:p>
              </w:tc>
              <w:tc>
                <w:tcPr>
                  <w:tcW w:w="3832" w:type="pct"/>
                </w:tcPr>
                <w:p w14:paraId="60ACA125">
                  <w:pPr>
                    <w:spacing w:line="288" w:lineRule="auto"/>
                    <w:rPr>
                      <w:rFonts w:hint="eastAsia" w:ascii="宋体" w:hAnsi="宋体" w:cs="宋体"/>
                      <w:szCs w:val="21"/>
                    </w:rPr>
                  </w:pPr>
                  <w:r>
                    <w:rPr>
                      <w:rFonts w:hint="eastAsia" w:ascii="宋体" w:hAnsi="宋体" w:cs="宋体"/>
                      <w:szCs w:val="21"/>
                    </w:rPr>
                    <w:t>2.5、供应链基础设置:支持采购、销售、库存等业务相关的基础设置定义。提供采购、销售相关基础数据设置：物料分类、物料、计量单位、供应商基本分类、供应商、客户基本分类、客户等；提供供应商物料对应关系定义：按物料维护供应商、按供应商维护物料等。</w:t>
                  </w:r>
                </w:p>
              </w:tc>
            </w:tr>
            <w:tr w14:paraId="4C35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4DF7822">
                  <w:pPr>
                    <w:spacing w:line="288" w:lineRule="auto"/>
                    <w:jc w:val="center"/>
                    <w:rPr>
                      <w:rFonts w:hint="eastAsia" w:ascii="宋体" w:hAnsi="宋体" w:cs="宋体"/>
                      <w:color w:val="000000"/>
                      <w:szCs w:val="21"/>
                    </w:rPr>
                  </w:pPr>
                </w:p>
              </w:tc>
              <w:tc>
                <w:tcPr>
                  <w:tcW w:w="670" w:type="pct"/>
                  <w:vMerge w:val="continue"/>
                  <w:vAlign w:val="center"/>
                </w:tcPr>
                <w:p w14:paraId="38A026A3">
                  <w:pPr>
                    <w:spacing w:line="288" w:lineRule="auto"/>
                    <w:jc w:val="center"/>
                    <w:rPr>
                      <w:rFonts w:hint="eastAsia" w:ascii="宋体" w:hAnsi="宋体" w:cs="宋体"/>
                      <w:color w:val="000000"/>
                      <w:szCs w:val="21"/>
                    </w:rPr>
                  </w:pPr>
                </w:p>
              </w:tc>
              <w:tc>
                <w:tcPr>
                  <w:tcW w:w="3832" w:type="pct"/>
                </w:tcPr>
                <w:p w14:paraId="57E5D265">
                  <w:pPr>
                    <w:spacing w:line="288" w:lineRule="auto"/>
                    <w:rPr>
                      <w:rFonts w:hint="eastAsia" w:ascii="宋体" w:hAnsi="宋体" w:cs="宋体"/>
                      <w:szCs w:val="21"/>
                    </w:rPr>
                  </w:pPr>
                  <w:r>
                    <w:rPr>
                      <w:rFonts w:hint="eastAsia" w:ascii="宋体" w:hAnsi="宋体" w:cs="宋体"/>
                      <w:szCs w:val="21"/>
                    </w:rPr>
                    <w:t>2.6、合同管理:支持企业的各种合同的管理：采购合同、销售合同、其他付款合同、其他收款合同。支持框架协议、具体到物料等不同形式的合同。支持合同的状态管理。合同中全面支持多单位的应用。支持组织、物料的多版本应用。提供合同的全面跟踪，以及汇总查询等。</w:t>
                  </w:r>
                </w:p>
              </w:tc>
            </w:tr>
            <w:tr w14:paraId="14DB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58C5B9E">
                  <w:pPr>
                    <w:spacing w:line="288" w:lineRule="auto"/>
                    <w:jc w:val="center"/>
                    <w:rPr>
                      <w:rFonts w:hint="eastAsia" w:ascii="宋体" w:hAnsi="宋体" w:cs="宋体"/>
                      <w:color w:val="000000"/>
                      <w:szCs w:val="21"/>
                    </w:rPr>
                  </w:pPr>
                </w:p>
              </w:tc>
              <w:tc>
                <w:tcPr>
                  <w:tcW w:w="670" w:type="pct"/>
                  <w:vMerge w:val="continue"/>
                  <w:vAlign w:val="center"/>
                </w:tcPr>
                <w:p w14:paraId="32719C46">
                  <w:pPr>
                    <w:spacing w:line="288" w:lineRule="auto"/>
                    <w:jc w:val="center"/>
                    <w:rPr>
                      <w:rFonts w:hint="eastAsia" w:ascii="宋体" w:hAnsi="宋体" w:cs="宋体"/>
                      <w:color w:val="000000"/>
                      <w:szCs w:val="21"/>
                    </w:rPr>
                  </w:pPr>
                </w:p>
              </w:tc>
              <w:tc>
                <w:tcPr>
                  <w:tcW w:w="3832" w:type="pct"/>
                </w:tcPr>
                <w:p w14:paraId="2DE3C27D">
                  <w:pPr>
                    <w:spacing w:line="288" w:lineRule="auto"/>
                    <w:rPr>
                      <w:rFonts w:hint="eastAsia" w:ascii="宋体" w:hAnsi="宋体" w:cs="宋体"/>
                      <w:szCs w:val="21"/>
                    </w:rPr>
                  </w:pPr>
                  <w:r>
                    <w:rPr>
                      <w:rFonts w:hint="eastAsia" w:ascii="宋体" w:hAnsi="宋体" w:cs="宋体"/>
                      <w:szCs w:val="21"/>
                    </w:rPr>
                    <w:t>2.7、采购管理:支持依据采购计划进行采购订单、采购到货、采购结算与付款、以及后续执行情况的分析结果作出决策。支持事找人，企业可以按照岗位分工规则设置事找人的规则，比如请购单审批通过后，作为待办事项推送到对应的采购员的工作桌面。</w:t>
                  </w:r>
                </w:p>
              </w:tc>
            </w:tr>
            <w:tr w14:paraId="1B6B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27AB7D2">
                  <w:pPr>
                    <w:spacing w:line="288" w:lineRule="auto"/>
                    <w:jc w:val="center"/>
                    <w:rPr>
                      <w:rFonts w:hint="eastAsia" w:ascii="宋体" w:hAnsi="宋体" w:cs="宋体"/>
                      <w:color w:val="000000"/>
                      <w:szCs w:val="21"/>
                    </w:rPr>
                  </w:pPr>
                </w:p>
              </w:tc>
              <w:tc>
                <w:tcPr>
                  <w:tcW w:w="670" w:type="pct"/>
                  <w:vMerge w:val="continue"/>
                  <w:vAlign w:val="center"/>
                </w:tcPr>
                <w:p w14:paraId="3A1BD222">
                  <w:pPr>
                    <w:spacing w:line="288" w:lineRule="auto"/>
                    <w:jc w:val="center"/>
                    <w:rPr>
                      <w:rFonts w:hint="eastAsia" w:ascii="宋体" w:hAnsi="宋体" w:cs="宋体"/>
                      <w:color w:val="000000"/>
                      <w:szCs w:val="21"/>
                    </w:rPr>
                  </w:pPr>
                </w:p>
              </w:tc>
              <w:tc>
                <w:tcPr>
                  <w:tcW w:w="3832" w:type="pct"/>
                </w:tcPr>
                <w:p w14:paraId="6A902697">
                  <w:pPr>
                    <w:spacing w:line="288" w:lineRule="auto"/>
                    <w:rPr>
                      <w:rFonts w:hint="eastAsia" w:ascii="宋体" w:hAnsi="宋体" w:cs="宋体"/>
                      <w:szCs w:val="21"/>
                    </w:rPr>
                  </w:pPr>
                  <w:r>
                    <w:rPr>
                      <w:rFonts w:hint="eastAsia" w:ascii="宋体" w:hAnsi="宋体" w:cs="宋体"/>
                      <w:szCs w:val="21"/>
                    </w:rPr>
                    <w:t>2.8、销售管理：系统支持多种销售模式和结算模式，同时提供丰富的销售报表，辅助管理人员进行销售决策。支持用户自定义销售流程。支持先货后票、先票后货、货票并行等业务流程。</w:t>
                  </w:r>
                </w:p>
              </w:tc>
            </w:tr>
            <w:tr w14:paraId="46EF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14CC8EF4">
                  <w:pPr>
                    <w:spacing w:line="288" w:lineRule="auto"/>
                    <w:jc w:val="center"/>
                    <w:rPr>
                      <w:rFonts w:hint="eastAsia" w:ascii="宋体" w:hAnsi="宋体" w:cs="宋体"/>
                      <w:color w:val="000000"/>
                      <w:szCs w:val="21"/>
                    </w:rPr>
                  </w:pPr>
                </w:p>
              </w:tc>
              <w:tc>
                <w:tcPr>
                  <w:tcW w:w="670" w:type="pct"/>
                  <w:vMerge w:val="continue"/>
                  <w:vAlign w:val="center"/>
                </w:tcPr>
                <w:p w14:paraId="17EC8C00">
                  <w:pPr>
                    <w:spacing w:line="288" w:lineRule="auto"/>
                    <w:jc w:val="center"/>
                    <w:rPr>
                      <w:rFonts w:hint="eastAsia" w:ascii="宋体" w:hAnsi="宋体" w:cs="宋体"/>
                      <w:color w:val="000000"/>
                      <w:szCs w:val="21"/>
                    </w:rPr>
                  </w:pPr>
                </w:p>
              </w:tc>
              <w:tc>
                <w:tcPr>
                  <w:tcW w:w="3832" w:type="pct"/>
                </w:tcPr>
                <w:p w14:paraId="6A00C190">
                  <w:pPr>
                    <w:spacing w:line="288" w:lineRule="auto"/>
                    <w:rPr>
                      <w:rFonts w:hint="eastAsia" w:ascii="宋体" w:hAnsi="宋体" w:cs="宋体"/>
                      <w:szCs w:val="21"/>
                    </w:rPr>
                  </w:pPr>
                  <w:r>
                    <w:rPr>
                      <w:rFonts w:hint="eastAsia" w:ascii="宋体" w:hAnsi="宋体" w:cs="宋体"/>
                      <w:szCs w:val="21"/>
                    </w:rPr>
                    <w:t>2.9、库存管理：支持出入库管理、在库管理，以及相关的库存统计和分析。</w:t>
                  </w:r>
                </w:p>
              </w:tc>
            </w:tr>
            <w:tr w14:paraId="57A0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16CADAF1">
                  <w:pPr>
                    <w:spacing w:line="288" w:lineRule="auto"/>
                    <w:jc w:val="center"/>
                    <w:rPr>
                      <w:rFonts w:hint="eastAsia" w:ascii="宋体" w:hAnsi="宋体" w:cs="宋体"/>
                      <w:color w:val="000000"/>
                      <w:szCs w:val="21"/>
                    </w:rPr>
                  </w:pPr>
                </w:p>
              </w:tc>
              <w:tc>
                <w:tcPr>
                  <w:tcW w:w="670" w:type="pct"/>
                  <w:vMerge w:val="continue"/>
                  <w:vAlign w:val="center"/>
                </w:tcPr>
                <w:p w14:paraId="53B7B12B">
                  <w:pPr>
                    <w:spacing w:line="288" w:lineRule="auto"/>
                    <w:jc w:val="center"/>
                    <w:rPr>
                      <w:rFonts w:hint="eastAsia" w:ascii="宋体" w:hAnsi="宋体" w:cs="宋体"/>
                      <w:color w:val="000000"/>
                      <w:szCs w:val="21"/>
                    </w:rPr>
                  </w:pPr>
                </w:p>
              </w:tc>
              <w:tc>
                <w:tcPr>
                  <w:tcW w:w="3832" w:type="pct"/>
                </w:tcPr>
                <w:p w14:paraId="7E334D71">
                  <w:pPr>
                    <w:spacing w:line="288" w:lineRule="auto"/>
                    <w:rPr>
                      <w:rFonts w:hint="eastAsia" w:ascii="宋体" w:hAnsi="宋体" w:cs="宋体"/>
                      <w:szCs w:val="21"/>
                    </w:rPr>
                  </w:pPr>
                  <w:r>
                    <w:rPr>
                      <w:rFonts w:hint="eastAsia" w:ascii="宋体" w:hAnsi="宋体" w:cs="宋体"/>
                      <w:szCs w:val="21"/>
                    </w:rPr>
                    <w:t>2.10、存货核算：支持自制各种业务单据来反映企业物料的成本信息。支持不少于五种计价方式来核算物料成本，至少包含：先进先出、移动平均、全月平均、计划价、个别计价。支持计算企业物料的收发成本并提供相应的账表查询</w:t>
                  </w:r>
                </w:p>
              </w:tc>
            </w:tr>
            <w:tr w14:paraId="3E17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6B34FAD">
                  <w:pPr>
                    <w:spacing w:line="288" w:lineRule="auto"/>
                    <w:jc w:val="center"/>
                    <w:rPr>
                      <w:rFonts w:hint="eastAsia" w:ascii="宋体" w:hAnsi="宋体" w:cs="宋体"/>
                      <w:color w:val="000000"/>
                      <w:szCs w:val="21"/>
                    </w:rPr>
                  </w:pPr>
                </w:p>
              </w:tc>
              <w:tc>
                <w:tcPr>
                  <w:tcW w:w="670" w:type="pct"/>
                  <w:vMerge w:val="continue"/>
                  <w:vAlign w:val="center"/>
                </w:tcPr>
                <w:p w14:paraId="67E1F115">
                  <w:pPr>
                    <w:spacing w:line="288" w:lineRule="auto"/>
                    <w:jc w:val="center"/>
                    <w:rPr>
                      <w:rFonts w:hint="eastAsia" w:ascii="宋体" w:hAnsi="宋体" w:cs="宋体"/>
                      <w:color w:val="000000"/>
                      <w:szCs w:val="21"/>
                    </w:rPr>
                  </w:pPr>
                </w:p>
              </w:tc>
              <w:tc>
                <w:tcPr>
                  <w:tcW w:w="3832" w:type="pct"/>
                </w:tcPr>
                <w:p w14:paraId="56C9A8D9">
                  <w:pPr>
                    <w:spacing w:line="288" w:lineRule="auto"/>
                    <w:rPr>
                      <w:rFonts w:hint="eastAsia" w:ascii="宋体" w:hAnsi="宋体" w:cs="宋体"/>
                      <w:szCs w:val="21"/>
                    </w:rPr>
                  </w:pPr>
                  <w:r>
                    <w:rPr>
                      <w:rFonts w:hint="eastAsia" w:ascii="宋体" w:hAnsi="宋体" w:cs="宋体"/>
                      <w:szCs w:val="21"/>
                    </w:rPr>
                    <w:t>2.11、集团报表：支持从单体报表数据采集、调整分摊、编报流程管理、按报表组织体系汇总的整体应用流程；支持从总账科目余额表、辅助余额表抽取数据；支持报表数据手工录入和自动计算，提供计划任务对报表数据进行自动批量计算；支持按多个维度对数据进行分摊调整，生成内部管理口径的管理报表和外部披露的财务报表。</w:t>
                  </w:r>
                </w:p>
              </w:tc>
            </w:tr>
            <w:tr w14:paraId="41C9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DBA42AE">
                  <w:pPr>
                    <w:spacing w:line="288" w:lineRule="auto"/>
                    <w:jc w:val="center"/>
                    <w:rPr>
                      <w:rFonts w:hint="eastAsia" w:ascii="宋体" w:hAnsi="宋体" w:cs="宋体"/>
                      <w:color w:val="000000"/>
                      <w:szCs w:val="21"/>
                    </w:rPr>
                  </w:pPr>
                </w:p>
              </w:tc>
              <w:tc>
                <w:tcPr>
                  <w:tcW w:w="670" w:type="pct"/>
                  <w:vMerge w:val="continue"/>
                  <w:vAlign w:val="center"/>
                </w:tcPr>
                <w:p w14:paraId="4EF550B5">
                  <w:pPr>
                    <w:spacing w:line="288" w:lineRule="auto"/>
                    <w:jc w:val="center"/>
                    <w:rPr>
                      <w:rFonts w:hint="eastAsia" w:ascii="宋体" w:hAnsi="宋体" w:cs="宋体"/>
                      <w:color w:val="000000"/>
                      <w:szCs w:val="21"/>
                    </w:rPr>
                  </w:pPr>
                </w:p>
              </w:tc>
              <w:tc>
                <w:tcPr>
                  <w:tcW w:w="3832" w:type="pct"/>
                </w:tcPr>
                <w:p w14:paraId="03FB839A">
                  <w:pPr>
                    <w:spacing w:line="288" w:lineRule="auto"/>
                    <w:rPr>
                      <w:rFonts w:hint="eastAsia" w:ascii="宋体" w:hAnsi="宋体" w:cs="宋体"/>
                      <w:szCs w:val="21"/>
                    </w:rPr>
                  </w:pPr>
                  <w:r>
                    <w:rPr>
                      <w:rFonts w:hint="eastAsia" w:ascii="宋体" w:hAnsi="宋体" w:cs="宋体"/>
                      <w:b/>
                      <w:bCs/>
                      <w:color w:val="FF0000"/>
                      <w:szCs w:val="21"/>
                    </w:rPr>
                    <w:t>▲2.12、合并报表：支持任务管理；支持合并调整；支持内部对账，可对内部交易对账复核、内部权益对账，；支持抵销合并，可根据对账结果自动生成抵销凭证。</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7F5F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0934FE96">
                  <w:pPr>
                    <w:spacing w:line="288" w:lineRule="auto"/>
                    <w:jc w:val="center"/>
                    <w:rPr>
                      <w:rFonts w:hint="eastAsia" w:ascii="宋体" w:hAnsi="宋体" w:cs="宋体"/>
                      <w:color w:val="000000"/>
                      <w:szCs w:val="21"/>
                    </w:rPr>
                  </w:pPr>
                </w:p>
              </w:tc>
              <w:tc>
                <w:tcPr>
                  <w:tcW w:w="670" w:type="pct"/>
                  <w:vMerge w:val="continue"/>
                  <w:vAlign w:val="center"/>
                </w:tcPr>
                <w:p w14:paraId="4C4A0B3F">
                  <w:pPr>
                    <w:spacing w:line="288" w:lineRule="auto"/>
                    <w:jc w:val="center"/>
                    <w:rPr>
                      <w:rFonts w:hint="eastAsia" w:ascii="宋体" w:hAnsi="宋体" w:cs="宋体"/>
                      <w:color w:val="000000"/>
                      <w:szCs w:val="21"/>
                    </w:rPr>
                  </w:pPr>
                </w:p>
              </w:tc>
              <w:tc>
                <w:tcPr>
                  <w:tcW w:w="3832" w:type="pct"/>
                </w:tcPr>
                <w:p w14:paraId="597C1FC8">
                  <w:pPr>
                    <w:spacing w:line="288" w:lineRule="auto"/>
                    <w:rPr>
                      <w:rFonts w:hint="eastAsia" w:ascii="宋体" w:hAnsi="宋体" w:cs="宋体"/>
                      <w:szCs w:val="21"/>
                    </w:rPr>
                  </w:pPr>
                  <w:r>
                    <w:rPr>
                      <w:rFonts w:hint="eastAsia" w:ascii="宋体" w:hAnsi="宋体" w:cs="宋体"/>
                      <w:szCs w:val="21"/>
                    </w:rPr>
                    <w:t>2.13、固定资产：支持资产基础设置、固定资产期初数据导入、资产新增、资产变动、资产维护、资产盘点管理、资产折旧与摊销等，实现资产财务业务一体化管理。</w:t>
                  </w:r>
                </w:p>
              </w:tc>
            </w:tr>
            <w:tr w14:paraId="44BE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0C1E0DC7">
                  <w:pPr>
                    <w:spacing w:line="288" w:lineRule="auto"/>
                    <w:jc w:val="center"/>
                    <w:rPr>
                      <w:rFonts w:hint="eastAsia" w:ascii="宋体" w:hAnsi="宋体" w:cs="宋体"/>
                      <w:color w:val="000000"/>
                      <w:szCs w:val="21"/>
                    </w:rPr>
                  </w:pPr>
                </w:p>
              </w:tc>
              <w:tc>
                <w:tcPr>
                  <w:tcW w:w="670" w:type="pct"/>
                  <w:vMerge w:val="continue"/>
                  <w:vAlign w:val="center"/>
                </w:tcPr>
                <w:p w14:paraId="0EBDB33A">
                  <w:pPr>
                    <w:spacing w:line="288" w:lineRule="auto"/>
                    <w:jc w:val="center"/>
                    <w:rPr>
                      <w:rFonts w:hint="eastAsia" w:ascii="宋体" w:hAnsi="宋体" w:cs="宋体"/>
                      <w:color w:val="000000"/>
                      <w:szCs w:val="21"/>
                    </w:rPr>
                  </w:pPr>
                </w:p>
              </w:tc>
              <w:tc>
                <w:tcPr>
                  <w:tcW w:w="3832" w:type="pct"/>
                </w:tcPr>
                <w:p w14:paraId="38C14D72">
                  <w:pPr>
                    <w:spacing w:line="288" w:lineRule="auto"/>
                    <w:rPr>
                      <w:rFonts w:hint="eastAsia" w:ascii="宋体" w:hAnsi="宋体" w:cs="宋体"/>
                      <w:szCs w:val="21"/>
                    </w:rPr>
                  </w:pPr>
                  <w:r>
                    <w:rPr>
                      <w:rFonts w:hint="eastAsia" w:ascii="宋体" w:hAnsi="宋体" w:cs="宋体"/>
                      <w:b/>
                      <w:bCs/>
                      <w:color w:val="FF0000"/>
                      <w:szCs w:val="21"/>
                    </w:rPr>
                    <w:t>▲2.14、RPA智能引擎：包含财务共享服务中心的典型RPA应用场景，支持RPA自动化机器人的的教学应用，学生可以完成RPA客户端设置、工作模板构建、机器人管理、设置自动化任务等完整的财务自动化处理实验。支持RPA机器人根据单位范围结账，并自动记录结账中的问题，支持RPA机器人根据提供账簿以及会计期间自动检查、人工检查项的完结情况，可以进行自动结账并生成结账。</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56D3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0459F1A5">
                  <w:pPr>
                    <w:spacing w:line="288" w:lineRule="auto"/>
                    <w:jc w:val="center"/>
                    <w:rPr>
                      <w:rFonts w:hint="eastAsia" w:ascii="宋体" w:hAnsi="宋体" w:cs="宋体"/>
                      <w:color w:val="000000"/>
                      <w:szCs w:val="21"/>
                    </w:rPr>
                  </w:pPr>
                </w:p>
              </w:tc>
              <w:tc>
                <w:tcPr>
                  <w:tcW w:w="670" w:type="pct"/>
                  <w:vMerge w:val="continue"/>
                  <w:vAlign w:val="center"/>
                </w:tcPr>
                <w:p w14:paraId="4216FEAE">
                  <w:pPr>
                    <w:spacing w:line="288" w:lineRule="auto"/>
                    <w:jc w:val="center"/>
                    <w:rPr>
                      <w:rFonts w:hint="eastAsia" w:ascii="宋体" w:hAnsi="宋体" w:cs="宋体"/>
                      <w:color w:val="000000"/>
                      <w:szCs w:val="21"/>
                    </w:rPr>
                  </w:pPr>
                </w:p>
              </w:tc>
              <w:tc>
                <w:tcPr>
                  <w:tcW w:w="3832" w:type="pct"/>
                </w:tcPr>
                <w:p w14:paraId="2C0A2BBD">
                  <w:pPr>
                    <w:spacing w:line="288" w:lineRule="auto"/>
                    <w:rPr>
                      <w:rFonts w:hint="eastAsia" w:ascii="宋体" w:hAnsi="宋体" w:cs="宋体"/>
                      <w:b/>
                      <w:bCs/>
                      <w:color w:val="000000"/>
                      <w:szCs w:val="21"/>
                    </w:rPr>
                  </w:pPr>
                  <w:r>
                    <w:rPr>
                      <w:rFonts w:hint="eastAsia" w:ascii="宋体" w:hAnsi="宋体" w:cs="宋体"/>
                      <w:b/>
                      <w:bCs/>
                      <w:color w:val="000000"/>
                      <w:szCs w:val="21"/>
                    </w:rPr>
                    <w:t>三、教学管理系统功能指标</w:t>
                  </w:r>
                </w:p>
                <w:p w14:paraId="52231022">
                  <w:pPr>
                    <w:spacing w:line="288" w:lineRule="auto"/>
                    <w:jc w:val="left"/>
                    <w:rPr>
                      <w:rFonts w:hint="eastAsia" w:ascii="宋体" w:hAnsi="宋体" w:cs="宋体"/>
                      <w:color w:val="000000"/>
                      <w:szCs w:val="21"/>
                    </w:rPr>
                  </w:pPr>
                  <w:r>
                    <w:rPr>
                      <w:rFonts w:hint="eastAsia" w:ascii="宋体" w:hAnsi="宋体" w:cs="宋体"/>
                      <w:color w:val="000000"/>
                      <w:szCs w:val="21"/>
                    </w:rPr>
                    <w:t>3.1、支持查看教师本人管理班级下的教学班学生成绩排行榜与学生能力排行榜。</w:t>
                  </w:r>
                </w:p>
              </w:tc>
            </w:tr>
            <w:tr w14:paraId="2D9B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47869AB1">
                  <w:pPr>
                    <w:spacing w:line="288" w:lineRule="auto"/>
                    <w:jc w:val="center"/>
                    <w:rPr>
                      <w:rFonts w:hint="eastAsia" w:ascii="宋体" w:hAnsi="宋体" w:cs="宋体"/>
                      <w:color w:val="000000"/>
                      <w:szCs w:val="21"/>
                    </w:rPr>
                  </w:pPr>
                </w:p>
              </w:tc>
              <w:tc>
                <w:tcPr>
                  <w:tcW w:w="670" w:type="pct"/>
                  <w:vMerge w:val="continue"/>
                  <w:vAlign w:val="center"/>
                </w:tcPr>
                <w:p w14:paraId="77D1D831">
                  <w:pPr>
                    <w:spacing w:line="288" w:lineRule="auto"/>
                    <w:jc w:val="center"/>
                    <w:rPr>
                      <w:rFonts w:hint="eastAsia" w:ascii="宋体" w:hAnsi="宋体" w:cs="宋体"/>
                      <w:color w:val="000000"/>
                      <w:szCs w:val="21"/>
                    </w:rPr>
                  </w:pPr>
                </w:p>
              </w:tc>
              <w:tc>
                <w:tcPr>
                  <w:tcW w:w="3832" w:type="pct"/>
                </w:tcPr>
                <w:p w14:paraId="064CEB5F">
                  <w:pPr>
                    <w:spacing w:line="288" w:lineRule="auto"/>
                    <w:jc w:val="left"/>
                    <w:rPr>
                      <w:rFonts w:hint="eastAsia" w:ascii="宋体" w:hAnsi="宋体" w:cs="宋体"/>
                      <w:color w:val="000000"/>
                      <w:szCs w:val="21"/>
                    </w:rPr>
                  </w:pPr>
                  <w:r>
                    <w:rPr>
                      <w:rFonts w:hint="eastAsia" w:ascii="宋体" w:hAnsi="宋体" w:cs="宋体"/>
                      <w:color w:val="000000"/>
                      <w:szCs w:val="21"/>
                    </w:rPr>
                    <w:t>3.2、学生完成课程项目后，支持展示学生能力词云、职业能力成长信息。</w:t>
                  </w:r>
                </w:p>
              </w:tc>
            </w:tr>
            <w:tr w14:paraId="4CCE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0DEF4EB9">
                  <w:pPr>
                    <w:spacing w:line="288" w:lineRule="auto"/>
                    <w:jc w:val="center"/>
                    <w:rPr>
                      <w:rFonts w:hint="eastAsia" w:ascii="宋体" w:hAnsi="宋体" w:cs="宋体"/>
                      <w:color w:val="000000"/>
                      <w:szCs w:val="21"/>
                    </w:rPr>
                  </w:pPr>
                </w:p>
              </w:tc>
              <w:tc>
                <w:tcPr>
                  <w:tcW w:w="670" w:type="pct"/>
                  <w:vMerge w:val="continue"/>
                  <w:vAlign w:val="center"/>
                </w:tcPr>
                <w:p w14:paraId="14748CEE">
                  <w:pPr>
                    <w:spacing w:line="288" w:lineRule="auto"/>
                    <w:jc w:val="center"/>
                    <w:rPr>
                      <w:rFonts w:hint="eastAsia" w:ascii="宋体" w:hAnsi="宋体" w:cs="宋体"/>
                      <w:color w:val="000000"/>
                      <w:szCs w:val="21"/>
                    </w:rPr>
                  </w:pPr>
                </w:p>
              </w:tc>
              <w:tc>
                <w:tcPr>
                  <w:tcW w:w="3832" w:type="pct"/>
                </w:tcPr>
                <w:p w14:paraId="1412047B">
                  <w:pPr>
                    <w:spacing w:line="288" w:lineRule="auto"/>
                    <w:jc w:val="left"/>
                    <w:rPr>
                      <w:rFonts w:hint="eastAsia" w:ascii="宋体" w:hAnsi="宋体" w:cs="宋体"/>
                      <w:color w:val="000000"/>
                      <w:szCs w:val="21"/>
                    </w:rPr>
                  </w:pPr>
                  <w:r>
                    <w:rPr>
                      <w:rFonts w:hint="eastAsia" w:ascii="宋体" w:hAnsi="宋体" w:cs="宋体"/>
                      <w:color w:val="000000"/>
                      <w:szCs w:val="21"/>
                    </w:rPr>
                    <w:t>3.3、基本教学信息看板：项目、课程、班级、教学实施情况等。</w:t>
                  </w:r>
                </w:p>
              </w:tc>
            </w:tr>
            <w:tr w14:paraId="04DE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23E13F7">
                  <w:pPr>
                    <w:spacing w:line="288" w:lineRule="auto"/>
                    <w:jc w:val="center"/>
                    <w:rPr>
                      <w:rFonts w:hint="eastAsia" w:ascii="宋体" w:hAnsi="宋体" w:cs="宋体"/>
                      <w:color w:val="000000"/>
                      <w:szCs w:val="21"/>
                    </w:rPr>
                  </w:pPr>
                </w:p>
              </w:tc>
              <w:tc>
                <w:tcPr>
                  <w:tcW w:w="670" w:type="pct"/>
                  <w:vMerge w:val="continue"/>
                  <w:vAlign w:val="center"/>
                </w:tcPr>
                <w:p w14:paraId="695CFF7D">
                  <w:pPr>
                    <w:spacing w:line="288" w:lineRule="auto"/>
                    <w:jc w:val="center"/>
                    <w:rPr>
                      <w:rFonts w:hint="eastAsia" w:ascii="宋体" w:hAnsi="宋体" w:cs="宋体"/>
                      <w:color w:val="000000"/>
                      <w:szCs w:val="21"/>
                    </w:rPr>
                  </w:pPr>
                </w:p>
              </w:tc>
              <w:tc>
                <w:tcPr>
                  <w:tcW w:w="3832" w:type="pct"/>
                </w:tcPr>
                <w:p w14:paraId="5C4DCDE8">
                  <w:pPr>
                    <w:spacing w:line="288" w:lineRule="auto"/>
                    <w:jc w:val="left"/>
                    <w:rPr>
                      <w:rFonts w:hint="eastAsia" w:ascii="宋体" w:hAnsi="宋体" w:cs="宋体"/>
                      <w:szCs w:val="21"/>
                    </w:rPr>
                  </w:pPr>
                  <w:r>
                    <w:rPr>
                      <w:rFonts w:hint="eastAsia" w:ascii="宋体" w:hAnsi="宋体" w:cs="宋体"/>
                      <w:bCs/>
                      <w:szCs w:val="21"/>
                    </w:rPr>
                    <w:t>3.4、至少支持闯关、自由两种教学模式。推送任务后支持收回推送。</w:t>
                  </w:r>
                </w:p>
              </w:tc>
            </w:tr>
            <w:tr w14:paraId="628D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34CF518">
                  <w:pPr>
                    <w:spacing w:line="288" w:lineRule="auto"/>
                    <w:jc w:val="center"/>
                    <w:rPr>
                      <w:rFonts w:hint="eastAsia" w:ascii="宋体" w:hAnsi="宋体" w:cs="宋体"/>
                      <w:color w:val="000000"/>
                      <w:szCs w:val="21"/>
                    </w:rPr>
                  </w:pPr>
                </w:p>
              </w:tc>
              <w:tc>
                <w:tcPr>
                  <w:tcW w:w="670" w:type="pct"/>
                  <w:vMerge w:val="continue"/>
                  <w:vAlign w:val="center"/>
                </w:tcPr>
                <w:p w14:paraId="33680931">
                  <w:pPr>
                    <w:spacing w:line="288" w:lineRule="auto"/>
                    <w:jc w:val="center"/>
                    <w:rPr>
                      <w:rFonts w:hint="eastAsia" w:ascii="宋体" w:hAnsi="宋体" w:cs="宋体"/>
                      <w:color w:val="000000"/>
                      <w:szCs w:val="21"/>
                    </w:rPr>
                  </w:pPr>
                </w:p>
              </w:tc>
              <w:tc>
                <w:tcPr>
                  <w:tcW w:w="3832" w:type="pct"/>
                </w:tcPr>
                <w:p w14:paraId="247E85B2">
                  <w:pPr>
                    <w:spacing w:line="288" w:lineRule="auto"/>
                    <w:jc w:val="left"/>
                    <w:rPr>
                      <w:rFonts w:hint="eastAsia" w:ascii="宋体" w:hAnsi="宋体" w:cs="宋体"/>
                      <w:color w:val="000000"/>
                      <w:szCs w:val="21"/>
                    </w:rPr>
                  </w:pPr>
                  <w:r>
                    <w:rPr>
                      <w:rFonts w:hint="eastAsia" w:ascii="宋体" w:hAnsi="宋体" w:cs="宋体"/>
                      <w:color w:val="000000"/>
                      <w:szCs w:val="21"/>
                    </w:rPr>
                    <w:t>3.5、展示班级内班级人数、学习人次、实战项目数量、理论项目数量、总能力值信息、课程思维导图、能力词云、主讲老师。</w:t>
                  </w:r>
                </w:p>
              </w:tc>
            </w:tr>
            <w:tr w14:paraId="208F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25CE234">
                  <w:pPr>
                    <w:spacing w:line="288" w:lineRule="auto"/>
                    <w:jc w:val="center"/>
                    <w:rPr>
                      <w:rFonts w:hint="eastAsia" w:ascii="宋体" w:hAnsi="宋体" w:cs="宋体"/>
                      <w:color w:val="000000"/>
                      <w:szCs w:val="21"/>
                    </w:rPr>
                  </w:pPr>
                </w:p>
              </w:tc>
              <w:tc>
                <w:tcPr>
                  <w:tcW w:w="670" w:type="pct"/>
                  <w:vMerge w:val="continue"/>
                  <w:vAlign w:val="center"/>
                </w:tcPr>
                <w:p w14:paraId="1268ED8A">
                  <w:pPr>
                    <w:spacing w:line="288" w:lineRule="auto"/>
                    <w:jc w:val="center"/>
                    <w:rPr>
                      <w:rFonts w:hint="eastAsia" w:ascii="宋体" w:hAnsi="宋体" w:cs="宋体"/>
                      <w:color w:val="000000"/>
                      <w:szCs w:val="21"/>
                    </w:rPr>
                  </w:pPr>
                </w:p>
              </w:tc>
              <w:tc>
                <w:tcPr>
                  <w:tcW w:w="3832" w:type="pct"/>
                </w:tcPr>
                <w:p w14:paraId="254920A2">
                  <w:pPr>
                    <w:spacing w:line="288" w:lineRule="auto"/>
                    <w:jc w:val="left"/>
                    <w:rPr>
                      <w:rFonts w:hint="eastAsia" w:ascii="宋体" w:hAnsi="宋体" w:cs="宋体"/>
                      <w:color w:val="000000"/>
                      <w:szCs w:val="21"/>
                    </w:rPr>
                  </w:pPr>
                  <w:r>
                    <w:rPr>
                      <w:rFonts w:hint="eastAsia" w:ascii="宋体" w:hAnsi="宋体" w:cs="宋体"/>
                      <w:color w:val="000000"/>
                      <w:szCs w:val="21"/>
                    </w:rPr>
                    <w:t>3.6、支持查看各项目难度、可获新豆数量、推送情况、班级完成人数、任务数量。</w:t>
                  </w:r>
                </w:p>
              </w:tc>
            </w:tr>
            <w:tr w14:paraId="2E81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C8DC5AE">
                  <w:pPr>
                    <w:spacing w:line="288" w:lineRule="auto"/>
                    <w:jc w:val="center"/>
                    <w:rPr>
                      <w:rFonts w:hint="eastAsia" w:ascii="宋体" w:hAnsi="宋体" w:cs="宋体"/>
                      <w:color w:val="000000"/>
                      <w:szCs w:val="21"/>
                    </w:rPr>
                  </w:pPr>
                </w:p>
              </w:tc>
              <w:tc>
                <w:tcPr>
                  <w:tcW w:w="670" w:type="pct"/>
                  <w:vMerge w:val="continue"/>
                  <w:vAlign w:val="center"/>
                </w:tcPr>
                <w:p w14:paraId="25DABC26">
                  <w:pPr>
                    <w:spacing w:line="288" w:lineRule="auto"/>
                    <w:jc w:val="center"/>
                    <w:rPr>
                      <w:rFonts w:hint="eastAsia" w:ascii="宋体" w:hAnsi="宋体" w:cs="宋体"/>
                      <w:color w:val="000000"/>
                      <w:szCs w:val="21"/>
                    </w:rPr>
                  </w:pPr>
                </w:p>
              </w:tc>
              <w:tc>
                <w:tcPr>
                  <w:tcW w:w="3832" w:type="pct"/>
                </w:tcPr>
                <w:p w14:paraId="00B781F7">
                  <w:pPr>
                    <w:spacing w:line="288" w:lineRule="auto"/>
                    <w:jc w:val="left"/>
                    <w:rPr>
                      <w:rFonts w:hint="eastAsia" w:ascii="宋体" w:hAnsi="宋体" w:cs="宋体"/>
                      <w:color w:val="000000"/>
                      <w:szCs w:val="21"/>
                    </w:rPr>
                  </w:pPr>
                  <w:r>
                    <w:rPr>
                      <w:rFonts w:hint="eastAsia" w:ascii="宋体" w:hAnsi="宋体" w:cs="宋体"/>
                      <w:color w:val="000000"/>
                      <w:szCs w:val="21"/>
                    </w:rPr>
                    <w:t>3.7、支持展示项目内任务总数、任务的类型、实战次数、平均任务用时、推送状态、答案状态、实验系统；支持项目内批量操作推送、收回推送、开放答案、收回答案、项目编辑等。</w:t>
                  </w:r>
                </w:p>
              </w:tc>
            </w:tr>
            <w:tr w14:paraId="5054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2014AE0">
                  <w:pPr>
                    <w:spacing w:line="288" w:lineRule="auto"/>
                    <w:jc w:val="center"/>
                    <w:rPr>
                      <w:rFonts w:hint="eastAsia" w:ascii="宋体" w:hAnsi="宋体" w:cs="宋体"/>
                      <w:color w:val="000000"/>
                      <w:szCs w:val="21"/>
                    </w:rPr>
                  </w:pPr>
                </w:p>
              </w:tc>
              <w:tc>
                <w:tcPr>
                  <w:tcW w:w="670" w:type="pct"/>
                  <w:vMerge w:val="continue"/>
                  <w:vAlign w:val="center"/>
                </w:tcPr>
                <w:p w14:paraId="5EE2B16A">
                  <w:pPr>
                    <w:spacing w:line="288" w:lineRule="auto"/>
                    <w:jc w:val="center"/>
                    <w:rPr>
                      <w:rFonts w:hint="eastAsia" w:ascii="宋体" w:hAnsi="宋体" w:cs="宋体"/>
                      <w:color w:val="000000"/>
                      <w:szCs w:val="21"/>
                    </w:rPr>
                  </w:pPr>
                </w:p>
              </w:tc>
              <w:tc>
                <w:tcPr>
                  <w:tcW w:w="3832" w:type="pct"/>
                </w:tcPr>
                <w:p w14:paraId="32B93BF7">
                  <w:pPr>
                    <w:spacing w:line="288" w:lineRule="auto"/>
                    <w:jc w:val="left"/>
                    <w:rPr>
                      <w:rFonts w:hint="eastAsia" w:ascii="宋体" w:hAnsi="宋体" w:cs="宋体"/>
                      <w:color w:val="000000"/>
                      <w:szCs w:val="21"/>
                    </w:rPr>
                  </w:pPr>
                  <w:r>
                    <w:rPr>
                      <w:rFonts w:hint="eastAsia" w:ascii="宋体" w:hAnsi="宋体" w:cs="宋体"/>
                      <w:b/>
                      <w:bCs/>
                      <w:color w:val="FF0000"/>
                      <w:szCs w:val="21"/>
                    </w:rPr>
                    <w:t>▲3.8、支持新增实践任务包括作业任务、测验任务、团队成果；理论任务包括视频任务、文档任务、富文本、网页链接任务。</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39FE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CF1FD84">
                  <w:pPr>
                    <w:spacing w:line="288" w:lineRule="auto"/>
                    <w:jc w:val="center"/>
                    <w:rPr>
                      <w:rFonts w:hint="eastAsia" w:ascii="宋体" w:hAnsi="宋体" w:cs="宋体"/>
                      <w:color w:val="000000"/>
                      <w:szCs w:val="21"/>
                    </w:rPr>
                  </w:pPr>
                </w:p>
              </w:tc>
              <w:tc>
                <w:tcPr>
                  <w:tcW w:w="670" w:type="pct"/>
                  <w:vMerge w:val="continue"/>
                  <w:vAlign w:val="center"/>
                </w:tcPr>
                <w:p w14:paraId="4061B6C6">
                  <w:pPr>
                    <w:spacing w:line="288" w:lineRule="auto"/>
                    <w:jc w:val="center"/>
                    <w:rPr>
                      <w:rFonts w:hint="eastAsia" w:ascii="宋体" w:hAnsi="宋体" w:cs="宋体"/>
                      <w:color w:val="000000"/>
                      <w:szCs w:val="21"/>
                    </w:rPr>
                  </w:pPr>
                </w:p>
              </w:tc>
              <w:tc>
                <w:tcPr>
                  <w:tcW w:w="3832" w:type="pct"/>
                </w:tcPr>
                <w:p w14:paraId="6AA37CA6">
                  <w:pPr>
                    <w:spacing w:line="288" w:lineRule="auto"/>
                    <w:jc w:val="left"/>
                    <w:rPr>
                      <w:rFonts w:hint="eastAsia" w:ascii="宋体" w:hAnsi="宋体" w:cs="宋体"/>
                      <w:color w:val="000000"/>
                      <w:szCs w:val="21"/>
                    </w:rPr>
                  </w:pPr>
                  <w:r>
                    <w:rPr>
                      <w:rFonts w:hint="eastAsia" w:ascii="宋体" w:hAnsi="宋体" w:cs="宋体"/>
                      <w:color w:val="000000"/>
                      <w:szCs w:val="21"/>
                    </w:rPr>
                    <w:t>3.9 、随堂测验中，支持修改测验名称、答题限时、页面输入或批量导入测验题；支持添加删除题目、答案、答案解析、勾选正确答案；修改题目排序，保存随堂测验。</w:t>
                  </w:r>
                </w:p>
              </w:tc>
            </w:tr>
            <w:tr w14:paraId="4699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7EA8966">
                  <w:pPr>
                    <w:spacing w:line="288" w:lineRule="auto"/>
                    <w:jc w:val="center"/>
                    <w:rPr>
                      <w:rFonts w:hint="eastAsia" w:ascii="宋体" w:hAnsi="宋体" w:cs="宋体"/>
                      <w:color w:val="000000"/>
                      <w:szCs w:val="21"/>
                    </w:rPr>
                  </w:pPr>
                </w:p>
              </w:tc>
              <w:tc>
                <w:tcPr>
                  <w:tcW w:w="670" w:type="pct"/>
                  <w:vMerge w:val="continue"/>
                  <w:vAlign w:val="center"/>
                </w:tcPr>
                <w:p w14:paraId="3A4A812B">
                  <w:pPr>
                    <w:spacing w:line="288" w:lineRule="auto"/>
                    <w:jc w:val="center"/>
                    <w:rPr>
                      <w:rFonts w:hint="eastAsia" w:ascii="宋体" w:hAnsi="宋体" w:cs="宋体"/>
                      <w:color w:val="000000"/>
                      <w:szCs w:val="21"/>
                    </w:rPr>
                  </w:pPr>
                </w:p>
              </w:tc>
              <w:tc>
                <w:tcPr>
                  <w:tcW w:w="3832" w:type="pct"/>
                </w:tcPr>
                <w:p w14:paraId="2DBED740">
                  <w:pPr>
                    <w:spacing w:line="288" w:lineRule="auto"/>
                    <w:jc w:val="left"/>
                    <w:rPr>
                      <w:rFonts w:hint="eastAsia" w:ascii="宋体" w:hAnsi="宋体" w:cs="宋体"/>
                      <w:color w:val="000000"/>
                      <w:szCs w:val="21"/>
                    </w:rPr>
                  </w:pPr>
                  <w:r>
                    <w:rPr>
                      <w:rFonts w:hint="eastAsia" w:ascii="宋体" w:hAnsi="宋体" w:cs="宋体"/>
                      <w:color w:val="000000"/>
                      <w:szCs w:val="21"/>
                    </w:rPr>
                    <w:t>3.10、学生管理：支持教师查看已加入当前班级的学生列表；当教学班设置为需要审核才能加入时，老师可审批通过邀请码方式加入的学生，支持批量通过审批；支持教师将学生移除教学班、批量重置学生密码；支持通过模板批量导入学生。</w:t>
                  </w:r>
                </w:p>
              </w:tc>
            </w:tr>
            <w:tr w14:paraId="7B2D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CEC1B51">
                  <w:pPr>
                    <w:spacing w:line="288" w:lineRule="auto"/>
                    <w:jc w:val="center"/>
                    <w:rPr>
                      <w:rFonts w:hint="eastAsia" w:ascii="宋体" w:hAnsi="宋体" w:cs="宋体"/>
                      <w:color w:val="000000"/>
                      <w:szCs w:val="21"/>
                    </w:rPr>
                  </w:pPr>
                </w:p>
              </w:tc>
              <w:tc>
                <w:tcPr>
                  <w:tcW w:w="670" w:type="pct"/>
                  <w:vMerge w:val="continue"/>
                  <w:vAlign w:val="center"/>
                </w:tcPr>
                <w:p w14:paraId="4BE53916">
                  <w:pPr>
                    <w:spacing w:line="288" w:lineRule="auto"/>
                    <w:jc w:val="center"/>
                    <w:rPr>
                      <w:rFonts w:hint="eastAsia" w:ascii="宋体" w:hAnsi="宋体" w:cs="宋体"/>
                      <w:color w:val="000000"/>
                      <w:szCs w:val="21"/>
                    </w:rPr>
                  </w:pPr>
                </w:p>
              </w:tc>
              <w:tc>
                <w:tcPr>
                  <w:tcW w:w="3832" w:type="pct"/>
                </w:tcPr>
                <w:p w14:paraId="56A77EDF">
                  <w:pPr>
                    <w:spacing w:line="288" w:lineRule="auto"/>
                    <w:jc w:val="left"/>
                    <w:rPr>
                      <w:rFonts w:hint="eastAsia" w:ascii="宋体" w:hAnsi="宋体" w:cs="宋体"/>
                      <w:color w:val="000000"/>
                      <w:szCs w:val="21"/>
                    </w:rPr>
                  </w:pPr>
                  <w:r>
                    <w:rPr>
                      <w:rFonts w:hint="eastAsia" w:ascii="宋体" w:hAnsi="宋体" w:cs="宋体"/>
                      <w:color w:val="000000"/>
                      <w:szCs w:val="21"/>
                    </w:rPr>
                    <w:t>3.11、团队管理：支持教师发起团队分组，设置组数和每组人数。设置分组后可以设置教学班内团队的组长，为小组添加</w:t>
                  </w:r>
                  <w:r>
                    <w:rPr>
                      <w:rFonts w:hint="eastAsia" w:ascii="宋体" w:hAnsi="宋体" w:cs="宋体"/>
                      <w:szCs w:val="21"/>
                    </w:rPr>
                    <w:t>及删</w:t>
                  </w:r>
                  <w:r>
                    <w:rPr>
                      <w:rFonts w:hint="eastAsia" w:ascii="宋体" w:hAnsi="宋体" w:cs="宋体"/>
                      <w:color w:val="000000"/>
                      <w:szCs w:val="21"/>
                    </w:rPr>
                    <w:t>除小组成员。教师可查看班级中未进入团队的学生，支持刷新团队信息。</w:t>
                  </w:r>
                </w:p>
              </w:tc>
            </w:tr>
            <w:tr w14:paraId="4E0E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6C91153">
                  <w:pPr>
                    <w:spacing w:line="288" w:lineRule="auto"/>
                    <w:jc w:val="center"/>
                    <w:rPr>
                      <w:rFonts w:hint="eastAsia" w:ascii="宋体" w:hAnsi="宋体" w:cs="宋体"/>
                      <w:color w:val="000000"/>
                      <w:szCs w:val="21"/>
                    </w:rPr>
                  </w:pPr>
                </w:p>
              </w:tc>
              <w:tc>
                <w:tcPr>
                  <w:tcW w:w="670" w:type="pct"/>
                  <w:vMerge w:val="continue"/>
                  <w:vAlign w:val="center"/>
                </w:tcPr>
                <w:p w14:paraId="5B895ECA">
                  <w:pPr>
                    <w:spacing w:line="288" w:lineRule="auto"/>
                    <w:jc w:val="center"/>
                    <w:rPr>
                      <w:rFonts w:hint="eastAsia" w:ascii="宋体" w:hAnsi="宋体" w:cs="宋体"/>
                      <w:color w:val="000000"/>
                      <w:szCs w:val="21"/>
                    </w:rPr>
                  </w:pPr>
                </w:p>
              </w:tc>
              <w:tc>
                <w:tcPr>
                  <w:tcW w:w="3832" w:type="pct"/>
                </w:tcPr>
                <w:p w14:paraId="16BF099B">
                  <w:pPr>
                    <w:spacing w:line="288" w:lineRule="auto"/>
                    <w:jc w:val="left"/>
                    <w:rPr>
                      <w:rFonts w:hint="eastAsia" w:ascii="宋体" w:hAnsi="宋体" w:cs="宋体"/>
                      <w:color w:val="000000"/>
                      <w:szCs w:val="21"/>
                    </w:rPr>
                  </w:pPr>
                  <w:r>
                    <w:rPr>
                      <w:rFonts w:hint="eastAsia" w:ascii="宋体" w:hAnsi="宋体" w:cs="宋体"/>
                      <w:color w:val="000000"/>
                      <w:szCs w:val="21"/>
                    </w:rPr>
                    <w:t>3.12、考勤：支持在课堂上随时发起签到，支持设置开始签到时间，学生可输入老师发布的签到口令进行签到；支持教师根据实际情况，调整班级内学生的签到结果；支持老师通过班级和学生两个维度查看班级考勤详情；支持教师查看班级平均签到率及统计签到次数。支持老师导出学生签到考勤。</w:t>
                  </w:r>
                </w:p>
              </w:tc>
            </w:tr>
            <w:tr w14:paraId="7052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DF66063">
                  <w:pPr>
                    <w:spacing w:line="288" w:lineRule="auto"/>
                    <w:jc w:val="center"/>
                    <w:rPr>
                      <w:rFonts w:hint="eastAsia" w:ascii="宋体" w:hAnsi="宋体" w:cs="宋体"/>
                      <w:color w:val="000000"/>
                      <w:szCs w:val="21"/>
                    </w:rPr>
                  </w:pPr>
                </w:p>
              </w:tc>
              <w:tc>
                <w:tcPr>
                  <w:tcW w:w="670" w:type="pct"/>
                  <w:vMerge w:val="continue"/>
                  <w:vAlign w:val="center"/>
                </w:tcPr>
                <w:p w14:paraId="47D9B91D">
                  <w:pPr>
                    <w:spacing w:line="288" w:lineRule="auto"/>
                    <w:jc w:val="center"/>
                    <w:rPr>
                      <w:rFonts w:hint="eastAsia" w:ascii="宋体" w:hAnsi="宋体" w:cs="宋体"/>
                      <w:color w:val="000000"/>
                      <w:szCs w:val="21"/>
                    </w:rPr>
                  </w:pPr>
                </w:p>
              </w:tc>
              <w:tc>
                <w:tcPr>
                  <w:tcW w:w="3832" w:type="pct"/>
                </w:tcPr>
                <w:p w14:paraId="373B4D17">
                  <w:pPr>
                    <w:spacing w:line="288" w:lineRule="auto"/>
                    <w:jc w:val="left"/>
                    <w:rPr>
                      <w:rFonts w:hint="eastAsia" w:ascii="宋体" w:hAnsi="宋体" w:cs="宋体"/>
                      <w:color w:val="000000"/>
                      <w:szCs w:val="21"/>
                    </w:rPr>
                  </w:pPr>
                  <w:r>
                    <w:rPr>
                      <w:rFonts w:hint="eastAsia" w:ascii="宋体" w:hAnsi="宋体" w:cs="宋体"/>
                      <w:color w:val="000000"/>
                      <w:szCs w:val="21"/>
                    </w:rPr>
                    <w:t>3.13、进度：支持教师按照学生和教学大纲两种维度查看进度；可查看学生完成教学组件的情况，统计各组件学习次数、学习时长等数据；支持学习记录导出。</w:t>
                  </w:r>
                </w:p>
              </w:tc>
            </w:tr>
            <w:tr w14:paraId="534B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97" w:type="pct"/>
                  <w:vMerge w:val="continue"/>
                  <w:vAlign w:val="center"/>
                </w:tcPr>
                <w:p w14:paraId="063BBC4F">
                  <w:pPr>
                    <w:spacing w:line="288" w:lineRule="auto"/>
                    <w:jc w:val="center"/>
                    <w:rPr>
                      <w:rFonts w:hint="eastAsia" w:ascii="宋体" w:hAnsi="宋体" w:cs="宋体"/>
                      <w:color w:val="000000"/>
                      <w:szCs w:val="21"/>
                    </w:rPr>
                  </w:pPr>
                </w:p>
              </w:tc>
              <w:tc>
                <w:tcPr>
                  <w:tcW w:w="670" w:type="pct"/>
                  <w:vMerge w:val="continue"/>
                  <w:vAlign w:val="center"/>
                </w:tcPr>
                <w:p w14:paraId="6A5C6852">
                  <w:pPr>
                    <w:spacing w:line="288" w:lineRule="auto"/>
                    <w:jc w:val="center"/>
                    <w:rPr>
                      <w:rFonts w:hint="eastAsia" w:ascii="宋体" w:hAnsi="宋体" w:cs="宋体"/>
                      <w:color w:val="000000"/>
                      <w:szCs w:val="21"/>
                    </w:rPr>
                  </w:pPr>
                </w:p>
              </w:tc>
              <w:tc>
                <w:tcPr>
                  <w:tcW w:w="3832" w:type="pct"/>
                </w:tcPr>
                <w:p w14:paraId="1CF21DBC">
                  <w:pPr>
                    <w:spacing w:line="288" w:lineRule="auto"/>
                    <w:jc w:val="left"/>
                    <w:rPr>
                      <w:rFonts w:hint="eastAsia" w:ascii="宋体" w:hAnsi="宋体" w:cs="宋体"/>
                      <w:color w:val="000000"/>
                      <w:szCs w:val="21"/>
                    </w:rPr>
                  </w:pPr>
                  <w:r>
                    <w:rPr>
                      <w:rFonts w:hint="eastAsia" w:ascii="宋体" w:hAnsi="宋体" w:cs="宋体"/>
                      <w:color w:val="000000"/>
                      <w:szCs w:val="21"/>
                    </w:rPr>
                    <w:t>3.14、测验：教师可查看学生随堂测验和视频测验的详情（测验名称、题数、完成人数、平均分数、每个学生当前试卷的答题详情等），教师还可通过学情分析从测验试题的维度查看详情，支持查看每道题题面和答题选项，以及每个选项正确率，和每个学生该道题的答题情况等信息。</w:t>
                  </w:r>
                </w:p>
              </w:tc>
            </w:tr>
            <w:tr w14:paraId="29BF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0AC447E5">
                  <w:pPr>
                    <w:spacing w:line="288" w:lineRule="auto"/>
                    <w:jc w:val="center"/>
                    <w:rPr>
                      <w:rFonts w:hint="eastAsia" w:ascii="宋体" w:hAnsi="宋体" w:cs="宋体"/>
                      <w:color w:val="000000"/>
                      <w:szCs w:val="21"/>
                    </w:rPr>
                  </w:pPr>
                </w:p>
              </w:tc>
              <w:tc>
                <w:tcPr>
                  <w:tcW w:w="670" w:type="pct"/>
                  <w:vMerge w:val="continue"/>
                  <w:vAlign w:val="center"/>
                </w:tcPr>
                <w:p w14:paraId="6449D225">
                  <w:pPr>
                    <w:spacing w:line="288" w:lineRule="auto"/>
                    <w:jc w:val="center"/>
                    <w:rPr>
                      <w:rFonts w:hint="eastAsia" w:ascii="宋体" w:hAnsi="宋体" w:cs="宋体"/>
                      <w:color w:val="000000"/>
                      <w:szCs w:val="21"/>
                    </w:rPr>
                  </w:pPr>
                </w:p>
              </w:tc>
              <w:tc>
                <w:tcPr>
                  <w:tcW w:w="3832" w:type="pct"/>
                </w:tcPr>
                <w:p w14:paraId="5D34F416">
                  <w:pPr>
                    <w:spacing w:line="288" w:lineRule="auto"/>
                    <w:rPr>
                      <w:rFonts w:hint="eastAsia" w:ascii="宋体" w:hAnsi="宋体" w:cs="宋体"/>
                      <w:color w:val="000000"/>
                      <w:szCs w:val="21"/>
                    </w:rPr>
                  </w:pPr>
                  <w:r>
                    <w:rPr>
                      <w:rFonts w:hint="eastAsia" w:ascii="宋体" w:hAnsi="宋体" w:cs="宋体"/>
                      <w:color w:val="000000"/>
                      <w:szCs w:val="21"/>
                    </w:rPr>
                    <w:t>3.15、总结：支持教师对学生总结进行查看和打分；支持个人总结和团队总结两种总结提交方式，并支持分别打分和设置考核权重；支持查看未提交人数或未提交团队数；支持批量导出学生总结；支持教师退回已提交的总结，学生可重新提交。</w:t>
                  </w:r>
                </w:p>
              </w:tc>
            </w:tr>
            <w:tr w14:paraId="0727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11229B2C">
                  <w:pPr>
                    <w:spacing w:line="288" w:lineRule="auto"/>
                    <w:jc w:val="center"/>
                    <w:rPr>
                      <w:rFonts w:hint="eastAsia" w:ascii="宋体" w:hAnsi="宋体" w:cs="宋体"/>
                      <w:color w:val="000000"/>
                      <w:szCs w:val="21"/>
                    </w:rPr>
                  </w:pPr>
                </w:p>
              </w:tc>
              <w:tc>
                <w:tcPr>
                  <w:tcW w:w="670" w:type="pct"/>
                  <w:vMerge w:val="continue"/>
                  <w:vAlign w:val="center"/>
                </w:tcPr>
                <w:p w14:paraId="02E3BA07">
                  <w:pPr>
                    <w:spacing w:line="288" w:lineRule="auto"/>
                    <w:jc w:val="center"/>
                    <w:rPr>
                      <w:rFonts w:hint="eastAsia" w:ascii="宋体" w:hAnsi="宋体" w:cs="宋体"/>
                      <w:color w:val="000000"/>
                      <w:szCs w:val="21"/>
                    </w:rPr>
                  </w:pPr>
                </w:p>
              </w:tc>
              <w:tc>
                <w:tcPr>
                  <w:tcW w:w="3832" w:type="pct"/>
                </w:tcPr>
                <w:p w14:paraId="7527C3F3">
                  <w:pPr>
                    <w:spacing w:line="288" w:lineRule="auto"/>
                    <w:jc w:val="left"/>
                    <w:rPr>
                      <w:rFonts w:hint="eastAsia" w:ascii="宋体" w:hAnsi="宋体" w:cs="宋体"/>
                      <w:color w:val="000000"/>
                      <w:szCs w:val="21"/>
                    </w:rPr>
                  </w:pPr>
                  <w:r>
                    <w:rPr>
                      <w:rFonts w:hint="eastAsia" w:ascii="宋体" w:hAnsi="宋体" w:cs="宋体"/>
                      <w:color w:val="000000"/>
                      <w:szCs w:val="21"/>
                    </w:rPr>
                    <w:t>3.16、投票：支持教师随时发起个人、团队、自定义投票，可设置投票的持续时间；支持查看投票结果。</w:t>
                  </w:r>
                </w:p>
              </w:tc>
            </w:tr>
            <w:tr w14:paraId="514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0FB021CD">
                  <w:pPr>
                    <w:spacing w:line="288" w:lineRule="auto"/>
                    <w:jc w:val="center"/>
                    <w:rPr>
                      <w:rFonts w:hint="eastAsia" w:ascii="宋体" w:hAnsi="宋体" w:cs="宋体"/>
                      <w:color w:val="000000"/>
                      <w:szCs w:val="21"/>
                    </w:rPr>
                  </w:pPr>
                </w:p>
              </w:tc>
              <w:tc>
                <w:tcPr>
                  <w:tcW w:w="670" w:type="pct"/>
                  <w:vMerge w:val="continue"/>
                  <w:vAlign w:val="center"/>
                </w:tcPr>
                <w:p w14:paraId="0964FDBD">
                  <w:pPr>
                    <w:spacing w:line="288" w:lineRule="auto"/>
                    <w:jc w:val="center"/>
                    <w:rPr>
                      <w:rFonts w:hint="eastAsia" w:ascii="宋体" w:hAnsi="宋体" w:cs="宋体"/>
                      <w:color w:val="000000"/>
                      <w:szCs w:val="21"/>
                    </w:rPr>
                  </w:pPr>
                </w:p>
              </w:tc>
              <w:tc>
                <w:tcPr>
                  <w:tcW w:w="3832" w:type="pct"/>
                </w:tcPr>
                <w:p w14:paraId="4BB5AB43">
                  <w:pPr>
                    <w:spacing w:line="288" w:lineRule="auto"/>
                    <w:jc w:val="left"/>
                    <w:rPr>
                      <w:rFonts w:hint="eastAsia" w:ascii="宋体" w:hAnsi="宋体" w:cs="宋体"/>
                      <w:color w:val="000000"/>
                      <w:szCs w:val="21"/>
                    </w:rPr>
                  </w:pPr>
                  <w:r>
                    <w:rPr>
                      <w:rFonts w:hint="eastAsia" w:ascii="宋体" w:hAnsi="宋体" w:cs="宋体"/>
                      <w:color w:val="000000"/>
                      <w:szCs w:val="21"/>
                    </w:rPr>
                    <w:t>3.17、弹幕：教师可以开启教学班的弹幕，发起弹幕活动，设置弹幕的结束时间，设置弹幕是否匿名。教师可以发送弹幕，可以管理弹幕，禁言班级内学生。教师可查看弹幕发布列表。系统预置屏蔽词，自动屏蔽部分不当言论，同时支持教师依据实际情况设置弹幕的屏蔽词。</w:t>
                  </w:r>
                </w:p>
              </w:tc>
            </w:tr>
            <w:tr w14:paraId="7001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6D1E9A3">
                  <w:pPr>
                    <w:spacing w:line="288" w:lineRule="auto"/>
                    <w:jc w:val="center"/>
                    <w:rPr>
                      <w:rFonts w:hint="eastAsia" w:ascii="宋体" w:hAnsi="宋体" w:cs="宋体"/>
                      <w:color w:val="000000"/>
                      <w:szCs w:val="21"/>
                    </w:rPr>
                  </w:pPr>
                </w:p>
              </w:tc>
              <w:tc>
                <w:tcPr>
                  <w:tcW w:w="670" w:type="pct"/>
                  <w:vMerge w:val="continue"/>
                  <w:vAlign w:val="center"/>
                </w:tcPr>
                <w:p w14:paraId="4B8B2B02">
                  <w:pPr>
                    <w:spacing w:line="288" w:lineRule="auto"/>
                    <w:jc w:val="center"/>
                    <w:rPr>
                      <w:rFonts w:hint="eastAsia" w:ascii="宋体" w:hAnsi="宋体" w:cs="宋体"/>
                      <w:color w:val="000000"/>
                      <w:szCs w:val="21"/>
                    </w:rPr>
                  </w:pPr>
                </w:p>
              </w:tc>
              <w:tc>
                <w:tcPr>
                  <w:tcW w:w="3832" w:type="pct"/>
                </w:tcPr>
                <w:p w14:paraId="5F31F3F4">
                  <w:pPr>
                    <w:spacing w:line="288" w:lineRule="auto"/>
                    <w:jc w:val="left"/>
                    <w:rPr>
                      <w:rFonts w:hint="eastAsia" w:ascii="宋体" w:hAnsi="宋体" w:cs="宋体"/>
                      <w:color w:val="000000"/>
                      <w:szCs w:val="21"/>
                    </w:rPr>
                  </w:pPr>
                  <w:r>
                    <w:rPr>
                      <w:rFonts w:hint="eastAsia" w:ascii="宋体" w:hAnsi="宋体" w:cs="宋体"/>
                      <w:color w:val="000000"/>
                      <w:szCs w:val="21"/>
                    </w:rPr>
                    <w:t>3.18、问答：教师可以查看和管理全班发起的问答，可针对学生的提问进行回答，可筛选@我的/我回复的/我发起的问答，或者按照项目筛选查看学生提出的问题。教师也可向学生提出思考的问题，同时也可@个别学生指定回答，教师可针对学生的回复进行点赞。教师可以将典型有代表性的问答进行置顶展示。教师可搜索问答进行查看。教师可删除不当言论或提问。系统预置不少于6种表情类型，帮助师生充分表达。</w:t>
                  </w:r>
                </w:p>
              </w:tc>
            </w:tr>
            <w:tr w14:paraId="1211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7E16A294">
                  <w:pPr>
                    <w:spacing w:line="288" w:lineRule="auto"/>
                    <w:jc w:val="center"/>
                    <w:rPr>
                      <w:rFonts w:hint="eastAsia" w:ascii="宋体" w:hAnsi="宋体" w:cs="宋体"/>
                      <w:color w:val="000000"/>
                      <w:szCs w:val="21"/>
                    </w:rPr>
                  </w:pPr>
                </w:p>
              </w:tc>
              <w:tc>
                <w:tcPr>
                  <w:tcW w:w="670" w:type="pct"/>
                  <w:vMerge w:val="continue"/>
                  <w:vAlign w:val="center"/>
                </w:tcPr>
                <w:p w14:paraId="296187D1">
                  <w:pPr>
                    <w:spacing w:line="288" w:lineRule="auto"/>
                    <w:jc w:val="center"/>
                    <w:rPr>
                      <w:rFonts w:hint="eastAsia" w:ascii="宋体" w:hAnsi="宋体" w:cs="宋体"/>
                      <w:color w:val="000000"/>
                      <w:szCs w:val="21"/>
                    </w:rPr>
                  </w:pPr>
                </w:p>
              </w:tc>
              <w:tc>
                <w:tcPr>
                  <w:tcW w:w="3832" w:type="pct"/>
                </w:tcPr>
                <w:p w14:paraId="45806C4A">
                  <w:pPr>
                    <w:spacing w:line="288" w:lineRule="auto"/>
                    <w:jc w:val="left"/>
                    <w:rPr>
                      <w:rFonts w:hint="eastAsia" w:ascii="宋体" w:hAnsi="宋体" w:cs="宋体"/>
                      <w:color w:val="000000"/>
                      <w:szCs w:val="21"/>
                    </w:rPr>
                  </w:pPr>
                  <w:r>
                    <w:rPr>
                      <w:rFonts w:hint="eastAsia" w:ascii="宋体" w:hAnsi="宋体" w:cs="宋体"/>
                      <w:color w:val="000000"/>
                      <w:szCs w:val="21"/>
                    </w:rPr>
                    <w:t>3.19、讨论：教师可以查看和管理全班发起的讨论话题，可以对优秀或重要的讨论进行置顶展示；教师可以针对讨论进行回复或点赞，并可删除不当话题或回复。教师可以发起话题，供全班同学讨论，可以@班内用户。教师可以筛选讨论，支持按照项目或者按照教师自己所发布的/@我的/回复我的等方式进行筛选，并可搜索讨论；系统预置不少于6种表情类型，帮助师生充分表达。</w:t>
                  </w:r>
                </w:p>
              </w:tc>
            </w:tr>
            <w:tr w14:paraId="1782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2B0AE3A5">
                  <w:pPr>
                    <w:spacing w:line="288" w:lineRule="auto"/>
                    <w:jc w:val="center"/>
                    <w:rPr>
                      <w:rFonts w:hint="eastAsia" w:ascii="宋体" w:hAnsi="宋体" w:cs="宋体"/>
                      <w:color w:val="000000"/>
                      <w:szCs w:val="21"/>
                    </w:rPr>
                  </w:pPr>
                </w:p>
              </w:tc>
              <w:tc>
                <w:tcPr>
                  <w:tcW w:w="670" w:type="pct"/>
                  <w:vMerge w:val="continue"/>
                  <w:vAlign w:val="center"/>
                </w:tcPr>
                <w:p w14:paraId="6924F955">
                  <w:pPr>
                    <w:spacing w:line="288" w:lineRule="auto"/>
                    <w:jc w:val="center"/>
                    <w:rPr>
                      <w:rFonts w:hint="eastAsia" w:ascii="宋体" w:hAnsi="宋体" w:cs="宋体"/>
                      <w:color w:val="000000"/>
                      <w:szCs w:val="21"/>
                    </w:rPr>
                  </w:pPr>
                </w:p>
              </w:tc>
              <w:tc>
                <w:tcPr>
                  <w:tcW w:w="3832" w:type="pct"/>
                </w:tcPr>
                <w:p w14:paraId="66682AF7">
                  <w:pPr>
                    <w:spacing w:line="288" w:lineRule="auto"/>
                    <w:jc w:val="left"/>
                    <w:rPr>
                      <w:rFonts w:hint="eastAsia" w:ascii="宋体" w:hAnsi="宋体" w:cs="宋体"/>
                      <w:color w:val="000000"/>
                      <w:szCs w:val="21"/>
                    </w:rPr>
                  </w:pPr>
                  <w:r>
                    <w:rPr>
                      <w:rFonts w:hint="eastAsia" w:ascii="宋体" w:hAnsi="宋体" w:cs="宋体"/>
                      <w:color w:val="000000"/>
                      <w:szCs w:val="21"/>
                    </w:rPr>
                    <w:t>3.20、笔记：教师可以查看和管理全班的公开笔记。可以针对笔记进行点赞或回复点评，教师可在回复时@学生以便学生引起重视。教师可以删除内容不当的笔记或笔记回复。教师可置顶精华笔记。教师可以按照项目/@我的/我回复的筛选查看学生笔记。系统预置不少于6种表情类型，帮助师生充分表达。</w:t>
                  </w:r>
                </w:p>
              </w:tc>
            </w:tr>
            <w:tr w14:paraId="7D7E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5435B17">
                  <w:pPr>
                    <w:spacing w:line="288" w:lineRule="auto"/>
                    <w:jc w:val="center"/>
                    <w:rPr>
                      <w:rFonts w:hint="eastAsia" w:ascii="宋体" w:hAnsi="宋体" w:cs="宋体"/>
                      <w:color w:val="000000"/>
                      <w:szCs w:val="21"/>
                    </w:rPr>
                  </w:pPr>
                </w:p>
              </w:tc>
              <w:tc>
                <w:tcPr>
                  <w:tcW w:w="670" w:type="pct"/>
                  <w:vMerge w:val="continue"/>
                  <w:vAlign w:val="center"/>
                </w:tcPr>
                <w:p w14:paraId="354AD13A">
                  <w:pPr>
                    <w:spacing w:line="288" w:lineRule="auto"/>
                    <w:jc w:val="center"/>
                    <w:rPr>
                      <w:rFonts w:hint="eastAsia" w:ascii="宋体" w:hAnsi="宋体" w:cs="宋体"/>
                      <w:color w:val="000000"/>
                      <w:szCs w:val="21"/>
                    </w:rPr>
                  </w:pPr>
                </w:p>
              </w:tc>
              <w:tc>
                <w:tcPr>
                  <w:tcW w:w="3832" w:type="pct"/>
                </w:tcPr>
                <w:p w14:paraId="5938B710">
                  <w:pPr>
                    <w:spacing w:line="288" w:lineRule="auto"/>
                    <w:jc w:val="left"/>
                    <w:rPr>
                      <w:rFonts w:hint="eastAsia" w:ascii="宋体" w:hAnsi="宋体" w:cs="宋体"/>
                      <w:color w:val="000000"/>
                      <w:szCs w:val="21"/>
                    </w:rPr>
                  </w:pPr>
                  <w:r>
                    <w:rPr>
                      <w:rFonts w:hint="eastAsia" w:ascii="宋体" w:hAnsi="宋体" w:cs="宋体"/>
                      <w:color w:val="000000"/>
                      <w:szCs w:val="21"/>
                    </w:rPr>
                    <w:t>3.21、班级设置：展示教学班信息；支持设置修改班级基本信息，包括教学班名称、开班时间、结束时间、上传班级封面；支持设置授课团队，支持同</w:t>
                  </w:r>
                  <w:r>
                    <w:rPr>
                      <w:rFonts w:hint="eastAsia" w:ascii="宋体" w:hAnsi="宋体" w:cs="宋体"/>
                      <w:color w:val="auto"/>
                      <w:szCs w:val="21"/>
                    </w:rPr>
                    <w:t>一个班级</w:t>
                  </w:r>
                  <w:bookmarkStart w:id="5" w:name="OLE_LINK8"/>
                  <w:r>
                    <w:rPr>
                      <w:rFonts w:hint="eastAsia" w:ascii="宋体" w:hAnsi="宋体" w:cs="宋体"/>
                      <w:color w:val="auto"/>
                      <w:szCs w:val="21"/>
                    </w:rPr>
                    <w:t>至少4名</w:t>
                  </w:r>
                  <w:bookmarkEnd w:id="5"/>
                  <w:r>
                    <w:rPr>
                      <w:rFonts w:hint="eastAsia" w:ascii="宋体" w:hAnsi="宋体" w:cs="宋体"/>
                      <w:color w:val="auto"/>
                      <w:szCs w:val="21"/>
                    </w:rPr>
                    <w:t>主讲老师，至少15名课程助教，</w:t>
                  </w:r>
                  <w:r>
                    <w:rPr>
                      <w:rFonts w:hint="eastAsia" w:ascii="宋体" w:hAnsi="宋体" w:cs="宋体"/>
                      <w:color w:val="000000"/>
                      <w:szCs w:val="21"/>
                    </w:rPr>
                    <w:t>并且可随时修改。</w:t>
                  </w:r>
                </w:p>
              </w:tc>
            </w:tr>
            <w:tr w14:paraId="0C1A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29E3149B">
                  <w:pPr>
                    <w:spacing w:line="288" w:lineRule="auto"/>
                    <w:jc w:val="center"/>
                    <w:rPr>
                      <w:rFonts w:hint="eastAsia" w:ascii="宋体" w:hAnsi="宋体" w:cs="宋体"/>
                      <w:color w:val="000000"/>
                      <w:szCs w:val="21"/>
                    </w:rPr>
                  </w:pPr>
                </w:p>
              </w:tc>
              <w:tc>
                <w:tcPr>
                  <w:tcW w:w="670" w:type="pct"/>
                  <w:vMerge w:val="continue"/>
                  <w:vAlign w:val="center"/>
                </w:tcPr>
                <w:p w14:paraId="3383BB37">
                  <w:pPr>
                    <w:spacing w:line="288" w:lineRule="auto"/>
                    <w:jc w:val="center"/>
                    <w:rPr>
                      <w:rFonts w:hint="eastAsia" w:ascii="宋体" w:hAnsi="宋体" w:cs="宋体"/>
                      <w:color w:val="000000"/>
                      <w:szCs w:val="21"/>
                    </w:rPr>
                  </w:pPr>
                </w:p>
              </w:tc>
              <w:tc>
                <w:tcPr>
                  <w:tcW w:w="3832" w:type="pct"/>
                </w:tcPr>
                <w:p w14:paraId="3370AA8C">
                  <w:pPr>
                    <w:spacing w:line="288" w:lineRule="auto"/>
                    <w:rPr>
                      <w:rFonts w:hint="eastAsia" w:ascii="宋体" w:hAnsi="宋体" w:cs="宋体"/>
                      <w:color w:val="000000"/>
                      <w:szCs w:val="21"/>
                    </w:rPr>
                  </w:pPr>
                  <w:r>
                    <w:rPr>
                      <w:rFonts w:hint="eastAsia" w:ascii="宋体" w:hAnsi="宋体" w:cs="宋体"/>
                      <w:color w:val="000000"/>
                      <w:szCs w:val="21"/>
                    </w:rPr>
                    <w:t>3.22、考试题库：支持添加试题分类，可自定义分类名称；支持在分类下添加或批量导入试题；支持单选、多选、判断题型；支持设置题面、难度、答案、分数等信息；试题添加后支持随时编辑、删除；支持筛选和搜索。</w:t>
                  </w:r>
                </w:p>
              </w:tc>
            </w:tr>
            <w:tr w14:paraId="1DD6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27B68C10">
                  <w:pPr>
                    <w:spacing w:line="288" w:lineRule="auto"/>
                    <w:jc w:val="center"/>
                    <w:rPr>
                      <w:rFonts w:hint="eastAsia" w:ascii="宋体" w:hAnsi="宋体" w:cs="宋体"/>
                      <w:color w:val="000000"/>
                      <w:szCs w:val="21"/>
                    </w:rPr>
                  </w:pPr>
                </w:p>
              </w:tc>
              <w:tc>
                <w:tcPr>
                  <w:tcW w:w="670" w:type="pct"/>
                  <w:vMerge w:val="continue"/>
                  <w:vAlign w:val="center"/>
                </w:tcPr>
                <w:p w14:paraId="0D8E0D4E">
                  <w:pPr>
                    <w:spacing w:line="288" w:lineRule="auto"/>
                    <w:jc w:val="center"/>
                    <w:rPr>
                      <w:rFonts w:hint="eastAsia" w:ascii="宋体" w:hAnsi="宋体" w:cs="宋体"/>
                      <w:color w:val="000000"/>
                      <w:szCs w:val="21"/>
                    </w:rPr>
                  </w:pPr>
                </w:p>
              </w:tc>
              <w:tc>
                <w:tcPr>
                  <w:tcW w:w="3832" w:type="pct"/>
                </w:tcPr>
                <w:p w14:paraId="6AAEDC3A">
                  <w:pPr>
                    <w:spacing w:line="288" w:lineRule="auto"/>
                    <w:jc w:val="left"/>
                    <w:rPr>
                      <w:rFonts w:hint="eastAsia" w:ascii="宋体" w:hAnsi="宋体" w:cs="宋体"/>
                      <w:color w:val="000000"/>
                      <w:szCs w:val="21"/>
                    </w:rPr>
                  </w:pPr>
                  <w:r>
                    <w:rPr>
                      <w:rFonts w:hint="eastAsia" w:ascii="宋体" w:hAnsi="宋体" w:cs="宋体"/>
                      <w:color w:val="000000"/>
                      <w:szCs w:val="21"/>
                    </w:rPr>
                    <w:t>3.23、考试策略：支持编辑考试科目，设置考试科目名称，在科目下设置考试策略；支持选择科目、选择题库、设置答题时间限制、及格标准；未发布的考试策略可随时编辑，考试策略发布后，可被全校教师引用。</w:t>
                  </w:r>
                </w:p>
              </w:tc>
            </w:tr>
            <w:tr w14:paraId="2E22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26A86A06">
                  <w:pPr>
                    <w:spacing w:line="288" w:lineRule="auto"/>
                    <w:jc w:val="center"/>
                    <w:rPr>
                      <w:rFonts w:hint="eastAsia" w:ascii="宋体" w:hAnsi="宋体" w:cs="宋体"/>
                      <w:color w:val="000000"/>
                      <w:szCs w:val="21"/>
                    </w:rPr>
                  </w:pPr>
                </w:p>
              </w:tc>
              <w:tc>
                <w:tcPr>
                  <w:tcW w:w="670" w:type="pct"/>
                  <w:vMerge w:val="continue"/>
                  <w:vAlign w:val="center"/>
                </w:tcPr>
                <w:p w14:paraId="5BB651E4">
                  <w:pPr>
                    <w:spacing w:line="288" w:lineRule="auto"/>
                    <w:jc w:val="center"/>
                    <w:rPr>
                      <w:rFonts w:hint="eastAsia" w:ascii="宋体" w:hAnsi="宋体" w:cs="宋体"/>
                      <w:color w:val="000000"/>
                      <w:szCs w:val="21"/>
                    </w:rPr>
                  </w:pPr>
                </w:p>
              </w:tc>
              <w:tc>
                <w:tcPr>
                  <w:tcW w:w="3832" w:type="pct"/>
                </w:tcPr>
                <w:p w14:paraId="5DBEF46A">
                  <w:pPr>
                    <w:spacing w:line="288" w:lineRule="auto"/>
                    <w:jc w:val="left"/>
                    <w:rPr>
                      <w:rFonts w:hint="eastAsia" w:ascii="宋体" w:hAnsi="宋体" w:cs="宋体"/>
                      <w:color w:val="000000"/>
                      <w:szCs w:val="21"/>
                    </w:rPr>
                  </w:pPr>
                  <w:r>
                    <w:rPr>
                      <w:rFonts w:hint="eastAsia" w:ascii="宋体" w:hAnsi="宋体" w:cs="宋体"/>
                      <w:color w:val="000000"/>
                      <w:szCs w:val="21"/>
                    </w:rPr>
                    <w:t>3.24、支持按照课程统计查看统计信息，展示信息有评分、开班数量、学习人数、平均成绩、项目数、资源数、任务数、工作应用数、资源分布及文档资源分布；可切换班级查看统计信息。</w:t>
                  </w:r>
                </w:p>
              </w:tc>
            </w:tr>
            <w:tr w14:paraId="67F5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7" w:type="pct"/>
                  <w:vMerge w:val="continue"/>
                  <w:vAlign w:val="center"/>
                </w:tcPr>
                <w:p w14:paraId="3309693F">
                  <w:pPr>
                    <w:spacing w:line="288" w:lineRule="auto"/>
                    <w:jc w:val="center"/>
                    <w:rPr>
                      <w:rFonts w:hint="eastAsia" w:ascii="宋体" w:hAnsi="宋体" w:cs="宋体"/>
                      <w:color w:val="000000"/>
                      <w:szCs w:val="21"/>
                    </w:rPr>
                  </w:pPr>
                </w:p>
              </w:tc>
              <w:tc>
                <w:tcPr>
                  <w:tcW w:w="670" w:type="pct"/>
                  <w:vMerge w:val="continue"/>
                  <w:vAlign w:val="center"/>
                </w:tcPr>
                <w:p w14:paraId="712A545F">
                  <w:pPr>
                    <w:spacing w:line="288" w:lineRule="auto"/>
                    <w:jc w:val="center"/>
                    <w:rPr>
                      <w:rFonts w:hint="eastAsia" w:ascii="宋体" w:hAnsi="宋体" w:cs="宋体"/>
                      <w:color w:val="000000"/>
                      <w:szCs w:val="21"/>
                    </w:rPr>
                  </w:pPr>
                </w:p>
              </w:tc>
              <w:tc>
                <w:tcPr>
                  <w:tcW w:w="3832" w:type="pct"/>
                </w:tcPr>
                <w:p w14:paraId="66D95FDB">
                  <w:pPr>
                    <w:spacing w:line="288" w:lineRule="auto"/>
                    <w:rPr>
                      <w:rFonts w:hint="eastAsia" w:ascii="宋体" w:hAnsi="宋体" w:cs="宋体"/>
                      <w:color w:val="000000"/>
                      <w:szCs w:val="21"/>
                    </w:rPr>
                  </w:pPr>
                  <w:r>
                    <w:rPr>
                      <w:rFonts w:hint="eastAsia" w:ascii="宋体" w:hAnsi="宋体" w:cs="宋体"/>
                      <w:color w:val="000000"/>
                      <w:szCs w:val="21"/>
                    </w:rPr>
                    <w:t>3.25、支持按照教学班查看学情统计，展示信息有考勤率、作业提交率、平均成绩、测试正确率、课程时长、学习态度、疑点难点、团队表现、能力成长等统计信息；可切换教学班查看统计信息。</w:t>
                  </w:r>
                </w:p>
              </w:tc>
            </w:tr>
            <w:tr w14:paraId="5044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4D7AEFC4">
                  <w:pPr>
                    <w:spacing w:line="288" w:lineRule="auto"/>
                    <w:jc w:val="center"/>
                    <w:rPr>
                      <w:rFonts w:hint="eastAsia" w:ascii="宋体" w:hAnsi="宋体" w:cs="宋体"/>
                      <w:color w:val="000000"/>
                      <w:szCs w:val="21"/>
                    </w:rPr>
                  </w:pPr>
                </w:p>
              </w:tc>
              <w:tc>
                <w:tcPr>
                  <w:tcW w:w="670" w:type="pct"/>
                  <w:vMerge w:val="continue"/>
                  <w:vAlign w:val="center"/>
                </w:tcPr>
                <w:p w14:paraId="44BB4407">
                  <w:pPr>
                    <w:spacing w:line="288" w:lineRule="auto"/>
                    <w:jc w:val="center"/>
                    <w:rPr>
                      <w:rFonts w:hint="eastAsia" w:ascii="宋体" w:hAnsi="宋体" w:cs="宋体"/>
                      <w:color w:val="000000"/>
                      <w:szCs w:val="21"/>
                    </w:rPr>
                  </w:pPr>
                </w:p>
              </w:tc>
              <w:tc>
                <w:tcPr>
                  <w:tcW w:w="3832" w:type="pct"/>
                </w:tcPr>
                <w:p w14:paraId="336CB393">
                  <w:pPr>
                    <w:spacing w:line="288" w:lineRule="auto"/>
                    <w:rPr>
                      <w:rFonts w:hint="eastAsia" w:ascii="宋体" w:hAnsi="宋体" w:cs="宋体"/>
                      <w:b/>
                      <w:bCs/>
                      <w:color w:val="000000"/>
                      <w:szCs w:val="21"/>
                    </w:rPr>
                  </w:pPr>
                  <w:r>
                    <w:rPr>
                      <w:rFonts w:hint="eastAsia" w:ascii="宋体" w:hAnsi="宋体" w:cs="宋体"/>
                      <w:b/>
                      <w:bCs/>
                      <w:color w:val="000000"/>
                      <w:szCs w:val="21"/>
                    </w:rPr>
                    <w:t>四、学生管理系统功能指标</w:t>
                  </w:r>
                </w:p>
                <w:p w14:paraId="43C1D3D4">
                  <w:pPr>
                    <w:spacing w:line="288" w:lineRule="auto"/>
                    <w:rPr>
                      <w:rFonts w:hint="eastAsia" w:ascii="宋体" w:hAnsi="宋体" w:cs="宋体"/>
                      <w:color w:val="000000"/>
                      <w:szCs w:val="21"/>
                    </w:rPr>
                  </w:pPr>
                  <w:r>
                    <w:rPr>
                      <w:rFonts w:hint="eastAsia" w:ascii="宋体" w:hAnsi="宋体" w:cs="宋体"/>
                      <w:color w:val="000000"/>
                      <w:szCs w:val="21"/>
                    </w:rPr>
                    <w:t>4.1、工作台：支持学生加入已配置能力模型的课程后，展示学生当前课程相关的能力掌握情况与能力进阶情况；智能预测学生的能力情况与岗位能力要求的匹配度；支持学生切换不同岗位查看岗位匹配度。</w:t>
                  </w:r>
                </w:p>
              </w:tc>
            </w:tr>
            <w:tr w14:paraId="410E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275AC781">
                  <w:pPr>
                    <w:spacing w:line="288" w:lineRule="auto"/>
                    <w:jc w:val="center"/>
                    <w:rPr>
                      <w:rFonts w:hint="eastAsia" w:ascii="宋体" w:hAnsi="宋体" w:cs="宋体"/>
                      <w:color w:val="000000"/>
                      <w:szCs w:val="21"/>
                    </w:rPr>
                  </w:pPr>
                </w:p>
              </w:tc>
              <w:tc>
                <w:tcPr>
                  <w:tcW w:w="670" w:type="pct"/>
                  <w:vMerge w:val="continue"/>
                  <w:vAlign w:val="center"/>
                </w:tcPr>
                <w:p w14:paraId="59DB1E5E">
                  <w:pPr>
                    <w:spacing w:line="288" w:lineRule="auto"/>
                    <w:jc w:val="center"/>
                    <w:rPr>
                      <w:rFonts w:hint="eastAsia" w:ascii="宋体" w:hAnsi="宋体" w:cs="宋体"/>
                      <w:color w:val="000000"/>
                      <w:szCs w:val="21"/>
                    </w:rPr>
                  </w:pPr>
                </w:p>
              </w:tc>
              <w:tc>
                <w:tcPr>
                  <w:tcW w:w="3832" w:type="pct"/>
                </w:tcPr>
                <w:p w14:paraId="74B04B1B">
                  <w:pPr>
                    <w:spacing w:line="288" w:lineRule="auto"/>
                    <w:rPr>
                      <w:rFonts w:hint="eastAsia" w:ascii="宋体" w:hAnsi="宋体" w:cs="宋体"/>
                      <w:color w:val="000000"/>
                      <w:szCs w:val="21"/>
                    </w:rPr>
                  </w:pPr>
                  <w:r>
                    <w:rPr>
                      <w:rFonts w:hint="eastAsia" w:ascii="宋体" w:hAnsi="宋体" w:cs="宋体"/>
                      <w:color w:val="000000"/>
                      <w:szCs w:val="21"/>
                    </w:rPr>
                    <w:t>4.2、工作台：支持根据学生的学习进度及学习情况智能推荐项目，展示项目的名称、难度等信息，支持学生点击项目卡片进入项目进行学习。</w:t>
                  </w:r>
                </w:p>
              </w:tc>
            </w:tr>
            <w:tr w14:paraId="47CA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64E35992">
                  <w:pPr>
                    <w:spacing w:line="288" w:lineRule="auto"/>
                    <w:jc w:val="center"/>
                    <w:rPr>
                      <w:rFonts w:hint="eastAsia" w:ascii="宋体" w:hAnsi="宋体" w:cs="宋体"/>
                      <w:color w:val="000000"/>
                      <w:szCs w:val="21"/>
                    </w:rPr>
                  </w:pPr>
                </w:p>
              </w:tc>
              <w:tc>
                <w:tcPr>
                  <w:tcW w:w="670" w:type="pct"/>
                  <w:vMerge w:val="continue"/>
                  <w:vAlign w:val="center"/>
                </w:tcPr>
                <w:p w14:paraId="69319BB8">
                  <w:pPr>
                    <w:spacing w:line="288" w:lineRule="auto"/>
                    <w:jc w:val="center"/>
                    <w:rPr>
                      <w:rFonts w:hint="eastAsia" w:ascii="宋体" w:hAnsi="宋体" w:cs="宋体"/>
                      <w:color w:val="000000"/>
                      <w:szCs w:val="21"/>
                    </w:rPr>
                  </w:pPr>
                </w:p>
              </w:tc>
              <w:tc>
                <w:tcPr>
                  <w:tcW w:w="3832" w:type="pct"/>
                </w:tcPr>
                <w:p w14:paraId="520CDE8C">
                  <w:pPr>
                    <w:spacing w:line="288" w:lineRule="auto"/>
                    <w:rPr>
                      <w:rFonts w:hint="eastAsia" w:ascii="宋体" w:hAnsi="宋体" w:cs="宋体"/>
                      <w:color w:val="000000"/>
                      <w:szCs w:val="21"/>
                    </w:rPr>
                  </w:pPr>
                  <w:r>
                    <w:rPr>
                      <w:rFonts w:hint="eastAsia" w:ascii="宋体" w:hAnsi="宋体" w:cs="宋体"/>
                      <w:color w:val="000000"/>
                      <w:szCs w:val="21"/>
                    </w:rPr>
                    <w:t>4.3、工作台：支持根据学生已学课程自动生成学生个人的知识图谱。</w:t>
                  </w:r>
                </w:p>
              </w:tc>
            </w:tr>
            <w:tr w14:paraId="5A6E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36D5EBF7">
                  <w:pPr>
                    <w:spacing w:line="288" w:lineRule="auto"/>
                    <w:jc w:val="center"/>
                    <w:rPr>
                      <w:rFonts w:hint="eastAsia" w:ascii="宋体" w:hAnsi="宋体" w:cs="宋体"/>
                      <w:color w:val="000000"/>
                      <w:szCs w:val="21"/>
                    </w:rPr>
                  </w:pPr>
                </w:p>
              </w:tc>
              <w:tc>
                <w:tcPr>
                  <w:tcW w:w="670" w:type="pct"/>
                  <w:vMerge w:val="continue"/>
                  <w:vAlign w:val="center"/>
                </w:tcPr>
                <w:p w14:paraId="31C16BA9">
                  <w:pPr>
                    <w:spacing w:line="288" w:lineRule="auto"/>
                    <w:jc w:val="center"/>
                    <w:rPr>
                      <w:rFonts w:hint="eastAsia" w:ascii="宋体" w:hAnsi="宋体" w:cs="宋体"/>
                      <w:color w:val="000000"/>
                      <w:szCs w:val="21"/>
                    </w:rPr>
                  </w:pPr>
                </w:p>
              </w:tc>
              <w:tc>
                <w:tcPr>
                  <w:tcW w:w="3832" w:type="pct"/>
                </w:tcPr>
                <w:p w14:paraId="36E9D11E">
                  <w:pPr>
                    <w:spacing w:line="288" w:lineRule="auto"/>
                    <w:rPr>
                      <w:rFonts w:hint="eastAsia" w:ascii="宋体" w:hAnsi="宋体" w:cs="宋体"/>
                      <w:szCs w:val="21"/>
                    </w:rPr>
                  </w:pPr>
                  <w:r>
                    <w:rPr>
                      <w:rFonts w:hint="eastAsia" w:ascii="宋体" w:hAnsi="宋体" w:cs="宋体"/>
                      <w:bCs/>
                      <w:szCs w:val="21"/>
                    </w:rPr>
                    <w:t>4.4、VR任务：支持学生通过VR设备或在电脑上查看VR资源完成复杂内容的学习，系统自动甄别，并获取成绩。</w:t>
                  </w:r>
                </w:p>
              </w:tc>
            </w:tr>
            <w:tr w14:paraId="44A9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65360167">
                  <w:pPr>
                    <w:spacing w:line="288" w:lineRule="auto"/>
                    <w:jc w:val="center"/>
                    <w:rPr>
                      <w:rFonts w:hint="eastAsia" w:ascii="宋体" w:hAnsi="宋体" w:cs="宋体"/>
                      <w:color w:val="000000"/>
                      <w:szCs w:val="21"/>
                    </w:rPr>
                  </w:pPr>
                </w:p>
              </w:tc>
              <w:tc>
                <w:tcPr>
                  <w:tcW w:w="670" w:type="pct"/>
                  <w:vMerge w:val="continue"/>
                  <w:vAlign w:val="center"/>
                </w:tcPr>
                <w:p w14:paraId="28D441E2">
                  <w:pPr>
                    <w:spacing w:line="288" w:lineRule="auto"/>
                    <w:jc w:val="center"/>
                    <w:rPr>
                      <w:rFonts w:hint="eastAsia" w:ascii="宋体" w:hAnsi="宋体" w:cs="宋体"/>
                      <w:color w:val="000000"/>
                      <w:szCs w:val="21"/>
                    </w:rPr>
                  </w:pPr>
                </w:p>
              </w:tc>
              <w:tc>
                <w:tcPr>
                  <w:tcW w:w="3832" w:type="pct"/>
                </w:tcPr>
                <w:p w14:paraId="5D240717">
                  <w:pPr>
                    <w:spacing w:line="288" w:lineRule="auto"/>
                    <w:rPr>
                      <w:rFonts w:hint="eastAsia" w:ascii="宋体" w:hAnsi="宋体" w:cs="宋体"/>
                      <w:color w:val="000000"/>
                      <w:szCs w:val="21"/>
                    </w:rPr>
                  </w:pPr>
                  <w:r>
                    <w:rPr>
                      <w:rFonts w:hint="eastAsia" w:ascii="宋体" w:hAnsi="宋体" w:cs="宋体"/>
                      <w:color w:val="000000"/>
                      <w:szCs w:val="21"/>
                    </w:rPr>
                    <w:t>4.5、签到：支持教学班内签到，学生输入签到口令，响应教师发起的签到进行考勤。</w:t>
                  </w:r>
                </w:p>
              </w:tc>
            </w:tr>
            <w:tr w14:paraId="2345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6CD39A8F">
                  <w:pPr>
                    <w:spacing w:line="288" w:lineRule="auto"/>
                    <w:jc w:val="center"/>
                    <w:rPr>
                      <w:rFonts w:hint="eastAsia" w:ascii="宋体" w:hAnsi="宋体" w:cs="宋体"/>
                      <w:color w:val="000000"/>
                      <w:szCs w:val="21"/>
                    </w:rPr>
                  </w:pPr>
                </w:p>
              </w:tc>
              <w:tc>
                <w:tcPr>
                  <w:tcW w:w="670" w:type="pct"/>
                  <w:vMerge w:val="continue"/>
                  <w:vAlign w:val="center"/>
                </w:tcPr>
                <w:p w14:paraId="7B424DA3">
                  <w:pPr>
                    <w:spacing w:line="288" w:lineRule="auto"/>
                    <w:jc w:val="center"/>
                    <w:rPr>
                      <w:rFonts w:hint="eastAsia" w:ascii="宋体" w:hAnsi="宋体" w:cs="宋体"/>
                      <w:color w:val="000000"/>
                      <w:szCs w:val="21"/>
                    </w:rPr>
                  </w:pPr>
                </w:p>
              </w:tc>
              <w:tc>
                <w:tcPr>
                  <w:tcW w:w="3832" w:type="pct"/>
                </w:tcPr>
                <w:p w14:paraId="53ECC5C1">
                  <w:pPr>
                    <w:spacing w:line="288" w:lineRule="auto"/>
                    <w:rPr>
                      <w:rFonts w:hint="eastAsia" w:ascii="宋体" w:hAnsi="宋体" w:cs="宋体"/>
                      <w:color w:val="000000"/>
                      <w:szCs w:val="21"/>
                    </w:rPr>
                  </w:pPr>
                  <w:r>
                    <w:rPr>
                      <w:rFonts w:hint="eastAsia" w:ascii="宋体" w:hAnsi="宋体" w:cs="宋体"/>
                      <w:color w:val="000000"/>
                      <w:szCs w:val="21"/>
                    </w:rPr>
                    <w:t>4.6、投票：支持学生查看教学班中发起的投票，并在规定时间内完成投票，查看投票结果。</w:t>
                  </w:r>
                </w:p>
              </w:tc>
            </w:tr>
            <w:tr w14:paraId="40C8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2CB78901">
                  <w:pPr>
                    <w:spacing w:line="288" w:lineRule="auto"/>
                    <w:jc w:val="center"/>
                    <w:rPr>
                      <w:rFonts w:hint="eastAsia" w:ascii="宋体" w:hAnsi="宋体" w:cs="宋体"/>
                      <w:color w:val="000000"/>
                      <w:szCs w:val="21"/>
                    </w:rPr>
                  </w:pPr>
                </w:p>
              </w:tc>
              <w:tc>
                <w:tcPr>
                  <w:tcW w:w="670" w:type="pct"/>
                  <w:vMerge w:val="continue"/>
                  <w:vAlign w:val="center"/>
                </w:tcPr>
                <w:p w14:paraId="1B23F71B">
                  <w:pPr>
                    <w:spacing w:line="288" w:lineRule="auto"/>
                    <w:jc w:val="center"/>
                    <w:rPr>
                      <w:rFonts w:hint="eastAsia" w:ascii="宋体" w:hAnsi="宋体" w:cs="宋体"/>
                      <w:color w:val="000000"/>
                      <w:szCs w:val="21"/>
                    </w:rPr>
                  </w:pPr>
                </w:p>
              </w:tc>
              <w:tc>
                <w:tcPr>
                  <w:tcW w:w="3832" w:type="pct"/>
                </w:tcPr>
                <w:p w14:paraId="7DA81BF6">
                  <w:pPr>
                    <w:spacing w:line="288" w:lineRule="auto"/>
                    <w:rPr>
                      <w:rFonts w:hint="eastAsia" w:ascii="宋体" w:hAnsi="宋体" w:cs="宋体"/>
                      <w:color w:val="000000"/>
                      <w:szCs w:val="21"/>
                    </w:rPr>
                  </w:pPr>
                  <w:r>
                    <w:rPr>
                      <w:rFonts w:hint="eastAsia" w:ascii="宋体" w:hAnsi="宋体" w:cs="宋体"/>
                      <w:color w:val="000000"/>
                      <w:szCs w:val="21"/>
                    </w:rPr>
                    <w:t>4.7、弹幕：支持学生在教师发起弹幕后发射弹幕，支持查看班级其他人发射的弹幕。</w:t>
                  </w:r>
                </w:p>
              </w:tc>
            </w:tr>
            <w:tr w14:paraId="09A7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4299728F">
                  <w:pPr>
                    <w:spacing w:line="288" w:lineRule="auto"/>
                    <w:jc w:val="center"/>
                    <w:rPr>
                      <w:rFonts w:hint="eastAsia" w:ascii="宋体" w:hAnsi="宋体" w:cs="宋体"/>
                      <w:color w:val="000000"/>
                      <w:szCs w:val="21"/>
                    </w:rPr>
                  </w:pPr>
                </w:p>
              </w:tc>
              <w:tc>
                <w:tcPr>
                  <w:tcW w:w="670" w:type="pct"/>
                  <w:vMerge w:val="continue"/>
                  <w:vAlign w:val="center"/>
                </w:tcPr>
                <w:p w14:paraId="54EB1B68">
                  <w:pPr>
                    <w:spacing w:line="288" w:lineRule="auto"/>
                    <w:jc w:val="center"/>
                    <w:rPr>
                      <w:rFonts w:hint="eastAsia" w:ascii="宋体" w:hAnsi="宋体" w:cs="宋体"/>
                      <w:color w:val="000000"/>
                      <w:szCs w:val="21"/>
                    </w:rPr>
                  </w:pPr>
                </w:p>
              </w:tc>
              <w:tc>
                <w:tcPr>
                  <w:tcW w:w="3832" w:type="pct"/>
                </w:tcPr>
                <w:p w14:paraId="6F3290EB">
                  <w:pPr>
                    <w:spacing w:line="288" w:lineRule="auto"/>
                    <w:rPr>
                      <w:rFonts w:hint="eastAsia" w:ascii="宋体" w:hAnsi="宋体" w:cs="宋体"/>
                      <w:color w:val="000000"/>
                      <w:szCs w:val="21"/>
                    </w:rPr>
                  </w:pPr>
                  <w:r>
                    <w:rPr>
                      <w:rFonts w:hint="eastAsia" w:ascii="宋体" w:hAnsi="宋体" w:cs="宋体"/>
                      <w:color w:val="000000"/>
                      <w:szCs w:val="21"/>
                    </w:rPr>
                    <w:t>4.8、总结：支持学生上传和提交个人总结，依据教师要求，组长还可上传和提交团队总结，提交后支持查看教师评分情况。</w:t>
                  </w:r>
                </w:p>
              </w:tc>
            </w:tr>
            <w:tr w14:paraId="5C9B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40CEC3BF">
                  <w:pPr>
                    <w:spacing w:line="288" w:lineRule="auto"/>
                    <w:jc w:val="center"/>
                    <w:rPr>
                      <w:rFonts w:hint="eastAsia" w:ascii="宋体" w:hAnsi="宋体" w:cs="宋体"/>
                      <w:color w:val="000000"/>
                      <w:szCs w:val="21"/>
                    </w:rPr>
                  </w:pPr>
                </w:p>
              </w:tc>
              <w:tc>
                <w:tcPr>
                  <w:tcW w:w="670" w:type="pct"/>
                  <w:vMerge w:val="continue"/>
                  <w:vAlign w:val="center"/>
                </w:tcPr>
                <w:p w14:paraId="65BA75AF">
                  <w:pPr>
                    <w:spacing w:line="288" w:lineRule="auto"/>
                    <w:jc w:val="center"/>
                    <w:rPr>
                      <w:rFonts w:hint="eastAsia" w:ascii="宋体" w:hAnsi="宋体" w:cs="宋体"/>
                      <w:color w:val="000000"/>
                      <w:szCs w:val="21"/>
                    </w:rPr>
                  </w:pPr>
                </w:p>
              </w:tc>
              <w:tc>
                <w:tcPr>
                  <w:tcW w:w="3832" w:type="pct"/>
                </w:tcPr>
                <w:p w14:paraId="60138111">
                  <w:pPr>
                    <w:spacing w:line="288" w:lineRule="auto"/>
                    <w:rPr>
                      <w:rFonts w:hint="eastAsia" w:ascii="宋体" w:hAnsi="宋体" w:cs="宋体"/>
                      <w:color w:val="000000"/>
                      <w:szCs w:val="21"/>
                    </w:rPr>
                  </w:pPr>
                  <w:r>
                    <w:rPr>
                      <w:rFonts w:hint="eastAsia" w:ascii="宋体" w:hAnsi="宋体" w:cs="宋体"/>
                      <w:color w:val="000000"/>
                      <w:szCs w:val="21"/>
                    </w:rPr>
                    <w:t>4.9、讨论：系统预置不少于6种表情类型，帮助学生充分表达。系统预置敏感词检测，自动屏蔽部分敏感词，以*显示。</w:t>
                  </w:r>
                </w:p>
              </w:tc>
            </w:tr>
            <w:tr w14:paraId="5C6A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5979725A">
                  <w:pPr>
                    <w:spacing w:line="288" w:lineRule="auto"/>
                    <w:jc w:val="center"/>
                    <w:rPr>
                      <w:rFonts w:hint="eastAsia" w:ascii="宋体" w:hAnsi="宋体" w:cs="宋体"/>
                      <w:color w:val="000000"/>
                      <w:szCs w:val="21"/>
                    </w:rPr>
                  </w:pPr>
                </w:p>
              </w:tc>
              <w:tc>
                <w:tcPr>
                  <w:tcW w:w="670" w:type="pct"/>
                  <w:vMerge w:val="continue"/>
                  <w:vAlign w:val="center"/>
                </w:tcPr>
                <w:p w14:paraId="3B7C5B03">
                  <w:pPr>
                    <w:spacing w:line="288" w:lineRule="auto"/>
                    <w:jc w:val="center"/>
                    <w:rPr>
                      <w:rFonts w:hint="eastAsia" w:ascii="宋体" w:hAnsi="宋体" w:cs="宋体"/>
                      <w:color w:val="000000"/>
                      <w:szCs w:val="21"/>
                    </w:rPr>
                  </w:pPr>
                </w:p>
              </w:tc>
              <w:tc>
                <w:tcPr>
                  <w:tcW w:w="3832" w:type="pct"/>
                </w:tcPr>
                <w:p w14:paraId="1F0E776F">
                  <w:pPr>
                    <w:spacing w:line="288" w:lineRule="auto"/>
                    <w:rPr>
                      <w:rFonts w:hint="eastAsia" w:ascii="宋体" w:hAnsi="宋体" w:cs="宋体"/>
                      <w:color w:val="000000"/>
                      <w:szCs w:val="21"/>
                    </w:rPr>
                  </w:pPr>
                  <w:r>
                    <w:rPr>
                      <w:rFonts w:hint="eastAsia" w:ascii="宋体" w:hAnsi="宋体" w:cs="宋体"/>
                      <w:color w:val="000000"/>
                      <w:szCs w:val="21"/>
                    </w:rPr>
                    <w:t>4.10、问答：支持学生查看班级全部问答，并通过项目名称/@我的/我发布的/我回复的等条件进行筛选。支持学生搜索提问。支持学生查看教师置顶的优秀问答。支持学生删除自己发布或回复的内容。</w:t>
                  </w:r>
                </w:p>
              </w:tc>
            </w:tr>
            <w:tr w14:paraId="4CBB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7" w:type="pct"/>
                  <w:vMerge w:val="continue"/>
                  <w:vAlign w:val="center"/>
                </w:tcPr>
                <w:p w14:paraId="61CD68CB">
                  <w:pPr>
                    <w:spacing w:line="288" w:lineRule="auto"/>
                    <w:jc w:val="center"/>
                    <w:rPr>
                      <w:rFonts w:hint="eastAsia" w:ascii="宋体" w:hAnsi="宋体" w:cs="宋体"/>
                      <w:color w:val="000000"/>
                      <w:szCs w:val="21"/>
                    </w:rPr>
                  </w:pPr>
                </w:p>
              </w:tc>
              <w:tc>
                <w:tcPr>
                  <w:tcW w:w="670" w:type="pct"/>
                  <w:vMerge w:val="continue"/>
                  <w:vAlign w:val="center"/>
                </w:tcPr>
                <w:p w14:paraId="6AD78ED6">
                  <w:pPr>
                    <w:spacing w:line="288" w:lineRule="auto"/>
                    <w:jc w:val="center"/>
                    <w:rPr>
                      <w:rFonts w:hint="eastAsia" w:ascii="宋体" w:hAnsi="宋体" w:cs="宋体"/>
                      <w:color w:val="000000"/>
                      <w:szCs w:val="21"/>
                    </w:rPr>
                  </w:pPr>
                </w:p>
              </w:tc>
              <w:tc>
                <w:tcPr>
                  <w:tcW w:w="3832" w:type="pct"/>
                </w:tcPr>
                <w:p w14:paraId="5C6A8626">
                  <w:pPr>
                    <w:spacing w:line="288" w:lineRule="auto"/>
                    <w:rPr>
                      <w:rFonts w:hint="eastAsia" w:ascii="宋体" w:hAnsi="宋体" w:cs="宋体"/>
                      <w:color w:val="000000"/>
                      <w:szCs w:val="21"/>
                    </w:rPr>
                  </w:pPr>
                  <w:r>
                    <w:rPr>
                      <w:rFonts w:hint="eastAsia" w:ascii="宋体" w:hAnsi="宋体" w:cs="宋体"/>
                      <w:color w:val="000000"/>
                      <w:szCs w:val="21"/>
                    </w:rPr>
                    <w:t>4.11、能力报告：依据完成项目记录，展示学生个人的能力成长、能力排行情况。包括：在当前教学班中，学生个人的能力成长值，学生不同的工作职责下的职业能力成长情况，不同项目下的工作胜任力完成情况，工作胜任力得分情况，以及工作胜任力掌握情况（热度）；支持下载能力报告。</w:t>
                  </w:r>
                </w:p>
              </w:tc>
            </w:tr>
            <w:tr w14:paraId="246C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restart"/>
                  <w:vAlign w:val="center"/>
                </w:tcPr>
                <w:p w14:paraId="780A858A">
                  <w:pPr>
                    <w:spacing w:line="288" w:lineRule="auto"/>
                    <w:jc w:val="center"/>
                    <w:rPr>
                      <w:rFonts w:hint="eastAsia" w:ascii="宋体" w:hAnsi="宋体" w:cs="宋体"/>
                      <w:color w:val="000000"/>
                      <w:szCs w:val="21"/>
                    </w:rPr>
                  </w:pPr>
                  <w:r>
                    <w:rPr>
                      <w:rFonts w:hint="eastAsia" w:ascii="宋体" w:hAnsi="宋体" w:cs="宋体"/>
                      <w:color w:val="000000"/>
                      <w:szCs w:val="21"/>
                    </w:rPr>
                    <w:t>2</w:t>
                  </w:r>
                </w:p>
              </w:tc>
              <w:tc>
                <w:tcPr>
                  <w:tcW w:w="670" w:type="pct"/>
                  <w:vMerge w:val="restart"/>
                  <w:vAlign w:val="center"/>
                </w:tcPr>
                <w:p w14:paraId="4799A956">
                  <w:pPr>
                    <w:spacing w:line="288" w:lineRule="auto"/>
                    <w:jc w:val="center"/>
                    <w:rPr>
                      <w:rFonts w:hint="eastAsia" w:ascii="宋体" w:hAnsi="宋体" w:cs="宋体"/>
                      <w:color w:val="000000"/>
                      <w:szCs w:val="21"/>
                    </w:rPr>
                  </w:pPr>
                  <w:bookmarkStart w:id="6" w:name="OLE_LINK15"/>
                  <w:bookmarkStart w:id="7" w:name="OLE_LINK16"/>
                  <w:r>
                    <w:rPr>
                      <w:rFonts w:hint="eastAsia" w:ascii="宋体" w:hAnsi="宋体" w:cs="宋体"/>
                      <w:bCs/>
                      <w:szCs w:val="21"/>
                    </w:rPr>
                    <w:t>企业实务流程设计教学软件</w:t>
                  </w:r>
                  <w:bookmarkEnd w:id="6"/>
                  <w:bookmarkEnd w:id="7"/>
                </w:p>
              </w:tc>
              <w:tc>
                <w:tcPr>
                  <w:tcW w:w="3832" w:type="pct"/>
                </w:tcPr>
                <w:p w14:paraId="663B528A">
                  <w:pPr>
                    <w:spacing w:line="288" w:lineRule="auto"/>
                    <w:rPr>
                      <w:rFonts w:hint="eastAsia" w:ascii="宋体" w:hAnsi="宋体" w:cs="宋体"/>
                      <w:b/>
                      <w:color w:val="000000"/>
                      <w:szCs w:val="21"/>
                    </w:rPr>
                  </w:pPr>
                  <w:r>
                    <w:rPr>
                      <w:rFonts w:hint="eastAsia" w:ascii="宋体" w:hAnsi="宋体" w:cs="宋体"/>
                      <w:b/>
                      <w:color w:val="000000"/>
                      <w:szCs w:val="21"/>
                    </w:rPr>
                    <w:t>一、软件平台功能指标</w:t>
                  </w:r>
                </w:p>
                <w:p w14:paraId="40A6E35D">
                  <w:pPr>
                    <w:pStyle w:val="21"/>
                    <w:widowControl/>
                    <w:spacing w:line="288" w:lineRule="auto"/>
                    <w:rPr>
                      <w:rFonts w:hint="eastAsia" w:ascii="宋体" w:hAnsi="宋体" w:cs="宋体"/>
                      <w:color w:val="000000"/>
                      <w:szCs w:val="21"/>
                    </w:rPr>
                  </w:pPr>
                  <w:r>
                    <w:rPr>
                      <w:rFonts w:hint="eastAsia" w:ascii="宋体" w:hAnsi="宋体" w:cs="宋体"/>
                      <w:color w:val="000000"/>
                      <w:szCs w:val="21"/>
                    </w:rPr>
                    <w:t>1.1、可同时</w:t>
                  </w:r>
                  <w:r>
                    <w:rPr>
                      <w:rFonts w:hint="eastAsia" w:ascii="宋体" w:hAnsi="宋体" w:cs="宋体"/>
                      <w:color w:val="auto"/>
                      <w:szCs w:val="21"/>
                    </w:rPr>
                    <w:t>满足最多120个学生同</w:t>
                  </w:r>
                  <w:r>
                    <w:rPr>
                      <w:rFonts w:hint="eastAsia" w:ascii="宋体" w:hAnsi="宋体" w:cs="宋体"/>
                      <w:color w:val="000000"/>
                      <w:szCs w:val="21"/>
                    </w:rPr>
                    <w:t>时开课</w:t>
                  </w:r>
                </w:p>
              </w:tc>
            </w:tr>
            <w:tr w14:paraId="19CA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5AB15A15">
                  <w:pPr>
                    <w:spacing w:line="288" w:lineRule="auto"/>
                    <w:jc w:val="center"/>
                    <w:rPr>
                      <w:rFonts w:hint="eastAsia" w:ascii="宋体" w:hAnsi="宋体" w:cs="宋体"/>
                      <w:color w:val="000000"/>
                      <w:szCs w:val="21"/>
                    </w:rPr>
                  </w:pPr>
                </w:p>
              </w:tc>
              <w:tc>
                <w:tcPr>
                  <w:tcW w:w="670" w:type="pct"/>
                  <w:vMerge w:val="continue"/>
                </w:tcPr>
                <w:p w14:paraId="7BC49C47">
                  <w:pPr>
                    <w:spacing w:line="288" w:lineRule="auto"/>
                    <w:rPr>
                      <w:rFonts w:hint="eastAsia" w:ascii="宋体" w:hAnsi="宋体" w:cs="宋体"/>
                      <w:color w:val="000000"/>
                      <w:szCs w:val="21"/>
                    </w:rPr>
                  </w:pPr>
                </w:p>
              </w:tc>
              <w:tc>
                <w:tcPr>
                  <w:tcW w:w="3832" w:type="pct"/>
                </w:tcPr>
                <w:p w14:paraId="7159643C">
                  <w:pPr>
                    <w:spacing w:line="288" w:lineRule="auto"/>
                    <w:jc w:val="left"/>
                    <w:rPr>
                      <w:rFonts w:hint="eastAsia" w:ascii="宋体" w:hAnsi="宋体" w:cs="宋体"/>
                      <w:color w:val="000000"/>
                      <w:szCs w:val="21"/>
                    </w:rPr>
                  </w:pPr>
                  <w:r>
                    <w:rPr>
                      <w:rFonts w:hint="eastAsia" w:ascii="宋体" w:hAnsi="宋体" w:cs="宋体"/>
                      <w:color w:val="000000"/>
                      <w:szCs w:val="21"/>
                    </w:rPr>
                    <w:t>1.2、课程软件包含：企业实务流程设计系统概述、数字化建模、企业实务流程设计系统设计与应用和企业实务流程设计系统安全设计四个模块。</w:t>
                  </w:r>
                </w:p>
              </w:tc>
            </w:tr>
            <w:tr w14:paraId="28E0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4F77D38">
                  <w:pPr>
                    <w:spacing w:line="288" w:lineRule="auto"/>
                    <w:jc w:val="center"/>
                    <w:rPr>
                      <w:rFonts w:hint="eastAsia" w:ascii="宋体" w:hAnsi="宋体" w:cs="宋体"/>
                      <w:color w:val="000000"/>
                      <w:szCs w:val="21"/>
                    </w:rPr>
                  </w:pPr>
                </w:p>
              </w:tc>
              <w:tc>
                <w:tcPr>
                  <w:tcW w:w="670" w:type="pct"/>
                  <w:vMerge w:val="continue"/>
                </w:tcPr>
                <w:p w14:paraId="3CEB404B">
                  <w:pPr>
                    <w:spacing w:line="288" w:lineRule="auto"/>
                    <w:rPr>
                      <w:rFonts w:hint="eastAsia" w:ascii="宋体" w:hAnsi="宋体" w:cs="宋体"/>
                      <w:color w:val="000000"/>
                      <w:szCs w:val="21"/>
                    </w:rPr>
                  </w:pPr>
                </w:p>
              </w:tc>
              <w:tc>
                <w:tcPr>
                  <w:tcW w:w="3832" w:type="pct"/>
                </w:tcPr>
                <w:p w14:paraId="62130320">
                  <w:pPr>
                    <w:spacing w:line="288" w:lineRule="auto"/>
                    <w:jc w:val="left"/>
                    <w:rPr>
                      <w:rFonts w:hint="eastAsia" w:ascii="宋体" w:hAnsi="宋体" w:cs="宋体"/>
                      <w:color w:val="000000"/>
                      <w:szCs w:val="21"/>
                    </w:rPr>
                  </w:pPr>
                  <w:r>
                    <w:rPr>
                      <w:rFonts w:hint="eastAsia" w:ascii="宋体" w:hAnsi="宋体" w:cs="宋体"/>
                      <w:color w:val="000000"/>
                      <w:szCs w:val="21"/>
                    </w:rPr>
                    <w:t>1.3、企业实务流程设计信息系统概述：支持思维导图查看项目内容；包含企业实务流程设计概述与会计信息系统规范两个项目。</w:t>
                  </w:r>
                </w:p>
              </w:tc>
            </w:tr>
            <w:tr w14:paraId="2606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0DFD34A">
                  <w:pPr>
                    <w:spacing w:line="288" w:lineRule="auto"/>
                    <w:jc w:val="center"/>
                    <w:rPr>
                      <w:rFonts w:hint="eastAsia" w:ascii="宋体" w:hAnsi="宋体" w:cs="宋体"/>
                      <w:color w:val="000000"/>
                      <w:szCs w:val="21"/>
                    </w:rPr>
                  </w:pPr>
                </w:p>
              </w:tc>
              <w:tc>
                <w:tcPr>
                  <w:tcW w:w="670" w:type="pct"/>
                  <w:vMerge w:val="continue"/>
                </w:tcPr>
                <w:p w14:paraId="4C804DC2">
                  <w:pPr>
                    <w:spacing w:line="288" w:lineRule="auto"/>
                    <w:rPr>
                      <w:rFonts w:hint="eastAsia" w:ascii="宋体" w:hAnsi="宋体" w:cs="宋体"/>
                      <w:color w:val="000000"/>
                      <w:szCs w:val="21"/>
                    </w:rPr>
                  </w:pPr>
                </w:p>
              </w:tc>
              <w:tc>
                <w:tcPr>
                  <w:tcW w:w="3832" w:type="pct"/>
                </w:tcPr>
                <w:p w14:paraId="48DBA29F">
                  <w:pPr>
                    <w:spacing w:line="288" w:lineRule="auto"/>
                    <w:jc w:val="left"/>
                    <w:rPr>
                      <w:rFonts w:hint="eastAsia" w:ascii="宋体" w:hAnsi="宋体" w:cs="宋体"/>
                      <w:color w:val="000000"/>
                      <w:szCs w:val="21"/>
                    </w:rPr>
                  </w:pPr>
                  <w:r>
                    <w:rPr>
                      <w:rFonts w:hint="eastAsia" w:ascii="宋体" w:hAnsi="宋体" w:cs="宋体"/>
                      <w:color w:val="000000"/>
                      <w:szCs w:val="21"/>
                    </w:rPr>
                    <w:t>1.4、数字化建模：支持思维导图查看项目内容；包含企业实务流程下的组织管理、基础档案设置和事项会计中台配置三个项目。</w:t>
                  </w:r>
                </w:p>
              </w:tc>
            </w:tr>
            <w:tr w14:paraId="0538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0D64A7E">
                  <w:pPr>
                    <w:spacing w:line="288" w:lineRule="auto"/>
                    <w:jc w:val="center"/>
                    <w:rPr>
                      <w:rFonts w:hint="eastAsia" w:ascii="宋体" w:hAnsi="宋体" w:cs="宋体"/>
                      <w:color w:val="000000"/>
                      <w:szCs w:val="21"/>
                    </w:rPr>
                  </w:pPr>
                </w:p>
              </w:tc>
              <w:tc>
                <w:tcPr>
                  <w:tcW w:w="670" w:type="pct"/>
                  <w:vMerge w:val="continue"/>
                </w:tcPr>
                <w:p w14:paraId="1385A444">
                  <w:pPr>
                    <w:spacing w:line="288" w:lineRule="auto"/>
                    <w:rPr>
                      <w:rFonts w:hint="eastAsia" w:ascii="宋体" w:hAnsi="宋体" w:cs="宋体"/>
                      <w:color w:val="000000"/>
                      <w:szCs w:val="21"/>
                    </w:rPr>
                  </w:pPr>
                </w:p>
              </w:tc>
              <w:tc>
                <w:tcPr>
                  <w:tcW w:w="3832" w:type="pct"/>
                </w:tcPr>
                <w:p w14:paraId="273CC034">
                  <w:pPr>
                    <w:spacing w:line="288" w:lineRule="auto"/>
                    <w:jc w:val="left"/>
                    <w:rPr>
                      <w:rFonts w:hint="eastAsia" w:ascii="宋体" w:hAnsi="宋体" w:cs="宋体"/>
                      <w:color w:val="000000"/>
                      <w:szCs w:val="21"/>
                    </w:rPr>
                  </w:pPr>
                  <w:r>
                    <w:rPr>
                      <w:rFonts w:hint="eastAsia" w:ascii="宋体" w:hAnsi="宋体" w:cs="宋体"/>
                      <w:color w:val="000000"/>
                      <w:szCs w:val="21"/>
                    </w:rPr>
                    <w:t>1.5、企业实务流程设计：包含费用管理流程设计、采购与应付管理流程设计、销售与应收管理流程设计、固定资产流程配置三个实战任务。</w:t>
                  </w:r>
                </w:p>
              </w:tc>
            </w:tr>
            <w:tr w14:paraId="3579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B52544B">
                  <w:pPr>
                    <w:spacing w:line="288" w:lineRule="auto"/>
                    <w:jc w:val="center"/>
                    <w:rPr>
                      <w:rFonts w:hint="eastAsia" w:ascii="宋体" w:hAnsi="宋体" w:cs="宋体"/>
                      <w:color w:val="000000"/>
                      <w:szCs w:val="21"/>
                    </w:rPr>
                  </w:pPr>
                </w:p>
              </w:tc>
              <w:tc>
                <w:tcPr>
                  <w:tcW w:w="670" w:type="pct"/>
                  <w:vMerge w:val="continue"/>
                </w:tcPr>
                <w:p w14:paraId="1D8CB902">
                  <w:pPr>
                    <w:spacing w:line="288" w:lineRule="auto"/>
                    <w:rPr>
                      <w:rFonts w:hint="eastAsia" w:ascii="宋体" w:hAnsi="宋体" w:cs="宋体"/>
                      <w:color w:val="000000"/>
                      <w:szCs w:val="21"/>
                    </w:rPr>
                  </w:pPr>
                </w:p>
              </w:tc>
              <w:tc>
                <w:tcPr>
                  <w:tcW w:w="3832" w:type="pct"/>
                </w:tcPr>
                <w:p w14:paraId="26E0C09B">
                  <w:pPr>
                    <w:spacing w:line="288" w:lineRule="auto"/>
                    <w:rPr>
                      <w:rFonts w:hint="eastAsia" w:ascii="宋体" w:hAnsi="宋体" w:cs="宋体"/>
                      <w:color w:val="000000"/>
                      <w:szCs w:val="21"/>
                    </w:rPr>
                  </w:pPr>
                  <w:r>
                    <w:rPr>
                      <w:rFonts w:hint="eastAsia" w:ascii="宋体" w:hAnsi="宋体" w:cs="宋体"/>
                      <w:color w:val="000000"/>
                      <w:szCs w:val="21"/>
                    </w:rPr>
                    <w:t>1.6、系统安全设计：企业实务流程下安全风险管控及设计。</w:t>
                  </w:r>
                </w:p>
              </w:tc>
            </w:tr>
            <w:tr w14:paraId="489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3FE5261">
                  <w:pPr>
                    <w:spacing w:line="288" w:lineRule="auto"/>
                    <w:jc w:val="center"/>
                    <w:rPr>
                      <w:rFonts w:hint="eastAsia" w:ascii="宋体" w:hAnsi="宋体" w:cs="宋体"/>
                      <w:color w:val="000000"/>
                      <w:szCs w:val="21"/>
                    </w:rPr>
                  </w:pPr>
                </w:p>
              </w:tc>
              <w:tc>
                <w:tcPr>
                  <w:tcW w:w="670" w:type="pct"/>
                  <w:vMerge w:val="continue"/>
                </w:tcPr>
                <w:p w14:paraId="0EF20580">
                  <w:pPr>
                    <w:spacing w:line="288" w:lineRule="auto"/>
                    <w:rPr>
                      <w:rFonts w:hint="eastAsia" w:ascii="宋体" w:hAnsi="宋体" w:cs="宋体"/>
                      <w:color w:val="000000"/>
                      <w:szCs w:val="21"/>
                    </w:rPr>
                  </w:pPr>
                </w:p>
              </w:tc>
              <w:tc>
                <w:tcPr>
                  <w:tcW w:w="3832" w:type="pct"/>
                </w:tcPr>
                <w:p w14:paraId="57CCC30B">
                  <w:pPr>
                    <w:spacing w:line="288" w:lineRule="auto"/>
                    <w:rPr>
                      <w:rFonts w:hint="eastAsia" w:ascii="宋体" w:hAnsi="宋体" w:cs="宋体"/>
                      <w:b/>
                      <w:bCs/>
                      <w:szCs w:val="21"/>
                    </w:rPr>
                  </w:pPr>
                  <w:r>
                    <w:rPr>
                      <w:rFonts w:hint="eastAsia" w:ascii="宋体" w:hAnsi="宋体" w:cs="宋体"/>
                      <w:bCs/>
                      <w:color w:val="000000"/>
                      <w:szCs w:val="21"/>
                    </w:rPr>
                    <w:t>二、</w:t>
                  </w:r>
                  <w:r>
                    <w:rPr>
                      <w:rFonts w:hint="eastAsia" w:ascii="宋体" w:hAnsi="宋体" w:cs="宋体"/>
                      <w:b/>
                      <w:bCs/>
                      <w:szCs w:val="21"/>
                    </w:rPr>
                    <w:t>业务平台功能指标</w:t>
                  </w:r>
                </w:p>
                <w:p w14:paraId="49DE173B">
                  <w:pPr>
                    <w:spacing w:line="288" w:lineRule="auto"/>
                    <w:jc w:val="left"/>
                    <w:rPr>
                      <w:rFonts w:hint="eastAsia" w:ascii="宋体" w:hAnsi="宋体" w:cs="宋体"/>
                      <w:bCs/>
                      <w:color w:val="000000"/>
                      <w:szCs w:val="21"/>
                    </w:rPr>
                  </w:pPr>
                  <w:r>
                    <w:rPr>
                      <w:rFonts w:hint="eastAsia" w:ascii="宋体" w:hAnsi="宋体" w:cs="宋体"/>
                      <w:bCs/>
                      <w:color w:val="000000"/>
                      <w:szCs w:val="21"/>
                    </w:rPr>
                    <w:t>2.1、数字化建模功能指标</w:t>
                  </w:r>
                </w:p>
                <w:p w14:paraId="1AE92B65">
                  <w:pPr>
                    <w:spacing w:line="288" w:lineRule="auto"/>
                    <w:jc w:val="left"/>
                    <w:rPr>
                      <w:rFonts w:hint="eastAsia" w:ascii="宋体" w:hAnsi="宋体" w:cs="宋体"/>
                      <w:color w:val="000000"/>
                      <w:szCs w:val="21"/>
                    </w:rPr>
                  </w:pPr>
                  <w:r>
                    <w:rPr>
                      <w:rFonts w:hint="eastAsia" w:ascii="宋体" w:hAnsi="宋体" w:cs="宋体"/>
                      <w:color w:val="000000"/>
                      <w:szCs w:val="21"/>
                    </w:rPr>
                    <w:t>2.1.1、平台支持在创建业务单元时选择公司、工厂、分公司、办事处、事业部5种组织形态，可以在组织形态下设</w:t>
                  </w:r>
                  <w:r>
                    <w:rPr>
                      <w:rFonts w:hint="eastAsia" w:ascii="宋体" w:hAnsi="宋体" w:cs="宋体"/>
                      <w:szCs w:val="21"/>
                    </w:rPr>
                    <w:t>置至少包含人力资源组织、销售组织、采购组织、库存组织、纳税主体、结算中心在内的10种</w:t>
                  </w:r>
                  <w:r>
                    <w:rPr>
                      <w:rFonts w:hint="eastAsia" w:ascii="宋体" w:hAnsi="宋体" w:cs="宋体"/>
                      <w:color w:val="000000"/>
                      <w:szCs w:val="21"/>
                    </w:rPr>
                    <w:t>组织职能，可以配置组织职能的上下级关系。</w:t>
                  </w:r>
                </w:p>
              </w:tc>
            </w:tr>
            <w:tr w14:paraId="35E6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7B07873">
                  <w:pPr>
                    <w:spacing w:line="288" w:lineRule="auto"/>
                    <w:jc w:val="center"/>
                    <w:rPr>
                      <w:rFonts w:hint="eastAsia" w:ascii="宋体" w:hAnsi="宋体" w:cs="宋体"/>
                      <w:color w:val="000000"/>
                      <w:szCs w:val="21"/>
                    </w:rPr>
                  </w:pPr>
                </w:p>
              </w:tc>
              <w:tc>
                <w:tcPr>
                  <w:tcW w:w="670" w:type="pct"/>
                  <w:vMerge w:val="continue"/>
                </w:tcPr>
                <w:p w14:paraId="65B98559">
                  <w:pPr>
                    <w:spacing w:line="288" w:lineRule="auto"/>
                    <w:rPr>
                      <w:rFonts w:hint="eastAsia" w:ascii="宋体" w:hAnsi="宋体" w:cs="宋体"/>
                      <w:color w:val="000000"/>
                      <w:szCs w:val="21"/>
                    </w:rPr>
                  </w:pPr>
                </w:p>
              </w:tc>
              <w:tc>
                <w:tcPr>
                  <w:tcW w:w="3832" w:type="pct"/>
                </w:tcPr>
                <w:p w14:paraId="113F7DD6">
                  <w:pPr>
                    <w:spacing w:line="288" w:lineRule="auto"/>
                    <w:jc w:val="left"/>
                    <w:rPr>
                      <w:rFonts w:hint="eastAsia" w:ascii="宋体" w:hAnsi="宋体" w:cs="宋体"/>
                      <w:color w:val="000000"/>
                      <w:szCs w:val="21"/>
                    </w:rPr>
                  </w:pPr>
                  <w:r>
                    <w:rPr>
                      <w:rFonts w:hint="eastAsia" w:ascii="宋体" w:hAnsi="宋体" w:cs="宋体"/>
                      <w:color w:val="000000"/>
                      <w:szCs w:val="21"/>
                    </w:rPr>
                    <w:t>2.1.2、平台支持权限管理，可以创建用户、用户组、角色组、角色标签。可以为角色配置功能权限、数据权限和敏感数据权限。可以按角色或用户查询功能权限、数据权限。</w:t>
                  </w:r>
                </w:p>
              </w:tc>
            </w:tr>
            <w:tr w14:paraId="3663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F0CBD64">
                  <w:pPr>
                    <w:spacing w:line="288" w:lineRule="auto"/>
                    <w:jc w:val="center"/>
                    <w:rPr>
                      <w:rFonts w:hint="eastAsia" w:ascii="宋体" w:hAnsi="宋体" w:cs="宋体"/>
                      <w:color w:val="000000"/>
                      <w:szCs w:val="21"/>
                    </w:rPr>
                  </w:pPr>
                </w:p>
              </w:tc>
              <w:tc>
                <w:tcPr>
                  <w:tcW w:w="670" w:type="pct"/>
                  <w:vMerge w:val="continue"/>
                </w:tcPr>
                <w:p w14:paraId="6C380463">
                  <w:pPr>
                    <w:spacing w:line="288" w:lineRule="auto"/>
                    <w:rPr>
                      <w:rFonts w:hint="eastAsia" w:ascii="宋体" w:hAnsi="宋体" w:cs="宋体"/>
                      <w:color w:val="000000"/>
                      <w:szCs w:val="21"/>
                    </w:rPr>
                  </w:pPr>
                </w:p>
              </w:tc>
              <w:tc>
                <w:tcPr>
                  <w:tcW w:w="3832" w:type="pct"/>
                </w:tcPr>
                <w:p w14:paraId="2B422002">
                  <w:pPr>
                    <w:spacing w:line="288" w:lineRule="auto"/>
                    <w:jc w:val="left"/>
                    <w:rPr>
                      <w:rFonts w:hint="eastAsia" w:ascii="宋体" w:hAnsi="宋体" w:cs="宋体"/>
                      <w:color w:val="000000"/>
                      <w:szCs w:val="21"/>
                    </w:rPr>
                  </w:pPr>
                  <w:r>
                    <w:rPr>
                      <w:rFonts w:hint="eastAsia" w:ascii="宋体" w:hAnsi="宋体" w:cs="宋体"/>
                      <w:color w:val="000000"/>
                      <w:szCs w:val="21"/>
                    </w:rPr>
                    <w:t>2.1.3、平台支持以组织视角或档案视角进行基础数据分级管控设置，满足面向不同的企业、不同的行业匹配不同的管控需求。</w:t>
                  </w:r>
                </w:p>
              </w:tc>
            </w:tr>
            <w:tr w14:paraId="61FF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C0618D6">
                  <w:pPr>
                    <w:spacing w:line="288" w:lineRule="auto"/>
                    <w:jc w:val="center"/>
                    <w:rPr>
                      <w:rFonts w:hint="eastAsia" w:ascii="宋体" w:hAnsi="宋体" w:cs="宋体"/>
                      <w:color w:val="000000"/>
                      <w:szCs w:val="21"/>
                    </w:rPr>
                  </w:pPr>
                </w:p>
              </w:tc>
              <w:tc>
                <w:tcPr>
                  <w:tcW w:w="670" w:type="pct"/>
                  <w:vMerge w:val="continue"/>
                </w:tcPr>
                <w:p w14:paraId="73309D70">
                  <w:pPr>
                    <w:spacing w:line="288" w:lineRule="auto"/>
                    <w:rPr>
                      <w:rFonts w:hint="eastAsia" w:ascii="宋体" w:hAnsi="宋体" w:cs="宋体"/>
                      <w:color w:val="000000"/>
                      <w:szCs w:val="21"/>
                    </w:rPr>
                  </w:pPr>
                </w:p>
              </w:tc>
              <w:tc>
                <w:tcPr>
                  <w:tcW w:w="3832" w:type="pct"/>
                </w:tcPr>
                <w:p w14:paraId="4A4F7B17">
                  <w:pPr>
                    <w:spacing w:line="288" w:lineRule="auto"/>
                    <w:rPr>
                      <w:rFonts w:hint="eastAsia" w:ascii="宋体" w:hAnsi="宋体" w:cs="宋体"/>
                      <w:color w:val="000000"/>
                      <w:szCs w:val="21"/>
                    </w:rPr>
                  </w:pPr>
                  <w:r>
                    <w:rPr>
                      <w:rFonts w:hint="eastAsia" w:ascii="宋体" w:hAnsi="宋体" w:cs="宋体"/>
                      <w:color w:val="000000"/>
                      <w:szCs w:val="21"/>
                    </w:rPr>
                    <w:t>2.1.4、平台应提供流程管理能力，支持业务流设计，提供图形化的流程设计器进行流程建模。平台至少支持采购、销售、费用、人力、财务5大领域业务流可视化配置，支持通过拖拽单据组件的方式配置业务流程，单据组件至少支持黄色、粉色、绿色、紫色、蓝色5种颜色的主题色配置。</w:t>
                  </w:r>
                </w:p>
              </w:tc>
            </w:tr>
            <w:tr w14:paraId="78A5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1B912D9">
                  <w:pPr>
                    <w:spacing w:line="288" w:lineRule="auto"/>
                    <w:jc w:val="center"/>
                    <w:rPr>
                      <w:rFonts w:hint="eastAsia" w:ascii="宋体" w:hAnsi="宋体" w:cs="宋体"/>
                      <w:color w:val="000000"/>
                      <w:szCs w:val="21"/>
                    </w:rPr>
                  </w:pPr>
                </w:p>
              </w:tc>
              <w:tc>
                <w:tcPr>
                  <w:tcW w:w="670" w:type="pct"/>
                  <w:vMerge w:val="continue"/>
                </w:tcPr>
                <w:p w14:paraId="362FA7D3">
                  <w:pPr>
                    <w:spacing w:line="288" w:lineRule="auto"/>
                    <w:rPr>
                      <w:rFonts w:hint="eastAsia" w:ascii="宋体" w:hAnsi="宋体" w:cs="宋体"/>
                      <w:color w:val="000000"/>
                      <w:szCs w:val="21"/>
                    </w:rPr>
                  </w:pPr>
                </w:p>
              </w:tc>
              <w:tc>
                <w:tcPr>
                  <w:tcW w:w="3832" w:type="pct"/>
                </w:tcPr>
                <w:p w14:paraId="4A74FF54">
                  <w:pPr>
                    <w:spacing w:line="288" w:lineRule="auto"/>
                    <w:rPr>
                      <w:rFonts w:hint="eastAsia" w:ascii="宋体" w:hAnsi="宋体" w:cs="宋体"/>
                      <w:color w:val="000000"/>
                      <w:szCs w:val="21"/>
                    </w:rPr>
                  </w:pPr>
                  <w:r>
                    <w:rPr>
                      <w:rFonts w:hint="eastAsia" w:ascii="宋体" w:hAnsi="宋体" w:cs="宋体"/>
                      <w:b/>
                      <w:bCs/>
                      <w:color w:val="FF0000"/>
                      <w:szCs w:val="21"/>
                    </w:rPr>
                    <w:t>▲2.1.5、</w:t>
                  </w:r>
                  <w:r>
                    <w:rPr>
                      <w:rFonts w:hint="eastAsia" w:ascii="宋体" w:hAnsi="宋体" w:cs="宋体"/>
                      <w:b/>
                      <w:color w:val="FF0000"/>
                      <w:szCs w:val="21"/>
                    </w:rPr>
                    <w:t>平台在配置业务流程规则信息时应至少包含推单规则、拉单规则和回写规则3种方式。推单规则应至少提供基本信息、过滤设置、触发设置、生单方式、转换规则在内的6种规则配置。过滤设置应提供公式编辑器，支持函数和变量两种配置，函数中应提供不少于75种数学函数。推单规则应至少支持7种触发设置，和至少3种推送方式。转换规则至少支持目标单据三种关联选择，支持来源单据、来源字段的选择配置。</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786B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F89D282">
                  <w:pPr>
                    <w:spacing w:line="288" w:lineRule="auto"/>
                    <w:jc w:val="center"/>
                    <w:rPr>
                      <w:rFonts w:hint="eastAsia" w:ascii="宋体" w:hAnsi="宋体" w:cs="宋体"/>
                      <w:color w:val="000000"/>
                      <w:szCs w:val="21"/>
                    </w:rPr>
                  </w:pPr>
                </w:p>
              </w:tc>
              <w:tc>
                <w:tcPr>
                  <w:tcW w:w="670" w:type="pct"/>
                  <w:vMerge w:val="continue"/>
                </w:tcPr>
                <w:p w14:paraId="6C9FCFD6">
                  <w:pPr>
                    <w:spacing w:line="288" w:lineRule="auto"/>
                    <w:rPr>
                      <w:rFonts w:hint="eastAsia" w:ascii="宋体" w:hAnsi="宋体" w:cs="宋体"/>
                      <w:color w:val="000000"/>
                      <w:szCs w:val="21"/>
                    </w:rPr>
                  </w:pPr>
                </w:p>
              </w:tc>
              <w:tc>
                <w:tcPr>
                  <w:tcW w:w="3832" w:type="pct"/>
                </w:tcPr>
                <w:p w14:paraId="3A12FA12">
                  <w:pPr>
                    <w:spacing w:line="288" w:lineRule="auto"/>
                    <w:jc w:val="left"/>
                    <w:rPr>
                      <w:rFonts w:hint="eastAsia" w:ascii="宋体" w:hAnsi="宋体" w:cs="宋体"/>
                      <w:b/>
                      <w:bCs/>
                      <w:color w:val="000000"/>
                      <w:szCs w:val="21"/>
                    </w:rPr>
                  </w:pPr>
                  <w:r>
                    <w:rPr>
                      <w:rFonts w:hint="eastAsia" w:ascii="宋体" w:hAnsi="宋体" w:cs="宋体"/>
                      <w:b/>
                      <w:bCs/>
                      <w:color w:val="000000"/>
                      <w:szCs w:val="21"/>
                    </w:rPr>
                    <w:t>2.2、事项会计中台功能指标</w:t>
                  </w:r>
                </w:p>
                <w:p w14:paraId="3CDA1E5E">
                  <w:pPr>
                    <w:spacing w:line="288" w:lineRule="auto"/>
                    <w:jc w:val="left"/>
                    <w:rPr>
                      <w:rFonts w:hint="eastAsia" w:ascii="宋体" w:hAnsi="宋体" w:cs="宋体"/>
                      <w:color w:val="000000"/>
                      <w:szCs w:val="21"/>
                    </w:rPr>
                  </w:pPr>
                  <w:r>
                    <w:rPr>
                      <w:rFonts w:hint="eastAsia" w:ascii="宋体" w:hAnsi="宋体" w:cs="宋体"/>
                      <w:szCs w:val="21"/>
                    </w:rPr>
                    <w:t>2.2.1、平台支持配置法人核算目的和利润中心核算目的的核算规则。支持按照企业账号级、账簿类型级、账簿级设置科目对照表。支持在事项分录中同时查询业务信息和财务信息。</w:t>
                  </w:r>
                </w:p>
              </w:tc>
            </w:tr>
            <w:tr w14:paraId="5CBF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087EFB6">
                  <w:pPr>
                    <w:spacing w:line="288" w:lineRule="auto"/>
                    <w:jc w:val="center"/>
                    <w:rPr>
                      <w:rFonts w:hint="eastAsia" w:ascii="宋体" w:hAnsi="宋体" w:cs="宋体"/>
                      <w:color w:val="000000"/>
                      <w:szCs w:val="21"/>
                    </w:rPr>
                  </w:pPr>
                </w:p>
              </w:tc>
              <w:tc>
                <w:tcPr>
                  <w:tcW w:w="670" w:type="pct"/>
                  <w:vMerge w:val="continue"/>
                </w:tcPr>
                <w:p w14:paraId="19A3CAFC">
                  <w:pPr>
                    <w:spacing w:line="288" w:lineRule="auto"/>
                    <w:rPr>
                      <w:rFonts w:hint="eastAsia" w:ascii="宋体" w:hAnsi="宋体" w:cs="宋体"/>
                      <w:color w:val="000000"/>
                      <w:szCs w:val="21"/>
                    </w:rPr>
                  </w:pPr>
                </w:p>
              </w:tc>
              <w:tc>
                <w:tcPr>
                  <w:tcW w:w="3832" w:type="pct"/>
                </w:tcPr>
                <w:p w14:paraId="1EBC5317">
                  <w:pPr>
                    <w:spacing w:line="288" w:lineRule="auto"/>
                    <w:jc w:val="left"/>
                    <w:rPr>
                      <w:rFonts w:hint="eastAsia" w:ascii="宋体" w:hAnsi="宋体" w:cs="宋体"/>
                      <w:color w:val="000000"/>
                      <w:szCs w:val="21"/>
                    </w:rPr>
                  </w:pPr>
                  <w:r>
                    <w:rPr>
                      <w:rFonts w:hint="eastAsia" w:ascii="宋体" w:hAnsi="宋体" w:cs="宋体"/>
                      <w:color w:val="000000"/>
                      <w:szCs w:val="21"/>
                    </w:rPr>
                    <w:t>2.2.2、支持设置管控规则，支持设置统一的核算要素、会计期间、本位币、分摊分配规则、内部结算规则等。</w:t>
                  </w:r>
                </w:p>
              </w:tc>
            </w:tr>
            <w:tr w14:paraId="6729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6B28592">
                  <w:pPr>
                    <w:spacing w:line="288" w:lineRule="auto"/>
                    <w:jc w:val="center"/>
                    <w:rPr>
                      <w:rFonts w:hint="eastAsia" w:ascii="宋体" w:hAnsi="宋体" w:cs="宋体"/>
                      <w:color w:val="000000"/>
                      <w:szCs w:val="21"/>
                    </w:rPr>
                  </w:pPr>
                </w:p>
              </w:tc>
              <w:tc>
                <w:tcPr>
                  <w:tcW w:w="670" w:type="pct"/>
                  <w:vMerge w:val="continue"/>
                </w:tcPr>
                <w:p w14:paraId="66844173">
                  <w:pPr>
                    <w:spacing w:line="288" w:lineRule="auto"/>
                    <w:rPr>
                      <w:rFonts w:hint="eastAsia" w:ascii="宋体" w:hAnsi="宋体" w:cs="宋体"/>
                      <w:color w:val="000000"/>
                      <w:szCs w:val="21"/>
                    </w:rPr>
                  </w:pPr>
                </w:p>
              </w:tc>
              <w:tc>
                <w:tcPr>
                  <w:tcW w:w="3832" w:type="pct"/>
                </w:tcPr>
                <w:p w14:paraId="7BE08A8A">
                  <w:pPr>
                    <w:spacing w:line="288" w:lineRule="auto"/>
                    <w:jc w:val="left"/>
                    <w:rPr>
                      <w:rFonts w:hint="eastAsia" w:ascii="宋体" w:hAnsi="宋体" w:cs="宋体"/>
                      <w:color w:val="000000"/>
                      <w:szCs w:val="21"/>
                    </w:rPr>
                  </w:pPr>
                  <w:r>
                    <w:rPr>
                      <w:rFonts w:hint="eastAsia" w:ascii="宋体" w:hAnsi="宋体" w:cs="宋体"/>
                      <w:color w:val="000000"/>
                      <w:szCs w:val="21"/>
                    </w:rPr>
                    <w:t>2.2.3、支持通过核算规则生成多核算目的、多核算主体的会计事务数据。</w:t>
                  </w:r>
                </w:p>
              </w:tc>
            </w:tr>
            <w:tr w14:paraId="5BF6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3899E89">
                  <w:pPr>
                    <w:spacing w:line="288" w:lineRule="auto"/>
                    <w:jc w:val="center"/>
                    <w:rPr>
                      <w:rFonts w:hint="eastAsia" w:ascii="宋体" w:hAnsi="宋体" w:cs="宋体"/>
                      <w:color w:val="000000"/>
                      <w:szCs w:val="21"/>
                    </w:rPr>
                  </w:pPr>
                </w:p>
              </w:tc>
              <w:tc>
                <w:tcPr>
                  <w:tcW w:w="670" w:type="pct"/>
                  <w:vMerge w:val="continue"/>
                </w:tcPr>
                <w:p w14:paraId="1BA337C0">
                  <w:pPr>
                    <w:spacing w:line="288" w:lineRule="auto"/>
                    <w:rPr>
                      <w:rFonts w:hint="eastAsia" w:ascii="宋体" w:hAnsi="宋体" w:cs="宋体"/>
                      <w:color w:val="000000"/>
                      <w:szCs w:val="21"/>
                    </w:rPr>
                  </w:pPr>
                </w:p>
              </w:tc>
              <w:tc>
                <w:tcPr>
                  <w:tcW w:w="3832" w:type="pct"/>
                </w:tcPr>
                <w:p w14:paraId="65B8724C">
                  <w:pPr>
                    <w:spacing w:line="288" w:lineRule="auto"/>
                    <w:jc w:val="left"/>
                    <w:rPr>
                      <w:rFonts w:hint="eastAsia" w:ascii="宋体" w:hAnsi="宋体" w:cs="宋体"/>
                      <w:color w:val="000000"/>
                      <w:szCs w:val="21"/>
                    </w:rPr>
                  </w:pPr>
                  <w:r>
                    <w:rPr>
                      <w:rFonts w:hint="eastAsia" w:ascii="宋体" w:hAnsi="宋体" w:cs="宋体"/>
                      <w:color w:val="000000"/>
                      <w:szCs w:val="21"/>
                    </w:rPr>
                    <w:t>2.2.4、支持稽核规则，提供业务财务融合在数据流逻辑层面进行检查校验，保证提供合规、真实、有效、符合财务核算要求的数据</w:t>
                  </w:r>
                  <w:r>
                    <w:rPr>
                      <w:rFonts w:hint="eastAsia"/>
                    </w:rPr>
                    <w:t>。</w:t>
                  </w:r>
                </w:p>
              </w:tc>
            </w:tr>
            <w:tr w14:paraId="244A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D8AE5D8">
                  <w:pPr>
                    <w:spacing w:line="288" w:lineRule="auto"/>
                    <w:jc w:val="center"/>
                    <w:rPr>
                      <w:rFonts w:hint="eastAsia" w:ascii="宋体" w:hAnsi="宋体" w:cs="宋体"/>
                      <w:color w:val="000000"/>
                      <w:szCs w:val="21"/>
                    </w:rPr>
                  </w:pPr>
                </w:p>
              </w:tc>
              <w:tc>
                <w:tcPr>
                  <w:tcW w:w="670" w:type="pct"/>
                  <w:vMerge w:val="continue"/>
                </w:tcPr>
                <w:p w14:paraId="469EB285">
                  <w:pPr>
                    <w:spacing w:line="288" w:lineRule="auto"/>
                    <w:rPr>
                      <w:rFonts w:hint="eastAsia" w:ascii="宋体" w:hAnsi="宋体" w:cs="宋体"/>
                      <w:color w:val="000000"/>
                      <w:szCs w:val="21"/>
                    </w:rPr>
                  </w:pPr>
                </w:p>
              </w:tc>
              <w:tc>
                <w:tcPr>
                  <w:tcW w:w="3832" w:type="pct"/>
                </w:tcPr>
                <w:p w14:paraId="428042D3">
                  <w:pPr>
                    <w:spacing w:line="288" w:lineRule="auto"/>
                    <w:jc w:val="left"/>
                    <w:rPr>
                      <w:rFonts w:hint="eastAsia" w:ascii="宋体" w:hAnsi="宋体" w:cs="宋体"/>
                      <w:color w:val="000000"/>
                      <w:szCs w:val="21"/>
                    </w:rPr>
                  </w:pPr>
                  <w:r>
                    <w:rPr>
                      <w:rFonts w:hint="eastAsia" w:ascii="宋体" w:hAnsi="宋体" w:cs="宋体"/>
                      <w:color w:val="000000"/>
                      <w:szCs w:val="21"/>
                    </w:rPr>
                    <w:t>2.2.5、支持成本中心设置、成本中心结转结构设置。</w:t>
                  </w:r>
                </w:p>
              </w:tc>
            </w:tr>
            <w:tr w14:paraId="4D77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270B812">
                  <w:pPr>
                    <w:spacing w:line="288" w:lineRule="auto"/>
                    <w:jc w:val="center"/>
                    <w:rPr>
                      <w:rFonts w:hint="eastAsia" w:ascii="宋体" w:hAnsi="宋体" w:cs="宋体"/>
                      <w:color w:val="000000"/>
                      <w:szCs w:val="21"/>
                    </w:rPr>
                  </w:pPr>
                </w:p>
              </w:tc>
              <w:tc>
                <w:tcPr>
                  <w:tcW w:w="670" w:type="pct"/>
                  <w:vMerge w:val="continue"/>
                </w:tcPr>
                <w:p w14:paraId="16C63D1B">
                  <w:pPr>
                    <w:spacing w:line="288" w:lineRule="auto"/>
                    <w:rPr>
                      <w:rFonts w:hint="eastAsia" w:ascii="宋体" w:hAnsi="宋体" w:cs="宋体"/>
                      <w:color w:val="000000"/>
                      <w:szCs w:val="21"/>
                    </w:rPr>
                  </w:pPr>
                </w:p>
              </w:tc>
              <w:tc>
                <w:tcPr>
                  <w:tcW w:w="3832" w:type="pct"/>
                </w:tcPr>
                <w:p w14:paraId="07814249">
                  <w:pPr>
                    <w:spacing w:line="288" w:lineRule="auto"/>
                    <w:jc w:val="left"/>
                    <w:rPr>
                      <w:rFonts w:hint="eastAsia" w:ascii="宋体" w:hAnsi="宋体" w:cs="宋体"/>
                      <w:b/>
                      <w:bCs/>
                      <w:color w:val="000000"/>
                      <w:szCs w:val="21"/>
                    </w:rPr>
                  </w:pPr>
                  <w:r>
                    <w:rPr>
                      <w:rFonts w:hint="eastAsia" w:ascii="宋体" w:hAnsi="宋体" w:cs="宋体"/>
                      <w:b/>
                      <w:bCs/>
                      <w:color w:val="000000"/>
                      <w:szCs w:val="21"/>
                    </w:rPr>
                    <w:t>2.3、财务会计功能指标</w:t>
                  </w:r>
                </w:p>
                <w:p w14:paraId="5D08C94B">
                  <w:pPr>
                    <w:spacing w:line="288" w:lineRule="auto"/>
                    <w:jc w:val="left"/>
                    <w:rPr>
                      <w:rFonts w:hint="eastAsia" w:ascii="宋体" w:hAnsi="宋体" w:cs="宋体"/>
                      <w:color w:val="000000"/>
                      <w:szCs w:val="21"/>
                    </w:rPr>
                  </w:pPr>
                  <w:r>
                    <w:rPr>
                      <w:rFonts w:hint="eastAsia" w:ascii="宋体" w:hAnsi="宋体" w:cs="宋体"/>
                      <w:color w:val="000000"/>
                      <w:szCs w:val="21"/>
                    </w:rPr>
                    <w:t>2.3.1、平台支持总账概览、总账初始化、总账参数设置、常用摘要设置、常用凭证设置、规则凭证定义、总账期初录入、凭证管理、账簿折算、科目往来核销管理、现金流量管理、账龄分析、试算平衡、期末处理、账表查询、多账簿合并查询等功能。</w:t>
                  </w:r>
                </w:p>
              </w:tc>
            </w:tr>
            <w:tr w14:paraId="2403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8C5B2B7">
                  <w:pPr>
                    <w:spacing w:line="288" w:lineRule="auto"/>
                    <w:jc w:val="center"/>
                    <w:rPr>
                      <w:rFonts w:hint="eastAsia" w:ascii="宋体" w:hAnsi="宋体" w:cs="宋体"/>
                      <w:color w:val="000000"/>
                      <w:szCs w:val="21"/>
                    </w:rPr>
                  </w:pPr>
                </w:p>
              </w:tc>
              <w:tc>
                <w:tcPr>
                  <w:tcW w:w="670" w:type="pct"/>
                  <w:vMerge w:val="continue"/>
                </w:tcPr>
                <w:p w14:paraId="67263A43">
                  <w:pPr>
                    <w:spacing w:line="288" w:lineRule="auto"/>
                    <w:rPr>
                      <w:rFonts w:hint="eastAsia" w:ascii="宋体" w:hAnsi="宋体" w:cs="宋体"/>
                      <w:color w:val="000000"/>
                      <w:szCs w:val="21"/>
                    </w:rPr>
                  </w:pPr>
                </w:p>
              </w:tc>
              <w:tc>
                <w:tcPr>
                  <w:tcW w:w="3832" w:type="pct"/>
                </w:tcPr>
                <w:p w14:paraId="43734BE6">
                  <w:pPr>
                    <w:spacing w:line="288" w:lineRule="auto"/>
                    <w:jc w:val="left"/>
                    <w:rPr>
                      <w:rFonts w:hint="eastAsia" w:ascii="宋体" w:hAnsi="宋体" w:cs="宋体"/>
                      <w:color w:val="000000"/>
                      <w:szCs w:val="21"/>
                    </w:rPr>
                  </w:pPr>
                  <w:r>
                    <w:rPr>
                      <w:rFonts w:hint="eastAsia" w:ascii="宋体" w:hAnsi="宋体" w:cs="宋体"/>
                      <w:color w:val="000000"/>
                      <w:szCs w:val="21"/>
                    </w:rPr>
                    <w:t>2.3.2、平台支持在总账中查询总账、明细账、余额表、辅助明细账、辅助余额表、现金流量明细账、现金流量查询、序时账、科目辅助余额表、科目辅助全景查询、银行日记账、现金日记账、多栏账设置、多栏账查询等。</w:t>
                  </w:r>
                </w:p>
              </w:tc>
            </w:tr>
            <w:tr w14:paraId="09A6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8335E1F">
                  <w:pPr>
                    <w:spacing w:line="288" w:lineRule="auto"/>
                    <w:jc w:val="center"/>
                    <w:rPr>
                      <w:rFonts w:hint="eastAsia" w:ascii="宋体" w:hAnsi="宋体" w:cs="宋体"/>
                      <w:color w:val="000000"/>
                      <w:szCs w:val="21"/>
                    </w:rPr>
                  </w:pPr>
                </w:p>
              </w:tc>
              <w:tc>
                <w:tcPr>
                  <w:tcW w:w="670" w:type="pct"/>
                  <w:vMerge w:val="continue"/>
                </w:tcPr>
                <w:p w14:paraId="7EB42371">
                  <w:pPr>
                    <w:spacing w:line="288" w:lineRule="auto"/>
                    <w:rPr>
                      <w:rFonts w:hint="eastAsia" w:ascii="宋体" w:hAnsi="宋体" w:cs="宋体"/>
                      <w:color w:val="000000"/>
                      <w:szCs w:val="21"/>
                    </w:rPr>
                  </w:pPr>
                </w:p>
              </w:tc>
              <w:tc>
                <w:tcPr>
                  <w:tcW w:w="3832" w:type="pct"/>
                </w:tcPr>
                <w:p w14:paraId="7CEFA27B">
                  <w:pPr>
                    <w:spacing w:line="288" w:lineRule="auto"/>
                    <w:jc w:val="left"/>
                    <w:rPr>
                      <w:rFonts w:hint="eastAsia" w:ascii="宋体" w:hAnsi="宋体" w:cs="宋体"/>
                      <w:color w:val="000000"/>
                      <w:szCs w:val="21"/>
                    </w:rPr>
                  </w:pPr>
                  <w:r>
                    <w:rPr>
                      <w:rFonts w:hint="eastAsia" w:ascii="宋体" w:hAnsi="宋体" w:cs="宋体"/>
                      <w:color w:val="000000"/>
                      <w:szCs w:val="21"/>
                    </w:rPr>
                    <w:t>2.3.3、支持通过凭证联查的功能，查询凭证对应的业务流程和业务单据，然后一键穿透查询单据明细，也支持通过业务单据联查的方式查询对应的凭证信息。支持联查明细、联查余额、联查序时账、联查核销信息。支持联查凭证附件信息，包括但不限于业务报告、凭证报告、单据影像等。支持按表头或“表头+明细”的方式查询凭证。</w:t>
                  </w:r>
                </w:p>
              </w:tc>
            </w:tr>
            <w:tr w14:paraId="3A31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31F4A451">
                  <w:pPr>
                    <w:spacing w:line="288" w:lineRule="auto"/>
                    <w:jc w:val="center"/>
                    <w:rPr>
                      <w:rFonts w:hint="eastAsia" w:ascii="宋体" w:hAnsi="宋体" w:cs="宋体"/>
                      <w:color w:val="000000"/>
                      <w:szCs w:val="21"/>
                    </w:rPr>
                  </w:pPr>
                </w:p>
              </w:tc>
              <w:tc>
                <w:tcPr>
                  <w:tcW w:w="670" w:type="pct"/>
                  <w:vMerge w:val="continue"/>
                </w:tcPr>
                <w:p w14:paraId="28A3F4B5">
                  <w:pPr>
                    <w:spacing w:line="288" w:lineRule="auto"/>
                    <w:rPr>
                      <w:rFonts w:hint="eastAsia" w:ascii="宋体" w:hAnsi="宋体" w:cs="宋体"/>
                      <w:color w:val="000000"/>
                      <w:szCs w:val="21"/>
                    </w:rPr>
                  </w:pPr>
                </w:p>
              </w:tc>
              <w:tc>
                <w:tcPr>
                  <w:tcW w:w="3832" w:type="pct"/>
                </w:tcPr>
                <w:p w14:paraId="1B37B8B2">
                  <w:pPr>
                    <w:spacing w:line="288" w:lineRule="auto"/>
                    <w:jc w:val="left"/>
                    <w:rPr>
                      <w:rFonts w:hint="eastAsia" w:ascii="宋体" w:hAnsi="宋体" w:cs="宋体"/>
                      <w:color w:val="000000"/>
                      <w:szCs w:val="21"/>
                    </w:rPr>
                  </w:pPr>
                  <w:r>
                    <w:rPr>
                      <w:rFonts w:hint="eastAsia" w:ascii="宋体" w:hAnsi="宋体" w:cs="宋体"/>
                      <w:color w:val="000000"/>
                      <w:szCs w:val="21"/>
                    </w:rPr>
                    <w:t>2.3.4、应收管理支持应收管理初始化、应收参数设置、科目对照、期初应收录入、期初收款录入、应收期初建账、应收发票、收款单、应收事务、收款事务、应收核销、期末处理、应收明细账、应收余额表等账表查询。支持在应收事务中进行全局联查，联查包括销售合同、销售订单、销售出库单、销售发票等单据信息，联查事项分录、总账凭证、核销事务等。</w:t>
                  </w:r>
                </w:p>
              </w:tc>
            </w:tr>
            <w:tr w14:paraId="3D2C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C68DA90">
                  <w:pPr>
                    <w:spacing w:line="288" w:lineRule="auto"/>
                    <w:jc w:val="center"/>
                    <w:rPr>
                      <w:rFonts w:hint="eastAsia" w:ascii="宋体" w:hAnsi="宋体" w:cs="宋体"/>
                      <w:color w:val="000000"/>
                      <w:szCs w:val="21"/>
                    </w:rPr>
                  </w:pPr>
                </w:p>
              </w:tc>
              <w:tc>
                <w:tcPr>
                  <w:tcW w:w="670" w:type="pct"/>
                  <w:vMerge w:val="continue"/>
                </w:tcPr>
                <w:p w14:paraId="02F6F2C3">
                  <w:pPr>
                    <w:spacing w:line="288" w:lineRule="auto"/>
                    <w:rPr>
                      <w:rFonts w:hint="eastAsia" w:ascii="宋体" w:hAnsi="宋体" w:cs="宋体"/>
                      <w:color w:val="000000"/>
                      <w:szCs w:val="21"/>
                    </w:rPr>
                  </w:pPr>
                </w:p>
              </w:tc>
              <w:tc>
                <w:tcPr>
                  <w:tcW w:w="3832" w:type="pct"/>
                </w:tcPr>
                <w:p w14:paraId="3B5C86B3">
                  <w:pPr>
                    <w:spacing w:line="288" w:lineRule="auto"/>
                    <w:jc w:val="left"/>
                    <w:rPr>
                      <w:rFonts w:hint="eastAsia" w:ascii="宋体" w:hAnsi="宋体" w:cs="宋体"/>
                      <w:color w:val="000000"/>
                      <w:szCs w:val="21"/>
                    </w:rPr>
                  </w:pPr>
                  <w:r>
                    <w:rPr>
                      <w:rFonts w:hint="eastAsia" w:ascii="宋体" w:hAnsi="宋体" w:cs="宋体"/>
                      <w:color w:val="000000"/>
                      <w:szCs w:val="21"/>
                    </w:rPr>
                    <w:t>2.3.5、应收管理支持多种核销方式，至少包括应收与收款核销、收款与退款核销、红蓝应收核销、应收与应付核销、收款与付款核销、收款退款与付款退款核销，支持同币种核销，异币种核销。</w:t>
                  </w:r>
                </w:p>
              </w:tc>
            </w:tr>
            <w:tr w14:paraId="1E88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C3A1504">
                  <w:pPr>
                    <w:spacing w:line="288" w:lineRule="auto"/>
                    <w:jc w:val="center"/>
                    <w:rPr>
                      <w:rFonts w:hint="eastAsia" w:ascii="宋体" w:hAnsi="宋体" w:cs="宋体"/>
                      <w:color w:val="000000"/>
                      <w:szCs w:val="21"/>
                    </w:rPr>
                  </w:pPr>
                </w:p>
              </w:tc>
              <w:tc>
                <w:tcPr>
                  <w:tcW w:w="670" w:type="pct"/>
                  <w:vMerge w:val="continue"/>
                </w:tcPr>
                <w:p w14:paraId="2C36A228">
                  <w:pPr>
                    <w:spacing w:line="288" w:lineRule="auto"/>
                    <w:rPr>
                      <w:rFonts w:hint="eastAsia" w:ascii="宋体" w:hAnsi="宋体" w:cs="宋体"/>
                      <w:color w:val="000000"/>
                      <w:szCs w:val="21"/>
                    </w:rPr>
                  </w:pPr>
                </w:p>
              </w:tc>
              <w:tc>
                <w:tcPr>
                  <w:tcW w:w="3832" w:type="pct"/>
                </w:tcPr>
                <w:p w14:paraId="6284850B">
                  <w:pPr>
                    <w:spacing w:line="288" w:lineRule="auto"/>
                    <w:jc w:val="left"/>
                    <w:rPr>
                      <w:rFonts w:hint="eastAsia" w:ascii="宋体" w:hAnsi="宋体" w:cs="宋体"/>
                      <w:color w:val="000000"/>
                      <w:szCs w:val="21"/>
                    </w:rPr>
                  </w:pPr>
                  <w:r>
                    <w:rPr>
                      <w:rFonts w:hint="eastAsia" w:ascii="宋体" w:hAnsi="宋体" w:cs="宋体"/>
                      <w:color w:val="000000"/>
                      <w:szCs w:val="21"/>
                    </w:rPr>
                    <w:t>2.3.6、应收管理支持对外币的应收、收款进行汇兑损益计算，执行时受公司级汇兑损益方式参数约束，即按月末计算方式或外币余额结清时计算方式，进行汇兑损益，汇兑损益计算结果可通过会计平台生成凭证传递到总账。</w:t>
                  </w:r>
                </w:p>
              </w:tc>
            </w:tr>
            <w:tr w14:paraId="6750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2DF3C0E">
                  <w:pPr>
                    <w:spacing w:line="288" w:lineRule="auto"/>
                    <w:jc w:val="center"/>
                    <w:rPr>
                      <w:rFonts w:hint="eastAsia" w:ascii="宋体" w:hAnsi="宋体" w:cs="宋体"/>
                      <w:color w:val="000000"/>
                      <w:szCs w:val="21"/>
                    </w:rPr>
                  </w:pPr>
                </w:p>
              </w:tc>
              <w:tc>
                <w:tcPr>
                  <w:tcW w:w="670" w:type="pct"/>
                  <w:vMerge w:val="continue"/>
                </w:tcPr>
                <w:p w14:paraId="08062DC4">
                  <w:pPr>
                    <w:spacing w:line="288" w:lineRule="auto"/>
                    <w:rPr>
                      <w:rFonts w:hint="eastAsia" w:ascii="宋体" w:hAnsi="宋体" w:cs="宋体"/>
                      <w:color w:val="000000"/>
                      <w:szCs w:val="21"/>
                    </w:rPr>
                  </w:pPr>
                </w:p>
              </w:tc>
              <w:tc>
                <w:tcPr>
                  <w:tcW w:w="3832" w:type="pct"/>
                </w:tcPr>
                <w:p w14:paraId="2E3F5028">
                  <w:pPr>
                    <w:spacing w:line="288" w:lineRule="auto"/>
                    <w:jc w:val="left"/>
                    <w:rPr>
                      <w:rFonts w:hint="eastAsia" w:ascii="宋体" w:hAnsi="宋体" w:cs="宋体"/>
                      <w:color w:val="000000"/>
                      <w:szCs w:val="21"/>
                    </w:rPr>
                  </w:pPr>
                  <w:r>
                    <w:rPr>
                      <w:rFonts w:hint="eastAsia" w:ascii="宋体" w:hAnsi="宋体" w:cs="宋体"/>
                      <w:color w:val="000000"/>
                      <w:szCs w:val="21"/>
                    </w:rPr>
                    <w:t>2.3.7、应付管理支持应付管理初始化、应付参数及科目对照等基础设置、支持期初应付录入、期初付款录入、支持应付发票、付款单、应付事务、付款事务、应付核销、应付核销查询、应付结账等，支持应付明细账和应付余额表等账表查询。支持在应付事务中进行全局联查，联查包括请购单、采购订单、到货单、采购入库单等单据信息，联查事项分录、总账凭证、核销事务等。</w:t>
                  </w:r>
                </w:p>
              </w:tc>
            </w:tr>
            <w:tr w14:paraId="358C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619F7F6">
                  <w:pPr>
                    <w:spacing w:line="288" w:lineRule="auto"/>
                    <w:jc w:val="center"/>
                    <w:rPr>
                      <w:rFonts w:hint="eastAsia" w:ascii="宋体" w:hAnsi="宋体" w:cs="宋体"/>
                      <w:color w:val="000000"/>
                      <w:szCs w:val="21"/>
                    </w:rPr>
                  </w:pPr>
                </w:p>
              </w:tc>
              <w:tc>
                <w:tcPr>
                  <w:tcW w:w="670" w:type="pct"/>
                  <w:vMerge w:val="continue"/>
                </w:tcPr>
                <w:p w14:paraId="690A4011">
                  <w:pPr>
                    <w:spacing w:line="288" w:lineRule="auto"/>
                    <w:rPr>
                      <w:rFonts w:hint="eastAsia" w:ascii="宋体" w:hAnsi="宋体" w:cs="宋体"/>
                      <w:color w:val="000000"/>
                      <w:szCs w:val="21"/>
                    </w:rPr>
                  </w:pPr>
                </w:p>
              </w:tc>
              <w:tc>
                <w:tcPr>
                  <w:tcW w:w="3832" w:type="pct"/>
                </w:tcPr>
                <w:p w14:paraId="22EBBFD0">
                  <w:pPr>
                    <w:pStyle w:val="19"/>
                    <w:spacing w:line="360" w:lineRule="exact"/>
                    <w:rPr>
                      <w:rFonts w:hint="eastAsia" w:ascii="宋体" w:hAnsi="宋体" w:cs="宋体"/>
                      <w:szCs w:val="21"/>
                    </w:rPr>
                  </w:pPr>
                  <w:r>
                    <w:rPr>
                      <w:rFonts w:hint="eastAsia" w:ascii="宋体" w:hAnsi="宋体" w:cs="宋体"/>
                      <w:color w:val="000000"/>
                      <w:szCs w:val="21"/>
                    </w:rPr>
                    <w:t>2.3.8、应付管理-事项分录中，在同一界面呈现出确认应付的基本财务信息和明细的业务信息。</w:t>
                  </w:r>
                </w:p>
              </w:tc>
            </w:tr>
            <w:tr w14:paraId="770A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40F9C10">
                  <w:pPr>
                    <w:spacing w:line="288" w:lineRule="auto"/>
                    <w:jc w:val="center"/>
                    <w:rPr>
                      <w:rFonts w:hint="eastAsia" w:ascii="宋体" w:hAnsi="宋体" w:cs="宋体"/>
                      <w:color w:val="000000"/>
                      <w:szCs w:val="21"/>
                    </w:rPr>
                  </w:pPr>
                </w:p>
              </w:tc>
              <w:tc>
                <w:tcPr>
                  <w:tcW w:w="670" w:type="pct"/>
                  <w:vMerge w:val="continue"/>
                </w:tcPr>
                <w:p w14:paraId="1BFF9A3D">
                  <w:pPr>
                    <w:spacing w:line="288" w:lineRule="auto"/>
                    <w:rPr>
                      <w:rFonts w:hint="eastAsia" w:ascii="宋体" w:hAnsi="宋体" w:cs="宋体"/>
                      <w:color w:val="000000"/>
                      <w:szCs w:val="21"/>
                    </w:rPr>
                  </w:pPr>
                </w:p>
              </w:tc>
              <w:tc>
                <w:tcPr>
                  <w:tcW w:w="3832" w:type="pct"/>
                </w:tcPr>
                <w:p w14:paraId="3DBD43DE">
                  <w:pPr>
                    <w:spacing w:line="288" w:lineRule="auto"/>
                    <w:jc w:val="left"/>
                    <w:rPr>
                      <w:rFonts w:hint="eastAsia" w:ascii="宋体" w:hAnsi="宋体" w:cs="宋体"/>
                      <w:color w:val="000000"/>
                      <w:szCs w:val="21"/>
                    </w:rPr>
                  </w:pPr>
                  <w:r>
                    <w:rPr>
                      <w:rFonts w:hint="eastAsia" w:ascii="宋体" w:hAnsi="宋体" w:cs="宋体"/>
                      <w:color w:val="000000"/>
                      <w:szCs w:val="21"/>
                    </w:rPr>
                    <w:t>2.3.9、支持固定资产初始化、固定资产概览、固定资产基础设置、固定资产期初录入、固定资产期初建账等期初处理。</w:t>
                  </w:r>
                </w:p>
              </w:tc>
            </w:tr>
            <w:tr w14:paraId="5DC1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AAF13BC">
                  <w:pPr>
                    <w:spacing w:line="288" w:lineRule="auto"/>
                    <w:jc w:val="center"/>
                    <w:rPr>
                      <w:rFonts w:hint="eastAsia" w:ascii="宋体" w:hAnsi="宋体" w:cs="宋体"/>
                      <w:color w:val="000000"/>
                      <w:szCs w:val="21"/>
                    </w:rPr>
                  </w:pPr>
                </w:p>
              </w:tc>
              <w:tc>
                <w:tcPr>
                  <w:tcW w:w="670" w:type="pct"/>
                  <w:vMerge w:val="continue"/>
                </w:tcPr>
                <w:p w14:paraId="1EB84B33">
                  <w:pPr>
                    <w:spacing w:line="288" w:lineRule="auto"/>
                    <w:rPr>
                      <w:rFonts w:hint="eastAsia" w:ascii="宋体" w:hAnsi="宋体" w:cs="宋体"/>
                      <w:color w:val="000000"/>
                      <w:szCs w:val="21"/>
                    </w:rPr>
                  </w:pPr>
                </w:p>
              </w:tc>
              <w:tc>
                <w:tcPr>
                  <w:tcW w:w="3832" w:type="pct"/>
                </w:tcPr>
                <w:p w14:paraId="478BBF83">
                  <w:pPr>
                    <w:spacing w:line="288" w:lineRule="auto"/>
                    <w:jc w:val="left"/>
                    <w:rPr>
                      <w:rFonts w:hint="eastAsia" w:ascii="宋体" w:hAnsi="宋体" w:cs="宋体"/>
                      <w:color w:val="000000"/>
                      <w:szCs w:val="21"/>
                    </w:rPr>
                  </w:pPr>
                  <w:r>
                    <w:rPr>
                      <w:rFonts w:hint="eastAsia" w:ascii="宋体" w:hAnsi="宋体" w:cs="宋体"/>
                      <w:color w:val="000000"/>
                      <w:szCs w:val="21"/>
                    </w:rPr>
                    <w:t>2.3.10、支持固定资产新增、固定资产调整、固定资产转移、固定资产减值准备及固定资产处理等固定资产核算功能。</w:t>
                  </w:r>
                </w:p>
              </w:tc>
            </w:tr>
            <w:tr w14:paraId="7CBB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3C814F3B">
                  <w:pPr>
                    <w:spacing w:line="288" w:lineRule="auto"/>
                    <w:jc w:val="center"/>
                    <w:rPr>
                      <w:rFonts w:hint="eastAsia" w:ascii="宋体" w:hAnsi="宋体" w:cs="宋体"/>
                      <w:color w:val="000000"/>
                      <w:szCs w:val="21"/>
                    </w:rPr>
                  </w:pPr>
                </w:p>
              </w:tc>
              <w:tc>
                <w:tcPr>
                  <w:tcW w:w="670" w:type="pct"/>
                  <w:vMerge w:val="continue"/>
                </w:tcPr>
                <w:p w14:paraId="76F8B8CF">
                  <w:pPr>
                    <w:spacing w:line="288" w:lineRule="auto"/>
                    <w:rPr>
                      <w:rFonts w:hint="eastAsia" w:ascii="宋体" w:hAnsi="宋体" w:cs="宋体"/>
                      <w:color w:val="000000"/>
                      <w:szCs w:val="21"/>
                    </w:rPr>
                  </w:pPr>
                </w:p>
              </w:tc>
              <w:tc>
                <w:tcPr>
                  <w:tcW w:w="3832" w:type="pct"/>
                </w:tcPr>
                <w:p w14:paraId="62E405BA">
                  <w:pPr>
                    <w:spacing w:line="288" w:lineRule="auto"/>
                    <w:jc w:val="left"/>
                    <w:rPr>
                      <w:rFonts w:hint="eastAsia" w:ascii="宋体" w:hAnsi="宋体" w:cs="宋体"/>
                      <w:color w:val="000000"/>
                      <w:szCs w:val="21"/>
                    </w:rPr>
                  </w:pPr>
                  <w:r>
                    <w:rPr>
                      <w:rFonts w:hint="eastAsia" w:ascii="宋体" w:hAnsi="宋体" w:cs="宋体"/>
                      <w:color w:val="000000"/>
                      <w:szCs w:val="21"/>
                    </w:rPr>
                    <w:t>2.3.11、支持固定资产卡片查询、固定资产会计事务查询。</w:t>
                  </w:r>
                </w:p>
              </w:tc>
            </w:tr>
            <w:tr w14:paraId="517E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504E96F3">
                  <w:pPr>
                    <w:spacing w:line="288" w:lineRule="auto"/>
                    <w:jc w:val="center"/>
                    <w:rPr>
                      <w:rFonts w:hint="eastAsia" w:ascii="宋体" w:hAnsi="宋体" w:cs="宋体"/>
                      <w:color w:val="000000"/>
                      <w:szCs w:val="21"/>
                    </w:rPr>
                  </w:pPr>
                </w:p>
              </w:tc>
              <w:tc>
                <w:tcPr>
                  <w:tcW w:w="670" w:type="pct"/>
                  <w:vMerge w:val="continue"/>
                </w:tcPr>
                <w:p w14:paraId="588FC124">
                  <w:pPr>
                    <w:spacing w:line="288" w:lineRule="auto"/>
                    <w:rPr>
                      <w:rFonts w:hint="eastAsia" w:ascii="宋体" w:hAnsi="宋体" w:cs="宋体"/>
                      <w:color w:val="000000"/>
                      <w:szCs w:val="21"/>
                    </w:rPr>
                  </w:pPr>
                </w:p>
              </w:tc>
              <w:tc>
                <w:tcPr>
                  <w:tcW w:w="3832" w:type="pct"/>
                </w:tcPr>
                <w:p w14:paraId="31E844EF">
                  <w:pPr>
                    <w:spacing w:line="288" w:lineRule="auto"/>
                    <w:jc w:val="left"/>
                    <w:rPr>
                      <w:rFonts w:hint="eastAsia" w:ascii="宋体" w:hAnsi="宋体" w:cs="宋体"/>
                      <w:color w:val="000000"/>
                      <w:szCs w:val="21"/>
                    </w:rPr>
                  </w:pPr>
                  <w:r>
                    <w:rPr>
                      <w:rFonts w:hint="eastAsia" w:ascii="宋体" w:hAnsi="宋体" w:cs="宋体"/>
                      <w:color w:val="000000"/>
                      <w:szCs w:val="21"/>
                    </w:rPr>
                    <w:t>2.3.12、存货核算支持将各类存货成本准确归集到各存货对象上，能够与库存、采购等系统无缝对接，实时反映财务结果。存货核算支持存货核算概览、存货核算初始化、存货核算基础设置、存货期初数据录入、入库调整、出库调整、期末处理和账表查询等。</w:t>
                  </w:r>
                </w:p>
              </w:tc>
            </w:tr>
            <w:tr w14:paraId="3A30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496FCA3">
                  <w:pPr>
                    <w:spacing w:line="288" w:lineRule="auto"/>
                    <w:jc w:val="center"/>
                    <w:rPr>
                      <w:rFonts w:hint="eastAsia" w:ascii="宋体" w:hAnsi="宋体" w:cs="宋体"/>
                      <w:color w:val="000000"/>
                      <w:szCs w:val="21"/>
                    </w:rPr>
                  </w:pPr>
                </w:p>
              </w:tc>
              <w:tc>
                <w:tcPr>
                  <w:tcW w:w="670" w:type="pct"/>
                  <w:vMerge w:val="continue"/>
                </w:tcPr>
                <w:p w14:paraId="537925E2">
                  <w:pPr>
                    <w:spacing w:line="288" w:lineRule="auto"/>
                    <w:rPr>
                      <w:rFonts w:hint="eastAsia" w:ascii="宋体" w:hAnsi="宋体" w:cs="宋体"/>
                      <w:color w:val="000000"/>
                      <w:szCs w:val="21"/>
                    </w:rPr>
                  </w:pPr>
                </w:p>
              </w:tc>
              <w:tc>
                <w:tcPr>
                  <w:tcW w:w="3832" w:type="pct"/>
                </w:tcPr>
                <w:p w14:paraId="75A062AD">
                  <w:pPr>
                    <w:spacing w:line="288" w:lineRule="auto"/>
                    <w:jc w:val="left"/>
                    <w:rPr>
                      <w:rFonts w:hint="eastAsia" w:ascii="宋体" w:hAnsi="宋体" w:cs="宋体"/>
                      <w:color w:val="000000"/>
                      <w:szCs w:val="21"/>
                    </w:rPr>
                  </w:pPr>
                  <w:r>
                    <w:rPr>
                      <w:rFonts w:hint="eastAsia" w:ascii="宋体" w:hAnsi="宋体" w:cs="宋体"/>
                      <w:color w:val="000000"/>
                      <w:szCs w:val="21"/>
                    </w:rPr>
                    <w:t>2.3.13、期末处理应包括与库存对账、存货关账、产成品入库成本分配、批量成本计算、成本计算报告和存货结账。</w:t>
                  </w:r>
                </w:p>
              </w:tc>
            </w:tr>
            <w:tr w14:paraId="44E4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7D4C60F">
                  <w:pPr>
                    <w:spacing w:line="288" w:lineRule="auto"/>
                    <w:jc w:val="center"/>
                    <w:rPr>
                      <w:rFonts w:hint="eastAsia" w:ascii="宋体" w:hAnsi="宋体" w:cs="宋体"/>
                      <w:color w:val="000000"/>
                      <w:szCs w:val="21"/>
                    </w:rPr>
                  </w:pPr>
                </w:p>
              </w:tc>
              <w:tc>
                <w:tcPr>
                  <w:tcW w:w="670" w:type="pct"/>
                  <w:vMerge w:val="continue"/>
                </w:tcPr>
                <w:p w14:paraId="1F72A848">
                  <w:pPr>
                    <w:spacing w:line="288" w:lineRule="auto"/>
                    <w:rPr>
                      <w:rFonts w:hint="eastAsia" w:ascii="宋体" w:hAnsi="宋体" w:cs="宋体"/>
                      <w:color w:val="000000"/>
                      <w:szCs w:val="21"/>
                    </w:rPr>
                  </w:pPr>
                </w:p>
              </w:tc>
              <w:tc>
                <w:tcPr>
                  <w:tcW w:w="3832" w:type="pct"/>
                </w:tcPr>
                <w:p w14:paraId="2A251759">
                  <w:pPr>
                    <w:spacing w:line="288" w:lineRule="auto"/>
                    <w:jc w:val="left"/>
                    <w:rPr>
                      <w:rFonts w:hint="eastAsia" w:ascii="宋体" w:hAnsi="宋体" w:cs="宋体"/>
                      <w:color w:val="000000"/>
                      <w:szCs w:val="21"/>
                    </w:rPr>
                  </w:pPr>
                  <w:r>
                    <w:rPr>
                      <w:rFonts w:hint="eastAsia" w:ascii="宋体" w:hAnsi="宋体" w:cs="宋体"/>
                      <w:color w:val="000000"/>
                      <w:szCs w:val="21"/>
                    </w:rPr>
                    <w:t>2.3.14、账表查询应包括存货总账、存货明细账、发出商品汇总表、发出商品明细账、收发存汇总表、入库汇总表、出库汇总表、委外成本查询等。</w:t>
                  </w:r>
                </w:p>
              </w:tc>
            </w:tr>
            <w:tr w14:paraId="5A4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5463FBCB">
                  <w:pPr>
                    <w:spacing w:line="288" w:lineRule="auto"/>
                    <w:jc w:val="center"/>
                    <w:rPr>
                      <w:rFonts w:hint="eastAsia" w:ascii="宋体" w:hAnsi="宋体" w:cs="宋体"/>
                      <w:color w:val="000000"/>
                      <w:szCs w:val="21"/>
                    </w:rPr>
                  </w:pPr>
                </w:p>
              </w:tc>
              <w:tc>
                <w:tcPr>
                  <w:tcW w:w="670" w:type="pct"/>
                  <w:vMerge w:val="continue"/>
                </w:tcPr>
                <w:p w14:paraId="53B7993E">
                  <w:pPr>
                    <w:spacing w:line="288" w:lineRule="auto"/>
                    <w:rPr>
                      <w:rFonts w:hint="eastAsia" w:ascii="宋体" w:hAnsi="宋体" w:cs="宋体"/>
                      <w:color w:val="000000"/>
                      <w:szCs w:val="21"/>
                    </w:rPr>
                  </w:pPr>
                </w:p>
              </w:tc>
              <w:tc>
                <w:tcPr>
                  <w:tcW w:w="3832" w:type="pct"/>
                </w:tcPr>
                <w:p w14:paraId="27760CEE">
                  <w:pPr>
                    <w:spacing w:line="288" w:lineRule="auto"/>
                    <w:jc w:val="left"/>
                    <w:rPr>
                      <w:rFonts w:hint="eastAsia" w:ascii="宋体" w:hAnsi="宋体" w:cs="宋体"/>
                      <w:color w:val="000000"/>
                      <w:szCs w:val="21"/>
                    </w:rPr>
                  </w:pPr>
                  <w:r>
                    <w:rPr>
                      <w:rFonts w:hint="eastAsia" w:ascii="宋体" w:hAnsi="宋体" w:cs="宋体"/>
                      <w:b/>
                      <w:bCs/>
                      <w:color w:val="000000"/>
                      <w:szCs w:val="21"/>
                    </w:rPr>
                    <w:t>2.4、供应链</w:t>
                  </w:r>
                  <w:bookmarkStart w:id="8" w:name="OLE_LINK17"/>
                  <w:bookmarkStart w:id="9" w:name="OLE_LINK18"/>
                  <w:r>
                    <w:rPr>
                      <w:rFonts w:hint="eastAsia" w:ascii="宋体" w:hAnsi="宋体" w:cs="宋体"/>
                      <w:b/>
                      <w:bCs/>
                      <w:color w:val="000000"/>
                      <w:szCs w:val="21"/>
                    </w:rPr>
                    <w:t>功能指标</w:t>
                  </w:r>
                  <w:bookmarkEnd w:id="8"/>
                  <w:bookmarkEnd w:id="9"/>
                </w:p>
                <w:p w14:paraId="159D531F">
                  <w:pPr>
                    <w:spacing w:line="288" w:lineRule="auto"/>
                    <w:jc w:val="left"/>
                    <w:rPr>
                      <w:rFonts w:hint="eastAsia" w:ascii="宋体" w:hAnsi="宋体" w:cs="宋体"/>
                      <w:color w:val="000000"/>
                      <w:szCs w:val="21"/>
                    </w:rPr>
                  </w:pPr>
                  <w:r>
                    <w:rPr>
                      <w:rFonts w:hint="eastAsia" w:ascii="宋体" w:hAnsi="宋体" w:cs="宋体"/>
                      <w:color w:val="000000"/>
                      <w:szCs w:val="21"/>
                    </w:rPr>
                    <w:t>2.4.1、采购管理应支持采购管理初始化、采购参数设置、请购单、采购订单、采购到货、采购发票、手工结算、结算工作台、采购结算单等功能。</w:t>
                  </w:r>
                </w:p>
              </w:tc>
            </w:tr>
            <w:tr w14:paraId="55F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E75B031">
                  <w:pPr>
                    <w:spacing w:line="288" w:lineRule="auto"/>
                    <w:jc w:val="center"/>
                    <w:rPr>
                      <w:rFonts w:hint="eastAsia" w:ascii="宋体" w:hAnsi="宋体" w:cs="宋体"/>
                      <w:color w:val="000000"/>
                      <w:szCs w:val="21"/>
                    </w:rPr>
                  </w:pPr>
                </w:p>
              </w:tc>
              <w:tc>
                <w:tcPr>
                  <w:tcW w:w="670" w:type="pct"/>
                  <w:vMerge w:val="continue"/>
                </w:tcPr>
                <w:p w14:paraId="556460A0">
                  <w:pPr>
                    <w:spacing w:line="288" w:lineRule="auto"/>
                    <w:rPr>
                      <w:rFonts w:hint="eastAsia" w:ascii="宋体" w:hAnsi="宋体" w:cs="宋体"/>
                      <w:color w:val="000000"/>
                      <w:szCs w:val="21"/>
                    </w:rPr>
                  </w:pPr>
                </w:p>
              </w:tc>
              <w:tc>
                <w:tcPr>
                  <w:tcW w:w="3832" w:type="pct"/>
                </w:tcPr>
                <w:p w14:paraId="69884967">
                  <w:pPr>
                    <w:spacing w:line="288" w:lineRule="auto"/>
                    <w:rPr>
                      <w:rFonts w:hint="eastAsia" w:ascii="宋体" w:hAnsi="宋体" w:cs="宋体"/>
                      <w:color w:val="000000"/>
                      <w:szCs w:val="21"/>
                    </w:rPr>
                  </w:pPr>
                  <w:r>
                    <w:rPr>
                      <w:rFonts w:hint="eastAsia" w:ascii="宋体" w:hAnsi="宋体" w:cs="宋体"/>
                      <w:color w:val="000000"/>
                      <w:szCs w:val="21"/>
                    </w:rPr>
                    <w:t>2.4.2、库存管理支持库存管理初始化、库存系统参数设置、期初库存录入、采购入库、销售出库、材料出库、其他入库、其他出库等日常出入库业务处理，支持库存报表查询。</w:t>
                  </w:r>
                </w:p>
              </w:tc>
            </w:tr>
            <w:tr w14:paraId="5A3A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7021E53">
                  <w:pPr>
                    <w:spacing w:line="288" w:lineRule="auto"/>
                    <w:jc w:val="center"/>
                    <w:rPr>
                      <w:rFonts w:hint="eastAsia" w:ascii="宋体" w:hAnsi="宋体" w:cs="宋体"/>
                      <w:color w:val="000000"/>
                      <w:szCs w:val="21"/>
                    </w:rPr>
                  </w:pPr>
                </w:p>
              </w:tc>
              <w:tc>
                <w:tcPr>
                  <w:tcW w:w="670" w:type="pct"/>
                  <w:vMerge w:val="continue"/>
                </w:tcPr>
                <w:p w14:paraId="18D577FE">
                  <w:pPr>
                    <w:spacing w:line="288" w:lineRule="auto"/>
                    <w:rPr>
                      <w:rFonts w:hint="eastAsia" w:ascii="宋体" w:hAnsi="宋体" w:cs="宋体"/>
                      <w:color w:val="000000"/>
                      <w:szCs w:val="21"/>
                    </w:rPr>
                  </w:pPr>
                </w:p>
              </w:tc>
              <w:tc>
                <w:tcPr>
                  <w:tcW w:w="3832" w:type="pct"/>
                </w:tcPr>
                <w:p w14:paraId="71B68E70">
                  <w:pPr>
                    <w:spacing w:line="288" w:lineRule="auto"/>
                    <w:jc w:val="left"/>
                    <w:rPr>
                      <w:rFonts w:hint="eastAsia" w:ascii="宋体" w:hAnsi="宋体" w:cs="宋体"/>
                      <w:color w:val="000000"/>
                      <w:szCs w:val="21"/>
                    </w:rPr>
                  </w:pPr>
                  <w:r>
                    <w:rPr>
                      <w:rFonts w:hint="eastAsia" w:ascii="宋体" w:hAnsi="宋体" w:cs="宋体"/>
                      <w:color w:val="000000"/>
                      <w:szCs w:val="21"/>
                    </w:rPr>
                    <w:t>2.4.3、销售管理支持通过全面的交易类型和灵活的业务流程配置，支持企业多组织、多元化经营下各种销售业务处理规则和业务流转模型，提供了订货、发货、开票的完整销售全过程的管理业务，支持普通销售、分期收款、销售退货等多种类型的销售业务。</w:t>
                  </w:r>
                </w:p>
              </w:tc>
            </w:tr>
            <w:tr w14:paraId="1B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122480D">
                  <w:pPr>
                    <w:spacing w:line="288" w:lineRule="auto"/>
                    <w:jc w:val="center"/>
                    <w:rPr>
                      <w:rFonts w:hint="eastAsia" w:ascii="宋体" w:hAnsi="宋体" w:cs="宋体"/>
                      <w:color w:val="000000"/>
                      <w:szCs w:val="21"/>
                    </w:rPr>
                  </w:pPr>
                </w:p>
              </w:tc>
              <w:tc>
                <w:tcPr>
                  <w:tcW w:w="670" w:type="pct"/>
                  <w:vMerge w:val="continue"/>
                </w:tcPr>
                <w:p w14:paraId="7C73C141">
                  <w:pPr>
                    <w:spacing w:line="288" w:lineRule="auto"/>
                    <w:rPr>
                      <w:rFonts w:hint="eastAsia" w:ascii="宋体" w:hAnsi="宋体" w:cs="宋体"/>
                      <w:color w:val="000000"/>
                      <w:szCs w:val="21"/>
                    </w:rPr>
                  </w:pPr>
                </w:p>
              </w:tc>
              <w:tc>
                <w:tcPr>
                  <w:tcW w:w="3832" w:type="pct"/>
                </w:tcPr>
                <w:p w14:paraId="657475C4">
                  <w:pPr>
                    <w:spacing w:line="288" w:lineRule="auto"/>
                    <w:rPr>
                      <w:rFonts w:hint="eastAsia" w:ascii="宋体" w:hAnsi="宋体" w:cs="宋体"/>
                      <w:color w:val="000000"/>
                      <w:szCs w:val="21"/>
                    </w:rPr>
                  </w:pPr>
                  <w:r>
                    <w:rPr>
                      <w:rFonts w:hint="eastAsia" w:ascii="宋体" w:hAnsi="宋体" w:cs="宋体"/>
                      <w:b/>
                      <w:bCs/>
                      <w:color w:val="FF0000"/>
                      <w:szCs w:val="21"/>
                    </w:rPr>
                    <w:t>▲2.4.4、平台支持智能业务单据助手和协作管理。如在填写销售订单时，支持在单据右侧显示业务助手，支持附件上传、附件下载，支持单据协作，支持在单据评论区进行文字、图片、文件、表情等评论。可以通过全局联查的方式，联查整个业务流程，直接点击单据进入单据详情页或查询凭证信息。</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06A1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9568BED">
                  <w:pPr>
                    <w:spacing w:line="288" w:lineRule="auto"/>
                    <w:jc w:val="center"/>
                    <w:rPr>
                      <w:rFonts w:hint="eastAsia" w:ascii="宋体" w:hAnsi="宋体" w:cs="宋体"/>
                      <w:color w:val="000000"/>
                      <w:szCs w:val="21"/>
                    </w:rPr>
                  </w:pPr>
                </w:p>
              </w:tc>
              <w:tc>
                <w:tcPr>
                  <w:tcW w:w="670" w:type="pct"/>
                  <w:vMerge w:val="continue"/>
                </w:tcPr>
                <w:p w14:paraId="29947BBD">
                  <w:pPr>
                    <w:spacing w:line="288" w:lineRule="auto"/>
                    <w:rPr>
                      <w:rFonts w:hint="eastAsia" w:ascii="宋体" w:hAnsi="宋体" w:cs="宋体"/>
                      <w:color w:val="000000"/>
                      <w:szCs w:val="21"/>
                    </w:rPr>
                  </w:pPr>
                </w:p>
              </w:tc>
              <w:tc>
                <w:tcPr>
                  <w:tcW w:w="3832" w:type="pct"/>
                </w:tcPr>
                <w:p w14:paraId="770E1F9C">
                  <w:pPr>
                    <w:spacing w:line="288" w:lineRule="auto"/>
                    <w:rPr>
                      <w:rFonts w:hint="eastAsia" w:ascii="宋体" w:hAnsi="宋体" w:cs="宋体"/>
                      <w:b/>
                      <w:bCs/>
                    </w:rPr>
                  </w:pPr>
                  <w:r>
                    <w:rPr>
                      <w:rFonts w:hint="eastAsia" w:ascii="宋体" w:hAnsi="宋体" w:cs="宋体"/>
                      <w:b/>
                      <w:bCs/>
                    </w:rPr>
                    <w:t>2.5、生产制造</w:t>
                  </w:r>
                  <w:r>
                    <w:rPr>
                      <w:rFonts w:hint="eastAsia" w:ascii="宋体" w:hAnsi="宋体" w:cs="宋体"/>
                      <w:b/>
                      <w:bCs/>
                      <w:color w:val="000000"/>
                      <w:szCs w:val="21"/>
                    </w:rPr>
                    <w:t>功能指标</w:t>
                  </w:r>
                </w:p>
                <w:p w14:paraId="4330B006">
                  <w:pPr>
                    <w:spacing w:line="288" w:lineRule="auto"/>
                    <w:rPr>
                      <w:rFonts w:hint="eastAsia" w:ascii="宋体" w:hAnsi="宋体" w:cs="宋体"/>
                      <w:color w:val="000000"/>
                      <w:szCs w:val="21"/>
                    </w:rPr>
                  </w:pPr>
                  <w:r>
                    <w:rPr>
                      <w:rFonts w:hint="eastAsia" w:ascii="宋体" w:hAnsi="宋体" w:cs="宋体"/>
                      <w:b/>
                      <w:bCs/>
                      <w:color w:val="FF0000"/>
                    </w:rPr>
                    <w:t>▲2.5.1、平台支持生产参数设置、生产订单自制或销售订单下推生产订单、生产订单领料、完工。</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0185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0A9618B">
                  <w:pPr>
                    <w:spacing w:line="288" w:lineRule="auto"/>
                    <w:jc w:val="center"/>
                    <w:rPr>
                      <w:rFonts w:hint="eastAsia" w:ascii="宋体" w:hAnsi="宋体" w:cs="宋体"/>
                      <w:color w:val="000000"/>
                      <w:szCs w:val="21"/>
                    </w:rPr>
                  </w:pPr>
                </w:p>
              </w:tc>
              <w:tc>
                <w:tcPr>
                  <w:tcW w:w="670" w:type="pct"/>
                  <w:vMerge w:val="continue"/>
                </w:tcPr>
                <w:p w14:paraId="4073A396">
                  <w:pPr>
                    <w:spacing w:line="288" w:lineRule="auto"/>
                    <w:rPr>
                      <w:rFonts w:hint="eastAsia" w:ascii="宋体" w:hAnsi="宋体" w:cs="宋体"/>
                      <w:color w:val="000000"/>
                      <w:szCs w:val="21"/>
                    </w:rPr>
                  </w:pPr>
                </w:p>
              </w:tc>
              <w:tc>
                <w:tcPr>
                  <w:tcW w:w="3832" w:type="pct"/>
                </w:tcPr>
                <w:p w14:paraId="44DE9146">
                  <w:pPr>
                    <w:spacing w:line="288" w:lineRule="auto"/>
                    <w:rPr>
                      <w:rFonts w:hint="eastAsia" w:ascii="宋体" w:hAnsi="宋体" w:cs="宋体"/>
                      <w:b/>
                      <w:bCs/>
                      <w:color w:val="000000"/>
                      <w:szCs w:val="21"/>
                    </w:rPr>
                  </w:pPr>
                  <w:r>
                    <w:rPr>
                      <w:rFonts w:hint="eastAsia" w:ascii="宋体" w:hAnsi="宋体" w:cs="宋体"/>
                      <w:b/>
                      <w:bCs/>
                      <w:color w:val="000000"/>
                      <w:szCs w:val="21"/>
                    </w:rPr>
                    <w:t>三、教学管理系统功能指标</w:t>
                  </w:r>
                </w:p>
                <w:p w14:paraId="14D38B2B">
                  <w:pPr>
                    <w:spacing w:line="288" w:lineRule="auto"/>
                    <w:jc w:val="left"/>
                    <w:rPr>
                      <w:rFonts w:hint="eastAsia" w:ascii="宋体" w:hAnsi="宋体" w:cs="宋体"/>
                      <w:color w:val="000000"/>
                      <w:szCs w:val="21"/>
                    </w:rPr>
                  </w:pPr>
                  <w:r>
                    <w:rPr>
                      <w:rFonts w:hint="eastAsia" w:ascii="宋体" w:hAnsi="宋体" w:cs="宋体"/>
                      <w:color w:val="000000"/>
                      <w:szCs w:val="21"/>
                    </w:rPr>
                    <w:t>3.1、支持查看教师本人管理班级下的教学班下学生成绩排行榜与学生能力排行榜。</w:t>
                  </w:r>
                </w:p>
              </w:tc>
            </w:tr>
            <w:tr w14:paraId="389A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CE32C86">
                  <w:pPr>
                    <w:spacing w:line="288" w:lineRule="auto"/>
                    <w:jc w:val="center"/>
                    <w:rPr>
                      <w:rFonts w:hint="eastAsia" w:ascii="宋体" w:hAnsi="宋体" w:cs="宋体"/>
                      <w:color w:val="000000"/>
                      <w:szCs w:val="21"/>
                    </w:rPr>
                  </w:pPr>
                </w:p>
              </w:tc>
              <w:tc>
                <w:tcPr>
                  <w:tcW w:w="670" w:type="pct"/>
                  <w:vMerge w:val="continue"/>
                </w:tcPr>
                <w:p w14:paraId="7CBBAFFD">
                  <w:pPr>
                    <w:spacing w:line="288" w:lineRule="auto"/>
                    <w:rPr>
                      <w:rFonts w:hint="eastAsia" w:ascii="宋体" w:hAnsi="宋体" w:cs="宋体"/>
                      <w:color w:val="000000"/>
                      <w:szCs w:val="21"/>
                    </w:rPr>
                  </w:pPr>
                </w:p>
              </w:tc>
              <w:tc>
                <w:tcPr>
                  <w:tcW w:w="3832" w:type="pct"/>
                </w:tcPr>
                <w:p w14:paraId="0FC9822C">
                  <w:pPr>
                    <w:spacing w:line="288" w:lineRule="auto"/>
                    <w:jc w:val="left"/>
                    <w:rPr>
                      <w:rFonts w:hint="eastAsia" w:ascii="宋体" w:hAnsi="宋体" w:cs="宋体"/>
                      <w:color w:val="000000"/>
                      <w:szCs w:val="21"/>
                    </w:rPr>
                  </w:pPr>
                  <w:r>
                    <w:rPr>
                      <w:rFonts w:hint="eastAsia" w:ascii="宋体" w:hAnsi="宋体" w:cs="宋体"/>
                      <w:color w:val="000000"/>
                      <w:szCs w:val="21"/>
                    </w:rPr>
                    <w:t>3.2、学生完成课程项目后，支持展示学生能力词云、职业能力成长信息。</w:t>
                  </w:r>
                </w:p>
              </w:tc>
            </w:tr>
            <w:tr w14:paraId="02AB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D80D0C8">
                  <w:pPr>
                    <w:spacing w:line="288" w:lineRule="auto"/>
                    <w:jc w:val="center"/>
                    <w:rPr>
                      <w:rFonts w:hint="eastAsia" w:ascii="宋体" w:hAnsi="宋体" w:cs="宋体"/>
                      <w:color w:val="000000"/>
                      <w:szCs w:val="21"/>
                    </w:rPr>
                  </w:pPr>
                </w:p>
              </w:tc>
              <w:tc>
                <w:tcPr>
                  <w:tcW w:w="670" w:type="pct"/>
                  <w:vMerge w:val="continue"/>
                </w:tcPr>
                <w:p w14:paraId="51EA3105">
                  <w:pPr>
                    <w:spacing w:line="288" w:lineRule="auto"/>
                    <w:rPr>
                      <w:rFonts w:hint="eastAsia" w:ascii="宋体" w:hAnsi="宋体" w:cs="宋体"/>
                      <w:color w:val="000000"/>
                      <w:szCs w:val="21"/>
                    </w:rPr>
                  </w:pPr>
                </w:p>
              </w:tc>
              <w:tc>
                <w:tcPr>
                  <w:tcW w:w="3832" w:type="pct"/>
                </w:tcPr>
                <w:p w14:paraId="67269661">
                  <w:pPr>
                    <w:spacing w:line="288" w:lineRule="auto"/>
                    <w:jc w:val="left"/>
                    <w:rPr>
                      <w:rFonts w:hint="eastAsia" w:ascii="宋体" w:hAnsi="宋体" w:cs="宋体"/>
                      <w:color w:val="000000"/>
                      <w:szCs w:val="21"/>
                    </w:rPr>
                  </w:pPr>
                  <w:r>
                    <w:rPr>
                      <w:rFonts w:hint="eastAsia" w:ascii="宋体" w:hAnsi="宋体" w:cs="宋体"/>
                      <w:color w:val="000000"/>
                      <w:szCs w:val="21"/>
                    </w:rPr>
                    <w:t>3.3、基本教学信息看板：项目、课程、班级、教学实施情况等。</w:t>
                  </w:r>
                </w:p>
              </w:tc>
            </w:tr>
            <w:tr w14:paraId="285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FBD12D4">
                  <w:pPr>
                    <w:spacing w:line="288" w:lineRule="auto"/>
                    <w:jc w:val="center"/>
                    <w:rPr>
                      <w:rFonts w:hint="eastAsia" w:ascii="宋体" w:hAnsi="宋体" w:cs="宋体"/>
                      <w:color w:val="000000"/>
                      <w:szCs w:val="21"/>
                    </w:rPr>
                  </w:pPr>
                </w:p>
              </w:tc>
              <w:tc>
                <w:tcPr>
                  <w:tcW w:w="670" w:type="pct"/>
                  <w:vMerge w:val="continue"/>
                </w:tcPr>
                <w:p w14:paraId="412F95D7">
                  <w:pPr>
                    <w:spacing w:line="288" w:lineRule="auto"/>
                    <w:rPr>
                      <w:rFonts w:hint="eastAsia" w:ascii="宋体" w:hAnsi="宋体" w:cs="宋体"/>
                      <w:color w:val="000000"/>
                      <w:szCs w:val="21"/>
                    </w:rPr>
                  </w:pPr>
                </w:p>
              </w:tc>
              <w:tc>
                <w:tcPr>
                  <w:tcW w:w="3832" w:type="pct"/>
                </w:tcPr>
                <w:p w14:paraId="680B6889">
                  <w:pPr>
                    <w:spacing w:line="288" w:lineRule="auto"/>
                    <w:jc w:val="left"/>
                    <w:rPr>
                      <w:rFonts w:hint="eastAsia" w:ascii="宋体" w:hAnsi="宋体" w:cs="宋体"/>
                      <w:color w:val="000000"/>
                      <w:szCs w:val="21"/>
                    </w:rPr>
                  </w:pPr>
                  <w:r>
                    <w:rPr>
                      <w:rFonts w:hint="eastAsia" w:ascii="宋体" w:hAnsi="宋体" w:cs="宋体"/>
                      <w:b/>
                      <w:bCs/>
                      <w:color w:val="FF0000"/>
                      <w:szCs w:val="21"/>
                    </w:rPr>
                    <w:t>▲3.4、至少支持闯关、自由两种教学模式。推送任务后支持收回推送。</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3E23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A2437E3">
                  <w:pPr>
                    <w:spacing w:line="288" w:lineRule="auto"/>
                    <w:jc w:val="center"/>
                    <w:rPr>
                      <w:rFonts w:hint="eastAsia" w:ascii="宋体" w:hAnsi="宋体" w:cs="宋体"/>
                      <w:color w:val="000000"/>
                      <w:szCs w:val="21"/>
                    </w:rPr>
                  </w:pPr>
                </w:p>
              </w:tc>
              <w:tc>
                <w:tcPr>
                  <w:tcW w:w="670" w:type="pct"/>
                  <w:vMerge w:val="continue"/>
                </w:tcPr>
                <w:p w14:paraId="6691E452">
                  <w:pPr>
                    <w:spacing w:line="288" w:lineRule="auto"/>
                    <w:rPr>
                      <w:rFonts w:hint="eastAsia" w:ascii="宋体" w:hAnsi="宋体" w:cs="宋体"/>
                      <w:color w:val="000000"/>
                      <w:szCs w:val="21"/>
                    </w:rPr>
                  </w:pPr>
                </w:p>
              </w:tc>
              <w:tc>
                <w:tcPr>
                  <w:tcW w:w="3832" w:type="pct"/>
                </w:tcPr>
                <w:p w14:paraId="735124CE">
                  <w:pPr>
                    <w:spacing w:line="288" w:lineRule="auto"/>
                    <w:jc w:val="left"/>
                    <w:rPr>
                      <w:rFonts w:hint="eastAsia" w:ascii="宋体" w:hAnsi="宋体" w:cs="宋体"/>
                      <w:color w:val="000000"/>
                      <w:szCs w:val="21"/>
                    </w:rPr>
                  </w:pPr>
                  <w:r>
                    <w:rPr>
                      <w:rFonts w:hint="eastAsia" w:ascii="宋体" w:hAnsi="宋体" w:cs="宋体"/>
                      <w:color w:val="000000"/>
                      <w:szCs w:val="21"/>
                    </w:rPr>
                    <w:t>3.5、展示班级内班级人数、学习人次、实战项目数量、理论项目数量、总能力值信息、课程思维导图、能力词云、主讲老师。</w:t>
                  </w:r>
                </w:p>
              </w:tc>
            </w:tr>
            <w:tr w14:paraId="49CD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3FDE5FC2">
                  <w:pPr>
                    <w:spacing w:line="288" w:lineRule="auto"/>
                    <w:jc w:val="center"/>
                    <w:rPr>
                      <w:rFonts w:hint="eastAsia" w:ascii="宋体" w:hAnsi="宋体" w:cs="宋体"/>
                      <w:color w:val="000000"/>
                      <w:szCs w:val="21"/>
                    </w:rPr>
                  </w:pPr>
                </w:p>
              </w:tc>
              <w:tc>
                <w:tcPr>
                  <w:tcW w:w="670" w:type="pct"/>
                  <w:vMerge w:val="continue"/>
                </w:tcPr>
                <w:p w14:paraId="143C1810">
                  <w:pPr>
                    <w:spacing w:line="288" w:lineRule="auto"/>
                    <w:rPr>
                      <w:rFonts w:hint="eastAsia" w:ascii="宋体" w:hAnsi="宋体" w:cs="宋体"/>
                      <w:color w:val="000000"/>
                      <w:szCs w:val="21"/>
                    </w:rPr>
                  </w:pPr>
                </w:p>
              </w:tc>
              <w:tc>
                <w:tcPr>
                  <w:tcW w:w="3832" w:type="pct"/>
                </w:tcPr>
                <w:p w14:paraId="51E2481C">
                  <w:pPr>
                    <w:spacing w:line="288" w:lineRule="auto"/>
                    <w:jc w:val="left"/>
                    <w:rPr>
                      <w:rFonts w:hint="eastAsia" w:ascii="宋体" w:hAnsi="宋体" w:cs="宋体"/>
                      <w:color w:val="000000"/>
                      <w:szCs w:val="21"/>
                    </w:rPr>
                  </w:pPr>
                  <w:r>
                    <w:rPr>
                      <w:rFonts w:hint="eastAsia" w:ascii="宋体" w:hAnsi="宋体" w:cs="宋体"/>
                      <w:color w:val="000000"/>
                      <w:szCs w:val="21"/>
                    </w:rPr>
                    <w:t>3.6、支持查看各项目难度、可获新豆数量、推送情况、班级完成人数、任务数量。</w:t>
                  </w:r>
                </w:p>
              </w:tc>
            </w:tr>
            <w:tr w14:paraId="70E0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72135C61">
                  <w:pPr>
                    <w:spacing w:line="288" w:lineRule="auto"/>
                    <w:jc w:val="center"/>
                    <w:rPr>
                      <w:rFonts w:hint="eastAsia" w:ascii="宋体" w:hAnsi="宋体" w:cs="宋体"/>
                      <w:color w:val="000000"/>
                      <w:szCs w:val="21"/>
                    </w:rPr>
                  </w:pPr>
                </w:p>
              </w:tc>
              <w:tc>
                <w:tcPr>
                  <w:tcW w:w="670" w:type="pct"/>
                  <w:vMerge w:val="continue"/>
                </w:tcPr>
                <w:p w14:paraId="14B25DE3">
                  <w:pPr>
                    <w:spacing w:line="288" w:lineRule="auto"/>
                    <w:rPr>
                      <w:rFonts w:hint="eastAsia" w:ascii="宋体" w:hAnsi="宋体" w:cs="宋体"/>
                      <w:color w:val="000000"/>
                      <w:szCs w:val="21"/>
                    </w:rPr>
                  </w:pPr>
                </w:p>
              </w:tc>
              <w:tc>
                <w:tcPr>
                  <w:tcW w:w="3832" w:type="pct"/>
                </w:tcPr>
                <w:p w14:paraId="630D04CE">
                  <w:pPr>
                    <w:spacing w:line="288" w:lineRule="auto"/>
                    <w:jc w:val="left"/>
                    <w:rPr>
                      <w:rFonts w:hint="eastAsia" w:ascii="宋体" w:hAnsi="宋体" w:cs="宋体"/>
                      <w:color w:val="000000"/>
                      <w:szCs w:val="21"/>
                    </w:rPr>
                  </w:pPr>
                  <w:r>
                    <w:rPr>
                      <w:rFonts w:hint="eastAsia" w:ascii="宋体" w:hAnsi="宋体" w:cs="宋体"/>
                      <w:color w:val="000000"/>
                      <w:szCs w:val="21"/>
                    </w:rPr>
                    <w:t>3.7、支持展示项目内任务总数、任务的类型、实战次数、平均任务用时、推送状态、答案状态、实验系统；支持项目内批量操作推送、收回推送、开放答案、收回答案、项目编辑等。</w:t>
                  </w:r>
                </w:p>
              </w:tc>
            </w:tr>
            <w:tr w14:paraId="40F1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21C3B4C">
                  <w:pPr>
                    <w:spacing w:line="288" w:lineRule="auto"/>
                    <w:jc w:val="center"/>
                    <w:rPr>
                      <w:rFonts w:hint="eastAsia" w:ascii="宋体" w:hAnsi="宋体" w:cs="宋体"/>
                      <w:color w:val="000000"/>
                      <w:szCs w:val="21"/>
                    </w:rPr>
                  </w:pPr>
                </w:p>
              </w:tc>
              <w:tc>
                <w:tcPr>
                  <w:tcW w:w="670" w:type="pct"/>
                  <w:vMerge w:val="continue"/>
                </w:tcPr>
                <w:p w14:paraId="4B1CD1A4">
                  <w:pPr>
                    <w:spacing w:line="288" w:lineRule="auto"/>
                    <w:rPr>
                      <w:rFonts w:hint="eastAsia" w:ascii="宋体" w:hAnsi="宋体" w:cs="宋体"/>
                      <w:color w:val="000000"/>
                      <w:szCs w:val="21"/>
                    </w:rPr>
                  </w:pPr>
                </w:p>
              </w:tc>
              <w:tc>
                <w:tcPr>
                  <w:tcW w:w="3832" w:type="pct"/>
                </w:tcPr>
                <w:p w14:paraId="0A8D52CB">
                  <w:pPr>
                    <w:spacing w:line="288" w:lineRule="auto"/>
                    <w:jc w:val="left"/>
                    <w:rPr>
                      <w:rFonts w:hint="eastAsia" w:ascii="宋体" w:hAnsi="宋体" w:cs="宋体"/>
                      <w:szCs w:val="21"/>
                    </w:rPr>
                  </w:pPr>
                  <w:r>
                    <w:rPr>
                      <w:rFonts w:hint="eastAsia" w:ascii="宋体" w:hAnsi="宋体" w:cs="宋体"/>
                      <w:bCs/>
                      <w:szCs w:val="21"/>
                    </w:rPr>
                    <w:t>3.8、支持新增实践任务包括作业任务、测验任务、团队成果；理论任务包括视频任务、文档任务、富文本、网页链接任务。</w:t>
                  </w:r>
                </w:p>
              </w:tc>
            </w:tr>
            <w:tr w14:paraId="37EA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C465780">
                  <w:pPr>
                    <w:spacing w:line="288" w:lineRule="auto"/>
                    <w:jc w:val="center"/>
                    <w:rPr>
                      <w:rFonts w:hint="eastAsia" w:ascii="宋体" w:hAnsi="宋体" w:cs="宋体"/>
                      <w:color w:val="000000"/>
                      <w:szCs w:val="21"/>
                    </w:rPr>
                  </w:pPr>
                </w:p>
              </w:tc>
              <w:tc>
                <w:tcPr>
                  <w:tcW w:w="670" w:type="pct"/>
                  <w:vMerge w:val="continue"/>
                </w:tcPr>
                <w:p w14:paraId="2F728097">
                  <w:pPr>
                    <w:spacing w:line="288" w:lineRule="auto"/>
                    <w:rPr>
                      <w:rFonts w:hint="eastAsia" w:ascii="宋体" w:hAnsi="宋体" w:cs="宋体"/>
                      <w:color w:val="000000"/>
                      <w:szCs w:val="21"/>
                    </w:rPr>
                  </w:pPr>
                </w:p>
              </w:tc>
              <w:tc>
                <w:tcPr>
                  <w:tcW w:w="3832" w:type="pct"/>
                </w:tcPr>
                <w:p w14:paraId="1232BBBA">
                  <w:pPr>
                    <w:spacing w:line="288" w:lineRule="auto"/>
                    <w:jc w:val="left"/>
                    <w:rPr>
                      <w:rFonts w:hint="eastAsia" w:ascii="宋体" w:hAnsi="宋体" w:cs="宋体"/>
                      <w:color w:val="000000"/>
                      <w:szCs w:val="21"/>
                    </w:rPr>
                  </w:pPr>
                  <w:r>
                    <w:rPr>
                      <w:rFonts w:hint="eastAsia" w:ascii="宋体" w:hAnsi="宋体" w:cs="宋体"/>
                      <w:color w:val="000000"/>
                      <w:szCs w:val="21"/>
                    </w:rPr>
                    <w:t>3.9、随堂测验中，支持修改测验名称、答题限时、页面输入或批量导入测验题；支持添加删除题目、答案、答案解析、勾选正确答案；修改题目排序，保存随堂测验。</w:t>
                  </w:r>
                </w:p>
              </w:tc>
            </w:tr>
            <w:tr w14:paraId="7577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570129E">
                  <w:pPr>
                    <w:spacing w:line="288" w:lineRule="auto"/>
                    <w:jc w:val="center"/>
                    <w:rPr>
                      <w:rFonts w:hint="eastAsia" w:ascii="宋体" w:hAnsi="宋体" w:cs="宋体"/>
                      <w:color w:val="000000"/>
                      <w:szCs w:val="21"/>
                    </w:rPr>
                  </w:pPr>
                </w:p>
              </w:tc>
              <w:tc>
                <w:tcPr>
                  <w:tcW w:w="670" w:type="pct"/>
                  <w:vMerge w:val="continue"/>
                </w:tcPr>
                <w:p w14:paraId="5054B272">
                  <w:pPr>
                    <w:spacing w:line="288" w:lineRule="auto"/>
                    <w:rPr>
                      <w:rFonts w:hint="eastAsia" w:ascii="宋体" w:hAnsi="宋体" w:cs="宋体"/>
                      <w:color w:val="000000"/>
                      <w:szCs w:val="21"/>
                    </w:rPr>
                  </w:pPr>
                </w:p>
              </w:tc>
              <w:tc>
                <w:tcPr>
                  <w:tcW w:w="3832" w:type="pct"/>
                </w:tcPr>
                <w:p w14:paraId="699CED1F">
                  <w:pPr>
                    <w:spacing w:line="288" w:lineRule="auto"/>
                    <w:jc w:val="left"/>
                    <w:rPr>
                      <w:rFonts w:hint="eastAsia" w:ascii="宋体" w:hAnsi="宋体" w:cs="宋体"/>
                      <w:color w:val="000000"/>
                      <w:szCs w:val="21"/>
                    </w:rPr>
                  </w:pPr>
                  <w:r>
                    <w:rPr>
                      <w:rFonts w:hint="eastAsia" w:ascii="宋体" w:hAnsi="宋体" w:cs="宋体"/>
                      <w:color w:val="000000"/>
                      <w:szCs w:val="21"/>
                    </w:rPr>
                    <w:t>3.10、学生管理：支持教师查看已加入当前班级的学生列表；当教学班设置为需要审核才能加入时，老师可审批通过邀请码方式加入的学生，支持批量通过审批；支持教师将学生移除教学班、批量重置学生密码；支持通过模板批量导入学生。</w:t>
                  </w:r>
                </w:p>
              </w:tc>
            </w:tr>
            <w:tr w14:paraId="78B9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DDA6757">
                  <w:pPr>
                    <w:spacing w:line="288" w:lineRule="auto"/>
                    <w:jc w:val="center"/>
                    <w:rPr>
                      <w:rFonts w:hint="eastAsia" w:ascii="宋体" w:hAnsi="宋体" w:cs="宋体"/>
                      <w:color w:val="000000"/>
                      <w:szCs w:val="21"/>
                    </w:rPr>
                  </w:pPr>
                </w:p>
              </w:tc>
              <w:tc>
                <w:tcPr>
                  <w:tcW w:w="670" w:type="pct"/>
                  <w:vMerge w:val="continue"/>
                </w:tcPr>
                <w:p w14:paraId="1390FFF0">
                  <w:pPr>
                    <w:spacing w:line="288" w:lineRule="auto"/>
                    <w:rPr>
                      <w:rFonts w:hint="eastAsia" w:ascii="宋体" w:hAnsi="宋体" w:cs="宋体"/>
                      <w:color w:val="000000"/>
                      <w:szCs w:val="21"/>
                    </w:rPr>
                  </w:pPr>
                </w:p>
              </w:tc>
              <w:tc>
                <w:tcPr>
                  <w:tcW w:w="3832" w:type="pct"/>
                </w:tcPr>
                <w:p w14:paraId="3A29596C">
                  <w:pPr>
                    <w:spacing w:line="288" w:lineRule="auto"/>
                    <w:jc w:val="left"/>
                    <w:rPr>
                      <w:rFonts w:hint="eastAsia" w:ascii="宋体" w:hAnsi="宋体" w:cs="宋体"/>
                      <w:color w:val="000000"/>
                      <w:szCs w:val="21"/>
                    </w:rPr>
                  </w:pPr>
                  <w:r>
                    <w:rPr>
                      <w:rFonts w:hint="eastAsia" w:ascii="宋体" w:hAnsi="宋体" w:cs="宋体"/>
                      <w:color w:val="000000"/>
                      <w:szCs w:val="21"/>
                    </w:rPr>
                    <w:t>3.11、团队管理：支持教师发起团队分组，设置组数和每组人数。设置分组后可以设置教学班内团队的组长，为小组添加\删除小组成员。教师可查看班级中未进入团队的学生，支持刷新团队信息。</w:t>
                  </w:r>
                </w:p>
              </w:tc>
            </w:tr>
            <w:tr w14:paraId="75CA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EB9C097">
                  <w:pPr>
                    <w:spacing w:line="288" w:lineRule="auto"/>
                    <w:jc w:val="center"/>
                    <w:rPr>
                      <w:rFonts w:hint="eastAsia" w:ascii="宋体" w:hAnsi="宋体" w:cs="宋体"/>
                      <w:color w:val="000000"/>
                      <w:szCs w:val="21"/>
                    </w:rPr>
                  </w:pPr>
                </w:p>
              </w:tc>
              <w:tc>
                <w:tcPr>
                  <w:tcW w:w="670" w:type="pct"/>
                  <w:vMerge w:val="continue"/>
                </w:tcPr>
                <w:p w14:paraId="0855314B">
                  <w:pPr>
                    <w:spacing w:line="288" w:lineRule="auto"/>
                    <w:rPr>
                      <w:rFonts w:hint="eastAsia" w:ascii="宋体" w:hAnsi="宋体" w:cs="宋体"/>
                      <w:color w:val="000000"/>
                      <w:szCs w:val="21"/>
                    </w:rPr>
                  </w:pPr>
                </w:p>
              </w:tc>
              <w:tc>
                <w:tcPr>
                  <w:tcW w:w="3832" w:type="pct"/>
                </w:tcPr>
                <w:p w14:paraId="5330ED54">
                  <w:pPr>
                    <w:spacing w:line="288" w:lineRule="auto"/>
                    <w:jc w:val="left"/>
                    <w:rPr>
                      <w:rFonts w:hint="eastAsia" w:ascii="宋体" w:hAnsi="宋体" w:cs="宋体"/>
                      <w:color w:val="000000"/>
                      <w:szCs w:val="21"/>
                    </w:rPr>
                  </w:pPr>
                  <w:r>
                    <w:rPr>
                      <w:rFonts w:hint="eastAsia" w:ascii="宋体" w:hAnsi="宋体" w:cs="宋体"/>
                      <w:color w:val="000000"/>
                      <w:szCs w:val="21"/>
                    </w:rPr>
                    <w:t>3.12、考勤：支持在课堂上随时发起签到，支持设置开始签到时间，学生可输入老师发布的签到口令进行签到；支持教师根据实际情况，调整班级内学生的签到结果；支持老师通过班级和学生两个维度查看班级考勤详情；支持教师查看班级平均签到率及统计签到次数。支持老师导出学生签到考勤。</w:t>
                  </w:r>
                </w:p>
              </w:tc>
            </w:tr>
            <w:tr w14:paraId="6952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135A1C3">
                  <w:pPr>
                    <w:spacing w:line="288" w:lineRule="auto"/>
                    <w:jc w:val="center"/>
                    <w:rPr>
                      <w:rFonts w:hint="eastAsia" w:ascii="宋体" w:hAnsi="宋体" w:cs="宋体"/>
                      <w:color w:val="000000"/>
                      <w:szCs w:val="21"/>
                    </w:rPr>
                  </w:pPr>
                </w:p>
              </w:tc>
              <w:tc>
                <w:tcPr>
                  <w:tcW w:w="670" w:type="pct"/>
                  <w:vMerge w:val="continue"/>
                </w:tcPr>
                <w:p w14:paraId="4FAFED9F">
                  <w:pPr>
                    <w:spacing w:line="288" w:lineRule="auto"/>
                    <w:rPr>
                      <w:rFonts w:hint="eastAsia" w:ascii="宋体" w:hAnsi="宋体" w:cs="宋体"/>
                      <w:color w:val="000000"/>
                      <w:szCs w:val="21"/>
                    </w:rPr>
                  </w:pPr>
                </w:p>
              </w:tc>
              <w:tc>
                <w:tcPr>
                  <w:tcW w:w="3832" w:type="pct"/>
                </w:tcPr>
                <w:p w14:paraId="69DC0BCC">
                  <w:pPr>
                    <w:spacing w:line="288" w:lineRule="auto"/>
                    <w:jc w:val="left"/>
                    <w:rPr>
                      <w:rFonts w:hint="eastAsia" w:ascii="宋体" w:hAnsi="宋体" w:cs="宋体"/>
                      <w:color w:val="000000"/>
                      <w:szCs w:val="21"/>
                    </w:rPr>
                  </w:pPr>
                  <w:r>
                    <w:rPr>
                      <w:rFonts w:hint="eastAsia" w:ascii="宋体" w:hAnsi="宋体" w:cs="宋体"/>
                      <w:color w:val="000000"/>
                      <w:szCs w:val="21"/>
                    </w:rPr>
                    <w:t>3.13、进度：支持教师按照学生和教学大纲两种维度查看进度；可查看学生完成教学组件的情况，统计各组件学习次数、学习时长等数据；支持学习记录导出。</w:t>
                  </w:r>
                </w:p>
              </w:tc>
            </w:tr>
            <w:tr w14:paraId="628E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35F3A6E">
                  <w:pPr>
                    <w:spacing w:line="288" w:lineRule="auto"/>
                    <w:jc w:val="center"/>
                    <w:rPr>
                      <w:rFonts w:hint="eastAsia" w:ascii="宋体" w:hAnsi="宋体" w:cs="宋体"/>
                      <w:color w:val="000000"/>
                      <w:szCs w:val="21"/>
                    </w:rPr>
                  </w:pPr>
                </w:p>
              </w:tc>
              <w:tc>
                <w:tcPr>
                  <w:tcW w:w="670" w:type="pct"/>
                  <w:vMerge w:val="continue"/>
                </w:tcPr>
                <w:p w14:paraId="19DDF379">
                  <w:pPr>
                    <w:spacing w:line="288" w:lineRule="auto"/>
                    <w:rPr>
                      <w:rFonts w:hint="eastAsia" w:ascii="宋体" w:hAnsi="宋体" w:cs="宋体"/>
                      <w:color w:val="000000"/>
                      <w:szCs w:val="21"/>
                    </w:rPr>
                  </w:pPr>
                </w:p>
              </w:tc>
              <w:tc>
                <w:tcPr>
                  <w:tcW w:w="3832" w:type="pct"/>
                </w:tcPr>
                <w:p w14:paraId="06171F67">
                  <w:pPr>
                    <w:spacing w:line="288" w:lineRule="auto"/>
                    <w:jc w:val="left"/>
                    <w:rPr>
                      <w:rFonts w:hint="eastAsia" w:ascii="宋体" w:hAnsi="宋体" w:cs="宋体"/>
                      <w:color w:val="000000"/>
                      <w:szCs w:val="21"/>
                    </w:rPr>
                  </w:pPr>
                  <w:r>
                    <w:rPr>
                      <w:rFonts w:hint="eastAsia" w:ascii="宋体" w:hAnsi="宋体" w:cs="宋体"/>
                      <w:color w:val="000000"/>
                      <w:szCs w:val="21"/>
                    </w:rPr>
                    <w:t>3.14、测验：教师可查看学生随堂测验和视频测验的详情（测验名称、题数、完成人数、平均分数、每个学生当前试卷的答题详情等），教师还可通过学情分析从测验试题的维度查看详情，支持查看每道题题面和答题选项，以及每个选项正确率，和每个学生该道题的答题情况等信息。</w:t>
                  </w:r>
                </w:p>
              </w:tc>
            </w:tr>
            <w:tr w14:paraId="2C89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30A0E3C4">
                  <w:pPr>
                    <w:spacing w:line="288" w:lineRule="auto"/>
                    <w:jc w:val="center"/>
                    <w:rPr>
                      <w:rFonts w:hint="eastAsia" w:ascii="宋体" w:hAnsi="宋体" w:cs="宋体"/>
                      <w:color w:val="000000"/>
                      <w:szCs w:val="21"/>
                    </w:rPr>
                  </w:pPr>
                </w:p>
              </w:tc>
              <w:tc>
                <w:tcPr>
                  <w:tcW w:w="670" w:type="pct"/>
                  <w:vMerge w:val="continue"/>
                </w:tcPr>
                <w:p w14:paraId="064B551F">
                  <w:pPr>
                    <w:spacing w:line="288" w:lineRule="auto"/>
                    <w:rPr>
                      <w:rFonts w:hint="eastAsia" w:ascii="宋体" w:hAnsi="宋体" w:cs="宋体"/>
                      <w:color w:val="000000"/>
                      <w:szCs w:val="21"/>
                    </w:rPr>
                  </w:pPr>
                </w:p>
              </w:tc>
              <w:tc>
                <w:tcPr>
                  <w:tcW w:w="3832" w:type="pct"/>
                </w:tcPr>
                <w:p w14:paraId="22811C1A">
                  <w:pPr>
                    <w:spacing w:line="288" w:lineRule="auto"/>
                    <w:rPr>
                      <w:rFonts w:hint="eastAsia" w:ascii="宋体" w:hAnsi="宋体" w:cs="宋体"/>
                      <w:color w:val="000000"/>
                      <w:szCs w:val="21"/>
                    </w:rPr>
                  </w:pPr>
                  <w:r>
                    <w:rPr>
                      <w:rFonts w:hint="eastAsia" w:ascii="宋体" w:hAnsi="宋体" w:cs="宋体"/>
                      <w:color w:val="000000"/>
                      <w:szCs w:val="21"/>
                    </w:rPr>
                    <w:t>3.15、总结：支持教师对学生总结进行查看和打分；支持个人总结和团队总结两种总结提交方式，并支持分别打分和设置考核权重；支持查看未提交人数或未提交团队数；支持批量导出学生总结；支持教师退回已提交的总结，学生可重新提交。</w:t>
                  </w:r>
                </w:p>
              </w:tc>
            </w:tr>
            <w:tr w14:paraId="6FCE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4F643A8">
                  <w:pPr>
                    <w:spacing w:line="288" w:lineRule="auto"/>
                    <w:jc w:val="center"/>
                    <w:rPr>
                      <w:rFonts w:hint="eastAsia" w:ascii="宋体" w:hAnsi="宋体" w:cs="宋体"/>
                      <w:color w:val="000000"/>
                      <w:szCs w:val="21"/>
                    </w:rPr>
                  </w:pPr>
                </w:p>
              </w:tc>
              <w:tc>
                <w:tcPr>
                  <w:tcW w:w="670" w:type="pct"/>
                  <w:vMerge w:val="continue"/>
                </w:tcPr>
                <w:p w14:paraId="31AC4E85">
                  <w:pPr>
                    <w:spacing w:line="288" w:lineRule="auto"/>
                    <w:rPr>
                      <w:rFonts w:hint="eastAsia" w:ascii="宋体" w:hAnsi="宋体" w:cs="宋体"/>
                      <w:color w:val="000000"/>
                      <w:szCs w:val="21"/>
                    </w:rPr>
                  </w:pPr>
                </w:p>
              </w:tc>
              <w:tc>
                <w:tcPr>
                  <w:tcW w:w="3832" w:type="pct"/>
                </w:tcPr>
                <w:p w14:paraId="148C3E42">
                  <w:pPr>
                    <w:spacing w:line="288" w:lineRule="auto"/>
                    <w:jc w:val="left"/>
                    <w:rPr>
                      <w:rFonts w:hint="eastAsia" w:ascii="宋体" w:hAnsi="宋体" w:cs="宋体"/>
                      <w:color w:val="000000"/>
                      <w:szCs w:val="21"/>
                    </w:rPr>
                  </w:pPr>
                  <w:r>
                    <w:rPr>
                      <w:rFonts w:hint="eastAsia" w:ascii="宋体" w:hAnsi="宋体" w:cs="宋体"/>
                      <w:color w:val="000000"/>
                      <w:szCs w:val="21"/>
                    </w:rPr>
                    <w:t>3.16、投票：支持教师随时发起个人、团队、自定义投票，可设置投票的持续时间；支持查看投票结果。</w:t>
                  </w:r>
                </w:p>
              </w:tc>
            </w:tr>
            <w:tr w14:paraId="1263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082387C">
                  <w:pPr>
                    <w:spacing w:line="288" w:lineRule="auto"/>
                    <w:jc w:val="center"/>
                    <w:rPr>
                      <w:rFonts w:hint="eastAsia" w:ascii="宋体" w:hAnsi="宋体" w:cs="宋体"/>
                      <w:color w:val="000000"/>
                      <w:szCs w:val="21"/>
                    </w:rPr>
                  </w:pPr>
                </w:p>
              </w:tc>
              <w:tc>
                <w:tcPr>
                  <w:tcW w:w="670" w:type="pct"/>
                  <w:vMerge w:val="continue"/>
                </w:tcPr>
                <w:p w14:paraId="17B46605">
                  <w:pPr>
                    <w:spacing w:line="288" w:lineRule="auto"/>
                    <w:rPr>
                      <w:rFonts w:hint="eastAsia" w:ascii="宋体" w:hAnsi="宋体" w:cs="宋体"/>
                      <w:color w:val="000000"/>
                      <w:szCs w:val="21"/>
                    </w:rPr>
                  </w:pPr>
                </w:p>
              </w:tc>
              <w:tc>
                <w:tcPr>
                  <w:tcW w:w="3832" w:type="pct"/>
                </w:tcPr>
                <w:p w14:paraId="65083207">
                  <w:pPr>
                    <w:spacing w:line="288" w:lineRule="auto"/>
                    <w:jc w:val="left"/>
                    <w:rPr>
                      <w:rFonts w:hint="eastAsia" w:ascii="宋体" w:hAnsi="宋体" w:cs="宋体"/>
                      <w:color w:val="000000"/>
                      <w:szCs w:val="21"/>
                    </w:rPr>
                  </w:pPr>
                  <w:r>
                    <w:rPr>
                      <w:rFonts w:hint="eastAsia" w:ascii="宋体" w:hAnsi="宋体" w:cs="宋体"/>
                      <w:color w:val="000000"/>
                      <w:szCs w:val="21"/>
                    </w:rPr>
                    <w:t>3.17、弹幕：教师可以开启教学班的弹幕，发起弹幕活动，设置弹幕的结束时间，设置弹幕是否匿名。教师可以发送弹幕，可以管理弹幕，禁言班级内学生。教师可查看弹幕发布列表。系统预置屏蔽词，自动屏蔽部分不当言论，同时支持教师依据实际情况设置弹幕的屏蔽词。</w:t>
                  </w:r>
                </w:p>
              </w:tc>
            </w:tr>
            <w:tr w14:paraId="28A6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6887B6F">
                  <w:pPr>
                    <w:spacing w:line="288" w:lineRule="auto"/>
                    <w:jc w:val="center"/>
                    <w:rPr>
                      <w:rFonts w:hint="eastAsia" w:ascii="宋体" w:hAnsi="宋体" w:cs="宋体"/>
                      <w:color w:val="000000"/>
                      <w:szCs w:val="21"/>
                    </w:rPr>
                  </w:pPr>
                </w:p>
              </w:tc>
              <w:tc>
                <w:tcPr>
                  <w:tcW w:w="670" w:type="pct"/>
                  <w:vMerge w:val="continue"/>
                </w:tcPr>
                <w:p w14:paraId="3251B4F6">
                  <w:pPr>
                    <w:spacing w:line="288" w:lineRule="auto"/>
                    <w:rPr>
                      <w:rFonts w:hint="eastAsia" w:ascii="宋体" w:hAnsi="宋体" w:cs="宋体"/>
                      <w:color w:val="000000"/>
                      <w:szCs w:val="21"/>
                    </w:rPr>
                  </w:pPr>
                </w:p>
              </w:tc>
              <w:tc>
                <w:tcPr>
                  <w:tcW w:w="3832" w:type="pct"/>
                </w:tcPr>
                <w:p w14:paraId="203257A9">
                  <w:pPr>
                    <w:spacing w:line="288" w:lineRule="auto"/>
                    <w:jc w:val="left"/>
                    <w:rPr>
                      <w:rFonts w:hint="eastAsia" w:ascii="宋体" w:hAnsi="宋体" w:cs="宋体"/>
                      <w:color w:val="000000"/>
                      <w:szCs w:val="21"/>
                    </w:rPr>
                  </w:pPr>
                  <w:r>
                    <w:rPr>
                      <w:rFonts w:hint="eastAsia" w:ascii="宋体" w:hAnsi="宋体" w:cs="宋体"/>
                      <w:color w:val="000000"/>
                      <w:szCs w:val="21"/>
                    </w:rPr>
                    <w:t>3.18、问答：教师可以查看和管理全班发起的问答，可针对学生的提问进行回答，可筛选@我的/我回复的/我发起的问答，或者按照项目筛选查看学生提出的问题。教师也可向学生提出思考的问题，同时也可@个别学生指定回答，教师可针对学生的回复进行点赞。教师可以将典型有代表性的问答进行置顶展示。教师可搜索问答进行查看。教师可删除不当言论或提问。系统预置不少于6种表情类型，帮助师生充分表达。</w:t>
                  </w:r>
                </w:p>
              </w:tc>
            </w:tr>
            <w:tr w14:paraId="1B09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5D0F2631">
                  <w:pPr>
                    <w:spacing w:line="288" w:lineRule="auto"/>
                    <w:jc w:val="center"/>
                    <w:rPr>
                      <w:rFonts w:hint="eastAsia" w:ascii="宋体" w:hAnsi="宋体" w:cs="宋体"/>
                      <w:color w:val="000000"/>
                      <w:szCs w:val="21"/>
                    </w:rPr>
                  </w:pPr>
                </w:p>
              </w:tc>
              <w:tc>
                <w:tcPr>
                  <w:tcW w:w="670" w:type="pct"/>
                  <w:vMerge w:val="continue"/>
                </w:tcPr>
                <w:p w14:paraId="5C4BAAE5">
                  <w:pPr>
                    <w:spacing w:line="288" w:lineRule="auto"/>
                    <w:rPr>
                      <w:rFonts w:hint="eastAsia" w:ascii="宋体" w:hAnsi="宋体" w:cs="宋体"/>
                      <w:color w:val="000000"/>
                      <w:szCs w:val="21"/>
                    </w:rPr>
                  </w:pPr>
                </w:p>
              </w:tc>
              <w:tc>
                <w:tcPr>
                  <w:tcW w:w="3832" w:type="pct"/>
                </w:tcPr>
                <w:p w14:paraId="7A6B339F">
                  <w:pPr>
                    <w:spacing w:line="288" w:lineRule="auto"/>
                    <w:jc w:val="left"/>
                    <w:rPr>
                      <w:rFonts w:hint="eastAsia" w:ascii="宋体" w:hAnsi="宋体" w:cs="宋体"/>
                      <w:color w:val="000000"/>
                      <w:szCs w:val="21"/>
                    </w:rPr>
                  </w:pPr>
                  <w:r>
                    <w:rPr>
                      <w:rFonts w:hint="eastAsia" w:ascii="宋体" w:hAnsi="宋体" w:cs="宋体"/>
                      <w:color w:val="000000"/>
                      <w:szCs w:val="21"/>
                    </w:rPr>
                    <w:t>3.19、讨论：教师可以查看和管理全班发起的讨论话题，可以对优秀或重要的讨论进行置顶展示；教师可以针对讨论进行回复或点赞，并可删除不当话题或回复。教师可以发起话题，供全班同学讨论，可以@班内用户。教师可以筛选讨论，支持按照项目或者按照教师自己所发布的/@我的/回复我的等方式进行筛选，并可搜索讨论；系统预置不少于6种表情类型，帮助师生充分表达。</w:t>
                  </w:r>
                </w:p>
              </w:tc>
            </w:tr>
            <w:tr w14:paraId="2B1B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4B6A4ED">
                  <w:pPr>
                    <w:spacing w:line="288" w:lineRule="auto"/>
                    <w:jc w:val="center"/>
                    <w:rPr>
                      <w:rFonts w:hint="eastAsia" w:ascii="宋体" w:hAnsi="宋体" w:cs="宋体"/>
                      <w:color w:val="000000"/>
                      <w:szCs w:val="21"/>
                    </w:rPr>
                  </w:pPr>
                </w:p>
              </w:tc>
              <w:tc>
                <w:tcPr>
                  <w:tcW w:w="670" w:type="pct"/>
                  <w:vMerge w:val="continue"/>
                </w:tcPr>
                <w:p w14:paraId="2F0F98D2">
                  <w:pPr>
                    <w:spacing w:line="288" w:lineRule="auto"/>
                    <w:rPr>
                      <w:rFonts w:hint="eastAsia" w:ascii="宋体" w:hAnsi="宋体" w:cs="宋体"/>
                      <w:color w:val="000000"/>
                      <w:szCs w:val="21"/>
                    </w:rPr>
                  </w:pPr>
                </w:p>
              </w:tc>
              <w:tc>
                <w:tcPr>
                  <w:tcW w:w="3832" w:type="pct"/>
                </w:tcPr>
                <w:p w14:paraId="743BC3E4">
                  <w:pPr>
                    <w:spacing w:line="288" w:lineRule="auto"/>
                    <w:jc w:val="left"/>
                    <w:rPr>
                      <w:rFonts w:hint="eastAsia" w:ascii="宋体" w:hAnsi="宋体" w:cs="宋体"/>
                      <w:color w:val="000000"/>
                      <w:szCs w:val="21"/>
                    </w:rPr>
                  </w:pPr>
                  <w:r>
                    <w:rPr>
                      <w:rFonts w:hint="eastAsia" w:ascii="宋体" w:hAnsi="宋体" w:cs="宋体"/>
                      <w:color w:val="000000"/>
                      <w:szCs w:val="21"/>
                    </w:rPr>
                    <w:t>3.20、笔记：教师可以查看和管理全班的公开笔记。可以针对笔记进行点赞或回复点评，教师可在回复时@学生以便学生引起重视。教师可以删除内容不当的笔记或笔记回复。教师可置顶精华笔记。教师可以按照项目/@我的/我回复的筛选查看学生笔记。系统预置不少于6种表情类型，帮助师生充分表达。</w:t>
                  </w:r>
                </w:p>
              </w:tc>
            </w:tr>
            <w:tr w14:paraId="3BFA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E667872">
                  <w:pPr>
                    <w:spacing w:line="288" w:lineRule="auto"/>
                    <w:jc w:val="center"/>
                    <w:rPr>
                      <w:rFonts w:hint="eastAsia" w:ascii="宋体" w:hAnsi="宋体" w:cs="宋体"/>
                      <w:color w:val="000000"/>
                      <w:szCs w:val="21"/>
                    </w:rPr>
                  </w:pPr>
                </w:p>
              </w:tc>
              <w:tc>
                <w:tcPr>
                  <w:tcW w:w="670" w:type="pct"/>
                  <w:vMerge w:val="continue"/>
                </w:tcPr>
                <w:p w14:paraId="6823AFAF">
                  <w:pPr>
                    <w:spacing w:line="288" w:lineRule="auto"/>
                    <w:rPr>
                      <w:rFonts w:hint="eastAsia" w:ascii="宋体" w:hAnsi="宋体" w:cs="宋体"/>
                      <w:color w:val="000000"/>
                      <w:szCs w:val="21"/>
                    </w:rPr>
                  </w:pPr>
                </w:p>
              </w:tc>
              <w:tc>
                <w:tcPr>
                  <w:tcW w:w="3832" w:type="pct"/>
                </w:tcPr>
                <w:p w14:paraId="7F2F547B">
                  <w:pPr>
                    <w:spacing w:line="288" w:lineRule="auto"/>
                    <w:jc w:val="left"/>
                    <w:rPr>
                      <w:rFonts w:hint="eastAsia" w:ascii="宋体" w:hAnsi="宋体" w:cs="宋体"/>
                      <w:color w:val="auto"/>
                      <w:szCs w:val="21"/>
                    </w:rPr>
                  </w:pPr>
                  <w:r>
                    <w:rPr>
                      <w:rFonts w:hint="eastAsia" w:ascii="宋体" w:hAnsi="宋体" w:cs="宋体"/>
                      <w:color w:val="auto"/>
                      <w:szCs w:val="21"/>
                    </w:rPr>
                    <w:t>3.21、班级设置：展示教学班信息；支持设置修改班级基本信息，包括教学班名称、开班时间、结束时间、上传班级封面；支持设置授课团队，支持同一个班级至少4名主讲老师，至少15名课程助教，并且可随时修改。</w:t>
                  </w:r>
                </w:p>
              </w:tc>
            </w:tr>
            <w:tr w14:paraId="0B0D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3C5B5A6">
                  <w:pPr>
                    <w:spacing w:line="288" w:lineRule="auto"/>
                    <w:jc w:val="center"/>
                    <w:rPr>
                      <w:rFonts w:hint="eastAsia" w:ascii="宋体" w:hAnsi="宋体" w:cs="宋体"/>
                      <w:color w:val="000000"/>
                      <w:szCs w:val="21"/>
                    </w:rPr>
                  </w:pPr>
                </w:p>
              </w:tc>
              <w:tc>
                <w:tcPr>
                  <w:tcW w:w="670" w:type="pct"/>
                  <w:vMerge w:val="continue"/>
                </w:tcPr>
                <w:p w14:paraId="6F2C610C">
                  <w:pPr>
                    <w:spacing w:line="288" w:lineRule="auto"/>
                    <w:rPr>
                      <w:rFonts w:hint="eastAsia" w:ascii="宋体" w:hAnsi="宋体" w:cs="宋体"/>
                      <w:color w:val="000000"/>
                      <w:szCs w:val="21"/>
                    </w:rPr>
                  </w:pPr>
                </w:p>
              </w:tc>
              <w:tc>
                <w:tcPr>
                  <w:tcW w:w="3832" w:type="pct"/>
                </w:tcPr>
                <w:p w14:paraId="4B48D7BC">
                  <w:pPr>
                    <w:spacing w:line="288" w:lineRule="auto"/>
                    <w:rPr>
                      <w:rFonts w:hint="eastAsia" w:ascii="宋体" w:hAnsi="宋体" w:cs="宋体"/>
                      <w:color w:val="auto"/>
                      <w:szCs w:val="21"/>
                    </w:rPr>
                  </w:pPr>
                  <w:r>
                    <w:rPr>
                      <w:rFonts w:hint="eastAsia" w:ascii="宋体" w:hAnsi="宋体" w:cs="宋体"/>
                      <w:color w:val="auto"/>
                      <w:szCs w:val="21"/>
                    </w:rPr>
                    <w:t>3.22、考试题库：支持添加试题分类，可自定义分类名称；支持在分类下添加或批量导入试题；支持单选、多选、判断题型；支持设置题面、难度、答案、分数等信息；试题添加后支持随时编辑、删除；支持筛选和搜索。</w:t>
                  </w:r>
                </w:p>
              </w:tc>
            </w:tr>
            <w:tr w14:paraId="69EB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804E8F0">
                  <w:pPr>
                    <w:spacing w:line="288" w:lineRule="auto"/>
                    <w:jc w:val="center"/>
                    <w:rPr>
                      <w:rFonts w:hint="eastAsia" w:ascii="宋体" w:hAnsi="宋体" w:cs="宋体"/>
                      <w:color w:val="000000"/>
                      <w:szCs w:val="21"/>
                    </w:rPr>
                  </w:pPr>
                </w:p>
              </w:tc>
              <w:tc>
                <w:tcPr>
                  <w:tcW w:w="670" w:type="pct"/>
                  <w:vMerge w:val="continue"/>
                </w:tcPr>
                <w:p w14:paraId="7DF38AD2">
                  <w:pPr>
                    <w:spacing w:line="288" w:lineRule="auto"/>
                    <w:rPr>
                      <w:rFonts w:hint="eastAsia" w:ascii="宋体" w:hAnsi="宋体" w:cs="宋体"/>
                      <w:color w:val="000000"/>
                      <w:szCs w:val="21"/>
                    </w:rPr>
                  </w:pPr>
                </w:p>
              </w:tc>
              <w:tc>
                <w:tcPr>
                  <w:tcW w:w="3832" w:type="pct"/>
                </w:tcPr>
                <w:p w14:paraId="37AAF02B">
                  <w:pPr>
                    <w:spacing w:line="288" w:lineRule="auto"/>
                    <w:jc w:val="left"/>
                    <w:rPr>
                      <w:rFonts w:hint="eastAsia" w:ascii="宋体" w:hAnsi="宋体" w:cs="宋体"/>
                      <w:color w:val="000000"/>
                      <w:szCs w:val="21"/>
                    </w:rPr>
                  </w:pPr>
                  <w:r>
                    <w:rPr>
                      <w:rFonts w:hint="eastAsia" w:ascii="宋体" w:hAnsi="宋体" w:cs="宋体"/>
                      <w:color w:val="000000"/>
                      <w:szCs w:val="21"/>
                    </w:rPr>
                    <w:t>3.23、考试策略：支持编辑考试科目，设置考试科目名称，在科目下设置考试策略；支持选择科目、选择题库、设置答题时间限制、及格标准；未发布的考试策略可随时编辑，考试策略发布后，可被全校教师引用。</w:t>
                  </w:r>
                </w:p>
              </w:tc>
            </w:tr>
            <w:tr w14:paraId="04CB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0461D84">
                  <w:pPr>
                    <w:spacing w:line="288" w:lineRule="auto"/>
                    <w:jc w:val="center"/>
                    <w:rPr>
                      <w:rFonts w:hint="eastAsia" w:ascii="宋体" w:hAnsi="宋体" w:cs="宋体"/>
                      <w:color w:val="000000"/>
                      <w:szCs w:val="21"/>
                    </w:rPr>
                  </w:pPr>
                </w:p>
              </w:tc>
              <w:tc>
                <w:tcPr>
                  <w:tcW w:w="670" w:type="pct"/>
                  <w:vMerge w:val="continue"/>
                </w:tcPr>
                <w:p w14:paraId="36E808E9">
                  <w:pPr>
                    <w:spacing w:line="288" w:lineRule="auto"/>
                    <w:rPr>
                      <w:rFonts w:hint="eastAsia" w:ascii="宋体" w:hAnsi="宋体" w:cs="宋体"/>
                      <w:color w:val="000000"/>
                      <w:szCs w:val="21"/>
                    </w:rPr>
                  </w:pPr>
                </w:p>
              </w:tc>
              <w:tc>
                <w:tcPr>
                  <w:tcW w:w="3832" w:type="pct"/>
                </w:tcPr>
                <w:p w14:paraId="5A38F476">
                  <w:pPr>
                    <w:spacing w:line="288" w:lineRule="auto"/>
                    <w:jc w:val="left"/>
                    <w:rPr>
                      <w:rFonts w:hint="eastAsia" w:ascii="宋体" w:hAnsi="宋体" w:cs="宋体"/>
                      <w:color w:val="000000"/>
                      <w:szCs w:val="21"/>
                    </w:rPr>
                  </w:pPr>
                  <w:r>
                    <w:rPr>
                      <w:rFonts w:hint="eastAsia" w:ascii="宋体" w:hAnsi="宋体" w:cs="宋体"/>
                      <w:color w:val="000000"/>
                      <w:szCs w:val="21"/>
                    </w:rPr>
                    <w:t>3.24、支持按照课程统计查看统计信息，展示信息有评分、开班数量、学习人数、平均成绩、项目数、资源数、任务数、工作应用数、资源分布及文档资源分布；可切换班级查看统计信息。</w:t>
                  </w:r>
                </w:p>
              </w:tc>
            </w:tr>
            <w:tr w14:paraId="3DB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60D6DE13">
                  <w:pPr>
                    <w:spacing w:line="288" w:lineRule="auto"/>
                    <w:jc w:val="center"/>
                    <w:rPr>
                      <w:rFonts w:hint="eastAsia" w:ascii="宋体" w:hAnsi="宋体" w:cs="宋体"/>
                      <w:color w:val="000000"/>
                      <w:szCs w:val="21"/>
                    </w:rPr>
                  </w:pPr>
                </w:p>
              </w:tc>
              <w:tc>
                <w:tcPr>
                  <w:tcW w:w="670" w:type="pct"/>
                  <w:vMerge w:val="continue"/>
                </w:tcPr>
                <w:p w14:paraId="4CA3039C">
                  <w:pPr>
                    <w:spacing w:line="288" w:lineRule="auto"/>
                    <w:rPr>
                      <w:rFonts w:hint="eastAsia" w:ascii="宋体" w:hAnsi="宋体" w:cs="宋体"/>
                      <w:color w:val="000000"/>
                      <w:szCs w:val="21"/>
                    </w:rPr>
                  </w:pPr>
                </w:p>
              </w:tc>
              <w:tc>
                <w:tcPr>
                  <w:tcW w:w="3832" w:type="pct"/>
                </w:tcPr>
                <w:p w14:paraId="5AF2114D">
                  <w:pPr>
                    <w:spacing w:line="288" w:lineRule="auto"/>
                    <w:rPr>
                      <w:rFonts w:hint="eastAsia" w:ascii="宋体" w:hAnsi="宋体" w:cs="宋体"/>
                      <w:color w:val="000000"/>
                      <w:szCs w:val="21"/>
                    </w:rPr>
                  </w:pPr>
                  <w:r>
                    <w:rPr>
                      <w:rFonts w:hint="eastAsia" w:ascii="宋体" w:hAnsi="宋体" w:cs="宋体"/>
                      <w:color w:val="000000"/>
                      <w:szCs w:val="21"/>
                    </w:rPr>
                    <w:t>3.25、支持按照教学班查看学情统计，展示信息有考勤率、作业提交率、平均成绩、测试正确率、课程时长、学习态度、疑点难点、团队表现、能力成长等统计信息；可切换教学班查看统计信息。</w:t>
                  </w:r>
                </w:p>
              </w:tc>
            </w:tr>
            <w:tr w14:paraId="7C0B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D948095">
                  <w:pPr>
                    <w:spacing w:line="288" w:lineRule="auto"/>
                    <w:jc w:val="center"/>
                    <w:rPr>
                      <w:rFonts w:hint="eastAsia" w:ascii="宋体" w:hAnsi="宋体" w:cs="宋体"/>
                      <w:color w:val="000000"/>
                      <w:szCs w:val="21"/>
                    </w:rPr>
                  </w:pPr>
                </w:p>
              </w:tc>
              <w:tc>
                <w:tcPr>
                  <w:tcW w:w="670" w:type="pct"/>
                  <w:vMerge w:val="continue"/>
                </w:tcPr>
                <w:p w14:paraId="0EE59559">
                  <w:pPr>
                    <w:spacing w:line="288" w:lineRule="auto"/>
                    <w:rPr>
                      <w:rFonts w:hint="eastAsia" w:ascii="宋体" w:hAnsi="宋体" w:cs="宋体"/>
                      <w:color w:val="000000"/>
                      <w:szCs w:val="21"/>
                    </w:rPr>
                  </w:pPr>
                </w:p>
              </w:tc>
              <w:tc>
                <w:tcPr>
                  <w:tcW w:w="3832" w:type="pct"/>
                </w:tcPr>
                <w:p w14:paraId="7CDA0821">
                  <w:pPr>
                    <w:spacing w:line="288" w:lineRule="auto"/>
                    <w:rPr>
                      <w:rFonts w:hint="eastAsia" w:ascii="宋体" w:hAnsi="宋体" w:cs="宋体"/>
                      <w:b/>
                      <w:bCs/>
                      <w:color w:val="000000"/>
                      <w:szCs w:val="21"/>
                    </w:rPr>
                  </w:pPr>
                  <w:r>
                    <w:rPr>
                      <w:rFonts w:hint="eastAsia" w:ascii="宋体" w:hAnsi="宋体" w:cs="宋体"/>
                      <w:b/>
                      <w:bCs/>
                      <w:color w:val="000000"/>
                      <w:szCs w:val="21"/>
                    </w:rPr>
                    <w:t>四、学生管理系统功能指标</w:t>
                  </w:r>
                </w:p>
                <w:p w14:paraId="4DC30314">
                  <w:pPr>
                    <w:spacing w:line="288" w:lineRule="auto"/>
                    <w:rPr>
                      <w:rFonts w:hint="eastAsia" w:ascii="宋体" w:hAnsi="宋体" w:cs="宋体"/>
                      <w:color w:val="000000"/>
                      <w:szCs w:val="21"/>
                    </w:rPr>
                  </w:pPr>
                  <w:r>
                    <w:rPr>
                      <w:rFonts w:hint="eastAsia" w:ascii="宋体" w:hAnsi="宋体" w:cs="宋体"/>
                      <w:color w:val="000000"/>
                      <w:szCs w:val="21"/>
                    </w:rPr>
                    <w:t>4.1、工作台：支持学生加入已配置能力模型的课程后，展示学生当前课程相关的能力掌握情况与能力进阶情况；智能预测学生的能力情况与岗位能力要求的匹配度；支持学生切换不同岗位查看岗位匹配度。</w:t>
                  </w:r>
                </w:p>
              </w:tc>
            </w:tr>
            <w:tr w14:paraId="0FA1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36837D1">
                  <w:pPr>
                    <w:spacing w:line="288" w:lineRule="auto"/>
                    <w:jc w:val="center"/>
                    <w:rPr>
                      <w:rFonts w:hint="eastAsia" w:ascii="宋体" w:hAnsi="宋体" w:cs="宋体"/>
                      <w:color w:val="000000"/>
                      <w:szCs w:val="21"/>
                    </w:rPr>
                  </w:pPr>
                </w:p>
              </w:tc>
              <w:tc>
                <w:tcPr>
                  <w:tcW w:w="670" w:type="pct"/>
                  <w:vMerge w:val="continue"/>
                </w:tcPr>
                <w:p w14:paraId="6267F4A3">
                  <w:pPr>
                    <w:spacing w:line="288" w:lineRule="auto"/>
                    <w:rPr>
                      <w:rFonts w:hint="eastAsia" w:ascii="宋体" w:hAnsi="宋体" w:cs="宋体"/>
                      <w:color w:val="000000"/>
                      <w:szCs w:val="21"/>
                    </w:rPr>
                  </w:pPr>
                </w:p>
              </w:tc>
              <w:tc>
                <w:tcPr>
                  <w:tcW w:w="3832" w:type="pct"/>
                </w:tcPr>
                <w:p w14:paraId="1CA18091">
                  <w:pPr>
                    <w:spacing w:line="288" w:lineRule="auto"/>
                    <w:rPr>
                      <w:rFonts w:hint="eastAsia" w:ascii="宋体" w:hAnsi="宋体" w:cs="宋体"/>
                      <w:color w:val="000000"/>
                      <w:szCs w:val="21"/>
                    </w:rPr>
                  </w:pPr>
                  <w:r>
                    <w:rPr>
                      <w:rFonts w:hint="eastAsia" w:ascii="宋体" w:hAnsi="宋体" w:cs="宋体"/>
                      <w:color w:val="000000"/>
                      <w:szCs w:val="21"/>
                    </w:rPr>
                    <w:t>4.2、工作台：支持根据学生的学习进度及学习情况智能推荐项目，展示项目的名称、难度等信息，支持学生点击项目卡片进入项目进行学习。</w:t>
                  </w:r>
                </w:p>
              </w:tc>
            </w:tr>
            <w:tr w14:paraId="184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B57EC26">
                  <w:pPr>
                    <w:spacing w:line="288" w:lineRule="auto"/>
                    <w:jc w:val="center"/>
                    <w:rPr>
                      <w:rFonts w:hint="eastAsia" w:ascii="宋体" w:hAnsi="宋体" w:cs="宋体"/>
                      <w:color w:val="000000"/>
                      <w:szCs w:val="21"/>
                    </w:rPr>
                  </w:pPr>
                </w:p>
              </w:tc>
              <w:tc>
                <w:tcPr>
                  <w:tcW w:w="670" w:type="pct"/>
                  <w:vMerge w:val="continue"/>
                </w:tcPr>
                <w:p w14:paraId="618D3DE2">
                  <w:pPr>
                    <w:spacing w:line="288" w:lineRule="auto"/>
                    <w:rPr>
                      <w:rFonts w:hint="eastAsia" w:ascii="宋体" w:hAnsi="宋体" w:cs="宋体"/>
                      <w:color w:val="000000"/>
                      <w:szCs w:val="21"/>
                    </w:rPr>
                  </w:pPr>
                </w:p>
              </w:tc>
              <w:tc>
                <w:tcPr>
                  <w:tcW w:w="3832" w:type="pct"/>
                </w:tcPr>
                <w:p w14:paraId="073AFAAE">
                  <w:pPr>
                    <w:spacing w:line="288" w:lineRule="auto"/>
                    <w:rPr>
                      <w:rFonts w:hint="eastAsia" w:ascii="宋体" w:hAnsi="宋体" w:cs="宋体"/>
                      <w:color w:val="000000"/>
                      <w:szCs w:val="21"/>
                    </w:rPr>
                  </w:pPr>
                  <w:r>
                    <w:rPr>
                      <w:rFonts w:hint="eastAsia" w:ascii="宋体" w:hAnsi="宋体" w:cs="宋体"/>
                      <w:color w:val="000000"/>
                      <w:szCs w:val="21"/>
                    </w:rPr>
                    <w:t>4.3、工作台：支持根据学生已学课程自动生成学生个人的知识图谱。</w:t>
                  </w:r>
                </w:p>
              </w:tc>
            </w:tr>
            <w:tr w14:paraId="2682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FBB0946">
                  <w:pPr>
                    <w:spacing w:line="288" w:lineRule="auto"/>
                    <w:jc w:val="center"/>
                    <w:rPr>
                      <w:rFonts w:hint="eastAsia" w:ascii="宋体" w:hAnsi="宋体" w:cs="宋体"/>
                      <w:color w:val="000000"/>
                      <w:szCs w:val="21"/>
                    </w:rPr>
                  </w:pPr>
                </w:p>
              </w:tc>
              <w:tc>
                <w:tcPr>
                  <w:tcW w:w="670" w:type="pct"/>
                  <w:vMerge w:val="continue"/>
                </w:tcPr>
                <w:p w14:paraId="7DE0A4A6">
                  <w:pPr>
                    <w:spacing w:line="288" w:lineRule="auto"/>
                    <w:rPr>
                      <w:rFonts w:hint="eastAsia" w:ascii="宋体" w:hAnsi="宋体" w:cs="宋体"/>
                      <w:color w:val="000000"/>
                      <w:szCs w:val="21"/>
                    </w:rPr>
                  </w:pPr>
                </w:p>
              </w:tc>
              <w:tc>
                <w:tcPr>
                  <w:tcW w:w="3832" w:type="pct"/>
                </w:tcPr>
                <w:p w14:paraId="665EDABD">
                  <w:pPr>
                    <w:spacing w:line="288" w:lineRule="auto"/>
                    <w:rPr>
                      <w:rFonts w:hint="eastAsia" w:ascii="宋体" w:hAnsi="宋体" w:cs="宋体"/>
                      <w:color w:val="000000"/>
                      <w:szCs w:val="21"/>
                    </w:rPr>
                  </w:pPr>
                  <w:r>
                    <w:rPr>
                      <w:rFonts w:hint="eastAsia" w:ascii="宋体" w:hAnsi="宋体" w:cs="宋体"/>
                      <w:b/>
                      <w:bCs/>
                      <w:color w:val="FF0000"/>
                      <w:szCs w:val="21"/>
                    </w:rPr>
                    <w:t>▲4.4、VR任务：支持学生通过VR设备或在电脑上查看VR资源完成复杂内容的学习，系统自动甄别，并获取成绩。</w:t>
                  </w:r>
                  <w:r>
                    <w:rPr>
                      <w:rFonts w:hint="eastAsia" w:ascii="宋体" w:hAnsi="宋体" w:cs="宋体"/>
                      <w:b/>
                      <w:bCs/>
                      <w:color w:val="FF0000"/>
                      <w:szCs w:val="21"/>
                      <w:lang w:eastAsia="zh-CN"/>
                    </w:rPr>
                    <w:t>【</w:t>
                  </w:r>
                  <w:r>
                    <w:rPr>
                      <w:rFonts w:hint="eastAsia" w:ascii="宋体" w:hAnsi="宋体" w:cs="宋体"/>
                      <w:b/>
                      <w:bCs/>
                      <w:color w:val="FF0000"/>
                      <w:szCs w:val="21"/>
                    </w:rPr>
                    <w:t>需提供满足该项技术要求的产品功能截图</w:t>
                  </w:r>
                  <w:r>
                    <w:rPr>
                      <w:rFonts w:hint="eastAsia" w:ascii="宋体" w:hAnsi="宋体" w:cs="宋体"/>
                      <w:b/>
                      <w:bCs/>
                      <w:color w:val="FF0000"/>
                      <w:szCs w:val="21"/>
                      <w:lang w:eastAsia="zh-CN"/>
                    </w:rPr>
                    <w:t>】</w:t>
                  </w:r>
                </w:p>
              </w:tc>
            </w:tr>
            <w:tr w14:paraId="4A2E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398F431E">
                  <w:pPr>
                    <w:spacing w:line="288" w:lineRule="auto"/>
                    <w:jc w:val="center"/>
                    <w:rPr>
                      <w:rFonts w:hint="eastAsia" w:ascii="宋体" w:hAnsi="宋体" w:cs="宋体"/>
                      <w:color w:val="000000"/>
                      <w:szCs w:val="21"/>
                    </w:rPr>
                  </w:pPr>
                </w:p>
              </w:tc>
              <w:tc>
                <w:tcPr>
                  <w:tcW w:w="670" w:type="pct"/>
                  <w:vMerge w:val="continue"/>
                </w:tcPr>
                <w:p w14:paraId="79964218">
                  <w:pPr>
                    <w:spacing w:line="288" w:lineRule="auto"/>
                    <w:rPr>
                      <w:rFonts w:hint="eastAsia" w:ascii="宋体" w:hAnsi="宋体" w:cs="宋体"/>
                      <w:color w:val="000000"/>
                      <w:szCs w:val="21"/>
                    </w:rPr>
                  </w:pPr>
                </w:p>
              </w:tc>
              <w:tc>
                <w:tcPr>
                  <w:tcW w:w="3832" w:type="pct"/>
                </w:tcPr>
                <w:p w14:paraId="69CB59FB">
                  <w:pPr>
                    <w:spacing w:line="288" w:lineRule="auto"/>
                    <w:rPr>
                      <w:rFonts w:hint="eastAsia" w:ascii="宋体" w:hAnsi="宋体" w:cs="宋体"/>
                      <w:color w:val="000000"/>
                      <w:szCs w:val="21"/>
                    </w:rPr>
                  </w:pPr>
                  <w:r>
                    <w:rPr>
                      <w:rFonts w:hint="eastAsia" w:ascii="宋体" w:hAnsi="宋体" w:cs="宋体"/>
                      <w:color w:val="000000"/>
                      <w:szCs w:val="21"/>
                    </w:rPr>
                    <w:t>4.5、签到：支持教学班内签到，学生输入签到口令，响应教师发起的签到进行考勤。</w:t>
                  </w:r>
                </w:p>
              </w:tc>
            </w:tr>
            <w:tr w14:paraId="61F3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673965F">
                  <w:pPr>
                    <w:spacing w:line="288" w:lineRule="auto"/>
                    <w:jc w:val="center"/>
                    <w:rPr>
                      <w:rFonts w:hint="eastAsia" w:ascii="宋体" w:hAnsi="宋体" w:cs="宋体"/>
                      <w:color w:val="000000"/>
                      <w:szCs w:val="21"/>
                    </w:rPr>
                  </w:pPr>
                </w:p>
              </w:tc>
              <w:tc>
                <w:tcPr>
                  <w:tcW w:w="670" w:type="pct"/>
                  <w:vMerge w:val="continue"/>
                </w:tcPr>
                <w:p w14:paraId="38307E6E">
                  <w:pPr>
                    <w:spacing w:line="288" w:lineRule="auto"/>
                    <w:rPr>
                      <w:rFonts w:hint="eastAsia" w:ascii="宋体" w:hAnsi="宋体" w:cs="宋体"/>
                      <w:color w:val="000000"/>
                      <w:szCs w:val="21"/>
                    </w:rPr>
                  </w:pPr>
                </w:p>
              </w:tc>
              <w:tc>
                <w:tcPr>
                  <w:tcW w:w="3832" w:type="pct"/>
                </w:tcPr>
                <w:p w14:paraId="1EAF9773">
                  <w:pPr>
                    <w:spacing w:line="288" w:lineRule="auto"/>
                    <w:rPr>
                      <w:rFonts w:hint="eastAsia" w:ascii="宋体" w:hAnsi="宋体" w:cs="宋体"/>
                      <w:color w:val="000000"/>
                      <w:szCs w:val="21"/>
                    </w:rPr>
                  </w:pPr>
                  <w:r>
                    <w:rPr>
                      <w:rFonts w:hint="eastAsia" w:ascii="宋体" w:hAnsi="宋体" w:cs="宋体"/>
                      <w:color w:val="000000"/>
                      <w:szCs w:val="21"/>
                    </w:rPr>
                    <w:t>4.6、投票：支持学生查看教学班中发起的投票，并在规定时间内完成投票，查看投票结果。</w:t>
                  </w:r>
                </w:p>
              </w:tc>
            </w:tr>
            <w:tr w14:paraId="705F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4DB78C8">
                  <w:pPr>
                    <w:spacing w:line="288" w:lineRule="auto"/>
                    <w:jc w:val="center"/>
                    <w:rPr>
                      <w:rFonts w:hint="eastAsia" w:ascii="宋体" w:hAnsi="宋体" w:cs="宋体"/>
                      <w:color w:val="000000"/>
                      <w:szCs w:val="21"/>
                    </w:rPr>
                  </w:pPr>
                </w:p>
              </w:tc>
              <w:tc>
                <w:tcPr>
                  <w:tcW w:w="670" w:type="pct"/>
                  <w:vMerge w:val="continue"/>
                </w:tcPr>
                <w:p w14:paraId="17854AF6">
                  <w:pPr>
                    <w:spacing w:line="288" w:lineRule="auto"/>
                    <w:rPr>
                      <w:rFonts w:hint="eastAsia" w:ascii="宋体" w:hAnsi="宋体" w:cs="宋体"/>
                      <w:color w:val="000000"/>
                      <w:szCs w:val="21"/>
                    </w:rPr>
                  </w:pPr>
                </w:p>
              </w:tc>
              <w:tc>
                <w:tcPr>
                  <w:tcW w:w="3832" w:type="pct"/>
                </w:tcPr>
                <w:p w14:paraId="1BEC39D5">
                  <w:pPr>
                    <w:spacing w:line="288" w:lineRule="auto"/>
                    <w:rPr>
                      <w:rFonts w:hint="eastAsia" w:ascii="宋体" w:hAnsi="宋体" w:cs="宋体"/>
                      <w:color w:val="000000"/>
                      <w:szCs w:val="21"/>
                    </w:rPr>
                  </w:pPr>
                  <w:r>
                    <w:rPr>
                      <w:rFonts w:hint="eastAsia" w:ascii="宋体" w:hAnsi="宋体" w:cs="宋体"/>
                      <w:color w:val="000000"/>
                      <w:szCs w:val="21"/>
                    </w:rPr>
                    <w:t>4.7、弹幕：支持学生在教师发起弹幕后发射弹幕，支持查看班级其他人发射的弹幕。</w:t>
                  </w:r>
                </w:p>
              </w:tc>
            </w:tr>
            <w:tr w14:paraId="6D22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14E6686D">
                  <w:pPr>
                    <w:spacing w:line="288" w:lineRule="auto"/>
                    <w:jc w:val="center"/>
                    <w:rPr>
                      <w:rFonts w:hint="eastAsia" w:ascii="宋体" w:hAnsi="宋体" w:cs="宋体"/>
                      <w:color w:val="000000"/>
                      <w:szCs w:val="21"/>
                    </w:rPr>
                  </w:pPr>
                </w:p>
              </w:tc>
              <w:tc>
                <w:tcPr>
                  <w:tcW w:w="670" w:type="pct"/>
                  <w:vMerge w:val="continue"/>
                </w:tcPr>
                <w:p w14:paraId="0969FB64">
                  <w:pPr>
                    <w:spacing w:line="288" w:lineRule="auto"/>
                    <w:rPr>
                      <w:rFonts w:hint="eastAsia" w:ascii="宋体" w:hAnsi="宋体" w:cs="宋体"/>
                      <w:color w:val="000000"/>
                      <w:szCs w:val="21"/>
                    </w:rPr>
                  </w:pPr>
                </w:p>
              </w:tc>
              <w:tc>
                <w:tcPr>
                  <w:tcW w:w="3832" w:type="pct"/>
                </w:tcPr>
                <w:p w14:paraId="1E2F2837">
                  <w:pPr>
                    <w:spacing w:line="288" w:lineRule="auto"/>
                    <w:rPr>
                      <w:rFonts w:hint="eastAsia" w:ascii="宋体" w:hAnsi="宋体" w:cs="宋体"/>
                      <w:color w:val="000000"/>
                      <w:szCs w:val="21"/>
                    </w:rPr>
                  </w:pPr>
                  <w:r>
                    <w:rPr>
                      <w:rFonts w:hint="eastAsia" w:ascii="宋体" w:hAnsi="宋体" w:cs="宋体"/>
                      <w:color w:val="000000"/>
                      <w:szCs w:val="21"/>
                    </w:rPr>
                    <w:t>4.8、总结：支持学生上传和提交个人总结，依据教师要求，组长还可上传和提交团队总结，提交后支持查看教师评分情况。</w:t>
                  </w:r>
                </w:p>
              </w:tc>
            </w:tr>
            <w:tr w14:paraId="1397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08599DB5">
                  <w:pPr>
                    <w:spacing w:line="288" w:lineRule="auto"/>
                    <w:jc w:val="center"/>
                    <w:rPr>
                      <w:rFonts w:hint="eastAsia" w:ascii="宋体" w:hAnsi="宋体" w:cs="宋体"/>
                      <w:color w:val="000000"/>
                      <w:szCs w:val="21"/>
                    </w:rPr>
                  </w:pPr>
                </w:p>
              </w:tc>
              <w:tc>
                <w:tcPr>
                  <w:tcW w:w="670" w:type="pct"/>
                  <w:vMerge w:val="continue"/>
                </w:tcPr>
                <w:p w14:paraId="0C183E2D">
                  <w:pPr>
                    <w:spacing w:line="288" w:lineRule="auto"/>
                    <w:rPr>
                      <w:rFonts w:hint="eastAsia" w:ascii="宋体" w:hAnsi="宋体" w:cs="宋体"/>
                      <w:color w:val="000000"/>
                      <w:szCs w:val="21"/>
                    </w:rPr>
                  </w:pPr>
                </w:p>
              </w:tc>
              <w:tc>
                <w:tcPr>
                  <w:tcW w:w="3832" w:type="pct"/>
                </w:tcPr>
                <w:p w14:paraId="12F331F1">
                  <w:pPr>
                    <w:spacing w:line="288" w:lineRule="auto"/>
                    <w:rPr>
                      <w:rFonts w:hint="eastAsia" w:ascii="宋体" w:hAnsi="宋体" w:cs="宋体"/>
                      <w:color w:val="000000"/>
                      <w:szCs w:val="21"/>
                    </w:rPr>
                  </w:pPr>
                  <w:r>
                    <w:rPr>
                      <w:rFonts w:hint="eastAsia" w:ascii="宋体" w:hAnsi="宋体" w:cs="宋体"/>
                      <w:color w:val="000000"/>
                      <w:szCs w:val="21"/>
                    </w:rPr>
                    <w:t>4.9、讨论：系统预置不少于6种表情类型，帮助学生充分表达。系统预置敏感词检测，自动屏蔽部分敏感词，以*显示。</w:t>
                  </w:r>
                </w:p>
              </w:tc>
            </w:tr>
            <w:tr w14:paraId="4CC3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492B184A">
                  <w:pPr>
                    <w:spacing w:line="288" w:lineRule="auto"/>
                    <w:jc w:val="center"/>
                    <w:rPr>
                      <w:rFonts w:hint="eastAsia" w:ascii="宋体" w:hAnsi="宋体" w:cs="宋体"/>
                      <w:color w:val="000000"/>
                      <w:szCs w:val="21"/>
                    </w:rPr>
                  </w:pPr>
                </w:p>
              </w:tc>
              <w:tc>
                <w:tcPr>
                  <w:tcW w:w="670" w:type="pct"/>
                  <w:vMerge w:val="continue"/>
                </w:tcPr>
                <w:p w14:paraId="764576FD">
                  <w:pPr>
                    <w:spacing w:line="288" w:lineRule="auto"/>
                    <w:rPr>
                      <w:rFonts w:hint="eastAsia" w:ascii="宋体" w:hAnsi="宋体" w:cs="宋体"/>
                      <w:color w:val="000000"/>
                      <w:szCs w:val="21"/>
                    </w:rPr>
                  </w:pPr>
                </w:p>
              </w:tc>
              <w:tc>
                <w:tcPr>
                  <w:tcW w:w="3832" w:type="pct"/>
                </w:tcPr>
                <w:p w14:paraId="4CAA7453">
                  <w:pPr>
                    <w:spacing w:line="288" w:lineRule="auto"/>
                    <w:rPr>
                      <w:rFonts w:hint="eastAsia" w:ascii="宋体" w:hAnsi="宋体" w:cs="宋体"/>
                      <w:color w:val="000000"/>
                      <w:szCs w:val="21"/>
                    </w:rPr>
                  </w:pPr>
                  <w:r>
                    <w:rPr>
                      <w:rFonts w:hint="eastAsia" w:ascii="宋体" w:hAnsi="宋体" w:cs="宋体"/>
                      <w:color w:val="000000"/>
                      <w:szCs w:val="21"/>
                    </w:rPr>
                    <w:t>4.10、问答：支持学生查看班级全部问答，并通过项目名称/@我的/我发布的/我回复的等条件进行筛选。支持学生搜索提问。支持学生查看教师置顶的优秀问答。支持学生删除自己发布或回复的内容。</w:t>
                  </w:r>
                </w:p>
              </w:tc>
            </w:tr>
            <w:tr w14:paraId="4156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tcPr>
                <w:p w14:paraId="21C1608A">
                  <w:pPr>
                    <w:spacing w:line="288" w:lineRule="auto"/>
                    <w:jc w:val="center"/>
                    <w:rPr>
                      <w:rFonts w:hint="eastAsia" w:ascii="宋体" w:hAnsi="宋体" w:cs="宋体"/>
                      <w:color w:val="000000"/>
                      <w:szCs w:val="21"/>
                    </w:rPr>
                  </w:pPr>
                </w:p>
              </w:tc>
              <w:tc>
                <w:tcPr>
                  <w:tcW w:w="670" w:type="pct"/>
                  <w:vMerge w:val="continue"/>
                </w:tcPr>
                <w:p w14:paraId="47D9E957">
                  <w:pPr>
                    <w:spacing w:line="288" w:lineRule="auto"/>
                    <w:rPr>
                      <w:rFonts w:hint="eastAsia" w:ascii="宋体" w:hAnsi="宋体" w:cs="宋体"/>
                      <w:color w:val="000000"/>
                      <w:szCs w:val="21"/>
                    </w:rPr>
                  </w:pPr>
                </w:p>
              </w:tc>
              <w:tc>
                <w:tcPr>
                  <w:tcW w:w="3832" w:type="pct"/>
                </w:tcPr>
                <w:p w14:paraId="340D18D1">
                  <w:pPr>
                    <w:spacing w:line="288" w:lineRule="auto"/>
                    <w:rPr>
                      <w:rFonts w:hint="eastAsia" w:ascii="宋体" w:hAnsi="宋体" w:cs="宋体"/>
                      <w:color w:val="000000"/>
                      <w:szCs w:val="21"/>
                    </w:rPr>
                  </w:pPr>
                  <w:r>
                    <w:rPr>
                      <w:rFonts w:hint="eastAsia" w:ascii="宋体" w:hAnsi="宋体" w:cs="宋体"/>
                      <w:color w:val="000000"/>
                      <w:szCs w:val="21"/>
                    </w:rPr>
                    <w:t>4.11、能力报告：依据完成项目记录，展示学生个人的能力成长、能力排行情况。包括：在当前教学班中，学生个人的能力成长值，学生不同的工作职责下的职业能力成长情况，不同项目下的工作胜任力完成情况，工作胜任力得分情况，以及工作胜任力掌握情况（热度）；支持下载能力报告。</w:t>
                  </w:r>
                </w:p>
              </w:tc>
            </w:tr>
            <w:bookmarkEnd w:id="3"/>
          </w:tbl>
          <w:p w14:paraId="1C472007"/>
        </w:tc>
      </w:tr>
    </w:tbl>
    <w:p w14:paraId="7F3B09CA">
      <w:pPr>
        <w:spacing w:line="360" w:lineRule="auto"/>
        <w:rPr>
          <w:rFonts w:hint="eastAsia" w:ascii="宋体" w:hAnsi="宋体"/>
          <w:b/>
          <w:bCs/>
          <w:snapToGrid w:val="0"/>
          <w:kern w:val="0"/>
          <w:sz w:val="24"/>
        </w:rPr>
      </w:pPr>
    </w:p>
    <w:p w14:paraId="1A51E2D1">
      <w:pPr>
        <w:spacing w:line="360" w:lineRule="auto"/>
      </w:pPr>
      <w:r>
        <w:rPr>
          <w:rFonts w:hint="eastAsia" w:ascii="宋体" w:hAnsi="宋体"/>
          <w:b/>
          <w:bCs/>
          <w:snapToGrid w:val="0"/>
          <w:kern w:val="0"/>
          <w:sz w:val="24"/>
        </w:rPr>
        <w:t>三、商务要求</w:t>
      </w:r>
    </w:p>
    <w:tbl>
      <w:tblPr>
        <w:tblStyle w:val="51"/>
        <w:tblW w:w="997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308"/>
      </w:tblGrid>
      <w:tr w14:paraId="677F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3203968">
            <w:pPr>
              <w:spacing w:line="288" w:lineRule="auto"/>
              <w:jc w:val="center"/>
              <w:rPr>
                <w:rFonts w:hint="eastAsia" w:ascii="宋体" w:hAnsi="宋体" w:cs="宋体"/>
                <w:b/>
                <w:kern w:val="0"/>
                <w:szCs w:val="21"/>
              </w:rPr>
            </w:pPr>
            <w:r>
              <w:rPr>
                <w:rFonts w:hint="eastAsia" w:ascii="宋体" w:hAnsi="宋体" w:cs="宋体"/>
                <w:b/>
                <w:kern w:val="0"/>
                <w:szCs w:val="21"/>
              </w:rPr>
              <w:t>商务需求</w:t>
            </w:r>
          </w:p>
        </w:tc>
        <w:tc>
          <w:tcPr>
            <w:tcW w:w="9308" w:type="dxa"/>
          </w:tcPr>
          <w:tbl>
            <w:tblPr>
              <w:tblStyle w:val="51"/>
              <w:tblpPr w:leftFromText="180" w:rightFromText="180" w:vertAnchor="text" w:horzAnchor="page" w:tblpX="94" w:tblpY="199"/>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502"/>
              <w:gridCol w:w="6203"/>
            </w:tblGrid>
            <w:tr w14:paraId="60C0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center"/>
                </w:tcPr>
                <w:p w14:paraId="54E2311A">
                  <w:pPr>
                    <w:spacing w:line="288" w:lineRule="auto"/>
                    <w:jc w:val="center"/>
                    <w:rPr>
                      <w:rFonts w:hint="eastAsia" w:ascii="宋体" w:hAnsi="宋体" w:cs="宋体"/>
                      <w:b/>
                      <w:szCs w:val="21"/>
                    </w:rPr>
                  </w:pPr>
                  <w:bookmarkStart w:id="10" w:name="bt资格后审"/>
                  <w:bookmarkEnd w:id="10"/>
                  <w:bookmarkStart w:id="11" w:name="bt更改采购货物数量的权力"/>
                  <w:bookmarkEnd w:id="11"/>
                  <w:r>
                    <w:rPr>
                      <w:rFonts w:hint="eastAsia" w:ascii="宋体" w:hAnsi="宋体" w:cs="宋体"/>
                      <w:b/>
                      <w:szCs w:val="21"/>
                    </w:rPr>
                    <w:t>序号</w:t>
                  </w:r>
                </w:p>
              </w:tc>
              <w:tc>
                <w:tcPr>
                  <w:tcW w:w="1502" w:type="dxa"/>
                  <w:tcBorders>
                    <w:top w:val="single" w:color="auto" w:sz="4" w:space="0"/>
                    <w:left w:val="single" w:color="auto" w:sz="4" w:space="0"/>
                    <w:bottom w:val="single" w:color="auto" w:sz="4" w:space="0"/>
                    <w:right w:val="single" w:color="auto" w:sz="4" w:space="0"/>
                  </w:tcBorders>
                  <w:vAlign w:val="center"/>
                </w:tcPr>
                <w:p w14:paraId="2675464F">
                  <w:pPr>
                    <w:spacing w:line="288" w:lineRule="auto"/>
                    <w:jc w:val="center"/>
                    <w:rPr>
                      <w:rFonts w:hint="eastAsia" w:ascii="宋体" w:hAnsi="宋体" w:cs="宋体"/>
                      <w:b/>
                      <w:szCs w:val="21"/>
                    </w:rPr>
                  </w:pPr>
                  <w:r>
                    <w:rPr>
                      <w:rFonts w:hint="eastAsia" w:ascii="宋体" w:hAnsi="宋体" w:cs="宋体"/>
                      <w:b/>
                      <w:szCs w:val="21"/>
                    </w:rPr>
                    <w:t>目录</w:t>
                  </w:r>
                </w:p>
              </w:tc>
              <w:tc>
                <w:tcPr>
                  <w:tcW w:w="6203" w:type="dxa"/>
                  <w:tcBorders>
                    <w:top w:val="single" w:color="auto" w:sz="4" w:space="0"/>
                    <w:left w:val="single" w:color="auto" w:sz="4" w:space="0"/>
                    <w:bottom w:val="single" w:color="auto" w:sz="4" w:space="0"/>
                    <w:right w:val="single" w:color="auto" w:sz="4" w:space="0"/>
                  </w:tcBorders>
                  <w:vAlign w:val="center"/>
                </w:tcPr>
                <w:p w14:paraId="53F2429A">
                  <w:pPr>
                    <w:spacing w:line="288" w:lineRule="auto"/>
                    <w:jc w:val="center"/>
                    <w:rPr>
                      <w:rFonts w:hint="eastAsia" w:ascii="宋体" w:hAnsi="宋体" w:cs="宋体"/>
                      <w:b/>
                      <w:szCs w:val="21"/>
                    </w:rPr>
                  </w:pPr>
                  <w:r>
                    <w:rPr>
                      <w:rFonts w:hint="eastAsia" w:ascii="宋体" w:hAnsi="宋体" w:cs="宋体"/>
                      <w:b/>
                      <w:szCs w:val="21"/>
                    </w:rPr>
                    <w:t>招标商务需求</w:t>
                  </w:r>
                </w:p>
              </w:tc>
            </w:tr>
            <w:tr w14:paraId="3604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5" w:type="dxa"/>
                  <w:gridSpan w:val="3"/>
                  <w:tcBorders>
                    <w:top w:val="single" w:color="auto" w:sz="4" w:space="0"/>
                    <w:left w:val="single" w:color="auto" w:sz="4" w:space="0"/>
                    <w:bottom w:val="single" w:color="auto" w:sz="4" w:space="0"/>
                    <w:right w:val="single" w:color="auto" w:sz="4" w:space="0"/>
                  </w:tcBorders>
                </w:tcPr>
                <w:p w14:paraId="6B57DA2A">
                  <w:pPr>
                    <w:spacing w:line="288" w:lineRule="auto"/>
                    <w:rPr>
                      <w:rFonts w:hint="eastAsia" w:ascii="宋体" w:hAnsi="宋体" w:cs="宋体"/>
                      <w:b/>
                      <w:szCs w:val="21"/>
                    </w:rPr>
                  </w:pPr>
                  <w:r>
                    <w:rPr>
                      <w:rFonts w:hint="eastAsia" w:ascii="宋体" w:hAnsi="宋体" w:cs="宋体"/>
                      <w:b/>
                      <w:szCs w:val="21"/>
                    </w:rPr>
                    <w:t>（一）免费保修期内售后服务要求</w:t>
                  </w:r>
                </w:p>
              </w:tc>
            </w:tr>
            <w:tr w14:paraId="5882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center"/>
                </w:tcPr>
                <w:p w14:paraId="7ADF119A">
                  <w:pPr>
                    <w:spacing w:line="288" w:lineRule="auto"/>
                    <w:jc w:val="center"/>
                    <w:rPr>
                      <w:rFonts w:hint="eastAsia" w:ascii="宋体" w:hAnsi="宋体" w:cs="宋体"/>
                      <w:b/>
                      <w:szCs w:val="21"/>
                    </w:rPr>
                  </w:pPr>
                  <w:r>
                    <w:rPr>
                      <w:rFonts w:hint="eastAsia" w:ascii="宋体" w:hAnsi="宋体" w:cs="宋体"/>
                      <w:b/>
                      <w:szCs w:val="21"/>
                    </w:rPr>
                    <w:t>1</w:t>
                  </w:r>
                </w:p>
              </w:tc>
              <w:tc>
                <w:tcPr>
                  <w:tcW w:w="1502" w:type="dxa"/>
                  <w:tcBorders>
                    <w:top w:val="single" w:color="auto" w:sz="4" w:space="0"/>
                    <w:left w:val="single" w:color="auto" w:sz="4" w:space="0"/>
                    <w:bottom w:val="single" w:color="auto" w:sz="4" w:space="0"/>
                    <w:right w:val="single" w:color="auto" w:sz="4" w:space="0"/>
                  </w:tcBorders>
                  <w:vAlign w:val="center"/>
                </w:tcPr>
                <w:p w14:paraId="33EE312C">
                  <w:pPr>
                    <w:spacing w:line="288" w:lineRule="auto"/>
                    <w:jc w:val="center"/>
                    <w:rPr>
                      <w:rFonts w:hint="eastAsia" w:ascii="宋体" w:hAnsi="宋体" w:cs="宋体"/>
                      <w:szCs w:val="21"/>
                    </w:rPr>
                  </w:pPr>
                  <w:r>
                    <w:rPr>
                      <w:rFonts w:hint="eastAsia" w:ascii="宋体" w:hAnsi="宋体" w:cs="宋体"/>
                      <w:szCs w:val="21"/>
                    </w:rPr>
                    <w:t>关于免费保修期</w:t>
                  </w:r>
                </w:p>
              </w:tc>
              <w:tc>
                <w:tcPr>
                  <w:tcW w:w="6203" w:type="dxa"/>
                  <w:tcBorders>
                    <w:top w:val="single" w:color="auto" w:sz="4" w:space="0"/>
                    <w:left w:val="single" w:color="auto" w:sz="4" w:space="0"/>
                    <w:bottom w:val="single" w:color="auto" w:sz="4" w:space="0"/>
                    <w:right w:val="single" w:color="auto" w:sz="4" w:space="0"/>
                  </w:tcBorders>
                </w:tcPr>
                <w:p w14:paraId="072E7488">
                  <w:pPr>
                    <w:spacing w:line="288" w:lineRule="auto"/>
                    <w:ind w:firstLine="422" w:firstLineChars="200"/>
                    <w:rPr>
                      <w:rFonts w:hint="eastAsia" w:ascii="宋体" w:hAnsi="宋体" w:cs="宋体"/>
                      <w:szCs w:val="21"/>
                      <w:highlight w:val="yellow"/>
                    </w:rPr>
                  </w:pPr>
                  <w:r>
                    <w:rPr>
                      <w:rFonts w:hint="eastAsia" w:ascii="宋体" w:hAnsi="宋体" w:cs="宋体"/>
                      <w:b/>
                      <w:szCs w:val="21"/>
                      <w:highlight w:val="yellow"/>
                    </w:rPr>
                    <w:t>★1.1</w:t>
                  </w:r>
                  <w:r>
                    <w:rPr>
                      <w:rFonts w:hint="eastAsia" w:ascii="宋体" w:hAnsi="宋体" w:cs="宋体"/>
                      <w:szCs w:val="21"/>
                      <w:highlight w:val="yellow"/>
                    </w:rPr>
                    <w:t>产品全部验收合格后（以技术验收合格签字为标准），中标人向采购人免费提供</w:t>
                  </w:r>
                  <w:r>
                    <w:rPr>
                      <w:rFonts w:hint="eastAsia" w:ascii="宋体" w:hAnsi="宋体" w:cs="宋体"/>
                      <w:szCs w:val="21"/>
                      <w:highlight w:val="yellow"/>
                      <w:u w:val="single"/>
                    </w:rPr>
                    <w:t xml:space="preserve"> 5</w:t>
                  </w:r>
                  <w:r>
                    <w:rPr>
                      <w:rFonts w:hint="eastAsia" w:ascii="宋体" w:hAnsi="宋体" w:cs="宋体"/>
                      <w:szCs w:val="21"/>
                      <w:highlight w:val="yellow"/>
                    </w:rPr>
                    <w:t>年上门保修服务、</w:t>
                  </w:r>
                  <w:r>
                    <w:rPr>
                      <w:rFonts w:hint="eastAsia" w:ascii="宋体" w:hAnsi="宋体" w:cs="宋体"/>
                      <w:szCs w:val="21"/>
                      <w:highlight w:val="yellow"/>
                      <w:u w:val="single"/>
                    </w:rPr>
                    <w:t xml:space="preserve"> 5</w:t>
                  </w:r>
                  <w:r>
                    <w:rPr>
                      <w:rFonts w:hint="eastAsia" w:ascii="宋体" w:hAnsi="宋体" w:cs="宋体"/>
                      <w:szCs w:val="21"/>
                      <w:highlight w:val="yellow"/>
                    </w:rPr>
                    <w:t>年以上产品同版本免费升级服务（免费升级服务适用于软件产品且在质保期内），质保期为</w:t>
                  </w:r>
                  <w:r>
                    <w:rPr>
                      <w:rFonts w:hint="eastAsia" w:ascii="宋体" w:hAnsi="宋体" w:cs="宋体"/>
                      <w:szCs w:val="21"/>
                      <w:highlight w:val="yellow"/>
                      <w:u w:val="single"/>
                    </w:rPr>
                    <w:t xml:space="preserve"> 5  </w:t>
                  </w:r>
                  <w:r>
                    <w:rPr>
                      <w:rFonts w:hint="eastAsia" w:ascii="宋体" w:hAnsi="宋体" w:cs="宋体"/>
                      <w:szCs w:val="21"/>
                      <w:highlight w:val="yellow"/>
                    </w:rPr>
                    <w:t>年。</w:t>
                  </w:r>
                </w:p>
                <w:p w14:paraId="282C6D6E">
                  <w:pPr>
                    <w:spacing w:line="288" w:lineRule="auto"/>
                    <w:ind w:firstLine="420" w:firstLineChars="200"/>
                    <w:rPr>
                      <w:rFonts w:hint="eastAsia" w:ascii="宋体" w:hAnsi="宋体" w:cs="宋体"/>
                      <w:szCs w:val="21"/>
                    </w:rPr>
                  </w:pPr>
                  <w:r>
                    <w:rPr>
                      <w:rFonts w:hint="eastAsia" w:ascii="宋体" w:hAnsi="宋体" w:cs="宋体"/>
                      <w:szCs w:val="21"/>
                    </w:rPr>
                    <w:t>1.2质保期内，如因质量问题而引起产品损坏，中标人应对产品予以维修或更换，全部服务费和更换产品或配件的费用由中标人承担；中标人如不能修理或不能调换，按产品原价赔偿处理。质保期满后，中标人必须继续支持维修，并按成本价标准收取维修及零件费用。</w:t>
                  </w:r>
                </w:p>
              </w:tc>
            </w:tr>
            <w:tr w14:paraId="5EC9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tcBorders>
                    <w:top w:val="single" w:color="auto" w:sz="4" w:space="0"/>
                    <w:left w:val="single" w:color="auto" w:sz="4" w:space="0"/>
                    <w:bottom w:val="single" w:color="auto" w:sz="4" w:space="0"/>
                    <w:right w:val="single" w:color="auto" w:sz="4" w:space="0"/>
                  </w:tcBorders>
                  <w:vAlign w:val="center"/>
                </w:tcPr>
                <w:p w14:paraId="67DCB3D2">
                  <w:pPr>
                    <w:spacing w:line="288" w:lineRule="auto"/>
                    <w:jc w:val="center"/>
                    <w:rPr>
                      <w:rFonts w:hint="eastAsia" w:ascii="宋体" w:hAnsi="宋体" w:cs="宋体"/>
                      <w:b/>
                      <w:szCs w:val="21"/>
                    </w:rPr>
                  </w:pPr>
                  <w:r>
                    <w:rPr>
                      <w:rFonts w:hint="eastAsia" w:ascii="宋体" w:hAnsi="宋体" w:cs="宋体"/>
                      <w:b/>
                      <w:szCs w:val="21"/>
                    </w:rPr>
                    <w:t>2</w:t>
                  </w:r>
                </w:p>
              </w:tc>
              <w:tc>
                <w:tcPr>
                  <w:tcW w:w="1502" w:type="dxa"/>
                  <w:tcBorders>
                    <w:top w:val="single" w:color="auto" w:sz="4" w:space="0"/>
                    <w:left w:val="single" w:color="auto" w:sz="4" w:space="0"/>
                    <w:bottom w:val="single" w:color="auto" w:sz="4" w:space="0"/>
                    <w:right w:val="single" w:color="auto" w:sz="4" w:space="0"/>
                  </w:tcBorders>
                  <w:vAlign w:val="center"/>
                </w:tcPr>
                <w:p w14:paraId="362A4183">
                  <w:pPr>
                    <w:spacing w:line="288" w:lineRule="auto"/>
                    <w:jc w:val="center"/>
                    <w:rPr>
                      <w:rFonts w:hint="eastAsia" w:ascii="宋体" w:hAnsi="宋体" w:cs="宋体"/>
                      <w:szCs w:val="21"/>
                    </w:rPr>
                  </w:pPr>
                  <w:r>
                    <w:rPr>
                      <w:rFonts w:hint="eastAsia" w:ascii="宋体" w:hAnsi="宋体" w:cs="宋体"/>
                      <w:szCs w:val="21"/>
                    </w:rPr>
                    <w:t>维修响应及故障解决时间</w:t>
                  </w:r>
                </w:p>
              </w:tc>
              <w:tc>
                <w:tcPr>
                  <w:tcW w:w="6203" w:type="dxa"/>
                  <w:tcBorders>
                    <w:top w:val="single" w:color="auto" w:sz="4" w:space="0"/>
                    <w:left w:val="single" w:color="auto" w:sz="4" w:space="0"/>
                    <w:bottom w:val="single" w:color="auto" w:sz="4" w:space="0"/>
                    <w:right w:val="single" w:color="auto" w:sz="4" w:space="0"/>
                  </w:tcBorders>
                </w:tcPr>
                <w:p w14:paraId="687E4039">
                  <w:pPr>
                    <w:spacing w:line="288" w:lineRule="auto"/>
                    <w:ind w:firstLine="420" w:firstLineChars="200"/>
                    <w:rPr>
                      <w:rFonts w:hint="eastAsia" w:ascii="宋体" w:hAnsi="宋体" w:cs="宋体"/>
                      <w:b/>
                      <w:szCs w:val="21"/>
                    </w:rPr>
                  </w:pPr>
                  <w:r>
                    <w:rPr>
                      <w:rFonts w:hint="eastAsia" w:ascii="宋体" w:hAnsi="宋体" w:cs="宋体"/>
                      <w:szCs w:val="21"/>
                    </w:rPr>
                    <w:t>2.1质保期内，中标人将向采购人提供优质的售后技术支持服务，开通</w:t>
                  </w:r>
                  <w:r>
                    <w:rPr>
                      <w:rFonts w:hint="eastAsia" w:ascii="宋体" w:hAnsi="宋体" w:cs="宋体"/>
                      <w:szCs w:val="21"/>
                      <w:u w:val="single"/>
                    </w:rPr>
                    <w:t xml:space="preserve"> 7*8 </w:t>
                  </w:r>
                  <w:r>
                    <w:rPr>
                      <w:rFonts w:hint="eastAsia" w:ascii="宋体" w:hAnsi="宋体" w:cs="宋体"/>
                      <w:szCs w:val="21"/>
                    </w:rPr>
                    <w:t>小时热线电话接受采购人的电话技术咨询；如故障不能排除，中标人应在</w:t>
                  </w:r>
                  <w:r>
                    <w:rPr>
                      <w:rFonts w:hint="eastAsia" w:ascii="宋体" w:hAnsi="宋体" w:cs="宋体"/>
                      <w:szCs w:val="21"/>
                      <w:u w:val="single"/>
                    </w:rPr>
                    <w:t xml:space="preserve"> 12 </w:t>
                  </w:r>
                  <w:r>
                    <w:rPr>
                      <w:rFonts w:hint="eastAsia" w:ascii="宋体" w:hAnsi="宋体" w:cs="宋体"/>
                      <w:szCs w:val="21"/>
                    </w:rPr>
                    <w:t>小时内提供现场服务，待产品运行正常后撤离现场。</w:t>
                  </w:r>
                </w:p>
              </w:tc>
            </w:tr>
            <w:tr w14:paraId="30B4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65" w:type="dxa"/>
                  <w:gridSpan w:val="3"/>
                  <w:tcBorders>
                    <w:top w:val="single" w:color="auto" w:sz="4" w:space="0"/>
                    <w:left w:val="single" w:color="auto" w:sz="4" w:space="0"/>
                    <w:bottom w:val="single" w:color="auto" w:sz="4" w:space="0"/>
                    <w:right w:val="single" w:color="auto" w:sz="4" w:space="0"/>
                  </w:tcBorders>
                </w:tcPr>
                <w:p w14:paraId="165F63E1">
                  <w:pPr>
                    <w:spacing w:line="288" w:lineRule="auto"/>
                    <w:rPr>
                      <w:rFonts w:hint="eastAsia" w:ascii="宋体" w:hAnsi="宋体" w:cs="宋体"/>
                      <w:b/>
                      <w:szCs w:val="21"/>
                    </w:rPr>
                  </w:pPr>
                  <w:r>
                    <w:rPr>
                      <w:rFonts w:hint="eastAsia" w:ascii="宋体" w:hAnsi="宋体" w:cs="宋体"/>
                      <w:b/>
                      <w:szCs w:val="21"/>
                    </w:rPr>
                    <w:t>（二）其他商务要求</w:t>
                  </w:r>
                </w:p>
              </w:tc>
            </w:tr>
            <w:tr w14:paraId="4D95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4FEFAEEA">
                  <w:pPr>
                    <w:spacing w:line="288" w:lineRule="auto"/>
                    <w:jc w:val="center"/>
                    <w:rPr>
                      <w:rFonts w:hint="eastAsia" w:ascii="宋体" w:hAnsi="宋体" w:cs="宋体"/>
                      <w:b/>
                      <w:szCs w:val="21"/>
                    </w:rPr>
                  </w:pPr>
                  <w:r>
                    <w:rPr>
                      <w:rFonts w:hint="eastAsia" w:ascii="宋体" w:hAnsi="宋体" w:cs="宋体"/>
                      <w:b/>
                      <w:szCs w:val="21"/>
                    </w:rPr>
                    <w:t>1</w:t>
                  </w:r>
                </w:p>
              </w:tc>
              <w:tc>
                <w:tcPr>
                  <w:tcW w:w="1502" w:type="dxa"/>
                  <w:tcBorders>
                    <w:top w:val="single" w:color="auto" w:sz="4" w:space="0"/>
                    <w:left w:val="single" w:color="auto" w:sz="4" w:space="0"/>
                    <w:bottom w:val="single" w:color="auto" w:sz="4" w:space="0"/>
                    <w:right w:val="single" w:color="auto" w:sz="4" w:space="0"/>
                  </w:tcBorders>
                  <w:vAlign w:val="center"/>
                </w:tcPr>
                <w:p w14:paraId="7E4772A5">
                  <w:pPr>
                    <w:spacing w:line="288" w:lineRule="auto"/>
                    <w:jc w:val="center"/>
                    <w:rPr>
                      <w:rFonts w:hint="eastAsia" w:ascii="宋体" w:hAnsi="宋体" w:cs="宋体"/>
                      <w:szCs w:val="21"/>
                    </w:rPr>
                  </w:pPr>
                  <w:r>
                    <w:rPr>
                      <w:rFonts w:hint="eastAsia" w:ascii="宋体" w:hAnsi="宋体" w:cs="宋体"/>
                      <w:szCs w:val="21"/>
                    </w:rPr>
                    <w:t>质量及知识产权要求</w:t>
                  </w:r>
                </w:p>
              </w:tc>
              <w:tc>
                <w:tcPr>
                  <w:tcW w:w="6203" w:type="dxa"/>
                  <w:tcBorders>
                    <w:top w:val="single" w:color="auto" w:sz="4" w:space="0"/>
                    <w:left w:val="single" w:color="auto" w:sz="4" w:space="0"/>
                    <w:bottom w:val="single" w:color="auto" w:sz="4" w:space="0"/>
                    <w:right w:val="single" w:color="auto" w:sz="4" w:space="0"/>
                  </w:tcBorders>
                </w:tcPr>
                <w:p w14:paraId="2BACD3E6">
                  <w:pPr>
                    <w:spacing w:line="288" w:lineRule="auto"/>
                    <w:ind w:firstLine="420" w:firstLineChars="200"/>
                    <w:rPr>
                      <w:rFonts w:hint="eastAsia" w:ascii="宋体" w:hAnsi="宋体" w:cs="宋体"/>
                      <w:szCs w:val="21"/>
                    </w:rPr>
                  </w:pPr>
                  <w:r>
                    <w:rPr>
                      <w:rFonts w:hint="eastAsia" w:ascii="宋体" w:hAnsi="宋体" w:cs="宋体"/>
                      <w:szCs w:val="21"/>
                    </w:rPr>
                    <w:t>1.1中标人提供完好、全新的原包装产品（包括零配件），随机技术资料齐全。产品符合国家质量检测标准，必须具有授权许可证书、软件使用许可协议、产品合格证等。</w:t>
                  </w:r>
                </w:p>
                <w:p w14:paraId="55D55660">
                  <w:pPr>
                    <w:spacing w:line="288" w:lineRule="auto"/>
                    <w:ind w:firstLine="420" w:firstLineChars="200"/>
                    <w:rPr>
                      <w:rFonts w:hint="eastAsia" w:ascii="宋体" w:hAnsi="宋体" w:cs="宋体"/>
                      <w:szCs w:val="21"/>
                    </w:rPr>
                  </w:pPr>
                  <w:r>
                    <w:rPr>
                      <w:rFonts w:hint="eastAsia" w:ascii="宋体" w:hAnsi="宋体" w:cs="宋体"/>
                      <w:szCs w:val="21"/>
                    </w:rPr>
                    <w:t>1.2中标人提供的产品不得侵害第三人的知识产权，否则，中标人应赔偿采购人因此遭受的一切损失（包括但不限于赔偿金、违约金、律师费、调查取证费、差旅费等）。</w:t>
                  </w:r>
                </w:p>
              </w:tc>
            </w:tr>
            <w:tr w14:paraId="3BD5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01B9A545">
                  <w:pPr>
                    <w:spacing w:line="288" w:lineRule="auto"/>
                    <w:jc w:val="center"/>
                    <w:rPr>
                      <w:rFonts w:hint="eastAsia" w:ascii="宋体" w:hAnsi="宋体" w:cs="宋体"/>
                      <w:b/>
                      <w:szCs w:val="21"/>
                    </w:rPr>
                  </w:pPr>
                  <w:r>
                    <w:rPr>
                      <w:rFonts w:hint="eastAsia" w:ascii="宋体" w:hAnsi="宋体" w:cs="宋体"/>
                      <w:b/>
                      <w:szCs w:val="21"/>
                    </w:rPr>
                    <w:t>2</w:t>
                  </w:r>
                </w:p>
              </w:tc>
              <w:tc>
                <w:tcPr>
                  <w:tcW w:w="1502" w:type="dxa"/>
                  <w:tcBorders>
                    <w:top w:val="single" w:color="auto" w:sz="4" w:space="0"/>
                    <w:left w:val="single" w:color="auto" w:sz="4" w:space="0"/>
                    <w:bottom w:val="single" w:color="auto" w:sz="4" w:space="0"/>
                    <w:right w:val="single" w:color="auto" w:sz="4" w:space="0"/>
                  </w:tcBorders>
                  <w:vAlign w:val="center"/>
                </w:tcPr>
                <w:p w14:paraId="393B8331">
                  <w:pPr>
                    <w:spacing w:line="288" w:lineRule="auto"/>
                    <w:jc w:val="center"/>
                    <w:rPr>
                      <w:rFonts w:hint="eastAsia" w:ascii="宋体" w:hAnsi="宋体" w:cs="宋体"/>
                      <w:szCs w:val="21"/>
                    </w:rPr>
                  </w:pPr>
                  <w:r>
                    <w:rPr>
                      <w:rFonts w:hint="eastAsia" w:ascii="宋体" w:hAnsi="宋体" w:cs="宋体"/>
                      <w:szCs w:val="21"/>
                    </w:rPr>
                    <w:t>交货地点</w:t>
                  </w:r>
                </w:p>
              </w:tc>
              <w:tc>
                <w:tcPr>
                  <w:tcW w:w="6203" w:type="dxa"/>
                  <w:tcBorders>
                    <w:top w:val="single" w:color="auto" w:sz="4" w:space="0"/>
                    <w:left w:val="single" w:color="auto" w:sz="4" w:space="0"/>
                    <w:bottom w:val="single" w:color="auto" w:sz="4" w:space="0"/>
                    <w:right w:val="single" w:color="auto" w:sz="4" w:space="0"/>
                  </w:tcBorders>
                </w:tcPr>
                <w:p w14:paraId="71B90416">
                  <w:pPr>
                    <w:spacing w:line="288" w:lineRule="auto"/>
                    <w:ind w:firstLine="420" w:firstLineChars="200"/>
                    <w:rPr>
                      <w:rFonts w:hint="eastAsia" w:ascii="宋体" w:hAnsi="宋体" w:cs="宋体"/>
                      <w:bCs/>
                      <w:szCs w:val="21"/>
                    </w:rPr>
                  </w:pPr>
                  <w:r>
                    <w:rPr>
                      <w:rFonts w:hint="eastAsia" w:ascii="宋体" w:hAnsi="宋体" w:cs="宋体"/>
                      <w:szCs w:val="21"/>
                    </w:rPr>
                    <w:t>2.1深圳市南山区西丽深圳职业技术大学（校内具体地点由采购人指定）。</w:t>
                  </w:r>
                </w:p>
              </w:tc>
            </w:tr>
            <w:tr w14:paraId="7139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59BE851E">
                  <w:pPr>
                    <w:spacing w:line="288" w:lineRule="auto"/>
                    <w:jc w:val="center"/>
                    <w:rPr>
                      <w:rFonts w:hint="eastAsia" w:ascii="宋体" w:hAnsi="宋体" w:cs="宋体"/>
                      <w:b/>
                      <w:szCs w:val="21"/>
                    </w:rPr>
                  </w:pPr>
                  <w:r>
                    <w:rPr>
                      <w:rFonts w:hint="eastAsia" w:ascii="宋体" w:hAnsi="宋体" w:cs="宋体"/>
                      <w:b/>
                      <w:szCs w:val="21"/>
                    </w:rPr>
                    <w:t>3</w:t>
                  </w:r>
                </w:p>
              </w:tc>
              <w:tc>
                <w:tcPr>
                  <w:tcW w:w="1502" w:type="dxa"/>
                  <w:tcBorders>
                    <w:top w:val="single" w:color="auto" w:sz="4" w:space="0"/>
                    <w:left w:val="single" w:color="auto" w:sz="4" w:space="0"/>
                    <w:bottom w:val="single" w:color="auto" w:sz="4" w:space="0"/>
                    <w:right w:val="single" w:color="auto" w:sz="4" w:space="0"/>
                  </w:tcBorders>
                  <w:vAlign w:val="center"/>
                </w:tcPr>
                <w:p w14:paraId="7DB5A4D4">
                  <w:pPr>
                    <w:spacing w:line="288" w:lineRule="auto"/>
                    <w:jc w:val="center"/>
                    <w:rPr>
                      <w:rFonts w:hint="eastAsia" w:ascii="宋体" w:hAnsi="宋体" w:cs="宋体"/>
                      <w:b/>
                      <w:szCs w:val="21"/>
                    </w:rPr>
                  </w:pPr>
                  <w:r>
                    <w:rPr>
                      <w:rFonts w:hint="eastAsia" w:ascii="宋体" w:hAnsi="宋体" w:cs="宋体"/>
                      <w:szCs w:val="21"/>
                    </w:rPr>
                    <w:t>交货期限</w:t>
                  </w:r>
                </w:p>
              </w:tc>
              <w:tc>
                <w:tcPr>
                  <w:tcW w:w="6203" w:type="dxa"/>
                  <w:tcBorders>
                    <w:top w:val="single" w:color="auto" w:sz="4" w:space="0"/>
                    <w:left w:val="single" w:color="auto" w:sz="4" w:space="0"/>
                    <w:bottom w:val="single" w:color="auto" w:sz="4" w:space="0"/>
                    <w:right w:val="single" w:color="auto" w:sz="4" w:space="0"/>
                  </w:tcBorders>
                </w:tcPr>
                <w:p w14:paraId="5DCA96AC">
                  <w:pPr>
                    <w:spacing w:line="288" w:lineRule="auto"/>
                    <w:ind w:firstLine="420" w:firstLineChars="200"/>
                    <w:rPr>
                      <w:rFonts w:hint="eastAsia" w:ascii="宋体" w:hAnsi="宋体" w:cs="宋体"/>
                      <w:szCs w:val="21"/>
                    </w:rPr>
                  </w:pPr>
                  <w:r>
                    <w:rPr>
                      <w:rFonts w:hint="eastAsia" w:ascii="宋体" w:hAnsi="宋体" w:cs="宋体"/>
                      <w:szCs w:val="21"/>
                      <w:highlight w:val="yellow"/>
                    </w:rPr>
                    <w:t>★3.1合同签订后</w:t>
                  </w:r>
                  <w:r>
                    <w:rPr>
                      <w:rFonts w:hint="eastAsia" w:ascii="宋体" w:hAnsi="宋体" w:cs="宋体"/>
                      <w:szCs w:val="21"/>
                      <w:highlight w:val="yellow"/>
                      <w:u w:val="single"/>
                    </w:rPr>
                    <w:t xml:space="preserve"> 3</w:t>
                  </w:r>
                  <w:r>
                    <w:rPr>
                      <w:rFonts w:hint="eastAsia" w:ascii="宋体" w:hAnsi="宋体" w:cs="宋体"/>
                      <w:szCs w:val="21"/>
                      <w:highlight w:val="yellow"/>
                    </w:rPr>
                    <w:t>个日历日内交货，产品的附件、备品备件及专用工具、技术文件和资料等应随产品一同交付。</w:t>
                  </w:r>
                </w:p>
              </w:tc>
            </w:tr>
            <w:tr w14:paraId="0610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393183A6">
                  <w:pPr>
                    <w:spacing w:line="288" w:lineRule="auto"/>
                    <w:jc w:val="center"/>
                    <w:rPr>
                      <w:rFonts w:hint="eastAsia" w:ascii="宋体" w:hAnsi="宋体" w:cs="宋体"/>
                      <w:b/>
                      <w:szCs w:val="21"/>
                    </w:rPr>
                  </w:pPr>
                  <w:r>
                    <w:rPr>
                      <w:rFonts w:hint="eastAsia" w:ascii="宋体" w:hAnsi="宋体" w:cs="宋体"/>
                      <w:b/>
                      <w:szCs w:val="21"/>
                    </w:rPr>
                    <w:t>4</w:t>
                  </w:r>
                </w:p>
              </w:tc>
              <w:tc>
                <w:tcPr>
                  <w:tcW w:w="1502" w:type="dxa"/>
                  <w:tcBorders>
                    <w:top w:val="single" w:color="auto" w:sz="4" w:space="0"/>
                    <w:left w:val="single" w:color="auto" w:sz="4" w:space="0"/>
                    <w:bottom w:val="single" w:color="auto" w:sz="4" w:space="0"/>
                    <w:right w:val="single" w:color="auto" w:sz="4" w:space="0"/>
                  </w:tcBorders>
                  <w:vAlign w:val="center"/>
                </w:tcPr>
                <w:p w14:paraId="4C00159A">
                  <w:pPr>
                    <w:spacing w:line="288" w:lineRule="auto"/>
                    <w:jc w:val="center"/>
                    <w:rPr>
                      <w:rFonts w:hint="eastAsia" w:ascii="宋体" w:hAnsi="宋体" w:cs="宋体"/>
                      <w:b/>
                      <w:szCs w:val="21"/>
                    </w:rPr>
                  </w:pPr>
                  <w:r>
                    <w:rPr>
                      <w:rFonts w:hint="eastAsia" w:ascii="宋体" w:hAnsi="宋体" w:cs="宋体"/>
                      <w:szCs w:val="21"/>
                    </w:rPr>
                    <w:t>运输及包装方式的要求</w:t>
                  </w:r>
                </w:p>
              </w:tc>
              <w:tc>
                <w:tcPr>
                  <w:tcW w:w="6203" w:type="dxa"/>
                  <w:tcBorders>
                    <w:top w:val="single" w:color="auto" w:sz="4" w:space="0"/>
                    <w:left w:val="single" w:color="auto" w:sz="4" w:space="0"/>
                    <w:bottom w:val="single" w:color="auto" w:sz="4" w:space="0"/>
                    <w:right w:val="single" w:color="auto" w:sz="4" w:space="0"/>
                  </w:tcBorders>
                </w:tcPr>
                <w:p w14:paraId="331B1216">
                  <w:pPr>
                    <w:spacing w:line="288" w:lineRule="auto"/>
                    <w:ind w:firstLine="420" w:firstLineChars="200"/>
                    <w:rPr>
                      <w:rFonts w:hint="eastAsia" w:ascii="宋体" w:hAnsi="宋体" w:cs="宋体"/>
                      <w:szCs w:val="21"/>
                    </w:rPr>
                  </w:pPr>
                  <w:r>
                    <w:rPr>
                      <w:rFonts w:hint="eastAsia" w:ascii="宋体" w:hAnsi="宋体" w:cs="宋体"/>
                      <w:szCs w:val="21"/>
                    </w:rPr>
                    <w:t>4.1中标人负责产品正式验收合格前的一切费用（包括运输、包装、仓储、安装、保险等费用）。</w:t>
                  </w:r>
                </w:p>
                <w:p w14:paraId="41738374">
                  <w:pPr>
                    <w:spacing w:line="288" w:lineRule="auto"/>
                    <w:ind w:firstLine="420" w:firstLineChars="200"/>
                    <w:rPr>
                      <w:rFonts w:hint="eastAsia" w:ascii="宋体" w:hAnsi="宋体" w:cs="宋体"/>
                      <w:szCs w:val="21"/>
                    </w:rPr>
                  </w:pPr>
                  <w:r>
                    <w:rPr>
                      <w:rFonts w:hint="eastAsia" w:ascii="宋体" w:hAnsi="宋体" w:cs="宋体"/>
                      <w:szCs w:val="21"/>
                    </w:rPr>
                    <w:t>4.2包装方式按照原厂出厂原标准，中标人承担由于其包装或其防护措施不妥而引起货物锈蚀、损坏和丢失等任何损失，并按照“其它商务要求”中的“违约责任”承担相应责任。</w:t>
                  </w:r>
                </w:p>
              </w:tc>
            </w:tr>
            <w:tr w14:paraId="66B4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236D2C62">
                  <w:pPr>
                    <w:spacing w:line="288" w:lineRule="auto"/>
                    <w:jc w:val="center"/>
                    <w:rPr>
                      <w:rFonts w:hint="eastAsia" w:ascii="宋体" w:hAnsi="宋体" w:cs="宋体"/>
                      <w:b/>
                      <w:szCs w:val="21"/>
                    </w:rPr>
                  </w:pPr>
                  <w:r>
                    <w:rPr>
                      <w:rFonts w:hint="eastAsia" w:ascii="宋体" w:hAnsi="宋体" w:cs="宋体"/>
                      <w:b/>
                      <w:szCs w:val="21"/>
                    </w:rPr>
                    <w:t>5</w:t>
                  </w:r>
                </w:p>
              </w:tc>
              <w:tc>
                <w:tcPr>
                  <w:tcW w:w="1502" w:type="dxa"/>
                  <w:tcBorders>
                    <w:top w:val="single" w:color="auto" w:sz="4" w:space="0"/>
                    <w:left w:val="single" w:color="auto" w:sz="4" w:space="0"/>
                    <w:bottom w:val="single" w:color="auto" w:sz="4" w:space="0"/>
                    <w:right w:val="single" w:color="auto" w:sz="4" w:space="0"/>
                  </w:tcBorders>
                  <w:vAlign w:val="center"/>
                </w:tcPr>
                <w:p w14:paraId="0D9CA6B3">
                  <w:pPr>
                    <w:spacing w:line="288" w:lineRule="auto"/>
                    <w:jc w:val="center"/>
                    <w:rPr>
                      <w:rFonts w:hint="eastAsia" w:ascii="宋体" w:hAnsi="宋体" w:cs="宋体"/>
                      <w:b/>
                      <w:szCs w:val="21"/>
                    </w:rPr>
                  </w:pPr>
                  <w:r>
                    <w:rPr>
                      <w:rFonts w:hint="eastAsia" w:ascii="宋体" w:hAnsi="宋体" w:cs="宋体"/>
                      <w:szCs w:val="21"/>
                    </w:rPr>
                    <w:t>安装、调试、验收及相关技术文件、资料</w:t>
                  </w:r>
                </w:p>
              </w:tc>
              <w:tc>
                <w:tcPr>
                  <w:tcW w:w="6203" w:type="dxa"/>
                  <w:tcBorders>
                    <w:top w:val="single" w:color="auto" w:sz="4" w:space="0"/>
                    <w:left w:val="single" w:color="auto" w:sz="4" w:space="0"/>
                    <w:bottom w:val="single" w:color="auto" w:sz="4" w:space="0"/>
                    <w:right w:val="single" w:color="auto" w:sz="4" w:space="0"/>
                  </w:tcBorders>
                </w:tcPr>
                <w:p w14:paraId="35C147F9">
                  <w:pPr>
                    <w:spacing w:line="288" w:lineRule="auto"/>
                    <w:ind w:firstLine="420" w:firstLineChars="200"/>
                    <w:rPr>
                      <w:rFonts w:hint="eastAsia" w:ascii="宋体" w:hAnsi="宋体" w:cs="宋体"/>
                      <w:szCs w:val="21"/>
                    </w:rPr>
                  </w:pPr>
                  <w:r>
                    <w:rPr>
                      <w:rFonts w:hint="eastAsia" w:ascii="宋体" w:hAnsi="宋体" w:cs="宋体"/>
                      <w:szCs w:val="21"/>
                    </w:rPr>
                    <w:t>5.1中标人将产品运输并卸至采购人指定地点，采购人将会同中标人及相关单位在到货后</w:t>
                  </w:r>
                  <w:r>
                    <w:rPr>
                      <w:rFonts w:hint="eastAsia" w:ascii="宋体" w:hAnsi="宋体" w:cs="宋体"/>
                      <w:szCs w:val="21"/>
                      <w:u w:val="single"/>
                    </w:rPr>
                    <w:t xml:space="preserve"> 5 </w:t>
                  </w:r>
                  <w:r>
                    <w:rPr>
                      <w:rFonts w:hint="eastAsia" w:ascii="宋体" w:hAnsi="宋体" w:cs="宋体"/>
                      <w:szCs w:val="21"/>
                    </w:rPr>
                    <w:t>个日历日内共同进行开箱检验。</w:t>
                  </w:r>
                </w:p>
                <w:p w14:paraId="5F69E6E8">
                  <w:pPr>
                    <w:spacing w:line="288" w:lineRule="auto"/>
                    <w:ind w:firstLine="420" w:firstLineChars="200"/>
                    <w:rPr>
                      <w:rFonts w:hint="eastAsia" w:ascii="宋体" w:hAnsi="宋体" w:cs="宋体"/>
                      <w:szCs w:val="21"/>
                    </w:rPr>
                  </w:pPr>
                  <w:r>
                    <w:rPr>
                      <w:rFonts w:hint="eastAsia" w:ascii="宋体" w:hAnsi="宋体" w:cs="宋体"/>
                      <w:szCs w:val="21"/>
                    </w:rPr>
                    <w:t>5.2中标人负责免费安装、调试。安装、调试完成后，由采购人组织技术验收和商务验收，中标人做好协助配合。验收合格后签署《验收报告》。产品质量和安装调试检验标准遵照国家相关规定和最新标准执行。</w:t>
                  </w:r>
                </w:p>
                <w:p w14:paraId="689947AC">
                  <w:pPr>
                    <w:spacing w:line="288" w:lineRule="auto"/>
                    <w:ind w:firstLine="420" w:firstLineChars="200"/>
                    <w:rPr>
                      <w:rFonts w:hint="eastAsia" w:ascii="宋体" w:hAnsi="宋体" w:cs="宋体"/>
                      <w:szCs w:val="21"/>
                    </w:rPr>
                  </w:pPr>
                  <w:r>
                    <w:rPr>
                      <w:rFonts w:hint="eastAsia" w:ascii="宋体" w:hAnsi="宋体" w:cs="宋体"/>
                      <w:szCs w:val="21"/>
                    </w:rPr>
                    <w:t>5.3验收中如发现有质量不合格或型号规格、数量等与送货清单不符、提交的技术文件和资料不完整等情形，中标人应免费更换或补齐，并按照“其它商务要求”中的“违约责任”承担相应责任。</w:t>
                  </w:r>
                </w:p>
                <w:p w14:paraId="5DE354FC">
                  <w:pPr>
                    <w:spacing w:line="288" w:lineRule="auto"/>
                    <w:ind w:firstLine="420" w:firstLineChars="200"/>
                    <w:rPr>
                      <w:rFonts w:hint="eastAsia" w:ascii="宋体" w:hAnsi="宋体" w:cs="宋体"/>
                      <w:szCs w:val="21"/>
                    </w:rPr>
                  </w:pPr>
                  <w:r>
                    <w:rPr>
                      <w:rFonts w:hint="eastAsia" w:ascii="宋体" w:hAnsi="宋体" w:cs="宋体"/>
                      <w:szCs w:val="21"/>
                    </w:rPr>
                    <w:t>5.4中标人应向采购人提供但不限于如下技术文件和资料：</w:t>
                  </w:r>
                </w:p>
                <w:p w14:paraId="186E3A73">
                  <w:pPr>
                    <w:spacing w:line="288" w:lineRule="auto"/>
                    <w:ind w:firstLine="420" w:firstLineChars="200"/>
                    <w:jc w:val="left"/>
                    <w:rPr>
                      <w:rFonts w:hint="eastAsia" w:ascii="宋体" w:hAnsi="宋体" w:cs="宋体"/>
                      <w:szCs w:val="21"/>
                    </w:rPr>
                  </w:pPr>
                  <w:r>
                    <w:rPr>
                      <w:rFonts w:hint="eastAsia" w:ascii="宋体" w:hAnsi="宋体" w:cs="宋体"/>
                      <w:szCs w:val="21"/>
                    </w:rPr>
                    <w:t>（1）产品安装、操作手册；</w:t>
                  </w:r>
                </w:p>
                <w:p w14:paraId="68286DE0">
                  <w:pPr>
                    <w:spacing w:line="288" w:lineRule="auto"/>
                    <w:ind w:firstLine="420" w:firstLineChars="200"/>
                    <w:jc w:val="left"/>
                    <w:rPr>
                      <w:rFonts w:hint="eastAsia" w:ascii="宋体" w:hAnsi="宋体" w:cs="宋体"/>
                      <w:szCs w:val="21"/>
                    </w:rPr>
                  </w:pPr>
                  <w:r>
                    <w:rPr>
                      <w:rFonts w:hint="eastAsia" w:ascii="宋体" w:hAnsi="宋体" w:cs="宋体"/>
                      <w:szCs w:val="21"/>
                    </w:rPr>
                    <w:t>（2）产品出厂检验合格证；</w:t>
                  </w:r>
                </w:p>
                <w:p w14:paraId="5CEBE553">
                  <w:pPr>
                    <w:spacing w:line="288" w:lineRule="auto"/>
                    <w:ind w:firstLine="420" w:firstLineChars="200"/>
                    <w:rPr>
                      <w:rFonts w:hint="eastAsia" w:ascii="宋体" w:hAnsi="宋体" w:cs="宋体"/>
                      <w:szCs w:val="21"/>
                    </w:rPr>
                  </w:pPr>
                  <w:r>
                    <w:rPr>
                      <w:rFonts w:hint="eastAsia" w:ascii="宋体" w:hAnsi="宋体" w:cs="宋体"/>
                      <w:szCs w:val="21"/>
                    </w:rPr>
                    <w:t>（3）产品到货清单。</w:t>
                  </w:r>
                </w:p>
                <w:p w14:paraId="0156C9D8">
                  <w:pPr>
                    <w:spacing w:line="288" w:lineRule="auto"/>
                    <w:ind w:firstLine="420" w:firstLineChars="200"/>
                    <w:rPr>
                      <w:rFonts w:hint="eastAsia" w:ascii="宋体" w:hAnsi="宋体" w:cs="宋体"/>
                      <w:szCs w:val="21"/>
                    </w:rPr>
                  </w:pPr>
                  <w:r>
                    <w:rPr>
                      <w:rFonts w:hint="eastAsia" w:ascii="宋体" w:hAnsi="宋体" w:cs="宋体"/>
                      <w:szCs w:val="21"/>
                    </w:rPr>
                    <w:t>5.5</w:t>
                  </w:r>
                  <w:r>
                    <w:rPr>
                      <w:rFonts w:hint="eastAsia" w:asciiTheme="minorEastAsia" w:hAnsiTheme="minorEastAsia" w:eastAsiaTheme="minorEastAsia" w:cstheme="minorEastAsia"/>
                      <w:szCs w:val="21"/>
                    </w:rPr>
                    <w:t>投标人需为本项目安排项目经理和项目团队</w:t>
                  </w:r>
                  <w:r>
                    <w:rPr>
                      <w:rFonts w:hint="eastAsia" w:asciiTheme="minorEastAsia" w:hAnsiTheme="minorEastAsia" w:eastAsiaTheme="minorEastAsia" w:cstheme="minorEastAsia"/>
                      <w:color w:val="auto"/>
                      <w:szCs w:val="21"/>
                    </w:rPr>
                    <w:t>人员数量不少于5人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含项目经理在内</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，具备完成本项目履约要求的</w:t>
                  </w:r>
                  <w:r>
                    <w:rPr>
                      <w:rFonts w:hint="eastAsia" w:asciiTheme="minorEastAsia" w:hAnsiTheme="minorEastAsia" w:eastAsiaTheme="minorEastAsia" w:cstheme="minorEastAsia"/>
                      <w:szCs w:val="21"/>
                    </w:rPr>
                    <w:t>能力。</w:t>
                  </w:r>
                </w:p>
              </w:tc>
            </w:tr>
            <w:tr w14:paraId="741D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51FDF261">
                  <w:pPr>
                    <w:spacing w:line="288" w:lineRule="auto"/>
                    <w:jc w:val="center"/>
                    <w:rPr>
                      <w:rFonts w:hint="eastAsia" w:ascii="宋体" w:hAnsi="宋体" w:cs="宋体"/>
                      <w:b/>
                      <w:szCs w:val="21"/>
                    </w:rPr>
                  </w:pPr>
                  <w:r>
                    <w:rPr>
                      <w:rFonts w:hint="eastAsia" w:ascii="宋体" w:hAnsi="宋体" w:cs="宋体"/>
                      <w:b/>
                      <w:szCs w:val="21"/>
                    </w:rPr>
                    <w:t>6</w:t>
                  </w:r>
                </w:p>
              </w:tc>
              <w:tc>
                <w:tcPr>
                  <w:tcW w:w="1502" w:type="dxa"/>
                  <w:tcBorders>
                    <w:top w:val="single" w:color="auto" w:sz="4" w:space="0"/>
                    <w:left w:val="single" w:color="auto" w:sz="4" w:space="0"/>
                    <w:bottom w:val="single" w:color="auto" w:sz="4" w:space="0"/>
                    <w:right w:val="single" w:color="auto" w:sz="4" w:space="0"/>
                  </w:tcBorders>
                  <w:vAlign w:val="center"/>
                </w:tcPr>
                <w:p w14:paraId="687763E5">
                  <w:pPr>
                    <w:spacing w:line="288" w:lineRule="auto"/>
                    <w:jc w:val="center"/>
                    <w:rPr>
                      <w:rFonts w:hint="eastAsia" w:ascii="宋体" w:hAnsi="宋体" w:cs="宋体"/>
                      <w:b/>
                      <w:szCs w:val="21"/>
                    </w:rPr>
                  </w:pPr>
                  <w:r>
                    <w:rPr>
                      <w:rFonts w:hint="eastAsia" w:ascii="宋体" w:hAnsi="宋体" w:cs="宋体"/>
                      <w:szCs w:val="21"/>
                    </w:rPr>
                    <w:t>技术培训</w:t>
                  </w:r>
                </w:p>
              </w:tc>
              <w:tc>
                <w:tcPr>
                  <w:tcW w:w="6203" w:type="dxa"/>
                  <w:tcBorders>
                    <w:top w:val="single" w:color="auto" w:sz="4" w:space="0"/>
                    <w:left w:val="single" w:color="auto" w:sz="4" w:space="0"/>
                    <w:bottom w:val="single" w:color="auto" w:sz="4" w:space="0"/>
                    <w:right w:val="single" w:color="auto" w:sz="4" w:space="0"/>
                  </w:tcBorders>
                </w:tcPr>
                <w:p w14:paraId="42130D7E">
                  <w:pPr>
                    <w:pStyle w:val="19"/>
                    <w:spacing w:line="288" w:lineRule="auto"/>
                    <w:ind w:firstLine="420" w:firstLineChars="200"/>
                    <w:jc w:val="both"/>
                    <w:rPr>
                      <w:rFonts w:hint="eastAsia" w:ascii="宋体" w:hAnsi="宋体" w:cs="宋体"/>
                      <w:szCs w:val="21"/>
                    </w:rPr>
                  </w:pPr>
                  <w:r>
                    <w:rPr>
                      <w:rFonts w:hint="eastAsia" w:ascii="宋体" w:hAnsi="宋体" w:cs="宋体"/>
                      <w:szCs w:val="21"/>
                    </w:rPr>
                    <w:t>6.1中标人提供详细技术资料并按需对采购人免费提供技术培训，培训的内容及方案应由双方协商制定。中标人前来进行技术培训的人员的费用包括在合同总价中。</w:t>
                  </w:r>
                </w:p>
              </w:tc>
            </w:tr>
            <w:tr w14:paraId="41DC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0962A939">
                  <w:pPr>
                    <w:spacing w:line="288" w:lineRule="auto"/>
                    <w:jc w:val="center"/>
                    <w:rPr>
                      <w:rFonts w:hint="eastAsia" w:ascii="宋体" w:hAnsi="宋体" w:cs="宋体"/>
                      <w:b/>
                      <w:szCs w:val="21"/>
                    </w:rPr>
                  </w:pPr>
                  <w:r>
                    <w:rPr>
                      <w:rFonts w:hint="eastAsia" w:ascii="宋体" w:hAnsi="宋体" w:cs="宋体"/>
                      <w:b/>
                      <w:szCs w:val="21"/>
                    </w:rPr>
                    <w:t>7</w:t>
                  </w:r>
                </w:p>
              </w:tc>
              <w:tc>
                <w:tcPr>
                  <w:tcW w:w="1502" w:type="dxa"/>
                  <w:tcBorders>
                    <w:top w:val="single" w:color="auto" w:sz="4" w:space="0"/>
                    <w:left w:val="single" w:color="auto" w:sz="4" w:space="0"/>
                    <w:bottom w:val="single" w:color="auto" w:sz="4" w:space="0"/>
                    <w:right w:val="single" w:color="auto" w:sz="4" w:space="0"/>
                  </w:tcBorders>
                  <w:vAlign w:val="center"/>
                </w:tcPr>
                <w:p w14:paraId="36578C4D">
                  <w:pPr>
                    <w:spacing w:line="288" w:lineRule="auto"/>
                    <w:jc w:val="center"/>
                    <w:rPr>
                      <w:rFonts w:hint="eastAsia" w:ascii="宋体" w:hAnsi="宋体" w:cs="宋体"/>
                      <w:b/>
                      <w:szCs w:val="21"/>
                    </w:rPr>
                  </w:pPr>
                  <w:r>
                    <w:rPr>
                      <w:rFonts w:hint="eastAsia" w:ascii="宋体" w:hAnsi="宋体" w:cs="宋体"/>
                      <w:szCs w:val="21"/>
                    </w:rPr>
                    <w:t>付款方式和时间安排</w:t>
                  </w:r>
                </w:p>
              </w:tc>
              <w:tc>
                <w:tcPr>
                  <w:tcW w:w="6203" w:type="dxa"/>
                  <w:tcBorders>
                    <w:top w:val="single" w:color="auto" w:sz="4" w:space="0"/>
                    <w:left w:val="single" w:color="auto" w:sz="4" w:space="0"/>
                    <w:bottom w:val="single" w:color="auto" w:sz="4" w:space="0"/>
                    <w:right w:val="single" w:color="auto" w:sz="4" w:space="0"/>
                  </w:tcBorders>
                </w:tcPr>
                <w:p w14:paraId="5A681C65">
                  <w:pPr>
                    <w:spacing w:line="288" w:lineRule="auto"/>
                    <w:ind w:firstLine="420" w:firstLineChars="200"/>
                    <w:rPr>
                      <w:rFonts w:hint="eastAsia" w:ascii="宋体" w:hAnsi="宋体" w:cs="宋体"/>
                      <w:szCs w:val="21"/>
                    </w:rPr>
                  </w:pPr>
                  <w:r>
                    <w:rPr>
                      <w:rFonts w:hint="eastAsia" w:ascii="宋体" w:hAnsi="宋体" w:cs="宋体"/>
                      <w:szCs w:val="21"/>
                      <w:highlight w:val="yellow"/>
                    </w:rPr>
                    <w:t>★7.1验收合格后，中标人提供全额含税发票及相关资料给采购人，采购人按要求进行审核，审</w:t>
                  </w:r>
                  <w:r>
                    <w:rPr>
                      <w:rFonts w:hint="eastAsia" w:ascii="宋体" w:hAnsi="宋体" w:cs="宋体"/>
                      <w:color w:val="0000FF"/>
                      <w:szCs w:val="21"/>
                      <w:highlight w:val="yellow"/>
                    </w:rPr>
                    <w:t>批通过后一次性支付相应款</w:t>
                  </w:r>
                  <w:r>
                    <w:rPr>
                      <w:rFonts w:hint="eastAsia" w:ascii="宋体" w:hAnsi="宋体" w:cs="宋体"/>
                      <w:szCs w:val="21"/>
                      <w:highlight w:val="yellow"/>
                    </w:rPr>
                    <w:t>项。</w:t>
                  </w:r>
                </w:p>
              </w:tc>
            </w:tr>
            <w:tr w14:paraId="1EB8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36B365CC">
                  <w:pPr>
                    <w:spacing w:line="288" w:lineRule="auto"/>
                    <w:jc w:val="center"/>
                    <w:rPr>
                      <w:rFonts w:hint="eastAsia" w:ascii="宋体" w:hAnsi="宋体" w:cs="宋体"/>
                      <w:b/>
                      <w:szCs w:val="21"/>
                    </w:rPr>
                  </w:pPr>
                  <w:r>
                    <w:rPr>
                      <w:rFonts w:hint="eastAsia" w:ascii="宋体" w:hAnsi="宋体" w:cs="宋体"/>
                      <w:b/>
                      <w:szCs w:val="21"/>
                    </w:rPr>
                    <w:t>8</w:t>
                  </w:r>
                </w:p>
              </w:tc>
              <w:tc>
                <w:tcPr>
                  <w:tcW w:w="1502" w:type="dxa"/>
                  <w:tcBorders>
                    <w:top w:val="single" w:color="auto" w:sz="4" w:space="0"/>
                    <w:left w:val="single" w:color="auto" w:sz="4" w:space="0"/>
                    <w:bottom w:val="single" w:color="auto" w:sz="4" w:space="0"/>
                    <w:right w:val="single" w:color="auto" w:sz="4" w:space="0"/>
                  </w:tcBorders>
                  <w:vAlign w:val="center"/>
                </w:tcPr>
                <w:p w14:paraId="07F242E4">
                  <w:pPr>
                    <w:spacing w:line="288" w:lineRule="auto"/>
                    <w:jc w:val="center"/>
                    <w:rPr>
                      <w:rFonts w:hint="eastAsia" w:ascii="宋体" w:hAnsi="宋体" w:cs="宋体"/>
                      <w:b/>
                      <w:szCs w:val="21"/>
                    </w:rPr>
                  </w:pPr>
                  <w:r>
                    <w:rPr>
                      <w:rFonts w:hint="eastAsia" w:ascii="宋体" w:hAnsi="宋体" w:cs="宋体"/>
                      <w:szCs w:val="21"/>
                    </w:rPr>
                    <w:t>违约责任</w:t>
                  </w:r>
                </w:p>
              </w:tc>
              <w:tc>
                <w:tcPr>
                  <w:tcW w:w="6203" w:type="dxa"/>
                  <w:tcBorders>
                    <w:top w:val="single" w:color="auto" w:sz="4" w:space="0"/>
                    <w:left w:val="single" w:color="auto" w:sz="4" w:space="0"/>
                    <w:bottom w:val="single" w:color="auto" w:sz="4" w:space="0"/>
                    <w:right w:val="single" w:color="auto" w:sz="4" w:space="0"/>
                  </w:tcBorders>
                </w:tcPr>
                <w:p w14:paraId="72CAB819">
                  <w:pPr>
                    <w:spacing w:line="288" w:lineRule="auto"/>
                    <w:ind w:firstLine="420" w:firstLineChars="200"/>
                    <w:rPr>
                      <w:rFonts w:hint="eastAsia" w:ascii="宋体" w:hAnsi="宋体" w:cs="宋体"/>
                      <w:szCs w:val="21"/>
                    </w:rPr>
                  </w:pPr>
                  <w:r>
                    <w:rPr>
                      <w:rFonts w:hint="eastAsia" w:ascii="宋体" w:hAnsi="宋体" w:cs="宋体"/>
                      <w:szCs w:val="21"/>
                    </w:rPr>
                    <w:t>8.1合同生效后，中标人逾期交付产品，应向采购人每日支付合同总价千分之三的违约金。验收合格后，采购人逾期付款，应向中标人每日支付合同总价千分之三的违约金。</w:t>
                  </w:r>
                </w:p>
                <w:p w14:paraId="55B695E8">
                  <w:pPr>
                    <w:spacing w:line="288" w:lineRule="auto"/>
                    <w:ind w:firstLine="420" w:firstLineChars="200"/>
                    <w:rPr>
                      <w:rFonts w:hint="eastAsia" w:ascii="宋体" w:hAnsi="宋体" w:cs="宋体"/>
                      <w:szCs w:val="21"/>
                    </w:rPr>
                  </w:pPr>
                  <w:r>
                    <w:rPr>
                      <w:rFonts w:hint="eastAsia" w:ascii="宋体" w:hAnsi="宋体" w:cs="宋体"/>
                      <w:szCs w:val="21"/>
                    </w:rPr>
                    <w:t>8.2中标人所交付的产品品牌、型号、规格、质量不符合同规定标准的，采购人有权拒绝收货。中标人不能交货或不能依约提供技术服务或单方终止合同，采购人可主张中标人向采购人支付不超过合同总价百分之三十的违约金并承担相应的违约责任。</w:t>
                  </w:r>
                </w:p>
                <w:p w14:paraId="3F03CD9B">
                  <w:pPr>
                    <w:spacing w:line="288" w:lineRule="auto"/>
                    <w:ind w:firstLine="420" w:firstLineChars="200"/>
                    <w:rPr>
                      <w:rFonts w:hint="eastAsia" w:ascii="宋体" w:hAnsi="宋体" w:cs="宋体"/>
                      <w:szCs w:val="21"/>
                    </w:rPr>
                  </w:pPr>
                  <w:r>
                    <w:rPr>
                      <w:rFonts w:hint="eastAsia" w:ascii="宋体" w:hAnsi="宋体" w:cs="宋体"/>
                      <w:szCs w:val="21"/>
                    </w:rPr>
                    <w:t>8.3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中标人主张退货或换货，采购人可主张中标人向采购人支付不超过合同总价百分之三十的违约金并承担相应的违约责任。</w:t>
                  </w:r>
                </w:p>
              </w:tc>
            </w:tr>
            <w:tr w14:paraId="042C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102A40BB">
                  <w:pPr>
                    <w:spacing w:line="288" w:lineRule="auto"/>
                    <w:jc w:val="center"/>
                    <w:rPr>
                      <w:rFonts w:hint="eastAsia" w:ascii="宋体" w:hAnsi="宋体" w:cs="宋体"/>
                      <w:b/>
                      <w:szCs w:val="21"/>
                    </w:rPr>
                  </w:pPr>
                  <w:r>
                    <w:rPr>
                      <w:rFonts w:hint="eastAsia" w:ascii="宋体" w:hAnsi="宋体" w:cs="宋体"/>
                      <w:b/>
                      <w:szCs w:val="21"/>
                    </w:rPr>
                    <w:t>9</w:t>
                  </w:r>
                </w:p>
              </w:tc>
              <w:tc>
                <w:tcPr>
                  <w:tcW w:w="1502" w:type="dxa"/>
                  <w:tcBorders>
                    <w:top w:val="single" w:color="auto" w:sz="4" w:space="0"/>
                    <w:left w:val="single" w:color="auto" w:sz="4" w:space="0"/>
                    <w:bottom w:val="single" w:color="auto" w:sz="4" w:space="0"/>
                    <w:right w:val="single" w:color="auto" w:sz="4" w:space="0"/>
                  </w:tcBorders>
                  <w:vAlign w:val="center"/>
                </w:tcPr>
                <w:p w14:paraId="7CBCB87E">
                  <w:pPr>
                    <w:spacing w:line="288" w:lineRule="auto"/>
                    <w:jc w:val="center"/>
                    <w:rPr>
                      <w:rFonts w:hint="eastAsia" w:ascii="宋体" w:hAnsi="宋体" w:cs="宋体"/>
                      <w:b/>
                      <w:szCs w:val="21"/>
                    </w:rPr>
                  </w:pPr>
                  <w:r>
                    <w:rPr>
                      <w:rFonts w:hint="eastAsia" w:ascii="宋体" w:hAnsi="宋体" w:cs="宋体"/>
                      <w:szCs w:val="21"/>
                    </w:rPr>
                    <w:t>不可抗力</w:t>
                  </w:r>
                </w:p>
              </w:tc>
              <w:tc>
                <w:tcPr>
                  <w:tcW w:w="6203" w:type="dxa"/>
                  <w:tcBorders>
                    <w:top w:val="single" w:color="auto" w:sz="4" w:space="0"/>
                    <w:left w:val="single" w:color="auto" w:sz="4" w:space="0"/>
                    <w:bottom w:val="single" w:color="auto" w:sz="4" w:space="0"/>
                    <w:right w:val="single" w:color="auto" w:sz="4" w:space="0"/>
                  </w:tcBorders>
                </w:tcPr>
                <w:p w14:paraId="0F9F2972">
                  <w:pPr>
                    <w:spacing w:line="288" w:lineRule="auto"/>
                    <w:ind w:firstLine="420" w:firstLineChars="200"/>
                    <w:rPr>
                      <w:rFonts w:hint="eastAsia" w:ascii="宋体" w:hAnsi="宋体" w:cs="宋体"/>
                      <w:szCs w:val="21"/>
                    </w:rPr>
                  </w:pPr>
                  <w:r>
                    <w:rPr>
                      <w:rFonts w:hint="eastAsia" w:ascii="宋体" w:hAnsi="宋体" w:cs="宋体"/>
                      <w:szCs w:val="21"/>
                    </w:rPr>
                    <w:t>9.1签约双方任一方由于受到不可抗力的影响而不能执行合同时，应在不可抗力事件发生后尽快用电报、传真或电传通知另一方，并于事件发生后</w:t>
                  </w:r>
                  <w:r>
                    <w:rPr>
                      <w:rFonts w:hint="eastAsia" w:ascii="宋体" w:hAnsi="宋体" w:cs="宋体"/>
                      <w:b/>
                      <w:szCs w:val="21"/>
                    </w:rPr>
                    <w:t>15</w:t>
                  </w:r>
                  <w:r>
                    <w:rPr>
                      <w:rFonts w:hint="eastAsia" w:ascii="宋体" w:hAnsi="宋体" w:cs="宋体"/>
                      <w:szCs w:val="21"/>
                    </w:rPr>
                    <w:t>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tc>
            </w:tr>
            <w:tr w14:paraId="4352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7C46A619">
                  <w:pPr>
                    <w:spacing w:line="288" w:lineRule="auto"/>
                    <w:jc w:val="center"/>
                    <w:rPr>
                      <w:rFonts w:hint="eastAsia" w:ascii="宋体" w:hAnsi="宋体" w:cs="宋体"/>
                      <w:b/>
                      <w:szCs w:val="21"/>
                    </w:rPr>
                  </w:pPr>
                  <w:r>
                    <w:rPr>
                      <w:rFonts w:hint="eastAsia" w:ascii="宋体" w:hAnsi="宋体" w:cs="宋体"/>
                      <w:b/>
                      <w:szCs w:val="21"/>
                    </w:rPr>
                    <w:t>10</w:t>
                  </w:r>
                </w:p>
              </w:tc>
              <w:tc>
                <w:tcPr>
                  <w:tcW w:w="1502" w:type="dxa"/>
                  <w:tcBorders>
                    <w:top w:val="single" w:color="auto" w:sz="4" w:space="0"/>
                    <w:left w:val="single" w:color="auto" w:sz="4" w:space="0"/>
                    <w:bottom w:val="single" w:color="auto" w:sz="4" w:space="0"/>
                    <w:right w:val="single" w:color="auto" w:sz="4" w:space="0"/>
                  </w:tcBorders>
                  <w:vAlign w:val="center"/>
                </w:tcPr>
                <w:p w14:paraId="5A13B503">
                  <w:pPr>
                    <w:spacing w:line="288" w:lineRule="auto"/>
                    <w:jc w:val="center"/>
                    <w:rPr>
                      <w:rFonts w:hint="eastAsia" w:ascii="宋体" w:hAnsi="宋体" w:cs="宋体"/>
                      <w:szCs w:val="21"/>
                    </w:rPr>
                  </w:pPr>
                  <w:r>
                    <w:rPr>
                      <w:rFonts w:hint="eastAsia" w:ascii="宋体" w:hAnsi="宋体" w:cs="宋体"/>
                      <w:szCs w:val="21"/>
                    </w:rPr>
                    <w:t>争议的解决</w:t>
                  </w:r>
                </w:p>
              </w:tc>
              <w:tc>
                <w:tcPr>
                  <w:tcW w:w="6203" w:type="dxa"/>
                  <w:tcBorders>
                    <w:top w:val="single" w:color="auto" w:sz="4" w:space="0"/>
                    <w:left w:val="single" w:color="auto" w:sz="4" w:space="0"/>
                    <w:bottom w:val="single" w:color="auto" w:sz="4" w:space="0"/>
                    <w:right w:val="single" w:color="auto" w:sz="4" w:space="0"/>
                  </w:tcBorders>
                </w:tcPr>
                <w:p w14:paraId="67E5B3D3">
                  <w:pPr>
                    <w:spacing w:line="288" w:lineRule="auto"/>
                    <w:ind w:firstLine="420" w:firstLineChars="200"/>
                    <w:rPr>
                      <w:rFonts w:hint="eastAsia" w:ascii="宋体" w:hAnsi="宋体" w:cs="宋体"/>
                      <w:szCs w:val="21"/>
                    </w:rPr>
                  </w:pPr>
                  <w:r>
                    <w:rPr>
                      <w:rFonts w:hint="eastAsia" w:ascii="宋体" w:hAnsi="宋体" w:cs="宋体"/>
                      <w:szCs w:val="21"/>
                    </w:rPr>
                    <w:t>10.1凡因执行项目合同所发生的或与本合同有关的一切争议，双方应通过友好协商解决。协商不成时，</w:t>
                  </w:r>
                  <w:r>
                    <w:rPr>
                      <w:rFonts w:hint="eastAsia" w:ascii="宋体" w:hAnsi="宋体" w:cs="宋体"/>
                      <w:color w:val="000000"/>
                      <w:szCs w:val="21"/>
                    </w:rPr>
                    <w:t>双方均有权向深圳市南山区人民法院提起</w:t>
                  </w:r>
                  <w:r>
                    <w:fldChar w:fldCharType="begin"/>
                  </w:r>
                  <w:r>
                    <w:instrText xml:space="preserve"> HYPERLINK "http://www.64365.com/baike/ss/" \t "_blank" \o "诉讼" </w:instrText>
                  </w:r>
                  <w:r>
                    <w:fldChar w:fldCharType="separate"/>
                  </w:r>
                  <w:r>
                    <w:rPr>
                      <w:rFonts w:hint="eastAsia" w:ascii="宋体" w:hAnsi="宋体" w:cs="宋体"/>
                      <w:color w:val="000000"/>
                      <w:szCs w:val="21"/>
                    </w:rPr>
                    <w:t>诉讼</w:t>
                  </w:r>
                  <w:r>
                    <w:rPr>
                      <w:rFonts w:hint="eastAsia" w:ascii="宋体" w:hAnsi="宋体" w:cs="宋体"/>
                      <w:color w:val="000000"/>
                      <w:szCs w:val="21"/>
                    </w:rPr>
                    <w:fldChar w:fldCharType="end"/>
                  </w:r>
                  <w:r>
                    <w:rPr>
                      <w:rFonts w:hint="eastAsia" w:ascii="宋体" w:hAnsi="宋体" w:cs="宋体"/>
                      <w:color w:val="000000"/>
                      <w:szCs w:val="21"/>
                    </w:rPr>
                    <w:t>。</w:t>
                  </w:r>
                </w:p>
              </w:tc>
            </w:tr>
            <w:tr w14:paraId="4577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6165BEF9">
                  <w:pPr>
                    <w:spacing w:line="288" w:lineRule="auto"/>
                    <w:jc w:val="center"/>
                    <w:rPr>
                      <w:rFonts w:hint="eastAsia" w:ascii="宋体" w:hAnsi="宋体" w:cs="宋体"/>
                      <w:b/>
                      <w:szCs w:val="21"/>
                    </w:rPr>
                  </w:pPr>
                  <w:r>
                    <w:rPr>
                      <w:rFonts w:hint="eastAsia" w:ascii="宋体" w:hAnsi="宋体" w:cs="宋体"/>
                      <w:b/>
                      <w:szCs w:val="21"/>
                    </w:rPr>
                    <w:t>11</w:t>
                  </w:r>
                </w:p>
              </w:tc>
              <w:tc>
                <w:tcPr>
                  <w:tcW w:w="1502" w:type="dxa"/>
                  <w:tcBorders>
                    <w:top w:val="single" w:color="auto" w:sz="4" w:space="0"/>
                    <w:left w:val="single" w:color="auto" w:sz="4" w:space="0"/>
                    <w:bottom w:val="single" w:color="auto" w:sz="4" w:space="0"/>
                    <w:right w:val="single" w:color="auto" w:sz="4" w:space="0"/>
                  </w:tcBorders>
                  <w:vAlign w:val="center"/>
                </w:tcPr>
                <w:p w14:paraId="5CCFE796">
                  <w:pPr>
                    <w:spacing w:line="288" w:lineRule="auto"/>
                    <w:jc w:val="center"/>
                    <w:rPr>
                      <w:rFonts w:hint="eastAsia" w:ascii="宋体" w:hAnsi="宋体" w:cs="宋体"/>
                      <w:b/>
                      <w:szCs w:val="21"/>
                    </w:rPr>
                  </w:pPr>
                  <w:r>
                    <w:rPr>
                      <w:rFonts w:hint="eastAsia" w:ascii="宋体" w:hAnsi="宋体" w:cs="宋体"/>
                      <w:kern w:val="0"/>
                      <w:szCs w:val="21"/>
                    </w:rPr>
                    <w:t>签</w:t>
                  </w:r>
                  <w:r>
                    <w:rPr>
                      <w:rFonts w:hint="eastAsia" w:ascii="宋体" w:hAnsi="宋体" w:cs="宋体"/>
                      <w:szCs w:val="21"/>
                    </w:rPr>
                    <w:t>订合同</w:t>
                  </w:r>
                </w:p>
              </w:tc>
              <w:tc>
                <w:tcPr>
                  <w:tcW w:w="6203" w:type="dxa"/>
                  <w:tcBorders>
                    <w:top w:val="single" w:color="auto" w:sz="4" w:space="0"/>
                    <w:left w:val="single" w:color="auto" w:sz="4" w:space="0"/>
                    <w:bottom w:val="single" w:color="auto" w:sz="4" w:space="0"/>
                    <w:right w:val="single" w:color="auto" w:sz="4" w:space="0"/>
                  </w:tcBorders>
                </w:tcPr>
                <w:p w14:paraId="2C90C772">
                  <w:pPr>
                    <w:spacing w:line="288" w:lineRule="auto"/>
                    <w:ind w:firstLine="420"/>
                    <w:rPr>
                      <w:rFonts w:hint="eastAsia" w:ascii="宋体" w:hAnsi="宋体" w:cs="宋体"/>
                      <w:b/>
                      <w:szCs w:val="21"/>
                    </w:rPr>
                  </w:pPr>
                  <w:r>
                    <w:rPr>
                      <w:rFonts w:hint="eastAsia" w:ascii="宋体" w:hAnsi="宋体" w:cs="宋体"/>
                      <w:szCs w:val="21"/>
                    </w:rPr>
                    <w:t>11.1中标人须按中标通知书规定的时间、地点与采购人办理合同签订事宜。招标文件、对中标人的询标及其澄清文件等，均为签订采购合同的依据。中标人若不按规定时间、地点与采购人办理合同签订事宜，采购人可通过政府集中采购机构废除其中标资格。给采购人造成的损失，还应当予以赔偿并承担相应法律责任。</w:t>
                  </w:r>
                </w:p>
              </w:tc>
            </w:tr>
            <w:tr w14:paraId="6BE4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50292DAA">
                  <w:pPr>
                    <w:spacing w:line="288" w:lineRule="auto"/>
                    <w:jc w:val="center"/>
                    <w:rPr>
                      <w:rFonts w:hint="eastAsia" w:ascii="宋体" w:hAnsi="宋体" w:cs="宋体"/>
                      <w:b/>
                      <w:szCs w:val="21"/>
                    </w:rPr>
                  </w:pPr>
                  <w:r>
                    <w:rPr>
                      <w:rFonts w:hint="eastAsia" w:ascii="宋体" w:hAnsi="宋体" w:cs="宋体"/>
                      <w:b/>
                      <w:szCs w:val="21"/>
                    </w:rPr>
                    <w:t>12</w:t>
                  </w:r>
                </w:p>
              </w:tc>
              <w:tc>
                <w:tcPr>
                  <w:tcW w:w="1502" w:type="dxa"/>
                  <w:tcBorders>
                    <w:top w:val="single" w:color="auto" w:sz="4" w:space="0"/>
                    <w:left w:val="single" w:color="auto" w:sz="4" w:space="0"/>
                    <w:bottom w:val="single" w:color="auto" w:sz="4" w:space="0"/>
                    <w:right w:val="single" w:color="auto" w:sz="4" w:space="0"/>
                  </w:tcBorders>
                  <w:vAlign w:val="center"/>
                </w:tcPr>
                <w:p w14:paraId="3600C877">
                  <w:pPr>
                    <w:spacing w:line="288" w:lineRule="auto"/>
                    <w:jc w:val="center"/>
                    <w:rPr>
                      <w:rFonts w:hint="eastAsia" w:ascii="宋体" w:hAnsi="宋体" w:cs="宋体"/>
                      <w:kern w:val="0"/>
                      <w:szCs w:val="21"/>
                    </w:rPr>
                  </w:pPr>
                  <w:r>
                    <w:rPr>
                      <w:rFonts w:hint="eastAsia" w:ascii="宋体" w:hAnsi="宋体" w:cs="宋体"/>
                      <w:kern w:val="0"/>
                      <w:szCs w:val="21"/>
                    </w:rPr>
                    <w:t>合同解除</w:t>
                  </w:r>
                </w:p>
              </w:tc>
              <w:tc>
                <w:tcPr>
                  <w:tcW w:w="6203" w:type="dxa"/>
                  <w:tcBorders>
                    <w:top w:val="single" w:color="auto" w:sz="4" w:space="0"/>
                    <w:left w:val="single" w:color="auto" w:sz="4" w:space="0"/>
                    <w:bottom w:val="single" w:color="auto" w:sz="4" w:space="0"/>
                    <w:right w:val="single" w:color="auto" w:sz="4" w:space="0"/>
                  </w:tcBorders>
                </w:tcPr>
                <w:p w14:paraId="18FA40C9">
                  <w:pPr>
                    <w:spacing w:line="288" w:lineRule="auto"/>
                    <w:ind w:firstLine="420" w:firstLineChars="200"/>
                    <w:rPr>
                      <w:rFonts w:hint="eastAsia" w:ascii="宋体" w:hAnsi="宋体" w:cs="宋体"/>
                      <w:color w:val="000000"/>
                      <w:szCs w:val="21"/>
                    </w:rPr>
                  </w:pPr>
                  <w:r>
                    <w:rPr>
                      <w:rFonts w:hint="eastAsia" w:ascii="宋体" w:hAnsi="宋体" w:cs="宋体"/>
                      <w:color w:val="000000"/>
                      <w:szCs w:val="21"/>
                    </w:rPr>
                    <w:t>12.1有下列情形之一的，双方可以解除合同：</w:t>
                  </w:r>
                </w:p>
                <w:p w14:paraId="1FF619D2">
                  <w:pPr>
                    <w:spacing w:line="288" w:lineRule="auto"/>
                    <w:ind w:firstLine="420" w:firstLineChars="200"/>
                    <w:rPr>
                      <w:rFonts w:hint="eastAsia" w:ascii="宋体" w:hAnsi="宋体" w:cs="宋体"/>
                      <w:color w:val="000000"/>
                      <w:szCs w:val="21"/>
                    </w:rPr>
                  </w:pPr>
                  <w:r>
                    <w:rPr>
                      <w:rFonts w:hint="eastAsia" w:ascii="宋体" w:hAnsi="宋体" w:cs="宋体"/>
                      <w:color w:val="000000"/>
                      <w:szCs w:val="21"/>
                    </w:rPr>
                    <w:t>（1）因不可抗力致使不能实现合同目的；</w:t>
                  </w:r>
                </w:p>
                <w:p w14:paraId="661F9AAA">
                  <w:pPr>
                    <w:spacing w:line="288" w:lineRule="auto"/>
                    <w:ind w:firstLine="420" w:firstLineChars="200"/>
                    <w:rPr>
                      <w:rFonts w:hint="eastAsia" w:ascii="宋体" w:hAnsi="宋体" w:cs="宋体"/>
                      <w:color w:val="000000"/>
                      <w:szCs w:val="21"/>
                    </w:rPr>
                  </w:pPr>
                  <w:r>
                    <w:rPr>
                      <w:rFonts w:hint="eastAsia" w:ascii="宋体" w:hAnsi="宋体" w:cs="宋体"/>
                      <w:color w:val="000000"/>
                      <w:szCs w:val="21"/>
                    </w:rPr>
                    <w:t>（2）由于中标人的原因未能在本合同约定的交货期或工期交货或移交的，逾期超过15个日历日仍不能交货或移交的；中标人所交付的产品品牌、型号、规格、质量不符合同规定标准的，并经过15个日历日整改仍不达标的，采购人有权解除合同并要求中标人承担相应的违约责任及由此给采购人造成的其他经济损失；</w:t>
                  </w:r>
                </w:p>
                <w:p w14:paraId="6E8E275A">
                  <w:pPr>
                    <w:spacing w:line="288" w:lineRule="auto"/>
                    <w:ind w:firstLine="420" w:firstLineChars="200"/>
                    <w:rPr>
                      <w:rFonts w:hint="eastAsia" w:ascii="宋体" w:hAnsi="宋体" w:cs="宋体"/>
                      <w:color w:val="000000"/>
                      <w:szCs w:val="21"/>
                    </w:rPr>
                  </w:pPr>
                  <w:r>
                    <w:rPr>
                      <w:rFonts w:hint="eastAsia" w:ascii="宋体" w:hAnsi="宋体" w:cs="宋体"/>
                      <w:color w:val="000000"/>
                      <w:szCs w:val="21"/>
                    </w:rPr>
                    <w:t>（3）法律规定的其他情形。</w:t>
                  </w:r>
                </w:p>
              </w:tc>
            </w:tr>
          </w:tbl>
          <w:p w14:paraId="01E3C00A">
            <w:pPr>
              <w:spacing w:line="440" w:lineRule="exact"/>
              <w:rPr>
                <w:rFonts w:hint="eastAsia" w:ascii="宋体" w:hAnsi="宋体"/>
                <w:szCs w:val="21"/>
              </w:rPr>
            </w:pPr>
          </w:p>
        </w:tc>
      </w:tr>
    </w:tbl>
    <w:p w14:paraId="1697C151">
      <w:pPr>
        <w:widowControl/>
        <w:jc w:val="left"/>
      </w:pPr>
    </w:p>
    <w:p w14:paraId="0FE83B9D">
      <w:pPr>
        <w:widowControl/>
        <w:jc w:val="left"/>
      </w:pPr>
    </w:p>
    <w:p w14:paraId="4A3354C9">
      <w:pPr>
        <w:keepNext/>
        <w:keepLines/>
        <w:adjustRightInd w:val="0"/>
        <w:spacing w:line="360" w:lineRule="auto"/>
        <w:jc w:val="left"/>
        <w:textAlignment w:val="baseline"/>
        <w:outlineLvl w:val="1"/>
        <w:rPr>
          <w:rFonts w:hint="eastAsia" w:ascii="宋体" w:hAnsi="宋体"/>
          <w:b/>
          <w:bCs/>
          <w:kern w:val="0"/>
          <w:sz w:val="24"/>
        </w:rPr>
      </w:pPr>
      <w:r>
        <w:rPr>
          <w:rFonts w:hint="eastAsia"/>
          <w:b/>
          <w:bCs/>
          <w:sz w:val="24"/>
        </w:rPr>
        <w:t>四</w:t>
      </w:r>
      <w:r>
        <w:rPr>
          <w:rFonts w:hint="eastAsia" w:ascii="宋体" w:hAnsi="宋体"/>
          <w:b/>
          <w:bCs/>
          <w:kern w:val="0"/>
          <w:sz w:val="24"/>
        </w:rPr>
        <w:t>、演示要求</w:t>
      </w:r>
    </w:p>
    <w:p w14:paraId="429E9619">
      <w:pPr>
        <w:spacing w:line="360" w:lineRule="auto"/>
        <w:rPr>
          <w:rFonts w:hint="eastAsia" w:ascii="宋体" w:hAnsi="宋体" w:cs="宋体"/>
          <w:szCs w:val="21"/>
        </w:rPr>
      </w:pPr>
      <w:r>
        <w:rPr>
          <w:rFonts w:hint="eastAsia" w:ascii="宋体" w:hAnsi="宋体" w:cs="宋体"/>
          <w:szCs w:val="21"/>
        </w:rPr>
        <w:t>（一）总体要求：</w:t>
      </w:r>
    </w:p>
    <w:p w14:paraId="7835D409">
      <w:pPr>
        <w:spacing w:line="360" w:lineRule="auto"/>
        <w:ind w:firstLine="392" w:firstLineChars="187"/>
        <w:rPr>
          <w:rFonts w:hint="eastAsia" w:ascii="宋体" w:hAnsi="宋体" w:cs="宋体"/>
          <w:szCs w:val="21"/>
        </w:rPr>
      </w:pPr>
      <w:r>
        <w:rPr>
          <w:rFonts w:hint="eastAsia" w:ascii="宋体" w:hAnsi="宋体" w:cs="宋体"/>
          <w:szCs w:val="21"/>
        </w:rPr>
        <w:t>演示地点提供电源、投影仪及宽带上网环境（有WIFI），由投标人代表自带手提电脑、无线路由器、便携式服务器、U盘及其它能完成演示操作的设备（具体以投标人实际需要为准）进行演示。由于演示场地有限，建议勿携带过大设备进行演示。</w:t>
      </w:r>
    </w:p>
    <w:p w14:paraId="18C48D1A">
      <w:pPr>
        <w:spacing w:line="360" w:lineRule="auto"/>
        <w:ind w:firstLine="392" w:firstLineChars="187"/>
        <w:rPr>
          <w:rFonts w:hint="eastAsia" w:ascii="宋体" w:hAnsi="宋体" w:cs="宋体"/>
          <w:szCs w:val="21"/>
        </w:rPr>
      </w:pPr>
      <w:r>
        <w:rPr>
          <w:rFonts w:hint="eastAsia" w:ascii="宋体" w:hAnsi="宋体" w:cs="宋体"/>
          <w:szCs w:val="21"/>
        </w:rPr>
        <w:t>每个投标人的现场演示时间不超过15分钟（演示期间如有需要评委将进行提问，并有权酌情延长时间），现场演示人员不得超过2人。</w:t>
      </w:r>
    </w:p>
    <w:p w14:paraId="0C0F6BF0">
      <w:pPr>
        <w:spacing w:line="360" w:lineRule="auto"/>
        <w:rPr>
          <w:rFonts w:hint="eastAsia" w:ascii="宋体" w:hAnsi="宋体" w:cs="宋体"/>
          <w:szCs w:val="21"/>
        </w:rPr>
      </w:pPr>
      <w:r>
        <w:rPr>
          <w:rFonts w:hint="eastAsia" w:ascii="宋体" w:hAnsi="宋体" w:cs="宋体"/>
          <w:szCs w:val="21"/>
        </w:rPr>
        <w:t>（二）签到要求：</w:t>
      </w:r>
    </w:p>
    <w:p w14:paraId="7B4F1A5C">
      <w:pPr>
        <w:spacing w:line="360" w:lineRule="auto"/>
        <w:ind w:firstLine="392" w:firstLineChars="187"/>
        <w:rPr>
          <w:rFonts w:hint="eastAsia" w:ascii="宋体" w:hAnsi="宋体" w:cs="宋体"/>
          <w:szCs w:val="21"/>
          <w:highlight w:val="yellow"/>
        </w:rPr>
      </w:pPr>
      <w:r>
        <w:rPr>
          <w:rFonts w:hint="eastAsia" w:ascii="宋体" w:hAnsi="宋体" w:cs="宋体"/>
          <w:szCs w:val="21"/>
          <w:highlight w:val="yellow"/>
        </w:rPr>
        <w:t>参加现场演示的投标人须在</w:t>
      </w:r>
      <w:r>
        <w:rPr>
          <w:rFonts w:hint="eastAsia" w:ascii="宋体" w:hAnsi="宋体"/>
          <w:b/>
          <w:highlight w:val="yellow"/>
          <w:u w:val="single"/>
        </w:rPr>
        <w:t>投标截止时间</w:t>
      </w:r>
      <w:r>
        <w:rPr>
          <w:rFonts w:hint="eastAsia" w:ascii="宋体" w:hAnsi="宋体" w:cs="宋体"/>
          <w:b/>
          <w:szCs w:val="21"/>
          <w:highlight w:val="yellow"/>
        </w:rPr>
        <w:t>前，携带法定代表人证明书（盖公章）及法人授权委托书（盖公章）、身份证</w:t>
      </w:r>
      <w:r>
        <w:rPr>
          <w:rFonts w:hint="eastAsia" w:ascii="宋体" w:hAnsi="宋体" w:cs="宋体"/>
          <w:szCs w:val="21"/>
          <w:highlight w:val="yellow"/>
        </w:rPr>
        <w:t>，到达深圳市中正招标有限公司开标室，按工作人员指引进行签到。</w:t>
      </w:r>
    </w:p>
    <w:p w14:paraId="276D6A96">
      <w:pPr>
        <w:spacing w:line="360" w:lineRule="auto"/>
        <w:ind w:firstLine="394" w:firstLineChars="187"/>
        <w:rPr>
          <w:rFonts w:hint="eastAsia" w:ascii="宋体" w:hAnsi="宋体" w:cs="宋体"/>
          <w:b/>
          <w:szCs w:val="21"/>
        </w:rPr>
      </w:pPr>
      <w:r>
        <w:rPr>
          <w:rFonts w:hint="eastAsia" w:ascii="宋体" w:hAnsi="宋体" w:cs="宋体"/>
          <w:b/>
          <w:szCs w:val="21"/>
          <w:highlight w:val="yellow"/>
        </w:rPr>
        <w:t>特别注意事项：（1）资料提供不齐全的，不予签到；（2）签到截止时间后不再受理签到；（3）未签到的人员，不能参与现场演示。</w:t>
      </w:r>
    </w:p>
    <w:p w14:paraId="47CBFB6D">
      <w:pPr>
        <w:spacing w:line="360" w:lineRule="auto"/>
        <w:rPr>
          <w:rFonts w:hint="eastAsia" w:ascii="宋体" w:hAnsi="宋体" w:cs="宋体"/>
          <w:szCs w:val="21"/>
        </w:rPr>
      </w:pPr>
      <w:r>
        <w:rPr>
          <w:rFonts w:hint="eastAsia" w:ascii="宋体" w:hAnsi="宋体" w:cs="宋体"/>
          <w:szCs w:val="21"/>
        </w:rPr>
        <w:t>（三）演示内容：</w:t>
      </w:r>
    </w:p>
    <w:p w14:paraId="41B650E5">
      <w:pPr>
        <w:pStyle w:val="19"/>
        <w:ind w:firstLine="420" w:firstLineChars="200"/>
      </w:pPr>
      <w:r>
        <w:rPr>
          <w:rFonts w:hint="eastAsia"/>
        </w:rPr>
        <w:t>详见评分标准“功能演示”评分项。</w:t>
      </w:r>
    </w:p>
    <w:p w14:paraId="51C1E804">
      <w:pPr>
        <w:widowControl/>
        <w:spacing w:line="360" w:lineRule="auto"/>
        <w:ind w:firstLine="420" w:firstLineChars="200"/>
        <w:jc w:val="left"/>
      </w:pPr>
    </w:p>
    <w:p w14:paraId="1AC7EC3A">
      <w:bookmarkStart w:id="12" w:name="_Toc135293322"/>
    </w:p>
    <w:p w14:paraId="7A90E784"/>
    <w:p w14:paraId="394B8139"/>
    <w:p w14:paraId="27D686C9"/>
    <w:p w14:paraId="7DDCB76B"/>
    <w:p w14:paraId="553099B7">
      <w:pPr>
        <w:pStyle w:val="4"/>
      </w:pPr>
    </w:p>
    <w:p w14:paraId="099DD10A"/>
    <w:p w14:paraId="4DF9CA35">
      <w:pPr>
        <w:pStyle w:val="4"/>
      </w:pPr>
    </w:p>
    <w:p w14:paraId="76C5199C"/>
    <w:p w14:paraId="71AA84AB">
      <w:pPr>
        <w:pStyle w:val="4"/>
      </w:pPr>
    </w:p>
    <w:p w14:paraId="29C4F969"/>
    <w:p w14:paraId="624F292F">
      <w:pPr>
        <w:pStyle w:val="4"/>
      </w:pPr>
    </w:p>
    <w:p w14:paraId="0DC60A3A"/>
    <w:p w14:paraId="4A7733B6">
      <w:pPr>
        <w:pStyle w:val="4"/>
      </w:pPr>
    </w:p>
    <w:p w14:paraId="5D76BE5A"/>
    <w:p w14:paraId="004FF31B">
      <w:pPr>
        <w:pStyle w:val="4"/>
      </w:pPr>
    </w:p>
    <w:p w14:paraId="7DBFD255"/>
    <w:p w14:paraId="323FA678">
      <w:pPr>
        <w:pStyle w:val="4"/>
      </w:pPr>
    </w:p>
    <w:p w14:paraId="1FB01B7F">
      <w:pPr>
        <w:pStyle w:val="2"/>
      </w:pPr>
      <w:r>
        <w:rPr>
          <w:rFonts w:hint="eastAsia"/>
        </w:rPr>
        <w:t>第三章  投标文件初审</w:t>
      </w:r>
      <w:bookmarkEnd w:id="12"/>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C7AE374">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13、法律法规规定的其它情形。</w:t>
      </w:r>
    </w:p>
    <w:p w14:paraId="2E1F7DA6"/>
    <w:p w14:paraId="2AAF161C">
      <w:pPr>
        <w:pStyle w:val="2"/>
      </w:pPr>
      <w:bookmarkStart w:id="13" w:name="_Toc135293323"/>
      <w:r>
        <w:rPr>
          <w:rFonts w:hint="eastAsia"/>
        </w:rPr>
        <w:t>第四章  评标方法和标准</w:t>
      </w:r>
      <w:bookmarkEnd w:id="13"/>
    </w:p>
    <w:p w14:paraId="172DC63B">
      <w:pPr>
        <w:pStyle w:val="4"/>
        <w:spacing w:before="0" w:after="0"/>
      </w:pPr>
      <w:bookmarkStart w:id="14" w:name="_Toc44691393"/>
      <w:bookmarkStart w:id="15" w:name="_Toc44690702"/>
      <w:bookmarkStart w:id="16" w:name="_Toc135293324"/>
      <w:bookmarkStart w:id="17" w:name="_Toc44690429"/>
      <w:bookmarkStart w:id="18" w:name="_Toc44691161"/>
      <w:bookmarkStart w:id="19" w:name="_Toc135293325"/>
      <w:r>
        <w:rPr>
          <w:rFonts w:hint="eastAsia"/>
        </w:rPr>
        <w:t>一、</w:t>
      </w:r>
      <w:r>
        <w:t>评标方法</w:t>
      </w:r>
      <w:bookmarkEnd w:id="14"/>
      <w:bookmarkEnd w:id="15"/>
      <w:bookmarkEnd w:id="16"/>
      <w:bookmarkEnd w:id="17"/>
      <w:bookmarkEnd w:id="18"/>
    </w:p>
    <w:p w14:paraId="521A82CD">
      <w:pPr>
        <w:pStyle w:val="46"/>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5E18C33E">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77071A61">
      <w:pPr>
        <w:pStyle w:val="46"/>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668BFAEA">
      <w:pPr>
        <w:pStyle w:val="46"/>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325D0A1">
      <w:pPr>
        <w:pStyle w:val="46"/>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CC1805C">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26663B64">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3B012972">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369FC425">
      <w:pPr>
        <w:pStyle w:val="46"/>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2A348F18">
      <w:pPr>
        <w:spacing w:line="360" w:lineRule="exact"/>
        <w:ind w:firstLine="424" w:firstLineChars="202"/>
        <w:rPr>
          <w:rFonts w:hint="eastAsia"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3D62426B">
      <w:pPr>
        <w:spacing w:line="360" w:lineRule="exact"/>
        <w:ind w:firstLine="424" w:firstLineChars="177"/>
        <w:rPr>
          <w:rFonts w:hint="eastAsia"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7D9ACD45">
      <w:pPr>
        <w:spacing w:line="360" w:lineRule="auto"/>
        <w:ind w:firstLine="424" w:firstLineChars="202"/>
        <w:rPr>
          <w:rFonts w:hint="eastAsia" w:asciiTheme="minorEastAsia" w:hAnsiTheme="minorEastAsia" w:eastAsiaTheme="minorEastAsia"/>
        </w:rPr>
      </w:pPr>
    </w:p>
    <w:p w14:paraId="556AD0C4">
      <w:pPr>
        <w:pStyle w:val="4"/>
        <w:spacing w:before="0" w:after="0"/>
      </w:pPr>
      <w:r>
        <w:rPr>
          <w:rFonts w:hint="eastAsia"/>
        </w:rPr>
        <w:t>二、评标标准</w:t>
      </w:r>
      <w:bookmarkEnd w:id="19"/>
    </w:p>
    <w:p w14:paraId="7BF298AB">
      <w:pPr>
        <w:spacing w:line="360" w:lineRule="auto"/>
        <w:ind w:firstLine="424" w:firstLineChars="202"/>
        <w:rPr>
          <w:rFonts w:hint="eastAsia"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hint="eastAsia" w:ascii="宋体" w:hAnsi="宋体" w:cs="仿宋"/>
                <w:b/>
                <w:szCs w:val="21"/>
                <w:lang w:val="zh-CN"/>
              </w:rPr>
            </w:pPr>
            <w:bookmarkStart w:id="20" w:name="_Hlk196170859"/>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2" w:hRule="atLeast"/>
          <w:jc w:val="center"/>
        </w:trPr>
        <w:tc>
          <w:tcPr>
            <w:tcW w:w="8559" w:type="dxa"/>
            <w:gridSpan w:val="4"/>
            <w:vAlign w:val="center"/>
          </w:tcPr>
          <w:p w14:paraId="5FE3DFA0">
            <w:pPr>
              <w:pStyle w:val="257"/>
              <w:spacing w:before="156" w:line="360" w:lineRule="exact"/>
              <w:ind w:firstLine="0" w:firstLineChars="0"/>
              <w:rPr>
                <w:rFonts w:hint="eastAsia" w:asciiTheme="minorEastAsia" w:hAnsiTheme="minorEastAsia" w:eastAsiaTheme="minorEastAsia"/>
              </w:rPr>
            </w:pPr>
            <w:bookmarkStart w:id="21" w:name="OLE_LINK27"/>
            <w:r>
              <w:rPr>
                <w:rFonts w:hint="eastAsia" w:asciiTheme="minorEastAsia" w:hAnsiTheme="minorEastAsia" w:eastAsiaTheme="minorEastAsia"/>
              </w:rPr>
              <w:t>价格分采用低价优先法计算，即满足招标文件要求且投标价格最低的投标报价为评标基准价，其价格分为满分。其他投标人的价格分统一按照下列公式计算：</w:t>
            </w:r>
          </w:p>
          <w:p w14:paraId="367E513C">
            <w:pPr>
              <w:pStyle w:val="257"/>
              <w:spacing w:before="156" w:line="360" w:lineRule="exact"/>
              <w:ind w:firstLine="0" w:firstLineChars="0"/>
              <w:rPr>
                <w:rFonts w:hint="eastAsia" w:asciiTheme="minorEastAsia" w:hAnsiTheme="minorEastAsia" w:eastAsiaTheme="minorEastAsia"/>
              </w:rPr>
            </w:pPr>
            <w:r>
              <w:rPr>
                <w:rFonts w:hint="eastAsia" w:asciiTheme="minorEastAsia" w:hAnsiTheme="minorEastAsia" w:eastAsiaTheme="minorEastAsia"/>
              </w:rPr>
              <w:t>投标报价得分=(评标基准价／投标报价)×权重</w:t>
            </w:r>
          </w:p>
          <w:bookmarkEnd w:id="21"/>
          <w:p w14:paraId="0E7D0BBD">
            <w:pPr>
              <w:adjustRightInd w:val="0"/>
              <w:snapToGrid w:val="0"/>
              <w:spacing w:line="360" w:lineRule="exact"/>
              <w:rPr>
                <w:rFonts w:hint="eastAsia"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hint="eastAsia"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hint="eastAsia"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highlight w:val="yellow"/>
              </w:rPr>
              <w:t>57</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评分方式</w:t>
            </w:r>
          </w:p>
        </w:tc>
      </w:tr>
      <w:tr w14:paraId="4119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14:paraId="3AF1BC32">
            <w:pPr>
              <w:widowControl/>
              <w:spacing w:line="240" w:lineRule="atLeast"/>
              <w:jc w:val="center"/>
              <w:rPr>
                <w:rFonts w:hint="eastAsia" w:ascii="宋体" w:hAnsi="宋体" w:cs="仿宋"/>
                <w:szCs w:val="21"/>
              </w:rPr>
            </w:pPr>
            <w:r>
              <w:rPr>
                <w:rFonts w:hint="eastAsia" w:ascii="宋体" w:hAnsi="宋体" w:cs="宋体"/>
                <w:kern w:val="0"/>
                <w:szCs w:val="21"/>
              </w:rPr>
              <w:t>1</w:t>
            </w:r>
          </w:p>
        </w:tc>
        <w:tc>
          <w:tcPr>
            <w:tcW w:w="1143" w:type="dxa"/>
            <w:vAlign w:val="center"/>
          </w:tcPr>
          <w:p w14:paraId="349FD6B4">
            <w:pPr>
              <w:widowControl/>
              <w:spacing w:line="360" w:lineRule="exact"/>
              <w:jc w:val="center"/>
              <w:rPr>
                <w:rFonts w:hint="eastAsia" w:ascii="宋体" w:hAnsi="宋体" w:cs="宋体"/>
                <w:kern w:val="0"/>
                <w:szCs w:val="21"/>
              </w:rPr>
            </w:pPr>
            <w:r>
              <w:rPr>
                <w:rFonts w:hint="eastAsia" w:ascii="宋体" w:hAnsi="宋体" w:cs="宋体"/>
                <w:kern w:val="0"/>
                <w:szCs w:val="21"/>
              </w:rPr>
              <w:t>技术保障措施</w:t>
            </w:r>
          </w:p>
          <w:p w14:paraId="4821F3E6">
            <w:pPr>
              <w:widowControl/>
              <w:spacing w:line="360" w:lineRule="exact"/>
              <w:jc w:val="center"/>
              <w:rPr>
                <w:rFonts w:hint="eastAsia" w:ascii="宋体" w:hAnsi="宋体" w:cs="宋体"/>
                <w:kern w:val="0"/>
                <w:szCs w:val="21"/>
              </w:rPr>
            </w:pPr>
          </w:p>
        </w:tc>
        <w:tc>
          <w:tcPr>
            <w:tcW w:w="709" w:type="dxa"/>
            <w:vAlign w:val="center"/>
          </w:tcPr>
          <w:p w14:paraId="45BF05F4">
            <w:pPr>
              <w:widowControl/>
              <w:spacing w:line="360" w:lineRule="exact"/>
              <w:jc w:val="center"/>
              <w:rPr>
                <w:rFonts w:hint="eastAsia" w:ascii="宋体" w:hAnsi="宋体" w:cs="宋体"/>
                <w:color w:val="auto"/>
                <w:kern w:val="0"/>
                <w:szCs w:val="21"/>
              </w:rPr>
            </w:pPr>
            <w:r>
              <w:rPr>
                <w:rFonts w:hint="eastAsia" w:ascii="宋体" w:hAnsi="宋体" w:cs="宋体"/>
                <w:color w:val="auto"/>
                <w:kern w:val="0"/>
                <w:szCs w:val="21"/>
              </w:rPr>
              <w:t>9</w:t>
            </w:r>
          </w:p>
        </w:tc>
        <w:tc>
          <w:tcPr>
            <w:tcW w:w="5953" w:type="dxa"/>
            <w:vAlign w:val="center"/>
          </w:tcPr>
          <w:p w14:paraId="7EE7EBF7">
            <w:pPr>
              <w:pStyle w:val="19"/>
              <w:spacing w:line="360" w:lineRule="exact"/>
              <w:rPr>
                <w:rFonts w:hint="eastAsia" w:ascii="宋体" w:hAnsi="宋体" w:cs="宋体"/>
                <w:color w:val="auto"/>
                <w:szCs w:val="21"/>
              </w:rPr>
            </w:pPr>
            <w:r>
              <w:rPr>
                <w:rFonts w:hint="eastAsia" w:ascii="宋体" w:hAnsi="宋体" w:cs="宋体"/>
                <w:color w:val="auto"/>
                <w:szCs w:val="21"/>
              </w:rPr>
              <w:t>（一）评审内容</w:t>
            </w:r>
          </w:p>
          <w:p w14:paraId="0E2CBD74">
            <w:pPr>
              <w:pStyle w:val="19"/>
              <w:spacing w:line="360" w:lineRule="exact"/>
              <w:rPr>
                <w:rFonts w:eastAsiaTheme="minorEastAsia"/>
                <w:color w:val="auto"/>
              </w:rPr>
            </w:pPr>
            <w:r>
              <w:rPr>
                <w:rFonts w:hint="eastAsia" w:ascii="宋体" w:hAnsi="宋体" w:cs="仿宋"/>
                <w:color w:val="auto"/>
                <w:szCs w:val="21"/>
              </w:rPr>
              <w:t>投标人</w:t>
            </w:r>
            <w:r>
              <w:rPr>
                <w:rFonts w:ascii="宋体" w:hAnsi="宋体" w:cs="仿宋"/>
                <w:color w:val="auto"/>
                <w:szCs w:val="21"/>
              </w:rPr>
              <w:t>在投标文件中详细说明</w:t>
            </w:r>
            <w:r>
              <w:rPr>
                <w:rFonts w:hint="eastAsia" w:ascii="宋体" w:hAnsi="宋体" w:cs="仿宋"/>
                <w:color w:val="auto"/>
                <w:szCs w:val="21"/>
              </w:rPr>
              <w:t>技术</w:t>
            </w:r>
            <w:r>
              <w:rPr>
                <w:rFonts w:ascii="宋体" w:hAnsi="宋体" w:cs="仿宋"/>
                <w:color w:val="auto"/>
                <w:szCs w:val="21"/>
              </w:rPr>
              <w:t>保障措施</w:t>
            </w:r>
            <w:r>
              <w:rPr>
                <w:rFonts w:hint="eastAsia" w:asciiTheme="minorEastAsia" w:hAnsiTheme="minorEastAsia" w:eastAsiaTheme="minorEastAsia"/>
                <w:color w:val="auto"/>
                <w:kern w:val="0"/>
                <w:szCs w:val="21"/>
              </w:rPr>
              <w:t>，包含以下内容：</w:t>
            </w:r>
          </w:p>
          <w:p w14:paraId="41964607">
            <w:pPr>
              <w:pStyle w:val="19"/>
              <w:numPr>
                <w:ilvl w:val="0"/>
                <w:numId w:val="4"/>
              </w:numPr>
              <w:spacing w:line="360" w:lineRule="exact"/>
              <w:rPr>
                <w:rFonts w:hint="eastAsia" w:ascii="宋体" w:hAnsi="宋体" w:cs="宋体"/>
                <w:color w:val="auto"/>
                <w:szCs w:val="21"/>
              </w:rPr>
            </w:pPr>
            <w:r>
              <w:rPr>
                <w:rFonts w:hint="eastAsia"/>
                <w:color w:val="auto"/>
              </w:rPr>
              <w:t>项目实施进度；</w:t>
            </w:r>
          </w:p>
          <w:p w14:paraId="6AF8F978">
            <w:pPr>
              <w:pStyle w:val="19"/>
              <w:numPr>
                <w:ilvl w:val="0"/>
                <w:numId w:val="4"/>
              </w:numPr>
              <w:spacing w:line="360" w:lineRule="exact"/>
              <w:rPr>
                <w:rFonts w:hint="eastAsia" w:ascii="宋体" w:hAnsi="宋体" w:cs="宋体"/>
                <w:color w:val="auto"/>
                <w:szCs w:val="21"/>
              </w:rPr>
            </w:pPr>
            <w:r>
              <w:rPr>
                <w:rFonts w:hint="eastAsia" w:ascii="宋体" w:hAnsi="宋体" w:cs="宋体"/>
                <w:color w:val="auto"/>
                <w:szCs w:val="21"/>
              </w:rPr>
              <w:t>提供整体解决方案（至少包含项目的建设思路、功能设计方案、系统的部署支撑）；</w:t>
            </w:r>
          </w:p>
          <w:p w14:paraId="6D1B8F5D">
            <w:pPr>
              <w:pStyle w:val="19"/>
              <w:numPr>
                <w:ilvl w:val="0"/>
                <w:numId w:val="4"/>
              </w:numPr>
              <w:spacing w:line="360" w:lineRule="exact"/>
              <w:rPr>
                <w:rFonts w:hint="eastAsia" w:ascii="宋体" w:hAnsi="宋体" w:cs="宋体"/>
                <w:color w:val="auto"/>
                <w:szCs w:val="21"/>
              </w:rPr>
            </w:pPr>
            <w:r>
              <w:rPr>
                <w:rFonts w:hint="eastAsia" w:ascii="宋体" w:hAnsi="宋体" w:cs="宋体"/>
                <w:color w:val="auto"/>
                <w:szCs w:val="21"/>
              </w:rPr>
              <w:t>提供完整的售后服务方案（至少包括故障等级、响应时间、服务承诺书）。</w:t>
            </w:r>
          </w:p>
          <w:p w14:paraId="27112DEF">
            <w:pPr>
              <w:pStyle w:val="19"/>
              <w:spacing w:line="360" w:lineRule="exact"/>
              <w:rPr>
                <w:rFonts w:hint="eastAsia" w:ascii="宋体" w:hAnsi="宋体" w:cs="宋体"/>
                <w:color w:val="auto"/>
                <w:szCs w:val="21"/>
              </w:rPr>
            </w:pPr>
            <w:r>
              <w:rPr>
                <w:rFonts w:hint="eastAsia" w:ascii="宋体" w:hAnsi="宋体" w:cs="宋体"/>
                <w:color w:val="auto"/>
                <w:szCs w:val="21"/>
              </w:rPr>
              <w:t>（二）评审依据</w:t>
            </w:r>
          </w:p>
          <w:p w14:paraId="6405F7D4">
            <w:pPr>
              <w:pStyle w:val="19"/>
              <w:spacing w:line="360" w:lineRule="exact"/>
              <w:rPr>
                <w:rFonts w:hint="eastAsia" w:ascii="宋体" w:hAnsi="宋体" w:cs="宋体"/>
                <w:color w:val="auto"/>
                <w:szCs w:val="21"/>
              </w:rPr>
            </w:pPr>
            <w:r>
              <w:rPr>
                <w:rFonts w:hint="eastAsia" w:ascii="宋体" w:hAnsi="宋体" w:cs="宋体"/>
                <w:color w:val="auto"/>
                <w:szCs w:val="21"/>
              </w:rPr>
              <w:t>提供的技术保障措施包含以上3项得6分，缺一项扣2分，扣完为止。</w:t>
            </w:r>
          </w:p>
          <w:p w14:paraId="6A488946">
            <w:pPr>
              <w:pStyle w:val="19"/>
              <w:spacing w:line="360" w:lineRule="exact"/>
              <w:rPr>
                <w:rFonts w:hint="eastAsia" w:ascii="宋体" w:hAnsi="宋体" w:cs="宋体"/>
                <w:color w:val="auto"/>
                <w:szCs w:val="21"/>
              </w:rPr>
            </w:pPr>
            <w:r>
              <w:rPr>
                <w:rFonts w:hint="eastAsia" w:ascii="宋体" w:hAnsi="宋体" w:cs="宋体"/>
                <w:color w:val="auto"/>
                <w:szCs w:val="21"/>
              </w:rPr>
              <w:t>在此基础上，专家根据各供应商的具体响应内容按照量化的评审因素指标进一步评审：</w:t>
            </w:r>
          </w:p>
          <w:p w14:paraId="21D7D858">
            <w:pPr>
              <w:pStyle w:val="19"/>
              <w:spacing w:line="360" w:lineRule="exact"/>
              <w:rPr>
                <w:rFonts w:hint="eastAsia" w:ascii="宋体" w:hAnsi="宋体" w:cs="宋体"/>
                <w:color w:val="auto"/>
                <w:szCs w:val="21"/>
              </w:rPr>
            </w:pPr>
            <w:r>
              <w:rPr>
                <w:rFonts w:hint="eastAsia" w:ascii="宋体" w:hAnsi="宋体" w:cs="宋体"/>
                <w:color w:val="auto"/>
                <w:szCs w:val="21"/>
              </w:rPr>
              <w:t>1.技术保障措施内容全面；</w:t>
            </w:r>
          </w:p>
          <w:p w14:paraId="61705D64">
            <w:pPr>
              <w:pStyle w:val="19"/>
              <w:spacing w:line="360" w:lineRule="exact"/>
              <w:rPr>
                <w:rFonts w:hint="eastAsia" w:ascii="宋体" w:hAnsi="宋体" w:cs="宋体"/>
                <w:color w:val="auto"/>
                <w:szCs w:val="21"/>
              </w:rPr>
            </w:pPr>
            <w:r>
              <w:rPr>
                <w:rFonts w:hint="eastAsia" w:ascii="宋体" w:hAnsi="宋体" w:cs="宋体"/>
                <w:color w:val="auto"/>
                <w:szCs w:val="21"/>
              </w:rPr>
              <w:t>2.技术保障措施内容具体；</w:t>
            </w:r>
          </w:p>
          <w:p w14:paraId="502CE000">
            <w:pPr>
              <w:pStyle w:val="19"/>
              <w:spacing w:line="360" w:lineRule="exact"/>
              <w:rPr>
                <w:rFonts w:hint="eastAsia" w:ascii="宋体" w:hAnsi="宋体" w:cs="宋体"/>
                <w:color w:val="auto"/>
                <w:szCs w:val="21"/>
              </w:rPr>
            </w:pPr>
            <w:r>
              <w:rPr>
                <w:rFonts w:hint="eastAsia" w:ascii="宋体" w:hAnsi="宋体" w:cs="宋体"/>
                <w:color w:val="auto"/>
                <w:szCs w:val="21"/>
              </w:rPr>
              <w:t>3.技术保障措施内容针对性强；</w:t>
            </w:r>
          </w:p>
          <w:p w14:paraId="41475356">
            <w:pPr>
              <w:pStyle w:val="19"/>
              <w:spacing w:line="360" w:lineRule="exact"/>
              <w:rPr>
                <w:rFonts w:hint="eastAsia" w:ascii="宋体" w:hAnsi="宋体" w:cs="宋体"/>
                <w:color w:val="auto"/>
                <w:szCs w:val="21"/>
              </w:rPr>
            </w:pPr>
            <w:r>
              <w:rPr>
                <w:rFonts w:hint="eastAsia" w:ascii="宋体" w:hAnsi="宋体" w:cs="宋体"/>
                <w:color w:val="auto"/>
                <w:szCs w:val="21"/>
              </w:rPr>
              <w:t>4.技术保障措施内容科学合理；</w:t>
            </w:r>
          </w:p>
          <w:p w14:paraId="1B4D900E">
            <w:pPr>
              <w:pStyle w:val="19"/>
              <w:spacing w:line="360" w:lineRule="exact"/>
              <w:rPr>
                <w:rFonts w:hint="eastAsia" w:ascii="宋体" w:hAnsi="宋体" w:cs="宋体"/>
                <w:color w:val="auto"/>
                <w:szCs w:val="21"/>
              </w:rPr>
            </w:pPr>
            <w:r>
              <w:rPr>
                <w:rFonts w:hint="eastAsia" w:ascii="宋体" w:hAnsi="宋体" w:cs="宋体"/>
                <w:color w:val="auto"/>
                <w:szCs w:val="21"/>
              </w:rPr>
              <w:t>5.技术保障措施内容可操作性强。</w:t>
            </w:r>
          </w:p>
          <w:p w14:paraId="758BBDE8">
            <w:pPr>
              <w:pStyle w:val="19"/>
              <w:spacing w:line="360" w:lineRule="exact"/>
              <w:rPr>
                <w:rFonts w:hint="eastAsia" w:ascii="宋体" w:hAnsi="宋体" w:cs="宋体"/>
                <w:color w:val="auto"/>
                <w:szCs w:val="21"/>
              </w:rPr>
            </w:pPr>
            <w:r>
              <w:rPr>
                <w:rFonts w:hint="eastAsia" w:ascii="宋体" w:hAnsi="宋体" w:cs="宋体"/>
                <w:color w:val="auto"/>
                <w:szCs w:val="21"/>
              </w:rPr>
              <w:t>优评分标准：满足上述五项要求</w:t>
            </w:r>
          </w:p>
          <w:p w14:paraId="52D4CE40">
            <w:pPr>
              <w:pStyle w:val="19"/>
              <w:spacing w:line="360" w:lineRule="exact"/>
              <w:rPr>
                <w:rFonts w:hint="eastAsia" w:ascii="宋体" w:hAnsi="宋体" w:cs="宋体"/>
                <w:color w:val="auto"/>
                <w:szCs w:val="21"/>
              </w:rPr>
            </w:pPr>
            <w:r>
              <w:rPr>
                <w:rFonts w:hint="eastAsia" w:ascii="宋体" w:hAnsi="宋体" w:cs="宋体"/>
                <w:color w:val="auto"/>
                <w:szCs w:val="21"/>
              </w:rPr>
              <w:t>良评分标准：满足上述四项要求</w:t>
            </w:r>
          </w:p>
          <w:p w14:paraId="79E8E7E0">
            <w:pPr>
              <w:pStyle w:val="19"/>
              <w:spacing w:line="360" w:lineRule="exact"/>
              <w:rPr>
                <w:rFonts w:hint="eastAsia" w:ascii="宋体" w:hAnsi="宋体" w:cs="宋体"/>
                <w:color w:val="auto"/>
                <w:szCs w:val="21"/>
              </w:rPr>
            </w:pPr>
            <w:r>
              <w:rPr>
                <w:rFonts w:hint="eastAsia" w:ascii="宋体" w:hAnsi="宋体" w:cs="宋体"/>
                <w:color w:val="auto"/>
                <w:szCs w:val="21"/>
              </w:rPr>
              <w:t>中评分标准：满足上述三项要求</w:t>
            </w:r>
          </w:p>
          <w:p w14:paraId="138CE476">
            <w:pPr>
              <w:pStyle w:val="19"/>
              <w:spacing w:line="360" w:lineRule="exact"/>
              <w:rPr>
                <w:rFonts w:hint="eastAsia" w:ascii="宋体" w:hAnsi="宋体" w:cs="宋体"/>
                <w:color w:val="auto"/>
                <w:szCs w:val="21"/>
              </w:rPr>
            </w:pPr>
            <w:r>
              <w:rPr>
                <w:rFonts w:hint="eastAsia" w:ascii="宋体" w:hAnsi="宋体" w:cs="宋体"/>
                <w:color w:val="auto"/>
                <w:szCs w:val="21"/>
              </w:rPr>
              <w:t>差评分标准：满足上述要求少于三项</w:t>
            </w:r>
          </w:p>
          <w:p w14:paraId="35768626">
            <w:pPr>
              <w:pStyle w:val="19"/>
              <w:spacing w:line="360" w:lineRule="exact"/>
              <w:rPr>
                <w:rFonts w:hint="eastAsia" w:ascii="宋体" w:hAnsi="宋体" w:cs="宋体"/>
                <w:color w:val="auto"/>
                <w:szCs w:val="21"/>
              </w:rPr>
            </w:pPr>
            <w:r>
              <w:rPr>
                <w:rFonts w:hint="eastAsia" w:ascii="宋体" w:hAnsi="宋体" w:cs="宋体"/>
                <w:color w:val="auto"/>
                <w:szCs w:val="21"/>
              </w:rPr>
              <w:t>评价为优加3分；评价为良加1.5分；评价为中加0.5分；评价为差不加分。</w:t>
            </w:r>
          </w:p>
        </w:tc>
        <w:tc>
          <w:tcPr>
            <w:tcW w:w="1187" w:type="dxa"/>
            <w:vAlign w:val="center"/>
          </w:tcPr>
          <w:p w14:paraId="4ECEB4B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79345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5" w:hRule="atLeast"/>
          <w:jc w:val="center"/>
        </w:trPr>
        <w:tc>
          <w:tcPr>
            <w:tcW w:w="754" w:type="dxa"/>
            <w:vAlign w:val="center"/>
          </w:tcPr>
          <w:p w14:paraId="176E1176">
            <w:pPr>
              <w:widowControl/>
              <w:spacing w:line="240" w:lineRule="atLeast"/>
              <w:jc w:val="center"/>
              <w:rPr>
                <w:rFonts w:hint="eastAsia" w:ascii="宋体" w:hAnsi="宋体" w:cs="仿宋"/>
                <w:szCs w:val="21"/>
              </w:rPr>
            </w:pPr>
            <w:r>
              <w:rPr>
                <w:rFonts w:hint="eastAsia" w:ascii="宋体" w:hAnsi="宋体" w:cs="宋体"/>
                <w:kern w:val="0"/>
                <w:szCs w:val="21"/>
              </w:rPr>
              <w:t>2</w:t>
            </w:r>
          </w:p>
        </w:tc>
        <w:tc>
          <w:tcPr>
            <w:tcW w:w="1143" w:type="dxa"/>
            <w:vAlign w:val="center"/>
          </w:tcPr>
          <w:p w14:paraId="008BAA16">
            <w:pPr>
              <w:widowControl/>
              <w:spacing w:line="360" w:lineRule="exact"/>
              <w:jc w:val="center"/>
              <w:rPr>
                <w:rFonts w:hint="eastAsia" w:ascii="宋体" w:hAnsi="宋体" w:cs="宋体"/>
                <w:kern w:val="0"/>
                <w:szCs w:val="21"/>
              </w:rPr>
            </w:pPr>
            <w:r>
              <w:rPr>
                <w:rFonts w:hint="eastAsia" w:ascii="宋体" w:hAnsi="宋体" w:cs="宋体"/>
                <w:kern w:val="0"/>
                <w:szCs w:val="21"/>
              </w:rPr>
              <w:t>技术规格偏离情况</w:t>
            </w:r>
          </w:p>
        </w:tc>
        <w:tc>
          <w:tcPr>
            <w:tcW w:w="709" w:type="dxa"/>
            <w:vAlign w:val="center"/>
          </w:tcPr>
          <w:p w14:paraId="1A875531">
            <w:pPr>
              <w:widowControl/>
              <w:spacing w:line="360" w:lineRule="exact"/>
              <w:jc w:val="center"/>
              <w:rPr>
                <w:rFonts w:hint="eastAsia" w:ascii="宋体" w:hAnsi="宋体" w:cs="宋体"/>
                <w:kern w:val="0"/>
                <w:szCs w:val="21"/>
              </w:rPr>
            </w:pPr>
            <w:r>
              <w:rPr>
                <w:rFonts w:hint="eastAsia" w:ascii="宋体" w:hAnsi="宋体" w:cs="宋体"/>
                <w:kern w:val="0"/>
                <w:szCs w:val="21"/>
              </w:rPr>
              <w:t>27</w:t>
            </w:r>
          </w:p>
        </w:tc>
        <w:tc>
          <w:tcPr>
            <w:tcW w:w="5953" w:type="dxa"/>
            <w:vAlign w:val="center"/>
          </w:tcPr>
          <w:p w14:paraId="64905570">
            <w:pPr>
              <w:pStyle w:val="96"/>
              <w:spacing w:line="360" w:lineRule="exact"/>
              <w:ind w:firstLine="0" w:firstLineChars="0"/>
              <w:rPr>
                <w:rFonts w:hint="eastAsia" w:ascii="宋体" w:hAnsi="宋体" w:cs="宋体"/>
                <w:szCs w:val="21"/>
              </w:rPr>
            </w:pPr>
            <w:r>
              <w:rPr>
                <w:rFonts w:hint="eastAsia" w:ascii="宋体" w:hAnsi="宋体" w:cs="宋体"/>
                <w:szCs w:val="21"/>
              </w:rPr>
              <w:t>（一）评审内容</w:t>
            </w:r>
          </w:p>
          <w:p w14:paraId="51291918">
            <w:pPr>
              <w:pStyle w:val="96"/>
              <w:spacing w:line="360" w:lineRule="exact"/>
              <w:ind w:firstLine="0" w:firstLineChars="0"/>
              <w:rPr>
                <w:rFonts w:hint="eastAsia" w:ascii="宋体" w:hAnsi="宋体" w:cs="宋体"/>
                <w:b/>
                <w:bCs/>
                <w:szCs w:val="21"/>
              </w:rPr>
            </w:pPr>
            <w:r>
              <w:rPr>
                <w:rFonts w:hint="eastAsia" w:ascii="宋体" w:hAnsi="宋体" w:cs="宋体"/>
                <w:szCs w:val="21"/>
              </w:rPr>
              <w:t>投标人应如实填写《技术规格偏离表》，评审委员会根据技术需求参数响应情况进行打分。各项技术参数指标及要求全部满足的得27分，带▲的参数为重要条款，每负偏离一项扣1分，其余参数每负偏离一项扣0.1分，扣完为止。</w:t>
            </w:r>
          </w:p>
          <w:p w14:paraId="02997BCB">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（二）评审依据</w:t>
            </w:r>
          </w:p>
          <w:p w14:paraId="09341AC4">
            <w:pPr>
              <w:pStyle w:val="96"/>
              <w:spacing w:line="360" w:lineRule="exact"/>
              <w:ind w:firstLine="0" w:firstLineChars="0"/>
              <w:rPr>
                <w:rFonts w:hint="eastAsia"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偏离表》为评分依据，招标文件有要求提供证明材料的，投标人需</w:t>
            </w:r>
            <w:r>
              <w:rPr>
                <w:rFonts w:hint="eastAsia" w:ascii="宋体" w:hAnsi="宋体" w:cs="仿宋"/>
                <w:szCs w:val="21"/>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717D7EEF">
            <w:pPr>
              <w:pStyle w:val="96"/>
              <w:spacing w:line="360" w:lineRule="exact"/>
              <w:ind w:firstLine="0" w:firstLineChars="0"/>
              <w:rPr>
                <w:rFonts w:hint="eastAsia" w:ascii="宋体" w:hAnsi="宋体" w:cs="仿宋"/>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58E4C63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463F2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14:paraId="06B06A25">
            <w:pPr>
              <w:widowControl/>
              <w:spacing w:line="240" w:lineRule="atLeast"/>
              <w:jc w:val="center"/>
              <w:rPr>
                <w:rFonts w:hint="eastAsia" w:ascii="宋体" w:hAnsi="宋体" w:cs="仿宋"/>
                <w:strike/>
                <w:szCs w:val="21"/>
              </w:rPr>
            </w:pPr>
            <w:r>
              <w:rPr>
                <w:rFonts w:hint="eastAsia" w:ascii="宋体" w:hAnsi="宋体" w:cs="宋体"/>
                <w:kern w:val="0"/>
                <w:szCs w:val="21"/>
              </w:rPr>
              <w:t>3</w:t>
            </w:r>
          </w:p>
        </w:tc>
        <w:tc>
          <w:tcPr>
            <w:tcW w:w="1143" w:type="dxa"/>
            <w:vAlign w:val="center"/>
          </w:tcPr>
          <w:p w14:paraId="7754E338">
            <w:pPr>
              <w:pStyle w:val="19"/>
              <w:jc w:val="center"/>
            </w:pPr>
            <w:r>
              <w:rPr>
                <w:rFonts w:hint="eastAsia"/>
              </w:rPr>
              <w:t>项目团队配置</w:t>
            </w:r>
          </w:p>
          <w:p w14:paraId="5F47B91C">
            <w:pPr>
              <w:pStyle w:val="4"/>
            </w:pPr>
          </w:p>
        </w:tc>
        <w:tc>
          <w:tcPr>
            <w:tcW w:w="709" w:type="dxa"/>
            <w:vAlign w:val="center"/>
          </w:tcPr>
          <w:p w14:paraId="429AD94C">
            <w:pPr>
              <w:widowControl/>
              <w:spacing w:line="360" w:lineRule="exact"/>
              <w:jc w:val="center"/>
              <w:rPr>
                <w:rFonts w:hint="eastAsia" w:ascii="宋体" w:hAnsi="宋体" w:cs="宋体"/>
                <w:kern w:val="0"/>
                <w:szCs w:val="21"/>
              </w:rPr>
            </w:pPr>
            <w:r>
              <w:rPr>
                <w:rFonts w:hint="eastAsia" w:ascii="宋体" w:hAnsi="宋体" w:cs="宋体"/>
                <w:color w:val="0000FF"/>
                <w:szCs w:val="21"/>
              </w:rPr>
              <w:t>3</w:t>
            </w:r>
          </w:p>
        </w:tc>
        <w:tc>
          <w:tcPr>
            <w:tcW w:w="5953" w:type="dxa"/>
            <w:vAlign w:val="center"/>
          </w:tcPr>
          <w:p w14:paraId="3BEBFCD0">
            <w:pPr>
              <w:widowControl/>
              <w:spacing w:line="360" w:lineRule="exact"/>
              <w:textAlignment w:val="center"/>
              <w:rPr>
                <w:rFonts w:hint="eastAsia" w:ascii="宋体" w:hAnsi="宋体" w:cs="宋体"/>
                <w:bCs/>
                <w:kern w:val="0"/>
                <w:szCs w:val="21"/>
              </w:rPr>
            </w:pPr>
            <w:r>
              <w:rPr>
                <w:rFonts w:hint="eastAsia" w:ascii="宋体" w:hAnsi="宋体" w:cs="宋体"/>
                <w:bCs/>
                <w:kern w:val="0"/>
                <w:szCs w:val="21"/>
              </w:rPr>
              <w:t>（一）评审内容</w:t>
            </w:r>
          </w:p>
          <w:p w14:paraId="114C6C86">
            <w:pPr>
              <w:pStyle w:val="19"/>
              <w:spacing w:line="360" w:lineRule="exact"/>
              <w:rPr>
                <w:rFonts w:hint="eastAsia" w:ascii="宋体" w:hAnsi="宋体" w:cs="宋体"/>
                <w:szCs w:val="21"/>
              </w:rPr>
            </w:pPr>
            <w:r>
              <w:rPr>
                <w:rFonts w:hint="eastAsia" w:ascii="宋体" w:hAnsi="宋体" w:cs="宋体"/>
                <w:bCs/>
                <w:kern w:val="0"/>
                <w:szCs w:val="21"/>
              </w:rPr>
              <w:t>拟安排项目团队成员为投标单位员工，否则该人员情况不计分。</w:t>
            </w:r>
            <w:r>
              <w:rPr>
                <w:rFonts w:hint="eastAsia" w:ascii="宋体" w:hAnsi="宋体" w:cs="宋体"/>
                <w:szCs w:val="21"/>
              </w:rPr>
              <w:t>在</w:t>
            </w:r>
            <w:r>
              <w:rPr>
                <w:rFonts w:hint="eastAsia" w:asciiTheme="minorEastAsia" w:hAnsiTheme="minorEastAsia" w:eastAsiaTheme="minorEastAsia"/>
                <w:szCs w:val="21"/>
              </w:rPr>
              <w:t>此基础上，按以下标准评分</w:t>
            </w:r>
            <w:r>
              <w:rPr>
                <w:rFonts w:hint="eastAsia" w:ascii="宋体" w:hAnsi="宋体" w:cs="宋体"/>
                <w:bCs/>
                <w:kern w:val="0"/>
                <w:sz w:val="20"/>
                <w:szCs w:val="20"/>
              </w:rPr>
              <w:t>:</w:t>
            </w:r>
          </w:p>
          <w:p w14:paraId="11DFA9C5">
            <w:pPr>
              <w:pStyle w:val="19"/>
              <w:spacing w:line="360" w:lineRule="exact"/>
              <w:rPr>
                <w:rFonts w:hint="eastAsia" w:ascii="宋体" w:hAnsi="宋体" w:cs="宋体"/>
                <w:szCs w:val="21"/>
              </w:rPr>
            </w:pPr>
            <w:r>
              <w:rPr>
                <w:rFonts w:hint="eastAsia" w:ascii="宋体" w:hAnsi="宋体" w:cs="宋体"/>
                <w:szCs w:val="21"/>
              </w:rPr>
              <w:t>1、项目经理（仅限一人）：具有项目管理专业人士资格认证PMP证书，得1分。</w:t>
            </w:r>
          </w:p>
          <w:p w14:paraId="55B26375">
            <w:pPr>
              <w:pStyle w:val="19"/>
            </w:pPr>
            <w:r>
              <w:rPr>
                <w:rFonts w:hint="eastAsia" w:ascii="宋体" w:hAnsi="宋体" w:cs="宋体"/>
                <w:szCs w:val="21"/>
              </w:rPr>
              <w:t>2.项目团队人员（除项目经理外）：项目团队成员具有</w:t>
            </w:r>
            <w:r>
              <w:rPr>
                <w:rFonts w:hint="eastAsia"/>
              </w:rPr>
              <w:t>计算机相关</w:t>
            </w:r>
            <w:r>
              <w:rPr>
                <w:rFonts w:hint="eastAsia"/>
                <w:lang w:val="en-US" w:eastAsia="zh-CN"/>
              </w:rPr>
              <w:t>专业</w:t>
            </w:r>
            <w:r>
              <w:rPr>
                <w:rFonts w:hint="eastAsia" w:ascii="宋体" w:hAnsi="宋体" w:cs="宋体"/>
                <w:szCs w:val="21"/>
              </w:rPr>
              <w:t>本科或以上学历，每提供一人得为0.5分</w:t>
            </w:r>
            <w:r>
              <w:rPr>
                <w:rFonts w:hint="eastAsia" w:ascii="宋体" w:hAnsi="宋体" w:cs="宋体"/>
                <w:szCs w:val="21"/>
                <w:lang w:eastAsia="zh-CN"/>
              </w:rPr>
              <w:t>，</w:t>
            </w:r>
            <w:r>
              <w:rPr>
                <w:rFonts w:hint="eastAsia" w:ascii="宋体" w:hAnsi="宋体" w:cs="宋体"/>
                <w:szCs w:val="21"/>
                <w:lang w:val="en-US" w:eastAsia="zh-CN"/>
              </w:rPr>
              <w:t>最高得2分</w:t>
            </w:r>
            <w:r>
              <w:rPr>
                <w:rFonts w:hint="eastAsia" w:ascii="宋体" w:hAnsi="宋体" w:cs="宋体"/>
                <w:szCs w:val="21"/>
              </w:rPr>
              <w:t>。</w:t>
            </w:r>
          </w:p>
          <w:p w14:paraId="5921A514">
            <w:pPr>
              <w:pStyle w:val="19"/>
              <w:spacing w:line="360" w:lineRule="exact"/>
              <w:rPr>
                <w:rFonts w:hint="eastAsia" w:ascii="宋体" w:hAnsi="宋体" w:cs="宋体"/>
                <w:szCs w:val="21"/>
              </w:rPr>
            </w:pPr>
            <w:r>
              <w:rPr>
                <w:rFonts w:hint="eastAsia" w:ascii="宋体" w:hAnsi="宋体" w:cs="宋体"/>
                <w:szCs w:val="21"/>
              </w:rPr>
              <w:t>以上两项合计最高得3分。</w:t>
            </w:r>
          </w:p>
          <w:p w14:paraId="23F807ED">
            <w:pPr>
              <w:pStyle w:val="19"/>
              <w:spacing w:line="360" w:lineRule="exact"/>
              <w:rPr>
                <w:rFonts w:hint="eastAsia" w:ascii="宋体" w:hAnsi="宋体" w:cs="宋体"/>
                <w:szCs w:val="21"/>
              </w:rPr>
            </w:pPr>
            <w:r>
              <w:rPr>
                <w:rFonts w:hint="eastAsia" w:ascii="宋体" w:hAnsi="宋体" w:cs="宋体"/>
                <w:szCs w:val="21"/>
              </w:rPr>
              <w:t>（二）评审依据</w:t>
            </w:r>
          </w:p>
          <w:p w14:paraId="7D54E470">
            <w:pPr>
              <w:pStyle w:val="19"/>
              <w:spacing w:line="360" w:lineRule="exact"/>
              <w:rPr>
                <w:rFonts w:hint="eastAsia" w:ascii="宋体" w:hAnsi="宋体" w:cs="宋体"/>
                <w:szCs w:val="21"/>
              </w:rPr>
            </w:pPr>
            <w:r>
              <w:rPr>
                <w:rFonts w:hint="eastAsia" w:ascii="宋体" w:hAnsi="宋体" w:cs="宋体"/>
                <w:szCs w:val="21"/>
              </w:rPr>
              <w:t>1.提供项目团队人员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3CCC989F">
            <w:pPr>
              <w:pStyle w:val="19"/>
              <w:spacing w:line="360" w:lineRule="exact"/>
              <w:rPr>
                <w:rFonts w:hint="eastAsia" w:ascii="宋体" w:hAnsi="宋体" w:cs="宋体"/>
                <w:szCs w:val="21"/>
              </w:rPr>
            </w:pPr>
            <w:r>
              <w:rPr>
                <w:rFonts w:hint="eastAsia" w:ascii="宋体" w:hAnsi="宋体" w:cs="宋体"/>
                <w:szCs w:val="21"/>
              </w:rPr>
              <w:t>2.提供项目经理资格证书；</w:t>
            </w:r>
          </w:p>
          <w:p w14:paraId="1007D006">
            <w:pPr>
              <w:pStyle w:val="19"/>
              <w:spacing w:line="360" w:lineRule="exact"/>
              <w:rPr>
                <w:rFonts w:hint="eastAsia" w:ascii="宋体" w:hAnsi="宋体" w:cs="宋体"/>
                <w:szCs w:val="21"/>
              </w:rPr>
            </w:pPr>
            <w:r>
              <w:rPr>
                <w:rFonts w:hint="eastAsia" w:ascii="宋体" w:hAnsi="宋体" w:cs="宋体"/>
                <w:szCs w:val="21"/>
              </w:rPr>
              <w:t>3.涉及考察学历或学位的，提供毕业证书（或学位证书）以及学信网查询记录，对于学信网无法查询的，还需提供毕业院校或人社部门或教育部门等颁发机构或监管机构出具的证明，否则无效；</w:t>
            </w:r>
          </w:p>
          <w:p w14:paraId="5521ED16">
            <w:pPr>
              <w:pStyle w:val="19"/>
              <w:spacing w:line="360" w:lineRule="exact"/>
              <w:rPr>
                <w:rFonts w:hint="eastAsia" w:ascii="宋体" w:hAnsi="宋体" w:cs="宋体"/>
                <w:szCs w:val="21"/>
              </w:rPr>
            </w:pPr>
            <w:r>
              <w:rPr>
                <w:rFonts w:hint="eastAsia" w:ascii="宋体" w:hAnsi="宋体" w:cs="宋体"/>
                <w:szCs w:val="21"/>
              </w:rPr>
              <w:t>4.提供以上证明文件复印件或扫描件，如涉及网站截图或照片等证明材料，需提供清晰图片，均要求加盖投标人公章。未按要求提供有效证明材料或提供不清晰导致评委无法识别的不计得分。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F53A9A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1F1D3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8" w:hRule="atLeast"/>
          <w:jc w:val="center"/>
        </w:trPr>
        <w:tc>
          <w:tcPr>
            <w:tcW w:w="754" w:type="dxa"/>
            <w:vAlign w:val="center"/>
          </w:tcPr>
          <w:p w14:paraId="34357408">
            <w:pPr>
              <w:widowControl/>
              <w:spacing w:line="240" w:lineRule="atLeast"/>
              <w:jc w:val="center"/>
              <w:rPr>
                <w:rFonts w:hint="eastAsia" w:ascii="宋体" w:hAnsi="宋体" w:cs="宋体"/>
                <w:kern w:val="0"/>
                <w:szCs w:val="21"/>
              </w:rPr>
            </w:pPr>
            <w:r>
              <w:rPr>
                <w:rFonts w:hint="eastAsia" w:ascii="宋体" w:hAnsi="宋体" w:cs="宋体"/>
                <w:kern w:val="0"/>
                <w:szCs w:val="21"/>
              </w:rPr>
              <w:t>4</w:t>
            </w:r>
          </w:p>
        </w:tc>
        <w:tc>
          <w:tcPr>
            <w:tcW w:w="1143" w:type="dxa"/>
            <w:vAlign w:val="center"/>
          </w:tcPr>
          <w:p w14:paraId="041BD0AC">
            <w:pPr>
              <w:widowControl/>
              <w:spacing w:line="360" w:lineRule="exact"/>
              <w:jc w:val="center"/>
              <w:rPr>
                <w:rFonts w:hint="eastAsia" w:ascii="宋体" w:hAnsi="宋体" w:cs="宋体"/>
                <w:szCs w:val="21"/>
              </w:rPr>
            </w:pPr>
            <w:r>
              <w:rPr>
                <w:rFonts w:hint="eastAsia" w:ascii="宋体" w:hAnsi="宋体" w:cs="宋体"/>
                <w:szCs w:val="21"/>
              </w:rPr>
              <w:t>认证情况</w:t>
            </w:r>
          </w:p>
        </w:tc>
        <w:tc>
          <w:tcPr>
            <w:tcW w:w="709" w:type="dxa"/>
            <w:vAlign w:val="center"/>
          </w:tcPr>
          <w:p w14:paraId="7AAB46C4">
            <w:pPr>
              <w:widowControl/>
              <w:spacing w:line="360" w:lineRule="exact"/>
              <w:jc w:val="center"/>
              <w:rPr>
                <w:rFonts w:hint="eastAsia" w:ascii="宋体" w:hAnsi="宋体" w:cs="宋体"/>
                <w:szCs w:val="21"/>
              </w:rPr>
            </w:pPr>
            <w:r>
              <w:rPr>
                <w:rFonts w:hint="eastAsia" w:ascii="宋体" w:hAnsi="宋体" w:cs="宋体"/>
                <w:szCs w:val="21"/>
              </w:rPr>
              <w:t>2</w:t>
            </w:r>
          </w:p>
        </w:tc>
        <w:tc>
          <w:tcPr>
            <w:tcW w:w="5953" w:type="dxa"/>
            <w:vAlign w:val="center"/>
          </w:tcPr>
          <w:p w14:paraId="455686F4">
            <w:pPr>
              <w:pStyle w:val="19"/>
              <w:spacing w:line="360" w:lineRule="exact"/>
              <w:rPr>
                <w:rFonts w:hint="eastAsia" w:ascii="宋体" w:hAnsi="宋体" w:cs="宋体"/>
                <w:szCs w:val="21"/>
              </w:rPr>
            </w:pPr>
            <w:r>
              <w:rPr>
                <w:rFonts w:hint="eastAsia" w:ascii="宋体" w:hAnsi="宋体" w:cs="宋体"/>
                <w:szCs w:val="21"/>
              </w:rPr>
              <w:t>（一）评审内容</w:t>
            </w:r>
          </w:p>
          <w:p w14:paraId="6E32776A">
            <w:pPr>
              <w:pStyle w:val="19"/>
              <w:spacing w:line="360" w:lineRule="exact"/>
              <w:rPr>
                <w:rFonts w:hint="eastAsia" w:ascii="宋体" w:hAnsi="宋体" w:cs="宋体"/>
                <w:szCs w:val="21"/>
              </w:rPr>
            </w:pPr>
            <w:r>
              <w:rPr>
                <w:rFonts w:hint="eastAsia" w:ascii="宋体" w:hAnsi="宋体" w:cs="宋体"/>
                <w:szCs w:val="21"/>
              </w:rPr>
              <w:t>1.投标人具有有效的质量管理体系认证证书，</w:t>
            </w:r>
            <w:r>
              <w:rPr>
                <w:rFonts w:hint="eastAsia"/>
              </w:rPr>
              <w:fldChar w:fldCharType="begin"/>
            </w:r>
            <w:r>
              <w:instrText xml:space="preserve"> HYPERLINK "http://cx.cnca.cn/）" </w:instrText>
            </w:r>
            <w:r>
              <w:rPr>
                <w:rFonts w:hint="eastAsia"/>
              </w:rPr>
              <w:fldChar w:fldCharType="separate"/>
            </w:r>
            <w:r>
              <w:rPr>
                <w:rStyle w:val="58"/>
                <w:rFonts w:hint="eastAsia" w:ascii="宋体" w:hAnsi="宋体" w:cs="宋体"/>
                <w:szCs w:val="21"/>
                <w:u w:val="none"/>
              </w:rPr>
              <w:t>得1</w:t>
            </w:r>
            <w:r>
              <w:rPr>
                <w:rStyle w:val="58"/>
                <w:rFonts w:hint="eastAsia" w:ascii="宋体" w:hAnsi="宋体" w:cs="宋体"/>
                <w:szCs w:val="21"/>
                <w:u w:val="none"/>
              </w:rPr>
              <w:fldChar w:fldCharType="end"/>
            </w:r>
            <w:r>
              <w:rPr>
                <w:rFonts w:hint="eastAsia" w:ascii="宋体" w:hAnsi="宋体" w:cs="宋体"/>
                <w:szCs w:val="21"/>
              </w:rPr>
              <w:t>分；</w:t>
            </w:r>
          </w:p>
          <w:p w14:paraId="668ECA44">
            <w:pPr>
              <w:pStyle w:val="19"/>
              <w:spacing w:line="360" w:lineRule="exact"/>
              <w:rPr>
                <w:rFonts w:hint="eastAsia" w:ascii="宋体" w:hAnsi="宋体" w:cs="宋体"/>
                <w:strike/>
                <w:szCs w:val="21"/>
              </w:rPr>
            </w:pPr>
            <w:r>
              <w:rPr>
                <w:rFonts w:hint="eastAsia" w:ascii="宋体" w:hAnsi="宋体" w:cs="宋体"/>
                <w:szCs w:val="21"/>
              </w:rPr>
              <w:t>2.提供信息安全管理体系认证证书，得1分。</w:t>
            </w:r>
          </w:p>
          <w:p w14:paraId="1C6006AE">
            <w:pPr>
              <w:pStyle w:val="19"/>
              <w:spacing w:line="360" w:lineRule="exact"/>
              <w:rPr>
                <w:rFonts w:hint="eastAsia" w:ascii="宋体" w:hAnsi="宋体" w:cs="宋体"/>
                <w:szCs w:val="21"/>
              </w:rPr>
            </w:pPr>
            <w:bookmarkStart w:id="22" w:name="OLE_LINK19"/>
            <w:r>
              <w:rPr>
                <w:rFonts w:hint="eastAsia" w:ascii="宋体" w:hAnsi="宋体" w:cs="宋体"/>
                <w:szCs w:val="21"/>
              </w:rPr>
              <w:t>（二）评审依据</w:t>
            </w:r>
          </w:p>
          <w:p w14:paraId="2AED0E77">
            <w:pPr>
              <w:pStyle w:val="19"/>
              <w:spacing w:line="360" w:lineRule="exact"/>
              <w:rPr>
                <w:rFonts w:hint="eastAsia" w:ascii="宋体" w:hAnsi="宋体" w:cs="宋体"/>
                <w:szCs w:val="21"/>
              </w:rPr>
            </w:pPr>
            <w:r>
              <w:rPr>
                <w:rFonts w:hint="eastAsia" w:ascii="宋体" w:hAnsi="宋体" w:cs="宋体"/>
                <w:szCs w:val="21"/>
              </w:rPr>
              <w:t>1.提供有效认证证书（如认证证书注明年审要求的，必须按规定年审且证书在有效期内的方为有效；如未注明年审要求的，证书必须在有效期内的方为有效）；</w:t>
            </w:r>
          </w:p>
          <w:p w14:paraId="6350A91F">
            <w:pPr>
              <w:pStyle w:val="19"/>
              <w:spacing w:line="360" w:lineRule="exact"/>
              <w:rPr>
                <w:rFonts w:hint="eastAsia" w:ascii="宋体" w:hAnsi="宋体" w:cs="宋体"/>
                <w:szCs w:val="21"/>
              </w:rPr>
            </w:pPr>
            <w:r>
              <w:rPr>
                <w:rFonts w:hint="eastAsia" w:ascii="宋体" w:hAnsi="宋体" w:cs="宋体"/>
                <w:szCs w:val="21"/>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2874E574">
            <w:pPr>
              <w:pStyle w:val="19"/>
              <w:spacing w:line="360" w:lineRule="exact"/>
              <w:rPr>
                <w:rFonts w:hint="eastAsia" w:ascii="宋体" w:hAnsi="宋体" w:cs="宋体"/>
                <w:szCs w:val="21"/>
              </w:rPr>
            </w:pPr>
            <w:r>
              <w:rPr>
                <w:rFonts w:hint="eastAsia" w:ascii="宋体" w:hAnsi="宋体" w:cs="宋体"/>
                <w:szCs w:val="21"/>
              </w:rPr>
              <w:t>3.如证书由行业协会颁发，需提供该行业协会在“中国社会组织政务服务平台”（网址：</w:t>
            </w:r>
            <w:r>
              <w:rPr>
                <w:rFonts w:ascii="宋体" w:hAnsi="宋体" w:cs="宋体"/>
                <w:szCs w:val="21"/>
              </w:rPr>
              <w:t>https://chinanpo.mca.gov.cn/</w:t>
            </w:r>
            <w:r>
              <w:rPr>
                <w:rFonts w:hint="eastAsia" w:ascii="宋体" w:hAnsi="宋体" w:cs="宋体"/>
                <w:szCs w:val="21"/>
              </w:rPr>
              <w:t>）查询的已合法登记且状态正常截图，否则不予认可，视为无效证书；</w:t>
            </w:r>
          </w:p>
          <w:p w14:paraId="279348CB">
            <w:pPr>
              <w:pStyle w:val="19"/>
              <w:spacing w:line="360" w:lineRule="exact"/>
              <w:rPr>
                <w:rFonts w:hint="eastAsia" w:ascii="宋体" w:hAnsi="宋体" w:cs="宋体"/>
                <w:szCs w:val="21"/>
              </w:rPr>
            </w:pPr>
            <w:r>
              <w:rPr>
                <w:rFonts w:hint="eastAsia" w:ascii="宋体" w:hAnsi="宋体" w:cs="宋体"/>
                <w:szCs w:val="21"/>
              </w:rPr>
              <w:t>4.对于评分项1质量管理体系认证证书，如投标人成立时间不足三个月，可提供情况说明作为佐证材料，无需提供证书和认证信息查询截图亦视为满足评分要求；</w:t>
            </w:r>
          </w:p>
          <w:p w14:paraId="6BBF3A15">
            <w:pPr>
              <w:pStyle w:val="19"/>
              <w:spacing w:line="360" w:lineRule="exact"/>
              <w:rPr>
                <w:rFonts w:hint="eastAsia" w:ascii="宋体" w:hAnsi="宋体" w:cs="宋体"/>
                <w:szCs w:val="21"/>
              </w:rPr>
            </w:pPr>
            <w:r>
              <w:rPr>
                <w:rFonts w:hint="eastAsia" w:ascii="宋体" w:hAnsi="宋体" w:cs="宋体"/>
                <w:szCs w:val="21"/>
              </w:rPr>
              <w:t>5.</w:t>
            </w:r>
            <w:bookmarkStart w:id="23" w:name="OLE_LINK5"/>
            <w:r>
              <w:rPr>
                <w:rFonts w:hint="eastAsia" w:ascii="宋体" w:hAnsi="宋体" w:cs="宋体"/>
                <w:szCs w:val="21"/>
              </w:rPr>
              <w:t>提供以上证明文件复印件或扫描件</w:t>
            </w:r>
            <w:bookmarkEnd w:id="23"/>
            <w:r>
              <w:rPr>
                <w:rFonts w:hint="eastAsia" w:ascii="宋体" w:hAnsi="宋体" w:cs="宋体"/>
                <w:szCs w:val="21"/>
              </w:rPr>
              <w:t>，如涉及网站截图或照片等证明材料,需提供清晰图片,均要求加盖投标人公章。</w:t>
            </w:r>
            <w:bookmarkStart w:id="24" w:name="OLE_LINK6"/>
            <w:r>
              <w:rPr>
                <w:rFonts w:hint="eastAsia" w:ascii="宋体" w:hAnsi="宋体" w:cs="宋体"/>
                <w:szCs w:val="21"/>
              </w:rPr>
              <w:t>未按要求提供有效证明材料或提供不清晰导致评委无法识别的不计得分。</w:t>
            </w:r>
            <w:bookmarkEnd w:id="22"/>
            <w:bookmarkEnd w:id="24"/>
          </w:p>
        </w:tc>
        <w:tc>
          <w:tcPr>
            <w:tcW w:w="1187" w:type="dxa"/>
            <w:vAlign w:val="center"/>
          </w:tcPr>
          <w:p w14:paraId="7141719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78E61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3" w:hRule="atLeast"/>
          <w:jc w:val="center"/>
        </w:trPr>
        <w:tc>
          <w:tcPr>
            <w:tcW w:w="754" w:type="dxa"/>
            <w:vAlign w:val="center"/>
          </w:tcPr>
          <w:p w14:paraId="30EA5369">
            <w:pPr>
              <w:widowControl/>
              <w:spacing w:line="240" w:lineRule="atLeast"/>
              <w:jc w:val="center"/>
              <w:rPr>
                <w:rFonts w:hint="eastAsia" w:ascii="宋体" w:hAnsi="宋体" w:cs="宋体"/>
                <w:kern w:val="0"/>
                <w:szCs w:val="21"/>
              </w:rPr>
            </w:pPr>
            <w:r>
              <w:rPr>
                <w:rFonts w:hint="eastAsia" w:ascii="宋体" w:hAnsi="宋体" w:cs="宋体"/>
                <w:kern w:val="0"/>
                <w:szCs w:val="21"/>
              </w:rPr>
              <w:t>5</w:t>
            </w:r>
          </w:p>
        </w:tc>
        <w:tc>
          <w:tcPr>
            <w:tcW w:w="1143" w:type="dxa"/>
            <w:vAlign w:val="center"/>
          </w:tcPr>
          <w:p w14:paraId="288EB199">
            <w:pPr>
              <w:widowControl/>
              <w:spacing w:line="360" w:lineRule="exact"/>
              <w:jc w:val="center"/>
              <w:rPr>
                <w:rFonts w:hint="eastAsia" w:ascii="宋体" w:hAnsi="宋体" w:cs="宋体"/>
                <w:szCs w:val="21"/>
              </w:rPr>
            </w:pPr>
            <w:r>
              <w:rPr>
                <w:rFonts w:hint="eastAsia" w:ascii="宋体" w:hAnsi="宋体" w:cs="宋体"/>
                <w:szCs w:val="21"/>
              </w:rPr>
              <w:t>本地网点服务能力</w:t>
            </w:r>
          </w:p>
        </w:tc>
        <w:tc>
          <w:tcPr>
            <w:tcW w:w="709" w:type="dxa"/>
            <w:vAlign w:val="center"/>
          </w:tcPr>
          <w:p w14:paraId="053FF4E1">
            <w:pPr>
              <w:widowControl/>
              <w:spacing w:line="360" w:lineRule="exact"/>
              <w:jc w:val="center"/>
              <w:rPr>
                <w:rFonts w:hint="eastAsia" w:ascii="宋体" w:hAnsi="宋体" w:cs="宋体"/>
                <w:szCs w:val="21"/>
              </w:rPr>
            </w:pPr>
            <w:r>
              <w:rPr>
                <w:rFonts w:hint="eastAsia" w:ascii="宋体" w:hAnsi="宋体" w:cs="宋体"/>
                <w:szCs w:val="21"/>
              </w:rPr>
              <w:t>1</w:t>
            </w:r>
          </w:p>
        </w:tc>
        <w:tc>
          <w:tcPr>
            <w:tcW w:w="5953" w:type="dxa"/>
            <w:vAlign w:val="center"/>
          </w:tcPr>
          <w:p w14:paraId="5F44C6DA">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720" w:leftChars="0" w:hanging="720" w:firstLineChars="0"/>
              <w:textAlignment w:val="auto"/>
              <w:rPr>
                <w:rFonts w:hint="eastAsia" w:ascii="宋体" w:hAnsi="宋体" w:cs="宋体"/>
                <w:strike/>
                <w:szCs w:val="21"/>
              </w:rPr>
            </w:pPr>
            <w:r>
              <w:rPr>
                <w:rFonts w:hint="eastAsia" w:ascii="宋体" w:hAnsi="宋体" w:eastAsia="宋体" w:cs="宋体"/>
                <w:strike w:val="0"/>
                <w:dstrike w:val="0"/>
                <w:kern w:val="2"/>
                <w:sz w:val="21"/>
                <w:szCs w:val="21"/>
                <w:lang w:val="en-US" w:eastAsia="zh-CN" w:bidi="ar-SA"/>
              </w:rPr>
              <w:t>（一）</w:t>
            </w:r>
            <w:r>
              <w:rPr>
                <w:rFonts w:hint="eastAsia" w:ascii="宋体" w:hAnsi="宋体" w:cs="宋体"/>
                <w:szCs w:val="21"/>
              </w:rPr>
              <w:t>评审内容：</w:t>
            </w:r>
          </w:p>
          <w:p w14:paraId="0C0AA5C9">
            <w:pPr>
              <w:pStyle w:val="1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投标人承诺中标后提供本地经营（服务）网点的，得1分。</w:t>
            </w:r>
          </w:p>
          <w:p w14:paraId="59D0AC81">
            <w:pPr>
              <w:pStyle w:val="1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（二）评审依据</w:t>
            </w:r>
          </w:p>
          <w:p w14:paraId="01A21B5B">
            <w:pPr>
              <w:pStyle w:val="1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要求提供承诺函（格式自拟）作为得分依据，未提供承诺函或承诺内容不满足要求不得分。</w:t>
            </w:r>
          </w:p>
        </w:tc>
        <w:tc>
          <w:tcPr>
            <w:tcW w:w="1187" w:type="dxa"/>
            <w:vAlign w:val="center"/>
          </w:tcPr>
          <w:p w14:paraId="43002DB4">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7CA9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5" w:hRule="atLeast"/>
          <w:jc w:val="center"/>
        </w:trPr>
        <w:tc>
          <w:tcPr>
            <w:tcW w:w="754" w:type="dxa"/>
            <w:vAlign w:val="center"/>
          </w:tcPr>
          <w:p w14:paraId="288AF01D">
            <w:pPr>
              <w:widowControl/>
              <w:spacing w:line="240" w:lineRule="atLeast"/>
              <w:jc w:val="center"/>
              <w:rPr>
                <w:rFonts w:hint="eastAsia" w:ascii="宋体" w:hAnsi="宋体" w:cs="宋体"/>
                <w:kern w:val="0"/>
                <w:szCs w:val="21"/>
              </w:rPr>
            </w:pPr>
            <w:r>
              <w:rPr>
                <w:rFonts w:hint="eastAsia" w:ascii="宋体" w:hAnsi="宋体" w:cs="宋体"/>
                <w:kern w:val="0"/>
                <w:szCs w:val="21"/>
              </w:rPr>
              <w:t>6</w:t>
            </w:r>
          </w:p>
        </w:tc>
        <w:tc>
          <w:tcPr>
            <w:tcW w:w="1143" w:type="dxa"/>
            <w:vAlign w:val="center"/>
          </w:tcPr>
          <w:p w14:paraId="614E6083">
            <w:pPr>
              <w:widowControl/>
              <w:spacing w:line="360" w:lineRule="exact"/>
              <w:jc w:val="center"/>
              <w:rPr>
                <w:rFonts w:hint="eastAsia" w:ascii="宋体" w:hAnsi="宋体" w:cs="宋体"/>
                <w:szCs w:val="21"/>
              </w:rPr>
            </w:pPr>
            <w:r>
              <w:rPr>
                <w:rFonts w:hint="eastAsia" w:ascii="宋体" w:hAnsi="宋体" w:cs="宋体"/>
                <w:szCs w:val="21"/>
              </w:rPr>
              <w:t>功能演示</w:t>
            </w:r>
          </w:p>
        </w:tc>
        <w:tc>
          <w:tcPr>
            <w:tcW w:w="709" w:type="dxa"/>
            <w:vAlign w:val="center"/>
          </w:tcPr>
          <w:p w14:paraId="63977D74">
            <w:pPr>
              <w:widowControl/>
              <w:spacing w:line="360" w:lineRule="exact"/>
              <w:jc w:val="center"/>
              <w:rPr>
                <w:rFonts w:hint="eastAsia" w:ascii="宋体" w:hAnsi="宋体" w:cs="宋体"/>
                <w:color w:val="auto"/>
                <w:szCs w:val="21"/>
              </w:rPr>
            </w:pPr>
            <w:r>
              <w:rPr>
                <w:rFonts w:hint="eastAsia" w:ascii="宋体" w:hAnsi="宋体" w:cs="宋体"/>
                <w:color w:val="auto"/>
                <w:szCs w:val="21"/>
              </w:rPr>
              <w:t>15</w:t>
            </w:r>
          </w:p>
        </w:tc>
        <w:tc>
          <w:tcPr>
            <w:tcW w:w="5953" w:type="dxa"/>
            <w:vAlign w:val="center"/>
          </w:tcPr>
          <w:p w14:paraId="128B330A">
            <w:pPr>
              <w:pStyle w:val="19"/>
              <w:spacing w:line="360" w:lineRule="exact"/>
              <w:rPr>
                <w:rFonts w:hint="eastAsia" w:ascii="宋体" w:hAnsi="宋体" w:cs="宋体"/>
                <w:color w:val="auto"/>
                <w:szCs w:val="21"/>
              </w:rPr>
            </w:pPr>
            <w:r>
              <w:rPr>
                <w:rFonts w:hint="eastAsia" w:ascii="宋体" w:hAnsi="宋体" w:cs="宋体"/>
                <w:color w:val="auto"/>
                <w:szCs w:val="21"/>
              </w:rPr>
              <w:t>（一）评审内容</w:t>
            </w:r>
          </w:p>
          <w:p w14:paraId="360B97E5">
            <w:pPr>
              <w:pStyle w:val="19"/>
              <w:spacing w:line="360" w:lineRule="exact"/>
              <w:rPr>
                <w:rFonts w:hint="eastAsia" w:ascii="宋体" w:hAnsi="宋体" w:cs="宋体"/>
                <w:color w:val="auto"/>
                <w:szCs w:val="21"/>
              </w:rPr>
            </w:pPr>
            <w:r>
              <w:rPr>
                <w:rFonts w:hint="eastAsia" w:ascii="宋体" w:hAnsi="宋体" w:cs="宋体"/>
                <w:color w:val="auto"/>
                <w:szCs w:val="21"/>
              </w:rPr>
              <w:t>投标人提供所投产品需满足：</w:t>
            </w:r>
          </w:p>
          <w:p w14:paraId="4BFE1943">
            <w:pPr>
              <w:pStyle w:val="19"/>
              <w:spacing w:line="360" w:lineRule="exact"/>
              <w:rPr>
                <w:rFonts w:hint="eastAsia" w:ascii="宋体" w:hAnsi="宋体" w:cs="宋体"/>
                <w:b/>
                <w:bCs/>
                <w:color w:val="auto"/>
                <w:szCs w:val="21"/>
              </w:rPr>
            </w:pPr>
            <w:r>
              <w:rPr>
                <w:rFonts w:hint="eastAsia" w:ascii="宋体" w:hAnsi="宋体" w:cs="宋体"/>
                <w:b/>
                <w:bCs/>
                <w:color w:val="auto"/>
                <w:szCs w:val="21"/>
              </w:rPr>
              <w:t>财务共享服务业务处理教学软件</w:t>
            </w:r>
          </w:p>
          <w:p w14:paraId="37540DED">
            <w:pPr>
              <w:pStyle w:val="19"/>
              <w:spacing w:line="360" w:lineRule="exact"/>
              <w:rPr>
                <w:rFonts w:hint="eastAsia" w:ascii="宋体" w:hAnsi="宋体" w:cs="宋体"/>
                <w:color w:val="auto"/>
                <w:szCs w:val="21"/>
              </w:rPr>
            </w:pPr>
            <w:r>
              <w:rPr>
                <w:rFonts w:hint="eastAsia" w:ascii="宋体" w:hAnsi="宋体" w:cs="宋体"/>
                <w:color w:val="auto"/>
                <w:szCs w:val="21"/>
              </w:rPr>
              <w:t>1、共享业务流程实现：支持在实训系统中操作体验，包括费用共享、采购应付共享、销售应收共享、固定资产共享、资金结算共享、税务共享、档案共享、总账共享、报表共享等业财融合共享业务，对于业务处理完成后生成的凭证支持自动甄别，凭证考核点包括：①会计期间是否正确 ②会计科目是否正确 ③辅助核算是否正确 ④借贷方金额是否正确，只有这四点都正确才能认定此凭证正确。</w:t>
            </w:r>
          </w:p>
          <w:p w14:paraId="1147E88A">
            <w:pPr>
              <w:pStyle w:val="19"/>
              <w:spacing w:line="360" w:lineRule="exact"/>
              <w:rPr>
                <w:rFonts w:hint="eastAsia" w:ascii="宋体" w:hAnsi="宋体" w:cs="宋体"/>
                <w:color w:val="auto"/>
                <w:szCs w:val="21"/>
              </w:rPr>
            </w:pPr>
            <w:r>
              <w:rPr>
                <w:rFonts w:hint="eastAsia" w:ascii="宋体" w:hAnsi="宋体" w:cs="宋体"/>
                <w:color w:val="auto"/>
                <w:szCs w:val="21"/>
              </w:rPr>
              <w:t>2、仿真自然人税收管理：模拟自然人税收管理系统扣缴个税申报，采用5000元的个税起征点、《中华人民共和国个人所得税法》的个人所得税的税率、最新个人所得税专项附加扣除项。具有人员信息采集、综合所得申报、税款缴纳等功能。</w:t>
            </w:r>
          </w:p>
          <w:p w14:paraId="0015CD12">
            <w:pPr>
              <w:pStyle w:val="19"/>
              <w:spacing w:line="360" w:lineRule="exact"/>
              <w:rPr>
                <w:rFonts w:hint="eastAsia" w:ascii="宋体" w:hAnsi="宋体" w:cs="宋体"/>
                <w:color w:val="auto"/>
                <w:szCs w:val="21"/>
              </w:rPr>
            </w:pPr>
            <w:r>
              <w:rPr>
                <w:rFonts w:hint="eastAsia" w:ascii="宋体" w:hAnsi="宋体" w:cs="宋体"/>
                <w:color w:val="auto"/>
                <w:szCs w:val="21"/>
              </w:rPr>
              <w:t>3、资金管理：支持包括企业的对外收付款、划账、结汇购汇、银行到账通知、银行对账、空白票据、期末关账结账、账户汇兑损益结转等业务。资金结算支持财务共享服务中心通过虚拟仿真银企直联系统，支持教学应用系统与虚拟银行的无缝集成；进行资金集中自动支付；支持资金收付款计划的报送管理、控制、分析。支持银企自动对账、成员单位对员工付款支持委托资金组织结算、资金组织设置代理结算账户、银行账户支持一个账号下设置多个币种子户等新功能。</w:t>
            </w:r>
          </w:p>
          <w:p w14:paraId="64BAF271">
            <w:pPr>
              <w:pStyle w:val="19"/>
              <w:spacing w:line="360" w:lineRule="exact"/>
              <w:rPr>
                <w:rFonts w:hint="eastAsia" w:ascii="宋体" w:hAnsi="宋体" w:cs="宋体"/>
                <w:b/>
                <w:bCs/>
                <w:color w:val="auto"/>
                <w:szCs w:val="21"/>
              </w:rPr>
            </w:pPr>
            <w:r>
              <w:rPr>
                <w:rFonts w:hint="eastAsia" w:ascii="宋体" w:hAnsi="宋体" w:cs="宋体"/>
                <w:b/>
                <w:bCs/>
                <w:color w:val="auto"/>
                <w:szCs w:val="21"/>
              </w:rPr>
              <w:t>企业实务流程设计教学软件</w:t>
            </w:r>
          </w:p>
          <w:p w14:paraId="443B8CF4">
            <w:pPr>
              <w:pStyle w:val="19"/>
              <w:spacing w:line="360" w:lineRule="exact"/>
              <w:rPr>
                <w:rFonts w:hint="eastAsia" w:ascii="宋体" w:hAnsi="宋体" w:cs="宋体"/>
                <w:color w:val="auto"/>
                <w:szCs w:val="21"/>
              </w:rPr>
            </w:pPr>
            <w:r>
              <w:rPr>
                <w:rFonts w:hint="eastAsia" w:ascii="宋体" w:hAnsi="宋体" w:cs="宋体"/>
                <w:color w:val="auto"/>
                <w:szCs w:val="21"/>
              </w:rPr>
              <w:t>4、企业实务流程设计与应用：支持思维导图查看项目内容；包含总账管理、费用管理、采购与应付管理、销售与应收管理、库存与存货核算管理、固定资产管理、薪资管理、生产与成本管理、期末处理、报表管理等实践任务。</w:t>
            </w:r>
          </w:p>
          <w:p w14:paraId="17528E05">
            <w:pPr>
              <w:pStyle w:val="19"/>
              <w:spacing w:line="360" w:lineRule="exact"/>
              <w:rPr>
                <w:rFonts w:hint="eastAsia" w:ascii="宋体" w:hAnsi="宋体" w:cs="宋体"/>
                <w:color w:val="auto"/>
                <w:szCs w:val="21"/>
              </w:rPr>
            </w:pPr>
            <w:r>
              <w:rPr>
                <w:rFonts w:hint="eastAsia" w:ascii="宋体" w:hAnsi="宋体" w:cs="宋体"/>
                <w:color w:val="auto"/>
                <w:szCs w:val="21"/>
              </w:rPr>
              <w:t>5、平台应提供数智化助手辅助决策，包含采购管理助手、销售管理助手，提供业务助手配置器配置存量信息、供应商信息、客户信息等。</w:t>
            </w:r>
          </w:p>
          <w:p w14:paraId="47AF023A">
            <w:pPr>
              <w:pStyle w:val="19"/>
              <w:spacing w:line="36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（二）评审依据</w:t>
            </w:r>
          </w:p>
          <w:p w14:paraId="1FF55313">
            <w:pPr>
              <w:pStyle w:val="19"/>
              <w:spacing w:line="360" w:lineRule="exact"/>
              <w:rPr>
                <w:rFonts w:hint="eastAsia" w:ascii="宋体" w:hAnsi="宋体" w:cs="宋体"/>
                <w:color w:val="auto"/>
                <w:szCs w:val="21"/>
              </w:rPr>
            </w:pPr>
            <w:r>
              <w:rPr>
                <w:rFonts w:hint="eastAsia"/>
                <w:color w:val="auto"/>
              </w:rPr>
              <w:t>根据以上评审内容进行现场演示，</w:t>
            </w:r>
            <w:r>
              <w:rPr>
                <w:rFonts w:hint="eastAsia" w:ascii="宋体" w:hAnsi="宋体" w:cs="宋体"/>
                <w:color w:val="auto"/>
                <w:szCs w:val="21"/>
              </w:rPr>
              <w:t>演示内容包含上述全部功能的，得15分，有不符合要求的，每一项扣3分，扣完为止。</w:t>
            </w:r>
          </w:p>
          <w:p w14:paraId="2E69C2F5">
            <w:pPr>
              <w:pStyle w:val="19"/>
              <w:spacing w:line="360" w:lineRule="exact"/>
              <w:rPr>
                <w:rFonts w:hint="eastAsia" w:ascii="宋体" w:hAnsi="宋体" w:cs="宋体"/>
                <w:strike/>
                <w:color w:val="auto"/>
                <w:szCs w:val="21"/>
              </w:rPr>
            </w:pPr>
            <w:r>
              <w:rPr>
                <w:rFonts w:hint="eastAsia" w:ascii="宋体" w:hAnsi="宋体" w:cs="宋体"/>
                <w:b/>
                <w:bCs/>
                <w:color w:val="auto"/>
                <w:szCs w:val="21"/>
              </w:rPr>
              <w:t>备注：提供PPT、DEMO或视频演示不得分；不参与演示不得分。</w:t>
            </w:r>
          </w:p>
        </w:tc>
        <w:tc>
          <w:tcPr>
            <w:tcW w:w="1187" w:type="dxa"/>
            <w:vAlign w:val="center"/>
          </w:tcPr>
          <w:p w14:paraId="06712C2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hint="eastAsia" w:ascii="宋体" w:hAnsi="宋体" w:cs="宋体"/>
                <w:b/>
                <w:szCs w:val="21"/>
              </w:rPr>
            </w:pPr>
            <w:r>
              <w:rPr>
                <w:rFonts w:hint="eastAsia" w:ascii="宋体" w:hAnsi="宋体" w:cs="宋体"/>
                <w:b/>
                <w:szCs w:val="21"/>
                <w:lang w:val="zh-CN"/>
              </w:rPr>
              <w:t>三、商务部分</w:t>
            </w:r>
          </w:p>
        </w:tc>
        <w:tc>
          <w:tcPr>
            <w:tcW w:w="1187" w:type="dxa"/>
            <w:vAlign w:val="center"/>
          </w:tcPr>
          <w:p w14:paraId="4188CA65">
            <w:pPr>
              <w:autoSpaceDE w:val="0"/>
              <w:autoSpaceDN w:val="0"/>
              <w:adjustRightInd w:val="0"/>
              <w:spacing w:line="360" w:lineRule="exact"/>
              <w:jc w:val="center"/>
              <w:rPr>
                <w:rFonts w:hint="eastAsia" w:ascii="宋体" w:hAnsi="宋体" w:cs="仿宋"/>
                <w:b/>
                <w:strike/>
                <w:szCs w:val="21"/>
              </w:rPr>
            </w:pPr>
            <w:r>
              <w:rPr>
                <w:rFonts w:hint="eastAsia" w:ascii="宋体" w:hAnsi="宋体" w:cs="仿宋"/>
                <w:b/>
                <w:szCs w:val="21"/>
              </w:rPr>
              <w:t>13</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lang w:val="zh-CN"/>
              </w:rPr>
              <w:t>内容</w:t>
            </w:r>
          </w:p>
        </w:tc>
        <w:tc>
          <w:tcPr>
            <w:tcW w:w="709" w:type="dxa"/>
            <w:vAlign w:val="center"/>
          </w:tcPr>
          <w:p w14:paraId="11CF2D4B">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lang w:val="zh-CN"/>
              </w:rPr>
              <w:t>权重</w:t>
            </w:r>
          </w:p>
        </w:tc>
        <w:tc>
          <w:tcPr>
            <w:tcW w:w="5953" w:type="dxa"/>
            <w:vAlign w:val="center"/>
          </w:tcPr>
          <w:p w14:paraId="3BA6908A">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lang w:val="zh-CN"/>
              </w:rPr>
              <w:t>评分规则</w:t>
            </w:r>
          </w:p>
        </w:tc>
        <w:tc>
          <w:tcPr>
            <w:tcW w:w="1187" w:type="dxa"/>
            <w:vAlign w:val="center"/>
          </w:tcPr>
          <w:p w14:paraId="340CB73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评分方式</w:t>
            </w:r>
          </w:p>
        </w:tc>
      </w:tr>
      <w:tr w14:paraId="0394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5048B5F1">
            <w:pPr>
              <w:widowControl/>
              <w:spacing w:line="240" w:lineRule="atLeast"/>
              <w:jc w:val="center"/>
              <w:rPr>
                <w:rFonts w:hint="eastAsia" w:ascii="宋体" w:hAnsi="宋体" w:cs="宋体"/>
                <w:szCs w:val="21"/>
                <w:lang w:val="zh-CN"/>
              </w:rPr>
            </w:pPr>
            <w:r>
              <w:rPr>
                <w:rFonts w:hint="eastAsia" w:ascii="宋体" w:hAnsi="宋体" w:cs="宋体"/>
                <w:kern w:val="0"/>
                <w:szCs w:val="21"/>
              </w:rPr>
              <w:t>1</w:t>
            </w:r>
          </w:p>
        </w:tc>
        <w:tc>
          <w:tcPr>
            <w:tcW w:w="1143" w:type="dxa"/>
            <w:vAlign w:val="center"/>
          </w:tcPr>
          <w:p w14:paraId="2DCD4F2A">
            <w:pPr>
              <w:widowControl/>
              <w:spacing w:line="360" w:lineRule="exact"/>
              <w:jc w:val="center"/>
              <w:rPr>
                <w:rFonts w:hint="eastAsia" w:ascii="宋体" w:hAnsi="宋体" w:cs="宋体"/>
                <w:szCs w:val="21"/>
              </w:rPr>
            </w:pPr>
            <w:r>
              <w:rPr>
                <w:rFonts w:hint="eastAsia" w:ascii="宋体" w:hAnsi="宋体" w:cs="宋体"/>
                <w:kern w:val="0"/>
                <w:szCs w:val="21"/>
              </w:rPr>
              <w:t>免费保修期内售后服务条款偏离情况</w:t>
            </w:r>
          </w:p>
        </w:tc>
        <w:tc>
          <w:tcPr>
            <w:tcW w:w="709" w:type="dxa"/>
            <w:vAlign w:val="center"/>
          </w:tcPr>
          <w:p w14:paraId="7E6804F3">
            <w:pPr>
              <w:widowControl/>
              <w:spacing w:line="360" w:lineRule="exact"/>
              <w:jc w:val="center"/>
              <w:rPr>
                <w:rFonts w:hint="eastAsia" w:ascii="宋体" w:hAnsi="宋体" w:cs="宋体"/>
                <w:szCs w:val="21"/>
              </w:rPr>
            </w:pPr>
            <w:r>
              <w:rPr>
                <w:rFonts w:hint="eastAsia" w:ascii="宋体" w:hAnsi="宋体" w:cs="宋体"/>
                <w:kern w:val="0"/>
                <w:szCs w:val="21"/>
              </w:rPr>
              <w:t>2</w:t>
            </w:r>
          </w:p>
        </w:tc>
        <w:tc>
          <w:tcPr>
            <w:tcW w:w="5953" w:type="dxa"/>
            <w:vAlign w:val="center"/>
          </w:tcPr>
          <w:p w14:paraId="77DE7117">
            <w:pPr>
              <w:pStyle w:val="19"/>
              <w:spacing w:line="360" w:lineRule="exact"/>
            </w:pPr>
            <w:r>
              <w:rPr>
                <w:rFonts w:hint="eastAsia" w:ascii="宋体" w:hAnsi="宋体" w:cs="宋体"/>
                <w:szCs w:val="21"/>
              </w:rPr>
              <w:t>投标人应如实填写《商务条款偏离表》，评审委员会根据“免费保修期内售后服务要求”的响应情况进行打分，各项非实质性免费保修期内售后服务要求条款全部满足要求的得2分，每负偏离一项扣1分，扣完为止。</w:t>
            </w:r>
          </w:p>
          <w:p w14:paraId="653D8AF1">
            <w:pPr>
              <w:spacing w:line="360" w:lineRule="exact"/>
              <w:jc w:val="left"/>
              <w:rPr>
                <w:rFonts w:hint="eastAsia" w:ascii="宋体" w:hAnsi="宋体" w:cs="宋体"/>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7C15B721">
            <w:pPr>
              <w:autoSpaceDE w:val="0"/>
              <w:autoSpaceDN w:val="0"/>
              <w:adjustRightInd w:val="0"/>
              <w:spacing w:line="360" w:lineRule="exact"/>
              <w:jc w:val="center"/>
              <w:rPr>
                <w:rFonts w:hint="eastAsia" w:ascii="宋体" w:hAnsi="宋体" w:cs="宋体"/>
                <w:szCs w:val="21"/>
              </w:rPr>
            </w:pPr>
            <w:r>
              <w:rPr>
                <w:rFonts w:hint="eastAsia" w:ascii="宋体" w:hAnsi="宋体" w:cs="仿宋"/>
                <w:szCs w:val="21"/>
              </w:rPr>
              <w:t>评委打分</w:t>
            </w:r>
          </w:p>
        </w:tc>
      </w:tr>
      <w:tr w14:paraId="4BC2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5E57E7AE">
            <w:pPr>
              <w:widowControl/>
              <w:spacing w:line="240" w:lineRule="atLeast"/>
              <w:jc w:val="center"/>
              <w:rPr>
                <w:rFonts w:hint="eastAsia" w:ascii="宋体" w:hAnsi="宋体" w:cs="宋体"/>
                <w:szCs w:val="21"/>
                <w:lang w:val="zh-CN"/>
              </w:rPr>
            </w:pPr>
            <w:r>
              <w:rPr>
                <w:rFonts w:hint="eastAsia" w:ascii="宋体" w:hAnsi="宋体" w:cs="宋体"/>
                <w:kern w:val="0"/>
                <w:szCs w:val="21"/>
              </w:rPr>
              <w:t>2</w:t>
            </w:r>
          </w:p>
        </w:tc>
        <w:tc>
          <w:tcPr>
            <w:tcW w:w="1143" w:type="dxa"/>
            <w:vAlign w:val="center"/>
          </w:tcPr>
          <w:p w14:paraId="4F3CCA1A">
            <w:pPr>
              <w:widowControl/>
              <w:spacing w:line="360" w:lineRule="exact"/>
              <w:jc w:val="center"/>
              <w:rPr>
                <w:rFonts w:hint="eastAsia" w:ascii="宋体" w:hAnsi="宋体" w:cs="宋体"/>
                <w:szCs w:val="21"/>
              </w:rPr>
            </w:pPr>
            <w:r>
              <w:rPr>
                <w:rFonts w:hint="eastAsia" w:ascii="宋体" w:hAnsi="宋体" w:cs="宋体"/>
                <w:kern w:val="0"/>
                <w:szCs w:val="21"/>
              </w:rPr>
              <w:t>其他商务条款偏离情况</w:t>
            </w:r>
          </w:p>
        </w:tc>
        <w:tc>
          <w:tcPr>
            <w:tcW w:w="709" w:type="dxa"/>
            <w:vAlign w:val="center"/>
          </w:tcPr>
          <w:p w14:paraId="1F56941A">
            <w:pPr>
              <w:widowControl/>
              <w:spacing w:line="360" w:lineRule="exact"/>
              <w:jc w:val="center"/>
              <w:rPr>
                <w:rFonts w:hint="eastAsia" w:ascii="宋体" w:hAnsi="宋体" w:cs="宋体"/>
                <w:szCs w:val="21"/>
              </w:rPr>
            </w:pPr>
            <w:r>
              <w:rPr>
                <w:rFonts w:hint="eastAsia" w:ascii="宋体" w:hAnsi="宋体" w:cs="宋体"/>
                <w:szCs w:val="21"/>
              </w:rPr>
              <w:t>3</w:t>
            </w:r>
          </w:p>
        </w:tc>
        <w:tc>
          <w:tcPr>
            <w:tcW w:w="5953" w:type="dxa"/>
            <w:vAlign w:val="center"/>
          </w:tcPr>
          <w:p w14:paraId="5E9CA67E">
            <w:pPr>
              <w:spacing w:line="360" w:lineRule="exact"/>
              <w:jc w:val="left"/>
              <w:rPr>
                <w:rFonts w:hint="eastAsia" w:ascii="宋体" w:hAnsi="宋体" w:cs="宋体"/>
                <w:szCs w:val="21"/>
              </w:rPr>
            </w:pPr>
            <w:r>
              <w:rPr>
                <w:rFonts w:hint="eastAsia" w:ascii="宋体" w:hAnsi="宋体" w:cs="宋体"/>
                <w:szCs w:val="21"/>
              </w:rPr>
              <w:t>投标人应如实填写《商务条款偏离表》，评审委员会根据“其他商务要求”的响应情况进行打分，各项非实质性</w:t>
            </w:r>
            <w:r>
              <w:rPr>
                <w:rFonts w:hint="eastAsia" w:ascii="宋体" w:hAnsi="宋体" w:cs="宋体"/>
                <w:kern w:val="0"/>
                <w:szCs w:val="21"/>
              </w:rPr>
              <w:t>其他商务条款要求</w:t>
            </w:r>
            <w:r>
              <w:rPr>
                <w:rFonts w:hint="eastAsia" w:ascii="宋体" w:hAnsi="宋体" w:cs="宋体"/>
                <w:szCs w:val="21"/>
              </w:rPr>
              <w:t>全部满足要求的得3分，每负偏离一项0.17分，扣完为止。</w:t>
            </w:r>
          </w:p>
          <w:p w14:paraId="2A83E9D6">
            <w:pPr>
              <w:spacing w:line="360" w:lineRule="exact"/>
              <w:jc w:val="left"/>
              <w:rPr>
                <w:rFonts w:hint="eastAsia" w:ascii="宋体" w:hAnsi="宋体" w:cs="宋体"/>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291A5466">
            <w:pPr>
              <w:autoSpaceDE w:val="0"/>
              <w:autoSpaceDN w:val="0"/>
              <w:adjustRightInd w:val="0"/>
              <w:spacing w:line="360" w:lineRule="exact"/>
              <w:jc w:val="center"/>
              <w:rPr>
                <w:rFonts w:hint="eastAsia" w:ascii="宋体" w:hAnsi="宋体" w:cs="宋体"/>
                <w:szCs w:val="21"/>
              </w:rPr>
            </w:pPr>
            <w:r>
              <w:rPr>
                <w:rFonts w:hint="eastAsia" w:ascii="宋体" w:hAnsi="宋体" w:cs="仿宋"/>
                <w:szCs w:val="21"/>
              </w:rPr>
              <w:t>评委打分</w:t>
            </w:r>
          </w:p>
        </w:tc>
      </w:tr>
      <w:tr w14:paraId="0C54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754" w:type="dxa"/>
            <w:vAlign w:val="center"/>
          </w:tcPr>
          <w:p w14:paraId="03F54FB9">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3</w:t>
            </w:r>
          </w:p>
        </w:tc>
        <w:tc>
          <w:tcPr>
            <w:tcW w:w="1143" w:type="dxa"/>
            <w:vAlign w:val="center"/>
          </w:tcPr>
          <w:p w14:paraId="2692F047">
            <w:pPr>
              <w:pStyle w:val="19"/>
            </w:pPr>
            <w:r>
              <w:rPr>
                <w:rFonts w:hint="eastAsia"/>
              </w:rPr>
              <w:t>投标人同类项目业绩</w:t>
            </w:r>
          </w:p>
          <w:p w14:paraId="0EE9749C">
            <w:pPr>
              <w:widowControl/>
              <w:spacing w:line="360" w:lineRule="exact"/>
              <w:jc w:val="center"/>
              <w:rPr>
                <w:rFonts w:hint="eastAsia" w:ascii="宋体" w:hAnsi="宋体" w:cs="宋体"/>
                <w:strike/>
                <w:szCs w:val="21"/>
              </w:rPr>
            </w:pPr>
          </w:p>
        </w:tc>
        <w:tc>
          <w:tcPr>
            <w:tcW w:w="709" w:type="dxa"/>
            <w:vAlign w:val="center"/>
          </w:tcPr>
          <w:p w14:paraId="0CD2A3C9">
            <w:pPr>
              <w:widowControl/>
              <w:spacing w:line="360" w:lineRule="exact"/>
              <w:jc w:val="center"/>
              <w:rPr>
                <w:rFonts w:hint="eastAsia" w:ascii="宋体" w:hAnsi="宋体" w:cs="宋体"/>
                <w:szCs w:val="21"/>
              </w:rPr>
            </w:pPr>
            <w:r>
              <w:rPr>
                <w:rFonts w:hint="eastAsia" w:ascii="宋体" w:hAnsi="宋体" w:cs="宋体"/>
                <w:kern w:val="0"/>
                <w:szCs w:val="21"/>
              </w:rPr>
              <w:t>3</w:t>
            </w:r>
          </w:p>
        </w:tc>
        <w:tc>
          <w:tcPr>
            <w:tcW w:w="5953" w:type="dxa"/>
            <w:vAlign w:val="center"/>
          </w:tcPr>
          <w:p w14:paraId="69D1484B">
            <w:pPr>
              <w:wordWrap w:val="0"/>
              <w:spacing w:line="360" w:lineRule="exact"/>
              <w:jc w:val="left"/>
              <w:rPr>
                <w:rFonts w:hint="eastAsia" w:ascii="宋体" w:hAnsi="宋体" w:cs="宋体"/>
                <w:szCs w:val="21"/>
              </w:rPr>
            </w:pPr>
            <w:r>
              <w:rPr>
                <w:rFonts w:hint="eastAsia" w:ascii="宋体" w:hAnsi="宋体" w:cs="宋体"/>
                <w:szCs w:val="21"/>
              </w:rPr>
              <w:t>（一）评审内容</w:t>
            </w:r>
          </w:p>
          <w:p w14:paraId="1CCF653A">
            <w:pPr>
              <w:wordWrap w:val="0"/>
              <w:spacing w:line="360" w:lineRule="exact"/>
              <w:jc w:val="left"/>
              <w:rPr>
                <w:rFonts w:hint="eastAsia" w:ascii="宋体" w:hAnsi="宋体" w:cs="宋体"/>
                <w:szCs w:val="21"/>
              </w:rPr>
            </w:pPr>
            <w:r>
              <w:rPr>
                <w:rFonts w:hint="eastAsia" w:ascii="宋体" w:hAnsi="宋体" w:cs="宋体"/>
                <w:szCs w:val="21"/>
              </w:rPr>
              <w:t>2022年1月1日至本项目投标截止日（以合同签订日期为准），投标人具有同类项目业绩的且获得履约评价结果为“优”或“满意”或评价证明中最高等级的，或者验收结果为“合格”或“通过”或同等表述的，每提供1个项目得1.5分，最高得3分。同一项目续签合同的不可重复得分。</w:t>
            </w:r>
          </w:p>
          <w:p w14:paraId="5B6B1ED6">
            <w:pPr>
              <w:wordWrap w:val="0"/>
              <w:spacing w:line="360" w:lineRule="exact"/>
              <w:jc w:val="left"/>
              <w:rPr>
                <w:rFonts w:hint="eastAsia" w:ascii="宋体" w:hAnsi="宋体" w:cs="宋体"/>
                <w:szCs w:val="21"/>
              </w:rPr>
            </w:pPr>
            <w:r>
              <w:rPr>
                <w:rFonts w:hint="eastAsia" w:ascii="宋体" w:hAnsi="宋体" w:cs="宋体"/>
                <w:szCs w:val="21"/>
              </w:rPr>
              <w:t>（二）评审依据</w:t>
            </w:r>
          </w:p>
          <w:p w14:paraId="378ADD7F">
            <w:pPr>
              <w:wordWrap w:val="0"/>
              <w:spacing w:line="360" w:lineRule="exact"/>
              <w:jc w:val="left"/>
              <w:rPr>
                <w:rFonts w:hint="eastAsia" w:ascii="宋体" w:hAnsi="宋体" w:cs="宋体"/>
                <w:szCs w:val="21"/>
              </w:rPr>
            </w:pPr>
            <w:r>
              <w:rPr>
                <w:rFonts w:hint="eastAsia" w:ascii="宋体" w:hAnsi="宋体" w:cs="宋体"/>
                <w:szCs w:val="21"/>
              </w:rPr>
              <w:t>1.提供合同关键页（至少包含甲乙双方名称、货物清单、合同签订日期和签字盖章页）且各项信息不得有任何遮挡；</w:t>
            </w:r>
          </w:p>
          <w:p w14:paraId="06E276BE">
            <w:pPr>
              <w:adjustRightInd w:val="0"/>
              <w:spacing w:line="360" w:lineRule="exact"/>
              <w:rPr>
                <w:rFonts w:hint="eastAsia" w:ascii="宋体" w:hAnsi="宋体" w:cs="宋体"/>
                <w:szCs w:val="21"/>
              </w:rPr>
            </w:pPr>
            <w:r>
              <w:rPr>
                <w:rFonts w:hint="eastAsia" w:ascii="宋体" w:hAnsi="宋体"/>
                <w:szCs w:val="21"/>
              </w:rPr>
              <w:t>2.通过合同关键信息无法判断是否得分的，还需提供能证明得分的其它证明资料，如项目报告或合同甲方出具的证明文件；</w:t>
            </w:r>
          </w:p>
          <w:p w14:paraId="65601E3C">
            <w:pPr>
              <w:wordWrap w:val="0"/>
              <w:spacing w:line="360" w:lineRule="exact"/>
              <w:jc w:val="left"/>
              <w:rPr>
                <w:rFonts w:hint="eastAsia" w:ascii="宋体" w:hAnsi="宋体" w:cs="宋体"/>
                <w:szCs w:val="21"/>
              </w:rPr>
            </w:pPr>
            <w:r>
              <w:rPr>
                <w:rFonts w:hint="eastAsia" w:ascii="宋体" w:hAnsi="宋体" w:cs="宋体"/>
                <w:szCs w:val="21"/>
              </w:rPr>
              <w:t>3.提供履约评价结果或验收结果证明文件；</w:t>
            </w:r>
          </w:p>
          <w:p w14:paraId="07AB8613">
            <w:pPr>
              <w:spacing w:line="360" w:lineRule="exact"/>
              <w:jc w:val="left"/>
              <w:rPr>
                <w:rFonts w:hint="eastAsia" w:ascii="宋体" w:hAnsi="宋体" w:cs="宋体"/>
                <w:szCs w:val="21"/>
              </w:rPr>
            </w:pPr>
            <w:r>
              <w:rPr>
                <w:rFonts w:hint="eastAsia" w:ascii="宋体" w:hAnsi="宋体" w:cs="宋体"/>
                <w:szCs w:val="21"/>
              </w:rPr>
              <w:t>4.以上证明文件均提供复印件或扫描件并加盖投标人公章，原件备查。未按要求提供有效证明材料或提供不清晰导致评委无法识别的不计得分。</w:t>
            </w:r>
          </w:p>
        </w:tc>
        <w:tc>
          <w:tcPr>
            <w:tcW w:w="1187" w:type="dxa"/>
            <w:vAlign w:val="center"/>
          </w:tcPr>
          <w:p w14:paraId="3CF95C50">
            <w:pPr>
              <w:autoSpaceDE w:val="0"/>
              <w:autoSpaceDN w:val="0"/>
              <w:adjustRightInd w:val="0"/>
              <w:spacing w:line="360" w:lineRule="exact"/>
              <w:jc w:val="center"/>
              <w:rPr>
                <w:rFonts w:hint="eastAsia" w:ascii="宋体" w:hAnsi="宋体" w:cs="宋体"/>
                <w:szCs w:val="21"/>
              </w:rPr>
            </w:pPr>
            <w:r>
              <w:rPr>
                <w:rFonts w:hint="eastAsia" w:ascii="宋体" w:hAnsi="宋体" w:cs="仿宋"/>
                <w:szCs w:val="21"/>
              </w:rPr>
              <w:t>评委打分</w:t>
            </w:r>
          </w:p>
        </w:tc>
      </w:tr>
      <w:tr w14:paraId="750B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754" w:type="dxa"/>
            <w:vAlign w:val="center"/>
          </w:tcPr>
          <w:p w14:paraId="7651FBFA">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4</w:t>
            </w:r>
          </w:p>
        </w:tc>
        <w:tc>
          <w:tcPr>
            <w:tcW w:w="1143" w:type="dxa"/>
            <w:vAlign w:val="center"/>
          </w:tcPr>
          <w:p w14:paraId="53B6F644">
            <w:pPr>
              <w:widowControl/>
              <w:spacing w:line="360" w:lineRule="exact"/>
              <w:jc w:val="center"/>
              <w:rPr>
                <w:rFonts w:hint="eastAsia" w:ascii="宋体" w:hAnsi="宋体" w:cs="宋体"/>
                <w:szCs w:val="21"/>
              </w:rPr>
            </w:pPr>
            <w:r>
              <w:rPr>
                <w:rFonts w:hint="eastAsia" w:ascii="宋体" w:hAnsi="宋体" w:cs="宋体"/>
                <w:kern w:val="0"/>
                <w:szCs w:val="21"/>
              </w:rPr>
              <w:t>诚信</w:t>
            </w:r>
          </w:p>
        </w:tc>
        <w:tc>
          <w:tcPr>
            <w:tcW w:w="709" w:type="dxa"/>
            <w:vAlign w:val="center"/>
          </w:tcPr>
          <w:p w14:paraId="02DF7447">
            <w:pPr>
              <w:widowControl/>
              <w:spacing w:line="360" w:lineRule="exact"/>
              <w:jc w:val="center"/>
              <w:rPr>
                <w:rFonts w:hint="eastAsia" w:ascii="宋体" w:hAnsi="宋体" w:cs="宋体"/>
                <w:szCs w:val="21"/>
              </w:rPr>
            </w:pPr>
            <w:r>
              <w:rPr>
                <w:rFonts w:hint="eastAsia" w:ascii="宋体" w:hAnsi="宋体" w:cs="宋体"/>
                <w:kern w:val="0"/>
                <w:szCs w:val="21"/>
              </w:rPr>
              <w:t>5</w:t>
            </w:r>
          </w:p>
        </w:tc>
        <w:tc>
          <w:tcPr>
            <w:tcW w:w="5953" w:type="dxa"/>
            <w:vAlign w:val="center"/>
          </w:tcPr>
          <w:p w14:paraId="06AE0511">
            <w:pPr>
              <w:wordWrap w:val="0"/>
              <w:spacing w:line="360" w:lineRule="exact"/>
              <w:ind w:left="34" w:leftChars="16"/>
              <w:jc w:val="left"/>
              <w:rPr>
                <w:rFonts w:hint="eastAsia"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3CDED79F">
            <w:pPr>
              <w:pStyle w:val="19"/>
              <w:spacing w:line="360" w:lineRule="exact"/>
              <w:rPr>
                <w:rFonts w:hint="eastAsia" w:ascii="宋体" w:hAnsi="宋体" w:cs="宋体"/>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FBBC3E0">
            <w:pPr>
              <w:autoSpaceDE w:val="0"/>
              <w:autoSpaceDN w:val="0"/>
              <w:adjustRightInd w:val="0"/>
              <w:spacing w:line="360" w:lineRule="exact"/>
              <w:jc w:val="center"/>
              <w:rPr>
                <w:rFonts w:hint="eastAsia" w:ascii="宋体" w:hAnsi="宋体" w:cs="宋体"/>
                <w:szCs w:val="21"/>
              </w:rPr>
            </w:pPr>
            <w:r>
              <w:rPr>
                <w:rFonts w:hint="eastAsia" w:ascii="宋体" w:hAnsi="宋体" w:cs="仿宋"/>
                <w:szCs w:val="21"/>
              </w:rPr>
              <w:t>评委打分</w:t>
            </w:r>
          </w:p>
        </w:tc>
      </w:tr>
      <w:bookmarkEnd w:id="20"/>
    </w:tbl>
    <w:p w14:paraId="2A29F2C8">
      <w:pPr>
        <w:pStyle w:val="4"/>
        <w:spacing w:before="0" w:after="0"/>
        <w:jc w:val="left"/>
        <w:rPr>
          <w:rFonts w:hint="eastAsia" w:asciiTheme="minorEastAsia" w:hAnsiTheme="minorEastAsia"/>
          <w:bCs w:val="0"/>
          <w:sz w:val="21"/>
          <w:szCs w:val="21"/>
        </w:rPr>
      </w:pPr>
      <w:bookmarkStart w:id="25" w:name="_Toc44691162"/>
      <w:bookmarkStart w:id="26" w:name="_Toc135293326"/>
      <w:bookmarkStart w:id="27" w:name="_Toc44690703"/>
      <w:bookmarkStart w:id="28" w:name="_Toc44690430"/>
      <w:bookmarkStart w:id="29" w:name="_Toc44691394"/>
      <w:r>
        <w:rPr>
          <w:rFonts w:hint="eastAsia" w:asciiTheme="minorEastAsia" w:hAnsiTheme="minorEastAsia"/>
          <w:bCs w:val="0"/>
          <w:sz w:val="21"/>
          <w:szCs w:val="21"/>
        </w:rPr>
        <w:t>备注：</w:t>
      </w:r>
      <w:bookmarkEnd w:id="25"/>
      <w:bookmarkEnd w:id="26"/>
      <w:bookmarkEnd w:id="27"/>
      <w:bookmarkEnd w:id="28"/>
      <w:bookmarkEnd w:id="29"/>
    </w:p>
    <w:p w14:paraId="1A31C0A1">
      <w:pPr>
        <w:pStyle w:val="3"/>
        <w:spacing w:before="0" w:after="0"/>
      </w:pPr>
      <w:bookmarkStart w:id="30" w:name="_Toc135293327"/>
      <w:r>
        <w:rPr>
          <w:rFonts w:hint="eastAsia"/>
        </w:rPr>
        <w:t>1、资质证书有效期</w:t>
      </w:r>
      <w:bookmarkEnd w:id="30"/>
    </w:p>
    <w:p w14:paraId="53E0DA15">
      <w:pPr>
        <w:spacing w:line="360" w:lineRule="auto"/>
        <w:ind w:firstLine="424" w:firstLineChars="202"/>
        <w:rPr>
          <w:rFonts w:hint="eastAsia"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hint="eastAsia" w:asciiTheme="minorEastAsia" w:hAnsiTheme="minorEastAsia" w:eastAsiaTheme="minorEastAsia"/>
          <w:b/>
        </w:rPr>
      </w:pPr>
    </w:p>
    <w:p w14:paraId="6E468CD0">
      <w:pPr>
        <w:pStyle w:val="3"/>
        <w:spacing w:before="0" w:after="0"/>
        <w:rPr>
          <w:rFonts w:hint="eastAsia" w:asciiTheme="minorEastAsia" w:hAnsiTheme="minorEastAsia" w:eastAsiaTheme="minorEastAsia"/>
        </w:rPr>
      </w:pPr>
      <w:bookmarkStart w:id="31" w:name="_Toc135293328"/>
      <w:r>
        <w:rPr>
          <w:rFonts w:hint="eastAsia" w:asciiTheme="minorEastAsia" w:hAnsiTheme="minorEastAsia" w:eastAsiaTheme="minorEastAsia"/>
        </w:rPr>
        <w:t>2、政府采购扶持政策</w:t>
      </w:r>
      <w:bookmarkEnd w:id="31"/>
    </w:p>
    <w:p w14:paraId="01FD7AA9">
      <w:pPr>
        <w:spacing w:after="60" w:line="360" w:lineRule="auto"/>
        <w:ind w:firstLine="426" w:firstLineChars="202"/>
        <w:rPr>
          <w:rFonts w:hint="eastAsia"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软件与信息技术服务业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hint="eastAsia"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hint="eastAsia"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hint="eastAsia"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hint="eastAsia"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hint="eastAsia"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hint="eastAsia"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hint="eastAsia" w:ascii="宋体" w:hAnsi="宋体"/>
          <w:b/>
          <w:szCs w:val="21"/>
        </w:rPr>
      </w:pPr>
      <w:r>
        <w:rPr>
          <w:rFonts w:hint="eastAsia" w:asciiTheme="minorEastAsia" w:hAnsiTheme="minorEastAsia" w:eastAsiaTheme="minorEastAsia"/>
          <w:b/>
          <w:szCs w:val="21"/>
        </w:rPr>
        <w:t>（四）</w:t>
      </w:r>
      <w:r>
        <w:rPr>
          <w:rFonts w:hint="eastAsia"/>
          <w:b/>
        </w:rPr>
        <w:t>其他说明</w:t>
      </w:r>
    </w:p>
    <w:p w14:paraId="2E459AE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67C49E52">
      <w:pPr>
        <w:pStyle w:val="2"/>
        <w:spacing w:before="0" w:after="0" w:line="240" w:lineRule="auto"/>
        <w:rPr>
          <w:rFonts w:hint="eastAsia"/>
        </w:rPr>
      </w:pPr>
      <w:bookmarkStart w:id="32" w:name="_Toc135293329"/>
    </w:p>
    <w:p w14:paraId="1C9B5CA1">
      <w:pPr>
        <w:rPr>
          <w:rFonts w:hint="eastAsia"/>
        </w:rPr>
      </w:pPr>
    </w:p>
    <w:p w14:paraId="5550DE71">
      <w:pPr>
        <w:rPr>
          <w:rFonts w:hint="eastAsia"/>
        </w:rPr>
      </w:pPr>
    </w:p>
    <w:p w14:paraId="7FDF7496">
      <w:pPr>
        <w:rPr>
          <w:rFonts w:hint="eastAsia"/>
        </w:rPr>
      </w:pPr>
    </w:p>
    <w:p w14:paraId="4992361D">
      <w:pPr>
        <w:rPr>
          <w:rFonts w:hint="eastAsia"/>
        </w:rPr>
      </w:pPr>
    </w:p>
    <w:p w14:paraId="4BE1F98F">
      <w:pPr>
        <w:rPr>
          <w:rFonts w:hint="eastAsia"/>
        </w:rPr>
      </w:pPr>
    </w:p>
    <w:p w14:paraId="25AC3C01">
      <w:pPr>
        <w:rPr>
          <w:rFonts w:hint="eastAsia"/>
        </w:rPr>
      </w:pPr>
    </w:p>
    <w:p w14:paraId="1B03FDE2">
      <w:pPr>
        <w:rPr>
          <w:rFonts w:hint="eastAsia"/>
        </w:rPr>
      </w:pPr>
    </w:p>
    <w:p w14:paraId="21BBAD11">
      <w:pPr>
        <w:rPr>
          <w:rFonts w:hint="eastAsia"/>
        </w:rPr>
      </w:pPr>
    </w:p>
    <w:p w14:paraId="4AE3F09B">
      <w:pPr>
        <w:pStyle w:val="2"/>
        <w:spacing w:before="0" w:after="0" w:line="240" w:lineRule="auto"/>
      </w:pPr>
      <w:r>
        <w:rPr>
          <w:rFonts w:hint="eastAsia"/>
        </w:rPr>
        <w:t>第五章  投标人须知前附表</w:t>
      </w:r>
      <w:bookmarkEnd w:id="32"/>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8"/>
              <w:spacing w:line="360" w:lineRule="auto"/>
              <w:jc w:val="center"/>
              <w:rPr>
                <w:rFonts w:hint="eastAsia" w:hAnsi="宋体"/>
              </w:rPr>
            </w:pPr>
            <w:r>
              <w:rPr>
                <w:rFonts w:hint="eastAsia" w:hAnsi="宋体"/>
              </w:rPr>
              <w:t>项号</w:t>
            </w:r>
          </w:p>
        </w:tc>
        <w:tc>
          <w:tcPr>
            <w:tcW w:w="1038" w:type="dxa"/>
            <w:vAlign w:val="center"/>
          </w:tcPr>
          <w:p w14:paraId="1A021A33">
            <w:pPr>
              <w:pStyle w:val="28"/>
              <w:spacing w:line="360" w:lineRule="auto"/>
              <w:jc w:val="center"/>
              <w:rPr>
                <w:rFonts w:hint="eastAsia" w:hAnsi="宋体"/>
              </w:rPr>
            </w:pPr>
            <w:r>
              <w:rPr>
                <w:rFonts w:hint="eastAsia" w:hAnsi="宋体"/>
              </w:rPr>
              <w:t>条款号</w:t>
            </w:r>
          </w:p>
        </w:tc>
        <w:tc>
          <w:tcPr>
            <w:tcW w:w="1843" w:type="dxa"/>
            <w:vAlign w:val="center"/>
          </w:tcPr>
          <w:p w14:paraId="6C99B8DD">
            <w:pPr>
              <w:pStyle w:val="28"/>
              <w:spacing w:line="360" w:lineRule="auto"/>
              <w:jc w:val="center"/>
              <w:rPr>
                <w:rFonts w:hint="eastAsia" w:hAnsi="宋体"/>
              </w:rPr>
            </w:pPr>
            <w:r>
              <w:rPr>
                <w:rFonts w:hint="eastAsia" w:hAnsi="宋体"/>
              </w:rPr>
              <w:t>内容</w:t>
            </w:r>
          </w:p>
        </w:tc>
        <w:tc>
          <w:tcPr>
            <w:tcW w:w="6520" w:type="dxa"/>
          </w:tcPr>
          <w:p w14:paraId="79032F6D">
            <w:pPr>
              <w:pStyle w:val="28"/>
              <w:spacing w:line="360" w:lineRule="auto"/>
              <w:jc w:val="center"/>
              <w:rPr>
                <w:rFonts w:hint="eastAsia"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8"/>
              <w:spacing w:line="360" w:lineRule="auto"/>
              <w:jc w:val="center"/>
              <w:rPr>
                <w:rFonts w:hint="eastAsia" w:hAnsi="宋体"/>
              </w:rPr>
            </w:pPr>
            <w:r>
              <w:rPr>
                <w:rFonts w:hAnsi="宋体"/>
              </w:rPr>
              <w:t>1</w:t>
            </w:r>
          </w:p>
        </w:tc>
        <w:tc>
          <w:tcPr>
            <w:tcW w:w="1038" w:type="dxa"/>
            <w:vAlign w:val="center"/>
          </w:tcPr>
          <w:p w14:paraId="08DCF3BC">
            <w:pPr>
              <w:pStyle w:val="28"/>
              <w:spacing w:line="360" w:lineRule="auto"/>
              <w:jc w:val="center"/>
              <w:rPr>
                <w:rFonts w:hint="eastAsia" w:hAnsi="宋体"/>
              </w:rPr>
            </w:pPr>
            <w:r>
              <w:rPr>
                <w:rFonts w:hAnsi="宋体"/>
              </w:rPr>
              <w:t>1.1</w:t>
            </w:r>
          </w:p>
        </w:tc>
        <w:tc>
          <w:tcPr>
            <w:tcW w:w="1843" w:type="dxa"/>
            <w:vAlign w:val="center"/>
          </w:tcPr>
          <w:p w14:paraId="5DB3C0C3">
            <w:pPr>
              <w:pStyle w:val="28"/>
              <w:spacing w:line="360" w:lineRule="exact"/>
              <w:jc w:val="center"/>
              <w:rPr>
                <w:rFonts w:hint="eastAsia" w:hAnsi="宋体"/>
              </w:rPr>
            </w:pPr>
            <w:r>
              <w:rPr>
                <w:rFonts w:hint="eastAsia" w:hAnsi="宋体"/>
              </w:rPr>
              <w:t>项目名称</w:t>
            </w:r>
          </w:p>
        </w:tc>
        <w:tc>
          <w:tcPr>
            <w:tcW w:w="6520" w:type="dxa"/>
            <w:vAlign w:val="center"/>
          </w:tcPr>
          <w:p w14:paraId="4CD063BC">
            <w:pPr>
              <w:pStyle w:val="28"/>
              <w:spacing w:line="360" w:lineRule="exact"/>
            </w:pPr>
            <w:r>
              <w:rPr>
                <w:rFonts w:hint="eastAsia" w:asciiTheme="minorEastAsia" w:hAnsiTheme="minorEastAsia" w:eastAsiaTheme="minorEastAsia"/>
              </w:rPr>
              <w:t>共享业务处理与企业实务流程教学软件</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8"/>
              <w:spacing w:line="360" w:lineRule="auto"/>
              <w:jc w:val="center"/>
              <w:rPr>
                <w:rFonts w:hint="eastAsia" w:hAnsi="宋体"/>
              </w:rPr>
            </w:pPr>
            <w:r>
              <w:rPr>
                <w:rFonts w:hint="eastAsia" w:hAnsi="宋体"/>
              </w:rPr>
              <w:t>2</w:t>
            </w:r>
          </w:p>
        </w:tc>
        <w:tc>
          <w:tcPr>
            <w:tcW w:w="1038" w:type="dxa"/>
            <w:vAlign w:val="center"/>
          </w:tcPr>
          <w:p w14:paraId="75EDB50D">
            <w:pPr>
              <w:pStyle w:val="28"/>
              <w:spacing w:line="360" w:lineRule="auto"/>
              <w:jc w:val="center"/>
              <w:rPr>
                <w:rFonts w:hint="eastAsia" w:hAnsi="宋体"/>
              </w:rPr>
            </w:pPr>
            <w:r>
              <w:rPr>
                <w:rFonts w:hAnsi="宋体"/>
              </w:rPr>
              <w:t>2.1</w:t>
            </w:r>
          </w:p>
        </w:tc>
        <w:tc>
          <w:tcPr>
            <w:tcW w:w="1843" w:type="dxa"/>
            <w:vAlign w:val="center"/>
          </w:tcPr>
          <w:p w14:paraId="0DD45AF4">
            <w:pPr>
              <w:pStyle w:val="28"/>
              <w:spacing w:line="360" w:lineRule="exact"/>
              <w:jc w:val="center"/>
              <w:rPr>
                <w:rFonts w:hint="eastAsia" w:hAnsi="宋体"/>
              </w:rPr>
            </w:pPr>
            <w:r>
              <w:rPr>
                <w:rFonts w:hint="eastAsia" w:hAnsi="宋体"/>
              </w:rPr>
              <w:t>采购人</w:t>
            </w:r>
          </w:p>
        </w:tc>
        <w:tc>
          <w:tcPr>
            <w:tcW w:w="6520" w:type="dxa"/>
            <w:vAlign w:val="center"/>
          </w:tcPr>
          <w:p w14:paraId="522BEA8D">
            <w:pPr>
              <w:pStyle w:val="28"/>
              <w:spacing w:line="360" w:lineRule="exact"/>
              <w:rPr>
                <w:rFonts w:hint="eastAsia" w:hAnsi="宋体"/>
                <w:szCs w:val="24"/>
              </w:rPr>
            </w:pPr>
            <w:r>
              <w:rPr>
                <w:rFonts w:hint="eastAsia" w:hAnsi="宋体"/>
                <w:szCs w:val="24"/>
              </w:rPr>
              <w:t>深圳职业技术大学</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8"/>
              <w:spacing w:line="360" w:lineRule="auto"/>
              <w:jc w:val="center"/>
              <w:rPr>
                <w:rFonts w:hint="eastAsia" w:hAnsi="宋体"/>
              </w:rPr>
            </w:pPr>
            <w:r>
              <w:rPr>
                <w:rFonts w:hint="eastAsia" w:hAnsi="宋体"/>
              </w:rPr>
              <w:t>3</w:t>
            </w:r>
          </w:p>
        </w:tc>
        <w:tc>
          <w:tcPr>
            <w:tcW w:w="1038" w:type="dxa"/>
            <w:vAlign w:val="center"/>
          </w:tcPr>
          <w:p w14:paraId="13B91ECC">
            <w:pPr>
              <w:pStyle w:val="28"/>
              <w:spacing w:line="360" w:lineRule="auto"/>
              <w:jc w:val="center"/>
              <w:rPr>
                <w:rFonts w:hint="eastAsia" w:hAnsi="宋体"/>
              </w:rPr>
            </w:pPr>
            <w:r>
              <w:rPr>
                <w:rFonts w:hAnsi="宋体"/>
              </w:rPr>
              <w:t>2.2</w:t>
            </w:r>
          </w:p>
        </w:tc>
        <w:tc>
          <w:tcPr>
            <w:tcW w:w="1843" w:type="dxa"/>
            <w:vAlign w:val="center"/>
          </w:tcPr>
          <w:p w14:paraId="132E9C30">
            <w:pPr>
              <w:pStyle w:val="28"/>
              <w:spacing w:line="360" w:lineRule="exact"/>
              <w:jc w:val="center"/>
              <w:rPr>
                <w:rFonts w:hint="eastAsia" w:hAnsi="宋体"/>
              </w:rPr>
            </w:pPr>
            <w:r>
              <w:rPr>
                <w:rFonts w:hint="eastAsia" w:hAnsi="宋体"/>
              </w:rPr>
              <w:t>采购代理机构</w:t>
            </w:r>
          </w:p>
        </w:tc>
        <w:tc>
          <w:tcPr>
            <w:tcW w:w="6520" w:type="dxa"/>
            <w:vAlign w:val="center"/>
          </w:tcPr>
          <w:p w14:paraId="5B81D321">
            <w:pPr>
              <w:pStyle w:val="28"/>
              <w:spacing w:line="360" w:lineRule="exact"/>
              <w:rPr>
                <w:rFonts w:hint="eastAsia"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8"/>
              <w:spacing w:line="360" w:lineRule="auto"/>
              <w:jc w:val="center"/>
              <w:rPr>
                <w:rFonts w:hint="eastAsia" w:hAnsi="宋体"/>
              </w:rPr>
            </w:pPr>
            <w:r>
              <w:rPr>
                <w:rFonts w:hint="eastAsia" w:hAnsi="宋体"/>
              </w:rPr>
              <w:t>4</w:t>
            </w:r>
          </w:p>
        </w:tc>
        <w:tc>
          <w:tcPr>
            <w:tcW w:w="1038" w:type="dxa"/>
            <w:vAlign w:val="center"/>
          </w:tcPr>
          <w:p w14:paraId="31572A4E">
            <w:pPr>
              <w:pStyle w:val="28"/>
              <w:spacing w:line="360" w:lineRule="auto"/>
              <w:jc w:val="center"/>
              <w:rPr>
                <w:rFonts w:hint="eastAsia" w:hAnsi="宋体"/>
              </w:rPr>
            </w:pPr>
            <w:r>
              <w:rPr>
                <w:rFonts w:hint="eastAsia" w:hAnsi="宋体"/>
              </w:rPr>
              <w:t>3.1</w:t>
            </w:r>
          </w:p>
        </w:tc>
        <w:tc>
          <w:tcPr>
            <w:tcW w:w="1843" w:type="dxa"/>
            <w:vAlign w:val="center"/>
          </w:tcPr>
          <w:p w14:paraId="0405CD55">
            <w:pPr>
              <w:pStyle w:val="28"/>
              <w:spacing w:line="360" w:lineRule="exact"/>
              <w:jc w:val="center"/>
              <w:rPr>
                <w:rFonts w:hint="eastAsia" w:hAnsi="宋体"/>
              </w:rPr>
            </w:pPr>
            <w:r>
              <w:rPr>
                <w:rFonts w:hint="eastAsia" w:hAnsi="宋体"/>
              </w:rPr>
              <w:t>资金来源</w:t>
            </w:r>
          </w:p>
        </w:tc>
        <w:tc>
          <w:tcPr>
            <w:tcW w:w="6520" w:type="dxa"/>
            <w:vAlign w:val="center"/>
          </w:tcPr>
          <w:p w14:paraId="5817DB0B">
            <w:pPr>
              <w:pStyle w:val="28"/>
              <w:spacing w:line="360" w:lineRule="exact"/>
              <w:rPr>
                <w:rFonts w:hint="eastAsia" w:hAnsi="宋体"/>
              </w:rPr>
            </w:pPr>
            <w:r>
              <w:rPr>
                <w:rFonts w:hint="eastAsia" w:hAnsi="宋体"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8"/>
              <w:spacing w:line="360" w:lineRule="auto"/>
              <w:jc w:val="center"/>
              <w:rPr>
                <w:rFonts w:hint="eastAsia" w:hAnsi="宋体"/>
              </w:rPr>
            </w:pPr>
            <w:r>
              <w:rPr>
                <w:rFonts w:hint="eastAsia" w:hAnsi="宋体"/>
              </w:rPr>
              <w:t>5</w:t>
            </w:r>
          </w:p>
        </w:tc>
        <w:tc>
          <w:tcPr>
            <w:tcW w:w="1038" w:type="dxa"/>
            <w:vAlign w:val="center"/>
          </w:tcPr>
          <w:p w14:paraId="37A4AD37">
            <w:pPr>
              <w:pStyle w:val="28"/>
              <w:spacing w:line="360" w:lineRule="auto"/>
              <w:jc w:val="center"/>
              <w:rPr>
                <w:rFonts w:hint="eastAsia" w:hAnsi="宋体"/>
              </w:rPr>
            </w:pPr>
            <w:r>
              <w:rPr>
                <w:rFonts w:hint="eastAsia" w:hAnsi="宋体"/>
              </w:rPr>
              <w:t>4.7</w:t>
            </w:r>
          </w:p>
        </w:tc>
        <w:tc>
          <w:tcPr>
            <w:tcW w:w="1843" w:type="dxa"/>
            <w:vAlign w:val="center"/>
          </w:tcPr>
          <w:p w14:paraId="5CB3B1B9">
            <w:pPr>
              <w:pStyle w:val="28"/>
              <w:spacing w:line="360" w:lineRule="auto"/>
              <w:jc w:val="center"/>
              <w:rPr>
                <w:rFonts w:hint="eastAsia" w:hAnsi="宋体"/>
              </w:rPr>
            </w:pPr>
            <w:r>
              <w:rPr>
                <w:rFonts w:hint="eastAsia" w:hAnsi="宋体"/>
              </w:rPr>
              <w:t>投标人资格要求</w:t>
            </w:r>
          </w:p>
        </w:tc>
        <w:tc>
          <w:tcPr>
            <w:tcW w:w="6520" w:type="dxa"/>
            <w:vAlign w:val="center"/>
          </w:tcPr>
          <w:p w14:paraId="3AB9BA9D">
            <w:pPr>
              <w:pStyle w:val="28"/>
              <w:spacing w:line="360" w:lineRule="auto"/>
              <w:rPr>
                <w:rFonts w:hint="eastAsia" w:hAnsi="宋体"/>
                <w:szCs w:val="21"/>
              </w:rPr>
            </w:pPr>
            <w:r>
              <w:rPr>
                <w:rFonts w:hint="eastAsia" w:hAnsi="宋体"/>
                <w:szCs w:val="21"/>
              </w:rPr>
              <w:t>详见《第一章 投标邀请》“申请人的资格要求”</w:t>
            </w:r>
          </w:p>
          <w:p w14:paraId="2D25F91C">
            <w:pPr>
              <w:pStyle w:val="28"/>
              <w:spacing w:line="360" w:lineRule="auto"/>
              <w:rPr>
                <w:rFonts w:hint="eastAsia"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8"/>
              <w:spacing w:line="360" w:lineRule="auto"/>
              <w:jc w:val="center"/>
              <w:rPr>
                <w:rFonts w:hint="eastAsia" w:hAnsi="宋体"/>
              </w:rPr>
            </w:pPr>
            <w:r>
              <w:rPr>
                <w:rFonts w:hint="eastAsia" w:hAnsi="宋体"/>
              </w:rPr>
              <w:t>6</w:t>
            </w:r>
          </w:p>
        </w:tc>
        <w:tc>
          <w:tcPr>
            <w:tcW w:w="1038" w:type="dxa"/>
            <w:vAlign w:val="center"/>
          </w:tcPr>
          <w:p w14:paraId="02413314">
            <w:pPr>
              <w:pStyle w:val="28"/>
              <w:spacing w:line="360" w:lineRule="auto"/>
              <w:jc w:val="center"/>
              <w:rPr>
                <w:rFonts w:hint="eastAsia" w:hAnsi="宋体"/>
              </w:rPr>
            </w:pPr>
            <w:r>
              <w:rPr>
                <w:rFonts w:hint="eastAsia" w:hAnsi="宋体"/>
              </w:rPr>
              <w:t>4.8</w:t>
            </w:r>
          </w:p>
        </w:tc>
        <w:tc>
          <w:tcPr>
            <w:tcW w:w="1843" w:type="dxa"/>
            <w:vAlign w:val="center"/>
          </w:tcPr>
          <w:p w14:paraId="4781E7FE">
            <w:pPr>
              <w:pStyle w:val="28"/>
              <w:spacing w:line="360" w:lineRule="auto"/>
              <w:jc w:val="center"/>
              <w:rPr>
                <w:rFonts w:hint="eastAsia" w:hAnsi="宋体"/>
              </w:rPr>
            </w:pPr>
            <w:r>
              <w:rPr>
                <w:rFonts w:hint="eastAsia" w:hAnsi="宋体"/>
              </w:rPr>
              <w:t>联合体投标</w:t>
            </w:r>
          </w:p>
        </w:tc>
        <w:tc>
          <w:tcPr>
            <w:tcW w:w="6520" w:type="dxa"/>
          </w:tcPr>
          <w:p w14:paraId="1F87C69D">
            <w:pPr>
              <w:pStyle w:val="28"/>
              <w:spacing w:line="360" w:lineRule="auto"/>
              <w:rPr>
                <w:rFonts w:hint="eastAsia"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8"/>
              <w:spacing w:line="360" w:lineRule="auto"/>
              <w:jc w:val="center"/>
              <w:rPr>
                <w:rFonts w:hint="eastAsia" w:hAnsi="宋体"/>
              </w:rPr>
            </w:pPr>
            <w:r>
              <w:rPr>
                <w:rFonts w:hint="eastAsia" w:hAnsi="宋体"/>
              </w:rPr>
              <w:t>7</w:t>
            </w:r>
          </w:p>
        </w:tc>
        <w:tc>
          <w:tcPr>
            <w:tcW w:w="1038" w:type="dxa"/>
            <w:vAlign w:val="center"/>
          </w:tcPr>
          <w:p w14:paraId="01F73E4B">
            <w:pPr>
              <w:pStyle w:val="28"/>
              <w:spacing w:line="360" w:lineRule="auto"/>
              <w:jc w:val="center"/>
              <w:rPr>
                <w:rFonts w:hint="eastAsia" w:hAnsi="宋体"/>
              </w:rPr>
            </w:pPr>
            <w:r>
              <w:rPr>
                <w:rFonts w:hint="eastAsia" w:hAnsi="宋体"/>
              </w:rPr>
              <w:t>6.1</w:t>
            </w:r>
          </w:p>
        </w:tc>
        <w:tc>
          <w:tcPr>
            <w:tcW w:w="1843" w:type="dxa"/>
            <w:vAlign w:val="center"/>
          </w:tcPr>
          <w:p w14:paraId="3F0E5C38">
            <w:pPr>
              <w:pStyle w:val="28"/>
              <w:spacing w:line="360" w:lineRule="auto"/>
              <w:jc w:val="center"/>
              <w:rPr>
                <w:rFonts w:hint="eastAsia" w:hAnsi="宋体"/>
              </w:rPr>
            </w:pPr>
            <w:r>
              <w:rPr>
                <w:rFonts w:hint="eastAsia" w:hAnsi="宋体"/>
              </w:rPr>
              <w:t>踏勘现场</w:t>
            </w:r>
          </w:p>
        </w:tc>
        <w:tc>
          <w:tcPr>
            <w:tcW w:w="6520" w:type="dxa"/>
          </w:tcPr>
          <w:p w14:paraId="79B31CEC">
            <w:pPr>
              <w:pStyle w:val="28"/>
              <w:spacing w:line="360" w:lineRule="auto"/>
              <w:rPr>
                <w:rFonts w:hint="eastAsia"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8"/>
              <w:spacing w:line="360" w:lineRule="auto"/>
              <w:jc w:val="center"/>
              <w:rPr>
                <w:rFonts w:hint="eastAsia" w:hAnsi="宋体"/>
              </w:rPr>
            </w:pPr>
            <w:r>
              <w:rPr>
                <w:rFonts w:hint="eastAsia" w:hAnsi="宋体"/>
              </w:rPr>
              <w:t>8</w:t>
            </w:r>
          </w:p>
        </w:tc>
        <w:tc>
          <w:tcPr>
            <w:tcW w:w="1038" w:type="dxa"/>
            <w:vAlign w:val="center"/>
          </w:tcPr>
          <w:p w14:paraId="18D0FD2A">
            <w:pPr>
              <w:pStyle w:val="28"/>
              <w:spacing w:line="360" w:lineRule="auto"/>
              <w:jc w:val="center"/>
              <w:rPr>
                <w:rFonts w:hint="eastAsia" w:hAnsi="宋体"/>
              </w:rPr>
            </w:pPr>
            <w:r>
              <w:rPr>
                <w:rFonts w:hAnsi="宋体"/>
              </w:rPr>
              <w:t>1</w:t>
            </w:r>
            <w:r>
              <w:rPr>
                <w:rFonts w:hint="eastAsia" w:hAnsi="宋体"/>
              </w:rPr>
              <w:t>4</w:t>
            </w:r>
            <w:r>
              <w:rPr>
                <w:rFonts w:hAnsi="宋体"/>
              </w:rPr>
              <w:t>.1</w:t>
            </w:r>
          </w:p>
        </w:tc>
        <w:tc>
          <w:tcPr>
            <w:tcW w:w="1843" w:type="dxa"/>
            <w:vAlign w:val="center"/>
          </w:tcPr>
          <w:p w14:paraId="12B07507">
            <w:pPr>
              <w:pStyle w:val="28"/>
              <w:spacing w:line="360" w:lineRule="auto"/>
              <w:jc w:val="center"/>
              <w:rPr>
                <w:rFonts w:hint="eastAsia" w:hAnsi="宋体"/>
              </w:rPr>
            </w:pPr>
            <w:r>
              <w:rPr>
                <w:rFonts w:hint="eastAsia" w:hAnsi="宋体"/>
              </w:rPr>
              <w:t>投标有效期</w:t>
            </w:r>
          </w:p>
        </w:tc>
        <w:tc>
          <w:tcPr>
            <w:tcW w:w="6520" w:type="dxa"/>
          </w:tcPr>
          <w:p w14:paraId="76D6D6FA">
            <w:pPr>
              <w:pStyle w:val="28"/>
              <w:spacing w:line="360" w:lineRule="auto"/>
              <w:rPr>
                <w:rFonts w:hint="eastAsia"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8"/>
              <w:spacing w:line="360" w:lineRule="auto"/>
              <w:jc w:val="center"/>
              <w:rPr>
                <w:rFonts w:hint="eastAsia" w:hAnsi="宋体"/>
              </w:rPr>
            </w:pPr>
            <w:r>
              <w:rPr>
                <w:rFonts w:hint="eastAsia" w:hAnsi="宋体"/>
              </w:rPr>
              <w:t>9</w:t>
            </w:r>
          </w:p>
        </w:tc>
        <w:tc>
          <w:tcPr>
            <w:tcW w:w="1038" w:type="dxa"/>
            <w:vAlign w:val="center"/>
          </w:tcPr>
          <w:p w14:paraId="5033C374">
            <w:pPr>
              <w:pStyle w:val="28"/>
              <w:spacing w:line="360" w:lineRule="auto"/>
              <w:jc w:val="center"/>
              <w:rPr>
                <w:rFonts w:hint="eastAsia"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8"/>
              <w:spacing w:line="360" w:lineRule="auto"/>
              <w:jc w:val="center"/>
              <w:rPr>
                <w:rFonts w:hint="eastAsia" w:hAnsi="宋体"/>
              </w:rPr>
            </w:pPr>
            <w:r>
              <w:rPr>
                <w:rFonts w:hint="eastAsia" w:hAnsi="宋体"/>
              </w:rPr>
              <w:t>投标保证金</w:t>
            </w:r>
          </w:p>
        </w:tc>
        <w:tc>
          <w:tcPr>
            <w:tcW w:w="6520" w:type="dxa"/>
            <w:vAlign w:val="center"/>
          </w:tcPr>
          <w:p w14:paraId="14E4C0AF">
            <w:pPr>
              <w:tabs>
                <w:tab w:val="left" w:pos="915"/>
              </w:tabs>
              <w:spacing w:line="360" w:lineRule="exact"/>
              <w:rPr>
                <w:rFonts w:hint="eastAsia"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8"/>
              <w:spacing w:line="360" w:lineRule="auto"/>
              <w:jc w:val="center"/>
              <w:rPr>
                <w:rFonts w:hint="eastAsia" w:hAnsi="宋体"/>
              </w:rPr>
            </w:pPr>
            <w:r>
              <w:rPr>
                <w:rFonts w:hint="eastAsia" w:hAnsi="宋体"/>
              </w:rPr>
              <w:t>10</w:t>
            </w:r>
          </w:p>
        </w:tc>
        <w:tc>
          <w:tcPr>
            <w:tcW w:w="1038" w:type="dxa"/>
            <w:vAlign w:val="center"/>
          </w:tcPr>
          <w:p w14:paraId="7DBEC1C9">
            <w:pPr>
              <w:pStyle w:val="28"/>
              <w:spacing w:line="360" w:lineRule="auto"/>
              <w:jc w:val="center"/>
              <w:rPr>
                <w:rFonts w:hint="eastAsia" w:hAnsi="宋体"/>
              </w:rPr>
            </w:pPr>
            <w:r>
              <w:rPr>
                <w:rFonts w:hint="eastAsia" w:hAnsi="宋体"/>
              </w:rPr>
              <w:t>16.1</w:t>
            </w:r>
          </w:p>
        </w:tc>
        <w:tc>
          <w:tcPr>
            <w:tcW w:w="1843" w:type="dxa"/>
            <w:vAlign w:val="center"/>
          </w:tcPr>
          <w:p w14:paraId="097D75BC">
            <w:pPr>
              <w:pStyle w:val="28"/>
              <w:spacing w:line="360" w:lineRule="auto"/>
              <w:jc w:val="center"/>
              <w:rPr>
                <w:rFonts w:hint="eastAsia" w:hAnsi="宋体"/>
              </w:rPr>
            </w:pPr>
            <w:r>
              <w:rPr>
                <w:rFonts w:hint="eastAsia" w:hAnsi="宋体"/>
              </w:rPr>
              <w:t>投标预备会</w:t>
            </w:r>
          </w:p>
          <w:p w14:paraId="46F7F572">
            <w:pPr>
              <w:pStyle w:val="28"/>
              <w:spacing w:line="360" w:lineRule="auto"/>
              <w:jc w:val="center"/>
              <w:rPr>
                <w:rFonts w:hint="eastAsia" w:hAnsi="宋体"/>
              </w:rPr>
            </w:pPr>
            <w:r>
              <w:rPr>
                <w:rFonts w:hint="eastAsia" w:hAnsi="宋体"/>
              </w:rPr>
              <w:t>（答疑会）</w:t>
            </w:r>
          </w:p>
        </w:tc>
        <w:tc>
          <w:tcPr>
            <w:tcW w:w="6520" w:type="dxa"/>
            <w:vAlign w:val="center"/>
          </w:tcPr>
          <w:p w14:paraId="4F9A2586">
            <w:pPr>
              <w:pStyle w:val="28"/>
              <w:spacing w:line="360" w:lineRule="auto"/>
              <w:rPr>
                <w:rFonts w:hint="eastAsia"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8"/>
              <w:spacing w:line="360" w:lineRule="auto"/>
              <w:jc w:val="center"/>
              <w:rPr>
                <w:rFonts w:hint="eastAsia" w:hAnsi="宋体"/>
              </w:rPr>
            </w:pPr>
            <w:r>
              <w:rPr>
                <w:rFonts w:hint="eastAsia" w:hAnsi="宋体"/>
              </w:rPr>
              <w:t>11</w:t>
            </w:r>
          </w:p>
        </w:tc>
        <w:tc>
          <w:tcPr>
            <w:tcW w:w="1038" w:type="dxa"/>
            <w:vAlign w:val="center"/>
          </w:tcPr>
          <w:p w14:paraId="2D0122F2">
            <w:pPr>
              <w:pStyle w:val="28"/>
              <w:spacing w:line="360" w:lineRule="auto"/>
              <w:jc w:val="center"/>
              <w:rPr>
                <w:rFonts w:hint="eastAsia" w:hAnsi="宋体"/>
              </w:rPr>
            </w:pPr>
            <w:r>
              <w:rPr>
                <w:rFonts w:hAnsi="宋体"/>
              </w:rPr>
              <w:t>1</w:t>
            </w:r>
            <w:r>
              <w:rPr>
                <w:rFonts w:hint="eastAsia" w:hAnsi="宋体"/>
              </w:rPr>
              <w:t>7</w:t>
            </w:r>
            <w:r>
              <w:rPr>
                <w:rFonts w:hAnsi="宋体"/>
              </w:rPr>
              <w:t>.1</w:t>
            </w:r>
          </w:p>
        </w:tc>
        <w:tc>
          <w:tcPr>
            <w:tcW w:w="1843" w:type="dxa"/>
            <w:vAlign w:val="center"/>
          </w:tcPr>
          <w:p w14:paraId="7EF19815">
            <w:pPr>
              <w:pStyle w:val="28"/>
              <w:spacing w:line="360" w:lineRule="auto"/>
              <w:jc w:val="center"/>
              <w:rPr>
                <w:rFonts w:hint="eastAsia" w:hAnsi="宋体"/>
              </w:rPr>
            </w:pPr>
            <w:r>
              <w:rPr>
                <w:rFonts w:hint="eastAsia" w:hAnsi="宋体"/>
              </w:rPr>
              <w:t>投标文件数量</w:t>
            </w:r>
          </w:p>
        </w:tc>
        <w:tc>
          <w:tcPr>
            <w:tcW w:w="6520" w:type="dxa"/>
          </w:tcPr>
          <w:p w14:paraId="69A1C2D8">
            <w:pPr>
              <w:pStyle w:val="28"/>
              <w:spacing w:line="360" w:lineRule="auto"/>
              <w:rPr>
                <w:rFonts w:hint="eastAsia"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8"/>
              <w:spacing w:line="360" w:lineRule="auto"/>
              <w:jc w:val="center"/>
              <w:rPr>
                <w:rFonts w:hint="eastAsia" w:hAnsi="宋体"/>
              </w:rPr>
            </w:pPr>
            <w:r>
              <w:rPr>
                <w:rFonts w:hint="eastAsia" w:hAnsi="宋体"/>
              </w:rPr>
              <w:t>12</w:t>
            </w:r>
          </w:p>
        </w:tc>
        <w:tc>
          <w:tcPr>
            <w:tcW w:w="1038" w:type="dxa"/>
            <w:vAlign w:val="center"/>
          </w:tcPr>
          <w:p w14:paraId="4E188869">
            <w:pPr>
              <w:pStyle w:val="28"/>
              <w:spacing w:line="360" w:lineRule="auto"/>
              <w:jc w:val="center"/>
              <w:rPr>
                <w:rFonts w:hint="eastAsia"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8"/>
              <w:spacing w:line="360" w:lineRule="auto"/>
              <w:jc w:val="center"/>
              <w:rPr>
                <w:rFonts w:hint="eastAsia" w:hAnsi="宋体"/>
              </w:rPr>
            </w:pPr>
            <w:r>
              <w:rPr>
                <w:rFonts w:hint="eastAsia" w:hAnsi="宋体"/>
              </w:rPr>
              <w:t>开标</w:t>
            </w:r>
          </w:p>
        </w:tc>
        <w:tc>
          <w:tcPr>
            <w:tcW w:w="6520" w:type="dxa"/>
          </w:tcPr>
          <w:p w14:paraId="6D3C1C2E">
            <w:pPr>
              <w:pStyle w:val="28"/>
              <w:spacing w:line="360" w:lineRule="auto"/>
              <w:rPr>
                <w:rFonts w:hint="eastAsia"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8"/>
              <w:spacing w:line="360" w:lineRule="auto"/>
              <w:jc w:val="center"/>
              <w:rPr>
                <w:rFonts w:hint="eastAsia" w:hAnsi="宋体"/>
              </w:rPr>
            </w:pPr>
            <w:r>
              <w:rPr>
                <w:rFonts w:hint="eastAsia" w:hAnsi="宋体"/>
              </w:rPr>
              <w:t>13</w:t>
            </w:r>
          </w:p>
        </w:tc>
        <w:tc>
          <w:tcPr>
            <w:tcW w:w="1038" w:type="dxa"/>
            <w:vAlign w:val="center"/>
          </w:tcPr>
          <w:p w14:paraId="74C80F39">
            <w:pPr>
              <w:pStyle w:val="28"/>
              <w:spacing w:line="360" w:lineRule="auto"/>
              <w:jc w:val="center"/>
              <w:rPr>
                <w:rFonts w:hint="eastAsia"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8"/>
              <w:spacing w:line="360" w:lineRule="auto"/>
              <w:jc w:val="center"/>
              <w:rPr>
                <w:rFonts w:hint="eastAsia" w:hAnsi="宋体"/>
              </w:rPr>
            </w:pPr>
            <w:r>
              <w:rPr>
                <w:rFonts w:hint="eastAsia" w:hAnsi="宋体"/>
              </w:rPr>
              <w:t>投标截止时间</w:t>
            </w:r>
          </w:p>
        </w:tc>
        <w:tc>
          <w:tcPr>
            <w:tcW w:w="6520" w:type="dxa"/>
          </w:tcPr>
          <w:p w14:paraId="11514B42">
            <w:pPr>
              <w:pStyle w:val="28"/>
              <w:spacing w:line="360" w:lineRule="auto"/>
              <w:rPr>
                <w:rFonts w:hint="eastAsia"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8"/>
              <w:spacing w:line="360" w:lineRule="auto"/>
              <w:jc w:val="center"/>
              <w:rPr>
                <w:rFonts w:hint="eastAsia" w:hAnsi="宋体"/>
              </w:rPr>
            </w:pPr>
            <w:r>
              <w:rPr>
                <w:rFonts w:hint="eastAsia" w:hAnsi="宋体"/>
              </w:rPr>
              <w:t>14</w:t>
            </w:r>
          </w:p>
        </w:tc>
        <w:tc>
          <w:tcPr>
            <w:tcW w:w="1038" w:type="dxa"/>
            <w:vAlign w:val="center"/>
          </w:tcPr>
          <w:p w14:paraId="61DC3D01">
            <w:pPr>
              <w:pStyle w:val="28"/>
              <w:spacing w:line="360" w:lineRule="auto"/>
              <w:jc w:val="center"/>
              <w:rPr>
                <w:rFonts w:hint="eastAsia"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8"/>
              <w:spacing w:line="360" w:lineRule="auto"/>
              <w:jc w:val="center"/>
              <w:rPr>
                <w:rFonts w:hint="eastAsia" w:hAnsi="宋体"/>
              </w:rPr>
            </w:pPr>
            <w:r>
              <w:rPr>
                <w:rFonts w:hint="eastAsia" w:hAnsi="宋体"/>
              </w:rPr>
              <w:t>评标办法</w:t>
            </w:r>
          </w:p>
        </w:tc>
        <w:tc>
          <w:tcPr>
            <w:tcW w:w="6520" w:type="dxa"/>
          </w:tcPr>
          <w:p w14:paraId="3F44DD43">
            <w:pPr>
              <w:pStyle w:val="28"/>
              <w:spacing w:line="360" w:lineRule="auto"/>
              <w:rPr>
                <w:rFonts w:hint="eastAsia"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8"/>
              <w:spacing w:line="360" w:lineRule="auto"/>
              <w:jc w:val="center"/>
              <w:rPr>
                <w:rFonts w:hint="eastAsia" w:hAnsi="宋体"/>
              </w:rPr>
            </w:pPr>
            <w:r>
              <w:rPr>
                <w:rFonts w:hint="eastAsia" w:hAnsi="宋体"/>
              </w:rPr>
              <w:t>15</w:t>
            </w:r>
          </w:p>
        </w:tc>
        <w:tc>
          <w:tcPr>
            <w:tcW w:w="1038" w:type="dxa"/>
            <w:vAlign w:val="center"/>
          </w:tcPr>
          <w:p w14:paraId="557E05EA">
            <w:pPr>
              <w:pStyle w:val="28"/>
              <w:spacing w:line="360" w:lineRule="auto"/>
              <w:jc w:val="center"/>
              <w:rPr>
                <w:rFonts w:hint="eastAsia" w:hAnsi="宋体"/>
              </w:rPr>
            </w:pPr>
            <w:r>
              <w:rPr>
                <w:rFonts w:hint="eastAsia" w:hAnsi="宋体"/>
              </w:rPr>
              <w:t>33</w:t>
            </w:r>
            <w:r>
              <w:rPr>
                <w:rFonts w:hAnsi="宋体"/>
              </w:rPr>
              <w:t>.1</w:t>
            </w:r>
          </w:p>
        </w:tc>
        <w:tc>
          <w:tcPr>
            <w:tcW w:w="1843" w:type="dxa"/>
            <w:vAlign w:val="center"/>
          </w:tcPr>
          <w:p w14:paraId="4AA9E670">
            <w:pPr>
              <w:pStyle w:val="28"/>
              <w:spacing w:line="360" w:lineRule="auto"/>
              <w:jc w:val="center"/>
              <w:rPr>
                <w:snapToGrid w:val="0"/>
                <w:kern w:val="0"/>
              </w:rPr>
            </w:pPr>
            <w:r>
              <w:rPr>
                <w:rFonts w:hint="eastAsia"/>
                <w:snapToGrid w:val="0"/>
                <w:kern w:val="0"/>
              </w:rPr>
              <w:t>履约保证金</w:t>
            </w:r>
          </w:p>
        </w:tc>
        <w:tc>
          <w:tcPr>
            <w:tcW w:w="6520" w:type="dxa"/>
          </w:tcPr>
          <w:p w14:paraId="21CAE2A1">
            <w:pPr>
              <w:pStyle w:val="28"/>
              <w:spacing w:line="360" w:lineRule="auto"/>
              <w:rPr>
                <w:rFonts w:hint="eastAsia"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8"/>
              <w:spacing w:line="360" w:lineRule="auto"/>
              <w:jc w:val="center"/>
              <w:rPr>
                <w:rFonts w:hint="eastAsia" w:hAnsi="宋体"/>
              </w:rPr>
            </w:pPr>
            <w:r>
              <w:rPr>
                <w:rFonts w:hint="eastAsia" w:hAnsi="宋体"/>
              </w:rPr>
              <w:t>16</w:t>
            </w:r>
          </w:p>
        </w:tc>
        <w:tc>
          <w:tcPr>
            <w:tcW w:w="1038" w:type="dxa"/>
            <w:vAlign w:val="center"/>
          </w:tcPr>
          <w:p w14:paraId="065D8B83">
            <w:pPr>
              <w:pStyle w:val="28"/>
              <w:spacing w:line="360" w:lineRule="auto"/>
              <w:jc w:val="center"/>
              <w:rPr>
                <w:rFonts w:hint="eastAsia"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8"/>
              <w:spacing w:line="360" w:lineRule="auto"/>
              <w:jc w:val="center"/>
              <w:rPr>
                <w:rFonts w:hint="eastAsia" w:hAnsi="宋体"/>
              </w:rPr>
            </w:pPr>
            <w:r>
              <w:rPr>
                <w:rFonts w:hint="eastAsia" w:hAnsi="宋体"/>
              </w:rPr>
              <w:t>中标服务费</w:t>
            </w:r>
          </w:p>
        </w:tc>
        <w:tc>
          <w:tcPr>
            <w:tcW w:w="6520" w:type="dxa"/>
          </w:tcPr>
          <w:p w14:paraId="57E9BAEC">
            <w:pPr>
              <w:pStyle w:val="28"/>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8"/>
              <w:spacing w:line="360" w:lineRule="auto"/>
              <w:rPr>
                <w:rFonts w:hint="eastAsia"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3C81C024">
            <w:pPr>
              <w:pStyle w:val="28"/>
              <w:spacing w:line="360" w:lineRule="auto"/>
              <w:rPr>
                <w:rFonts w:hint="eastAsia"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A13B36B">
      <w:pPr>
        <w:pStyle w:val="2"/>
      </w:pPr>
      <w:bookmarkStart w:id="33" w:name="_Toc135293330"/>
      <w:r>
        <w:rPr>
          <w:rFonts w:hint="eastAsia"/>
        </w:rPr>
        <w:t>第六章  投标人须知</w:t>
      </w:r>
      <w:bookmarkEnd w:id="33"/>
    </w:p>
    <w:p w14:paraId="1AD97274">
      <w:pPr>
        <w:pStyle w:val="4"/>
        <w:spacing w:before="0" w:after="0"/>
      </w:pPr>
      <w:bookmarkStart w:id="34" w:name="_Toc135293331"/>
      <w:r>
        <w:rPr>
          <w:rFonts w:hint="eastAsia"/>
        </w:rPr>
        <w:t>一、说</w:t>
      </w:r>
      <w:r>
        <w:t xml:space="preserve">  </w:t>
      </w:r>
      <w:r>
        <w:rPr>
          <w:rFonts w:hint="eastAsia"/>
        </w:rPr>
        <w:t>明</w:t>
      </w:r>
      <w:bookmarkEnd w:id="34"/>
    </w:p>
    <w:p w14:paraId="45B3B68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784FDAD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hint="eastAsia"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hint="eastAsia"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hint="eastAsia"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hint="eastAsia" w:asciiTheme="minorEastAsia" w:hAnsiTheme="minorEastAsia" w:eastAsiaTheme="minorEastAsia"/>
          <w:b/>
          <w:snapToGrid w:val="0"/>
          <w:kern w:val="0"/>
        </w:rPr>
      </w:pPr>
      <w:bookmarkStart w:id="35" w:name="q5"/>
      <w:bookmarkEnd w:id="35"/>
    </w:p>
    <w:p w14:paraId="71A536FB">
      <w:pPr>
        <w:pStyle w:val="4"/>
        <w:spacing w:before="0" w:after="0"/>
      </w:pPr>
      <w:bookmarkStart w:id="36" w:name="_Toc135293332"/>
      <w:r>
        <w:rPr>
          <w:rFonts w:hint="eastAsia"/>
        </w:rPr>
        <w:t>二、招标文件说明</w:t>
      </w:r>
      <w:bookmarkEnd w:id="36"/>
    </w:p>
    <w:p w14:paraId="30A13FA2">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hint="eastAsia" w:asciiTheme="minorEastAsia" w:hAnsiTheme="minorEastAsia" w:eastAsiaTheme="minorEastAsia"/>
          <w:b/>
          <w:snapToGrid w:val="0"/>
          <w:kern w:val="0"/>
        </w:rPr>
      </w:pPr>
    </w:p>
    <w:p w14:paraId="5FBB645F">
      <w:pPr>
        <w:pStyle w:val="4"/>
        <w:spacing w:before="0" w:after="0"/>
      </w:pPr>
      <w:bookmarkStart w:id="37" w:name="q6"/>
      <w:bookmarkEnd w:id="37"/>
      <w:bookmarkStart w:id="38" w:name="_Toc135293333"/>
      <w:r>
        <w:rPr>
          <w:rFonts w:hint="eastAsia"/>
        </w:rPr>
        <w:t>三、投标文件的编写</w:t>
      </w:r>
      <w:bookmarkEnd w:id="38"/>
    </w:p>
    <w:p w14:paraId="43FA6D5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hint="eastAsia"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hint="eastAsia" w:asciiTheme="minorEastAsia" w:hAnsiTheme="minorEastAsia" w:eastAsiaTheme="minorEastAsia"/>
          <w:snapToGrid w:val="0"/>
          <w:kern w:val="0"/>
        </w:rPr>
      </w:pPr>
    </w:p>
    <w:p w14:paraId="236A2652">
      <w:pPr>
        <w:pStyle w:val="4"/>
        <w:spacing w:before="0" w:after="0"/>
      </w:pPr>
      <w:bookmarkStart w:id="39" w:name="q7"/>
      <w:bookmarkEnd w:id="39"/>
      <w:bookmarkStart w:id="40" w:name="_Toc135293334"/>
      <w:r>
        <w:rPr>
          <w:rFonts w:hint="eastAsia"/>
        </w:rPr>
        <w:t>四、投标文件的递交</w:t>
      </w:r>
      <w:bookmarkEnd w:id="40"/>
    </w:p>
    <w:p w14:paraId="0B807C5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41" w:name="_Hlt35050056"/>
      <w:bookmarkEnd w:id="41"/>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hint="eastAsia" w:asciiTheme="minorEastAsia" w:hAnsiTheme="minorEastAsia" w:eastAsiaTheme="minorEastAsia"/>
          <w:snapToGrid w:val="0"/>
          <w:kern w:val="0"/>
        </w:rPr>
      </w:pPr>
    </w:p>
    <w:p w14:paraId="13795308">
      <w:pPr>
        <w:pStyle w:val="4"/>
        <w:spacing w:before="0" w:after="0"/>
      </w:pPr>
      <w:bookmarkStart w:id="42" w:name="q8"/>
      <w:bookmarkEnd w:id="42"/>
      <w:bookmarkStart w:id="43" w:name="_Toc135293335"/>
      <w:r>
        <w:rPr>
          <w:rFonts w:hint="eastAsia"/>
        </w:rPr>
        <w:t>五、开标和评标</w:t>
      </w:r>
      <w:bookmarkEnd w:id="43"/>
    </w:p>
    <w:p w14:paraId="125BA0DD">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hint="eastAsia" w:asciiTheme="minorEastAsia" w:hAnsiTheme="minorEastAsia" w:eastAsiaTheme="minorEastAsia"/>
          <w:b/>
          <w:snapToGrid w:val="0"/>
          <w:kern w:val="0"/>
        </w:rPr>
      </w:pPr>
      <w:bookmarkStart w:id="44" w:name="q9"/>
      <w:bookmarkEnd w:id="44"/>
    </w:p>
    <w:p w14:paraId="76E40154">
      <w:pPr>
        <w:pStyle w:val="4"/>
        <w:spacing w:before="0" w:after="0"/>
      </w:pPr>
      <w:bookmarkStart w:id="45" w:name="_Toc135293336"/>
      <w:r>
        <w:rPr>
          <w:rFonts w:hint="eastAsia"/>
        </w:rPr>
        <w:t>六、授予合同</w:t>
      </w:r>
      <w:bookmarkEnd w:id="45"/>
    </w:p>
    <w:p w14:paraId="4E209614">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hint="eastAsia"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hint="eastAsia" w:ascii="宋体" w:hAnsi="宋体"/>
                <w:b/>
                <w:szCs w:val="21"/>
              </w:rPr>
            </w:pPr>
            <w:r>
              <w:rPr>
                <w:rFonts w:hint="eastAsia" w:ascii="宋体" w:hAnsi="宋体"/>
                <w:b/>
                <w:szCs w:val="21"/>
              </w:rPr>
              <w:t>费率　　　　　</w:t>
            </w:r>
          </w:p>
          <w:p w14:paraId="1A7241D6">
            <w:pPr>
              <w:ind w:firstLine="1054"/>
              <w:rPr>
                <w:rFonts w:hint="eastAsia" w:ascii="宋体" w:hAnsi="宋体"/>
                <w:b/>
                <w:szCs w:val="21"/>
              </w:rPr>
            </w:pPr>
            <w:r>
              <w:rPr>
                <w:rFonts w:hint="eastAsia" w:ascii="宋体" w:hAnsi="宋体"/>
                <w:b/>
                <w:szCs w:val="21"/>
              </w:rPr>
              <w:t>　　　</w:t>
            </w:r>
          </w:p>
          <w:p w14:paraId="2EF34B87">
            <w:pPr>
              <w:rPr>
                <w:rFonts w:hint="eastAsia" w:ascii="宋体" w:hAnsi="宋体"/>
                <w:b/>
                <w:szCs w:val="21"/>
              </w:rPr>
            </w:pPr>
            <w:r>
              <w:rPr>
                <w:rFonts w:hint="eastAsia" w:ascii="宋体" w:hAnsi="宋体"/>
                <w:b/>
                <w:szCs w:val="21"/>
              </w:rPr>
              <w:t>中标金额</w:t>
            </w:r>
          </w:p>
        </w:tc>
        <w:tc>
          <w:tcPr>
            <w:tcW w:w="2056" w:type="dxa"/>
            <w:vAlign w:val="center"/>
          </w:tcPr>
          <w:p w14:paraId="2CA6D235">
            <w:pPr>
              <w:jc w:val="center"/>
              <w:rPr>
                <w:rFonts w:hint="eastAsia" w:ascii="宋体" w:hAnsi="宋体"/>
                <w:b/>
                <w:szCs w:val="21"/>
              </w:rPr>
            </w:pPr>
            <w:r>
              <w:rPr>
                <w:rFonts w:hint="eastAsia" w:ascii="宋体" w:hAnsi="宋体"/>
                <w:b/>
                <w:szCs w:val="21"/>
              </w:rPr>
              <w:t>货物采购</w:t>
            </w:r>
          </w:p>
        </w:tc>
        <w:tc>
          <w:tcPr>
            <w:tcW w:w="2056" w:type="dxa"/>
            <w:vAlign w:val="center"/>
          </w:tcPr>
          <w:p w14:paraId="47C96420">
            <w:pPr>
              <w:jc w:val="center"/>
              <w:rPr>
                <w:rFonts w:hint="eastAsia" w:ascii="宋体" w:hAnsi="宋体"/>
                <w:b/>
                <w:szCs w:val="21"/>
              </w:rPr>
            </w:pPr>
            <w:r>
              <w:rPr>
                <w:rFonts w:hint="eastAsia" w:ascii="宋体" w:hAnsi="宋体"/>
                <w:b/>
                <w:szCs w:val="21"/>
              </w:rPr>
              <w:t>服务采购</w:t>
            </w:r>
          </w:p>
        </w:tc>
        <w:tc>
          <w:tcPr>
            <w:tcW w:w="2057" w:type="dxa"/>
            <w:vAlign w:val="center"/>
          </w:tcPr>
          <w:p w14:paraId="6B18D154">
            <w:pPr>
              <w:jc w:val="center"/>
              <w:rPr>
                <w:rFonts w:hint="eastAsia"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hint="eastAsia"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hint="eastAsia"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hint="eastAsia"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hint="eastAsia"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hint="eastAsia"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hint="eastAsia"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hint="eastAsia"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hint="eastAsia"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hint="eastAsia"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hint="eastAsia"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hint="eastAsia"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hint="eastAsia"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hint="eastAsia"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hint="eastAsia"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hint="eastAsia"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hint="eastAsia"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hint="eastAsia"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hint="eastAsia"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hint="eastAsia"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hint="eastAsia"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hint="eastAsia"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hint="eastAsia"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hint="eastAsia"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hint="eastAsia"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hint="eastAsia"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hint="eastAsia"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hint="eastAsia"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hint="eastAsia"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hint="eastAsia"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hint="eastAsia"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hint="eastAsia"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hint="eastAsia"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hint="eastAsia"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hint="eastAsia"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hint="eastAsia"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hint="eastAsia"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hint="eastAsia"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hint="eastAsia"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hint="eastAsia"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hint="eastAsia"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46" w:name="_Toc135293337"/>
      <w:r>
        <w:rPr>
          <w:rFonts w:hint="eastAsia"/>
        </w:rPr>
        <w:t>七、质疑处理</w:t>
      </w:r>
      <w:bookmarkEnd w:id="46"/>
    </w:p>
    <w:p w14:paraId="0C3E0C68">
      <w:pPr>
        <w:spacing w:line="360" w:lineRule="auto"/>
        <w:rPr>
          <w:rFonts w:hint="eastAsia" w:asciiTheme="majorEastAsia" w:hAnsiTheme="majorEastAsia" w:eastAsiaTheme="majorEastAsia"/>
          <w:b/>
          <w:bCs/>
          <w:szCs w:val="21"/>
        </w:rPr>
      </w:pPr>
      <w:bookmarkStart w:id="47" w:name="_Hlk72439706"/>
      <w:r>
        <w:rPr>
          <w:rFonts w:hint="eastAsia" w:asciiTheme="majorEastAsia" w:hAnsiTheme="majorEastAsia" w:eastAsiaTheme="majorEastAsia"/>
          <w:b/>
          <w:bCs/>
          <w:szCs w:val="21"/>
        </w:rPr>
        <w:t>35.质疑提出与答复</w:t>
      </w:r>
    </w:p>
    <w:p w14:paraId="7D094078">
      <w:pPr>
        <w:spacing w:line="360" w:lineRule="auto"/>
        <w:rPr>
          <w:rFonts w:hint="eastAsia"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16218843">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8" w:name="_Hlk75374941"/>
      <w:r>
        <w:rPr>
          <w:rFonts w:hint="eastAsia" w:asciiTheme="majorEastAsia" w:hAnsiTheme="majorEastAsia" w:eastAsiaTheme="majorEastAsia"/>
          <w:szCs w:val="21"/>
        </w:rPr>
        <w:t>以联合体形式参与的，质疑应当由组成联合体的所有成员共同提出</w:t>
      </w:r>
      <w:bookmarkEnd w:id="48"/>
      <w:r>
        <w:rPr>
          <w:rFonts w:hint="eastAsia" w:asciiTheme="majorEastAsia" w:hAnsiTheme="majorEastAsia" w:eastAsiaTheme="majorEastAsia"/>
          <w:szCs w:val="21"/>
        </w:rPr>
        <w:t>；</w:t>
      </w:r>
    </w:p>
    <w:p w14:paraId="0A24B72E">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hint="eastAsia"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hint="eastAsia" w:asciiTheme="majorEastAsia" w:hAnsiTheme="majorEastAsia" w:eastAsiaTheme="majorEastAsia"/>
          <w:szCs w:val="21"/>
        </w:rPr>
      </w:pPr>
      <w:r>
        <w:rPr>
          <w:rFonts w:hint="eastAsia" w:asciiTheme="majorEastAsia" w:hAnsiTheme="majorEastAsia" w:eastAsiaTheme="majorEastAsia"/>
          <w:szCs w:val="21"/>
        </w:rPr>
        <w:t>自收文之日起10日内。</w:t>
      </w:r>
    </w:p>
    <w:p w14:paraId="6E22270A">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hint="eastAsia"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47"/>
    </w:p>
    <w:p w14:paraId="0CD402E3"/>
    <w:p w14:paraId="4D52942B"/>
    <w:p w14:paraId="61FF709D">
      <w:pPr>
        <w:pStyle w:val="323"/>
        <w:ind w:firstLine="480"/>
        <w:rPr>
          <w:rFonts w:hint="eastAsia"/>
        </w:rPr>
      </w:pPr>
      <w:bookmarkStart w:id="49" w:name="_Toc135293338"/>
    </w:p>
    <w:p w14:paraId="17F27D34">
      <w:pPr>
        <w:pStyle w:val="2"/>
      </w:pPr>
      <w:r>
        <w:rPr>
          <w:rFonts w:hint="eastAsia"/>
        </w:rPr>
        <w:t>第七章  投标文件格式</w:t>
      </w:r>
      <w:bookmarkEnd w:id="49"/>
    </w:p>
    <w:p w14:paraId="3482363A">
      <w:pPr>
        <w:jc w:val="center"/>
        <w:rPr>
          <w:b/>
          <w:sz w:val="52"/>
          <w:szCs w:val="52"/>
        </w:rPr>
      </w:pPr>
    </w:p>
    <w:p w14:paraId="56A966C3">
      <w:pPr>
        <w:pStyle w:val="4"/>
        <w:spacing w:line="400" w:lineRule="exact"/>
        <w:rPr>
          <w:rFonts w:hint="eastAsia" w:ascii="仿宋" w:hAnsi="仿宋" w:eastAsia="仿宋"/>
        </w:rPr>
      </w:pPr>
      <w:bookmarkStart w:id="50" w:name="_Toc44690704"/>
      <w:bookmarkStart w:id="51" w:name="_Toc44691395"/>
      <w:bookmarkStart w:id="52" w:name="_Toc135293339"/>
      <w:bookmarkStart w:id="53" w:name="_Toc11772"/>
      <w:bookmarkStart w:id="54" w:name="_Toc44691163"/>
      <w:bookmarkStart w:id="55" w:name="_Toc14934"/>
      <w:bookmarkStart w:id="56" w:name="_Toc44690431"/>
      <w:bookmarkStart w:id="57" w:name="_Toc25194"/>
      <w:bookmarkStart w:id="58" w:name="_Toc31468"/>
      <w:r>
        <w:rPr>
          <w:rFonts w:hint="eastAsia" w:ascii="仿宋" w:hAnsi="仿宋" w:eastAsia="仿宋"/>
        </w:rPr>
        <w:t>投标文件编制说明</w:t>
      </w:r>
      <w:bookmarkEnd w:id="50"/>
      <w:bookmarkEnd w:id="51"/>
      <w:bookmarkEnd w:id="52"/>
      <w:bookmarkEnd w:id="53"/>
      <w:bookmarkEnd w:id="54"/>
      <w:bookmarkEnd w:id="55"/>
      <w:bookmarkEnd w:id="56"/>
      <w:bookmarkEnd w:id="57"/>
      <w:bookmarkEnd w:id="58"/>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hint="eastAsia" w:asciiTheme="minorEastAsia" w:hAnsiTheme="minorEastAsia" w:eastAsiaTheme="minorEastAsia"/>
        </w:rPr>
      </w:pPr>
    </w:p>
    <w:p w14:paraId="5F8C1F8E">
      <w:pPr>
        <w:spacing w:line="360" w:lineRule="auto"/>
        <w:ind w:firstLine="420" w:firstLineChars="200"/>
        <w:rPr>
          <w:rFonts w:hint="eastAsia" w:asciiTheme="minorEastAsia" w:hAnsiTheme="minorEastAsia" w:eastAsiaTheme="minorEastAsia"/>
        </w:rPr>
      </w:pPr>
    </w:p>
    <w:p w14:paraId="4824A01B">
      <w:pPr>
        <w:jc w:val="center"/>
        <w:rPr>
          <w:b/>
          <w:sz w:val="52"/>
          <w:szCs w:val="52"/>
        </w:rPr>
      </w:pPr>
    </w:p>
    <w:p w14:paraId="25DF1456"/>
    <w:p w14:paraId="5078A67C"/>
    <w:p w14:paraId="51BD5947"/>
    <w:p w14:paraId="18E4CA76"/>
    <w:p w14:paraId="53558A51">
      <w:pP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hint="eastAsia"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hint="eastAsia" w:ascii="仿宋" w:hAnsi="仿宋" w:eastAsia="仿宋"/>
        </w:rPr>
      </w:pPr>
      <w:bookmarkStart w:id="59" w:name="_投标文件格式（第一册）"/>
      <w:bookmarkEnd w:id="59"/>
      <w:bookmarkStart w:id="60" w:name="q0"/>
    </w:p>
    <w:p w14:paraId="453EBD81">
      <w:pPr>
        <w:spacing w:line="400" w:lineRule="exact"/>
        <w:rPr>
          <w:rFonts w:hint="eastAsia" w:ascii="仿宋" w:hAnsi="仿宋" w:eastAsia="仿宋"/>
        </w:rPr>
      </w:pPr>
    </w:p>
    <w:p w14:paraId="7C1E14FD">
      <w:pPr>
        <w:spacing w:line="400" w:lineRule="exact"/>
        <w:rPr>
          <w:rFonts w:hint="eastAsia" w:ascii="仿宋" w:hAnsi="仿宋" w:eastAsia="仿宋"/>
        </w:rPr>
      </w:pPr>
    </w:p>
    <w:p w14:paraId="0A4CF92C">
      <w:pPr>
        <w:pStyle w:val="4"/>
        <w:spacing w:line="400" w:lineRule="exact"/>
        <w:rPr>
          <w:rFonts w:hint="eastAsia" w:ascii="仿宋" w:hAnsi="仿宋" w:eastAsia="仿宋"/>
        </w:rPr>
      </w:pPr>
      <w:bookmarkStart w:id="61" w:name="_Toc135293340"/>
      <w:r>
        <w:rPr>
          <w:rFonts w:hint="eastAsia" w:ascii="仿宋" w:hAnsi="仿宋" w:eastAsia="仿宋"/>
        </w:rPr>
        <w:t>投标文件格式</w:t>
      </w:r>
      <w:bookmarkEnd w:id="61"/>
    </w:p>
    <w:bookmarkEnd w:id="60"/>
    <w:p w14:paraId="22EAC92A">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目录（自拟）</w:t>
      </w:r>
    </w:p>
    <w:p w14:paraId="3ED16C7C">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投标函（格式3）</w:t>
      </w:r>
    </w:p>
    <w:p w14:paraId="7C6EADC6">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hint="eastAsia"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报价表（格式6）</w:t>
      </w:r>
    </w:p>
    <w:p w14:paraId="5BA9BE47">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技术规格（格式7）</w:t>
      </w:r>
    </w:p>
    <w:p w14:paraId="1719B7AC">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交付进度（格式8）</w:t>
      </w:r>
    </w:p>
    <w:p w14:paraId="50FE9FF8">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5"/>
        </w:numPr>
        <w:adjustRightInd w:val="0"/>
        <w:spacing w:line="360" w:lineRule="auto"/>
        <w:rPr>
          <w:rFonts w:hint="eastAsia"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5"/>
        </w:numPr>
        <w:adjustRightInd w:val="0"/>
        <w:spacing w:line="360" w:lineRule="auto"/>
        <w:rPr>
          <w:rFonts w:hint="eastAsia"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hint="eastAsia" w:ascii="宋体" w:hAnsi="宋体"/>
          <w:snapToGrid w:val="0"/>
          <w:kern w:val="0"/>
          <w:szCs w:val="21"/>
        </w:rPr>
      </w:pPr>
    </w:p>
    <w:p w14:paraId="47B36E85">
      <w:pPr>
        <w:adjustRightInd w:val="0"/>
        <w:spacing w:line="300" w:lineRule="auto"/>
        <w:ind w:left="-2"/>
        <w:rPr>
          <w:rFonts w:hint="eastAsia" w:ascii="宋体" w:hAnsi="宋体"/>
          <w:snapToGrid w:val="0"/>
          <w:kern w:val="0"/>
          <w:szCs w:val="21"/>
        </w:rPr>
      </w:pPr>
    </w:p>
    <w:p w14:paraId="27F27AA4">
      <w:pPr>
        <w:adjustRightInd w:val="0"/>
        <w:spacing w:line="300" w:lineRule="auto"/>
        <w:ind w:left="-2"/>
        <w:rPr>
          <w:rFonts w:hint="eastAsia"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62" w:name="_格式1__投标人资格证明文件"/>
      <w:bookmarkEnd w:id="62"/>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hint="eastAsia" w:ascii="仿宋" w:hAnsi="仿宋" w:eastAsia="仿宋"/>
        </w:rPr>
      </w:pPr>
      <w:bookmarkStart w:id="63" w:name="_Toc135293341"/>
      <w:bookmarkStart w:id="64" w:name="_Toc73610158"/>
      <w:r>
        <w:rPr>
          <w:rFonts w:hint="eastAsia" w:ascii="仿宋" w:hAnsi="仿宋" w:eastAsia="仿宋"/>
        </w:rPr>
        <w:t>政府采购违法行为风险知悉确认书</w:t>
      </w:r>
      <w:bookmarkEnd w:id="63"/>
    </w:p>
    <w:p w14:paraId="37A8C353">
      <w:pPr>
        <w:spacing w:after="156" w:afterLines="50" w:line="360" w:lineRule="exact"/>
        <w:ind w:firstLine="422" w:firstLineChars="200"/>
        <w:rPr>
          <w:rFonts w:hint="eastAsia"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7CEC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3377502">
            <w:pPr>
              <w:spacing w:line="400" w:lineRule="exact"/>
              <w:jc w:val="center"/>
              <w:rPr>
                <w:rFonts w:hint="eastAsia" w:ascii="宋体" w:hAnsi="宋体" w:cs="宋体"/>
                <w:szCs w:val="21"/>
              </w:rPr>
            </w:pPr>
            <w:r>
              <w:rPr>
                <w:rFonts w:hint="eastAsia" w:ascii="宋体" w:hAnsi="宋体" w:cs="宋体"/>
                <w:szCs w:val="21"/>
              </w:rPr>
              <w:t>序号</w:t>
            </w:r>
          </w:p>
        </w:tc>
        <w:tc>
          <w:tcPr>
            <w:tcW w:w="8910" w:type="dxa"/>
          </w:tcPr>
          <w:p w14:paraId="2A8B2543">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14:paraId="06C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3AC4AC9">
            <w:pPr>
              <w:spacing w:line="400" w:lineRule="exact"/>
              <w:jc w:val="center"/>
              <w:rPr>
                <w:rFonts w:hint="eastAsia" w:ascii="宋体" w:hAnsi="宋体" w:cs="宋体"/>
                <w:szCs w:val="21"/>
              </w:rPr>
            </w:pPr>
            <w:r>
              <w:rPr>
                <w:rFonts w:hint="eastAsia" w:ascii="宋体" w:hAnsi="宋体" w:cs="宋体"/>
                <w:szCs w:val="21"/>
              </w:rPr>
              <w:t>1</w:t>
            </w:r>
          </w:p>
        </w:tc>
        <w:tc>
          <w:tcPr>
            <w:tcW w:w="8910" w:type="dxa"/>
            <w:vAlign w:val="center"/>
          </w:tcPr>
          <w:p w14:paraId="147C080B">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5C38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6566BE25">
            <w:pPr>
              <w:spacing w:line="400" w:lineRule="exact"/>
              <w:jc w:val="center"/>
              <w:rPr>
                <w:rFonts w:hint="eastAsia" w:ascii="宋体" w:hAnsi="宋体" w:cs="宋体"/>
                <w:szCs w:val="21"/>
              </w:rPr>
            </w:pPr>
            <w:r>
              <w:rPr>
                <w:rFonts w:hint="eastAsia" w:ascii="宋体" w:hAnsi="宋体" w:cs="宋体"/>
                <w:szCs w:val="21"/>
              </w:rPr>
              <w:t>2</w:t>
            </w:r>
          </w:p>
        </w:tc>
        <w:tc>
          <w:tcPr>
            <w:tcW w:w="8910" w:type="dxa"/>
            <w:vAlign w:val="center"/>
          </w:tcPr>
          <w:p w14:paraId="7467A077">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265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64E9D195">
            <w:pPr>
              <w:spacing w:line="400" w:lineRule="exact"/>
              <w:jc w:val="center"/>
              <w:rPr>
                <w:rFonts w:hint="eastAsia" w:ascii="宋体" w:hAnsi="宋体" w:cs="宋体"/>
                <w:szCs w:val="21"/>
              </w:rPr>
            </w:pPr>
            <w:r>
              <w:rPr>
                <w:rFonts w:hint="eastAsia" w:ascii="宋体" w:hAnsi="宋体" w:cs="宋体"/>
                <w:szCs w:val="21"/>
              </w:rPr>
              <w:t>3</w:t>
            </w:r>
          </w:p>
        </w:tc>
        <w:tc>
          <w:tcPr>
            <w:tcW w:w="8910" w:type="dxa"/>
            <w:vAlign w:val="center"/>
          </w:tcPr>
          <w:p w14:paraId="786C60BF">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17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648BD2F">
            <w:pPr>
              <w:spacing w:line="400" w:lineRule="exact"/>
              <w:jc w:val="center"/>
              <w:rPr>
                <w:rFonts w:hint="eastAsia" w:ascii="宋体" w:hAnsi="宋体" w:cs="宋体"/>
                <w:szCs w:val="21"/>
              </w:rPr>
            </w:pPr>
            <w:r>
              <w:rPr>
                <w:rFonts w:hint="eastAsia" w:ascii="宋体" w:hAnsi="宋体" w:cs="宋体"/>
                <w:szCs w:val="21"/>
              </w:rPr>
              <w:t>4</w:t>
            </w:r>
          </w:p>
        </w:tc>
        <w:tc>
          <w:tcPr>
            <w:tcW w:w="8910" w:type="dxa"/>
            <w:vAlign w:val="center"/>
          </w:tcPr>
          <w:p w14:paraId="77DFD166">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604B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52E61A4">
            <w:pPr>
              <w:spacing w:line="400" w:lineRule="exact"/>
              <w:jc w:val="center"/>
              <w:rPr>
                <w:rFonts w:hint="eastAsia" w:ascii="宋体" w:hAnsi="宋体" w:cs="宋体"/>
                <w:szCs w:val="21"/>
              </w:rPr>
            </w:pPr>
            <w:r>
              <w:rPr>
                <w:rFonts w:hint="eastAsia" w:ascii="宋体" w:hAnsi="宋体" w:cs="宋体"/>
                <w:szCs w:val="21"/>
              </w:rPr>
              <w:t>5</w:t>
            </w:r>
          </w:p>
        </w:tc>
        <w:tc>
          <w:tcPr>
            <w:tcW w:w="8910" w:type="dxa"/>
            <w:vAlign w:val="center"/>
          </w:tcPr>
          <w:p w14:paraId="76F22A82">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7EB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0C9C2E0A">
            <w:pPr>
              <w:spacing w:line="400" w:lineRule="exact"/>
              <w:jc w:val="center"/>
              <w:rPr>
                <w:rFonts w:hint="eastAsia" w:ascii="宋体" w:hAnsi="宋体" w:cs="宋体"/>
                <w:szCs w:val="21"/>
              </w:rPr>
            </w:pPr>
            <w:r>
              <w:rPr>
                <w:rFonts w:hint="eastAsia" w:ascii="宋体" w:hAnsi="宋体" w:cs="宋体"/>
                <w:szCs w:val="21"/>
              </w:rPr>
              <w:t>6</w:t>
            </w:r>
          </w:p>
        </w:tc>
        <w:tc>
          <w:tcPr>
            <w:tcW w:w="8910" w:type="dxa"/>
            <w:vAlign w:val="center"/>
          </w:tcPr>
          <w:p w14:paraId="74C7C399">
            <w:pPr>
              <w:spacing w:line="400" w:lineRule="exact"/>
              <w:jc w:val="left"/>
              <w:rPr>
                <w:rFonts w:hint="eastAsia" w:ascii="宋体" w:hAnsi="宋体" w:cs="宋体"/>
                <w:szCs w:val="21"/>
              </w:rPr>
            </w:pPr>
            <w:r>
              <w:rPr>
                <w:rFonts w:hint="eastAsia" w:ascii="宋体" w:hAnsi="宋体" w:cs="宋体"/>
                <w:szCs w:val="21"/>
              </w:rPr>
              <w:t>擅自将投标密钥或电子营业执照出借他人使用或未妥善保管。</w:t>
            </w:r>
          </w:p>
        </w:tc>
      </w:tr>
    </w:tbl>
    <w:p w14:paraId="538699CB">
      <w:pPr>
        <w:spacing w:before="156" w:beforeLines="50" w:line="380" w:lineRule="exact"/>
        <w:ind w:firstLine="422"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14:paraId="2411DF50">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14:paraId="343CCB6D">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4E88EA73">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14:paraId="5B7146A4">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14:paraId="32A132C8">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14:paraId="2C14D1F1">
      <w:pPr>
        <w:spacing w:line="380" w:lineRule="exact"/>
        <w:ind w:firstLine="422"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14:paraId="42B11777">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14:paraId="44E66808">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974A841">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55A99DA">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14:paraId="65DA5FFC">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14:paraId="554A45B3">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14:paraId="236E9FB3">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14:paraId="7F9BA21A">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14:paraId="4EFD446A">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14:paraId="6197DE90">
      <w:pPr>
        <w:spacing w:line="340" w:lineRule="exact"/>
        <w:ind w:firstLine="422"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14:paraId="6295FD1C">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27A739AB">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7AF2B71A">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654ABB5D">
      <w:pPr>
        <w:spacing w:line="340" w:lineRule="exact"/>
        <w:ind w:firstLine="422"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14:paraId="29D527D4">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E9ECAD5">
      <w:pPr>
        <w:spacing w:line="340" w:lineRule="exact"/>
        <w:ind w:firstLine="420" w:firstLineChars="200"/>
        <w:rPr>
          <w:rFonts w:hint="eastAsia"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0"/>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337A7F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7E2BAB38">
            <w:pPr>
              <w:autoSpaceDE w:val="0"/>
              <w:autoSpaceDN w:val="0"/>
              <w:spacing w:line="340" w:lineRule="exact"/>
              <w:ind w:firstLine="1866"/>
              <w:rPr>
                <w:rFonts w:hint="eastAsia" w:ascii="宋体" w:hAnsi="宋体" w:cs="宋体"/>
                <w:spacing w:val="-4"/>
                <w:kern w:val="0"/>
                <w:szCs w:val="21"/>
              </w:rPr>
            </w:pPr>
          </w:p>
        </w:tc>
      </w:tr>
      <w:tr w14:paraId="22C402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3F1BA1FF">
            <w:pPr>
              <w:autoSpaceDE w:val="0"/>
              <w:autoSpaceDN w:val="0"/>
              <w:spacing w:line="340" w:lineRule="exact"/>
              <w:ind w:firstLine="1866"/>
              <w:rPr>
                <w:rFonts w:hint="eastAsia" w:ascii="宋体" w:hAnsi="宋体" w:cs="宋体"/>
                <w:spacing w:val="-4"/>
                <w:kern w:val="0"/>
                <w:szCs w:val="21"/>
              </w:rPr>
            </w:pPr>
          </w:p>
        </w:tc>
      </w:tr>
      <w:tr w14:paraId="7C9A5E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4B3B3F28">
            <w:pPr>
              <w:autoSpaceDE w:val="0"/>
              <w:autoSpaceDN w:val="0"/>
              <w:spacing w:line="340" w:lineRule="exact"/>
              <w:ind w:firstLine="1866"/>
              <w:rPr>
                <w:rFonts w:hint="eastAsia" w:ascii="宋体" w:hAnsi="宋体" w:cs="宋体"/>
                <w:spacing w:val="-4"/>
                <w:kern w:val="0"/>
                <w:szCs w:val="21"/>
              </w:rPr>
            </w:pPr>
          </w:p>
        </w:tc>
      </w:tr>
      <w:tr w14:paraId="3F0E3E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4E46F88E">
            <w:pPr>
              <w:autoSpaceDE w:val="0"/>
              <w:autoSpaceDN w:val="0"/>
              <w:spacing w:line="340" w:lineRule="exact"/>
              <w:ind w:firstLine="1866"/>
              <w:rPr>
                <w:rFonts w:hint="eastAsia" w:ascii="宋体" w:hAnsi="宋体" w:cs="宋体"/>
                <w:spacing w:val="-4"/>
                <w:kern w:val="0"/>
                <w:szCs w:val="21"/>
              </w:rPr>
            </w:pPr>
          </w:p>
        </w:tc>
      </w:tr>
    </w:tbl>
    <w:p w14:paraId="5CA65D0E">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14:paraId="17F8448B">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63A9711D">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（加盖单位公章）</w:t>
      </w:r>
    </w:p>
    <w:p w14:paraId="361AB815">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6EB55525">
      <w:pPr>
        <w:widowControl/>
        <w:spacing w:line="360" w:lineRule="auto"/>
        <w:jc w:val="left"/>
        <w:rPr>
          <w:rFonts w:hint="eastAsia" w:ascii="宋体" w:hAnsi="宋体"/>
          <w:szCs w:val="21"/>
        </w:rPr>
      </w:pPr>
    </w:p>
    <w:p w14:paraId="5FCF51C9">
      <w:pPr>
        <w:widowControl/>
        <w:spacing w:line="360" w:lineRule="auto"/>
        <w:jc w:val="left"/>
        <w:rPr>
          <w:rFonts w:hint="eastAsia" w:ascii="宋体" w:hAnsi="宋体"/>
          <w:szCs w:val="21"/>
        </w:rPr>
      </w:pPr>
    </w:p>
    <w:p w14:paraId="63FE1597">
      <w:pPr>
        <w:widowControl/>
        <w:spacing w:line="360" w:lineRule="auto"/>
        <w:jc w:val="left"/>
        <w:rPr>
          <w:rFonts w:hint="eastAsia" w:ascii="宋体" w:hAnsi="宋体"/>
          <w:szCs w:val="21"/>
        </w:rPr>
      </w:pPr>
    </w:p>
    <w:p w14:paraId="56BC61E7">
      <w:pPr>
        <w:widowControl/>
        <w:jc w:val="left"/>
        <w:rPr>
          <w:rFonts w:hint="eastAsia" w:ascii="宋体" w:hAnsi="宋体"/>
          <w:szCs w:val="21"/>
        </w:rPr>
      </w:pPr>
    </w:p>
    <w:p w14:paraId="43B2BE76">
      <w:pPr>
        <w:widowControl/>
        <w:jc w:val="left"/>
        <w:rPr>
          <w:rFonts w:hint="eastAsia" w:ascii="宋体" w:hAnsi="宋体"/>
          <w:szCs w:val="21"/>
        </w:rPr>
      </w:pPr>
    </w:p>
    <w:p w14:paraId="59B38C34">
      <w:pPr>
        <w:widowControl/>
        <w:jc w:val="left"/>
        <w:rPr>
          <w:rFonts w:hint="eastAsia" w:ascii="宋体" w:hAnsi="宋体"/>
          <w:szCs w:val="21"/>
        </w:rPr>
      </w:pPr>
    </w:p>
    <w:p w14:paraId="21724F82">
      <w:pPr>
        <w:widowControl/>
        <w:jc w:val="left"/>
        <w:rPr>
          <w:rFonts w:hint="eastAsia" w:ascii="宋体" w:hAnsi="宋体"/>
          <w:szCs w:val="21"/>
        </w:rPr>
      </w:pPr>
    </w:p>
    <w:p w14:paraId="55F96348">
      <w:pPr>
        <w:widowControl/>
        <w:jc w:val="left"/>
        <w:rPr>
          <w:rFonts w:hint="eastAsia" w:ascii="宋体" w:hAnsi="宋体"/>
          <w:szCs w:val="21"/>
        </w:rPr>
      </w:pPr>
    </w:p>
    <w:p w14:paraId="792BAA18">
      <w:pPr>
        <w:widowControl/>
        <w:jc w:val="left"/>
        <w:rPr>
          <w:rFonts w:hint="eastAsia" w:ascii="宋体" w:hAnsi="宋体"/>
          <w:szCs w:val="21"/>
        </w:rPr>
      </w:pPr>
    </w:p>
    <w:p w14:paraId="5A8556D8">
      <w:pPr>
        <w:pStyle w:val="323"/>
        <w:ind w:firstLine="480"/>
        <w:rPr>
          <w:rFonts w:hint="eastAsia"/>
        </w:rPr>
      </w:pPr>
      <w:bookmarkStart w:id="65" w:name="_Toc135293342"/>
    </w:p>
    <w:p w14:paraId="0E04B07E">
      <w:pPr>
        <w:pStyle w:val="323"/>
        <w:ind w:firstLine="480"/>
        <w:rPr>
          <w:rFonts w:hint="eastAsia"/>
        </w:rPr>
      </w:pPr>
    </w:p>
    <w:p w14:paraId="01A395CB">
      <w:pPr>
        <w:rPr>
          <w:rFonts w:hint="eastAsia" w:ascii="仿宋" w:hAnsi="仿宋" w:eastAsia="仿宋"/>
        </w:rPr>
      </w:pPr>
      <w:r>
        <w:rPr>
          <w:rFonts w:hint="eastAsia" w:ascii="仿宋" w:hAnsi="仿宋" w:eastAsia="仿宋"/>
        </w:rPr>
        <w:br w:type="page"/>
      </w:r>
    </w:p>
    <w:p w14:paraId="35ABE7DF">
      <w:pPr>
        <w:pStyle w:val="323"/>
        <w:ind w:firstLine="480"/>
        <w:rPr>
          <w:rFonts w:hint="eastAsia"/>
        </w:rPr>
      </w:pPr>
    </w:p>
    <w:p w14:paraId="199B2533">
      <w:pPr>
        <w:pStyle w:val="4"/>
        <w:spacing w:line="400" w:lineRule="exact"/>
        <w:rPr>
          <w:rFonts w:hint="eastAsia" w:ascii="仿宋" w:hAnsi="仿宋" w:eastAsia="仿宋"/>
        </w:rPr>
      </w:pPr>
      <w:r>
        <w:rPr>
          <w:rFonts w:hint="eastAsia" w:ascii="仿宋" w:hAnsi="仿宋" w:eastAsia="仿宋"/>
        </w:rPr>
        <w:t>评标指引表</w:t>
      </w:r>
      <w:bookmarkEnd w:id="64"/>
      <w:bookmarkEnd w:id="65"/>
    </w:p>
    <w:p w14:paraId="1200D69B">
      <w:pPr>
        <w:jc w:val="center"/>
        <w:rPr>
          <w:b/>
          <w:szCs w:val="21"/>
        </w:rPr>
      </w:pPr>
    </w:p>
    <w:p w14:paraId="215DA139">
      <w:pPr>
        <w:spacing w:line="360" w:lineRule="auto"/>
        <w:ind w:firstLine="420" w:firstLineChars="200"/>
        <w:rPr>
          <w:rFonts w:hint="eastAsia"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hint="eastAsia" w:ascii="宋体" w:hAnsi="宋体"/>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hint="eastAsia"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hint="eastAsia"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hint="eastAsia"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hint="eastAsia" w:ascii="宋体" w:hAnsi="宋体"/>
                <w:szCs w:val="21"/>
              </w:rPr>
            </w:pPr>
            <w:r>
              <w:rPr>
                <w:rFonts w:hint="eastAsia" w:ascii="宋体" w:hAnsi="宋体"/>
                <w:szCs w:val="21"/>
              </w:rPr>
              <w:t>价格部分</w:t>
            </w:r>
          </w:p>
        </w:tc>
        <w:tc>
          <w:tcPr>
            <w:tcW w:w="4854" w:type="dxa"/>
            <w:vAlign w:val="center"/>
          </w:tcPr>
          <w:p w14:paraId="6F379FA7">
            <w:pPr>
              <w:rPr>
                <w:rFonts w:hint="eastAsia"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hint="eastAsia" w:ascii="宋体" w:hAnsi="宋体"/>
                <w:b/>
                <w:szCs w:val="21"/>
              </w:rPr>
            </w:pPr>
          </w:p>
        </w:tc>
        <w:tc>
          <w:tcPr>
            <w:tcW w:w="1472" w:type="dxa"/>
            <w:vAlign w:val="center"/>
          </w:tcPr>
          <w:p w14:paraId="425C69E0">
            <w:pPr>
              <w:spacing w:line="360" w:lineRule="exact"/>
              <w:jc w:val="center"/>
              <w:rPr>
                <w:rFonts w:hint="eastAsia"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hint="eastAsia" w:ascii="宋体" w:hAnsi="宋体"/>
                <w:szCs w:val="21"/>
              </w:rPr>
            </w:pPr>
            <w:r>
              <w:rPr>
                <w:rFonts w:hint="eastAsia" w:ascii="宋体" w:hAnsi="宋体"/>
                <w:szCs w:val="21"/>
              </w:rPr>
              <w:t>技术部分</w:t>
            </w:r>
          </w:p>
        </w:tc>
        <w:tc>
          <w:tcPr>
            <w:tcW w:w="4854" w:type="dxa"/>
          </w:tcPr>
          <w:p w14:paraId="671FE989">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hint="eastAsia" w:ascii="宋体" w:hAnsi="宋体"/>
                <w:b/>
                <w:szCs w:val="21"/>
              </w:rPr>
            </w:pPr>
          </w:p>
        </w:tc>
        <w:tc>
          <w:tcPr>
            <w:tcW w:w="1472" w:type="dxa"/>
            <w:vAlign w:val="center"/>
          </w:tcPr>
          <w:p w14:paraId="1B4AB4BD">
            <w:pPr>
              <w:spacing w:line="360" w:lineRule="exact"/>
              <w:jc w:val="center"/>
              <w:rPr>
                <w:rFonts w:hint="eastAsia"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hint="eastAsia" w:ascii="宋体" w:hAnsi="宋体"/>
                <w:szCs w:val="21"/>
              </w:rPr>
            </w:pPr>
          </w:p>
        </w:tc>
        <w:tc>
          <w:tcPr>
            <w:tcW w:w="4854" w:type="dxa"/>
          </w:tcPr>
          <w:p w14:paraId="3BD7E3A0">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hint="eastAsia" w:ascii="宋体" w:hAnsi="宋体"/>
                <w:b/>
                <w:szCs w:val="21"/>
              </w:rPr>
            </w:pPr>
          </w:p>
        </w:tc>
        <w:tc>
          <w:tcPr>
            <w:tcW w:w="1472" w:type="dxa"/>
            <w:vAlign w:val="center"/>
          </w:tcPr>
          <w:p w14:paraId="1BAA25F4">
            <w:pPr>
              <w:spacing w:line="360" w:lineRule="exact"/>
              <w:jc w:val="center"/>
              <w:rPr>
                <w:rFonts w:hint="eastAsia"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hint="eastAsia" w:ascii="宋体" w:hAnsi="宋体"/>
                <w:szCs w:val="21"/>
              </w:rPr>
            </w:pPr>
          </w:p>
        </w:tc>
        <w:tc>
          <w:tcPr>
            <w:tcW w:w="4854" w:type="dxa"/>
          </w:tcPr>
          <w:p w14:paraId="725494B8">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hint="eastAsia" w:ascii="宋体" w:hAnsi="宋体"/>
                <w:b/>
                <w:szCs w:val="21"/>
              </w:rPr>
            </w:pPr>
          </w:p>
        </w:tc>
        <w:tc>
          <w:tcPr>
            <w:tcW w:w="1472" w:type="dxa"/>
            <w:vAlign w:val="center"/>
          </w:tcPr>
          <w:p w14:paraId="06B26574">
            <w:pPr>
              <w:spacing w:line="360" w:lineRule="exact"/>
              <w:jc w:val="center"/>
              <w:rPr>
                <w:rFonts w:hint="eastAsia"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hint="eastAsia" w:ascii="宋体" w:hAnsi="宋体"/>
                <w:szCs w:val="21"/>
              </w:rPr>
            </w:pPr>
            <w:r>
              <w:rPr>
                <w:rFonts w:hint="eastAsia" w:ascii="宋体" w:hAnsi="宋体"/>
                <w:szCs w:val="21"/>
              </w:rPr>
              <w:t>商务部分</w:t>
            </w:r>
          </w:p>
        </w:tc>
        <w:tc>
          <w:tcPr>
            <w:tcW w:w="4854" w:type="dxa"/>
          </w:tcPr>
          <w:p w14:paraId="06A84E2A">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hint="eastAsia" w:ascii="宋体" w:hAnsi="宋体"/>
                <w:b/>
                <w:szCs w:val="21"/>
              </w:rPr>
            </w:pPr>
          </w:p>
        </w:tc>
        <w:tc>
          <w:tcPr>
            <w:tcW w:w="1472" w:type="dxa"/>
            <w:vAlign w:val="center"/>
          </w:tcPr>
          <w:p w14:paraId="3E98152C">
            <w:pPr>
              <w:spacing w:line="360" w:lineRule="exact"/>
              <w:jc w:val="center"/>
              <w:rPr>
                <w:rFonts w:hint="eastAsia"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hint="eastAsia" w:ascii="宋体" w:hAnsi="宋体"/>
                <w:szCs w:val="21"/>
              </w:rPr>
            </w:pPr>
          </w:p>
        </w:tc>
        <w:tc>
          <w:tcPr>
            <w:tcW w:w="4854" w:type="dxa"/>
          </w:tcPr>
          <w:p w14:paraId="5447E61B">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hint="eastAsia" w:ascii="宋体" w:hAnsi="宋体"/>
                <w:b/>
                <w:szCs w:val="21"/>
              </w:rPr>
            </w:pPr>
          </w:p>
        </w:tc>
        <w:tc>
          <w:tcPr>
            <w:tcW w:w="1472" w:type="dxa"/>
            <w:vAlign w:val="center"/>
          </w:tcPr>
          <w:p w14:paraId="706428B5">
            <w:pPr>
              <w:spacing w:line="360" w:lineRule="exact"/>
              <w:jc w:val="center"/>
              <w:rPr>
                <w:rFonts w:hint="eastAsia"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hint="eastAsia" w:ascii="宋体" w:hAnsi="宋体"/>
                <w:szCs w:val="21"/>
              </w:rPr>
            </w:pPr>
          </w:p>
        </w:tc>
        <w:tc>
          <w:tcPr>
            <w:tcW w:w="4854" w:type="dxa"/>
          </w:tcPr>
          <w:p w14:paraId="35BDCB13">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hint="eastAsia" w:ascii="宋体" w:hAnsi="宋体"/>
                <w:b/>
                <w:szCs w:val="21"/>
              </w:rPr>
            </w:pPr>
          </w:p>
        </w:tc>
        <w:tc>
          <w:tcPr>
            <w:tcW w:w="1472" w:type="dxa"/>
            <w:vAlign w:val="center"/>
          </w:tcPr>
          <w:p w14:paraId="0B5570BD">
            <w:pPr>
              <w:spacing w:line="360" w:lineRule="exact"/>
              <w:jc w:val="center"/>
              <w:rPr>
                <w:rFonts w:hint="eastAsia" w:ascii="宋体" w:hAnsi="宋体"/>
                <w:b/>
                <w:szCs w:val="21"/>
              </w:rPr>
            </w:pPr>
          </w:p>
        </w:tc>
      </w:tr>
    </w:tbl>
    <w:p w14:paraId="404FE65E">
      <w:pPr>
        <w:pStyle w:val="28"/>
        <w:spacing w:line="360" w:lineRule="auto"/>
        <w:ind w:firstLine="424" w:firstLineChars="201"/>
        <w:rPr>
          <w:rFonts w:hint="eastAsia" w:hAnsi="宋体"/>
          <w:b/>
          <w:szCs w:val="21"/>
        </w:rPr>
      </w:pPr>
    </w:p>
    <w:p w14:paraId="277537BF">
      <w:pPr>
        <w:pStyle w:val="28"/>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323"/>
        <w:ind w:firstLine="480"/>
        <w:rPr>
          <w:rFonts w:hint="eastAsia"/>
        </w:rPr>
      </w:pPr>
    </w:p>
    <w:p w14:paraId="76DD2DBC">
      <w:pPr>
        <w:pStyle w:val="323"/>
        <w:ind w:firstLine="480"/>
        <w:rPr>
          <w:rFonts w:hint="eastAsia"/>
        </w:rPr>
      </w:pPr>
    </w:p>
    <w:p w14:paraId="00FC759D">
      <w:pPr>
        <w:pStyle w:val="323"/>
        <w:ind w:firstLine="480"/>
        <w:rPr>
          <w:rFonts w:hint="eastAsia"/>
        </w:rPr>
      </w:pPr>
    </w:p>
    <w:p w14:paraId="0C99DDD7">
      <w:pPr>
        <w:pStyle w:val="323"/>
        <w:ind w:firstLine="480"/>
        <w:rPr>
          <w:rFonts w:hint="eastAsia"/>
        </w:rPr>
      </w:pPr>
      <w:r>
        <w:rPr>
          <w:rFonts w:hint="eastAsia"/>
        </w:rPr>
        <w:br w:type="page"/>
      </w:r>
    </w:p>
    <w:p w14:paraId="36479E5D"/>
    <w:p w14:paraId="0DAC9DBC">
      <w:pPr>
        <w:pStyle w:val="4"/>
        <w:spacing w:line="400" w:lineRule="exact"/>
        <w:rPr>
          <w:rFonts w:hint="eastAsia" w:ascii="仿宋" w:hAnsi="仿宋" w:eastAsia="仿宋"/>
        </w:rPr>
      </w:pPr>
      <w:r>
        <w:rPr>
          <w:rFonts w:hint="eastAsia" w:ascii="仿宋" w:hAnsi="仿宋" w:eastAsia="仿宋"/>
        </w:rPr>
        <w:t>供应商自查表</w:t>
      </w:r>
    </w:p>
    <w:p w14:paraId="6BF80CBE">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8C8EA0">
            <w:pPr>
              <w:spacing w:line="360" w:lineRule="exact"/>
              <w:jc w:val="center"/>
              <w:rPr>
                <w:rFonts w:hint="eastAsia" w:ascii="宋体" w:hAnsi="宋体"/>
                <w:szCs w:val="21"/>
              </w:rPr>
            </w:pPr>
            <w:r>
              <w:rPr>
                <w:rFonts w:hint="eastAsia" w:ascii="宋体" w:hAnsi="宋体"/>
                <w:szCs w:val="21"/>
              </w:rPr>
              <w:t>序号</w:t>
            </w:r>
          </w:p>
        </w:tc>
        <w:tc>
          <w:tcPr>
            <w:tcW w:w="6023" w:type="dxa"/>
            <w:vAlign w:val="center"/>
          </w:tcPr>
          <w:p w14:paraId="7C6958EC">
            <w:pPr>
              <w:spacing w:line="360" w:lineRule="exact"/>
              <w:jc w:val="center"/>
              <w:rPr>
                <w:rFonts w:hint="eastAsia" w:ascii="宋体" w:hAnsi="宋体"/>
                <w:szCs w:val="21"/>
              </w:rPr>
            </w:pPr>
            <w:r>
              <w:rPr>
                <w:rFonts w:hint="eastAsia" w:ascii="宋体" w:hAnsi="宋体"/>
                <w:szCs w:val="21"/>
              </w:rPr>
              <w:t>是否存在以下投标违规行为</w:t>
            </w:r>
          </w:p>
        </w:tc>
        <w:tc>
          <w:tcPr>
            <w:tcW w:w="2921" w:type="dxa"/>
            <w:vAlign w:val="center"/>
          </w:tcPr>
          <w:p w14:paraId="78DA2809">
            <w:pPr>
              <w:spacing w:line="360" w:lineRule="exact"/>
              <w:jc w:val="center"/>
              <w:rPr>
                <w:rFonts w:hint="eastAsia" w:ascii="宋体" w:hAnsi="宋体"/>
                <w:szCs w:val="21"/>
              </w:rPr>
            </w:pPr>
            <w:r>
              <w:rPr>
                <w:rFonts w:hint="eastAsia" w:ascii="宋体" w:hAnsi="宋体"/>
                <w:szCs w:val="21"/>
              </w:rPr>
              <w:t>自查情况</w:t>
            </w:r>
          </w:p>
          <w:p w14:paraId="23024764">
            <w:pPr>
              <w:spacing w:line="360" w:lineRule="exact"/>
              <w:jc w:val="center"/>
              <w:rPr>
                <w:rFonts w:hint="eastAsia" w:ascii="宋体" w:hAnsi="宋体"/>
                <w:szCs w:val="21"/>
              </w:rPr>
            </w:pPr>
            <w:r>
              <w:rPr>
                <w:rFonts w:hint="eastAsia" w:ascii="宋体" w:hAnsi="宋体"/>
                <w:szCs w:val="21"/>
              </w:rPr>
              <w:t>（填写“不存在”或“存在”）</w:t>
            </w:r>
          </w:p>
        </w:tc>
        <w:tc>
          <w:tcPr>
            <w:tcW w:w="924" w:type="dxa"/>
            <w:vAlign w:val="center"/>
          </w:tcPr>
          <w:p w14:paraId="74A52BE9">
            <w:pPr>
              <w:spacing w:line="360" w:lineRule="exact"/>
              <w:jc w:val="center"/>
              <w:rPr>
                <w:rFonts w:hint="eastAsia"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6B7B9041">
            <w:pPr>
              <w:spacing w:line="360" w:lineRule="exact"/>
              <w:jc w:val="center"/>
              <w:rPr>
                <w:rFonts w:hint="eastAsia" w:ascii="宋体" w:hAnsi="宋体"/>
                <w:szCs w:val="21"/>
              </w:rPr>
            </w:pPr>
            <w:r>
              <w:rPr>
                <w:rFonts w:hint="eastAsia" w:ascii="宋体" w:hAnsi="宋体"/>
                <w:szCs w:val="21"/>
              </w:rPr>
              <w:t>1</w:t>
            </w:r>
          </w:p>
        </w:tc>
        <w:tc>
          <w:tcPr>
            <w:tcW w:w="6023" w:type="dxa"/>
            <w:vAlign w:val="center"/>
          </w:tcPr>
          <w:p w14:paraId="5667A880">
            <w:pPr>
              <w:jc w:val="left"/>
              <w:rPr>
                <w:rFonts w:hint="eastAsia"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E6615B">
            <w:pPr>
              <w:spacing w:line="360" w:lineRule="exact"/>
              <w:jc w:val="center"/>
              <w:rPr>
                <w:rFonts w:hint="eastAsia" w:ascii="宋体" w:hAnsi="宋体"/>
                <w:b/>
                <w:szCs w:val="21"/>
              </w:rPr>
            </w:pPr>
          </w:p>
        </w:tc>
        <w:tc>
          <w:tcPr>
            <w:tcW w:w="924" w:type="dxa"/>
            <w:vAlign w:val="center"/>
          </w:tcPr>
          <w:p w14:paraId="7E9C4910">
            <w:pPr>
              <w:spacing w:line="360" w:lineRule="exact"/>
              <w:jc w:val="center"/>
              <w:rPr>
                <w:rFonts w:hint="eastAsia"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2712DCD">
            <w:pPr>
              <w:spacing w:line="360" w:lineRule="exact"/>
              <w:jc w:val="center"/>
              <w:rPr>
                <w:rFonts w:hint="eastAsia" w:ascii="宋体" w:hAnsi="宋体"/>
                <w:szCs w:val="21"/>
              </w:rPr>
            </w:pPr>
            <w:r>
              <w:rPr>
                <w:rFonts w:hint="eastAsia" w:ascii="宋体" w:hAnsi="宋体"/>
                <w:szCs w:val="21"/>
              </w:rPr>
              <w:t>2</w:t>
            </w:r>
          </w:p>
        </w:tc>
        <w:tc>
          <w:tcPr>
            <w:tcW w:w="6023" w:type="dxa"/>
            <w:vAlign w:val="center"/>
          </w:tcPr>
          <w:p w14:paraId="6D67B99F">
            <w:pPr>
              <w:jc w:val="left"/>
              <w:rPr>
                <w:rFonts w:hint="eastAsia"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3C3EE268">
            <w:pPr>
              <w:spacing w:line="360" w:lineRule="exact"/>
              <w:jc w:val="center"/>
              <w:rPr>
                <w:rFonts w:hint="eastAsia" w:ascii="宋体" w:hAnsi="宋体"/>
                <w:b/>
                <w:szCs w:val="21"/>
              </w:rPr>
            </w:pPr>
          </w:p>
        </w:tc>
        <w:tc>
          <w:tcPr>
            <w:tcW w:w="924" w:type="dxa"/>
            <w:vAlign w:val="center"/>
          </w:tcPr>
          <w:p w14:paraId="7A7B9C89">
            <w:pPr>
              <w:spacing w:line="360" w:lineRule="exact"/>
              <w:jc w:val="center"/>
              <w:rPr>
                <w:rFonts w:hint="eastAsia"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0E7FB3F">
            <w:pPr>
              <w:spacing w:line="360" w:lineRule="exact"/>
              <w:jc w:val="center"/>
              <w:rPr>
                <w:rFonts w:hint="eastAsia" w:ascii="宋体" w:hAnsi="宋体"/>
                <w:szCs w:val="21"/>
              </w:rPr>
            </w:pPr>
            <w:r>
              <w:rPr>
                <w:rFonts w:hint="eastAsia" w:ascii="宋体" w:hAnsi="宋体"/>
                <w:szCs w:val="21"/>
              </w:rPr>
              <w:t>3</w:t>
            </w:r>
          </w:p>
        </w:tc>
        <w:tc>
          <w:tcPr>
            <w:tcW w:w="6023" w:type="dxa"/>
            <w:vAlign w:val="center"/>
          </w:tcPr>
          <w:p w14:paraId="3105874F">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EB1D211">
            <w:pPr>
              <w:spacing w:line="360" w:lineRule="exact"/>
              <w:jc w:val="center"/>
              <w:rPr>
                <w:rFonts w:hint="eastAsia" w:ascii="宋体" w:hAnsi="宋体"/>
                <w:b/>
                <w:szCs w:val="21"/>
              </w:rPr>
            </w:pPr>
          </w:p>
        </w:tc>
        <w:tc>
          <w:tcPr>
            <w:tcW w:w="924" w:type="dxa"/>
            <w:vAlign w:val="center"/>
          </w:tcPr>
          <w:p w14:paraId="484A05F2">
            <w:pPr>
              <w:spacing w:line="360" w:lineRule="exact"/>
              <w:jc w:val="center"/>
              <w:rPr>
                <w:rFonts w:hint="eastAsia"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381671D">
            <w:pPr>
              <w:spacing w:line="360" w:lineRule="exact"/>
              <w:jc w:val="center"/>
              <w:rPr>
                <w:rFonts w:hint="eastAsia" w:ascii="宋体" w:hAnsi="宋体"/>
                <w:szCs w:val="21"/>
              </w:rPr>
            </w:pPr>
            <w:r>
              <w:rPr>
                <w:rFonts w:hint="eastAsia" w:ascii="宋体" w:hAnsi="宋体"/>
                <w:szCs w:val="21"/>
              </w:rPr>
              <w:t>4</w:t>
            </w:r>
          </w:p>
        </w:tc>
        <w:tc>
          <w:tcPr>
            <w:tcW w:w="6023" w:type="dxa"/>
            <w:vAlign w:val="center"/>
          </w:tcPr>
          <w:p w14:paraId="624920AE">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601DD313">
            <w:pPr>
              <w:spacing w:line="360" w:lineRule="exact"/>
              <w:jc w:val="center"/>
              <w:rPr>
                <w:rFonts w:hint="eastAsia" w:ascii="宋体" w:hAnsi="宋体"/>
                <w:b/>
                <w:szCs w:val="21"/>
              </w:rPr>
            </w:pPr>
          </w:p>
        </w:tc>
        <w:tc>
          <w:tcPr>
            <w:tcW w:w="924" w:type="dxa"/>
            <w:vAlign w:val="center"/>
          </w:tcPr>
          <w:p w14:paraId="3891C72D">
            <w:pPr>
              <w:spacing w:line="360" w:lineRule="exact"/>
              <w:jc w:val="center"/>
              <w:rPr>
                <w:rFonts w:hint="eastAsia"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17443AF">
            <w:pPr>
              <w:spacing w:line="360" w:lineRule="exact"/>
              <w:jc w:val="center"/>
              <w:rPr>
                <w:rFonts w:hint="eastAsia" w:ascii="宋体" w:hAnsi="宋体"/>
                <w:szCs w:val="21"/>
              </w:rPr>
            </w:pPr>
            <w:r>
              <w:rPr>
                <w:rFonts w:hint="eastAsia" w:ascii="宋体" w:hAnsi="宋体"/>
                <w:szCs w:val="21"/>
              </w:rPr>
              <w:t>5</w:t>
            </w:r>
          </w:p>
        </w:tc>
        <w:tc>
          <w:tcPr>
            <w:tcW w:w="6023" w:type="dxa"/>
            <w:vAlign w:val="center"/>
          </w:tcPr>
          <w:p w14:paraId="3AC4C571">
            <w:pPr>
              <w:jc w:val="left"/>
              <w:rPr>
                <w:rFonts w:hint="eastAsia" w:ascii="宋体" w:hAnsi="宋体" w:cs="宋体"/>
                <w:snapToGrid w:val="0"/>
                <w:kern w:val="0"/>
                <w:szCs w:val="21"/>
              </w:rPr>
            </w:pPr>
            <w:r>
              <w:rPr>
                <w:szCs w:val="21"/>
              </w:rPr>
              <w:t>不同投标供应商的投标文件内容存在非正常一致。</w:t>
            </w:r>
          </w:p>
        </w:tc>
        <w:tc>
          <w:tcPr>
            <w:tcW w:w="2921" w:type="dxa"/>
            <w:vAlign w:val="center"/>
          </w:tcPr>
          <w:p w14:paraId="3E8A2A08">
            <w:pPr>
              <w:spacing w:line="360" w:lineRule="exact"/>
              <w:jc w:val="center"/>
              <w:rPr>
                <w:rFonts w:hint="eastAsia" w:ascii="宋体" w:hAnsi="宋体"/>
                <w:b/>
                <w:szCs w:val="21"/>
              </w:rPr>
            </w:pPr>
          </w:p>
        </w:tc>
        <w:tc>
          <w:tcPr>
            <w:tcW w:w="924" w:type="dxa"/>
            <w:vAlign w:val="center"/>
          </w:tcPr>
          <w:p w14:paraId="7FC5F57D">
            <w:pPr>
              <w:spacing w:line="360" w:lineRule="exact"/>
              <w:jc w:val="center"/>
              <w:rPr>
                <w:rFonts w:hint="eastAsia"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421F43C">
            <w:pPr>
              <w:spacing w:line="360" w:lineRule="exact"/>
              <w:jc w:val="center"/>
              <w:rPr>
                <w:rFonts w:hint="eastAsia" w:ascii="宋体" w:hAnsi="宋体"/>
                <w:szCs w:val="21"/>
              </w:rPr>
            </w:pPr>
            <w:r>
              <w:rPr>
                <w:rFonts w:hint="eastAsia" w:ascii="宋体" w:hAnsi="宋体"/>
                <w:szCs w:val="21"/>
              </w:rPr>
              <w:t>6</w:t>
            </w:r>
          </w:p>
        </w:tc>
        <w:tc>
          <w:tcPr>
            <w:tcW w:w="6023" w:type="dxa"/>
            <w:vAlign w:val="center"/>
          </w:tcPr>
          <w:p w14:paraId="5E572104">
            <w:pPr>
              <w:jc w:val="left"/>
              <w:rPr>
                <w:rFonts w:hint="eastAsia"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8D63C7A">
            <w:pPr>
              <w:spacing w:line="360" w:lineRule="exact"/>
              <w:jc w:val="center"/>
              <w:rPr>
                <w:rFonts w:hint="eastAsia" w:ascii="宋体" w:hAnsi="宋体"/>
                <w:b/>
                <w:szCs w:val="21"/>
              </w:rPr>
            </w:pPr>
          </w:p>
        </w:tc>
        <w:tc>
          <w:tcPr>
            <w:tcW w:w="924" w:type="dxa"/>
            <w:vAlign w:val="center"/>
          </w:tcPr>
          <w:p w14:paraId="7DD71C9F">
            <w:pPr>
              <w:spacing w:line="360" w:lineRule="exact"/>
              <w:jc w:val="center"/>
              <w:rPr>
                <w:rFonts w:hint="eastAsia"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340CD09C">
            <w:pPr>
              <w:spacing w:line="360" w:lineRule="exact"/>
              <w:jc w:val="center"/>
              <w:rPr>
                <w:rFonts w:hint="eastAsia" w:ascii="宋体" w:hAnsi="宋体"/>
                <w:szCs w:val="21"/>
              </w:rPr>
            </w:pPr>
            <w:r>
              <w:rPr>
                <w:rFonts w:hint="eastAsia" w:ascii="宋体" w:hAnsi="宋体"/>
                <w:szCs w:val="21"/>
              </w:rPr>
              <w:t>7</w:t>
            </w:r>
          </w:p>
        </w:tc>
        <w:tc>
          <w:tcPr>
            <w:tcW w:w="6023" w:type="dxa"/>
            <w:vAlign w:val="center"/>
          </w:tcPr>
          <w:p w14:paraId="6C15577A">
            <w:pPr>
              <w:jc w:val="left"/>
              <w:rPr>
                <w:rFonts w:hint="eastAsia"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5A33FD4">
            <w:pPr>
              <w:spacing w:line="360" w:lineRule="exact"/>
              <w:jc w:val="center"/>
              <w:rPr>
                <w:rFonts w:hint="eastAsia" w:ascii="宋体" w:hAnsi="宋体"/>
                <w:b/>
                <w:szCs w:val="21"/>
              </w:rPr>
            </w:pPr>
          </w:p>
        </w:tc>
        <w:tc>
          <w:tcPr>
            <w:tcW w:w="924" w:type="dxa"/>
            <w:vAlign w:val="center"/>
          </w:tcPr>
          <w:p w14:paraId="3379E380">
            <w:pPr>
              <w:spacing w:line="360" w:lineRule="exact"/>
              <w:jc w:val="center"/>
              <w:rPr>
                <w:rFonts w:hint="eastAsia"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2C94E96">
            <w:pPr>
              <w:spacing w:line="360" w:lineRule="exact"/>
              <w:jc w:val="center"/>
              <w:rPr>
                <w:rFonts w:hint="eastAsia" w:ascii="宋体" w:hAnsi="宋体"/>
                <w:szCs w:val="21"/>
              </w:rPr>
            </w:pPr>
            <w:r>
              <w:rPr>
                <w:rFonts w:hint="eastAsia" w:ascii="宋体" w:hAnsi="宋体"/>
                <w:szCs w:val="21"/>
              </w:rPr>
              <w:t>8</w:t>
            </w:r>
          </w:p>
        </w:tc>
        <w:tc>
          <w:tcPr>
            <w:tcW w:w="6023" w:type="dxa"/>
            <w:vAlign w:val="center"/>
          </w:tcPr>
          <w:p w14:paraId="281B8479">
            <w:pPr>
              <w:jc w:val="left"/>
              <w:rPr>
                <w:rFonts w:hint="eastAsia"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7A6E76">
            <w:pPr>
              <w:spacing w:line="360" w:lineRule="exact"/>
              <w:jc w:val="center"/>
              <w:rPr>
                <w:rFonts w:hint="eastAsia" w:ascii="宋体" w:hAnsi="宋体"/>
                <w:b/>
                <w:szCs w:val="21"/>
              </w:rPr>
            </w:pPr>
          </w:p>
        </w:tc>
        <w:tc>
          <w:tcPr>
            <w:tcW w:w="924" w:type="dxa"/>
            <w:vAlign w:val="center"/>
          </w:tcPr>
          <w:p w14:paraId="3E807BB8">
            <w:pPr>
              <w:spacing w:line="360" w:lineRule="exact"/>
              <w:jc w:val="center"/>
              <w:rPr>
                <w:rFonts w:hint="eastAsia"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1C802128">
            <w:pPr>
              <w:spacing w:line="360" w:lineRule="exact"/>
              <w:jc w:val="center"/>
              <w:rPr>
                <w:rFonts w:hint="eastAsia" w:ascii="宋体" w:hAnsi="宋体"/>
                <w:szCs w:val="21"/>
              </w:rPr>
            </w:pPr>
            <w:r>
              <w:rPr>
                <w:rFonts w:hint="eastAsia" w:ascii="宋体" w:hAnsi="宋体"/>
                <w:szCs w:val="21"/>
              </w:rPr>
              <w:t>9</w:t>
            </w:r>
          </w:p>
        </w:tc>
        <w:tc>
          <w:tcPr>
            <w:tcW w:w="6023" w:type="dxa"/>
            <w:vAlign w:val="center"/>
          </w:tcPr>
          <w:p w14:paraId="0377283E">
            <w:pPr>
              <w:jc w:val="left"/>
              <w:rPr>
                <w:rFonts w:hint="eastAsia"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033C636">
            <w:pPr>
              <w:spacing w:line="360" w:lineRule="exact"/>
              <w:jc w:val="center"/>
              <w:rPr>
                <w:rFonts w:hint="eastAsia" w:ascii="宋体" w:hAnsi="宋体"/>
                <w:b/>
                <w:szCs w:val="21"/>
              </w:rPr>
            </w:pPr>
          </w:p>
        </w:tc>
        <w:tc>
          <w:tcPr>
            <w:tcW w:w="924" w:type="dxa"/>
            <w:vAlign w:val="center"/>
          </w:tcPr>
          <w:p w14:paraId="58A8E83D">
            <w:pPr>
              <w:spacing w:line="360" w:lineRule="exact"/>
              <w:jc w:val="center"/>
              <w:rPr>
                <w:rFonts w:hint="eastAsia"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0198D5">
            <w:pPr>
              <w:spacing w:line="360" w:lineRule="exact"/>
              <w:jc w:val="center"/>
              <w:rPr>
                <w:rFonts w:hint="eastAsia" w:ascii="宋体" w:hAnsi="宋体"/>
                <w:szCs w:val="21"/>
              </w:rPr>
            </w:pPr>
            <w:r>
              <w:rPr>
                <w:rFonts w:hint="eastAsia" w:ascii="宋体" w:hAnsi="宋体"/>
                <w:szCs w:val="21"/>
              </w:rPr>
              <w:t>10</w:t>
            </w:r>
          </w:p>
        </w:tc>
        <w:tc>
          <w:tcPr>
            <w:tcW w:w="6023" w:type="dxa"/>
            <w:vAlign w:val="center"/>
          </w:tcPr>
          <w:p w14:paraId="23AF15D6">
            <w:pPr>
              <w:jc w:val="left"/>
              <w:rPr>
                <w:rFonts w:hint="eastAsia"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5852750">
            <w:pPr>
              <w:spacing w:line="360" w:lineRule="exact"/>
              <w:jc w:val="center"/>
              <w:rPr>
                <w:rFonts w:hint="eastAsia" w:ascii="宋体" w:hAnsi="宋体"/>
                <w:b/>
                <w:szCs w:val="21"/>
              </w:rPr>
            </w:pPr>
          </w:p>
        </w:tc>
        <w:tc>
          <w:tcPr>
            <w:tcW w:w="924" w:type="dxa"/>
            <w:vAlign w:val="center"/>
          </w:tcPr>
          <w:p w14:paraId="2F60F8CC">
            <w:pPr>
              <w:spacing w:line="360" w:lineRule="exact"/>
              <w:jc w:val="center"/>
              <w:rPr>
                <w:rFonts w:hint="eastAsia"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8A05C9">
            <w:pPr>
              <w:spacing w:line="360" w:lineRule="exact"/>
              <w:jc w:val="center"/>
              <w:rPr>
                <w:rFonts w:hint="eastAsia" w:ascii="宋体" w:hAnsi="宋体"/>
                <w:szCs w:val="21"/>
              </w:rPr>
            </w:pPr>
            <w:r>
              <w:rPr>
                <w:rFonts w:hint="eastAsia" w:ascii="宋体" w:hAnsi="宋体"/>
                <w:szCs w:val="21"/>
              </w:rPr>
              <w:t>11</w:t>
            </w:r>
          </w:p>
        </w:tc>
        <w:tc>
          <w:tcPr>
            <w:tcW w:w="6023" w:type="dxa"/>
            <w:vAlign w:val="center"/>
          </w:tcPr>
          <w:p w14:paraId="4AB95301">
            <w:pPr>
              <w:jc w:val="left"/>
              <w:rPr>
                <w:rFonts w:hint="eastAsia" w:ascii="宋体" w:hAnsi="宋体" w:cs="宋体"/>
                <w:szCs w:val="21"/>
              </w:rPr>
            </w:pPr>
            <w:r>
              <w:rPr>
                <w:rFonts w:hint="eastAsia" w:ascii="宋体" w:hAnsi="宋体"/>
                <w:szCs w:val="21"/>
              </w:rPr>
              <w:t>投标人之间约定中标人。</w:t>
            </w:r>
          </w:p>
        </w:tc>
        <w:tc>
          <w:tcPr>
            <w:tcW w:w="2921" w:type="dxa"/>
            <w:vAlign w:val="center"/>
          </w:tcPr>
          <w:p w14:paraId="75F21B8A">
            <w:pPr>
              <w:spacing w:line="360" w:lineRule="exact"/>
              <w:jc w:val="center"/>
              <w:rPr>
                <w:rFonts w:hint="eastAsia" w:ascii="宋体" w:hAnsi="宋体"/>
                <w:b/>
                <w:szCs w:val="21"/>
              </w:rPr>
            </w:pPr>
          </w:p>
        </w:tc>
        <w:tc>
          <w:tcPr>
            <w:tcW w:w="924" w:type="dxa"/>
            <w:vAlign w:val="center"/>
          </w:tcPr>
          <w:p w14:paraId="315F7CDF">
            <w:pPr>
              <w:spacing w:line="360" w:lineRule="exact"/>
              <w:jc w:val="center"/>
              <w:rPr>
                <w:rFonts w:hint="eastAsia"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5B72648">
            <w:pPr>
              <w:spacing w:line="360" w:lineRule="exact"/>
              <w:jc w:val="center"/>
              <w:rPr>
                <w:rFonts w:hint="eastAsia" w:ascii="宋体" w:hAnsi="宋体"/>
                <w:szCs w:val="21"/>
              </w:rPr>
            </w:pPr>
            <w:r>
              <w:rPr>
                <w:rFonts w:hint="eastAsia" w:ascii="宋体" w:hAnsi="宋体"/>
                <w:szCs w:val="21"/>
              </w:rPr>
              <w:t>12</w:t>
            </w:r>
          </w:p>
        </w:tc>
        <w:tc>
          <w:tcPr>
            <w:tcW w:w="6023" w:type="dxa"/>
            <w:vAlign w:val="center"/>
          </w:tcPr>
          <w:p w14:paraId="5814DD9F">
            <w:pPr>
              <w:jc w:val="left"/>
              <w:rPr>
                <w:rFonts w:hint="eastAsia" w:ascii="宋体" w:hAnsi="宋体" w:cs="宋体"/>
                <w:szCs w:val="21"/>
              </w:rPr>
            </w:pPr>
            <w:r>
              <w:rPr>
                <w:rFonts w:hint="eastAsia" w:ascii="宋体" w:hAnsi="宋体"/>
                <w:szCs w:val="21"/>
              </w:rPr>
              <w:t>投标人之间约定部分投标人放弃投标或者中标。</w:t>
            </w:r>
          </w:p>
        </w:tc>
        <w:tc>
          <w:tcPr>
            <w:tcW w:w="2921" w:type="dxa"/>
            <w:vAlign w:val="center"/>
          </w:tcPr>
          <w:p w14:paraId="4FF52C88">
            <w:pPr>
              <w:spacing w:line="360" w:lineRule="exact"/>
              <w:jc w:val="center"/>
              <w:rPr>
                <w:rFonts w:hint="eastAsia" w:ascii="宋体" w:hAnsi="宋体"/>
                <w:b/>
                <w:szCs w:val="21"/>
              </w:rPr>
            </w:pPr>
          </w:p>
        </w:tc>
        <w:tc>
          <w:tcPr>
            <w:tcW w:w="924" w:type="dxa"/>
            <w:vAlign w:val="center"/>
          </w:tcPr>
          <w:p w14:paraId="76452562">
            <w:pPr>
              <w:spacing w:line="360" w:lineRule="exact"/>
              <w:jc w:val="center"/>
              <w:rPr>
                <w:rFonts w:hint="eastAsia"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DC78A45">
            <w:pPr>
              <w:spacing w:line="360" w:lineRule="exact"/>
              <w:jc w:val="center"/>
              <w:rPr>
                <w:rFonts w:hint="eastAsia" w:ascii="宋体" w:hAnsi="宋体"/>
                <w:szCs w:val="21"/>
              </w:rPr>
            </w:pPr>
            <w:r>
              <w:rPr>
                <w:rFonts w:hint="eastAsia" w:ascii="宋体" w:hAnsi="宋体"/>
                <w:szCs w:val="21"/>
              </w:rPr>
              <w:t>13</w:t>
            </w:r>
          </w:p>
        </w:tc>
        <w:tc>
          <w:tcPr>
            <w:tcW w:w="6023" w:type="dxa"/>
            <w:vAlign w:val="center"/>
          </w:tcPr>
          <w:p w14:paraId="4B58001E">
            <w:pPr>
              <w:jc w:val="left"/>
              <w:rPr>
                <w:rFonts w:hint="eastAsia"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4C6C681">
            <w:pPr>
              <w:spacing w:line="360" w:lineRule="exact"/>
              <w:jc w:val="center"/>
              <w:rPr>
                <w:rFonts w:hint="eastAsia" w:ascii="宋体" w:hAnsi="宋体"/>
                <w:b/>
                <w:szCs w:val="21"/>
              </w:rPr>
            </w:pPr>
          </w:p>
        </w:tc>
        <w:tc>
          <w:tcPr>
            <w:tcW w:w="924" w:type="dxa"/>
            <w:vAlign w:val="center"/>
          </w:tcPr>
          <w:p w14:paraId="0C4DBA5E">
            <w:pPr>
              <w:spacing w:line="360" w:lineRule="exact"/>
              <w:jc w:val="center"/>
              <w:rPr>
                <w:rFonts w:hint="eastAsia"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DA0C75">
            <w:pPr>
              <w:spacing w:line="360" w:lineRule="exact"/>
              <w:jc w:val="center"/>
              <w:rPr>
                <w:rFonts w:hint="eastAsia" w:ascii="宋体" w:hAnsi="宋体"/>
                <w:szCs w:val="21"/>
              </w:rPr>
            </w:pPr>
            <w:r>
              <w:rPr>
                <w:rFonts w:hint="eastAsia" w:ascii="宋体" w:hAnsi="宋体"/>
                <w:szCs w:val="21"/>
              </w:rPr>
              <w:t>14</w:t>
            </w:r>
          </w:p>
        </w:tc>
        <w:tc>
          <w:tcPr>
            <w:tcW w:w="6023" w:type="dxa"/>
            <w:vAlign w:val="center"/>
          </w:tcPr>
          <w:p w14:paraId="697AF84E">
            <w:pPr>
              <w:jc w:val="left"/>
              <w:rPr>
                <w:rFonts w:hint="eastAsia"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56831005">
            <w:pPr>
              <w:spacing w:line="360" w:lineRule="exact"/>
              <w:jc w:val="center"/>
              <w:rPr>
                <w:rFonts w:hint="eastAsia" w:ascii="宋体" w:hAnsi="宋体"/>
                <w:b/>
                <w:szCs w:val="21"/>
              </w:rPr>
            </w:pPr>
          </w:p>
        </w:tc>
        <w:tc>
          <w:tcPr>
            <w:tcW w:w="924" w:type="dxa"/>
            <w:vAlign w:val="center"/>
          </w:tcPr>
          <w:p w14:paraId="1E8CCD25">
            <w:pPr>
              <w:spacing w:line="360" w:lineRule="exact"/>
              <w:jc w:val="center"/>
              <w:rPr>
                <w:rFonts w:hint="eastAsia"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94087C2">
            <w:pPr>
              <w:spacing w:line="360" w:lineRule="exact"/>
              <w:jc w:val="center"/>
              <w:rPr>
                <w:rFonts w:hint="eastAsia" w:ascii="宋体" w:hAnsi="宋体"/>
                <w:szCs w:val="21"/>
              </w:rPr>
            </w:pPr>
            <w:r>
              <w:rPr>
                <w:rFonts w:hint="eastAsia" w:ascii="宋体" w:hAnsi="宋体"/>
                <w:szCs w:val="21"/>
              </w:rPr>
              <w:t>15</w:t>
            </w:r>
          </w:p>
        </w:tc>
        <w:tc>
          <w:tcPr>
            <w:tcW w:w="6023" w:type="dxa"/>
            <w:vAlign w:val="center"/>
          </w:tcPr>
          <w:p w14:paraId="6BD5E4D2">
            <w:pPr>
              <w:jc w:val="left"/>
              <w:rPr>
                <w:rFonts w:hint="eastAsia"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78FDEA10">
            <w:pPr>
              <w:spacing w:line="360" w:lineRule="exact"/>
              <w:jc w:val="center"/>
              <w:rPr>
                <w:rFonts w:hint="eastAsia" w:ascii="宋体" w:hAnsi="宋体"/>
                <w:b/>
                <w:szCs w:val="21"/>
              </w:rPr>
            </w:pPr>
          </w:p>
        </w:tc>
        <w:tc>
          <w:tcPr>
            <w:tcW w:w="924" w:type="dxa"/>
            <w:vAlign w:val="center"/>
          </w:tcPr>
          <w:p w14:paraId="37220197">
            <w:pPr>
              <w:spacing w:line="360" w:lineRule="exact"/>
              <w:jc w:val="center"/>
              <w:rPr>
                <w:rFonts w:hint="eastAsia"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80E6471">
            <w:pPr>
              <w:spacing w:line="360" w:lineRule="exact"/>
              <w:jc w:val="center"/>
              <w:rPr>
                <w:rFonts w:hint="eastAsia" w:ascii="宋体" w:hAnsi="宋体"/>
                <w:szCs w:val="21"/>
              </w:rPr>
            </w:pPr>
            <w:r>
              <w:rPr>
                <w:rFonts w:hint="eastAsia" w:ascii="宋体" w:hAnsi="宋体"/>
                <w:szCs w:val="21"/>
              </w:rPr>
              <w:t>16</w:t>
            </w:r>
          </w:p>
        </w:tc>
        <w:tc>
          <w:tcPr>
            <w:tcW w:w="6023" w:type="dxa"/>
            <w:vAlign w:val="center"/>
          </w:tcPr>
          <w:p w14:paraId="1B981B90">
            <w:pPr>
              <w:jc w:val="left"/>
              <w:rPr>
                <w:rFonts w:hint="eastAsia"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BF51DD">
            <w:pPr>
              <w:spacing w:line="360" w:lineRule="exact"/>
              <w:jc w:val="center"/>
              <w:rPr>
                <w:rFonts w:hint="eastAsia" w:ascii="宋体" w:hAnsi="宋体"/>
                <w:b/>
                <w:szCs w:val="21"/>
              </w:rPr>
            </w:pPr>
          </w:p>
        </w:tc>
        <w:tc>
          <w:tcPr>
            <w:tcW w:w="924" w:type="dxa"/>
            <w:vAlign w:val="center"/>
          </w:tcPr>
          <w:p w14:paraId="21C0B802">
            <w:pPr>
              <w:spacing w:line="360" w:lineRule="exact"/>
              <w:jc w:val="center"/>
              <w:rPr>
                <w:rFonts w:hint="eastAsia"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3D8A984">
            <w:pPr>
              <w:spacing w:line="360" w:lineRule="exact"/>
              <w:jc w:val="center"/>
              <w:rPr>
                <w:rFonts w:hint="eastAsia" w:ascii="宋体" w:hAnsi="宋体"/>
                <w:szCs w:val="21"/>
              </w:rPr>
            </w:pPr>
            <w:r>
              <w:rPr>
                <w:rFonts w:hint="eastAsia" w:ascii="宋体" w:hAnsi="宋体"/>
                <w:szCs w:val="21"/>
              </w:rPr>
              <w:t>17</w:t>
            </w:r>
          </w:p>
        </w:tc>
        <w:tc>
          <w:tcPr>
            <w:tcW w:w="6023" w:type="dxa"/>
            <w:vAlign w:val="center"/>
          </w:tcPr>
          <w:p w14:paraId="66E38D6A">
            <w:pPr>
              <w:jc w:val="left"/>
              <w:rPr>
                <w:rFonts w:hint="eastAsia"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E7FB6E9">
            <w:pPr>
              <w:spacing w:line="360" w:lineRule="exact"/>
              <w:jc w:val="center"/>
              <w:rPr>
                <w:rFonts w:hint="eastAsia" w:ascii="宋体" w:hAnsi="宋体"/>
                <w:b/>
                <w:szCs w:val="21"/>
              </w:rPr>
            </w:pPr>
          </w:p>
        </w:tc>
        <w:tc>
          <w:tcPr>
            <w:tcW w:w="924" w:type="dxa"/>
            <w:vAlign w:val="center"/>
          </w:tcPr>
          <w:p w14:paraId="02FCB6DC">
            <w:pPr>
              <w:spacing w:line="360" w:lineRule="exact"/>
              <w:jc w:val="center"/>
              <w:rPr>
                <w:rFonts w:hint="eastAsia"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69D7A6A8">
            <w:pPr>
              <w:spacing w:line="360" w:lineRule="exact"/>
              <w:jc w:val="center"/>
              <w:rPr>
                <w:rFonts w:hint="eastAsia" w:ascii="宋体" w:hAnsi="宋体"/>
                <w:szCs w:val="21"/>
              </w:rPr>
            </w:pPr>
            <w:r>
              <w:rPr>
                <w:rFonts w:hint="eastAsia" w:ascii="宋体" w:hAnsi="宋体"/>
                <w:szCs w:val="21"/>
              </w:rPr>
              <w:t>18</w:t>
            </w:r>
          </w:p>
        </w:tc>
        <w:tc>
          <w:tcPr>
            <w:tcW w:w="6023" w:type="dxa"/>
            <w:vAlign w:val="center"/>
          </w:tcPr>
          <w:p w14:paraId="3D834E9C">
            <w:pPr>
              <w:jc w:val="left"/>
              <w:rPr>
                <w:rFonts w:hint="eastAsia"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DB023AD">
            <w:pPr>
              <w:spacing w:line="360" w:lineRule="exact"/>
              <w:jc w:val="center"/>
              <w:rPr>
                <w:rFonts w:hint="eastAsia" w:ascii="宋体" w:hAnsi="宋体"/>
                <w:b/>
                <w:szCs w:val="21"/>
              </w:rPr>
            </w:pPr>
          </w:p>
        </w:tc>
        <w:tc>
          <w:tcPr>
            <w:tcW w:w="924" w:type="dxa"/>
            <w:vAlign w:val="center"/>
          </w:tcPr>
          <w:p w14:paraId="71463F8F">
            <w:pPr>
              <w:spacing w:line="360" w:lineRule="exact"/>
              <w:jc w:val="center"/>
              <w:rPr>
                <w:rFonts w:hint="eastAsia"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65057CA">
            <w:pPr>
              <w:spacing w:line="360" w:lineRule="exact"/>
              <w:jc w:val="center"/>
              <w:rPr>
                <w:rFonts w:hint="eastAsia" w:ascii="宋体" w:hAnsi="宋体"/>
                <w:szCs w:val="21"/>
              </w:rPr>
            </w:pPr>
            <w:r>
              <w:rPr>
                <w:rFonts w:hint="eastAsia" w:ascii="宋体" w:hAnsi="宋体"/>
                <w:szCs w:val="21"/>
              </w:rPr>
              <w:t>19</w:t>
            </w:r>
          </w:p>
        </w:tc>
        <w:tc>
          <w:tcPr>
            <w:tcW w:w="6023" w:type="dxa"/>
            <w:vAlign w:val="center"/>
          </w:tcPr>
          <w:p w14:paraId="61765FC8">
            <w:pPr>
              <w:jc w:val="left"/>
              <w:rPr>
                <w:rFonts w:hint="eastAsia"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EE1352">
            <w:pPr>
              <w:spacing w:line="360" w:lineRule="exact"/>
              <w:jc w:val="center"/>
              <w:rPr>
                <w:rFonts w:hint="eastAsia" w:ascii="宋体" w:hAnsi="宋体"/>
                <w:b/>
                <w:szCs w:val="21"/>
              </w:rPr>
            </w:pPr>
          </w:p>
        </w:tc>
        <w:tc>
          <w:tcPr>
            <w:tcW w:w="924" w:type="dxa"/>
            <w:vAlign w:val="center"/>
          </w:tcPr>
          <w:p w14:paraId="65B01E6B">
            <w:pPr>
              <w:spacing w:line="360" w:lineRule="exact"/>
              <w:jc w:val="center"/>
              <w:rPr>
                <w:rFonts w:hint="eastAsia"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325BE0EA">
            <w:pPr>
              <w:spacing w:line="360" w:lineRule="exact"/>
              <w:jc w:val="center"/>
              <w:rPr>
                <w:rFonts w:hint="eastAsia" w:ascii="宋体" w:hAnsi="宋体"/>
                <w:szCs w:val="21"/>
              </w:rPr>
            </w:pPr>
            <w:r>
              <w:rPr>
                <w:rFonts w:hint="eastAsia" w:ascii="宋体" w:hAnsi="宋体"/>
                <w:szCs w:val="21"/>
              </w:rPr>
              <w:t>20</w:t>
            </w:r>
          </w:p>
        </w:tc>
        <w:tc>
          <w:tcPr>
            <w:tcW w:w="6023" w:type="dxa"/>
            <w:vAlign w:val="center"/>
          </w:tcPr>
          <w:p w14:paraId="7A7230BC">
            <w:pPr>
              <w:jc w:val="left"/>
              <w:rPr>
                <w:rFonts w:hint="eastAsia" w:ascii="宋体" w:hAnsi="宋体" w:cs="宋体"/>
                <w:snapToGrid w:val="0"/>
                <w:kern w:val="0"/>
                <w:szCs w:val="21"/>
              </w:rPr>
            </w:pPr>
            <w:r>
              <w:rPr>
                <w:szCs w:val="21"/>
              </w:rPr>
              <w:t>其他隐瞒真实情况、提供虚假资料的行为。</w:t>
            </w:r>
          </w:p>
        </w:tc>
        <w:tc>
          <w:tcPr>
            <w:tcW w:w="2921" w:type="dxa"/>
            <w:vAlign w:val="center"/>
          </w:tcPr>
          <w:p w14:paraId="0FA24524">
            <w:pPr>
              <w:spacing w:line="360" w:lineRule="exact"/>
              <w:jc w:val="center"/>
              <w:rPr>
                <w:rFonts w:hint="eastAsia" w:ascii="宋体" w:hAnsi="宋体"/>
                <w:b/>
                <w:szCs w:val="21"/>
              </w:rPr>
            </w:pPr>
          </w:p>
        </w:tc>
        <w:tc>
          <w:tcPr>
            <w:tcW w:w="924" w:type="dxa"/>
            <w:vAlign w:val="center"/>
          </w:tcPr>
          <w:p w14:paraId="77891AE9">
            <w:pPr>
              <w:spacing w:line="360" w:lineRule="exact"/>
              <w:jc w:val="center"/>
              <w:rPr>
                <w:rFonts w:hint="eastAsia" w:ascii="宋体" w:hAnsi="宋体"/>
                <w:b/>
                <w:szCs w:val="21"/>
              </w:rPr>
            </w:pPr>
          </w:p>
        </w:tc>
      </w:tr>
    </w:tbl>
    <w:p w14:paraId="174AD53D">
      <w:pPr>
        <w:spacing w:line="360" w:lineRule="auto"/>
        <w:jc w:val="left"/>
        <w:rPr>
          <w:rFonts w:hint="eastAsia"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323"/>
        <w:ind w:firstLine="480"/>
        <w:rPr>
          <w:rFonts w:hint="eastAsia"/>
        </w:rPr>
      </w:pPr>
    </w:p>
    <w:p w14:paraId="720AED54">
      <w:pPr>
        <w:rPr>
          <w:rFonts w:hint="eastAsia" w:ascii="仿宋" w:hAnsi="仿宋" w:eastAsia="仿宋"/>
        </w:rPr>
      </w:pPr>
      <w:r>
        <w:rPr>
          <w:rFonts w:hint="eastAsia" w:ascii="仿宋" w:hAnsi="仿宋" w:eastAsia="仿宋"/>
        </w:rPr>
        <w:br w:type="page"/>
      </w:r>
    </w:p>
    <w:p w14:paraId="1A9EE9B5">
      <w:pPr>
        <w:pStyle w:val="323"/>
        <w:ind w:firstLine="480"/>
        <w:rPr>
          <w:rFonts w:hint="eastAsia"/>
        </w:rPr>
      </w:pPr>
    </w:p>
    <w:p w14:paraId="3481F4F8">
      <w:pPr>
        <w:pStyle w:val="4"/>
        <w:spacing w:line="400" w:lineRule="exact"/>
        <w:rPr>
          <w:rFonts w:hint="eastAsia" w:ascii="仿宋" w:hAnsi="仿宋" w:eastAsia="仿宋"/>
        </w:rPr>
      </w:pPr>
      <w:r>
        <w:rPr>
          <w:rFonts w:hint="eastAsia" w:ascii="仿宋" w:hAnsi="仿宋" w:eastAsia="仿宋"/>
        </w:rPr>
        <w:t>供应商基本情况表</w:t>
      </w:r>
    </w:p>
    <w:p w14:paraId="4ACB40D6">
      <w:pPr>
        <w:spacing w:before="157" w:line="198" w:lineRule="auto"/>
        <w:ind w:left="126" w:right="-21" w:rightChars="-10"/>
        <w:jc w:val="center"/>
        <w:rPr>
          <w:rFonts w:hint="eastAsia"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769601EC">
      <w:pPr>
        <w:spacing w:line="75" w:lineRule="exact"/>
        <w:rPr>
          <w:rFonts w:hint="eastAsia" w:ascii="宋体" w:hAnsi="宋体" w:cs="宋体"/>
          <w:szCs w:val="21"/>
        </w:rPr>
      </w:pPr>
    </w:p>
    <w:tbl>
      <w:tblPr>
        <w:tblStyle w:val="509"/>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2012A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0A20AE9C">
            <w:pPr>
              <w:pStyle w:val="508"/>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6F03C284">
            <w:pPr>
              <w:jc w:val="center"/>
              <w:rPr>
                <w:rFonts w:hint="eastAsia" w:ascii="宋体" w:hAnsi="宋体" w:cs="宋体"/>
                <w:szCs w:val="21"/>
              </w:rPr>
            </w:pPr>
          </w:p>
        </w:tc>
        <w:tc>
          <w:tcPr>
            <w:tcW w:w="1990" w:type="dxa"/>
            <w:gridSpan w:val="2"/>
          </w:tcPr>
          <w:p w14:paraId="1EB02B8B">
            <w:pPr>
              <w:pStyle w:val="508"/>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042345A7">
            <w:pPr>
              <w:jc w:val="center"/>
              <w:rPr>
                <w:rFonts w:hint="eastAsia" w:ascii="宋体" w:hAnsi="宋体" w:cs="宋体"/>
                <w:szCs w:val="21"/>
              </w:rPr>
            </w:pPr>
          </w:p>
        </w:tc>
      </w:tr>
      <w:tr w14:paraId="5487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6435C3E7">
            <w:pPr>
              <w:pStyle w:val="508"/>
              <w:widowControl/>
              <w:tabs>
                <w:tab w:val="left" w:pos="1260"/>
              </w:tabs>
              <w:kinsoku w:val="0"/>
              <w:autoSpaceDE w:val="0"/>
              <w:autoSpaceDN w:val="0"/>
              <w:adjustRightInd w:val="0"/>
              <w:snapToGrid w:val="0"/>
              <w:spacing w:before="40" w:line="360" w:lineRule="exact"/>
              <w:ind w:left="6" w:right="105" w:hanging="6"/>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C65C5C4">
            <w:pPr>
              <w:widowControl/>
              <w:kinsoku w:val="0"/>
              <w:autoSpaceDE w:val="0"/>
              <w:autoSpaceDN w:val="0"/>
              <w:adjustRightInd w:val="0"/>
              <w:snapToGrid w:val="0"/>
              <w:spacing w:line="360" w:lineRule="exact"/>
              <w:jc w:val="center"/>
              <w:textAlignment w:val="baseline"/>
              <w:rPr>
                <w:rFonts w:hint="eastAsia" w:ascii="宋体" w:hAnsi="宋体" w:cs="宋体"/>
                <w:szCs w:val="21"/>
              </w:rPr>
            </w:pPr>
          </w:p>
        </w:tc>
        <w:tc>
          <w:tcPr>
            <w:tcW w:w="1990" w:type="dxa"/>
            <w:gridSpan w:val="2"/>
          </w:tcPr>
          <w:p w14:paraId="2D073D07">
            <w:pPr>
              <w:pStyle w:val="508"/>
              <w:widowControl/>
              <w:kinsoku w:val="0"/>
              <w:autoSpaceDE w:val="0"/>
              <w:autoSpaceDN w:val="0"/>
              <w:adjustRightInd w:val="0"/>
              <w:snapToGrid w:val="0"/>
              <w:spacing w:before="40" w:line="360" w:lineRule="exact"/>
              <w:ind w:left="527" w:right="152" w:hanging="362"/>
              <w:textAlignment w:val="baseline"/>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7A7B385B">
            <w:pPr>
              <w:widowControl/>
              <w:kinsoku w:val="0"/>
              <w:autoSpaceDE w:val="0"/>
              <w:autoSpaceDN w:val="0"/>
              <w:adjustRightInd w:val="0"/>
              <w:snapToGrid w:val="0"/>
              <w:spacing w:line="360" w:lineRule="exact"/>
              <w:jc w:val="center"/>
              <w:textAlignment w:val="baseline"/>
              <w:rPr>
                <w:rFonts w:hint="eastAsia" w:ascii="宋体" w:hAnsi="宋体" w:cs="宋体"/>
                <w:szCs w:val="21"/>
              </w:rPr>
            </w:pPr>
          </w:p>
        </w:tc>
      </w:tr>
      <w:tr w14:paraId="71D4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4E6C2327">
            <w:pPr>
              <w:pStyle w:val="508"/>
              <w:spacing w:before="175"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3A2A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3601CD97">
            <w:pPr>
              <w:pStyle w:val="508"/>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02DCFCC5">
            <w:pPr>
              <w:pStyle w:val="508"/>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4A1E94DA">
            <w:pPr>
              <w:pStyle w:val="508"/>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4E36067E">
            <w:pPr>
              <w:pStyle w:val="508"/>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40DABDDD">
            <w:pPr>
              <w:pStyle w:val="508"/>
              <w:widowControl/>
              <w:kinsoku w:val="0"/>
              <w:autoSpaceDE w:val="0"/>
              <w:autoSpaceDN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27D511B">
            <w:pPr>
              <w:pStyle w:val="508"/>
              <w:widowControl/>
              <w:kinsoku w:val="0"/>
              <w:autoSpaceDE w:val="0"/>
              <w:autoSpaceDN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2179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2C13CB6A">
            <w:pPr>
              <w:spacing w:line="252" w:lineRule="auto"/>
              <w:rPr>
                <w:rFonts w:hint="eastAsia" w:ascii="宋体" w:hAnsi="宋体" w:cs="宋体"/>
                <w:szCs w:val="21"/>
              </w:rPr>
            </w:pPr>
          </w:p>
          <w:p w14:paraId="25EA2358">
            <w:pPr>
              <w:pStyle w:val="50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tcPr>
          <w:p w14:paraId="3477E96F">
            <w:pPr>
              <w:pStyle w:val="508"/>
              <w:spacing w:before="174" w:line="235" w:lineRule="auto"/>
              <w:ind w:left="240" w:right="116" w:hanging="101"/>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7C01D3E4">
            <w:pPr>
              <w:jc w:val="center"/>
              <w:rPr>
                <w:rFonts w:hint="eastAsia" w:ascii="宋体" w:hAnsi="宋体" w:cs="宋体"/>
                <w:szCs w:val="21"/>
              </w:rPr>
            </w:pPr>
          </w:p>
        </w:tc>
        <w:tc>
          <w:tcPr>
            <w:tcW w:w="1990" w:type="dxa"/>
            <w:gridSpan w:val="2"/>
            <w:vAlign w:val="center"/>
          </w:tcPr>
          <w:p w14:paraId="5406EB3C">
            <w:pPr>
              <w:jc w:val="center"/>
              <w:rPr>
                <w:rFonts w:hint="eastAsia" w:ascii="宋体" w:hAnsi="宋体" w:cs="宋体"/>
                <w:szCs w:val="21"/>
              </w:rPr>
            </w:pPr>
          </w:p>
        </w:tc>
        <w:tc>
          <w:tcPr>
            <w:tcW w:w="1499" w:type="dxa"/>
            <w:vAlign w:val="center"/>
          </w:tcPr>
          <w:p w14:paraId="7D732A3A">
            <w:pPr>
              <w:jc w:val="center"/>
              <w:rPr>
                <w:rFonts w:hint="eastAsia" w:ascii="宋体" w:hAnsi="宋体" w:cs="宋体"/>
                <w:szCs w:val="21"/>
              </w:rPr>
            </w:pPr>
          </w:p>
        </w:tc>
        <w:tc>
          <w:tcPr>
            <w:tcW w:w="1489" w:type="dxa"/>
            <w:vAlign w:val="center"/>
          </w:tcPr>
          <w:p w14:paraId="18C18C2A">
            <w:pPr>
              <w:jc w:val="center"/>
              <w:rPr>
                <w:rFonts w:hint="eastAsia" w:ascii="宋体" w:hAnsi="宋体" w:cs="宋体"/>
                <w:szCs w:val="21"/>
              </w:rPr>
            </w:pPr>
          </w:p>
        </w:tc>
      </w:tr>
      <w:tr w14:paraId="10315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688BD6B">
            <w:pPr>
              <w:pStyle w:val="50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A1FE3A6">
            <w:pPr>
              <w:pStyle w:val="50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7A4F3221">
            <w:pPr>
              <w:jc w:val="center"/>
              <w:rPr>
                <w:rFonts w:hint="eastAsia" w:ascii="宋体" w:hAnsi="宋体" w:cs="宋体"/>
                <w:szCs w:val="21"/>
              </w:rPr>
            </w:pPr>
          </w:p>
        </w:tc>
        <w:tc>
          <w:tcPr>
            <w:tcW w:w="1990" w:type="dxa"/>
            <w:gridSpan w:val="2"/>
            <w:vAlign w:val="center"/>
          </w:tcPr>
          <w:p w14:paraId="5F8D83AF">
            <w:pPr>
              <w:jc w:val="center"/>
              <w:rPr>
                <w:rFonts w:hint="eastAsia" w:ascii="宋体" w:hAnsi="宋体" w:cs="宋体"/>
                <w:szCs w:val="21"/>
              </w:rPr>
            </w:pPr>
          </w:p>
        </w:tc>
        <w:tc>
          <w:tcPr>
            <w:tcW w:w="1499" w:type="dxa"/>
            <w:vAlign w:val="center"/>
          </w:tcPr>
          <w:p w14:paraId="6AA989E0">
            <w:pPr>
              <w:jc w:val="center"/>
              <w:rPr>
                <w:rFonts w:hint="eastAsia" w:ascii="宋体" w:hAnsi="宋体" w:cs="宋体"/>
                <w:szCs w:val="21"/>
              </w:rPr>
            </w:pPr>
          </w:p>
        </w:tc>
        <w:tc>
          <w:tcPr>
            <w:tcW w:w="1489" w:type="dxa"/>
            <w:vAlign w:val="center"/>
          </w:tcPr>
          <w:p w14:paraId="04B8397A">
            <w:pPr>
              <w:jc w:val="center"/>
              <w:rPr>
                <w:rFonts w:hint="eastAsia" w:ascii="宋体" w:hAnsi="宋体" w:cs="宋体"/>
                <w:szCs w:val="21"/>
              </w:rPr>
            </w:pPr>
          </w:p>
        </w:tc>
      </w:tr>
      <w:tr w14:paraId="6A92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97359D6">
            <w:pPr>
              <w:pStyle w:val="50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tcPr>
          <w:p w14:paraId="6C209224">
            <w:pPr>
              <w:pStyle w:val="50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1431E195">
            <w:pPr>
              <w:jc w:val="center"/>
              <w:rPr>
                <w:rFonts w:hint="eastAsia" w:ascii="宋体" w:hAnsi="宋体" w:cs="宋体"/>
                <w:szCs w:val="21"/>
              </w:rPr>
            </w:pPr>
          </w:p>
        </w:tc>
        <w:tc>
          <w:tcPr>
            <w:tcW w:w="1990" w:type="dxa"/>
            <w:gridSpan w:val="2"/>
            <w:vAlign w:val="center"/>
          </w:tcPr>
          <w:p w14:paraId="322E6CD6">
            <w:pPr>
              <w:jc w:val="center"/>
              <w:rPr>
                <w:rFonts w:hint="eastAsia" w:ascii="宋体" w:hAnsi="宋体" w:cs="宋体"/>
                <w:szCs w:val="21"/>
              </w:rPr>
            </w:pPr>
          </w:p>
        </w:tc>
        <w:tc>
          <w:tcPr>
            <w:tcW w:w="1499" w:type="dxa"/>
            <w:vAlign w:val="center"/>
          </w:tcPr>
          <w:p w14:paraId="25450D23">
            <w:pPr>
              <w:jc w:val="center"/>
              <w:rPr>
                <w:rFonts w:hint="eastAsia" w:ascii="宋体" w:hAnsi="宋体" w:cs="宋体"/>
                <w:szCs w:val="21"/>
              </w:rPr>
            </w:pPr>
          </w:p>
        </w:tc>
        <w:tc>
          <w:tcPr>
            <w:tcW w:w="1489" w:type="dxa"/>
            <w:vAlign w:val="center"/>
          </w:tcPr>
          <w:p w14:paraId="42D744A6">
            <w:pPr>
              <w:jc w:val="center"/>
              <w:rPr>
                <w:rFonts w:hint="eastAsia" w:ascii="宋体" w:hAnsi="宋体" w:cs="宋体"/>
                <w:szCs w:val="21"/>
              </w:rPr>
            </w:pPr>
          </w:p>
        </w:tc>
      </w:tr>
      <w:tr w14:paraId="39EF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74820A8">
            <w:pPr>
              <w:pStyle w:val="50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tcPr>
          <w:p w14:paraId="54C4283E">
            <w:pPr>
              <w:pStyle w:val="50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8AB78E1">
            <w:pPr>
              <w:jc w:val="center"/>
              <w:rPr>
                <w:rFonts w:hint="eastAsia" w:ascii="宋体" w:hAnsi="宋体" w:cs="宋体"/>
                <w:szCs w:val="21"/>
              </w:rPr>
            </w:pPr>
          </w:p>
        </w:tc>
        <w:tc>
          <w:tcPr>
            <w:tcW w:w="1990" w:type="dxa"/>
            <w:gridSpan w:val="2"/>
            <w:vAlign w:val="center"/>
          </w:tcPr>
          <w:p w14:paraId="67B06140">
            <w:pPr>
              <w:jc w:val="center"/>
              <w:rPr>
                <w:rFonts w:hint="eastAsia" w:ascii="宋体" w:hAnsi="宋体" w:cs="宋体"/>
                <w:szCs w:val="21"/>
              </w:rPr>
            </w:pPr>
          </w:p>
        </w:tc>
        <w:tc>
          <w:tcPr>
            <w:tcW w:w="1499" w:type="dxa"/>
            <w:vAlign w:val="center"/>
          </w:tcPr>
          <w:p w14:paraId="64066081">
            <w:pPr>
              <w:jc w:val="center"/>
              <w:rPr>
                <w:rFonts w:hint="eastAsia" w:ascii="宋体" w:hAnsi="宋体" w:cs="宋体"/>
                <w:szCs w:val="21"/>
              </w:rPr>
            </w:pPr>
          </w:p>
        </w:tc>
        <w:tc>
          <w:tcPr>
            <w:tcW w:w="1489" w:type="dxa"/>
            <w:vAlign w:val="center"/>
          </w:tcPr>
          <w:p w14:paraId="45F5157E">
            <w:pPr>
              <w:jc w:val="center"/>
              <w:rPr>
                <w:rFonts w:hint="eastAsia" w:ascii="宋体" w:hAnsi="宋体" w:cs="宋体"/>
                <w:szCs w:val="21"/>
              </w:rPr>
            </w:pPr>
          </w:p>
        </w:tc>
      </w:tr>
      <w:tr w14:paraId="6201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AD6CC37">
            <w:pPr>
              <w:pStyle w:val="50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tcPr>
          <w:p w14:paraId="2637F3AC">
            <w:pPr>
              <w:pStyle w:val="50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C0725C5">
            <w:pPr>
              <w:jc w:val="center"/>
              <w:rPr>
                <w:rFonts w:hint="eastAsia" w:ascii="宋体" w:hAnsi="宋体" w:cs="宋体"/>
                <w:szCs w:val="21"/>
              </w:rPr>
            </w:pPr>
          </w:p>
        </w:tc>
        <w:tc>
          <w:tcPr>
            <w:tcW w:w="1990" w:type="dxa"/>
            <w:gridSpan w:val="2"/>
            <w:vAlign w:val="center"/>
          </w:tcPr>
          <w:p w14:paraId="50F7C516">
            <w:pPr>
              <w:jc w:val="center"/>
              <w:rPr>
                <w:rFonts w:hint="eastAsia" w:ascii="宋体" w:hAnsi="宋体" w:cs="宋体"/>
                <w:szCs w:val="21"/>
              </w:rPr>
            </w:pPr>
          </w:p>
        </w:tc>
        <w:tc>
          <w:tcPr>
            <w:tcW w:w="1499" w:type="dxa"/>
            <w:vAlign w:val="center"/>
          </w:tcPr>
          <w:p w14:paraId="4B5F0000">
            <w:pPr>
              <w:jc w:val="center"/>
              <w:rPr>
                <w:rFonts w:hint="eastAsia" w:ascii="宋体" w:hAnsi="宋体" w:cs="宋体"/>
                <w:szCs w:val="21"/>
              </w:rPr>
            </w:pPr>
          </w:p>
        </w:tc>
        <w:tc>
          <w:tcPr>
            <w:tcW w:w="1489" w:type="dxa"/>
            <w:vAlign w:val="center"/>
          </w:tcPr>
          <w:p w14:paraId="2F252FDA">
            <w:pPr>
              <w:jc w:val="center"/>
              <w:rPr>
                <w:rFonts w:hint="eastAsia" w:ascii="宋体" w:hAnsi="宋体" w:cs="宋体"/>
                <w:szCs w:val="21"/>
              </w:rPr>
            </w:pPr>
          </w:p>
        </w:tc>
      </w:tr>
      <w:tr w14:paraId="1D63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8"/>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8"/>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63E34323">
            <w:pPr>
              <w:pStyle w:val="508"/>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3.法定代表人/单位负责人/主要经营负责人一栏填写“法定代表人”信息。</w:t>
            </w:r>
          </w:p>
        </w:tc>
      </w:tr>
      <w:tr w14:paraId="274D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7CF8E82">
            <w:pPr>
              <w:pStyle w:val="508"/>
              <w:spacing w:before="177"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5BBC5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6744986">
            <w:pPr>
              <w:pStyle w:val="508"/>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34509FC">
            <w:pPr>
              <w:pStyle w:val="508"/>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1774FF58">
            <w:pPr>
              <w:pStyle w:val="508"/>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7F4B5F52">
            <w:pPr>
              <w:pStyle w:val="508"/>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74D0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05DCF881">
            <w:pPr>
              <w:spacing w:line="290" w:lineRule="auto"/>
              <w:rPr>
                <w:rFonts w:hint="eastAsia" w:ascii="宋体" w:hAnsi="宋体" w:cs="宋体"/>
                <w:szCs w:val="21"/>
              </w:rPr>
            </w:pPr>
          </w:p>
          <w:p w14:paraId="4F7C9730">
            <w:pPr>
              <w:spacing w:line="290" w:lineRule="auto"/>
              <w:rPr>
                <w:rFonts w:hint="eastAsia" w:ascii="宋体" w:hAnsi="宋体" w:cs="宋体"/>
                <w:szCs w:val="21"/>
              </w:rPr>
            </w:pPr>
          </w:p>
          <w:p w14:paraId="05FC99C3">
            <w:pPr>
              <w:pStyle w:val="50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tcPr>
          <w:p w14:paraId="3DED41B3">
            <w:pPr>
              <w:spacing w:line="274" w:lineRule="auto"/>
              <w:rPr>
                <w:rFonts w:hint="eastAsia" w:ascii="宋体" w:hAnsi="宋体" w:cs="宋体"/>
                <w:szCs w:val="21"/>
              </w:rPr>
            </w:pPr>
          </w:p>
          <w:p w14:paraId="2A4A718A">
            <w:pPr>
              <w:spacing w:line="274" w:lineRule="auto"/>
              <w:rPr>
                <w:rFonts w:hint="eastAsia" w:ascii="宋体" w:hAnsi="宋体" w:cs="宋体"/>
                <w:szCs w:val="21"/>
              </w:rPr>
            </w:pPr>
          </w:p>
          <w:p w14:paraId="331FEC8E">
            <w:pPr>
              <w:pStyle w:val="508"/>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42F38788">
            <w:pPr>
              <w:jc w:val="center"/>
              <w:rPr>
                <w:rFonts w:hint="eastAsia" w:ascii="宋体" w:hAnsi="宋体" w:cs="宋体"/>
                <w:szCs w:val="21"/>
              </w:rPr>
            </w:pPr>
          </w:p>
        </w:tc>
        <w:tc>
          <w:tcPr>
            <w:tcW w:w="4187" w:type="dxa"/>
            <w:gridSpan w:val="3"/>
            <w:vAlign w:val="center"/>
          </w:tcPr>
          <w:p w14:paraId="09710C0A">
            <w:pPr>
              <w:pStyle w:val="508"/>
              <w:widowControl/>
              <w:kinsoku w:val="0"/>
              <w:autoSpaceDE w:val="0"/>
              <w:autoSpaceDN w:val="0"/>
              <w:adjustRightInd w:val="0"/>
              <w:snapToGrid w:val="0"/>
              <w:spacing w:before="27" w:line="300" w:lineRule="exact"/>
              <w:ind w:left="98" w:right="116" w:firstLine="19"/>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49D34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390391FF">
            <w:pPr>
              <w:pStyle w:val="508"/>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tcPr>
          <w:p w14:paraId="32AAA87B">
            <w:pPr>
              <w:pStyle w:val="508"/>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A0BD09B">
            <w:pPr>
              <w:jc w:val="center"/>
              <w:rPr>
                <w:rFonts w:hint="eastAsia" w:ascii="宋体" w:hAnsi="宋体" w:cs="宋体"/>
                <w:szCs w:val="21"/>
              </w:rPr>
            </w:pPr>
          </w:p>
        </w:tc>
        <w:tc>
          <w:tcPr>
            <w:tcW w:w="4187" w:type="dxa"/>
            <w:gridSpan w:val="3"/>
          </w:tcPr>
          <w:p w14:paraId="2CC73904">
            <w:pPr>
              <w:pStyle w:val="508"/>
              <w:widowControl/>
              <w:kinsoku w:val="0"/>
              <w:autoSpaceDE w:val="0"/>
              <w:autoSpaceDN w:val="0"/>
              <w:adjustRightInd w:val="0"/>
              <w:snapToGrid w:val="0"/>
              <w:spacing w:before="43" w:line="300" w:lineRule="exact"/>
              <w:ind w:left="120" w:right="24"/>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2A07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1FBF5036">
            <w:pPr>
              <w:pStyle w:val="508"/>
              <w:spacing w:before="42"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54356E81">
      <w:pPr>
        <w:spacing w:line="360" w:lineRule="auto"/>
        <w:rPr>
          <w:rFonts w:hint="eastAsia" w:ascii="宋体" w:hAnsi="宋体" w:cs="宋体"/>
          <w:b/>
          <w:bCs/>
        </w:rPr>
      </w:pPr>
      <w:r>
        <w:rPr>
          <w:rFonts w:hint="eastAsia" w:ascii="宋体" w:hAnsi="宋体" w:cs="宋体"/>
          <w:b/>
          <w:bCs/>
        </w:rPr>
        <w:t>填报要求：</w:t>
      </w:r>
    </w:p>
    <w:p w14:paraId="314EA686">
      <w:pPr>
        <w:spacing w:line="360" w:lineRule="auto"/>
        <w:rPr>
          <w:rFonts w:hint="eastAsia"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hint="eastAsia"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05F4260">
      <w:pPr>
        <w:spacing w:line="360" w:lineRule="auto"/>
        <w:rPr>
          <w:rFonts w:hint="eastAsia"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hint="eastAsia"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hint="eastAsia"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hint="eastAsia"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hint="eastAsia"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44EA9E9">
      <w:pPr>
        <w:spacing w:line="360" w:lineRule="auto"/>
        <w:rPr>
          <w:rFonts w:hint="eastAsia"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hint="eastAsia"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hint="eastAsia"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hint="eastAsia"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spacing w:line="360" w:lineRule="auto"/>
        <w:rPr>
          <w:rFonts w:hint="eastAsia" w:ascii="宋体" w:hAnsi="宋体" w:cs="宋体"/>
          <w:b/>
          <w:bCs/>
          <w:highlight w:val="yellow"/>
        </w:rPr>
      </w:pPr>
    </w:p>
    <w:p w14:paraId="18ED6014">
      <w:pPr>
        <w:pStyle w:val="4"/>
        <w:spacing w:line="400" w:lineRule="exact"/>
        <w:rPr>
          <w:rFonts w:hint="eastAsia" w:ascii="仿宋" w:hAnsi="仿宋" w:eastAsia="仿宋"/>
        </w:rPr>
      </w:pPr>
      <w:r>
        <w:rPr>
          <w:rFonts w:hint="eastAsia" w:ascii="仿宋" w:hAnsi="仿宋" w:eastAsia="仿宋"/>
        </w:rPr>
        <w:t>个人社保缴纳明细截图</w:t>
      </w:r>
    </w:p>
    <w:p w14:paraId="16A9BD5E">
      <w:pPr>
        <w:spacing w:line="560" w:lineRule="exact"/>
        <w:rPr>
          <w:rFonts w:hint="eastAsia"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05D1BEC5">
      <w:pPr>
        <w:spacing w:line="560" w:lineRule="exact"/>
        <w:rPr>
          <w:rFonts w:hint="eastAsia" w:ascii="宋体" w:hAnsi="宋体" w:cs="宋体"/>
          <w:szCs w:val="21"/>
        </w:rPr>
      </w:pPr>
    </w:p>
    <w:p w14:paraId="49980080">
      <w:pPr>
        <w:spacing w:line="560" w:lineRule="exact"/>
        <w:rPr>
          <w:rFonts w:hint="eastAsia" w:ascii="宋体" w:hAnsi="宋体" w:cs="宋体"/>
          <w:szCs w:val="21"/>
        </w:rPr>
      </w:pPr>
    </w:p>
    <w:p w14:paraId="1FAFBE8E">
      <w:pPr>
        <w:spacing w:line="560" w:lineRule="exact"/>
        <w:rPr>
          <w:rFonts w:hint="eastAsia" w:ascii="宋体" w:hAnsi="宋体" w:cs="宋体"/>
          <w:szCs w:val="21"/>
        </w:rPr>
      </w:pPr>
      <w:r>
        <w:rPr>
          <w:rFonts w:hint="eastAsia" w:ascii="宋体" w:hAnsi="宋体" w:cs="宋体"/>
          <w:szCs w:val="21"/>
        </w:rPr>
        <w:t>2、项目投标授权代表人</w:t>
      </w:r>
    </w:p>
    <w:p w14:paraId="3469FB89">
      <w:pPr>
        <w:spacing w:line="560" w:lineRule="exact"/>
        <w:rPr>
          <w:rFonts w:hint="eastAsia" w:ascii="宋体" w:hAnsi="宋体" w:cs="宋体"/>
          <w:szCs w:val="21"/>
        </w:rPr>
      </w:pPr>
    </w:p>
    <w:p w14:paraId="1DC82CA1">
      <w:pPr>
        <w:spacing w:line="560" w:lineRule="exact"/>
        <w:rPr>
          <w:rFonts w:hint="eastAsia" w:ascii="宋体" w:hAnsi="宋体" w:cs="宋体"/>
          <w:szCs w:val="21"/>
        </w:rPr>
      </w:pPr>
    </w:p>
    <w:p w14:paraId="18435CE7">
      <w:pPr>
        <w:spacing w:line="560" w:lineRule="exact"/>
        <w:rPr>
          <w:rFonts w:hint="eastAsia" w:ascii="宋体" w:hAnsi="宋体" w:cs="宋体"/>
          <w:szCs w:val="21"/>
        </w:rPr>
      </w:pPr>
      <w:r>
        <w:rPr>
          <w:rFonts w:hint="eastAsia" w:ascii="宋体" w:hAnsi="宋体" w:cs="宋体"/>
          <w:szCs w:val="21"/>
        </w:rPr>
        <w:t>3、项目负责人</w:t>
      </w:r>
    </w:p>
    <w:p w14:paraId="4E33272B">
      <w:pPr>
        <w:spacing w:line="560" w:lineRule="exact"/>
        <w:rPr>
          <w:rFonts w:hint="eastAsia" w:ascii="宋体" w:hAnsi="宋体" w:cs="宋体"/>
          <w:szCs w:val="21"/>
        </w:rPr>
      </w:pPr>
    </w:p>
    <w:p w14:paraId="6657EC5C">
      <w:pPr>
        <w:spacing w:line="560" w:lineRule="exact"/>
        <w:rPr>
          <w:rFonts w:hint="eastAsia" w:ascii="宋体" w:hAnsi="宋体" w:cs="宋体"/>
          <w:szCs w:val="21"/>
        </w:rPr>
      </w:pPr>
    </w:p>
    <w:p w14:paraId="0CE914C4">
      <w:pPr>
        <w:spacing w:line="560" w:lineRule="exact"/>
        <w:rPr>
          <w:rFonts w:hint="eastAsia" w:ascii="宋体" w:hAnsi="宋体" w:cs="宋体"/>
          <w:szCs w:val="21"/>
        </w:rPr>
      </w:pPr>
      <w:r>
        <w:rPr>
          <w:rFonts w:hint="eastAsia" w:ascii="宋体" w:hAnsi="宋体" w:cs="宋体"/>
          <w:szCs w:val="21"/>
        </w:rPr>
        <w:t>4、主要技术人员</w:t>
      </w:r>
    </w:p>
    <w:p w14:paraId="21548B76">
      <w:pPr>
        <w:spacing w:line="560" w:lineRule="exact"/>
        <w:rPr>
          <w:rFonts w:hint="eastAsia" w:ascii="宋体" w:hAnsi="宋体" w:cs="宋体"/>
          <w:szCs w:val="21"/>
        </w:rPr>
      </w:pPr>
    </w:p>
    <w:p w14:paraId="098B31EB">
      <w:pPr>
        <w:spacing w:line="560" w:lineRule="exact"/>
        <w:rPr>
          <w:rFonts w:hint="eastAsia" w:ascii="宋体" w:hAnsi="宋体" w:cs="宋体"/>
          <w:szCs w:val="21"/>
        </w:rPr>
      </w:pPr>
    </w:p>
    <w:p w14:paraId="38381432">
      <w:pPr>
        <w:numPr>
          <w:ilvl w:val="0"/>
          <w:numId w:val="7"/>
        </w:numPr>
        <w:spacing w:line="560" w:lineRule="exact"/>
        <w:rPr>
          <w:rFonts w:hint="eastAsia" w:ascii="宋体" w:hAnsi="宋体" w:cs="宋体"/>
          <w:spacing w:val="-2"/>
          <w:szCs w:val="21"/>
        </w:rPr>
      </w:pPr>
      <w:r>
        <w:rPr>
          <w:rFonts w:hint="eastAsia" w:ascii="宋体" w:hAnsi="宋体" w:cs="宋体"/>
          <w:spacing w:val="-2"/>
          <w:szCs w:val="21"/>
        </w:rPr>
        <w:t>投标文件编制人员</w:t>
      </w:r>
    </w:p>
    <w:p w14:paraId="3E387640">
      <w:pPr>
        <w:spacing w:line="560" w:lineRule="exact"/>
        <w:rPr>
          <w:rFonts w:hint="eastAsia" w:ascii="宋体" w:hAnsi="宋体" w:cs="宋体"/>
          <w:spacing w:val="-2"/>
          <w:szCs w:val="21"/>
        </w:rPr>
      </w:pPr>
    </w:p>
    <w:p w14:paraId="7E75FC4C">
      <w:pPr>
        <w:spacing w:line="560" w:lineRule="exact"/>
        <w:rPr>
          <w:rFonts w:hint="eastAsia" w:ascii="宋体" w:hAnsi="宋体" w:cs="宋体"/>
          <w:szCs w:val="21"/>
        </w:rPr>
      </w:pPr>
    </w:p>
    <w:p w14:paraId="09FC2C41">
      <w:pPr>
        <w:spacing w:line="560" w:lineRule="exact"/>
        <w:rPr>
          <w:rFonts w:hint="eastAsia" w:ascii="宋体" w:hAnsi="宋体" w:cs="宋体"/>
          <w:szCs w:val="21"/>
        </w:rPr>
      </w:pPr>
      <w:r>
        <w:rPr>
          <w:rFonts w:hint="eastAsia" w:ascii="宋体" w:hAnsi="宋体" w:cs="宋体"/>
          <w:szCs w:val="21"/>
        </w:rPr>
        <w:t>其他说明材料：(可以根据项目情况增添附件)</w:t>
      </w:r>
    </w:p>
    <w:p w14:paraId="5894DE43">
      <w:pPr>
        <w:pStyle w:val="323"/>
        <w:ind w:firstLine="480"/>
        <w:rPr>
          <w:rFonts w:hint="eastAsia"/>
        </w:rPr>
      </w:pPr>
    </w:p>
    <w:p w14:paraId="3B3E6A29">
      <w:pPr>
        <w:spacing w:line="560" w:lineRule="exact"/>
        <w:rPr>
          <w:rFonts w:hint="eastAsia" w:ascii="宋体" w:hAnsi="宋体" w:cs="宋体"/>
          <w:szCs w:val="21"/>
        </w:rPr>
      </w:pPr>
      <w:r>
        <w:rPr>
          <w:rFonts w:hint="eastAsia" w:ascii="宋体" w:hAnsi="宋体" w:cs="宋体"/>
          <w:szCs w:val="21"/>
        </w:rPr>
        <w:t>注：同一人员兼任不同职务的，可以合并提供社保等证明材料，本格式仅供参考。</w:t>
      </w:r>
    </w:p>
    <w:p w14:paraId="16AAF6F9">
      <w:pPr>
        <w:spacing w:line="560" w:lineRule="exact"/>
        <w:ind w:firstLine="420" w:firstLineChars="200"/>
        <w:rPr>
          <w:rFonts w:hint="eastAsia" w:ascii="宋体" w:hAnsi="宋体" w:cs="宋体"/>
          <w:szCs w:val="21"/>
        </w:rPr>
      </w:pPr>
    </w:p>
    <w:p w14:paraId="28DDB739">
      <w:pPr>
        <w:spacing w:line="560" w:lineRule="exact"/>
        <w:ind w:firstLine="420" w:firstLineChars="200"/>
        <w:rPr>
          <w:rFonts w:hint="eastAsia" w:ascii="宋体" w:hAnsi="宋体" w:cs="宋体"/>
          <w:szCs w:val="21"/>
        </w:rPr>
      </w:pPr>
    </w:p>
    <w:p w14:paraId="56163C9A"/>
    <w:p w14:paraId="563DB24F">
      <w:pPr>
        <w:rPr>
          <w:rFonts w:hint="eastAsia" w:asciiTheme="minorEastAsia" w:hAnsiTheme="minorEastAsia" w:eastAsiaTheme="minorEastAsia"/>
        </w:rPr>
      </w:pPr>
      <w:bookmarkStart w:id="66" w:name="_Toc44691164"/>
      <w:bookmarkStart w:id="67" w:name="_Toc44690432"/>
      <w:bookmarkStart w:id="68" w:name="_Toc44690705"/>
      <w:bookmarkStart w:id="69" w:name="_Toc135293343"/>
      <w:bookmarkStart w:id="70" w:name="_Toc44691396"/>
      <w:r>
        <w:rPr>
          <w:rFonts w:hint="eastAsia" w:asciiTheme="minorEastAsia" w:hAnsiTheme="minorEastAsia" w:eastAsiaTheme="minorEastAsia"/>
        </w:rPr>
        <w:br w:type="page"/>
      </w:r>
    </w:p>
    <w:bookmarkEnd w:id="66"/>
    <w:bookmarkEnd w:id="67"/>
    <w:bookmarkEnd w:id="68"/>
    <w:bookmarkEnd w:id="69"/>
    <w:bookmarkEnd w:id="70"/>
    <w:p w14:paraId="65E4B76C">
      <w:pPr>
        <w:pStyle w:val="3"/>
        <w:tabs>
          <w:tab w:val="left" w:pos="371"/>
        </w:tabs>
        <w:spacing w:before="120" w:after="120"/>
        <w:ind w:left="-1" w:leftChars="-1" w:hanging="1"/>
        <w:jc w:val="center"/>
        <w:rPr>
          <w:rFonts w:hint="eastAsia"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62B1A033">
      <w:pPr>
        <w:adjustRightInd w:val="0"/>
        <w:snapToGrid w:val="0"/>
        <w:spacing w:line="360" w:lineRule="auto"/>
        <w:rPr>
          <w:rFonts w:hint="eastAsia" w:ascii="宋体" w:hAnsi="宋体"/>
          <w:bCs/>
          <w:snapToGrid w:val="0"/>
          <w:kern w:val="0"/>
          <w:szCs w:val="21"/>
        </w:rPr>
      </w:pPr>
    </w:p>
    <w:p w14:paraId="77159266">
      <w:pPr>
        <w:adjustRightInd w:val="0"/>
        <w:snapToGrid w:val="0"/>
        <w:spacing w:line="360" w:lineRule="auto"/>
        <w:ind w:firstLine="424" w:firstLineChars="202"/>
        <w:rPr>
          <w:szCs w:val="21"/>
        </w:rPr>
      </w:pPr>
      <w:r>
        <w:rPr>
          <w:rFonts w:hint="eastAsia"/>
          <w:szCs w:val="21"/>
        </w:rPr>
        <w:t>1、营业执照或法人证书等证明材料</w:t>
      </w:r>
    </w:p>
    <w:p w14:paraId="328769E7">
      <w:pPr>
        <w:spacing w:line="400" w:lineRule="exact"/>
        <w:ind w:firstLine="420" w:firstLineChars="200"/>
        <w:rPr>
          <w:rFonts w:hint="eastAsia"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68C2ECFD">
      <w:pPr>
        <w:spacing w:line="400" w:lineRule="exact"/>
        <w:ind w:firstLine="420" w:firstLineChars="200"/>
        <w:rPr>
          <w:rFonts w:hint="eastAsia" w:asciiTheme="minorEastAsia" w:hAnsiTheme="minorEastAsia" w:eastAsiaTheme="minorEastAsia"/>
          <w:snapToGrid w:val="0"/>
        </w:rPr>
      </w:pPr>
    </w:p>
    <w:p w14:paraId="478BA40E">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（提供复印件或扫描件加盖投标人公章）</w:t>
      </w:r>
    </w:p>
    <w:p w14:paraId="7987F80A"/>
    <w:p w14:paraId="02713419">
      <w:pPr>
        <w:adjustRightInd w:val="0"/>
        <w:snapToGrid w:val="0"/>
        <w:spacing w:line="360" w:lineRule="auto"/>
        <w:ind w:firstLine="424" w:firstLineChars="202"/>
        <w:rPr>
          <w:rFonts w:hint="eastAsia" w:ascii="宋体" w:hAnsi="宋体"/>
          <w:bCs/>
          <w:snapToGrid w:val="0"/>
          <w:kern w:val="0"/>
          <w:szCs w:val="21"/>
        </w:rPr>
      </w:pPr>
    </w:p>
    <w:p w14:paraId="5EBF0B22">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szCs w:val="21"/>
        </w:rPr>
        <w:t>政府采购投标及履约承诺函</w:t>
      </w:r>
    </w:p>
    <w:p w14:paraId="6587E51A"/>
    <w:p w14:paraId="118FE8CD">
      <w:pPr>
        <w:adjustRightInd w:val="0"/>
        <w:spacing w:line="300" w:lineRule="auto"/>
        <w:ind w:hanging="2"/>
        <w:jc w:val="center"/>
      </w:pPr>
      <w:r>
        <w:rPr>
          <w:rFonts w:hint="eastAsia"/>
          <w:b/>
          <w:snapToGrid w:val="0"/>
          <w:kern w:val="0"/>
          <w:sz w:val="28"/>
        </w:rPr>
        <w:t>政府采购投标及履约承诺函</w:t>
      </w:r>
    </w:p>
    <w:p w14:paraId="7F428824">
      <w:pPr>
        <w:spacing w:line="400" w:lineRule="exact"/>
        <w:rPr>
          <w:rFonts w:hint="eastAsia" w:ascii="宋体" w:hAnsi="宋体" w:cs="Courier New"/>
          <w:snapToGrid w:val="0"/>
          <w:szCs w:val="18"/>
        </w:rPr>
      </w:pPr>
      <w:r>
        <w:rPr>
          <w:rFonts w:hint="eastAsia" w:ascii="宋体" w:hAnsi="宋体" w:cs="Courier New"/>
          <w:snapToGrid w:val="0"/>
          <w:szCs w:val="18"/>
        </w:rPr>
        <w:t>深圳市中正招标有限公司：</w:t>
      </w:r>
    </w:p>
    <w:p w14:paraId="0AA95F53">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我单位承诺：</w:t>
      </w:r>
    </w:p>
    <w:p w14:paraId="38734B95">
      <w:pPr>
        <w:spacing w:line="400" w:lineRule="exact"/>
        <w:ind w:firstLine="420" w:firstLineChars="200"/>
        <w:rPr>
          <w:rFonts w:hint="eastAsia" w:ascii="宋体" w:hAnsi="宋体"/>
          <w:szCs w:val="21"/>
        </w:rPr>
      </w:pPr>
      <w:r>
        <w:rPr>
          <w:rFonts w:hint="eastAsia" w:ascii="宋体" w:hAnsi="宋体"/>
          <w:szCs w:val="21"/>
        </w:rPr>
        <w:t>1.我单位满足《中华人民共和国政府采购法》第二十二条规定的下列条件：</w:t>
      </w:r>
    </w:p>
    <w:p w14:paraId="047F2C8A">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14:paraId="30CFBD68">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14:paraId="038B7EEA">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14:paraId="2EB19617">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14:paraId="14AF5EAB">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724F7491">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14:paraId="5D47D78F">
      <w:pPr>
        <w:spacing w:line="400" w:lineRule="exact"/>
        <w:ind w:firstLine="420" w:firstLineChars="200"/>
        <w:rPr>
          <w:rFonts w:hint="eastAsia"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1AF666C">
      <w:pPr>
        <w:spacing w:line="400" w:lineRule="exact"/>
        <w:ind w:firstLine="420" w:firstLineChars="200"/>
        <w:rPr>
          <w:rFonts w:hint="eastAsia"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77140B0D">
      <w:pPr>
        <w:spacing w:line="400" w:lineRule="exact"/>
        <w:ind w:firstLine="420" w:firstLineChars="200"/>
        <w:rPr>
          <w:rFonts w:hint="eastAsia"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5B8436D7">
      <w:pPr>
        <w:spacing w:line="400" w:lineRule="exact"/>
        <w:ind w:firstLine="420" w:firstLineChars="200"/>
        <w:rPr>
          <w:rFonts w:hint="eastAsia"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19B3462C">
      <w:pPr>
        <w:spacing w:line="400" w:lineRule="exact"/>
        <w:ind w:firstLine="420" w:firstLineChars="200"/>
        <w:rPr>
          <w:rFonts w:hint="eastAsia"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32C34081">
      <w:pPr>
        <w:spacing w:line="400" w:lineRule="exact"/>
        <w:ind w:firstLine="420" w:firstLineChars="200"/>
        <w:rPr>
          <w:rFonts w:hint="eastAsia" w:ascii="宋体" w:hAnsi="宋体"/>
          <w:szCs w:val="21"/>
        </w:rPr>
      </w:pPr>
      <w:r>
        <w:rPr>
          <w:rFonts w:hint="eastAsia" w:ascii="宋体" w:hAnsi="宋体"/>
          <w:szCs w:val="21"/>
        </w:rPr>
        <w:t>（1）投标供应商之间相互约定给予未中标的供应商利益补偿；</w:t>
      </w:r>
    </w:p>
    <w:p w14:paraId="29BB23A1">
      <w:pPr>
        <w:spacing w:line="400" w:lineRule="exact"/>
        <w:ind w:firstLine="420" w:firstLineChars="200"/>
        <w:rPr>
          <w:rFonts w:hint="eastAsia"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3C0CEE5">
      <w:pPr>
        <w:spacing w:line="400" w:lineRule="exact"/>
        <w:ind w:firstLine="420" w:firstLineChars="200"/>
        <w:rPr>
          <w:rFonts w:hint="eastAsia" w:ascii="宋体" w:hAnsi="宋体"/>
          <w:szCs w:val="21"/>
        </w:rPr>
      </w:pPr>
      <w:r>
        <w:rPr>
          <w:rFonts w:hint="eastAsia" w:ascii="宋体" w:hAnsi="宋体"/>
          <w:szCs w:val="21"/>
        </w:rPr>
        <w:t>（3）不同投标供应商的投标文件由同一单位或者同一人编制，或者由同一人分阶段参与编制的；</w:t>
      </w:r>
    </w:p>
    <w:p w14:paraId="5161EF04">
      <w:pPr>
        <w:spacing w:line="400" w:lineRule="exact"/>
        <w:ind w:firstLine="420" w:firstLineChars="200"/>
        <w:rPr>
          <w:rFonts w:hint="eastAsia" w:ascii="宋体" w:hAnsi="宋体"/>
          <w:szCs w:val="21"/>
        </w:rPr>
      </w:pPr>
      <w:r>
        <w:rPr>
          <w:rFonts w:hint="eastAsia" w:ascii="宋体" w:hAnsi="宋体"/>
          <w:szCs w:val="21"/>
        </w:rPr>
        <w:t>（4）不同投标供应商的投标文件或部分投标文件相互混装；</w:t>
      </w:r>
    </w:p>
    <w:p w14:paraId="4C3F4084">
      <w:pPr>
        <w:spacing w:line="400" w:lineRule="exact"/>
        <w:ind w:firstLine="420" w:firstLineChars="200"/>
        <w:rPr>
          <w:rFonts w:hint="eastAsia" w:ascii="宋体" w:hAnsi="宋体"/>
          <w:szCs w:val="21"/>
        </w:rPr>
      </w:pPr>
      <w:r>
        <w:rPr>
          <w:rFonts w:hint="eastAsia" w:ascii="宋体" w:hAnsi="宋体"/>
          <w:szCs w:val="21"/>
        </w:rPr>
        <w:t>（5）不同投标供应商的投标文件内容存在非正常一致；</w:t>
      </w:r>
    </w:p>
    <w:p w14:paraId="1F5EC2CF">
      <w:pPr>
        <w:spacing w:line="400" w:lineRule="exact"/>
        <w:ind w:firstLine="420" w:firstLineChars="200"/>
        <w:rPr>
          <w:rFonts w:hint="eastAsia" w:ascii="宋体" w:hAnsi="宋体"/>
          <w:szCs w:val="21"/>
        </w:rPr>
      </w:pPr>
      <w:r>
        <w:rPr>
          <w:rFonts w:hint="eastAsia" w:ascii="宋体" w:hAnsi="宋体"/>
          <w:szCs w:val="21"/>
        </w:rPr>
        <w:t>（6）由同一单位工作人员为两家以上（含两家）供应商进行同一项投标活动的；</w:t>
      </w:r>
    </w:p>
    <w:p w14:paraId="74F8F500">
      <w:pPr>
        <w:spacing w:line="400" w:lineRule="exact"/>
        <w:ind w:firstLine="420" w:firstLineChars="200"/>
        <w:rPr>
          <w:rFonts w:hint="eastAsia" w:ascii="宋体" w:hAnsi="宋体"/>
          <w:szCs w:val="21"/>
        </w:rPr>
      </w:pPr>
      <w:r>
        <w:rPr>
          <w:rFonts w:hint="eastAsia" w:ascii="宋体" w:hAnsi="宋体"/>
          <w:szCs w:val="21"/>
        </w:rPr>
        <w:t>（7）主管部门依照法律、法规认定的其他情形。</w:t>
      </w:r>
    </w:p>
    <w:p w14:paraId="0A528CE9">
      <w:pPr>
        <w:spacing w:line="40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9A33E84">
      <w:pPr>
        <w:spacing w:line="400" w:lineRule="exact"/>
        <w:ind w:firstLine="420" w:firstLineChars="200"/>
        <w:rPr>
          <w:rFonts w:hint="eastAsia"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7613BA4">
      <w:pPr>
        <w:spacing w:line="400" w:lineRule="exact"/>
        <w:ind w:firstLine="420" w:firstLineChars="200"/>
        <w:rPr>
          <w:rFonts w:hint="eastAsia"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EB31DA6">
      <w:pPr>
        <w:spacing w:line="400" w:lineRule="exact"/>
        <w:ind w:firstLine="420" w:firstLineChars="200"/>
        <w:rPr>
          <w:rFonts w:hint="eastAsia"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9C23EB6">
      <w:pPr>
        <w:spacing w:line="400" w:lineRule="exact"/>
        <w:ind w:firstLine="420" w:firstLineChars="200"/>
        <w:rPr>
          <w:rFonts w:hint="eastAsia" w:ascii="宋体" w:hAnsi="宋体"/>
          <w:szCs w:val="21"/>
        </w:rPr>
      </w:pPr>
      <w:r>
        <w:rPr>
          <w:rFonts w:hint="eastAsia" w:ascii="宋体" w:hAnsi="宋体"/>
          <w:szCs w:val="21"/>
        </w:rPr>
        <w:t>以上承诺，如有违反，愿依照相关法律法规处理，并承担由此给采购人带来的损失。</w:t>
      </w:r>
    </w:p>
    <w:p w14:paraId="02C93CA6">
      <w:pPr>
        <w:spacing w:line="360" w:lineRule="auto"/>
        <w:ind w:firstLine="600"/>
        <w:rPr>
          <w:rFonts w:cs="Courier New"/>
          <w:snapToGrid w:val="0"/>
          <w:szCs w:val="18"/>
        </w:rPr>
      </w:pPr>
    </w:p>
    <w:p w14:paraId="26339587">
      <w:pPr>
        <w:adjustRightInd w:val="0"/>
        <w:snapToGrid w:val="0"/>
        <w:spacing w:line="300" w:lineRule="auto"/>
        <w:rPr>
          <w:snapToGrid w:val="0"/>
          <w:kern w:val="0"/>
        </w:rPr>
      </w:pPr>
      <w:r>
        <w:rPr>
          <w:rFonts w:hint="eastAsia"/>
          <w:snapToGrid w:val="0"/>
          <w:kern w:val="0"/>
        </w:rPr>
        <w:t>投标单位：（加盖公章）</w:t>
      </w:r>
    </w:p>
    <w:p w14:paraId="6C308D9C">
      <w:pPr>
        <w:adjustRightInd w:val="0"/>
        <w:snapToGrid w:val="0"/>
        <w:spacing w:line="300" w:lineRule="auto"/>
        <w:rPr>
          <w:snapToGrid w:val="0"/>
          <w:kern w:val="0"/>
        </w:rPr>
      </w:pPr>
    </w:p>
    <w:p w14:paraId="3B15F8F1">
      <w:pPr>
        <w:adjustRightInd w:val="0"/>
        <w:snapToGrid w:val="0"/>
        <w:spacing w:line="300" w:lineRule="auto"/>
        <w:ind w:right="420"/>
        <w:rPr>
          <w:snapToGrid w:val="0"/>
          <w:kern w:val="0"/>
        </w:rPr>
      </w:pPr>
    </w:p>
    <w:p w14:paraId="448A60D8">
      <w:pPr>
        <w:adjustRightInd w:val="0"/>
        <w:snapToGrid w:val="0"/>
        <w:spacing w:line="360" w:lineRule="auto"/>
        <w:ind w:firstLine="600"/>
        <w:jc w:val="right"/>
      </w:pPr>
      <w:r>
        <w:rPr>
          <w:rFonts w:hint="eastAsia"/>
        </w:rPr>
        <w:t>年     月    日</w:t>
      </w:r>
    </w:p>
    <w:p w14:paraId="026D1D37">
      <w:pPr>
        <w:adjustRightInd w:val="0"/>
        <w:snapToGrid w:val="0"/>
        <w:spacing w:line="360" w:lineRule="auto"/>
        <w:ind w:firstLine="600"/>
        <w:jc w:val="right"/>
      </w:pPr>
    </w:p>
    <w:p w14:paraId="7846103F">
      <w:pPr>
        <w:adjustRightInd w:val="0"/>
        <w:snapToGrid w:val="0"/>
        <w:spacing w:line="360" w:lineRule="auto"/>
        <w:ind w:firstLine="600"/>
        <w:jc w:val="right"/>
      </w:pPr>
    </w:p>
    <w:p w14:paraId="776A0BCE">
      <w:pPr>
        <w:adjustRightInd w:val="0"/>
        <w:snapToGrid w:val="0"/>
        <w:spacing w:line="360" w:lineRule="auto"/>
        <w:ind w:firstLine="600"/>
        <w:jc w:val="right"/>
      </w:pPr>
    </w:p>
    <w:p w14:paraId="080C2662">
      <w:pPr>
        <w:adjustRightInd w:val="0"/>
        <w:snapToGrid w:val="0"/>
        <w:spacing w:line="360" w:lineRule="auto"/>
        <w:ind w:firstLine="424" w:firstLineChars="202"/>
        <w:rPr>
          <w:rFonts w:hint="eastAsia" w:ascii="宋体" w:hAnsi="宋体"/>
        </w:rPr>
      </w:pPr>
      <w:r>
        <w:rPr>
          <w:rFonts w:hint="eastAsia" w:ascii="宋体" w:hAnsi="宋体"/>
        </w:rPr>
        <w:t>3、其它资格证明材料</w:t>
      </w:r>
    </w:p>
    <w:p w14:paraId="6BB3ACEF">
      <w:pPr>
        <w:spacing w:line="400" w:lineRule="exact"/>
        <w:ind w:firstLine="420" w:firstLineChars="200"/>
      </w:pPr>
      <w:r>
        <w:rPr>
          <w:rFonts w:hint="eastAsia" w:ascii="宋体" w:hAnsi="宋体"/>
          <w:szCs w:val="21"/>
        </w:rPr>
        <w:t>（如有，按第一章投标邀请“申请人的资格要求”提供）</w:t>
      </w:r>
    </w:p>
    <w:p w14:paraId="1C0CA120">
      <w:pPr>
        <w:adjustRightInd w:val="0"/>
        <w:snapToGrid w:val="0"/>
        <w:spacing w:line="360" w:lineRule="auto"/>
        <w:ind w:firstLine="600"/>
        <w:jc w:val="right"/>
      </w:pPr>
    </w:p>
    <w:p w14:paraId="7DFD5CA1">
      <w:pPr>
        <w:adjustRightInd w:val="0"/>
        <w:snapToGrid w:val="0"/>
        <w:spacing w:line="360" w:lineRule="auto"/>
        <w:ind w:firstLine="487" w:firstLineChars="202"/>
        <w:rPr>
          <w:rFonts w:ascii="楷体_GB2312" w:eastAsia="楷体_GB2312"/>
          <w:b/>
          <w:bCs/>
          <w:snapToGrid w:val="0"/>
          <w:kern w:val="0"/>
          <w:sz w:val="24"/>
        </w:rPr>
      </w:pPr>
    </w:p>
    <w:p w14:paraId="6A72BC9A">
      <w:pPr>
        <w:adjustRightInd w:val="0"/>
        <w:snapToGrid w:val="0"/>
        <w:spacing w:line="360" w:lineRule="auto"/>
        <w:ind w:firstLine="487" w:firstLineChars="202"/>
      </w:pPr>
      <w:r>
        <w:rPr>
          <w:rFonts w:hint="eastAsia" w:ascii="楷体_GB2312" w:eastAsia="楷体_GB2312"/>
          <w:b/>
          <w:bCs/>
          <w:snapToGrid w:val="0"/>
          <w:kern w:val="0"/>
          <w:sz w:val="24"/>
        </w:rPr>
        <w:t>注：投标人提供的以上资料均需加盖公章</w:t>
      </w: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hint="eastAsia" w:asciiTheme="minorEastAsia" w:hAnsiTheme="minorEastAsia" w:eastAsiaTheme="minorEastAsia"/>
          <w:snapToGrid w:val="0"/>
          <w:kern w:val="0"/>
        </w:rPr>
      </w:pPr>
      <w:bookmarkStart w:id="71" w:name="_Toc135293344"/>
      <w:r>
        <w:rPr>
          <w:rFonts w:hint="eastAsia" w:asciiTheme="minorEastAsia" w:hAnsiTheme="minorEastAsia" w:eastAsiaTheme="minorEastAsia"/>
        </w:rPr>
        <w:t>格式2  法定代表人（负责人）证明书及授权委托书</w:t>
      </w:r>
      <w:bookmarkEnd w:id="71"/>
    </w:p>
    <w:p w14:paraId="60E81D0D">
      <w:pPr>
        <w:spacing w:line="360" w:lineRule="auto"/>
        <w:ind w:firstLine="422" w:firstLineChars="175"/>
        <w:rPr>
          <w:b/>
          <w:sz w:val="24"/>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01B7A78">
      <w:pPr>
        <w:adjustRightInd w:val="0"/>
        <w:snapToGrid w:val="0"/>
        <w:spacing w:line="300" w:lineRule="auto"/>
        <w:jc w:val="center"/>
        <w:rPr>
          <w:b/>
          <w:snapToGrid w:val="0"/>
          <w:sz w:val="32"/>
          <w:szCs w:val="32"/>
        </w:rPr>
      </w:pPr>
    </w:p>
    <w:p w14:paraId="4B7E5533">
      <w:pPr>
        <w:rPr>
          <w:rFonts w:hint="eastAsia" w:ascii="宋体" w:hAnsi="宋体"/>
          <w:b/>
          <w:sz w:val="28"/>
          <w:szCs w:val="28"/>
        </w:rPr>
      </w:pPr>
      <w:r>
        <w:rPr>
          <w:rFonts w:hint="eastAsia" w:ascii="宋体" w:hAnsi="宋体"/>
          <w:b/>
          <w:sz w:val="28"/>
          <w:szCs w:val="28"/>
        </w:rPr>
        <w:br w:type="page"/>
      </w:r>
    </w:p>
    <w:p w14:paraId="3BD43A5E">
      <w:pPr>
        <w:tabs>
          <w:tab w:val="left" w:pos="450"/>
        </w:tabs>
        <w:jc w:val="center"/>
        <w:rPr>
          <w:rFonts w:hint="eastAsia" w:ascii="宋体" w:hAnsi="宋体"/>
          <w:b/>
          <w:sz w:val="28"/>
          <w:szCs w:val="28"/>
        </w:rPr>
      </w:pPr>
    </w:p>
    <w:p w14:paraId="4D9D8BB5">
      <w:pPr>
        <w:tabs>
          <w:tab w:val="left" w:pos="450"/>
        </w:tabs>
        <w:jc w:val="center"/>
        <w:rPr>
          <w:rFonts w:hint="eastAsia" w:ascii="宋体" w:hAnsi="宋体"/>
          <w:b/>
          <w:sz w:val="28"/>
          <w:szCs w:val="28"/>
        </w:rPr>
      </w:pPr>
      <w:r>
        <w:rPr>
          <w:rFonts w:hint="eastAsia" w:ascii="宋体" w:hAnsi="宋体"/>
          <w:b/>
          <w:sz w:val="28"/>
          <w:szCs w:val="28"/>
        </w:rPr>
        <w:t>法定代表人（负责人）证明书（参考）</w:t>
      </w:r>
    </w:p>
    <w:p w14:paraId="739DE288">
      <w:pPr>
        <w:spacing w:line="400" w:lineRule="exact"/>
        <w:rPr>
          <w:rFonts w:hint="eastAsia" w:ascii="宋体" w:hAnsi="宋体"/>
          <w:bCs/>
          <w:sz w:val="28"/>
        </w:rPr>
      </w:pPr>
    </w:p>
    <w:p w14:paraId="7EA9E7DB">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hint="eastAsia"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hint="eastAsia" w:ascii="宋体" w:hAnsi="宋体"/>
        </w:rPr>
      </w:pPr>
      <w:r>
        <w:rPr>
          <w:rFonts w:hint="eastAsia" w:ascii="宋体" w:hAnsi="宋体"/>
        </w:rPr>
        <w:t>附：</w:t>
      </w:r>
    </w:p>
    <w:p w14:paraId="20072EBA">
      <w:pPr>
        <w:spacing w:line="480" w:lineRule="auto"/>
        <w:ind w:firstLine="840" w:firstLineChars="400"/>
        <w:rPr>
          <w:rFonts w:hint="eastAsia" w:ascii="宋体" w:hAnsi="宋体"/>
        </w:rPr>
      </w:pPr>
      <w:r>
        <w:rPr>
          <w:rFonts w:hint="eastAsia" w:ascii="宋体" w:hAnsi="宋体"/>
        </w:rPr>
        <w:t xml:space="preserve">营业执照（注册号）：                       </w:t>
      </w:r>
    </w:p>
    <w:p w14:paraId="36DEEA81">
      <w:pPr>
        <w:spacing w:line="480" w:lineRule="auto"/>
        <w:ind w:firstLine="840" w:firstLineChars="400"/>
        <w:rPr>
          <w:rFonts w:hint="eastAsia" w:ascii="宋体" w:hAnsi="宋体"/>
        </w:rPr>
      </w:pPr>
      <w:r>
        <w:rPr>
          <w:rFonts w:hint="eastAsia" w:ascii="宋体" w:hAnsi="宋体"/>
        </w:rPr>
        <w:t>经济性质：</w:t>
      </w:r>
    </w:p>
    <w:p w14:paraId="632D1DE9">
      <w:pPr>
        <w:spacing w:line="480" w:lineRule="auto"/>
        <w:ind w:firstLine="840" w:firstLineChars="400"/>
        <w:rPr>
          <w:rFonts w:hint="eastAsia" w:ascii="宋体" w:hAnsi="宋体"/>
        </w:rPr>
      </w:pPr>
      <w:r>
        <w:rPr>
          <w:rFonts w:hint="eastAsia" w:ascii="宋体" w:hAnsi="宋体"/>
        </w:rPr>
        <w:t>主营（产）：</w:t>
      </w:r>
    </w:p>
    <w:p w14:paraId="25CE70AC">
      <w:pPr>
        <w:spacing w:line="480" w:lineRule="auto"/>
        <w:ind w:firstLine="840" w:firstLineChars="400"/>
        <w:rPr>
          <w:rFonts w:hint="eastAsia" w:ascii="宋体" w:hAnsi="宋体"/>
        </w:rPr>
      </w:pPr>
      <w:r>
        <w:rPr>
          <w:rFonts w:hint="eastAsia" w:ascii="宋体" w:hAnsi="宋体"/>
        </w:rPr>
        <w:t>兼营（产）：</w:t>
      </w:r>
    </w:p>
    <w:p w14:paraId="2B0D061C">
      <w:pPr>
        <w:spacing w:line="480" w:lineRule="auto"/>
        <w:ind w:firstLine="960" w:firstLineChars="400"/>
        <w:rPr>
          <w:rFonts w:hint="eastAsia"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5388AC8E">
      <w:pPr>
        <w:jc w:val="center"/>
        <w:rPr>
          <w:b/>
          <w:bCs/>
          <w:sz w:val="28"/>
        </w:rPr>
      </w:pPr>
    </w:p>
    <w:p w14:paraId="21286CA8">
      <w:pPr>
        <w:jc w:val="center"/>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法定代表人（单位负责人）：（签字）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72"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72"/>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6D039EB6">
      <w:pPr>
        <w:pStyle w:val="3"/>
        <w:tabs>
          <w:tab w:val="left" w:pos="371"/>
        </w:tabs>
        <w:spacing w:before="120" w:after="120"/>
        <w:ind w:left="-1" w:leftChars="-1" w:hanging="1"/>
        <w:jc w:val="center"/>
        <w:rPr>
          <w:rFonts w:hint="eastAsia" w:asciiTheme="minorEastAsia" w:hAnsiTheme="minorEastAsia" w:eastAsiaTheme="minorEastAsia"/>
        </w:rPr>
      </w:pPr>
      <w:bookmarkStart w:id="73"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73"/>
    </w:p>
    <w:p w14:paraId="524D4C9C">
      <w:pPr>
        <w:adjustRightInd w:val="0"/>
        <w:snapToGrid w:val="0"/>
        <w:spacing w:line="312" w:lineRule="auto"/>
      </w:pPr>
    </w:p>
    <w:p w14:paraId="2A3F685D">
      <w:pPr>
        <w:adjustRightInd w:val="0"/>
        <w:snapToGrid w:val="0"/>
        <w:spacing w:line="360" w:lineRule="auto"/>
        <w:rPr>
          <w:rFonts w:hint="eastAsia"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hint="eastAsia"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hint="eastAsia" w:asciiTheme="minorEastAsia" w:hAnsiTheme="minorEastAsia" w:eastAsiaTheme="minorEastAsia"/>
          <w:sz w:val="24"/>
        </w:rPr>
      </w:pPr>
    </w:p>
    <w:p w14:paraId="3CA506A2">
      <w:pPr>
        <w:pStyle w:val="3"/>
        <w:tabs>
          <w:tab w:val="left" w:pos="371"/>
        </w:tabs>
        <w:spacing w:before="120" w:after="120"/>
        <w:ind w:left="-1" w:leftChars="-1" w:hanging="1"/>
        <w:jc w:val="center"/>
        <w:rPr>
          <w:rFonts w:hint="eastAsia" w:asciiTheme="minorEastAsia" w:hAnsiTheme="minorEastAsia" w:eastAsiaTheme="minorEastAsia"/>
        </w:rPr>
      </w:pPr>
      <w:bookmarkStart w:id="74" w:name="_Toc135293346"/>
      <w:r>
        <w:rPr>
          <w:rFonts w:hint="eastAsia" w:asciiTheme="minorEastAsia" w:hAnsiTheme="minorEastAsia" w:eastAsiaTheme="minorEastAsia"/>
        </w:rPr>
        <w:t>格式4  评分中涉及的承诺及声明函</w:t>
      </w:r>
      <w:bookmarkEnd w:id="74"/>
    </w:p>
    <w:p w14:paraId="7EF8CB39">
      <w:pPr>
        <w:widowControl/>
        <w:snapToGrid w:val="0"/>
        <w:spacing w:line="360" w:lineRule="auto"/>
        <w:jc w:val="left"/>
        <w:rPr>
          <w:rFonts w:hint="eastAsia" w:ascii="仿宋" w:hAnsi="仿宋" w:eastAsia="仿宋"/>
          <w:b/>
          <w:bCs/>
          <w:kern w:val="0"/>
          <w:sz w:val="25"/>
          <w:szCs w:val="25"/>
        </w:rPr>
      </w:pPr>
    </w:p>
    <w:p w14:paraId="2EBD4CE0">
      <w:pPr>
        <w:widowControl/>
        <w:snapToGrid w:val="0"/>
        <w:spacing w:line="360" w:lineRule="auto"/>
        <w:jc w:val="left"/>
        <w:outlineLvl w:val="3"/>
        <w:rPr>
          <w:rFonts w:hint="eastAsia"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75" w:name="_Hlk71925120"/>
      <w:r>
        <w:rPr>
          <w:rFonts w:hint="eastAsia" w:asciiTheme="minorEastAsia" w:hAnsiTheme="minorEastAsia" w:eastAsiaTheme="minorEastAsia"/>
          <w:kern w:val="0"/>
          <w:szCs w:val="21"/>
        </w:rPr>
        <w:t>《关于印发中小企业划型标准规定的通知》（工信部联企业〔2011〕300 号</w:t>
      </w:r>
      <w:bookmarkEnd w:id="75"/>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hint="eastAsia"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hint="eastAsia"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5FF3B82F">
      <w:pPr>
        <w:widowControl/>
        <w:snapToGrid w:val="0"/>
        <w:spacing w:line="360" w:lineRule="auto"/>
        <w:ind w:firstLine="420" w:firstLineChars="200"/>
        <w:jc w:val="left"/>
        <w:rPr>
          <w:rFonts w:hint="eastAsia"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hint="eastAsia" w:ascii="宋体" w:hAnsi="宋体" w:eastAsia="宋体"/>
        </w:rPr>
      </w:pPr>
      <w:r>
        <w:rPr>
          <w:rFonts w:hint="eastAsia" w:ascii="宋体" w:hAnsi="宋体" w:eastAsia="宋体"/>
        </w:rPr>
        <w:t>中小企业声明函</w:t>
      </w:r>
    </w:p>
    <w:p w14:paraId="793EBC56">
      <w:pPr>
        <w:pStyle w:val="21"/>
        <w:spacing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1"/>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1"/>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1"/>
        <w:spacing w:before="11"/>
        <w:ind w:right="-1" w:firstLine="424" w:firstLineChars="202"/>
        <w:rPr>
          <w:rFonts w:hint="eastAsia" w:asciiTheme="minorEastAsia" w:hAnsiTheme="minorEastAsia" w:eastAsiaTheme="minorEastAsia"/>
          <w:szCs w:val="21"/>
        </w:rPr>
      </w:pPr>
      <w:r>
        <w:rPr>
          <w:rFonts w:asciiTheme="minorEastAsia" w:hAnsiTheme="minorEastAsia" w:eastAsiaTheme="minorEastAsia"/>
          <w:szCs w:val="21"/>
        </w:rPr>
        <w:t>……</w:t>
      </w:r>
    </w:p>
    <w:p w14:paraId="6A0BA35C">
      <w:pPr>
        <w:pStyle w:val="21"/>
        <w:spacing w:before="108" w:line="304" w:lineRule="auto"/>
        <w:ind w:right="-1" w:firstLine="408"/>
        <w:rPr>
          <w:rFonts w:hint="eastAsia"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hint="eastAsia"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hint="eastAsia" w:ascii="宋体" w:hAnsi="宋体"/>
          <w:szCs w:val="21"/>
        </w:rPr>
      </w:pPr>
      <w:r>
        <w:rPr>
          <w:rFonts w:hint="eastAsia" w:ascii="宋体" w:hAnsi="宋体"/>
          <w:szCs w:val="21"/>
        </w:rPr>
        <w:t>备注：</w:t>
      </w:r>
    </w:p>
    <w:p w14:paraId="7D0D63FD">
      <w:pPr>
        <w:spacing w:line="360" w:lineRule="auto"/>
        <w:ind w:firstLine="420" w:firstLineChars="200"/>
        <w:rPr>
          <w:rFonts w:hint="eastAsia"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hint="eastAsia"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hint="eastAsia"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hint="eastAsia" w:ascii="宋体" w:hAnsi="宋体" w:eastAsia="宋体"/>
        </w:rPr>
      </w:pPr>
      <w:r>
        <w:rPr>
          <w:rFonts w:hint="eastAsia" w:ascii="宋体" w:hAnsi="宋体" w:eastAsia="宋体"/>
        </w:rPr>
        <w:t>监狱企业声明函</w:t>
      </w:r>
    </w:p>
    <w:p w14:paraId="62C04AA3">
      <w:pPr>
        <w:spacing w:line="360" w:lineRule="auto"/>
        <w:ind w:firstLine="420" w:firstLineChars="200"/>
        <w:rPr>
          <w:rFonts w:hint="eastAsia"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hint="eastAsia" w:ascii="宋体" w:hAnsi="宋体"/>
          <w:szCs w:val="21"/>
        </w:rPr>
      </w:pPr>
    </w:p>
    <w:p w14:paraId="594CF30F">
      <w:pPr>
        <w:spacing w:after="60" w:line="360" w:lineRule="auto"/>
        <w:ind w:firstLine="422" w:firstLineChars="200"/>
        <w:rPr>
          <w:rFonts w:hint="eastAsia"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hint="eastAsia"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hint="eastAsia"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hint="eastAsia"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hint="eastAsia"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hint="eastAsia"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hint="eastAsia" w:ascii="宋体" w:hAnsi="宋体" w:eastAsia="宋体"/>
        </w:rPr>
      </w:pPr>
      <w:r>
        <w:rPr>
          <w:rFonts w:hint="eastAsia" w:ascii="宋体" w:hAnsi="宋体" w:eastAsia="宋体"/>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hint="eastAsia"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hint="eastAsia"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hint="eastAsia"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hint="eastAsia" w:ascii="宋体" w:hAnsi="宋体"/>
          <w:szCs w:val="21"/>
        </w:rPr>
      </w:pPr>
      <w:r>
        <w:rPr>
          <w:rFonts w:hint="eastAsia" w:ascii="宋体" w:hAnsi="宋体"/>
          <w:szCs w:val="21"/>
        </w:rPr>
        <w:t>3. “属于优先采购清单的类别”栏中填写“节能产品政府采购品目清单”或“环境标志产品政府采购品目清单”。</w:t>
      </w:r>
    </w:p>
    <w:p w14:paraId="2384347F">
      <w:pPr>
        <w:pStyle w:val="323"/>
        <w:ind w:firstLine="480"/>
        <w:rPr>
          <w:rFonts w:hint="eastAsia"/>
        </w:rPr>
      </w:pPr>
    </w:p>
    <w:p w14:paraId="1C1F5876">
      <w:pPr>
        <w:pStyle w:val="323"/>
        <w:ind w:firstLine="480"/>
        <w:rPr>
          <w:rFonts w:hint="eastAsia"/>
        </w:rPr>
      </w:pPr>
    </w:p>
    <w:p w14:paraId="314C5FBD">
      <w:pPr>
        <w:pStyle w:val="323"/>
        <w:ind w:firstLine="480"/>
        <w:rPr>
          <w:rFonts w:hint="eastAsia"/>
        </w:rPr>
      </w:pPr>
    </w:p>
    <w:p w14:paraId="1809B28B">
      <w:pPr>
        <w:pStyle w:val="323"/>
        <w:ind w:firstLine="480"/>
        <w:rPr>
          <w:rFonts w:hint="eastAsia"/>
        </w:rPr>
      </w:pPr>
    </w:p>
    <w:p w14:paraId="081BC768">
      <w:pPr>
        <w:pStyle w:val="323"/>
        <w:ind w:firstLine="480"/>
        <w:rPr>
          <w:rFonts w:hint="eastAsia"/>
        </w:rPr>
      </w:pPr>
    </w:p>
    <w:p w14:paraId="20CD4595">
      <w:pPr>
        <w:pStyle w:val="323"/>
        <w:ind w:firstLine="480"/>
        <w:rPr>
          <w:rFonts w:hint="eastAsia"/>
        </w:rPr>
      </w:pPr>
    </w:p>
    <w:p w14:paraId="443BAB1D">
      <w:pPr>
        <w:pStyle w:val="323"/>
        <w:ind w:firstLine="480"/>
        <w:rPr>
          <w:rFonts w:hint="eastAsia"/>
        </w:rPr>
      </w:pPr>
    </w:p>
    <w:p w14:paraId="35CA103B">
      <w:pPr>
        <w:pStyle w:val="323"/>
        <w:ind w:firstLine="480"/>
        <w:rPr>
          <w:rFonts w:hint="eastAsia"/>
        </w:rPr>
      </w:pPr>
    </w:p>
    <w:p w14:paraId="6B25FC38">
      <w:pPr>
        <w:pStyle w:val="323"/>
        <w:ind w:firstLine="480"/>
        <w:rPr>
          <w:rFonts w:hint="eastAsia"/>
        </w:rPr>
      </w:pPr>
    </w:p>
    <w:p w14:paraId="5F0EBE04">
      <w:pPr>
        <w:pStyle w:val="323"/>
        <w:ind w:firstLine="480"/>
        <w:rPr>
          <w:rFonts w:hint="eastAsia"/>
        </w:rPr>
      </w:pPr>
    </w:p>
    <w:p w14:paraId="4898B924">
      <w:pPr>
        <w:pStyle w:val="323"/>
        <w:ind w:firstLine="480"/>
        <w:rPr>
          <w:rFonts w:hint="eastAsia"/>
        </w:rPr>
      </w:pPr>
    </w:p>
    <w:p w14:paraId="46115316">
      <w:pPr>
        <w:pStyle w:val="323"/>
        <w:ind w:firstLine="480"/>
        <w:rPr>
          <w:rFonts w:hint="eastAsia"/>
        </w:rPr>
      </w:pPr>
    </w:p>
    <w:p w14:paraId="5DD87A88">
      <w:pPr>
        <w:pStyle w:val="323"/>
        <w:ind w:firstLine="480"/>
        <w:rPr>
          <w:rFonts w:hint="eastAsia"/>
        </w:rPr>
      </w:pPr>
    </w:p>
    <w:p w14:paraId="0042985B">
      <w:pPr>
        <w:pStyle w:val="323"/>
        <w:ind w:firstLine="480"/>
        <w:rPr>
          <w:rFonts w:hint="eastAsia"/>
        </w:rPr>
      </w:pPr>
    </w:p>
    <w:p w14:paraId="4A5A9AAF">
      <w:pPr>
        <w:pStyle w:val="323"/>
        <w:ind w:firstLine="480"/>
        <w:rPr>
          <w:rFonts w:hint="eastAsia"/>
        </w:rPr>
      </w:pPr>
    </w:p>
    <w:p w14:paraId="06CFD8AE">
      <w:pPr>
        <w:pStyle w:val="323"/>
        <w:ind w:firstLine="480"/>
        <w:rPr>
          <w:rFonts w:hint="eastAsia"/>
        </w:rPr>
      </w:pPr>
    </w:p>
    <w:p w14:paraId="286FDCF3">
      <w:pPr>
        <w:pStyle w:val="323"/>
        <w:ind w:firstLine="480"/>
        <w:rPr>
          <w:rFonts w:hint="eastAsia"/>
        </w:rPr>
      </w:pPr>
    </w:p>
    <w:p w14:paraId="3BEB8A2D">
      <w:pPr>
        <w:pStyle w:val="323"/>
        <w:ind w:firstLine="480"/>
        <w:rPr>
          <w:rFonts w:hint="eastAsia"/>
        </w:rPr>
      </w:pPr>
    </w:p>
    <w:p w14:paraId="00F794EA">
      <w:pPr>
        <w:pStyle w:val="323"/>
        <w:ind w:firstLine="480"/>
        <w:rPr>
          <w:rFonts w:hint="eastAsia"/>
        </w:rPr>
      </w:pPr>
    </w:p>
    <w:p w14:paraId="2EFE2DE7">
      <w:pPr>
        <w:pStyle w:val="323"/>
        <w:ind w:firstLine="480"/>
        <w:rPr>
          <w:rFonts w:hint="eastAsia"/>
        </w:rPr>
      </w:pPr>
    </w:p>
    <w:p w14:paraId="33E0ACB7">
      <w:pPr>
        <w:pStyle w:val="323"/>
        <w:ind w:firstLine="480"/>
        <w:rPr>
          <w:rFonts w:hint="eastAsia"/>
        </w:rPr>
      </w:pPr>
    </w:p>
    <w:p w14:paraId="3C5B1DE2">
      <w:pPr>
        <w:pStyle w:val="323"/>
        <w:ind w:firstLine="480"/>
        <w:rPr>
          <w:rFonts w:hint="eastAsia"/>
        </w:rPr>
      </w:pPr>
    </w:p>
    <w:p w14:paraId="225010E0">
      <w:pPr>
        <w:pStyle w:val="323"/>
        <w:ind w:firstLine="480"/>
        <w:rPr>
          <w:rFonts w:hint="eastAsia"/>
        </w:rPr>
      </w:pPr>
    </w:p>
    <w:p w14:paraId="5EE6C4C7">
      <w:pPr>
        <w:pStyle w:val="323"/>
        <w:ind w:firstLine="480"/>
        <w:rPr>
          <w:rFonts w:hint="eastAsia"/>
        </w:rPr>
      </w:pPr>
    </w:p>
    <w:p w14:paraId="2A05ACD7">
      <w:pPr>
        <w:pStyle w:val="323"/>
        <w:ind w:firstLine="480"/>
        <w:rPr>
          <w:rFonts w:hint="eastAsia"/>
        </w:rPr>
      </w:pPr>
    </w:p>
    <w:p w14:paraId="24E1F96D">
      <w:pPr>
        <w:pStyle w:val="323"/>
        <w:ind w:firstLine="480"/>
        <w:rPr>
          <w:rFonts w:hint="eastAsia"/>
        </w:rPr>
      </w:pPr>
    </w:p>
    <w:p w14:paraId="231E5171">
      <w:pPr>
        <w:pStyle w:val="3"/>
        <w:tabs>
          <w:tab w:val="left" w:pos="371"/>
        </w:tabs>
        <w:spacing w:before="120" w:after="120"/>
        <w:ind w:left="-1" w:leftChars="-1" w:hanging="1"/>
        <w:jc w:val="center"/>
        <w:rPr>
          <w:rFonts w:hint="eastAsia" w:asciiTheme="minorEastAsia" w:hAnsiTheme="minorEastAsia" w:eastAsiaTheme="minorEastAsia"/>
        </w:rPr>
      </w:pPr>
      <w:bookmarkStart w:id="76" w:name="_Toc44690433"/>
      <w:bookmarkStart w:id="77" w:name="_Toc135293347"/>
      <w:bookmarkStart w:id="78" w:name="_Toc44691397"/>
      <w:bookmarkStart w:id="79" w:name="_Toc44691165"/>
      <w:bookmarkStart w:id="80" w:name="_Toc44690706"/>
      <w:r>
        <w:rPr>
          <w:rFonts w:hint="eastAsia" w:asciiTheme="minorEastAsia" w:hAnsiTheme="minorEastAsia" w:eastAsiaTheme="minorEastAsia"/>
        </w:rPr>
        <w:t>格式5  开标一览表</w:t>
      </w:r>
      <w:bookmarkEnd w:id="76"/>
      <w:bookmarkEnd w:id="77"/>
      <w:bookmarkEnd w:id="78"/>
      <w:bookmarkEnd w:id="79"/>
      <w:bookmarkEnd w:id="80"/>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pPr>
            <w:r>
              <w:rPr>
                <w:rFonts w:hint="eastAsia"/>
              </w:rPr>
              <w:t>共享业务处理与企业实务流程教学软件</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hint="eastAsia"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hint="eastAsia"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hint="eastAsia"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b/>
          <w:snapToGrid w:val="0"/>
          <w:kern w:val="0"/>
          <w:sz w:val="24"/>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30"/>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hint="eastAsia" w:asciiTheme="minorEastAsia" w:hAnsiTheme="minorEastAsia" w:eastAsiaTheme="minorEastAsia"/>
        </w:rPr>
      </w:pPr>
      <w:bookmarkStart w:id="81" w:name="_Toc135293348"/>
      <w:bookmarkStart w:id="82" w:name="_Toc44691166"/>
      <w:bookmarkStart w:id="83" w:name="_Toc44690707"/>
      <w:bookmarkStart w:id="84" w:name="_Toc44691398"/>
      <w:bookmarkStart w:id="85" w:name="_Toc44690434"/>
      <w:r>
        <w:rPr>
          <w:rFonts w:hint="eastAsia" w:asciiTheme="minorEastAsia" w:hAnsiTheme="minorEastAsia" w:eastAsiaTheme="minorEastAsia"/>
        </w:rPr>
        <w:t>格式6  报价表</w:t>
      </w:r>
      <w:bookmarkEnd w:id="81"/>
      <w:bookmarkEnd w:id="82"/>
      <w:bookmarkEnd w:id="83"/>
      <w:bookmarkEnd w:id="84"/>
      <w:bookmarkEnd w:id="85"/>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295A623">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1.4  此表应加盖公章。</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hint="eastAsia"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hint="eastAsia"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hint="eastAsia"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1"/>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hint="eastAsia"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hint="eastAsia"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hint="eastAsia"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hint="eastAsia"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hint="eastAsia"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hint="eastAsia"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FBB6876">
      <w:pPr>
        <w:rPr>
          <w:rFonts w:hint="eastAsia"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“（三）货物清单明细”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（删行、续行除外）。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431D48C8">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hint="eastAsia" w:asciiTheme="minorEastAsia" w:hAnsiTheme="minorEastAsia" w:eastAsiaTheme="minorEastAsia"/>
          <w:snapToGrid w:val="0"/>
          <w:kern w:val="0"/>
        </w:rPr>
      </w:pPr>
    </w:p>
    <w:p w14:paraId="2946E7FE">
      <w:pPr>
        <w:adjustRightInd w:val="0"/>
        <w:snapToGrid w:val="0"/>
        <w:spacing w:line="300" w:lineRule="auto"/>
        <w:jc w:val="center"/>
        <w:rPr>
          <w:rFonts w:hint="eastAsia"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096E3B3">
      <w:pPr>
        <w:adjustRightInd w:val="0"/>
        <w:snapToGrid w:val="0"/>
        <w:spacing w:line="300" w:lineRule="auto"/>
        <w:jc w:val="center"/>
        <w:rPr>
          <w:rFonts w:hint="eastAsia"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1"/>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1"/>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int="eastAsia" w:hAnsi="宋体"/>
                <w:bCs/>
                <w:szCs w:val="21"/>
              </w:rPr>
            </w:pPr>
            <w:r>
              <w:rPr>
                <w:rFonts w:hint="eastAsia" w:hAnsi="宋体"/>
                <w:bCs/>
                <w:szCs w:val="21"/>
              </w:rPr>
              <w:t>年度保修</w:t>
            </w:r>
          </w:p>
        </w:tc>
        <w:tc>
          <w:tcPr>
            <w:tcW w:w="2693" w:type="dxa"/>
          </w:tcPr>
          <w:p w14:paraId="3A34226C">
            <w:pPr>
              <w:jc w:val="center"/>
              <w:rPr>
                <w:rFonts w:hint="eastAsia"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int="eastAsia" w:hAnsi="宋体"/>
                <w:b/>
                <w:bCs/>
                <w:szCs w:val="21"/>
              </w:rPr>
            </w:pPr>
          </w:p>
        </w:tc>
        <w:tc>
          <w:tcPr>
            <w:tcW w:w="2693" w:type="dxa"/>
          </w:tcPr>
          <w:p w14:paraId="52B4AD7A">
            <w:pPr>
              <w:jc w:val="center"/>
              <w:rPr>
                <w:rFonts w:hint="eastAsia"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int="eastAsia" w:hAnsi="宋体"/>
                <w:b/>
                <w:bCs/>
                <w:szCs w:val="21"/>
              </w:rPr>
            </w:pPr>
          </w:p>
        </w:tc>
        <w:tc>
          <w:tcPr>
            <w:tcW w:w="2693" w:type="dxa"/>
          </w:tcPr>
          <w:p w14:paraId="4E51C77D">
            <w:pPr>
              <w:jc w:val="center"/>
              <w:rPr>
                <w:rFonts w:hint="eastAsia" w:hAnsi="宋体"/>
                <w:b/>
                <w:bCs/>
                <w:szCs w:val="21"/>
              </w:rPr>
            </w:pPr>
          </w:p>
        </w:tc>
      </w:tr>
    </w:tbl>
    <w:p w14:paraId="3F9C9329">
      <w:pPr>
        <w:adjustRightInd w:val="0"/>
        <w:snapToGrid w:val="0"/>
        <w:spacing w:line="300" w:lineRule="auto"/>
        <w:ind w:firstLine="285" w:firstLineChars="135"/>
        <w:jc w:val="left"/>
        <w:rPr>
          <w:rFonts w:hint="eastAsia"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hint="eastAsia" w:asciiTheme="minorEastAsia" w:hAnsiTheme="minorEastAsia" w:eastAsiaTheme="minorEastAsia"/>
          <w:snapToGrid w:val="0"/>
          <w:kern w:val="0"/>
        </w:rPr>
      </w:pPr>
    </w:p>
    <w:p w14:paraId="36A847D4">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投标单位：（加盖公章）</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hint="eastAsia" w:asciiTheme="minorEastAsia" w:hAnsiTheme="minorEastAsia" w:eastAsiaTheme="minorEastAsia"/>
          <w:sz w:val="24"/>
        </w:rPr>
      </w:pPr>
      <w:bookmarkStart w:id="86" w:name="_Toc44691399"/>
      <w:bookmarkStart w:id="87" w:name="_Toc44690708"/>
      <w:bookmarkStart w:id="88" w:name="_Toc44691167"/>
      <w:bookmarkStart w:id="89" w:name="_Toc44690435"/>
    </w:p>
    <w:p w14:paraId="6766738A">
      <w:pPr>
        <w:rPr>
          <w:rFonts w:hint="eastAsia" w:asciiTheme="minorEastAsia" w:hAnsiTheme="minorEastAsia" w:eastAsiaTheme="minorEastAsia"/>
        </w:rPr>
      </w:pPr>
      <w:bookmarkStart w:id="90" w:name="_Toc135293349"/>
      <w:r>
        <w:rPr>
          <w:rFonts w:hint="eastAsia" w:asciiTheme="minorEastAsia" w:hAnsiTheme="minorEastAsia" w:eastAsiaTheme="minorEastAsia"/>
        </w:rPr>
        <w:br w:type="page"/>
      </w:r>
    </w:p>
    <w:p w14:paraId="40E392CD">
      <w:pPr>
        <w:pStyle w:val="323"/>
        <w:ind w:firstLine="480"/>
        <w:rPr>
          <w:rFonts w:hint="eastAsia"/>
        </w:rPr>
      </w:pPr>
    </w:p>
    <w:p w14:paraId="79792150">
      <w:pPr>
        <w:pStyle w:val="3"/>
        <w:tabs>
          <w:tab w:val="left" w:pos="371"/>
        </w:tabs>
        <w:spacing w:before="120" w:after="120"/>
        <w:ind w:left="-1" w:leftChars="-1" w:hanging="1"/>
        <w:jc w:val="center"/>
        <w:rPr>
          <w:rFonts w:hint="eastAsia" w:asciiTheme="minorEastAsia" w:hAnsiTheme="minorEastAsia" w:eastAsiaTheme="minorEastAsia"/>
        </w:rPr>
      </w:pPr>
      <w:r>
        <w:rPr>
          <w:rFonts w:hint="eastAsia" w:asciiTheme="minorEastAsia" w:hAnsiTheme="minorEastAsia" w:eastAsiaTheme="minorEastAsia"/>
        </w:rPr>
        <w:t>格式7  技术规格</w:t>
      </w:r>
      <w:bookmarkEnd w:id="86"/>
      <w:bookmarkEnd w:id="87"/>
      <w:bookmarkEnd w:id="88"/>
      <w:bookmarkEnd w:id="89"/>
      <w:bookmarkEnd w:id="90"/>
    </w:p>
    <w:p w14:paraId="5D8787D0">
      <w:pPr>
        <w:pStyle w:val="7"/>
      </w:pPr>
    </w:p>
    <w:p w14:paraId="4F59F8B6">
      <w:pPr>
        <w:spacing w:line="360" w:lineRule="auto"/>
        <w:ind w:left="420"/>
        <w:rPr>
          <w:rFonts w:hint="eastAsia" w:ascii="宋体" w:hAnsi="宋体"/>
        </w:rPr>
      </w:pPr>
      <w:r>
        <w:rPr>
          <w:rFonts w:hint="eastAsia" w:ascii="宋体" w:hAnsi="宋体"/>
        </w:rPr>
        <w:t>1、对投标产品的整体描述（包括采用文字、表格等形式）</w:t>
      </w:r>
    </w:p>
    <w:p w14:paraId="584D7D28">
      <w:pPr>
        <w:spacing w:line="360" w:lineRule="auto"/>
        <w:ind w:left="420"/>
        <w:rPr>
          <w:rFonts w:hint="eastAsia" w:ascii="宋体" w:hAnsi="宋体"/>
        </w:rPr>
      </w:pPr>
      <w:r>
        <w:rPr>
          <w:rFonts w:hint="eastAsia" w:ascii="宋体" w:hAnsi="宋体"/>
        </w:rPr>
        <w:t>2、投标产品采用的技术标准</w:t>
      </w:r>
    </w:p>
    <w:p w14:paraId="74E1FD7C">
      <w:pPr>
        <w:spacing w:line="360" w:lineRule="auto"/>
        <w:ind w:left="420"/>
        <w:rPr>
          <w:rFonts w:hint="eastAsia" w:ascii="宋体" w:hAnsi="宋体"/>
        </w:rPr>
      </w:pPr>
      <w:r>
        <w:rPr>
          <w:rFonts w:hint="eastAsia" w:ascii="宋体" w:hAnsi="宋体"/>
        </w:rPr>
        <w:t>3、投标产品的性能特点（包括新技术、新工艺、新材料的应用等）</w:t>
      </w:r>
    </w:p>
    <w:p w14:paraId="526C28A1">
      <w:pPr>
        <w:spacing w:line="360" w:lineRule="auto"/>
        <w:ind w:left="420"/>
        <w:rPr>
          <w:rFonts w:hint="eastAsia" w:ascii="宋体" w:hAnsi="宋体"/>
        </w:rPr>
      </w:pPr>
      <w:r>
        <w:rPr>
          <w:rFonts w:hint="eastAsia" w:ascii="宋体" w:hAnsi="宋体"/>
        </w:rPr>
        <w:t>4、投标产品的外形尺寸图、成品的彩色图样等</w:t>
      </w:r>
    </w:p>
    <w:p w14:paraId="06972214">
      <w:pPr>
        <w:spacing w:line="360" w:lineRule="auto"/>
        <w:ind w:left="420"/>
        <w:rPr>
          <w:rFonts w:hint="eastAsia" w:ascii="宋体" w:hAnsi="宋体"/>
        </w:rPr>
      </w:pPr>
      <w:r>
        <w:rPr>
          <w:rFonts w:hint="eastAsia" w:ascii="宋体" w:hAnsi="宋体"/>
        </w:rPr>
        <w:t>5、投标产品的说明书等</w:t>
      </w:r>
    </w:p>
    <w:p w14:paraId="79F43C19">
      <w:pPr>
        <w:spacing w:line="360" w:lineRule="auto"/>
        <w:ind w:left="420"/>
        <w:rPr>
          <w:rFonts w:hint="eastAsia"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rPr>
          <w:snapToGrid w:val="0"/>
          <w:kern w:val="0"/>
        </w:rPr>
      </w:pPr>
    </w:p>
    <w:p w14:paraId="67E24E0B">
      <w:pPr>
        <w:pStyle w:val="30"/>
        <w:adjustRightInd w:val="0"/>
        <w:snapToGrid w:val="0"/>
        <w:spacing w:line="312" w:lineRule="auto"/>
        <w:jc w:val="left"/>
        <w:rPr>
          <w:rFonts w:ascii="Times New Roman" w:hAnsi="Times New Roman"/>
          <w:b/>
          <w:sz w:val="21"/>
          <w:szCs w:val="21"/>
        </w:rPr>
      </w:pPr>
    </w:p>
    <w:p w14:paraId="7E48BC26">
      <w:pPr>
        <w:pStyle w:val="323"/>
        <w:ind w:firstLine="480"/>
        <w:rPr>
          <w:rFonts w:hint="eastAsia"/>
        </w:rPr>
      </w:pPr>
      <w:bookmarkStart w:id="91" w:name="_Toc135293350"/>
    </w:p>
    <w:p w14:paraId="555465F6"/>
    <w:p w14:paraId="48B9C484">
      <w:pPr>
        <w:pStyle w:val="3"/>
        <w:tabs>
          <w:tab w:val="left" w:pos="371"/>
        </w:tabs>
        <w:spacing w:before="120" w:after="120"/>
        <w:ind w:left="-1" w:leftChars="-1" w:hanging="1"/>
        <w:jc w:val="center"/>
        <w:rPr>
          <w:rFonts w:hint="eastAsia"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91"/>
    </w:p>
    <w:p w14:paraId="56A481F5"/>
    <w:p w14:paraId="7FF179EF">
      <w:pPr>
        <w:jc w:val="center"/>
      </w:pPr>
      <w:r>
        <w:t>货物交付进度表</w:t>
      </w:r>
    </w:p>
    <w:p w14:paraId="707862BF"/>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投标单位：（加盖公章）</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hint="eastAsia"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92" w:name="_Toc44690436"/>
      <w:bookmarkStart w:id="93" w:name="_Toc44690709"/>
      <w:bookmarkStart w:id="94" w:name="_Toc44691400"/>
      <w:bookmarkStart w:id="95" w:name="_Toc44691168"/>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hint="eastAsia" w:asciiTheme="minorEastAsia" w:hAnsiTheme="minorEastAsia" w:eastAsiaTheme="minorEastAsia"/>
          <w:sz w:val="24"/>
        </w:rPr>
      </w:pPr>
    </w:p>
    <w:p w14:paraId="3A6CF121">
      <w:pPr>
        <w:pStyle w:val="3"/>
        <w:tabs>
          <w:tab w:val="left" w:pos="371"/>
        </w:tabs>
        <w:spacing w:before="120" w:after="120"/>
        <w:ind w:left="-1" w:leftChars="-1" w:hanging="1"/>
        <w:jc w:val="center"/>
        <w:rPr>
          <w:rFonts w:hint="eastAsia" w:asciiTheme="minorEastAsia" w:hAnsiTheme="minorEastAsia" w:eastAsiaTheme="minorEastAsia"/>
        </w:rPr>
      </w:pPr>
      <w:bookmarkStart w:id="96" w:name="_Toc135293351"/>
      <w:r>
        <w:rPr>
          <w:rFonts w:hint="eastAsia" w:asciiTheme="minorEastAsia" w:hAnsiTheme="minorEastAsia" w:eastAsiaTheme="minorEastAsia"/>
        </w:rPr>
        <w:t>格式9  售后服务和质量承诺</w:t>
      </w:r>
      <w:bookmarkEnd w:id="92"/>
      <w:bookmarkEnd w:id="93"/>
      <w:bookmarkEnd w:id="94"/>
      <w:bookmarkEnd w:id="95"/>
      <w:bookmarkEnd w:id="96"/>
    </w:p>
    <w:p w14:paraId="09A3452D">
      <w:pPr>
        <w:adjustRightInd w:val="0"/>
        <w:snapToGrid w:val="0"/>
        <w:spacing w:line="360" w:lineRule="auto"/>
        <w:rPr>
          <w:rFonts w:hint="eastAsia" w:ascii="宋体" w:hAnsi="宋体"/>
        </w:rPr>
      </w:pPr>
    </w:p>
    <w:p w14:paraId="64DE4AD2">
      <w:pPr>
        <w:adjustRightInd w:val="0"/>
        <w:snapToGrid w:val="0"/>
        <w:spacing w:line="360" w:lineRule="auto"/>
        <w:rPr>
          <w:rFonts w:hint="eastAsia"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hint="eastAsia"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hint="eastAsia"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hint="eastAsia"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hint="eastAsia" w:ascii="宋体" w:hAnsi="宋体"/>
        </w:rPr>
      </w:pPr>
      <w:r>
        <w:rPr>
          <w:rFonts w:hint="eastAsia" w:ascii="宋体" w:hAnsi="宋体"/>
        </w:rPr>
        <w:t>5、技术培训计划</w:t>
      </w:r>
    </w:p>
    <w:p w14:paraId="47C6DDFB">
      <w:pPr>
        <w:adjustRightInd w:val="0"/>
        <w:snapToGrid w:val="0"/>
        <w:spacing w:line="360" w:lineRule="auto"/>
        <w:rPr>
          <w:rFonts w:hint="eastAsia" w:ascii="宋体" w:hAnsi="宋体"/>
        </w:rPr>
      </w:pPr>
      <w:r>
        <w:rPr>
          <w:rFonts w:hint="eastAsia" w:ascii="宋体" w:hAnsi="宋体"/>
        </w:rPr>
        <w:t>6、备/配件支持计划</w:t>
      </w:r>
    </w:p>
    <w:p w14:paraId="17A139FC">
      <w:pPr>
        <w:adjustRightInd w:val="0"/>
        <w:snapToGrid w:val="0"/>
        <w:spacing w:line="360" w:lineRule="auto"/>
        <w:rPr>
          <w:rFonts w:hint="eastAsia"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hint="eastAsia"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hint="eastAsia" w:asciiTheme="minorEastAsia" w:hAnsiTheme="minorEastAsia" w:eastAsiaTheme="minorEastAsia"/>
        </w:rPr>
      </w:pPr>
      <w:bookmarkStart w:id="97" w:name="q16"/>
      <w:bookmarkEnd w:id="97"/>
      <w:bookmarkStart w:id="98" w:name="_格式4__"/>
      <w:bookmarkEnd w:id="98"/>
      <w:bookmarkStart w:id="99" w:name="_格式2__投标保证金凭证"/>
      <w:bookmarkEnd w:id="99"/>
      <w:bookmarkStart w:id="100" w:name="_格式5__"/>
      <w:bookmarkEnd w:id="100"/>
      <w:bookmarkStart w:id="101" w:name="q17"/>
      <w:bookmarkEnd w:id="101"/>
      <w:bookmarkStart w:id="102" w:name="_格式3__"/>
      <w:bookmarkEnd w:id="102"/>
      <w:bookmarkStart w:id="103" w:name="q15"/>
      <w:bookmarkEnd w:id="103"/>
      <w:r>
        <w:rPr>
          <w:rFonts w:asciiTheme="minorEastAsia" w:hAnsiTheme="minorEastAsia" w:eastAsiaTheme="minorEastAsia"/>
        </w:rPr>
        <w:tab/>
      </w:r>
      <w:bookmarkStart w:id="104" w:name="_Toc44690437"/>
      <w:bookmarkStart w:id="105" w:name="_Toc44690710"/>
      <w:bookmarkStart w:id="106" w:name="_Toc135293352"/>
      <w:bookmarkStart w:id="107" w:name="_Toc44691169"/>
      <w:bookmarkStart w:id="108" w:name="_Toc44691401"/>
      <w:r>
        <w:rPr>
          <w:rFonts w:hint="eastAsia" w:asciiTheme="minorEastAsia" w:hAnsiTheme="minorEastAsia" w:eastAsiaTheme="minorEastAsia"/>
        </w:rPr>
        <w:t>格式10  投标人情况介绍</w:t>
      </w:r>
      <w:bookmarkEnd w:id="104"/>
      <w:bookmarkEnd w:id="105"/>
      <w:bookmarkEnd w:id="106"/>
      <w:bookmarkEnd w:id="107"/>
      <w:bookmarkEnd w:id="108"/>
    </w:p>
    <w:p w14:paraId="48DE0524">
      <w:pPr>
        <w:snapToGrid w:val="0"/>
        <w:spacing w:line="300" w:lineRule="auto"/>
        <w:rPr>
          <w:rFonts w:hint="eastAsia" w:ascii="宋体" w:hAnsi="宋体"/>
        </w:rPr>
      </w:pPr>
    </w:p>
    <w:p w14:paraId="74BDD424">
      <w:pPr>
        <w:adjustRightInd w:val="0"/>
        <w:snapToGrid w:val="0"/>
        <w:spacing w:line="360" w:lineRule="auto"/>
        <w:rPr>
          <w:rFonts w:hint="eastAsia"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hint="eastAsia" w:ascii="宋体" w:hAnsi="宋体"/>
          <w:bCs/>
          <w:snapToGrid w:val="0"/>
          <w:kern w:val="0"/>
          <w:szCs w:val="21"/>
        </w:rPr>
      </w:pPr>
    </w:p>
    <w:p w14:paraId="60ACC187">
      <w:pPr>
        <w:adjustRightInd w:val="0"/>
        <w:snapToGrid w:val="0"/>
        <w:spacing w:line="360" w:lineRule="auto"/>
        <w:rPr>
          <w:rFonts w:hint="eastAsia"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hint="eastAsia" w:ascii="宋体" w:hAnsi="宋体"/>
          <w:szCs w:val="21"/>
        </w:rPr>
      </w:pPr>
    </w:p>
    <w:p w14:paraId="13DBECF0">
      <w:pPr>
        <w:adjustRightInd w:val="0"/>
        <w:snapToGrid w:val="0"/>
        <w:spacing w:line="360" w:lineRule="auto"/>
        <w:rPr>
          <w:rFonts w:hint="eastAsia"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rPr>
          <w:snapToGrid w:val="0"/>
          <w:kern w:val="0"/>
        </w:rPr>
      </w:pPr>
    </w:p>
    <w:p w14:paraId="5B015B50">
      <w:pPr>
        <w:tabs>
          <w:tab w:val="left" w:pos="8248"/>
          <w:tab w:val="left" w:pos="9368"/>
        </w:tabs>
        <w:spacing w:line="360" w:lineRule="auto"/>
      </w:pPr>
    </w:p>
    <w:p w14:paraId="22ED8D0F">
      <w:pPr>
        <w:tabs>
          <w:tab w:val="left" w:pos="8248"/>
          <w:tab w:val="left" w:pos="9368"/>
        </w:tabs>
        <w:spacing w:line="360" w:lineRule="auto"/>
      </w:pPr>
      <w:r>
        <w:rPr>
          <w:rFonts w:hint="eastAsia"/>
        </w:rPr>
        <w:t>附表：</w:t>
      </w:r>
    </w:p>
    <w:p w14:paraId="47825999">
      <w:pPr>
        <w:pStyle w:val="361"/>
        <w:jc w:val="center"/>
        <w:rPr>
          <w:rFonts w:hint="eastAsia"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hint="eastAsia"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hint="eastAsia"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hint="eastAsia"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hint="eastAsia"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hint="eastAsia"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hint="eastAsia"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hint="eastAsia"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hint="eastAsia"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hint="eastAsia"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hint="eastAsia"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hint="eastAsia" w:ascii="宋体" w:hAnsi="宋体" w:cs="Courier New"/>
                <w:snapToGrid w:val="0"/>
                <w:szCs w:val="21"/>
              </w:rPr>
            </w:pPr>
          </w:p>
        </w:tc>
        <w:tc>
          <w:tcPr>
            <w:tcW w:w="567" w:type="dxa"/>
            <w:vAlign w:val="center"/>
          </w:tcPr>
          <w:p w14:paraId="1D05CF82">
            <w:pPr>
              <w:rPr>
                <w:rFonts w:hint="eastAsia" w:ascii="宋体" w:hAnsi="宋体" w:cs="Courier New"/>
                <w:snapToGrid w:val="0"/>
                <w:szCs w:val="21"/>
              </w:rPr>
            </w:pPr>
          </w:p>
        </w:tc>
        <w:tc>
          <w:tcPr>
            <w:tcW w:w="1308" w:type="dxa"/>
            <w:vAlign w:val="center"/>
          </w:tcPr>
          <w:p w14:paraId="65614860">
            <w:pPr>
              <w:rPr>
                <w:rFonts w:hint="eastAsia" w:ascii="宋体" w:hAnsi="宋体" w:cs="Courier New"/>
                <w:snapToGrid w:val="0"/>
                <w:szCs w:val="21"/>
              </w:rPr>
            </w:pPr>
          </w:p>
        </w:tc>
        <w:tc>
          <w:tcPr>
            <w:tcW w:w="1544" w:type="dxa"/>
            <w:vAlign w:val="center"/>
          </w:tcPr>
          <w:p w14:paraId="63ECD100">
            <w:pPr>
              <w:rPr>
                <w:rFonts w:hint="eastAsia" w:ascii="宋体" w:hAnsi="宋体" w:cs="Courier New"/>
                <w:snapToGrid w:val="0"/>
                <w:szCs w:val="21"/>
              </w:rPr>
            </w:pPr>
          </w:p>
        </w:tc>
        <w:tc>
          <w:tcPr>
            <w:tcW w:w="1260" w:type="dxa"/>
            <w:vAlign w:val="center"/>
          </w:tcPr>
          <w:p w14:paraId="0A3D1956">
            <w:pPr>
              <w:rPr>
                <w:rFonts w:hint="eastAsia" w:ascii="宋体" w:hAnsi="宋体" w:cs="Courier New"/>
                <w:snapToGrid w:val="0"/>
                <w:szCs w:val="21"/>
              </w:rPr>
            </w:pPr>
          </w:p>
        </w:tc>
        <w:tc>
          <w:tcPr>
            <w:tcW w:w="1620" w:type="dxa"/>
            <w:vAlign w:val="center"/>
          </w:tcPr>
          <w:p w14:paraId="74B09503">
            <w:pPr>
              <w:rPr>
                <w:rFonts w:hint="eastAsia"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hint="eastAsia"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hint="eastAsia"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hint="eastAsia" w:ascii="宋体" w:hAnsi="宋体" w:cs="Courier New"/>
                <w:snapToGrid w:val="0"/>
                <w:szCs w:val="21"/>
              </w:rPr>
            </w:pPr>
          </w:p>
        </w:tc>
        <w:tc>
          <w:tcPr>
            <w:tcW w:w="567" w:type="dxa"/>
          </w:tcPr>
          <w:p w14:paraId="704763AB">
            <w:pPr>
              <w:rPr>
                <w:rFonts w:hint="eastAsia" w:ascii="宋体" w:hAnsi="宋体" w:cs="Courier New"/>
                <w:snapToGrid w:val="0"/>
                <w:szCs w:val="21"/>
              </w:rPr>
            </w:pPr>
          </w:p>
        </w:tc>
        <w:tc>
          <w:tcPr>
            <w:tcW w:w="1308" w:type="dxa"/>
          </w:tcPr>
          <w:p w14:paraId="4140D630">
            <w:pPr>
              <w:rPr>
                <w:rFonts w:hint="eastAsia" w:ascii="宋体" w:hAnsi="宋体" w:cs="Courier New"/>
                <w:snapToGrid w:val="0"/>
                <w:szCs w:val="21"/>
              </w:rPr>
            </w:pPr>
          </w:p>
        </w:tc>
        <w:tc>
          <w:tcPr>
            <w:tcW w:w="1544" w:type="dxa"/>
          </w:tcPr>
          <w:p w14:paraId="0915386F">
            <w:pPr>
              <w:rPr>
                <w:rFonts w:hint="eastAsia" w:ascii="宋体" w:hAnsi="宋体" w:cs="Courier New"/>
                <w:snapToGrid w:val="0"/>
                <w:szCs w:val="21"/>
              </w:rPr>
            </w:pPr>
          </w:p>
        </w:tc>
        <w:tc>
          <w:tcPr>
            <w:tcW w:w="1260" w:type="dxa"/>
          </w:tcPr>
          <w:p w14:paraId="0FABE524">
            <w:pPr>
              <w:rPr>
                <w:rFonts w:hint="eastAsia" w:ascii="宋体" w:hAnsi="宋体" w:cs="Courier New"/>
                <w:snapToGrid w:val="0"/>
                <w:szCs w:val="21"/>
              </w:rPr>
            </w:pPr>
          </w:p>
        </w:tc>
        <w:tc>
          <w:tcPr>
            <w:tcW w:w="1620" w:type="dxa"/>
          </w:tcPr>
          <w:p w14:paraId="2BC33DBF">
            <w:pPr>
              <w:rPr>
                <w:rFonts w:hint="eastAsia"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hint="eastAsia"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hint="eastAsia" w:ascii="宋体" w:hAnsi="宋体" w:cs="Courier New"/>
                <w:snapToGrid w:val="0"/>
                <w:szCs w:val="21"/>
              </w:rPr>
            </w:pPr>
          </w:p>
        </w:tc>
        <w:tc>
          <w:tcPr>
            <w:tcW w:w="851" w:type="dxa"/>
          </w:tcPr>
          <w:p w14:paraId="4C03C9EE">
            <w:pPr>
              <w:rPr>
                <w:rFonts w:hint="eastAsia" w:ascii="宋体" w:hAnsi="宋体" w:cs="Courier New"/>
                <w:snapToGrid w:val="0"/>
                <w:szCs w:val="21"/>
              </w:rPr>
            </w:pPr>
          </w:p>
        </w:tc>
        <w:tc>
          <w:tcPr>
            <w:tcW w:w="567" w:type="dxa"/>
          </w:tcPr>
          <w:p w14:paraId="618493F7">
            <w:pPr>
              <w:rPr>
                <w:rFonts w:hint="eastAsia" w:ascii="宋体" w:hAnsi="宋体" w:cs="Courier New"/>
                <w:snapToGrid w:val="0"/>
                <w:szCs w:val="21"/>
              </w:rPr>
            </w:pPr>
          </w:p>
        </w:tc>
        <w:tc>
          <w:tcPr>
            <w:tcW w:w="1308" w:type="dxa"/>
          </w:tcPr>
          <w:p w14:paraId="08AD253B">
            <w:pPr>
              <w:rPr>
                <w:rFonts w:hint="eastAsia" w:ascii="宋体" w:hAnsi="宋体" w:cs="Courier New"/>
                <w:snapToGrid w:val="0"/>
                <w:szCs w:val="21"/>
              </w:rPr>
            </w:pPr>
          </w:p>
        </w:tc>
        <w:tc>
          <w:tcPr>
            <w:tcW w:w="1544" w:type="dxa"/>
          </w:tcPr>
          <w:p w14:paraId="1A583404">
            <w:pPr>
              <w:rPr>
                <w:rFonts w:hint="eastAsia" w:ascii="宋体" w:hAnsi="宋体" w:cs="Courier New"/>
                <w:snapToGrid w:val="0"/>
                <w:szCs w:val="21"/>
              </w:rPr>
            </w:pPr>
          </w:p>
        </w:tc>
        <w:tc>
          <w:tcPr>
            <w:tcW w:w="1260" w:type="dxa"/>
          </w:tcPr>
          <w:p w14:paraId="63AE153F">
            <w:pPr>
              <w:rPr>
                <w:rFonts w:hint="eastAsia" w:ascii="宋体" w:hAnsi="宋体" w:cs="Courier New"/>
                <w:snapToGrid w:val="0"/>
                <w:szCs w:val="21"/>
              </w:rPr>
            </w:pPr>
          </w:p>
        </w:tc>
        <w:tc>
          <w:tcPr>
            <w:tcW w:w="1620" w:type="dxa"/>
          </w:tcPr>
          <w:p w14:paraId="63A79C46">
            <w:pPr>
              <w:rPr>
                <w:rFonts w:hint="eastAsia"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hint="eastAsia"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hint="eastAsia" w:ascii="宋体" w:hAnsi="宋体" w:cs="Courier New"/>
                <w:snapToGrid w:val="0"/>
                <w:szCs w:val="21"/>
              </w:rPr>
            </w:pPr>
          </w:p>
        </w:tc>
        <w:tc>
          <w:tcPr>
            <w:tcW w:w="851" w:type="dxa"/>
          </w:tcPr>
          <w:p w14:paraId="74C5073F">
            <w:pPr>
              <w:rPr>
                <w:rFonts w:hint="eastAsia" w:ascii="宋体" w:hAnsi="宋体" w:cs="Courier New"/>
                <w:snapToGrid w:val="0"/>
                <w:szCs w:val="21"/>
              </w:rPr>
            </w:pPr>
          </w:p>
        </w:tc>
        <w:tc>
          <w:tcPr>
            <w:tcW w:w="567" w:type="dxa"/>
          </w:tcPr>
          <w:p w14:paraId="535DE39E">
            <w:pPr>
              <w:rPr>
                <w:rFonts w:hint="eastAsia" w:ascii="宋体" w:hAnsi="宋体" w:cs="Courier New"/>
                <w:snapToGrid w:val="0"/>
                <w:szCs w:val="21"/>
              </w:rPr>
            </w:pPr>
          </w:p>
        </w:tc>
        <w:tc>
          <w:tcPr>
            <w:tcW w:w="1308" w:type="dxa"/>
          </w:tcPr>
          <w:p w14:paraId="4E7B026A">
            <w:pPr>
              <w:rPr>
                <w:rFonts w:hint="eastAsia" w:ascii="宋体" w:hAnsi="宋体" w:cs="Courier New"/>
                <w:snapToGrid w:val="0"/>
                <w:szCs w:val="21"/>
              </w:rPr>
            </w:pPr>
          </w:p>
        </w:tc>
        <w:tc>
          <w:tcPr>
            <w:tcW w:w="1544" w:type="dxa"/>
          </w:tcPr>
          <w:p w14:paraId="1EC69676">
            <w:pPr>
              <w:rPr>
                <w:rFonts w:hint="eastAsia" w:ascii="宋体" w:hAnsi="宋体" w:cs="Courier New"/>
                <w:snapToGrid w:val="0"/>
                <w:szCs w:val="21"/>
              </w:rPr>
            </w:pPr>
          </w:p>
        </w:tc>
        <w:tc>
          <w:tcPr>
            <w:tcW w:w="1260" w:type="dxa"/>
          </w:tcPr>
          <w:p w14:paraId="13DC9F96">
            <w:pPr>
              <w:rPr>
                <w:rFonts w:hint="eastAsia" w:ascii="宋体" w:hAnsi="宋体" w:cs="Courier New"/>
                <w:snapToGrid w:val="0"/>
                <w:szCs w:val="21"/>
              </w:rPr>
            </w:pPr>
          </w:p>
        </w:tc>
        <w:tc>
          <w:tcPr>
            <w:tcW w:w="1620" w:type="dxa"/>
          </w:tcPr>
          <w:p w14:paraId="1A7BE3D4">
            <w:pPr>
              <w:rPr>
                <w:rFonts w:hint="eastAsia"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hint="eastAsia"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hint="eastAsia" w:ascii="宋体" w:hAnsi="宋体" w:cs="Courier New"/>
                <w:snapToGrid w:val="0"/>
                <w:szCs w:val="21"/>
              </w:rPr>
            </w:pPr>
          </w:p>
        </w:tc>
        <w:tc>
          <w:tcPr>
            <w:tcW w:w="851" w:type="dxa"/>
          </w:tcPr>
          <w:p w14:paraId="37CAFE90">
            <w:pPr>
              <w:rPr>
                <w:rFonts w:hint="eastAsia" w:ascii="宋体" w:hAnsi="宋体" w:cs="Courier New"/>
                <w:snapToGrid w:val="0"/>
                <w:szCs w:val="21"/>
              </w:rPr>
            </w:pPr>
          </w:p>
        </w:tc>
        <w:tc>
          <w:tcPr>
            <w:tcW w:w="567" w:type="dxa"/>
          </w:tcPr>
          <w:p w14:paraId="008A9125">
            <w:pPr>
              <w:rPr>
                <w:rFonts w:hint="eastAsia" w:ascii="宋体" w:hAnsi="宋体" w:cs="Courier New"/>
                <w:snapToGrid w:val="0"/>
                <w:szCs w:val="21"/>
              </w:rPr>
            </w:pPr>
          </w:p>
        </w:tc>
        <w:tc>
          <w:tcPr>
            <w:tcW w:w="1308" w:type="dxa"/>
          </w:tcPr>
          <w:p w14:paraId="7AB12053">
            <w:pPr>
              <w:rPr>
                <w:rFonts w:hint="eastAsia" w:ascii="宋体" w:hAnsi="宋体" w:cs="Courier New"/>
                <w:snapToGrid w:val="0"/>
                <w:szCs w:val="21"/>
              </w:rPr>
            </w:pPr>
          </w:p>
        </w:tc>
        <w:tc>
          <w:tcPr>
            <w:tcW w:w="1544" w:type="dxa"/>
          </w:tcPr>
          <w:p w14:paraId="1520A202">
            <w:pPr>
              <w:rPr>
                <w:rFonts w:hint="eastAsia" w:ascii="宋体" w:hAnsi="宋体" w:cs="Courier New"/>
                <w:snapToGrid w:val="0"/>
                <w:szCs w:val="21"/>
              </w:rPr>
            </w:pPr>
          </w:p>
        </w:tc>
        <w:tc>
          <w:tcPr>
            <w:tcW w:w="1260" w:type="dxa"/>
          </w:tcPr>
          <w:p w14:paraId="63252B46">
            <w:pPr>
              <w:rPr>
                <w:rFonts w:hint="eastAsia" w:ascii="宋体" w:hAnsi="宋体" w:cs="Courier New"/>
                <w:snapToGrid w:val="0"/>
                <w:szCs w:val="21"/>
              </w:rPr>
            </w:pPr>
          </w:p>
        </w:tc>
        <w:tc>
          <w:tcPr>
            <w:tcW w:w="1620" w:type="dxa"/>
          </w:tcPr>
          <w:p w14:paraId="118C6956">
            <w:pPr>
              <w:rPr>
                <w:rFonts w:hint="eastAsia"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hint="eastAsia"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hint="eastAsia" w:ascii="宋体" w:hAnsi="宋体" w:cs="Courier New"/>
                <w:snapToGrid w:val="0"/>
                <w:szCs w:val="21"/>
              </w:rPr>
            </w:pPr>
          </w:p>
        </w:tc>
        <w:tc>
          <w:tcPr>
            <w:tcW w:w="851" w:type="dxa"/>
          </w:tcPr>
          <w:p w14:paraId="01C1A764">
            <w:pPr>
              <w:rPr>
                <w:rFonts w:hint="eastAsia" w:ascii="宋体" w:hAnsi="宋体" w:cs="Courier New"/>
                <w:snapToGrid w:val="0"/>
                <w:szCs w:val="21"/>
              </w:rPr>
            </w:pPr>
          </w:p>
        </w:tc>
        <w:tc>
          <w:tcPr>
            <w:tcW w:w="567" w:type="dxa"/>
          </w:tcPr>
          <w:p w14:paraId="0B9EB3DE">
            <w:pPr>
              <w:rPr>
                <w:rFonts w:hint="eastAsia" w:ascii="宋体" w:hAnsi="宋体" w:cs="Courier New"/>
                <w:snapToGrid w:val="0"/>
                <w:szCs w:val="21"/>
              </w:rPr>
            </w:pPr>
          </w:p>
        </w:tc>
        <w:tc>
          <w:tcPr>
            <w:tcW w:w="1308" w:type="dxa"/>
          </w:tcPr>
          <w:p w14:paraId="1B22E19C">
            <w:pPr>
              <w:rPr>
                <w:rFonts w:hint="eastAsia" w:ascii="宋体" w:hAnsi="宋体" w:cs="Courier New"/>
                <w:snapToGrid w:val="0"/>
                <w:szCs w:val="21"/>
              </w:rPr>
            </w:pPr>
          </w:p>
        </w:tc>
        <w:tc>
          <w:tcPr>
            <w:tcW w:w="1544" w:type="dxa"/>
          </w:tcPr>
          <w:p w14:paraId="794534EC">
            <w:pPr>
              <w:rPr>
                <w:rFonts w:hint="eastAsia" w:ascii="宋体" w:hAnsi="宋体" w:cs="Courier New"/>
                <w:snapToGrid w:val="0"/>
                <w:szCs w:val="21"/>
              </w:rPr>
            </w:pPr>
          </w:p>
        </w:tc>
        <w:tc>
          <w:tcPr>
            <w:tcW w:w="1260" w:type="dxa"/>
          </w:tcPr>
          <w:p w14:paraId="7377C341">
            <w:pPr>
              <w:rPr>
                <w:rFonts w:hint="eastAsia" w:ascii="宋体" w:hAnsi="宋体" w:cs="Courier New"/>
                <w:snapToGrid w:val="0"/>
                <w:szCs w:val="21"/>
              </w:rPr>
            </w:pPr>
          </w:p>
        </w:tc>
        <w:tc>
          <w:tcPr>
            <w:tcW w:w="1620" w:type="dxa"/>
          </w:tcPr>
          <w:p w14:paraId="4EDC562F">
            <w:pPr>
              <w:rPr>
                <w:rFonts w:hint="eastAsia"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hint="eastAsia"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hint="eastAsia" w:ascii="宋体" w:hAnsi="宋体" w:cs="Courier New"/>
                <w:snapToGrid w:val="0"/>
                <w:szCs w:val="21"/>
              </w:rPr>
            </w:pPr>
          </w:p>
        </w:tc>
        <w:tc>
          <w:tcPr>
            <w:tcW w:w="851" w:type="dxa"/>
          </w:tcPr>
          <w:p w14:paraId="53128606">
            <w:pPr>
              <w:rPr>
                <w:rFonts w:hint="eastAsia" w:ascii="宋体" w:hAnsi="宋体" w:cs="Courier New"/>
                <w:snapToGrid w:val="0"/>
                <w:szCs w:val="21"/>
              </w:rPr>
            </w:pPr>
          </w:p>
        </w:tc>
        <w:tc>
          <w:tcPr>
            <w:tcW w:w="567" w:type="dxa"/>
          </w:tcPr>
          <w:p w14:paraId="3E1A0CAB">
            <w:pPr>
              <w:rPr>
                <w:rFonts w:hint="eastAsia" w:ascii="宋体" w:hAnsi="宋体" w:cs="Courier New"/>
                <w:snapToGrid w:val="0"/>
                <w:szCs w:val="21"/>
              </w:rPr>
            </w:pPr>
          </w:p>
        </w:tc>
        <w:tc>
          <w:tcPr>
            <w:tcW w:w="1308" w:type="dxa"/>
          </w:tcPr>
          <w:p w14:paraId="72BB5C8F">
            <w:pPr>
              <w:rPr>
                <w:rFonts w:hint="eastAsia" w:ascii="宋体" w:hAnsi="宋体" w:cs="Courier New"/>
                <w:snapToGrid w:val="0"/>
                <w:szCs w:val="21"/>
              </w:rPr>
            </w:pPr>
          </w:p>
        </w:tc>
        <w:tc>
          <w:tcPr>
            <w:tcW w:w="1544" w:type="dxa"/>
          </w:tcPr>
          <w:p w14:paraId="7BC7618C">
            <w:pPr>
              <w:rPr>
                <w:rFonts w:hint="eastAsia" w:ascii="宋体" w:hAnsi="宋体" w:cs="Courier New"/>
                <w:snapToGrid w:val="0"/>
                <w:szCs w:val="21"/>
              </w:rPr>
            </w:pPr>
          </w:p>
        </w:tc>
        <w:tc>
          <w:tcPr>
            <w:tcW w:w="1260" w:type="dxa"/>
          </w:tcPr>
          <w:p w14:paraId="6D4B7381">
            <w:pPr>
              <w:rPr>
                <w:rFonts w:hint="eastAsia" w:ascii="宋体" w:hAnsi="宋体" w:cs="Courier New"/>
                <w:snapToGrid w:val="0"/>
                <w:szCs w:val="21"/>
              </w:rPr>
            </w:pPr>
          </w:p>
        </w:tc>
        <w:tc>
          <w:tcPr>
            <w:tcW w:w="1620" w:type="dxa"/>
          </w:tcPr>
          <w:p w14:paraId="39439D91">
            <w:pPr>
              <w:rPr>
                <w:rFonts w:hint="eastAsia"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hint="eastAsia"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hint="eastAsia" w:ascii="宋体" w:hAnsi="宋体" w:cs="Courier New"/>
                <w:snapToGrid w:val="0"/>
                <w:szCs w:val="21"/>
              </w:rPr>
            </w:pPr>
          </w:p>
        </w:tc>
        <w:tc>
          <w:tcPr>
            <w:tcW w:w="851" w:type="dxa"/>
          </w:tcPr>
          <w:p w14:paraId="3B412C3B">
            <w:pPr>
              <w:rPr>
                <w:rFonts w:hint="eastAsia" w:ascii="宋体" w:hAnsi="宋体" w:cs="Courier New"/>
                <w:snapToGrid w:val="0"/>
                <w:szCs w:val="21"/>
              </w:rPr>
            </w:pPr>
          </w:p>
        </w:tc>
        <w:tc>
          <w:tcPr>
            <w:tcW w:w="567" w:type="dxa"/>
          </w:tcPr>
          <w:p w14:paraId="1A40DB86">
            <w:pPr>
              <w:rPr>
                <w:rFonts w:hint="eastAsia" w:ascii="宋体" w:hAnsi="宋体" w:cs="Courier New"/>
                <w:snapToGrid w:val="0"/>
                <w:szCs w:val="21"/>
              </w:rPr>
            </w:pPr>
          </w:p>
        </w:tc>
        <w:tc>
          <w:tcPr>
            <w:tcW w:w="1308" w:type="dxa"/>
          </w:tcPr>
          <w:p w14:paraId="1B00F666">
            <w:pPr>
              <w:rPr>
                <w:rFonts w:hint="eastAsia" w:ascii="宋体" w:hAnsi="宋体" w:cs="Courier New"/>
                <w:snapToGrid w:val="0"/>
                <w:szCs w:val="21"/>
              </w:rPr>
            </w:pPr>
          </w:p>
        </w:tc>
        <w:tc>
          <w:tcPr>
            <w:tcW w:w="1544" w:type="dxa"/>
          </w:tcPr>
          <w:p w14:paraId="5CB65844">
            <w:pPr>
              <w:rPr>
                <w:rFonts w:hint="eastAsia" w:ascii="宋体" w:hAnsi="宋体" w:cs="Courier New"/>
                <w:snapToGrid w:val="0"/>
                <w:szCs w:val="21"/>
              </w:rPr>
            </w:pPr>
          </w:p>
        </w:tc>
        <w:tc>
          <w:tcPr>
            <w:tcW w:w="1260" w:type="dxa"/>
          </w:tcPr>
          <w:p w14:paraId="26874F3F">
            <w:pPr>
              <w:rPr>
                <w:rFonts w:hint="eastAsia" w:ascii="宋体" w:hAnsi="宋体" w:cs="Courier New"/>
                <w:snapToGrid w:val="0"/>
                <w:szCs w:val="21"/>
              </w:rPr>
            </w:pPr>
          </w:p>
        </w:tc>
        <w:tc>
          <w:tcPr>
            <w:tcW w:w="1620" w:type="dxa"/>
          </w:tcPr>
          <w:p w14:paraId="51FF7A15">
            <w:pPr>
              <w:rPr>
                <w:rFonts w:hint="eastAsia"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hint="eastAsia"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hint="eastAsia" w:ascii="宋体" w:hAnsi="宋体" w:cs="Courier New"/>
                <w:snapToGrid w:val="0"/>
                <w:szCs w:val="21"/>
              </w:rPr>
            </w:pPr>
          </w:p>
        </w:tc>
        <w:tc>
          <w:tcPr>
            <w:tcW w:w="851" w:type="dxa"/>
          </w:tcPr>
          <w:p w14:paraId="0CD38620">
            <w:pPr>
              <w:rPr>
                <w:rFonts w:hint="eastAsia" w:ascii="宋体" w:hAnsi="宋体" w:cs="Courier New"/>
                <w:snapToGrid w:val="0"/>
                <w:szCs w:val="21"/>
              </w:rPr>
            </w:pPr>
          </w:p>
        </w:tc>
        <w:tc>
          <w:tcPr>
            <w:tcW w:w="567" w:type="dxa"/>
          </w:tcPr>
          <w:p w14:paraId="1428FEA1">
            <w:pPr>
              <w:rPr>
                <w:rFonts w:hint="eastAsia" w:ascii="宋体" w:hAnsi="宋体" w:cs="Courier New"/>
                <w:snapToGrid w:val="0"/>
                <w:szCs w:val="21"/>
              </w:rPr>
            </w:pPr>
          </w:p>
        </w:tc>
        <w:tc>
          <w:tcPr>
            <w:tcW w:w="1308" w:type="dxa"/>
          </w:tcPr>
          <w:p w14:paraId="557142BB">
            <w:pPr>
              <w:rPr>
                <w:rFonts w:hint="eastAsia" w:ascii="宋体" w:hAnsi="宋体" w:cs="Courier New"/>
                <w:snapToGrid w:val="0"/>
                <w:szCs w:val="21"/>
              </w:rPr>
            </w:pPr>
          </w:p>
        </w:tc>
        <w:tc>
          <w:tcPr>
            <w:tcW w:w="1544" w:type="dxa"/>
          </w:tcPr>
          <w:p w14:paraId="474D5680">
            <w:pPr>
              <w:rPr>
                <w:rFonts w:hint="eastAsia" w:ascii="宋体" w:hAnsi="宋体" w:cs="Courier New"/>
                <w:snapToGrid w:val="0"/>
                <w:szCs w:val="21"/>
              </w:rPr>
            </w:pPr>
          </w:p>
        </w:tc>
        <w:tc>
          <w:tcPr>
            <w:tcW w:w="1260" w:type="dxa"/>
          </w:tcPr>
          <w:p w14:paraId="15140871">
            <w:pPr>
              <w:rPr>
                <w:rFonts w:hint="eastAsia" w:ascii="宋体" w:hAnsi="宋体" w:cs="Courier New"/>
                <w:snapToGrid w:val="0"/>
                <w:szCs w:val="21"/>
              </w:rPr>
            </w:pPr>
          </w:p>
        </w:tc>
        <w:tc>
          <w:tcPr>
            <w:tcW w:w="1620" w:type="dxa"/>
          </w:tcPr>
          <w:p w14:paraId="309F9061">
            <w:pPr>
              <w:rPr>
                <w:rFonts w:hint="eastAsia" w:ascii="宋体" w:hAnsi="宋体" w:cs="Courier New"/>
                <w:snapToGrid w:val="0"/>
                <w:szCs w:val="21"/>
              </w:rPr>
            </w:pPr>
          </w:p>
        </w:tc>
      </w:tr>
    </w:tbl>
    <w:p w14:paraId="6CA6185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投标单位：（加盖公章）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hint="eastAsia" w:asciiTheme="minorEastAsia" w:hAnsiTheme="minorEastAsia" w:eastAsiaTheme="minorEastAsia"/>
          <w:b/>
        </w:rPr>
      </w:pPr>
      <w:bookmarkStart w:id="109" w:name="_格式7__投标人资格声明"/>
      <w:bookmarkEnd w:id="109"/>
      <w:bookmarkStart w:id="110" w:name="q40"/>
    </w:p>
    <w:p w14:paraId="67BDC55E">
      <w:pPr>
        <w:spacing w:line="360" w:lineRule="auto"/>
        <w:jc w:val="center"/>
        <w:rPr>
          <w:rFonts w:hint="eastAsia" w:asciiTheme="minorEastAsia" w:hAnsiTheme="minorEastAsia" w:eastAsiaTheme="minorEastAsia"/>
          <w:b/>
        </w:rPr>
      </w:pPr>
    </w:p>
    <w:p w14:paraId="6281A702">
      <w:pPr>
        <w:spacing w:line="360" w:lineRule="auto"/>
        <w:jc w:val="center"/>
        <w:rPr>
          <w:rFonts w:hint="eastAsia" w:asciiTheme="minorEastAsia" w:hAnsiTheme="minorEastAsia" w:eastAsiaTheme="minorEastAsia"/>
          <w:b/>
        </w:rPr>
      </w:pPr>
    </w:p>
    <w:p w14:paraId="72769C35">
      <w:pPr>
        <w:spacing w:line="360" w:lineRule="auto"/>
        <w:jc w:val="center"/>
        <w:rPr>
          <w:rFonts w:hint="eastAsia" w:asciiTheme="minorEastAsia" w:hAnsiTheme="minorEastAsia" w:eastAsiaTheme="minorEastAsia"/>
          <w:b/>
        </w:rPr>
      </w:pPr>
    </w:p>
    <w:p w14:paraId="32F19610">
      <w:pPr>
        <w:spacing w:line="360" w:lineRule="auto"/>
        <w:jc w:val="center"/>
        <w:rPr>
          <w:rFonts w:hint="eastAsia" w:asciiTheme="minorEastAsia" w:hAnsiTheme="minorEastAsia" w:eastAsiaTheme="minorEastAsia"/>
          <w:b/>
        </w:rPr>
      </w:pPr>
    </w:p>
    <w:p w14:paraId="68FBAE10">
      <w:pPr>
        <w:spacing w:line="360" w:lineRule="auto"/>
        <w:jc w:val="center"/>
        <w:rPr>
          <w:rFonts w:hint="eastAsia" w:asciiTheme="minorEastAsia" w:hAnsiTheme="minorEastAsia" w:eastAsiaTheme="minorEastAsia"/>
          <w:b/>
        </w:rPr>
      </w:pPr>
    </w:p>
    <w:p w14:paraId="0E914522">
      <w:pPr>
        <w:spacing w:line="360" w:lineRule="auto"/>
        <w:jc w:val="center"/>
        <w:rPr>
          <w:rFonts w:hint="eastAsia" w:asciiTheme="minorEastAsia" w:hAnsiTheme="minorEastAsia" w:eastAsiaTheme="minorEastAsia"/>
          <w:b/>
        </w:rPr>
      </w:pPr>
    </w:p>
    <w:p w14:paraId="00440CB9">
      <w:pPr>
        <w:spacing w:line="360" w:lineRule="auto"/>
        <w:jc w:val="center"/>
        <w:rPr>
          <w:rFonts w:hint="eastAsia"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hint="eastAsia" w:asciiTheme="minorEastAsia" w:hAnsiTheme="minorEastAsia" w:eastAsiaTheme="minorEastAsia"/>
        </w:rPr>
      </w:pPr>
      <w:bookmarkStart w:id="111" w:name="_Toc135293353"/>
      <w:r>
        <w:rPr>
          <w:rFonts w:hint="eastAsia" w:asciiTheme="minorEastAsia" w:hAnsiTheme="minorEastAsia" w:eastAsiaTheme="minorEastAsia"/>
        </w:rPr>
        <w:t>格式11  偏离表</w:t>
      </w:r>
      <w:bookmarkEnd w:id="111"/>
    </w:p>
    <w:bookmarkEnd w:id="110"/>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1"/>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hint="eastAsia"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hint="eastAsia" w:ascii="宋体" w:hAnsi="宋体"/>
                <w:szCs w:val="21"/>
              </w:rPr>
            </w:pPr>
          </w:p>
        </w:tc>
        <w:tc>
          <w:tcPr>
            <w:tcW w:w="1418" w:type="dxa"/>
            <w:vAlign w:val="center"/>
          </w:tcPr>
          <w:p w14:paraId="63DA1CFA">
            <w:pPr>
              <w:spacing w:line="360" w:lineRule="auto"/>
              <w:jc w:val="center"/>
              <w:rPr>
                <w:rFonts w:hint="eastAsia" w:ascii="宋体" w:hAnsi="宋体"/>
                <w:szCs w:val="21"/>
              </w:rPr>
            </w:pPr>
          </w:p>
        </w:tc>
        <w:tc>
          <w:tcPr>
            <w:tcW w:w="2482" w:type="dxa"/>
            <w:vAlign w:val="center"/>
          </w:tcPr>
          <w:p w14:paraId="17E28F3C">
            <w:pPr>
              <w:spacing w:line="360" w:lineRule="auto"/>
              <w:jc w:val="center"/>
              <w:rPr>
                <w:rFonts w:hint="eastAsia" w:ascii="宋体" w:hAnsi="宋体"/>
                <w:szCs w:val="21"/>
              </w:rPr>
            </w:pPr>
          </w:p>
        </w:tc>
        <w:tc>
          <w:tcPr>
            <w:tcW w:w="1701" w:type="dxa"/>
            <w:vAlign w:val="center"/>
          </w:tcPr>
          <w:p w14:paraId="5DFB0959">
            <w:pPr>
              <w:spacing w:line="360" w:lineRule="auto"/>
              <w:jc w:val="center"/>
              <w:rPr>
                <w:rFonts w:hint="eastAsia" w:ascii="宋体" w:hAnsi="宋体"/>
                <w:szCs w:val="21"/>
              </w:rPr>
            </w:pPr>
          </w:p>
        </w:tc>
        <w:tc>
          <w:tcPr>
            <w:tcW w:w="1275" w:type="dxa"/>
            <w:vAlign w:val="center"/>
          </w:tcPr>
          <w:p w14:paraId="67041D32">
            <w:pPr>
              <w:spacing w:line="360" w:lineRule="auto"/>
              <w:jc w:val="center"/>
              <w:rPr>
                <w:rFonts w:hint="eastAsia" w:ascii="宋体" w:hAnsi="宋体"/>
                <w:szCs w:val="21"/>
              </w:rPr>
            </w:pPr>
          </w:p>
        </w:tc>
        <w:tc>
          <w:tcPr>
            <w:tcW w:w="2304" w:type="dxa"/>
            <w:vAlign w:val="center"/>
          </w:tcPr>
          <w:p w14:paraId="7B6660CB">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hint="eastAsia" w:ascii="宋体" w:hAnsi="宋体"/>
                <w:szCs w:val="21"/>
              </w:rPr>
            </w:pPr>
          </w:p>
        </w:tc>
        <w:tc>
          <w:tcPr>
            <w:tcW w:w="1418" w:type="dxa"/>
            <w:vAlign w:val="center"/>
          </w:tcPr>
          <w:p w14:paraId="2E5935D8">
            <w:pPr>
              <w:spacing w:line="360" w:lineRule="auto"/>
              <w:jc w:val="center"/>
              <w:rPr>
                <w:rFonts w:hint="eastAsia" w:ascii="宋体" w:hAnsi="宋体"/>
                <w:szCs w:val="21"/>
              </w:rPr>
            </w:pPr>
          </w:p>
        </w:tc>
        <w:tc>
          <w:tcPr>
            <w:tcW w:w="2482" w:type="dxa"/>
            <w:vAlign w:val="center"/>
          </w:tcPr>
          <w:p w14:paraId="62A7453E">
            <w:pPr>
              <w:spacing w:line="360" w:lineRule="auto"/>
              <w:jc w:val="center"/>
              <w:rPr>
                <w:rFonts w:hint="eastAsia" w:ascii="宋体" w:hAnsi="宋体"/>
                <w:szCs w:val="21"/>
              </w:rPr>
            </w:pPr>
          </w:p>
        </w:tc>
        <w:tc>
          <w:tcPr>
            <w:tcW w:w="1701" w:type="dxa"/>
            <w:vAlign w:val="center"/>
          </w:tcPr>
          <w:p w14:paraId="18EA3761">
            <w:pPr>
              <w:spacing w:line="360" w:lineRule="auto"/>
              <w:jc w:val="center"/>
              <w:rPr>
                <w:rFonts w:hint="eastAsia" w:ascii="宋体" w:hAnsi="宋体"/>
                <w:szCs w:val="21"/>
              </w:rPr>
            </w:pPr>
          </w:p>
        </w:tc>
        <w:tc>
          <w:tcPr>
            <w:tcW w:w="1275" w:type="dxa"/>
            <w:vAlign w:val="center"/>
          </w:tcPr>
          <w:p w14:paraId="5B20F613">
            <w:pPr>
              <w:spacing w:line="360" w:lineRule="auto"/>
              <w:jc w:val="center"/>
              <w:rPr>
                <w:rFonts w:hint="eastAsia" w:ascii="宋体" w:hAnsi="宋体"/>
                <w:szCs w:val="21"/>
              </w:rPr>
            </w:pPr>
          </w:p>
        </w:tc>
        <w:tc>
          <w:tcPr>
            <w:tcW w:w="2304" w:type="dxa"/>
            <w:vAlign w:val="center"/>
          </w:tcPr>
          <w:p w14:paraId="032899D1">
            <w:pPr>
              <w:spacing w:line="360" w:lineRule="auto"/>
              <w:jc w:val="center"/>
              <w:rPr>
                <w:rFonts w:hint="eastAsia"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hint="eastAsia" w:ascii="宋体" w:hAnsi="宋体"/>
                <w:szCs w:val="21"/>
              </w:rPr>
            </w:pPr>
          </w:p>
        </w:tc>
        <w:tc>
          <w:tcPr>
            <w:tcW w:w="1418" w:type="dxa"/>
            <w:vAlign w:val="center"/>
          </w:tcPr>
          <w:p w14:paraId="44AAAEA4">
            <w:pPr>
              <w:spacing w:line="360" w:lineRule="auto"/>
              <w:jc w:val="center"/>
              <w:rPr>
                <w:rFonts w:hint="eastAsia" w:ascii="宋体" w:hAnsi="宋体"/>
                <w:szCs w:val="21"/>
              </w:rPr>
            </w:pPr>
          </w:p>
        </w:tc>
        <w:tc>
          <w:tcPr>
            <w:tcW w:w="2482" w:type="dxa"/>
            <w:vAlign w:val="center"/>
          </w:tcPr>
          <w:p w14:paraId="615E22E2">
            <w:pPr>
              <w:spacing w:line="360" w:lineRule="auto"/>
              <w:jc w:val="center"/>
              <w:rPr>
                <w:rFonts w:hint="eastAsia" w:ascii="宋体" w:hAnsi="宋体"/>
                <w:szCs w:val="21"/>
              </w:rPr>
            </w:pPr>
          </w:p>
        </w:tc>
        <w:tc>
          <w:tcPr>
            <w:tcW w:w="1701" w:type="dxa"/>
            <w:vAlign w:val="center"/>
          </w:tcPr>
          <w:p w14:paraId="45E02F97">
            <w:pPr>
              <w:spacing w:line="360" w:lineRule="auto"/>
              <w:jc w:val="center"/>
              <w:rPr>
                <w:rFonts w:hint="eastAsia" w:ascii="宋体" w:hAnsi="宋体"/>
                <w:szCs w:val="21"/>
              </w:rPr>
            </w:pPr>
          </w:p>
        </w:tc>
        <w:tc>
          <w:tcPr>
            <w:tcW w:w="1275" w:type="dxa"/>
            <w:vAlign w:val="center"/>
          </w:tcPr>
          <w:p w14:paraId="450BC938">
            <w:pPr>
              <w:spacing w:line="360" w:lineRule="auto"/>
              <w:jc w:val="center"/>
              <w:rPr>
                <w:rFonts w:hint="eastAsia" w:ascii="宋体" w:hAnsi="宋体"/>
                <w:szCs w:val="21"/>
              </w:rPr>
            </w:pPr>
          </w:p>
        </w:tc>
        <w:tc>
          <w:tcPr>
            <w:tcW w:w="2304" w:type="dxa"/>
            <w:vAlign w:val="center"/>
          </w:tcPr>
          <w:p w14:paraId="2D7798BC">
            <w:pPr>
              <w:spacing w:line="360" w:lineRule="auto"/>
              <w:jc w:val="center"/>
              <w:rPr>
                <w:rFonts w:hint="eastAsia"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hint="eastAsia" w:ascii="宋体" w:hAnsi="宋体"/>
                <w:szCs w:val="21"/>
              </w:rPr>
            </w:pPr>
          </w:p>
        </w:tc>
        <w:tc>
          <w:tcPr>
            <w:tcW w:w="1418" w:type="dxa"/>
            <w:vAlign w:val="center"/>
          </w:tcPr>
          <w:p w14:paraId="234B573F">
            <w:pPr>
              <w:spacing w:line="360" w:lineRule="auto"/>
              <w:jc w:val="center"/>
              <w:rPr>
                <w:rFonts w:hint="eastAsia" w:ascii="宋体" w:hAnsi="宋体"/>
                <w:szCs w:val="21"/>
              </w:rPr>
            </w:pPr>
          </w:p>
        </w:tc>
        <w:tc>
          <w:tcPr>
            <w:tcW w:w="2482" w:type="dxa"/>
            <w:vAlign w:val="center"/>
          </w:tcPr>
          <w:p w14:paraId="78FD5C59">
            <w:pPr>
              <w:spacing w:line="360" w:lineRule="auto"/>
              <w:jc w:val="center"/>
              <w:rPr>
                <w:rFonts w:hint="eastAsia" w:ascii="宋体" w:hAnsi="宋体"/>
                <w:szCs w:val="21"/>
              </w:rPr>
            </w:pPr>
          </w:p>
        </w:tc>
        <w:tc>
          <w:tcPr>
            <w:tcW w:w="1701" w:type="dxa"/>
            <w:vAlign w:val="center"/>
          </w:tcPr>
          <w:p w14:paraId="03149EB9">
            <w:pPr>
              <w:spacing w:line="360" w:lineRule="auto"/>
              <w:jc w:val="center"/>
              <w:rPr>
                <w:rFonts w:hint="eastAsia" w:ascii="宋体" w:hAnsi="宋体"/>
                <w:szCs w:val="21"/>
              </w:rPr>
            </w:pPr>
          </w:p>
        </w:tc>
        <w:tc>
          <w:tcPr>
            <w:tcW w:w="1275" w:type="dxa"/>
            <w:vAlign w:val="center"/>
          </w:tcPr>
          <w:p w14:paraId="3C1BF6CC">
            <w:pPr>
              <w:spacing w:line="360" w:lineRule="auto"/>
              <w:jc w:val="center"/>
              <w:rPr>
                <w:rFonts w:hint="eastAsia" w:ascii="宋体" w:hAnsi="宋体"/>
                <w:szCs w:val="21"/>
              </w:rPr>
            </w:pPr>
          </w:p>
        </w:tc>
        <w:tc>
          <w:tcPr>
            <w:tcW w:w="2304" w:type="dxa"/>
            <w:vAlign w:val="center"/>
          </w:tcPr>
          <w:p w14:paraId="7013D424">
            <w:pPr>
              <w:spacing w:line="360" w:lineRule="auto"/>
              <w:jc w:val="center"/>
              <w:rPr>
                <w:rFonts w:hint="eastAsia" w:ascii="宋体" w:hAnsi="宋体"/>
                <w:szCs w:val="21"/>
              </w:rPr>
            </w:pPr>
          </w:p>
        </w:tc>
      </w:tr>
    </w:tbl>
    <w:p w14:paraId="33BFC641">
      <w:pPr>
        <w:spacing w:line="400" w:lineRule="exact"/>
        <w:rPr>
          <w:rFonts w:hint="eastAsia"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hint="eastAsia"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hint="eastAsia"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hint="eastAsia"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hint="eastAsia"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hint="eastAsia"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hint="eastAsia"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hint="eastAsia"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hint="eastAsia" w:ascii="宋体" w:hAnsi="宋体" w:cs="宋体"/>
                <w:bCs/>
                <w:szCs w:val="21"/>
              </w:rPr>
            </w:pPr>
          </w:p>
        </w:tc>
        <w:tc>
          <w:tcPr>
            <w:tcW w:w="3077" w:type="dxa"/>
          </w:tcPr>
          <w:p w14:paraId="67AB418F">
            <w:pPr>
              <w:spacing w:line="360" w:lineRule="auto"/>
              <w:rPr>
                <w:rFonts w:hint="eastAsia" w:ascii="宋体" w:hAnsi="宋体"/>
                <w:bCs/>
                <w:szCs w:val="21"/>
              </w:rPr>
            </w:pPr>
          </w:p>
        </w:tc>
        <w:tc>
          <w:tcPr>
            <w:tcW w:w="2735" w:type="dxa"/>
          </w:tcPr>
          <w:p w14:paraId="0D68BB41">
            <w:pPr>
              <w:spacing w:line="360" w:lineRule="auto"/>
              <w:rPr>
                <w:rFonts w:hint="eastAsia" w:ascii="宋体" w:hAnsi="宋体" w:cs="宋体"/>
                <w:szCs w:val="21"/>
              </w:rPr>
            </w:pPr>
          </w:p>
        </w:tc>
        <w:tc>
          <w:tcPr>
            <w:tcW w:w="1801" w:type="dxa"/>
          </w:tcPr>
          <w:p w14:paraId="4457773B">
            <w:pPr>
              <w:spacing w:line="360" w:lineRule="auto"/>
              <w:rPr>
                <w:rFonts w:hint="eastAsia" w:ascii="宋体" w:hAnsi="宋体" w:cs="宋体"/>
                <w:szCs w:val="21"/>
              </w:rPr>
            </w:pPr>
          </w:p>
        </w:tc>
        <w:tc>
          <w:tcPr>
            <w:tcW w:w="1515" w:type="dxa"/>
          </w:tcPr>
          <w:p w14:paraId="0AC0DC5B">
            <w:pPr>
              <w:rPr>
                <w:rFonts w:hint="eastAsia"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hint="eastAsia" w:ascii="宋体" w:hAnsi="宋体" w:cs="宋体"/>
                <w:bCs/>
                <w:szCs w:val="21"/>
              </w:rPr>
            </w:pPr>
          </w:p>
        </w:tc>
        <w:tc>
          <w:tcPr>
            <w:tcW w:w="3077" w:type="dxa"/>
          </w:tcPr>
          <w:p w14:paraId="29C04188">
            <w:pPr>
              <w:spacing w:line="360" w:lineRule="auto"/>
              <w:rPr>
                <w:rFonts w:hint="eastAsia" w:ascii="宋体" w:hAnsi="宋体" w:cs="宋体"/>
                <w:b/>
                <w:szCs w:val="21"/>
              </w:rPr>
            </w:pPr>
          </w:p>
        </w:tc>
        <w:tc>
          <w:tcPr>
            <w:tcW w:w="2735" w:type="dxa"/>
          </w:tcPr>
          <w:p w14:paraId="70A53A38">
            <w:pPr>
              <w:spacing w:line="360" w:lineRule="auto"/>
              <w:rPr>
                <w:rFonts w:hint="eastAsia" w:ascii="宋体" w:hAnsi="宋体" w:cs="宋体"/>
                <w:szCs w:val="21"/>
              </w:rPr>
            </w:pPr>
          </w:p>
        </w:tc>
        <w:tc>
          <w:tcPr>
            <w:tcW w:w="1801" w:type="dxa"/>
          </w:tcPr>
          <w:p w14:paraId="4DF5AC7C">
            <w:pPr>
              <w:spacing w:line="360" w:lineRule="auto"/>
              <w:rPr>
                <w:rFonts w:hint="eastAsia" w:ascii="宋体" w:hAnsi="宋体" w:cs="宋体"/>
                <w:szCs w:val="21"/>
              </w:rPr>
            </w:pPr>
          </w:p>
        </w:tc>
        <w:tc>
          <w:tcPr>
            <w:tcW w:w="1515" w:type="dxa"/>
          </w:tcPr>
          <w:p w14:paraId="58A9F4A2">
            <w:pPr>
              <w:spacing w:line="360" w:lineRule="auto"/>
              <w:rPr>
                <w:rFonts w:hint="eastAsia"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hint="eastAsia" w:ascii="宋体" w:hAnsi="宋体" w:cs="宋体"/>
                <w:bCs/>
                <w:szCs w:val="21"/>
              </w:rPr>
            </w:pPr>
          </w:p>
        </w:tc>
        <w:tc>
          <w:tcPr>
            <w:tcW w:w="3077" w:type="dxa"/>
          </w:tcPr>
          <w:p w14:paraId="426C180D">
            <w:pPr>
              <w:spacing w:line="360" w:lineRule="auto"/>
              <w:rPr>
                <w:rFonts w:hint="eastAsia" w:ascii="宋体" w:hAnsi="宋体"/>
                <w:bCs/>
                <w:szCs w:val="21"/>
              </w:rPr>
            </w:pPr>
          </w:p>
        </w:tc>
        <w:tc>
          <w:tcPr>
            <w:tcW w:w="2735" w:type="dxa"/>
          </w:tcPr>
          <w:p w14:paraId="702CBD56">
            <w:pPr>
              <w:spacing w:line="360" w:lineRule="auto"/>
              <w:rPr>
                <w:rFonts w:hint="eastAsia" w:ascii="宋体" w:hAnsi="宋体" w:cs="宋体"/>
                <w:szCs w:val="21"/>
              </w:rPr>
            </w:pPr>
          </w:p>
        </w:tc>
        <w:tc>
          <w:tcPr>
            <w:tcW w:w="1801" w:type="dxa"/>
          </w:tcPr>
          <w:p w14:paraId="1B3F0B34">
            <w:pPr>
              <w:spacing w:line="360" w:lineRule="auto"/>
              <w:rPr>
                <w:rFonts w:hint="eastAsia" w:ascii="宋体" w:hAnsi="宋体" w:cs="宋体"/>
                <w:szCs w:val="21"/>
              </w:rPr>
            </w:pPr>
          </w:p>
        </w:tc>
        <w:tc>
          <w:tcPr>
            <w:tcW w:w="1515" w:type="dxa"/>
          </w:tcPr>
          <w:p w14:paraId="1229D5ED">
            <w:pPr>
              <w:spacing w:line="360" w:lineRule="auto"/>
              <w:rPr>
                <w:rFonts w:hint="eastAsia"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hint="eastAsia" w:ascii="宋体" w:hAnsi="宋体" w:cs="宋体"/>
                <w:bCs/>
                <w:szCs w:val="21"/>
              </w:rPr>
            </w:pPr>
          </w:p>
        </w:tc>
        <w:tc>
          <w:tcPr>
            <w:tcW w:w="3077" w:type="dxa"/>
          </w:tcPr>
          <w:p w14:paraId="7FC46A6B">
            <w:pPr>
              <w:spacing w:line="360" w:lineRule="auto"/>
              <w:rPr>
                <w:rFonts w:hint="eastAsia" w:ascii="宋体" w:hAnsi="宋体" w:cs="宋体"/>
                <w:b/>
                <w:szCs w:val="21"/>
              </w:rPr>
            </w:pPr>
          </w:p>
        </w:tc>
        <w:tc>
          <w:tcPr>
            <w:tcW w:w="2735" w:type="dxa"/>
          </w:tcPr>
          <w:p w14:paraId="3AE3811A">
            <w:pPr>
              <w:spacing w:line="360" w:lineRule="auto"/>
              <w:rPr>
                <w:rFonts w:hint="eastAsia" w:ascii="宋体" w:hAnsi="宋体" w:cs="宋体"/>
                <w:szCs w:val="21"/>
              </w:rPr>
            </w:pPr>
          </w:p>
        </w:tc>
        <w:tc>
          <w:tcPr>
            <w:tcW w:w="1801" w:type="dxa"/>
          </w:tcPr>
          <w:p w14:paraId="67E04269">
            <w:pPr>
              <w:spacing w:line="360" w:lineRule="auto"/>
              <w:rPr>
                <w:rFonts w:hint="eastAsia" w:ascii="宋体" w:hAnsi="宋体" w:cs="宋体"/>
                <w:szCs w:val="21"/>
              </w:rPr>
            </w:pPr>
          </w:p>
        </w:tc>
        <w:tc>
          <w:tcPr>
            <w:tcW w:w="1515" w:type="dxa"/>
          </w:tcPr>
          <w:p w14:paraId="3F938E74">
            <w:pPr>
              <w:spacing w:line="360" w:lineRule="auto"/>
              <w:rPr>
                <w:rFonts w:hint="eastAsia" w:ascii="宋体" w:hAnsi="宋体" w:cs="宋体"/>
                <w:szCs w:val="21"/>
              </w:rPr>
            </w:pPr>
          </w:p>
        </w:tc>
      </w:tr>
    </w:tbl>
    <w:p w14:paraId="7EF682C8">
      <w:pPr>
        <w:spacing w:line="400" w:lineRule="exact"/>
        <w:rPr>
          <w:rFonts w:hint="eastAsia"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投标单位：（加盖公章）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5F03215C">
      <w:bookmarkStart w:id="112" w:name="_Toc135293354"/>
    </w:p>
    <w:p w14:paraId="40315B82">
      <w:pPr>
        <w:pStyle w:val="3"/>
        <w:tabs>
          <w:tab w:val="left" w:pos="371"/>
        </w:tabs>
        <w:spacing w:before="120" w:after="120"/>
        <w:ind w:left="-1" w:leftChars="-1" w:hanging="1"/>
        <w:jc w:val="center"/>
        <w:rPr>
          <w:rFonts w:hint="eastAsia" w:asciiTheme="minorEastAsia" w:hAnsiTheme="minorEastAsia" w:eastAsiaTheme="minorEastAsia"/>
        </w:rPr>
      </w:pPr>
    </w:p>
    <w:p w14:paraId="6C8BDC15">
      <w:pPr>
        <w:rPr>
          <w:rFonts w:hint="eastAsia" w:asciiTheme="minorEastAsia" w:hAnsiTheme="minorEastAsia" w:eastAsiaTheme="minorEastAsia"/>
        </w:rPr>
      </w:pPr>
    </w:p>
    <w:p w14:paraId="451B765F">
      <w:pPr>
        <w:rPr>
          <w:rFonts w:hint="eastAsia" w:asciiTheme="minorEastAsia" w:hAnsiTheme="minorEastAsia" w:eastAsiaTheme="minorEastAsia"/>
        </w:rPr>
      </w:pPr>
    </w:p>
    <w:p w14:paraId="0DC5F61D">
      <w:pPr>
        <w:rPr>
          <w:rFonts w:hint="eastAsia" w:asciiTheme="minorEastAsia" w:hAnsiTheme="minorEastAsia" w:eastAsiaTheme="minorEastAsia"/>
        </w:rPr>
      </w:pPr>
    </w:p>
    <w:p w14:paraId="644FD11F">
      <w:pPr>
        <w:rPr>
          <w:rFonts w:hint="eastAsia" w:asciiTheme="minorEastAsia" w:hAnsiTheme="minorEastAsia" w:eastAsiaTheme="minorEastAsia"/>
        </w:rPr>
      </w:pPr>
    </w:p>
    <w:p w14:paraId="4E642C76">
      <w:pPr>
        <w:rPr>
          <w:rFonts w:hint="eastAsia" w:asciiTheme="minorEastAsia" w:hAnsiTheme="minorEastAsia" w:eastAsiaTheme="minorEastAsia"/>
        </w:rPr>
      </w:pPr>
    </w:p>
    <w:p w14:paraId="520E4883">
      <w:pPr>
        <w:rPr>
          <w:rFonts w:hint="eastAsia" w:asciiTheme="minorEastAsia" w:hAnsiTheme="minorEastAsia" w:eastAsiaTheme="minorEastAsia"/>
        </w:rPr>
      </w:pPr>
    </w:p>
    <w:p w14:paraId="60F65012">
      <w:pPr>
        <w:rPr>
          <w:rFonts w:hint="eastAsia" w:asciiTheme="minorEastAsia" w:hAnsiTheme="minorEastAsia" w:eastAsiaTheme="minorEastAsia"/>
        </w:rPr>
      </w:pPr>
    </w:p>
    <w:p w14:paraId="646079AD">
      <w:pPr>
        <w:rPr>
          <w:rFonts w:hint="eastAsia" w:asciiTheme="minorEastAsia" w:hAnsiTheme="minorEastAsia" w:eastAsiaTheme="minorEastAsia"/>
        </w:rPr>
      </w:pPr>
    </w:p>
    <w:p w14:paraId="4B74BAAA">
      <w:pPr>
        <w:rPr>
          <w:rFonts w:hint="eastAsia" w:asciiTheme="minorEastAsia" w:hAnsiTheme="minorEastAsia" w:eastAsiaTheme="minorEastAsia"/>
        </w:rPr>
      </w:pPr>
    </w:p>
    <w:p w14:paraId="7789F0A0">
      <w:pPr>
        <w:rPr>
          <w:rFonts w:hint="eastAsia" w:asciiTheme="minorEastAsia" w:hAnsiTheme="minorEastAsia" w:eastAsiaTheme="minorEastAsia"/>
        </w:rPr>
      </w:pPr>
    </w:p>
    <w:p w14:paraId="10E12A88">
      <w:pPr>
        <w:rPr>
          <w:rFonts w:hint="eastAsia" w:asciiTheme="minorEastAsia" w:hAnsiTheme="minorEastAsia" w:eastAsiaTheme="minorEastAsia"/>
        </w:rPr>
      </w:pPr>
    </w:p>
    <w:p w14:paraId="467D45CC">
      <w:pPr>
        <w:rPr>
          <w:rFonts w:hint="eastAsia" w:asciiTheme="minorEastAsia" w:hAnsiTheme="minorEastAsia" w:eastAsiaTheme="minorEastAsia"/>
        </w:rPr>
      </w:pPr>
    </w:p>
    <w:p w14:paraId="2E28D174">
      <w:pPr>
        <w:rPr>
          <w:rFonts w:hint="eastAsia" w:asciiTheme="minorEastAsia" w:hAnsiTheme="minorEastAsia" w:eastAsiaTheme="minorEastAsia"/>
        </w:rPr>
      </w:pPr>
    </w:p>
    <w:p w14:paraId="4923457D">
      <w:pPr>
        <w:rPr>
          <w:rFonts w:hint="eastAsia" w:asciiTheme="minorEastAsia" w:hAnsiTheme="minorEastAsia" w:eastAsiaTheme="minorEastAsia"/>
        </w:rPr>
      </w:pPr>
    </w:p>
    <w:p w14:paraId="00FB338F">
      <w:pPr>
        <w:rPr>
          <w:rFonts w:hint="eastAsia" w:asciiTheme="minorEastAsia" w:hAnsiTheme="minorEastAsia" w:eastAsiaTheme="minorEastAsia"/>
        </w:rPr>
      </w:pPr>
    </w:p>
    <w:p w14:paraId="16B8652C">
      <w:pPr>
        <w:rPr>
          <w:rFonts w:hint="eastAsia" w:asciiTheme="minorEastAsia" w:hAnsiTheme="minorEastAsia" w:eastAsiaTheme="minorEastAsia"/>
        </w:rPr>
      </w:pPr>
    </w:p>
    <w:p w14:paraId="390F8209">
      <w:pPr>
        <w:rPr>
          <w:rFonts w:hint="eastAsia" w:asciiTheme="minorEastAsia" w:hAnsiTheme="minorEastAsia" w:eastAsiaTheme="minorEastAsia"/>
        </w:rPr>
      </w:pPr>
    </w:p>
    <w:p w14:paraId="19DA8E26">
      <w:pPr>
        <w:rPr>
          <w:rFonts w:hint="eastAsia" w:asciiTheme="minorEastAsia" w:hAnsiTheme="minorEastAsia" w:eastAsiaTheme="minorEastAsia"/>
        </w:rPr>
      </w:pPr>
    </w:p>
    <w:p w14:paraId="637B8E44">
      <w:pPr>
        <w:rPr>
          <w:rFonts w:hint="eastAsia" w:asciiTheme="minorEastAsia" w:hAnsiTheme="minorEastAsia" w:eastAsiaTheme="minorEastAsia"/>
        </w:rPr>
      </w:pPr>
    </w:p>
    <w:p w14:paraId="137919A9">
      <w:pPr>
        <w:rPr>
          <w:rFonts w:hint="eastAsia" w:asciiTheme="minorEastAsia" w:hAnsiTheme="minorEastAsia" w:eastAsiaTheme="minorEastAsia"/>
        </w:rPr>
      </w:pPr>
    </w:p>
    <w:p w14:paraId="2A4F48C9">
      <w:pPr>
        <w:rPr>
          <w:rFonts w:hint="eastAsia" w:asciiTheme="minorEastAsia" w:hAnsiTheme="minorEastAsia" w:eastAsiaTheme="minorEastAsia"/>
        </w:rPr>
      </w:pPr>
    </w:p>
    <w:p w14:paraId="758C2076">
      <w:pPr>
        <w:pStyle w:val="3"/>
        <w:tabs>
          <w:tab w:val="left" w:pos="371"/>
        </w:tabs>
        <w:spacing w:before="120" w:after="120"/>
        <w:ind w:left="-1" w:leftChars="-1" w:hanging="1"/>
        <w:jc w:val="center"/>
        <w:rPr>
          <w:rFonts w:hint="eastAsia" w:asciiTheme="minorEastAsia" w:hAnsiTheme="minorEastAsia" w:eastAsiaTheme="minorEastAsia"/>
        </w:rPr>
      </w:pPr>
    </w:p>
    <w:p w14:paraId="57BFBB1E">
      <w:pPr>
        <w:pStyle w:val="3"/>
        <w:tabs>
          <w:tab w:val="left" w:pos="371"/>
        </w:tabs>
        <w:spacing w:before="120" w:after="120"/>
        <w:ind w:left="-1" w:leftChars="-1" w:hanging="1"/>
        <w:jc w:val="center"/>
        <w:rPr>
          <w:rFonts w:hint="eastAsia" w:asciiTheme="minorEastAsia" w:hAnsiTheme="minorEastAsia" w:eastAsiaTheme="minorEastAsia"/>
        </w:rPr>
      </w:pPr>
    </w:p>
    <w:p w14:paraId="2A6351AC">
      <w:pPr>
        <w:pStyle w:val="3"/>
        <w:tabs>
          <w:tab w:val="left" w:pos="371"/>
        </w:tabs>
        <w:spacing w:before="120" w:after="120"/>
        <w:ind w:left="-1" w:leftChars="-1" w:hanging="1"/>
        <w:jc w:val="center"/>
        <w:rPr>
          <w:rFonts w:hint="eastAsia"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12"/>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DF4436E">
      <w:pPr>
        <w:widowControl/>
        <w:jc w:val="left"/>
      </w:pPr>
      <w:r>
        <w:br w:type="page"/>
      </w:r>
    </w:p>
    <w:p w14:paraId="53403A32"/>
    <w:p w14:paraId="28805B17">
      <w:pPr>
        <w:pStyle w:val="2"/>
      </w:pPr>
      <w:bookmarkStart w:id="113" w:name="_Toc135293355"/>
      <w:r>
        <w:rPr>
          <w:rFonts w:hint="eastAsia"/>
        </w:rPr>
        <w:t>第八章  合同条款</w:t>
      </w:r>
      <w:bookmarkEnd w:id="113"/>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hint="eastAsia"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hint="eastAsia"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hint="eastAsia" w:ascii="宋体" w:hAnsi="宋体" w:cs="Arial"/>
          <w:snapToGrid w:val="0"/>
          <w:color w:val="000000"/>
          <w:kern w:val="0"/>
          <w:szCs w:val="21"/>
        </w:rPr>
      </w:pPr>
    </w:p>
    <w:p w14:paraId="605173E9">
      <w:pPr>
        <w:spacing w:line="400" w:lineRule="exact"/>
        <w:ind w:left="4536" w:leftChars="200" w:hanging="4116" w:hangingChars="1960"/>
        <w:rPr>
          <w:rFonts w:hint="eastAsia"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hint="eastAsia"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hint="eastAsia"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hint="eastAsia"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hint="eastAsia" w:ascii="宋体" w:hAnsi="宋体" w:cs="Arial"/>
          <w:snapToGrid w:val="0"/>
          <w:color w:val="000000"/>
          <w:kern w:val="0"/>
          <w:szCs w:val="21"/>
        </w:rPr>
      </w:pPr>
    </w:p>
    <w:p w14:paraId="23D6D692">
      <w:pPr>
        <w:spacing w:line="400" w:lineRule="exact"/>
        <w:ind w:firstLine="420" w:firstLineChars="200"/>
        <w:rPr>
          <w:rFonts w:hint="eastAsia"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hint="eastAsia" w:ascii="宋体" w:hAnsi="宋体" w:cs="宋体"/>
          <w:bCs/>
          <w:szCs w:val="21"/>
        </w:rPr>
      </w:pPr>
      <w:r>
        <w:rPr>
          <w:rFonts w:ascii="宋体" w:hAnsi="宋体" w:cs="宋体"/>
          <w:bCs/>
          <w:szCs w:val="21"/>
        </w:rPr>
        <w:t>1. 项目信息</w:t>
      </w:r>
    </w:p>
    <w:p w14:paraId="6A8DAFD7">
      <w:pPr>
        <w:spacing w:line="400" w:lineRule="exact"/>
        <w:ind w:firstLine="420" w:firstLineChars="200"/>
        <w:rPr>
          <w:rFonts w:hint="eastAsia"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hint="eastAsia"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hint="eastAsia"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hint="eastAsia"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hint="eastAsia"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hint="eastAsia"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hint="eastAsia"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hint="eastAsia"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hint="eastAsia"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hint="eastAsia"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hint="eastAsia"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hint="eastAsia"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hint="eastAsia" w:ascii="宋体" w:hAnsi="宋体" w:cs="宋体"/>
          <w:bCs/>
          <w:szCs w:val="21"/>
        </w:rPr>
      </w:pPr>
      <w:r>
        <w:rPr>
          <w:rFonts w:ascii="宋体" w:hAnsi="宋体" w:cs="宋体"/>
          <w:bCs/>
          <w:szCs w:val="21"/>
        </w:rPr>
        <w:t>口否</w:t>
      </w:r>
    </w:p>
    <w:p w14:paraId="115E7D09">
      <w:pPr>
        <w:spacing w:line="400" w:lineRule="exact"/>
        <w:ind w:firstLine="420" w:firstLineChars="200"/>
        <w:rPr>
          <w:rFonts w:hint="eastAsia"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hint="eastAsia"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hint="eastAsia"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hint="eastAsia"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hint="eastAsia"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hint="eastAsia"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hint="eastAsia"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hint="eastAsia"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hint="eastAsia"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hint="eastAsia"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hint="eastAsia"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hint="eastAsia"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hint="eastAsia"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hint="eastAsia"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hint="eastAsia"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hint="eastAsia"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hint="eastAsia"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hint="eastAsia"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hint="eastAsia" w:ascii="宋体" w:hAnsi="宋体" w:cs="宋体"/>
          <w:bCs/>
          <w:szCs w:val="21"/>
        </w:rPr>
      </w:pPr>
      <w:r>
        <w:rPr>
          <w:rFonts w:ascii="宋体" w:hAnsi="宋体" w:cs="宋体"/>
          <w:bCs/>
          <w:szCs w:val="21"/>
        </w:rPr>
        <w:t>口否</w:t>
      </w:r>
    </w:p>
    <w:p w14:paraId="7B1F2B01">
      <w:pPr>
        <w:spacing w:line="400" w:lineRule="exact"/>
        <w:ind w:firstLine="420" w:firstLineChars="200"/>
        <w:rPr>
          <w:rFonts w:hint="eastAsia"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hint="eastAsia" w:ascii="宋体" w:hAnsi="宋体" w:cs="宋体"/>
          <w:bCs/>
          <w:szCs w:val="21"/>
        </w:rPr>
      </w:pPr>
      <w:r>
        <w:rPr>
          <w:rFonts w:ascii="宋体" w:hAnsi="宋体" w:cs="宋体"/>
          <w:bCs/>
          <w:szCs w:val="21"/>
        </w:rPr>
        <w:t>口否</w:t>
      </w:r>
    </w:p>
    <w:p w14:paraId="256C65F5">
      <w:pPr>
        <w:spacing w:line="400" w:lineRule="exact"/>
        <w:ind w:firstLine="420" w:firstLineChars="200"/>
        <w:rPr>
          <w:rFonts w:hint="eastAsia"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hint="eastAsia"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hint="eastAsia" w:ascii="宋体" w:hAnsi="宋体" w:cs="宋体"/>
          <w:bCs/>
          <w:szCs w:val="21"/>
        </w:rPr>
      </w:pPr>
      <w:r>
        <w:rPr>
          <w:rFonts w:ascii="宋体" w:hAnsi="宋体" w:cs="宋体"/>
          <w:bCs/>
          <w:szCs w:val="21"/>
        </w:rPr>
        <w:t>口否</w:t>
      </w:r>
    </w:p>
    <w:p w14:paraId="75968212">
      <w:pPr>
        <w:spacing w:line="400" w:lineRule="exact"/>
        <w:ind w:firstLine="420" w:firstLineChars="200"/>
        <w:rPr>
          <w:rFonts w:hint="eastAsia"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hint="eastAsia" w:ascii="宋体" w:hAnsi="宋体" w:cs="宋体"/>
          <w:bCs/>
          <w:szCs w:val="21"/>
        </w:rPr>
      </w:pPr>
      <w:r>
        <w:rPr>
          <w:rFonts w:ascii="宋体" w:hAnsi="宋体" w:cs="宋体"/>
          <w:bCs/>
          <w:szCs w:val="21"/>
        </w:rPr>
        <w:t>口否</w:t>
      </w:r>
    </w:p>
    <w:p w14:paraId="3EB83A9D">
      <w:pPr>
        <w:spacing w:line="400" w:lineRule="exact"/>
        <w:ind w:firstLine="420" w:firstLineChars="200"/>
        <w:rPr>
          <w:rFonts w:hint="eastAsia"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hint="eastAsia"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hint="eastAsia" w:ascii="宋体" w:hAnsi="宋体" w:cs="宋体"/>
          <w:bCs/>
          <w:szCs w:val="21"/>
        </w:rPr>
      </w:pPr>
      <w:r>
        <w:rPr>
          <w:rFonts w:ascii="宋体" w:hAnsi="宋体" w:cs="宋体"/>
          <w:bCs/>
          <w:szCs w:val="21"/>
        </w:rPr>
        <w:t>2. 合同金额</w:t>
      </w:r>
    </w:p>
    <w:p w14:paraId="32ED396A">
      <w:pPr>
        <w:spacing w:line="400" w:lineRule="exact"/>
        <w:ind w:firstLine="420" w:firstLineChars="200"/>
        <w:rPr>
          <w:rFonts w:hint="eastAsia"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hint="eastAsia"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hint="eastAsia"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hint="eastAsia"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hint="eastAsia"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hint="eastAsia"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hint="eastAsia"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hint="eastAsia"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hint="eastAsia"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hint="eastAsia"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hint="eastAsia" w:ascii="宋体" w:hAnsi="宋体" w:cs="宋体"/>
          <w:bCs/>
          <w:szCs w:val="21"/>
        </w:rPr>
      </w:pPr>
      <w:r>
        <w:rPr>
          <w:rFonts w:ascii="宋体" w:hAnsi="宋体" w:cs="宋体"/>
          <w:bCs/>
          <w:szCs w:val="21"/>
        </w:rPr>
        <w:t>3. 合同履行</w:t>
      </w:r>
    </w:p>
    <w:p w14:paraId="4FBF6ECA">
      <w:pPr>
        <w:spacing w:line="400" w:lineRule="exact"/>
        <w:ind w:firstLine="420" w:firstLineChars="200"/>
        <w:rPr>
          <w:rFonts w:hint="eastAsia"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hint="eastAsia"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hint="eastAsia"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hint="eastAsia"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hint="eastAsia"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hint="eastAsia"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hint="eastAsia"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hint="eastAsia"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hint="eastAsia" w:ascii="宋体" w:hAnsi="宋体" w:cs="宋体"/>
          <w:bCs/>
          <w:szCs w:val="21"/>
        </w:rPr>
      </w:pPr>
      <w:r>
        <w:rPr>
          <w:rFonts w:ascii="宋体" w:hAnsi="宋体" w:cs="宋体"/>
          <w:bCs/>
          <w:szCs w:val="21"/>
        </w:rPr>
        <w:t>4. 合同验收</w:t>
      </w:r>
    </w:p>
    <w:p w14:paraId="2113B91A">
      <w:pPr>
        <w:spacing w:line="400" w:lineRule="exact"/>
        <w:ind w:firstLine="420" w:firstLineChars="200"/>
        <w:rPr>
          <w:rFonts w:hint="eastAsia"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hint="eastAsia"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hint="eastAsia"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hint="eastAsia"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hint="eastAsia"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hint="eastAsia"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hint="eastAsia"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hint="eastAsia"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hint="eastAsia"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hint="eastAsia"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hint="eastAsia"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hint="eastAsia"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hint="eastAsia"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hint="eastAsia"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hint="eastAsia"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hint="eastAsia"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hint="eastAsia"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hint="eastAsia"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hint="eastAsia"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hint="eastAsia"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hint="eastAsia"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hint="eastAsia"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hint="eastAsia" w:ascii="宋体" w:hAnsi="宋体" w:cs="宋体"/>
          <w:bCs/>
          <w:szCs w:val="21"/>
        </w:rPr>
      </w:pPr>
      <w:r>
        <w:rPr>
          <w:rFonts w:ascii="宋体" w:hAnsi="宋体" w:cs="宋体"/>
          <w:bCs/>
          <w:szCs w:val="21"/>
        </w:rPr>
        <w:t>(6)采购文件</w:t>
      </w:r>
    </w:p>
    <w:p w14:paraId="40424B6B">
      <w:pPr>
        <w:spacing w:line="400" w:lineRule="exact"/>
        <w:ind w:firstLine="420" w:firstLineChars="200"/>
        <w:rPr>
          <w:rFonts w:hint="eastAsia"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hint="eastAsia"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hint="eastAsia" w:ascii="宋体" w:hAnsi="宋体" w:cs="宋体"/>
          <w:bCs/>
          <w:szCs w:val="21"/>
        </w:rPr>
      </w:pPr>
      <w:r>
        <w:rPr>
          <w:rFonts w:ascii="宋体" w:hAnsi="宋体" w:cs="宋体"/>
          <w:bCs/>
          <w:szCs w:val="21"/>
        </w:rPr>
        <w:t>6. 合同生效</w:t>
      </w:r>
    </w:p>
    <w:p w14:paraId="61675A4D">
      <w:pPr>
        <w:spacing w:line="400" w:lineRule="exact"/>
        <w:ind w:firstLine="420" w:firstLineChars="200"/>
        <w:rPr>
          <w:rFonts w:hint="eastAsia"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hint="eastAsia" w:ascii="宋体" w:hAnsi="宋体" w:cs="宋体"/>
          <w:bCs/>
          <w:szCs w:val="21"/>
        </w:rPr>
      </w:pPr>
      <w:r>
        <w:rPr>
          <w:rFonts w:ascii="宋体" w:hAnsi="宋体" w:cs="宋体"/>
          <w:bCs/>
          <w:szCs w:val="21"/>
        </w:rPr>
        <w:t>7. 合同份数</w:t>
      </w:r>
    </w:p>
    <w:p w14:paraId="4E51BA01">
      <w:pPr>
        <w:spacing w:line="400" w:lineRule="exact"/>
        <w:ind w:firstLine="420" w:firstLineChars="200"/>
        <w:rPr>
          <w:rFonts w:hint="eastAsia"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hint="eastAsia"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hint="eastAsia"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hint="eastAsia"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hint="eastAsia" w:ascii="宋体" w:hAnsi="宋体" w:cs="宋体"/>
          <w:snapToGrid w:val="0"/>
          <w:color w:val="000000"/>
          <w:kern w:val="0"/>
          <w:szCs w:val="21"/>
        </w:rPr>
      </w:pPr>
    </w:p>
    <w:p w14:paraId="23C51416">
      <w:pPr>
        <w:widowControl/>
        <w:jc w:val="left"/>
      </w:pPr>
      <w:r>
        <w:br w:type="page"/>
      </w:r>
    </w:p>
    <w:tbl>
      <w:tblPr>
        <w:tblStyle w:val="51"/>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hint="eastAsia"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hint="eastAsia"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hint="eastAsia"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hint="eastAsia"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hint="eastAsia"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hint="eastAsia"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hint="eastAsia"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hint="eastAsia"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hint="eastAsia" w:ascii="宋体" w:hAnsi="宋体" w:cs="Arial"/>
          <w:snapToGrid w:val="0"/>
          <w:color w:val="000000"/>
          <w:kern w:val="0"/>
          <w:szCs w:val="21"/>
        </w:rPr>
      </w:pPr>
    </w:p>
    <w:tbl>
      <w:tblPr>
        <w:tblStyle w:val="51"/>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hint="eastAsia"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hint="eastAsia"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hint="eastAsia"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hint="eastAsia"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hint="eastAsia"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hint="eastAsia"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14" w:name="_Toc135293356"/>
      <w:r>
        <w:rPr>
          <w:rFonts w:hint="eastAsia"/>
        </w:rPr>
        <w:t>第九章  附件</w:t>
      </w:r>
      <w:bookmarkEnd w:id="114"/>
    </w:p>
    <w:p w14:paraId="0FD850FA">
      <w:pPr>
        <w:pStyle w:val="4"/>
        <w:spacing w:before="0" w:after="0"/>
      </w:pPr>
      <w:bookmarkStart w:id="115" w:name="_Toc73610162"/>
      <w:bookmarkStart w:id="116" w:name="_Toc135293357"/>
      <w:bookmarkStart w:id="117" w:name="_Toc73613644"/>
      <w:r>
        <w:rPr>
          <w:rFonts w:hint="eastAsia"/>
        </w:rPr>
        <w:t>一、财政部 工业和信息化部关于印发《政府采购促进中小企业发展管理办法》的通知</w:t>
      </w:r>
      <w:bookmarkEnd w:id="115"/>
      <w:bookmarkEnd w:id="116"/>
      <w:bookmarkEnd w:id="117"/>
    </w:p>
    <w:p w14:paraId="160EC0FD">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6E40C6C0">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p>
    <w:p w14:paraId="30F84778">
      <w:pPr>
        <w:spacing w:line="360" w:lineRule="auto"/>
        <w:rPr>
          <w:rFonts w:hint="eastAsia" w:asciiTheme="minorEastAsia" w:hAnsiTheme="minorEastAsia" w:eastAsiaTheme="minorEastAsia"/>
          <w:szCs w:val="21"/>
        </w:rPr>
      </w:pPr>
    </w:p>
    <w:p w14:paraId="54C6E40D">
      <w:pPr>
        <w:pStyle w:val="4"/>
        <w:spacing w:before="0" w:after="0"/>
      </w:pPr>
      <w:bookmarkStart w:id="118" w:name="_Toc73610163"/>
      <w:bookmarkStart w:id="119" w:name="_Toc73613645"/>
      <w:bookmarkStart w:id="120" w:name="_Toc135293358"/>
      <w:r>
        <w:rPr>
          <w:rFonts w:hint="eastAsia"/>
        </w:rPr>
        <w:t>二、关于印发中小企业划型标准规定的通知</w:t>
      </w:r>
      <w:bookmarkEnd w:id="118"/>
      <w:bookmarkEnd w:id="119"/>
      <w:bookmarkEnd w:id="120"/>
    </w:p>
    <w:p w14:paraId="5EC4CC8A">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p>
    <w:p w14:paraId="74F2ADF7">
      <w:pPr>
        <w:pStyle w:val="4"/>
        <w:spacing w:before="0" w:after="0"/>
      </w:pPr>
      <w:bookmarkStart w:id="121" w:name="_Toc73610164"/>
      <w:bookmarkStart w:id="122" w:name="_Toc73613646"/>
      <w:bookmarkStart w:id="123" w:name="_Toc135293359"/>
      <w:r>
        <w:rPr>
          <w:rFonts w:hint="eastAsia"/>
        </w:rPr>
        <w:t>三、</w:t>
      </w:r>
      <w:r>
        <w:t>国家统计局关于印发《统计上大中小微型企业划分办法 （2017）》的通知</w:t>
      </w:r>
      <w:bookmarkEnd w:id="121"/>
      <w:bookmarkEnd w:id="122"/>
      <w:bookmarkEnd w:id="123"/>
      <w:r>
        <w:t> </w:t>
      </w:r>
    </w:p>
    <w:p w14:paraId="274E1BE5">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hint="eastAsia" w:cs="宋体" w:asciiTheme="minorEastAsia" w:hAnsiTheme="minorEastAsia" w:eastAsiaTheme="minorEastAsia"/>
          <w:b/>
          <w:bCs/>
          <w:kern w:val="0"/>
          <w:szCs w:val="21"/>
        </w:rPr>
      </w:pPr>
    </w:p>
    <w:p w14:paraId="161235AC">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hint="eastAsia" w:cs="宋体" w:asciiTheme="minorEastAsia" w:hAnsiTheme="minorEastAsia" w:eastAsiaTheme="minorEastAsia"/>
          <w:kern w:val="0"/>
          <w:szCs w:val="21"/>
        </w:rPr>
      </w:pPr>
    </w:p>
    <w:p w14:paraId="06636E26">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hint="eastAsia" w:cs="宋体" w:asciiTheme="minorEastAsia" w:hAnsiTheme="minorEastAsia" w:eastAsiaTheme="minorEastAsia"/>
          <w:kern w:val="0"/>
          <w:szCs w:val="21"/>
        </w:rPr>
      </w:pPr>
    </w:p>
    <w:p w14:paraId="5202FB5A">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hint="eastAsia" w:cs="宋体" w:asciiTheme="minorEastAsia" w:hAnsiTheme="minorEastAsia" w:eastAsiaTheme="minorEastAsia"/>
          <w:kern w:val="0"/>
          <w:szCs w:val="21"/>
        </w:rPr>
      </w:pPr>
    </w:p>
    <w:p w14:paraId="46928F69">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hint="eastAsia" w:cs="宋体" w:asciiTheme="minorEastAsia" w:hAnsiTheme="minorEastAsia" w:eastAsiaTheme="minorEastAsia"/>
          <w:kern w:val="0"/>
          <w:szCs w:val="21"/>
        </w:rPr>
      </w:pPr>
    </w:p>
    <w:p w14:paraId="5A435C96">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hint="eastAsia" w:asciiTheme="minorEastAsia" w:hAnsiTheme="minorEastAsia" w:eastAsiaTheme="minorEastAsia"/>
          <w:szCs w:val="21"/>
        </w:rPr>
      </w:pPr>
    </w:p>
    <w:p w14:paraId="3253AF9F">
      <w:pPr>
        <w:pStyle w:val="4"/>
        <w:spacing w:before="0" w:after="0"/>
      </w:pPr>
      <w:bookmarkStart w:id="124" w:name="_Toc135293360"/>
      <w:bookmarkStart w:id="125" w:name="_Toc73613647"/>
      <w:bookmarkStart w:id="126" w:name="_Toc73610165"/>
      <w:r>
        <w:rPr>
          <w:rFonts w:hint="eastAsia"/>
        </w:rPr>
        <w:t>四、</w:t>
      </w:r>
      <w:r>
        <w:t>财政部 民政部 中国残疾人联合会关于促进残疾人就业 政府采购政策的通知</w:t>
      </w:r>
      <w:bookmarkEnd w:id="124"/>
      <w:bookmarkEnd w:id="125"/>
      <w:bookmarkEnd w:id="126"/>
      <w:r>
        <w:t xml:space="preserve"> </w:t>
      </w:r>
    </w:p>
    <w:p w14:paraId="0A0CFB85">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hint="eastAsia" w:cs="宋体" w:asciiTheme="minorEastAsia" w:hAnsiTheme="minorEastAsia" w:eastAsiaTheme="minorEastAsia"/>
          <w:kern w:val="0"/>
          <w:szCs w:val="21"/>
        </w:rPr>
      </w:pPr>
    </w:p>
    <w:p w14:paraId="50DF9621">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27" w:name="_Toc135293361"/>
      <w:r>
        <w:rPr>
          <w:rFonts w:hint="eastAsia"/>
        </w:rPr>
        <w:t>五、财政部 司法部关于政府采购支持监狱企业发展有关问题的通知</w:t>
      </w:r>
      <w:bookmarkEnd w:id="127"/>
      <w:r>
        <w:rPr>
          <w:rFonts w:hint="eastAsia"/>
        </w:rPr>
        <w:t xml:space="preserve"> </w:t>
      </w:r>
    </w:p>
    <w:p w14:paraId="248C7DC0">
      <w:pPr>
        <w:widowControl/>
        <w:spacing w:line="360" w:lineRule="auto"/>
        <w:jc w:val="center"/>
        <w:rPr>
          <w:rFonts w:hint="eastAsia" w:cs="宋体" w:asciiTheme="minorEastAsia" w:hAnsiTheme="minorEastAsia" w:eastAsiaTheme="minorEastAsia"/>
          <w:kern w:val="0"/>
          <w:szCs w:val="21"/>
        </w:rPr>
      </w:pPr>
    </w:p>
    <w:p w14:paraId="3A790ED0">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hint="eastAsia" w:cs="宋体" w:asciiTheme="minorEastAsia" w:hAnsiTheme="minorEastAsia" w:eastAsiaTheme="minorEastAsia"/>
          <w:kern w:val="0"/>
          <w:szCs w:val="21"/>
        </w:rPr>
      </w:pPr>
    </w:p>
    <w:p w14:paraId="65A7BB6A">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hint="eastAsia" w:cs="宋体" w:asciiTheme="minorEastAsia" w:hAnsiTheme="minorEastAsia" w:eastAsiaTheme="minorEastAsia"/>
          <w:kern w:val="0"/>
          <w:szCs w:val="21"/>
        </w:rPr>
      </w:pPr>
    </w:p>
    <w:p w14:paraId="54FBB151">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8A45C7A">
      <w:pPr>
        <w:pStyle w:val="4"/>
        <w:spacing w:before="0" w:after="0"/>
        <w:rPr>
          <w:rFonts w:hint="eastAsia"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3"/>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20</w:t>
    </w:r>
    <w:r>
      <w:rPr>
        <w:rStyle w:val="55"/>
      </w:rPr>
      <w:fldChar w:fldCharType="end"/>
    </w:r>
  </w:p>
  <w:p w14:paraId="0CAACECA">
    <w:pPr>
      <w:pStyle w:val="3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4"/>
      <w:tabs>
        <w:tab w:val="center" w:pos="4819"/>
        <w:tab w:val="right" w:pos="9638"/>
      </w:tabs>
      <w:jc w:val="left"/>
      <w:rPr>
        <w:rFonts w:hint="eastAsia" w:asciiTheme="minorEastAsia" w:hAnsiTheme="minorEastAsia" w:eastAsiaTheme="minorEastAsia"/>
      </w:rPr>
    </w:pPr>
    <w:r>
      <w:tab/>
    </w:r>
    <w:r>
      <w:rPr>
        <w:rFonts w:hint="eastAsia" w:asciiTheme="minorEastAsia" w:hAnsiTheme="minorEastAsia" w:eastAsiaTheme="minorEastAsia"/>
      </w:rPr>
      <w:t>项目名称：共享业务处理与企业实务流程教学软件                                     项目编号：CGXM-2024-005644</w:t>
    </w:r>
  </w:p>
  <w:p w14:paraId="1683E8D6">
    <w:pPr>
      <w:pStyle w:val="34"/>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9"/>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881F83"/>
    <w:multiLevelType w:val="multilevel"/>
    <w:tmpl w:val="37881F8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7787D"/>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B23"/>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69F"/>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C7B"/>
    <w:rsid w:val="00143D73"/>
    <w:rsid w:val="001448C4"/>
    <w:rsid w:val="00144929"/>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713"/>
    <w:rsid w:val="00180B0D"/>
    <w:rsid w:val="00181389"/>
    <w:rsid w:val="00181FEA"/>
    <w:rsid w:val="00182706"/>
    <w:rsid w:val="0018284B"/>
    <w:rsid w:val="00183600"/>
    <w:rsid w:val="001836F2"/>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424"/>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57E6"/>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3A9"/>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22"/>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58BC"/>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127B"/>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12A"/>
    <w:rsid w:val="00355855"/>
    <w:rsid w:val="003558FD"/>
    <w:rsid w:val="003571E8"/>
    <w:rsid w:val="0035737C"/>
    <w:rsid w:val="0035749F"/>
    <w:rsid w:val="00357CBA"/>
    <w:rsid w:val="003602AF"/>
    <w:rsid w:val="003619E8"/>
    <w:rsid w:val="00361FC9"/>
    <w:rsid w:val="003620F5"/>
    <w:rsid w:val="00363CCB"/>
    <w:rsid w:val="003640EA"/>
    <w:rsid w:val="003642A2"/>
    <w:rsid w:val="003646C5"/>
    <w:rsid w:val="00365006"/>
    <w:rsid w:val="00365258"/>
    <w:rsid w:val="00365ABF"/>
    <w:rsid w:val="003664D4"/>
    <w:rsid w:val="00366D72"/>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6F69"/>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0B2"/>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0B2"/>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383"/>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3CE"/>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6FC7"/>
    <w:rsid w:val="004077BD"/>
    <w:rsid w:val="00407B04"/>
    <w:rsid w:val="00407BC7"/>
    <w:rsid w:val="00407C5E"/>
    <w:rsid w:val="004103D8"/>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3E36"/>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0E0A"/>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64"/>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2A5"/>
    <w:rsid w:val="004E67CC"/>
    <w:rsid w:val="004E6BED"/>
    <w:rsid w:val="004E7CCE"/>
    <w:rsid w:val="004F0090"/>
    <w:rsid w:val="004F0094"/>
    <w:rsid w:val="004F091C"/>
    <w:rsid w:val="004F10DF"/>
    <w:rsid w:val="004F1279"/>
    <w:rsid w:val="004F1DD7"/>
    <w:rsid w:val="004F266B"/>
    <w:rsid w:val="004F2CF9"/>
    <w:rsid w:val="004F3163"/>
    <w:rsid w:val="004F3DEF"/>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5E7A"/>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7B3"/>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6C4"/>
    <w:rsid w:val="00627AAB"/>
    <w:rsid w:val="00627B99"/>
    <w:rsid w:val="00627E79"/>
    <w:rsid w:val="006300C1"/>
    <w:rsid w:val="006304B1"/>
    <w:rsid w:val="00631533"/>
    <w:rsid w:val="00631EC7"/>
    <w:rsid w:val="0063209E"/>
    <w:rsid w:val="00633165"/>
    <w:rsid w:val="006335B0"/>
    <w:rsid w:val="00633D19"/>
    <w:rsid w:val="00633D42"/>
    <w:rsid w:val="00634056"/>
    <w:rsid w:val="0063406C"/>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54E"/>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548"/>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1F9"/>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1CB"/>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9BC"/>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9B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60C5"/>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5CA"/>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A60"/>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863"/>
    <w:rsid w:val="007D3ABD"/>
    <w:rsid w:val="007D3E32"/>
    <w:rsid w:val="007D3F81"/>
    <w:rsid w:val="007D45FE"/>
    <w:rsid w:val="007D4A85"/>
    <w:rsid w:val="007D4BBF"/>
    <w:rsid w:val="007D52F4"/>
    <w:rsid w:val="007D53E8"/>
    <w:rsid w:val="007D5837"/>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8BB"/>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32"/>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394B"/>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30"/>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8C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423"/>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6270"/>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291"/>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17E1F"/>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3DF"/>
    <w:rsid w:val="00A766AD"/>
    <w:rsid w:val="00A76961"/>
    <w:rsid w:val="00A76BFB"/>
    <w:rsid w:val="00A80142"/>
    <w:rsid w:val="00A80199"/>
    <w:rsid w:val="00A808F3"/>
    <w:rsid w:val="00A8122B"/>
    <w:rsid w:val="00A81726"/>
    <w:rsid w:val="00A81A20"/>
    <w:rsid w:val="00A81B8D"/>
    <w:rsid w:val="00A81D7B"/>
    <w:rsid w:val="00A81EC8"/>
    <w:rsid w:val="00A82BEB"/>
    <w:rsid w:val="00A82EDC"/>
    <w:rsid w:val="00A82F09"/>
    <w:rsid w:val="00A8326D"/>
    <w:rsid w:val="00A83DDC"/>
    <w:rsid w:val="00A83F37"/>
    <w:rsid w:val="00A84018"/>
    <w:rsid w:val="00A84621"/>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D5E"/>
    <w:rsid w:val="00B16E86"/>
    <w:rsid w:val="00B17315"/>
    <w:rsid w:val="00B1737F"/>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231"/>
    <w:rsid w:val="00B41534"/>
    <w:rsid w:val="00B4154B"/>
    <w:rsid w:val="00B41784"/>
    <w:rsid w:val="00B42E68"/>
    <w:rsid w:val="00B43910"/>
    <w:rsid w:val="00B4420E"/>
    <w:rsid w:val="00B44DFC"/>
    <w:rsid w:val="00B45669"/>
    <w:rsid w:val="00B46049"/>
    <w:rsid w:val="00B464F8"/>
    <w:rsid w:val="00B46554"/>
    <w:rsid w:val="00B466F0"/>
    <w:rsid w:val="00B467BB"/>
    <w:rsid w:val="00B47758"/>
    <w:rsid w:val="00B47E3B"/>
    <w:rsid w:val="00B5034C"/>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45D"/>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6FE3"/>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17A08"/>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8EE"/>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34F"/>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124"/>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3AD"/>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11D9"/>
    <w:rsid w:val="00CD288F"/>
    <w:rsid w:val="00CD28B2"/>
    <w:rsid w:val="00CD29FB"/>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45D"/>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0FD8"/>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266"/>
    <w:rsid w:val="00D933F6"/>
    <w:rsid w:val="00D93F68"/>
    <w:rsid w:val="00D94010"/>
    <w:rsid w:val="00D948C4"/>
    <w:rsid w:val="00D94D02"/>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575F"/>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5A50"/>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636F"/>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B39"/>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688"/>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32"/>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05"/>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0E13"/>
    <w:rsid w:val="00F71756"/>
    <w:rsid w:val="00F717ED"/>
    <w:rsid w:val="00F722AD"/>
    <w:rsid w:val="00F72E37"/>
    <w:rsid w:val="00F72ED6"/>
    <w:rsid w:val="00F72EDE"/>
    <w:rsid w:val="00F73F4D"/>
    <w:rsid w:val="00F748DB"/>
    <w:rsid w:val="00F7494B"/>
    <w:rsid w:val="00F74B62"/>
    <w:rsid w:val="00F74E67"/>
    <w:rsid w:val="00F7509D"/>
    <w:rsid w:val="00F75BD6"/>
    <w:rsid w:val="00F75D6C"/>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76"/>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4E3"/>
    <w:rsid w:val="00FE357B"/>
    <w:rsid w:val="00FE37C2"/>
    <w:rsid w:val="00FE4F46"/>
    <w:rsid w:val="00FE5276"/>
    <w:rsid w:val="00FE563B"/>
    <w:rsid w:val="00FE5DA3"/>
    <w:rsid w:val="00FE5DE6"/>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A249C3"/>
    <w:rsid w:val="01AA7D1B"/>
    <w:rsid w:val="01F0299B"/>
    <w:rsid w:val="01FB2325"/>
    <w:rsid w:val="02587777"/>
    <w:rsid w:val="026E4F91"/>
    <w:rsid w:val="028916DF"/>
    <w:rsid w:val="031713E0"/>
    <w:rsid w:val="03353615"/>
    <w:rsid w:val="03EE2141"/>
    <w:rsid w:val="041D095D"/>
    <w:rsid w:val="04CE3D21"/>
    <w:rsid w:val="05731586"/>
    <w:rsid w:val="059A3767"/>
    <w:rsid w:val="05BB54E1"/>
    <w:rsid w:val="05C87DB9"/>
    <w:rsid w:val="063C7E01"/>
    <w:rsid w:val="064A387B"/>
    <w:rsid w:val="065754CA"/>
    <w:rsid w:val="065B3392"/>
    <w:rsid w:val="06B37672"/>
    <w:rsid w:val="07465DF0"/>
    <w:rsid w:val="07550729"/>
    <w:rsid w:val="077E1A2E"/>
    <w:rsid w:val="078132CC"/>
    <w:rsid w:val="0797489E"/>
    <w:rsid w:val="07EC2E3C"/>
    <w:rsid w:val="07EC4BEA"/>
    <w:rsid w:val="08034E28"/>
    <w:rsid w:val="080C0CE6"/>
    <w:rsid w:val="081F23F9"/>
    <w:rsid w:val="087F780C"/>
    <w:rsid w:val="08913134"/>
    <w:rsid w:val="08956AF6"/>
    <w:rsid w:val="08CC4A1B"/>
    <w:rsid w:val="091361A6"/>
    <w:rsid w:val="093700E7"/>
    <w:rsid w:val="094544F4"/>
    <w:rsid w:val="0961739E"/>
    <w:rsid w:val="096B7D90"/>
    <w:rsid w:val="097C4109"/>
    <w:rsid w:val="098E1564"/>
    <w:rsid w:val="098E6083"/>
    <w:rsid w:val="0A8B5403"/>
    <w:rsid w:val="0AB1211B"/>
    <w:rsid w:val="0AB84641"/>
    <w:rsid w:val="0B205B2B"/>
    <w:rsid w:val="0B444489"/>
    <w:rsid w:val="0B50723E"/>
    <w:rsid w:val="0B782559"/>
    <w:rsid w:val="0B8A1F62"/>
    <w:rsid w:val="0C30706F"/>
    <w:rsid w:val="0D305756"/>
    <w:rsid w:val="0D566BC9"/>
    <w:rsid w:val="0DB77A48"/>
    <w:rsid w:val="0DD04666"/>
    <w:rsid w:val="0DD71E42"/>
    <w:rsid w:val="0DE85F95"/>
    <w:rsid w:val="0E180322"/>
    <w:rsid w:val="0E8C4995"/>
    <w:rsid w:val="0EAD2BF9"/>
    <w:rsid w:val="0EDB2E66"/>
    <w:rsid w:val="0EF27BFB"/>
    <w:rsid w:val="0F0547E3"/>
    <w:rsid w:val="0F307AB2"/>
    <w:rsid w:val="0F7E3E40"/>
    <w:rsid w:val="0FBC50EF"/>
    <w:rsid w:val="10324220"/>
    <w:rsid w:val="10795A59"/>
    <w:rsid w:val="10A951AF"/>
    <w:rsid w:val="10AA5642"/>
    <w:rsid w:val="10EB1332"/>
    <w:rsid w:val="11390774"/>
    <w:rsid w:val="115A7068"/>
    <w:rsid w:val="115F3FD7"/>
    <w:rsid w:val="117619C8"/>
    <w:rsid w:val="119D51A7"/>
    <w:rsid w:val="11A259DD"/>
    <w:rsid w:val="11F936CD"/>
    <w:rsid w:val="120027E5"/>
    <w:rsid w:val="120474A0"/>
    <w:rsid w:val="121C431D"/>
    <w:rsid w:val="12B96010"/>
    <w:rsid w:val="12EF1A32"/>
    <w:rsid w:val="13102ABE"/>
    <w:rsid w:val="132C5202"/>
    <w:rsid w:val="132E255A"/>
    <w:rsid w:val="134A6C68"/>
    <w:rsid w:val="135E3453"/>
    <w:rsid w:val="13E94EFF"/>
    <w:rsid w:val="143F5FC4"/>
    <w:rsid w:val="149D4B90"/>
    <w:rsid w:val="14C0017C"/>
    <w:rsid w:val="14F90946"/>
    <w:rsid w:val="15436065"/>
    <w:rsid w:val="159D5775"/>
    <w:rsid w:val="162063B0"/>
    <w:rsid w:val="167D280D"/>
    <w:rsid w:val="169703CA"/>
    <w:rsid w:val="169B10F0"/>
    <w:rsid w:val="16AA718C"/>
    <w:rsid w:val="16CD208A"/>
    <w:rsid w:val="17047766"/>
    <w:rsid w:val="17883C19"/>
    <w:rsid w:val="17935895"/>
    <w:rsid w:val="179B5CE4"/>
    <w:rsid w:val="17AB16AF"/>
    <w:rsid w:val="17BF5F86"/>
    <w:rsid w:val="17F52C18"/>
    <w:rsid w:val="18160E54"/>
    <w:rsid w:val="183D3240"/>
    <w:rsid w:val="184530EF"/>
    <w:rsid w:val="18533A95"/>
    <w:rsid w:val="188339BE"/>
    <w:rsid w:val="18925339"/>
    <w:rsid w:val="18AB63FB"/>
    <w:rsid w:val="18CF5544"/>
    <w:rsid w:val="19227A4B"/>
    <w:rsid w:val="192A5572"/>
    <w:rsid w:val="196F7429"/>
    <w:rsid w:val="19921369"/>
    <w:rsid w:val="19C11545"/>
    <w:rsid w:val="1A15147B"/>
    <w:rsid w:val="1A5A0DC9"/>
    <w:rsid w:val="1A8E1069"/>
    <w:rsid w:val="1AB1581F"/>
    <w:rsid w:val="1ABC669E"/>
    <w:rsid w:val="1AD5775F"/>
    <w:rsid w:val="1AF520D1"/>
    <w:rsid w:val="1B3E182A"/>
    <w:rsid w:val="1B4548E5"/>
    <w:rsid w:val="1B4B5195"/>
    <w:rsid w:val="1B9118D8"/>
    <w:rsid w:val="1BED5CE0"/>
    <w:rsid w:val="1BF260EF"/>
    <w:rsid w:val="1BFB754E"/>
    <w:rsid w:val="1C174C6F"/>
    <w:rsid w:val="1C236E4B"/>
    <w:rsid w:val="1C393D1E"/>
    <w:rsid w:val="1C7C020D"/>
    <w:rsid w:val="1C8F78BA"/>
    <w:rsid w:val="1C9B0D84"/>
    <w:rsid w:val="1CD211C8"/>
    <w:rsid w:val="1CDD3F3B"/>
    <w:rsid w:val="1CF20BC3"/>
    <w:rsid w:val="1D4D6869"/>
    <w:rsid w:val="1D8D4321"/>
    <w:rsid w:val="1DAC0C4B"/>
    <w:rsid w:val="1DAD06A9"/>
    <w:rsid w:val="1DB96EC4"/>
    <w:rsid w:val="1DDE2DCF"/>
    <w:rsid w:val="1DDE7A8B"/>
    <w:rsid w:val="1E0839A8"/>
    <w:rsid w:val="1E3F2E81"/>
    <w:rsid w:val="1E935208"/>
    <w:rsid w:val="1ED01768"/>
    <w:rsid w:val="1F51684B"/>
    <w:rsid w:val="1F744267"/>
    <w:rsid w:val="1F86727A"/>
    <w:rsid w:val="1FD71884"/>
    <w:rsid w:val="1FE67D19"/>
    <w:rsid w:val="20AF006C"/>
    <w:rsid w:val="210F36F7"/>
    <w:rsid w:val="21336F8E"/>
    <w:rsid w:val="214473ED"/>
    <w:rsid w:val="215F26FA"/>
    <w:rsid w:val="21747CD2"/>
    <w:rsid w:val="21760101"/>
    <w:rsid w:val="21A67091"/>
    <w:rsid w:val="220A11E7"/>
    <w:rsid w:val="224156DA"/>
    <w:rsid w:val="225A20B0"/>
    <w:rsid w:val="227D41D6"/>
    <w:rsid w:val="228B257F"/>
    <w:rsid w:val="228F60C3"/>
    <w:rsid w:val="22AF0896"/>
    <w:rsid w:val="22B25284"/>
    <w:rsid w:val="22C07D9F"/>
    <w:rsid w:val="22E76E75"/>
    <w:rsid w:val="22EA0CC7"/>
    <w:rsid w:val="23056CBA"/>
    <w:rsid w:val="23130195"/>
    <w:rsid w:val="234C1E42"/>
    <w:rsid w:val="235B27CC"/>
    <w:rsid w:val="23B5012E"/>
    <w:rsid w:val="23C6059E"/>
    <w:rsid w:val="23C95079"/>
    <w:rsid w:val="24003A9F"/>
    <w:rsid w:val="24031A53"/>
    <w:rsid w:val="24052C33"/>
    <w:rsid w:val="24213A15"/>
    <w:rsid w:val="24307C26"/>
    <w:rsid w:val="24457704"/>
    <w:rsid w:val="247578BD"/>
    <w:rsid w:val="248E5D4C"/>
    <w:rsid w:val="24C47897"/>
    <w:rsid w:val="24CF6320"/>
    <w:rsid w:val="24D34D10"/>
    <w:rsid w:val="24D64800"/>
    <w:rsid w:val="24E337F8"/>
    <w:rsid w:val="258D3B57"/>
    <w:rsid w:val="25CD0042"/>
    <w:rsid w:val="260D4251"/>
    <w:rsid w:val="261E01AA"/>
    <w:rsid w:val="262336EE"/>
    <w:rsid w:val="26571970"/>
    <w:rsid w:val="2692002D"/>
    <w:rsid w:val="269E4C0C"/>
    <w:rsid w:val="26B02E2F"/>
    <w:rsid w:val="26E8081A"/>
    <w:rsid w:val="27024D1A"/>
    <w:rsid w:val="27463B6A"/>
    <w:rsid w:val="274719E5"/>
    <w:rsid w:val="27675BE3"/>
    <w:rsid w:val="27B16E5E"/>
    <w:rsid w:val="2802590C"/>
    <w:rsid w:val="28577A06"/>
    <w:rsid w:val="28650375"/>
    <w:rsid w:val="28D41056"/>
    <w:rsid w:val="29475CCC"/>
    <w:rsid w:val="29A41135"/>
    <w:rsid w:val="2A0140CD"/>
    <w:rsid w:val="2A337FFE"/>
    <w:rsid w:val="2A8A2271"/>
    <w:rsid w:val="2A906B26"/>
    <w:rsid w:val="2AD85037"/>
    <w:rsid w:val="2B3C2B7F"/>
    <w:rsid w:val="2B674E74"/>
    <w:rsid w:val="2B91322F"/>
    <w:rsid w:val="2BD0253B"/>
    <w:rsid w:val="2C0F0F03"/>
    <w:rsid w:val="2C444480"/>
    <w:rsid w:val="2C564DC3"/>
    <w:rsid w:val="2C7C3EDF"/>
    <w:rsid w:val="2CA9220C"/>
    <w:rsid w:val="2CFC5020"/>
    <w:rsid w:val="2D142E8B"/>
    <w:rsid w:val="2D6C141D"/>
    <w:rsid w:val="2D727090"/>
    <w:rsid w:val="2DA01E4F"/>
    <w:rsid w:val="2DA232EE"/>
    <w:rsid w:val="2DA973AD"/>
    <w:rsid w:val="2DFD2DFD"/>
    <w:rsid w:val="2E2F495A"/>
    <w:rsid w:val="2E4470AA"/>
    <w:rsid w:val="2EB64B4B"/>
    <w:rsid w:val="2EDB590A"/>
    <w:rsid w:val="2EE40E64"/>
    <w:rsid w:val="2F0A29E3"/>
    <w:rsid w:val="2F5C266F"/>
    <w:rsid w:val="2FDB003B"/>
    <w:rsid w:val="2FEE52C5"/>
    <w:rsid w:val="302B680E"/>
    <w:rsid w:val="303C545D"/>
    <w:rsid w:val="30817D6A"/>
    <w:rsid w:val="31367970"/>
    <w:rsid w:val="313E4448"/>
    <w:rsid w:val="313E5C07"/>
    <w:rsid w:val="3157114E"/>
    <w:rsid w:val="31CD6F8B"/>
    <w:rsid w:val="31F2037F"/>
    <w:rsid w:val="320A0AF5"/>
    <w:rsid w:val="320D55D9"/>
    <w:rsid w:val="3238450B"/>
    <w:rsid w:val="32674CE9"/>
    <w:rsid w:val="32785148"/>
    <w:rsid w:val="329B11F6"/>
    <w:rsid w:val="32AB5B3C"/>
    <w:rsid w:val="330B7D6A"/>
    <w:rsid w:val="33501C21"/>
    <w:rsid w:val="336E087E"/>
    <w:rsid w:val="33C3087D"/>
    <w:rsid w:val="342B1D46"/>
    <w:rsid w:val="34597AA3"/>
    <w:rsid w:val="345F08F0"/>
    <w:rsid w:val="34B34216"/>
    <w:rsid w:val="34CE72A2"/>
    <w:rsid w:val="34FE797D"/>
    <w:rsid w:val="353C321B"/>
    <w:rsid w:val="3569521C"/>
    <w:rsid w:val="35961B12"/>
    <w:rsid w:val="359C5D0B"/>
    <w:rsid w:val="35E84393"/>
    <w:rsid w:val="363C3BFD"/>
    <w:rsid w:val="363F1E28"/>
    <w:rsid w:val="364523AD"/>
    <w:rsid w:val="365372C0"/>
    <w:rsid w:val="36594754"/>
    <w:rsid w:val="36607CD1"/>
    <w:rsid w:val="36700D38"/>
    <w:rsid w:val="369A2918"/>
    <w:rsid w:val="36AA7CC8"/>
    <w:rsid w:val="36C4673D"/>
    <w:rsid w:val="36F86140"/>
    <w:rsid w:val="371A2212"/>
    <w:rsid w:val="373F6235"/>
    <w:rsid w:val="375C6262"/>
    <w:rsid w:val="37741632"/>
    <w:rsid w:val="37B10B63"/>
    <w:rsid w:val="37B207B5"/>
    <w:rsid w:val="37D17C49"/>
    <w:rsid w:val="37D8101E"/>
    <w:rsid w:val="38012E4C"/>
    <w:rsid w:val="38180E94"/>
    <w:rsid w:val="3881608E"/>
    <w:rsid w:val="3885411B"/>
    <w:rsid w:val="38E075A3"/>
    <w:rsid w:val="38E47094"/>
    <w:rsid w:val="390721D7"/>
    <w:rsid w:val="393B510C"/>
    <w:rsid w:val="393F4767"/>
    <w:rsid w:val="396B3311"/>
    <w:rsid w:val="39822732"/>
    <w:rsid w:val="39A97E97"/>
    <w:rsid w:val="3A192D6D"/>
    <w:rsid w:val="3A260C29"/>
    <w:rsid w:val="3A6B5876"/>
    <w:rsid w:val="3A715BB8"/>
    <w:rsid w:val="3ABC194A"/>
    <w:rsid w:val="3B57268D"/>
    <w:rsid w:val="3B6176CE"/>
    <w:rsid w:val="3B9E79F7"/>
    <w:rsid w:val="3BDC1949"/>
    <w:rsid w:val="3BF770DE"/>
    <w:rsid w:val="3BF9504C"/>
    <w:rsid w:val="3C8D362E"/>
    <w:rsid w:val="3CB925E5"/>
    <w:rsid w:val="3CC20230"/>
    <w:rsid w:val="3CF11603"/>
    <w:rsid w:val="3D112421"/>
    <w:rsid w:val="3D6F4D41"/>
    <w:rsid w:val="3D7507FB"/>
    <w:rsid w:val="3DC2196D"/>
    <w:rsid w:val="3DCC5EAB"/>
    <w:rsid w:val="3E2A38E8"/>
    <w:rsid w:val="3E546A69"/>
    <w:rsid w:val="3EA17822"/>
    <w:rsid w:val="3EB5127A"/>
    <w:rsid w:val="3F0874F8"/>
    <w:rsid w:val="3F4A5777"/>
    <w:rsid w:val="3F503E5E"/>
    <w:rsid w:val="3F8F2EB5"/>
    <w:rsid w:val="3F9B4224"/>
    <w:rsid w:val="3FA03FD6"/>
    <w:rsid w:val="3FC16214"/>
    <w:rsid w:val="400B13AA"/>
    <w:rsid w:val="40474E7E"/>
    <w:rsid w:val="408C46AB"/>
    <w:rsid w:val="40D23C76"/>
    <w:rsid w:val="41576FF8"/>
    <w:rsid w:val="41894C7C"/>
    <w:rsid w:val="41AD62F2"/>
    <w:rsid w:val="41D9164E"/>
    <w:rsid w:val="41DD521D"/>
    <w:rsid w:val="41DF2AEE"/>
    <w:rsid w:val="421012C3"/>
    <w:rsid w:val="423B7022"/>
    <w:rsid w:val="42957651"/>
    <w:rsid w:val="42B71375"/>
    <w:rsid w:val="42BA70B7"/>
    <w:rsid w:val="42DA32B5"/>
    <w:rsid w:val="42EA502A"/>
    <w:rsid w:val="4389060E"/>
    <w:rsid w:val="43996CCD"/>
    <w:rsid w:val="43A37B4B"/>
    <w:rsid w:val="43C8028A"/>
    <w:rsid w:val="43D51667"/>
    <w:rsid w:val="43DA2D47"/>
    <w:rsid w:val="443B2C25"/>
    <w:rsid w:val="44727C49"/>
    <w:rsid w:val="448421F1"/>
    <w:rsid w:val="44B76333"/>
    <w:rsid w:val="44EE4DF6"/>
    <w:rsid w:val="44FD328B"/>
    <w:rsid w:val="450231C4"/>
    <w:rsid w:val="451900C5"/>
    <w:rsid w:val="4588524B"/>
    <w:rsid w:val="45BE6EBE"/>
    <w:rsid w:val="45D37D9B"/>
    <w:rsid w:val="45DF7C2B"/>
    <w:rsid w:val="45E85CE9"/>
    <w:rsid w:val="465A6BE7"/>
    <w:rsid w:val="46971BE9"/>
    <w:rsid w:val="46AC31BB"/>
    <w:rsid w:val="470B57DD"/>
    <w:rsid w:val="476870E2"/>
    <w:rsid w:val="47705F96"/>
    <w:rsid w:val="47D604EF"/>
    <w:rsid w:val="47F46BC7"/>
    <w:rsid w:val="48194FD5"/>
    <w:rsid w:val="48286568"/>
    <w:rsid w:val="484514CB"/>
    <w:rsid w:val="48516103"/>
    <w:rsid w:val="489E2CB1"/>
    <w:rsid w:val="48C86EE1"/>
    <w:rsid w:val="49003972"/>
    <w:rsid w:val="498E7E20"/>
    <w:rsid w:val="49FA6EF8"/>
    <w:rsid w:val="4A056E6A"/>
    <w:rsid w:val="4A183041"/>
    <w:rsid w:val="4A784961"/>
    <w:rsid w:val="4ABD2E7A"/>
    <w:rsid w:val="4ACF3A3C"/>
    <w:rsid w:val="4AFF5FAF"/>
    <w:rsid w:val="4B02784D"/>
    <w:rsid w:val="4B1700DF"/>
    <w:rsid w:val="4B3774F7"/>
    <w:rsid w:val="4B3C4946"/>
    <w:rsid w:val="4B4059DE"/>
    <w:rsid w:val="4B7677C1"/>
    <w:rsid w:val="4BF4712C"/>
    <w:rsid w:val="4BFA22D2"/>
    <w:rsid w:val="4C163C52"/>
    <w:rsid w:val="4C4030C5"/>
    <w:rsid w:val="4C87625C"/>
    <w:rsid w:val="4CB22BAD"/>
    <w:rsid w:val="4D136FF0"/>
    <w:rsid w:val="4D506AE7"/>
    <w:rsid w:val="4D922B7A"/>
    <w:rsid w:val="4DDF5C24"/>
    <w:rsid w:val="4E4D1784"/>
    <w:rsid w:val="4E5C79EB"/>
    <w:rsid w:val="4E704ACE"/>
    <w:rsid w:val="4EA824BA"/>
    <w:rsid w:val="4ECB4629"/>
    <w:rsid w:val="4F0F6A19"/>
    <w:rsid w:val="4F4401B6"/>
    <w:rsid w:val="4F8C3B89"/>
    <w:rsid w:val="4FB31116"/>
    <w:rsid w:val="4FB530E0"/>
    <w:rsid w:val="4FF6007D"/>
    <w:rsid w:val="50507B5F"/>
    <w:rsid w:val="50724C9A"/>
    <w:rsid w:val="50A05B3E"/>
    <w:rsid w:val="510E2B9E"/>
    <w:rsid w:val="518965D2"/>
    <w:rsid w:val="51C413B8"/>
    <w:rsid w:val="51D10A66"/>
    <w:rsid w:val="51E23F34"/>
    <w:rsid w:val="51EA766A"/>
    <w:rsid w:val="520F1FC4"/>
    <w:rsid w:val="521430AC"/>
    <w:rsid w:val="52416EAD"/>
    <w:rsid w:val="52635DD0"/>
    <w:rsid w:val="528A390F"/>
    <w:rsid w:val="528C6991"/>
    <w:rsid w:val="530D168E"/>
    <w:rsid w:val="53156D5D"/>
    <w:rsid w:val="53395DD6"/>
    <w:rsid w:val="536743D0"/>
    <w:rsid w:val="53975055"/>
    <w:rsid w:val="54014B46"/>
    <w:rsid w:val="54054633"/>
    <w:rsid w:val="540605E4"/>
    <w:rsid w:val="545729B8"/>
    <w:rsid w:val="54591DFE"/>
    <w:rsid w:val="547F0032"/>
    <w:rsid w:val="54822BB5"/>
    <w:rsid w:val="54A02A20"/>
    <w:rsid w:val="54A0435F"/>
    <w:rsid w:val="54AF5551"/>
    <w:rsid w:val="550D751A"/>
    <w:rsid w:val="55196A90"/>
    <w:rsid w:val="555D2250"/>
    <w:rsid w:val="55B82BB4"/>
    <w:rsid w:val="55C87B3E"/>
    <w:rsid w:val="55CD4701"/>
    <w:rsid w:val="55E262B1"/>
    <w:rsid w:val="55F14B5D"/>
    <w:rsid w:val="564156CE"/>
    <w:rsid w:val="565E4380"/>
    <w:rsid w:val="56B71676"/>
    <w:rsid w:val="56B93B57"/>
    <w:rsid w:val="570D0EE6"/>
    <w:rsid w:val="574A05B2"/>
    <w:rsid w:val="57835872"/>
    <w:rsid w:val="57D124B7"/>
    <w:rsid w:val="57D12A81"/>
    <w:rsid w:val="57FA481D"/>
    <w:rsid w:val="58035FEA"/>
    <w:rsid w:val="58417C07"/>
    <w:rsid w:val="58B23AEB"/>
    <w:rsid w:val="58D626EF"/>
    <w:rsid w:val="58D67D8C"/>
    <w:rsid w:val="58E10577"/>
    <w:rsid w:val="59165EF7"/>
    <w:rsid w:val="595219A0"/>
    <w:rsid w:val="59702A12"/>
    <w:rsid w:val="598D4786"/>
    <w:rsid w:val="599849F3"/>
    <w:rsid w:val="5A0852E3"/>
    <w:rsid w:val="5A274BDA"/>
    <w:rsid w:val="5A7B6CD4"/>
    <w:rsid w:val="5A8842C3"/>
    <w:rsid w:val="5A902780"/>
    <w:rsid w:val="5AC11BEA"/>
    <w:rsid w:val="5AC661A1"/>
    <w:rsid w:val="5AC830A9"/>
    <w:rsid w:val="5AEA67C0"/>
    <w:rsid w:val="5AED2A9C"/>
    <w:rsid w:val="5AFB7F82"/>
    <w:rsid w:val="5B743E4F"/>
    <w:rsid w:val="5BC746C9"/>
    <w:rsid w:val="5BE56AFB"/>
    <w:rsid w:val="5C083108"/>
    <w:rsid w:val="5C165B39"/>
    <w:rsid w:val="5C8D2841"/>
    <w:rsid w:val="5CC61F72"/>
    <w:rsid w:val="5CED0E66"/>
    <w:rsid w:val="5CF014A7"/>
    <w:rsid w:val="5CF206F7"/>
    <w:rsid w:val="5D6F0D72"/>
    <w:rsid w:val="5D9C768D"/>
    <w:rsid w:val="5DBE7604"/>
    <w:rsid w:val="5E0B3D5F"/>
    <w:rsid w:val="5EA0340D"/>
    <w:rsid w:val="5ED66C3C"/>
    <w:rsid w:val="5EE4753E"/>
    <w:rsid w:val="5F0E6369"/>
    <w:rsid w:val="5F1C26F5"/>
    <w:rsid w:val="5F1D035A"/>
    <w:rsid w:val="5FBF27FB"/>
    <w:rsid w:val="5FDD643B"/>
    <w:rsid w:val="604F397F"/>
    <w:rsid w:val="60545FFD"/>
    <w:rsid w:val="606049A2"/>
    <w:rsid w:val="607532DC"/>
    <w:rsid w:val="607B17DC"/>
    <w:rsid w:val="60870181"/>
    <w:rsid w:val="60917251"/>
    <w:rsid w:val="6094289E"/>
    <w:rsid w:val="60BA3E42"/>
    <w:rsid w:val="60BB1588"/>
    <w:rsid w:val="60CC3338"/>
    <w:rsid w:val="60E230F0"/>
    <w:rsid w:val="610E43FE"/>
    <w:rsid w:val="61596D91"/>
    <w:rsid w:val="61882403"/>
    <w:rsid w:val="6194383B"/>
    <w:rsid w:val="61A14A39"/>
    <w:rsid w:val="61CB5375"/>
    <w:rsid w:val="62013FAB"/>
    <w:rsid w:val="623348CA"/>
    <w:rsid w:val="62BE1E54"/>
    <w:rsid w:val="62F51D1A"/>
    <w:rsid w:val="635A12B4"/>
    <w:rsid w:val="635D78BF"/>
    <w:rsid w:val="63C811DC"/>
    <w:rsid w:val="63D95197"/>
    <w:rsid w:val="63E678B4"/>
    <w:rsid w:val="64794284"/>
    <w:rsid w:val="64B113C0"/>
    <w:rsid w:val="64EF09EB"/>
    <w:rsid w:val="64F658D5"/>
    <w:rsid w:val="65150451"/>
    <w:rsid w:val="65670581"/>
    <w:rsid w:val="65736F26"/>
    <w:rsid w:val="65815AE7"/>
    <w:rsid w:val="65CA685B"/>
    <w:rsid w:val="65CF34A7"/>
    <w:rsid w:val="65F067C8"/>
    <w:rsid w:val="65F660EF"/>
    <w:rsid w:val="661B6B7D"/>
    <w:rsid w:val="663F505A"/>
    <w:rsid w:val="6655487D"/>
    <w:rsid w:val="6673798C"/>
    <w:rsid w:val="66DE4140"/>
    <w:rsid w:val="66F37269"/>
    <w:rsid w:val="66FD5057"/>
    <w:rsid w:val="673905B6"/>
    <w:rsid w:val="67452B44"/>
    <w:rsid w:val="67C94DD4"/>
    <w:rsid w:val="67E75368"/>
    <w:rsid w:val="67F24A7A"/>
    <w:rsid w:val="681C3942"/>
    <w:rsid w:val="68460AAC"/>
    <w:rsid w:val="686C0F75"/>
    <w:rsid w:val="689430E4"/>
    <w:rsid w:val="68A90BC0"/>
    <w:rsid w:val="68AC1CFE"/>
    <w:rsid w:val="68CA269F"/>
    <w:rsid w:val="68E4579B"/>
    <w:rsid w:val="69320EA6"/>
    <w:rsid w:val="69C754B6"/>
    <w:rsid w:val="6A2E5B11"/>
    <w:rsid w:val="6A5E4D61"/>
    <w:rsid w:val="6A745C1A"/>
    <w:rsid w:val="6A7F64C9"/>
    <w:rsid w:val="6AE66C85"/>
    <w:rsid w:val="6B3C600C"/>
    <w:rsid w:val="6B4D0219"/>
    <w:rsid w:val="6B513865"/>
    <w:rsid w:val="6B5B57CC"/>
    <w:rsid w:val="6BCD1DE6"/>
    <w:rsid w:val="6BDE269C"/>
    <w:rsid w:val="6BDF4471"/>
    <w:rsid w:val="6C200A88"/>
    <w:rsid w:val="6C44786E"/>
    <w:rsid w:val="6C505023"/>
    <w:rsid w:val="6C8079C0"/>
    <w:rsid w:val="6C871509"/>
    <w:rsid w:val="6CE55A70"/>
    <w:rsid w:val="6CEA21C3"/>
    <w:rsid w:val="6D14299F"/>
    <w:rsid w:val="6D672A1E"/>
    <w:rsid w:val="6DA73C10"/>
    <w:rsid w:val="6DC237D1"/>
    <w:rsid w:val="6DD16EDF"/>
    <w:rsid w:val="6DEB165D"/>
    <w:rsid w:val="6E0571F4"/>
    <w:rsid w:val="6E0C7F17"/>
    <w:rsid w:val="6E270646"/>
    <w:rsid w:val="6E40462A"/>
    <w:rsid w:val="6E9C74ED"/>
    <w:rsid w:val="6EB32A89"/>
    <w:rsid w:val="6F1F49C7"/>
    <w:rsid w:val="6F2E7B74"/>
    <w:rsid w:val="6F3B3713"/>
    <w:rsid w:val="6F40725E"/>
    <w:rsid w:val="6F6873CF"/>
    <w:rsid w:val="6FDE1D42"/>
    <w:rsid w:val="70666005"/>
    <w:rsid w:val="708C3591"/>
    <w:rsid w:val="70910BA8"/>
    <w:rsid w:val="70B30B1E"/>
    <w:rsid w:val="70B44236"/>
    <w:rsid w:val="710268A0"/>
    <w:rsid w:val="71096990"/>
    <w:rsid w:val="711172CF"/>
    <w:rsid w:val="71166CCD"/>
    <w:rsid w:val="71632544"/>
    <w:rsid w:val="71D376CA"/>
    <w:rsid w:val="71FD54DD"/>
    <w:rsid w:val="72025180"/>
    <w:rsid w:val="721C7F6D"/>
    <w:rsid w:val="722241AD"/>
    <w:rsid w:val="725561A2"/>
    <w:rsid w:val="72D64389"/>
    <w:rsid w:val="7325594C"/>
    <w:rsid w:val="73357566"/>
    <w:rsid w:val="73855BD1"/>
    <w:rsid w:val="73A664A3"/>
    <w:rsid w:val="73AF2104"/>
    <w:rsid w:val="73B52DFF"/>
    <w:rsid w:val="73C03C7E"/>
    <w:rsid w:val="7410294D"/>
    <w:rsid w:val="74927E3B"/>
    <w:rsid w:val="74D95724"/>
    <w:rsid w:val="74E97204"/>
    <w:rsid w:val="74FC0CE6"/>
    <w:rsid w:val="750D56A5"/>
    <w:rsid w:val="75436915"/>
    <w:rsid w:val="757B0F93"/>
    <w:rsid w:val="7589009F"/>
    <w:rsid w:val="759C7408"/>
    <w:rsid w:val="75E25B0A"/>
    <w:rsid w:val="761323C6"/>
    <w:rsid w:val="767B3E8C"/>
    <w:rsid w:val="76D71644"/>
    <w:rsid w:val="76D812DE"/>
    <w:rsid w:val="76F45B53"/>
    <w:rsid w:val="76FD47EF"/>
    <w:rsid w:val="77183702"/>
    <w:rsid w:val="771A7856"/>
    <w:rsid w:val="771D4F43"/>
    <w:rsid w:val="77404120"/>
    <w:rsid w:val="776C2FB6"/>
    <w:rsid w:val="77741C69"/>
    <w:rsid w:val="780D6D66"/>
    <w:rsid w:val="78213354"/>
    <w:rsid w:val="7834424B"/>
    <w:rsid w:val="783620E6"/>
    <w:rsid w:val="787D153B"/>
    <w:rsid w:val="78991BE1"/>
    <w:rsid w:val="78B43685"/>
    <w:rsid w:val="78CD4747"/>
    <w:rsid w:val="78DC39C5"/>
    <w:rsid w:val="78EF46BD"/>
    <w:rsid w:val="79447DFD"/>
    <w:rsid w:val="79554E68"/>
    <w:rsid w:val="79960FDD"/>
    <w:rsid w:val="79982284"/>
    <w:rsid w:val="7998662D"/>
    <w:rsid w:val="79BC4EE7"/>
    <w:rsid w:val="79D15C97"/>
    <w:rsid w:val="79D33B58"/>
    <w:rsid w:val="79FC24C6"/>
    <w:rsid w:val="7A8C5878"/>
    <w:rsid w:val="7B302ED7"/>
    <w:rsid w:val="7B471854"/>
    <w:rsid w:val="7B6E0463"/>
    <w:rsid w:val="7BA14395"/>
    <w:rsid w:val="7BB346C3"/>
    <w:rsid w:val="7C324FED"/>
    <w:rsid w:val="7C352D2F"/>
    <w:rsid w:val="7C4E5939"/>
    <w:rsid w:val="7C5459E0"/>
    <w:rsid w:val="7C552333"/>
    <w:rsid w:val="7CA86C55"/>
    <w:rsid w:val="7CBE1BFB"/>
    <w:rsid w:val="7CD267D0"/>
    <w:rsid w:val="7CF019C1"/>
    <w:rsid w:val="7D196E33"/>
    <w:rsid w:val="7D461CAD"/>
    <w:rsid w:val="7DEF5A9C"/>
    <w:rsid w:val="7E28286A"/>
    <w:rsid w:val="7E4515FE"/>
    <w:rsid w:val="7E487DE3"/>
    <w:rsid w:val="7EAD59B2"/>
    <w:rsid w:val="7EB97C47"/>
    <w:rsid w:val="7F91273C"/>
    <w:rsid w:val="7FAA5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2"/>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3"/>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1"/>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6"/>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7"/>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8"/>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9"/>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70"/>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5"/>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9"/>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5"/>
    <w:qFormat/>
    <w:uiPriority w:val="0"/>
    <w:pPr>
      <w:shd w:val="clear" w:color="auto" w:fill="000080"/>
    </w:pPr>
  </w:style>
  <w:style w:type="paragraph" w:styleId="19">
    <w:name w:val="annotation text"/>
    <w:basedOn w:val="1"/>
    <w:link w:val="71"/>
    <w:qFormat/>
    <w:uiPriority w:val="0"/>
    <w:pPr>
      <w:jc w:val="left"/>
    </w:pPr>
  </w:style>
  <w:style w:type="paragraph" w:styleId="20">
    <w:name w:val="Body Text 3"/>
    <w:basedOn w:val="1"/>
    <w:link w:val="460"/>
    <w:unhideWhenUsed/>
    <w:qFormat/>
    <w:uiPriority w:val="0"/>
    <w:pPr>
      <w:spacing w:after="120"/>
    </w:pPr>
    <w:rPr>
      <w:sz w:val="16"/>
      <w:szCs w:val="16"/>
    </w:rPr>
  </w:style>
  <w:style w:type="paragraph" w:styleId="21">
    <w:name w:val="Body Text"/>
    <w:basedOn w:val="1"/>
    <w:next w:val="22"/>
    <w:link w:val="73"/>
    <w:qFormat/>
    <w:uiPriority w:val="0"/>
    <w:pPr>
      <w:spacing w:after="120"/>
    </w:pPr>
  </w:style>
  <w:style w:type="paragraph" w:styleId="22">
    <w:name w:val="Body Text 2"/>
    <w:basedOn w:val="1"/>
    <w:link w:val="308"/>
    <w:qFormat/>
    <w:uiPriority w:val="0"/>
    <w:rPr>
      <w:sz w:val="28"/>
      <w:szCs w:val="20"/>
    </w:rPr>
  </w:style>
  <w:style w:type="paragraph" w:styleId="23">
    <w:name w:val="Body Text Indent"/>
    <w:basedOn w:val="1"/>
    <w:link w:val="76"/>
    <w:qFormat/>
    <w:uiPriority w:val="0"/>
    <w:pPr>
      <w:spacing w:after="120"/>
      <w:ind w:left="420" w:leftChars="200"/>
    </w:pPr>
  </w:style>
  <w:style w:type="paragraph" w:styleId="24">
    <w:name w:val="Block Text"/>
    <w:basedOn w:val="1"/>
    <w:qFormat/>
    <w:uiPriority w:val="0"/>
    <w:pPr>
      <w:spacing w:after="120"/>
      <w:ind w:left="1440" w:leftChars="700" w:right="1440" w:rightChars="700"/>
    </w:pPr>
  </w:style>
  <w:style w:type="paragraph" w:styleId="25">
    <w:name w:val="List Bullet 2"/>
    <w:basedOn w:val="1"/>
    <w:qFormat/>
    <w:uiPriority w:val="0"/>
    <w:pPr>
      <w:numPr>
        <w:ilvl w:val="0"/>
        <w:numId w:val="2"/>
      </w:numPr>
      <w:tabs>
        <w:tab w:val="left" w:pos="780"/>
      </w:tabs>
    </w:pPr>
    <w:rPr>
      <w:szCs w:val="20"/>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Cs/>
    </w:rPr>
  </w:style>
  <w:style w:type="paragraph" w:styleId="28">
    <w:name w:val="Plain Text"/>
    <w:basedOn w:val="1"/>
    <w:link w:val="77"/>
    <w:qFormat/>
    <w:uiPriority w:val="0"/>
    <w:rPr>
      <w:rFonts w:ascii="宋体" w:hAnsi="Courier New"/>
      <w:szCs w:val="20"/>
    </w:rPr>
  </w:style>
  <w:style w:type="paragraph" w:styleId="29">
    <w:name w:val="toc 8"/>
    <w:basedOn w:val="1"/>
    <w:next w:val="1"/>
    <w:qFormat/>
    <w:uiPriority w:val="0"/>
    <w:pPr>
      <w:ind w:left="1470"/>
      <w:jc w:val="left"/>
    </w:pPr>
    <w:rPr>
      <w:szCs w:val="21"/>
    </w:rPr>
  </w:style>
  <w:style w:type="paragraph" w:styleId="30">
    <w:name w:val="Date"/>
    <w:basedOn w:val="1"/>
    <w:next w:val="1"/>
    <w:link w:val="318"/>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1">
    <w:name w:val="Body Text Indent 2"/>
    <w:basedOn w:val="1"/>
    <w:link w:val="78"/>
    <w:qFormat/>
    <w:uiPriority w:val="0"/>
    <w:pPr>
      <w:spacing w:after="120" w:line="480" w:lineRule="auto"/>
      <w:ind w:left="420" w:leftChars="200"/>
    </w:pPr>
  </w:style>
  <w:style w:type="paragraph" w:styleId="32">
    <w:name w:val="Balloon Text"/>
    <w:basedOn w:val="1"/>
    <w:link w:val="79"/>
    <w:qFormat/>
    <w:uiPriority w:val="0"/>
    <w:rPr>
      <w:sz w:val="18"/>
      <w:szCs w:val="18"/>
    </w:rPr>
  </w:style>
  <w:style w:type="paragraph" w:styleId="33">
    <w:name w:val="footer"/>
    <w:basedOn w:val="1"/>
    <w:link w:val="80"/>
    <w:qFormat/>
    <w:uiPriority w:val="99"/>
    <w:pPr>
      <w:tabs>
        <w:tab w:val="center" w:pos="4153"/>
        <w:tab w:val="right" w:pos="8306"/>
      </w:tabs>
      <w:snapToGrid w:val="0"/>
      <w:jc w:val="left"/>
    </w:pPr>
    <w:rPr>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289"/>
    <w:qFormat/>
    <w:uiPriority w:val="0"/>
    <w:pPr>
      <w:ind w:left="4320"/>
    </w:pPr>
    <w:rPr>
      <w:rFonts w:eastAsia="楷体_GB2312"/>
      <w:szCs w:val="20"/>
    </w:rPr>
  </w:style>
  <w:style w:type="paragraph" w:styleId="36">
    <w:name w:val="toc 1"/>
    <w:basedOn w:val="1"/>
    <w:next w:val="1"/>
    <w:qFormat/>
    <w:uiPriority w:val="39"/>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footnote text"/>
    <w:basedOn w:val="1"/>
    <w:link w:val="465"/>
    <w:qFormat/>
    <w:uiPriority w:val="0"/>
    <w:pPr>
      <w:snapToGrid w:val="0"/>
      <w:jc w:val="left"/>
    </w:pPr>
    <w:rPr>
      <w:sz w:val="18"/>
      <w:szCs w:val="18"/>
    </w:rPr>
  </w:style>
  <w:style w:type="paragraph" w:styleId="41">
    <w:name w:val="toc 6"/>
    <w:basedOn w:val="1"/>
    <w:next w:val="1"/>
    <w:qFormat/>
    <w:uiPriority w:val="0"/>
    <w:pPr>
      <w:ind w:left="1050"/>
      <w:jc w:val="left"/>
    </w:pPr>
    <w:rPr>
      <w:szCs w:val="21"/>
    </w:rPr>
  </w:style>
  <w:style w:type="paragraph" w:styleId="42">
    <w:name w:val="Body Text Indent 3"/>
    <w:basedOn w:val="1"/>
    <w:link w:val="315"/>
    <w:qFormat/>
    <w:uiPriority w:val="0"/>
    <w:pPr>
      <w:ind w:firstLine="426"/>
    </w:pPr>
    <w:rPr>
      <w:szCs w:val="20"/>
    </w:rPr>
  </w:style>
  <w:style w:type="paragraph" w:styleId="43">
    <w:name w:val="toc 2"/>
    <w:basedOn w:val="1"/>
    <w:next w:val="1"/>
    <w:qFormat/>
    <w:uiPriority w:val="39"/>
    <w:pPr>
      <w:ind w:left="210"/>
      <w:jc w:val="left"/>
    </w:pPr>
    <w:rPr>
      <w:smallCaps/>
    </w:rPr>
  </w:style>
  <w:style w:type="paragraph" w:styleId="44">
    <w:name w:val="toc 9"/>
    <w:basedOn w:val="1"/>
    <w:next w:val="1"/>
    <w:qFormat/>
    <w:uiPriority w:val="0"/>
    <w:pPr>
      <w:ind w:left="1680"/>
      <w:jc w:val="left"/>
    </w:pPr>
    <w:rPr>
      <w:szCs w:val="21"/>
    </w:rPr>
  </w:style>
  <w:style w:type="paragraph" w:styleId="45">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3"/>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2"/>
    <w:qFormat/>
    <w:uiPriority w:val="0"/>
    <w:rPr>
      <w:b/>
      <w:bCs/>
    </w:rPr>
  </w:style>
  <w:style w:type="paragraph" w:styleId="49">
    <w:name w:val="Body Text First Indent"/>
    <w:basedOn w:val="21"/>
    <w:link w:val="74"/>
    <w:qFormat/>
    <w:uiPriority w:val="0"/>
    <w:pPr>
      <w:ind w:firstLine="420" w:firstLineChars="100"/>
    </w:pPr>
  </w:style>
  <w:style w:type="paragraph" w:styleId="50">
    <w:name w:val="Body Text First Indent 2"/>
    <w:basedOn w:val="23"/>
    <w:link w:val="294"/>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1">
    <w:name w:val="标题 3 字符"/>
    <w:basedOn w:val="53"/>
    <w:link w:val="3"/>
    <w:qFormat/>
    <w:uiPriority w:val="0"/>
    <w:rPr>
      <w:b/>
      <w:bCs/>
      <w:kern w:val="2"/>
      <w:sz w:val="24"/>
      <w:szCs w:val="32"/>
    </w:rPr>
  </w:style>
  <w:style w:type="character" w:customStyle="1" w:styleId="62">
    <w:name w:val="标题 1 字符"/>
    <w:basedOn w:val="53"/>
    <w:link w:val="2"/>
    <w:qFormat/>
    <w:uiPriority w:val="0"/>
    <w:rPr>
      <w:rFonts w:eastAsiaTheme="minorEastAsia"/>
      <w:b/>
      <w:kern w:val="44"/>
      <w:sz w:val="44"/>
      <w:szCs w:val="28"/>
    </w:rPr>
  </w:style>
  <w:style w:type="character" w:customStyle="1" w:styleId="63">
    <w:name w:val="标题 2 字符"/>
    <w:basedOn w:val="53"/>
    <w:link w:val="4"/>
    <w:qFormat/>
    <w:uiPriority w:val="0"/>
    <w:rPr>
      <w:rFonts w:ascii="Arial" w:hAnsi="Arial" w:eastAsiaTheme="minorEastAsia"/>
      <w:b/>
      <w:bCs/>
      <w:kern w:val="2"/>
      <w:sz w:val="28"/>
      <w:szCs w:val="32"/>
    </w:rPr>
  </w:style>
  <w:style w:type="character" w:customStyle="1" w:styleId="64">
    <w:name w:val="标题 4 字符"/>
    <w:basedOn w:val="53"/>
    <w:link w:val="5"/>
    <w:qFormat/>
    <w:uiPriority w:val="99"/>
    <w:rPr>
      <w:rFonts w:ascii="Arial" w:hAnsi="Arial" w:eastAsia="黑体"/>
      <w:b/>
      <w:bCs/>
      <w:kern w:val="2"/>
      <w:sz w:val="28"/>
      <w:szCs w:val="28"/>
    </w:rPr>
  </w:style>
  <w:style w:type="character" w:customStyle="1" w:styleId="65">
    <w:name w:val="正文缩进 字符"/>
    <w:link w:val="7"/>
    <w:qFormat/>
    <w:uiPriority w:val="0"/>
    <w:rPr>
      <w:rFonts w:eastAsia="宋体"/>
      <w:kern w:val="2"/>
      <w:sz w:val="21"/>
      <w:szCs w:val="24"/>
      <w:lang w:val="en-US" w:eastAsia="zh-CN" w:bidi="ar-SA"/>
    </w:rPr>
  </w:style>
  <w:style w:type="character" w:customStyle="1" w:styleId="66">
    <w:name w:val="标题 5 字符"/>
    <w:basedOn w:val="53"/>
    <w:link w:val="6"/>
    <w:qFormat/>
    <w:uiPriority w:val="0"/>
    <w:rPr>
      <w:b/>
      <w:kern w:val="2"/>
      <w:sz w:val="28"/>
      <w:szCs w:val="24"/>
    </w:rPr>
  </w:style>
  <w:style w:type="character" w:customStyle="1" w:styleId="67">
    <w:name w:val="标题 6 字符"/>
    <w:basedOn w:val="53"/>
    <w:link w:val="8"/>
    <w:qFormat/>
    <w:uiPriority w:val="9"/>
    <w:rPr>
      <w:rFonts w:ascii="Arial" w:hAnsi="Arial" w:eastAsia="黑体"/>
      <w:b/>
      <w:kern w:val="2"/>
      <w:sz w:val="24"/>
      <w:szCs w:val="24"/>
    </w:rPr>
  </w:style>
  <w:style w:type="character" w:customStyle="1" w:styleId="68">
    <w:name w:val="标题 7 字符"/>
    <w:basedOn w:val="53"/>
    <w:link w:val="9"/>
    <w:qFormat/>
    <w:uiPriority w:val="9"/>
    <w:rPr>
      <w:b/>
      <w:kern w:val="2"/>
      <w:sz w:val="24"/>
      <w:szCs w:val="24"/>
    </w:rPr>
  </w:style>
  <w:style w:type="character" w:customStyle="1" w:styleId="69">
    <w:name w:val="标题 8 字符"/>
    <w:basedOn w:val="53"/>
    <w:link w:val="10"/>
    <w:qFormat/>
    <w:uiPriority w:val="9"/>
    <w:rPr>
      <w:rFonts w:ascii="Arial" w:hAnsi="Arial" w:eastAsia="黑体"/>
      <w:kern w:val="2"/>
      <w:sz w:val="24"/>
      <w:szCs w:val="24"/>
    </w:rPr>
  </w:style>
  <w:style w:type="character" w:customStyle="1" w:styleId="70">
    <w:name w:val="标题 9 字符"/>
    <w:basedOn w:val="53"/>
    <w:link w:val="11"/>
    <w:qFormat/>
    <w:uiPriority w:val="0"/>
    <w:rPr>
      <w:rFonts w:ascii="Arial" w:hAnsi="Arial" w:eastAsia="黑体"/>
      <w:kern w:val="2"/>
      <w:sz w:val="21"/>
      <w:szCs w:val="24"/>
    </w:rPr>
  </w:style>
  <w:style w:type="character" w:customStyle="1" w:styleId="71">
    <w:name w:val="批注文字 字符1"/>
    <w:link w:val="19"/>
    <w:qFormat/>
    <w:uiPriority w:val="0"/>
    <w:rPr>
      <w:kern w:val="2"/>
      <w:sz w:val="21"/>
      <w:szCs w:val="24"/>
    </w:rPr>
  </w:style>
  <w:style w:type="character" w:customStyle="1" w:styleId="72">
    <w:name w:val="批注主题 字符"/>
    <w:basedOn w:val="71"/>
    <w:link w:val="48"/>
    <w:qFormat/>
    <w:uiPriority w:val="0"/>
    <w:rPr>
      <w:b/>
      <w:bCs/>
      <w:kern w:val="2"/>
      <w:sz w:val="21"/>
      <w:szCs w:val="24"/>
    </w:rPr>
  </w:style>
  <w:style w:type="character" w:customStyle="1" w:styleId="73">
    <w:name w:val="正文文本 字符1"/>
    <w:basedOn w:val="53"/>
    <w:link w:val="21"/>
    <w:qFormat/>
    <w:uiPriority w:val="0"/>
    <w:rPr>
      <w:kern w:val="2"/>
      <w:sz w:val="21"/>
      <w:szCs w:val="24"/>
    </w:rPr>
  </w:style>
  <w:style w:type="character" w:customStyle="1" w:styleId="74">
    <w:name w:val="正文文本首行缩进 字符"/>
    <w:link w:val="49"/>
    <w:qFormat/>
    <w:uiPriority w:val="0"/>
    <w:rPr>
      <w:rFonts w:eastAsia="宋体"/>
      <w:kern w:val="2"/>
      <w:sz w:val="21"/>
      <w:szCs w:val="24"/>
      <w:lang w:val="en-US" w:eastAsia="zh-CN" w:bidi="ar-SA"/>
    </w:rPr>
  </w:style>
  <w:style w:type="character" w:customStyle="1" w:styleId="75">
    <w:name w:val="文档结构图 字符"/>
    <w:basedOn w:val="53"/>
    <w:link w:val="18"/>
    <w:qFormat/>
    <w:uiPriority w:val="0"/>
    <w:rPr>
      <w:kern w:val="2"/>
      <w:sz w:val="21"/>
      <w:szCs w:val="24"/>
      <w:shd w:val="clear" w:color="auto" w:fill="000080"/>
    </w:rPr>
  </w:style>
  <w:style w:type="character" w:customStyle="1" w:styleId="76">
    <w:name w:val="正文文本缩进 字符1"/>
    <w:basedOn w:val="53"/>
    <w:link w:val="23"/>
    <w:qFormat/>
    <w:uiPriority w:val="0"/>
    <w:rPr>
      <w:kern w:val="2"/>
      <w:sz w:val="21"/>
      <w:szCs w:val="24"/>
    </w:rPr>
  </w:style>
  <w:style w:type="character" w:customStyle="1" w:styleId="77">
    <w:name w:val="纯文本 字符"/>
    <w:link w:val="28"/>
    <w:qFormat/>
    <w:uiPriority w:val="0"/>
    <w:rPr>
      <w:rFonts w:ascii="宋体" w:hAnsi="Courier New" w:eastAsia="宋体"/>
      <w:kern w:val="2"/>
      <w:sz w:val="21"/>
      <w:lang w:val="en-US" w:eastAsia="zh-CN" w:bidi="ar-SA"/>
    </w:rPr>
  </w:style>
  <w:style w:type="character" w:customStyle="1" w:styleId="78">
    <w:name w:val="正文文本缩进 2 字符"/>
    <w:link w:val="31"/>
    <w:qFormat/>
    <w:uiPriority w:val="0"/>
    <w:rPr>
      <w:kern w:val="2"/>
      <w:sz w:val="21"/>
      <w:szCs w:val="24"/>
    </w:rPr>
  </w:style>
  <w:style w:type="character" w:customStyle="1" w:styleId="79">
    <w:name w:val="批注框文本 字符"/>
    <w:basedOn w:val="53"/>
    <w:link w:val="32"/>
    <w:qFormat/>
    <w:uiPriority w:val="99"/>
    <w:rPr>
      <w:kern w:val="2"/>
      <w:sz w:val="18"/>
      <w:szCs w:val="18"/>
    </w:rPr>
  </w:style>
  <w:style w:type="character" w:customStyle="1" w:styleId="80">
    <w:name w:val="页脚 字符"/>
    <w:basedOn w:val="53"/>
    <w:link w:val="33"/>
    <w:qFormat/>
    <w:uiPriority w:val="99"/>
    <w:rPr>
      <w:kern w:val="2"/>
      <w:sz w:val="18"/>
      <w:szCs w:val="18"/>
    </w:rPr>
  </w:style>
  <w:style w:type="character" w:customStyle="1" w:styleId="81">
    <w:name w:val="页眉 字符"/>
    <w:link w:val="34"/>
    <w:qFormat/>
    <w:uiPriority w:val="99"/>
    <w:rPr>
      <w:kern w:val="2"/>
      <w:sz w:val="18"/>
      <w:szCs w:val="18"/>
    </w:rPr>
  </w:style>
  <w:style w:type="character" w:customStyle="1" w:styleId="82">
    <w:name w:val="HTML 预设格式 字符"/>
    <w:link w:val="45"/>
    <w:qFormat/>
    <w:uiPriority w:val="0"/>
    <w:rPr>
      <w:rFonts w:ascii="宋体" w:hAnsi="宋体" w:cs="宋体"/>
      <w:sz w:val="24"/>
      <w:szCs w:val="24"/>
    </w:rPr>
  </w:style>
  <w:style w:type="character" w:customStyle="1" w:styleId="83">
    <w:name w:val="标题 字符"/>
    <w:link w:val="47"/>
    <w:qFormat/>
    <w:uiPriority w:val="0"/>
    <w:rPr>
      <w:rFonts w:ascii="Arial" w:hAnsi="Arial" w:eastAsia="隶书" w:cs="Arial"/>
      <w:b/>
      <w:bCs/>
      <w:kern w:val="2"/>
      <w:sz w:val="32"/>
      <w:szCs w:val="32"/>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1 Char Char"/>
    <w:basedOn w:val="1"/>
    <w:next w:val="1"/>
    <w:link w:val="86"/>
    <w:qFormat/>
    <w:uiPriority w:val="0"/>
    <w:pPr>
      <w:spacing w:line="360" w:lineRule="auto"/>
      <w:ind w:firstLine="516" w:firstLineChars="215"/>
    </w:pPr>
    <w:rPr>
      <w:sz w:val="24"/>
      <w:szCs w:val="20"/>
    </w:rPr>
  </w:style>
  <w:style w:type="character" w:customStyle="1" w:styleId="86">
    <w:name w:val="样式1 Char Char Char"/>
    <w:link w:val="85"/>
    <w:qFormat/>
    <w:uiPriority w:val="0"/>
    <w:rPr>
      <w:rFonts w:eastAsia="宋体"/>
      <w:kern w:val="2"/>
      <w:sz w:val="24"/>
      <w:lang w:val="en-US" w:eastAsia="zh-CN" w:bidi="ar-SA"/>
    </w:rPr>
  </w:style>
  <w:style w:type="paragraph" w:customStyle="1" w:styleId="87">
    <w:name w:val="样式1"/>
    <w:basedOn w:val="47"/>
    <w:link w:val="88"/>
    <w:qFormat/>
    <w:uiPriority w:val="0"/>
    <w:pPr>
      <w:spacing w:before="120" w:after="120"/>
    </w:pPr>
    <w:rPr>
      <w:rFonts w:eastAsia="黑体" w:cs="Arial"/>
      <w:b w:val="0"/>
      <w:sz w:val="30"/>
      <w:szCs w:val="21"/>
    </w:rPr>
  </w:style>
  <w:style w:type="character" w:customStyle="1" w:styleId="88">
    <w:name w:val="样式1 Char"/>
    <w:link w:val="87"/>
    <w:qFormat/>
    <w:uiPriority w:val="0"/>
    <w:rPr>
      <w:rFonts w:ascii="Arial" w:hAnsi="Arial" w:eastAsia="黑体" w:cs="Arial"/>
      <w:bCs/>
      <w:kern w:val="2"/>
      <w:sz w:val="30"/>
      <w:szCs w:val="21"/>
      <w:lang w:val="en-US" w:eastAsia="zh-CN" w:bidi="ar-SA"/>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2">
    <w:name w:val="Char1"/>
    <w:basedOn w:val="1"/>
    <w:qFormat/>
    <w:uiPriority w:val="0"/>
    <w:rPr>
      <w:rFonts w:ascii="仿宋_GB2312" w:eastAsia="仿宋_GB2312"/>
      <w:b/>
      <w:sz w:val="32"/>
      <w:szCs w:val="32"/>
    </w:rPr>
  </w:style>
  <w:style w:type="character" w:customStyle="1" w:styleId="93">
    <w:name w:val="tpc_title1"/>
    <w:qFormat/>
    <w:uiPriority w:val="0"/>
    <w:rPr>
      <w:b/>
      <w:bCs/>
      <w:sz w:val="18"/>
      <w:szCs w:val="18"/>
    </w:rPr>
  </w:style>
  <w:style w:type="character" w:customStyle="1" w:styleId="94">
    <w:name w:val="tpc_content1"/>
    <w:qFormat/>
    <w:uiPriority w:val="0"/>
    <w:rPr>
      <w:sz w:val="20"/>
      <w:szCs w:val="20"/>
    </w:rPr>
  </w:style>
  <w:style w:type="paragraph" w:customStyle="1" w:styleId="9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
    <w:name w:val="列出段落1"/>
    <w:basedOn w:val="1"/>
    <w:link w:val="97"/>
    <w:qFormat/>
    <w:uiPriority w:val="0"/>
    <w:pPr>
      <w:ind w:firstLine="420" w:firstLineChars="200"/>
    </w:pPr>
  </w:style>
  <w:style w:type="character" w:customStyle="1" w:styleId="97">
    <w:name w:val="列表段落 字符"/>
    <w:link w:val="96"/>
    <w:qFormat/>
    <w:uiPriority w:val="0"/>
    <w:rPr>
      <w:kern w:val="2"/>
      <w:sz w:val="21"/>
      <w:szCs w:val="24"/>
    </w:rPr>
  </w:style>
  <w:style w:type="paragraph" w:customStyle="1" w:styleId="98">
    <w:name w:val="正文1"/>
    <w:basedOn w:val="1"/>
    <w:qFormat/>
    <w:uiPriority w:val="0"/>
    <w:pPr>
      <w:tabs>
        <w:tab w:val="left" w:pos="4"/>
      </w:tabs>
      <w:spacing w:line="360" w:lineRule="auto"/>
      <w:ind w:left="-2" w:firstLine="482"/>
    </w:pPr>
    <w:rPr>
      <w:rFonts w:ascii="宋体" w:hAnsi="宋体"/>
      <w:sz w:val="24"/>
    </w:rPr>
  </w:style>
  <w:style w:type="paragraph" w:customStyle="1" w:styleId="9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00">
    <w:name w:val="缩进正文"/>
    <w:basedOn w:val="1"/>
    <w:link w:val="101"/>
    <w:qFormat/>
    <w:uiPriority w:val="0"/>
    <w:pPr>
      <w:ind w:firstLine="560" w:firstLineChars="200"/>
    </w:pPr>
    <w:rPr>
      <w:rFonts w:eastAsia="仿宋_GB2312" w:cs="宋体"/>
      <w:sz w:val="28"/>
      <w:szCs w:val="20"/>
    </w:rPr>
  </w:style>
  <w:style w:type="character" w:customStyle="1" w:styleId="101">
    <w:name w:val="缩进正文 Char"/>
    <w:link w:val="100"/>
    <w:qFormat/>
    <w:uiPriority w:val="0"/>
    <w:rPr>
      <w:rFonts w:eastAsia="仿宋_GB2312" w:cs="宋体"/>
      <w:kern w:val="2"/>
      <w:sz w:val="28"/>
      <w:lang w:val="en-US" w:eastAsia="zh-CN" w:bidi="ar-SA"/>
    </w:rPr>
  </w:style>
  <w:style w:type="character" w:customStyle="1" w:styleId="102">
    <w:name w:val="访问过的超链接1"/>
    <w:qFormat/>
    <w:uiPriority w:val="0"/>
    <w:rPr>
      <w:color w:val="800080"/>
      <w:u w:val="single"/>
    </w:rPr>
  </w:style>
  <w:style w:type="paragraph" w:customStyle="1" w:styleId="103">
    <w:name w:val="Char Char Char Char Char Char Char"/>
    <w:basedOn w:val="1"/>
    <w:qFormat/>
    <w:uiPriority w:val="0"/>
    <w:pPr>
      <w:widowControl/>
      <w:adjustRightInd w:val="0"/>
      <w:spacing w:after="160" w:line="240" w:lineRule="exact"/>
      <w:jc w:val="left"/>
      <w:textAlignment w:val="baseline"/>
    </w:pPr>
  </w:style>
  <w:style w:type="character" w:customStyle="1" w:styleId="104">
    <w:name w:val="正文缩进 Char1"/>
    <w:qFormat/>
    <w:uiPriority w:val="0"/>
    <w:rPr>
      <w:rFonts w:eastAsia="宋体"/>
      <w:kern w:val="2"/>
      <w:sz w:val="21"/>
      <w:lang w:val="en-US" w:eastAsia="zh-CN" w:bidi="ar-SA"/>
    </w:rPr>
  </w:style>
  <w:style w:type="paragraph" w:customStyle="1" w:styleId="10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6">
    <w:name w:val="列出段落11"/>
    <w:basedOn w:val="1"/>
    <w:unhideWhenUsed/>
    <w:qFormat/>
    <w:uiPriority w:val="34"/>
    <w:pPr>
      <w:ind w:firstLine="420" w:firstLineChars="200"/>
    </w:pPr>
  </w:style>
  <w:style w:type="paragraph" w:customStyle="1" w:styleId="107">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8">
    <w:name w:val="font11"/>
    <w:basedOn w:val="53"/>
    <w:qFormat/>
    <w:uiPriority w:val="0"/>
    <w:rPr>
      <w:rFonts w:hint="eastAsia" w:ascii="宋体" w:hAnsi="宋体" w:eastAsia="宋体" w:cs="宋体"/>
      <w:b/>
      <w:color w:val="000000"/>
      <w:sz w:val="21"/>
      <w:szCs w:val="21"/>
      <w:u w:val="none"/>
    </w:rPr>
  </w:style>
  <w:style w:type="character" w:customStyle="1" w:styleId="109">
    <w:name w:val="批注文字 Char1"/>
    <w:qFormat/>
    <w:locked/>
    <w:uiPriority w:val="0"/>
    <w:rPr>
      <w:rFonts w:ascii="Calibri" w:hAnsi="Calibri" w:eastAsia="宋体" w:cs="Calibri"/>
      <w:szCs w:val="21"/>
    </w:rPr>
  </w:style>
  <w:style w:type="character" w:customStyle="1" w:styleId="110">
    <w:name w:val="title1"/>
    <w:qFormat/>
    <w:uiPriority w:val="0"/>
    <w:rPr>
      <w:rFonts w:hint="eastAsia" w:ascii="微软雅黑" w:hAnsi="微软雅黑" w:eastAsia="微软雅黑"/>
      <w:sz w:val="21"/>
      <w:szCs w:val="21"/>
    </w:rPr>
  </w:style>
  <w:style w:type="character" w:customStyle="1" w:styleId="111">
    <w:name w:val="sect2title1"/>
    <w:qFormat/>
    <w:uiPriority w:val="0"/>
    <w:rPr>
      <w:rFonts w:hint="eastAsia" w:ascii="微软雅黑" w:hAnsi="微软雅黑" w:eastAsia="微软雅黑"/>
      <w:b/>
      <w:bCs/>
      <w:sz w:val="21"/>
      <w:szCs w:val="21"/>
    </w:rPr>
  </w:style>
  <w:style w:type="paragraph" w:customStyle="1" w:styleId="112">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3">
    <w:name w:val="font01"/>
    <w:basedOn w:val="53"/>
    <w:qFormat/>
    <w:uiPriority w:val="0"/>
    <w:rPr>
      <w:rFonts w:ascii="Tahoma" w:hAnsi="Tahoma" w:eastAsia="Tahoma" w:cs="Tahoma"/>
      <w:color w:val="000000"/>
      <w:sz w:val="20"/>
      <w:szCs w:val="20"/>
      <w:u w:val="none"/>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0">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1">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2">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3">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4">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6">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3">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0">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4">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5">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8">
    <w:name w:val="font41"/>
    <w:basedOn w:val="53"/>
    <w:qFormat/>
    <w:uiPriority w:val="0"/>
    <w:rPr>
      <w:rFonts w:hint="eastAsia" w:ascii="仿宋_GB2312" w:eastAsia="仿宋_GB2312" w:cs="仿宋_GB2312"/>
      <w:color w:val="000000"/>
      <w:sz w:val="20"/>
      <w:szCs w:val="20"/>
      <w:u w:val="none"/>
    </w:rPr>
  </w:style>
  <w:style w:type="character" w:customStyle="1" w:styleId="169">
    <w:name w:val="font31"/>
    <w:basedOn w:val="53"/>
    <w:qFormat/>
    <w:uiPriority w:val="0"/>
    <w:rPr>
      <w:rFonts w:hint="default" w:ascii="Symbol" w:hAnsi="Symbol" w:cs="Symbol"/>
      <w:color w:val="000000"/>
      <w:sz w:val="20"/>
      <w:szCs w:val="20"/>
      <w:u w:val="none"/>
    </w:rPr>
  </w:style>
  <w:style w:type="character" w:customStyle="1" w:styleId="170">
    <w:name w:val="font71"/>
    <w:basedOn w:val="53"/>
    <w:qFormat/>
    <w:uiPriority w:val="0"/>
    <w:rPr>
      <w:rFonts w:ascii="Arial" w:hAnsi="Arial" w:cs="Arial"/>
      <w:color w:val="000000"/>
      <w:sz w:val="20"/>
      <w:szCs w:val="20"/>
      <w:u w:val="none"/>
    </w:rPr>
  </w:style>
  <w:style w:type="character" w:customStyle="1" w:styleId="171">
    <w:name w:val="font21"/>
    <w:basedOn w:val="53"/>
    <w:qFormat/>
    <w:uiPriority w:val="0"/>
    <w:rPr>
      <w:rFonts w:hint="default" w:ascii="Symbol" w:hAnsi="Symbol" w:cs="Symbol"/>
      <w:color w:val="000000"/>
      <w:sz w:val="20"/>
      <w:szCs w:val="20"/>
      <w:u w:val="none"/>
    </w:rPr>
  </w:style>
  <w:style w:type="character" w:customStyle="1" w:styleId="172">
    <w:name w:val="font91"/>
    <w:basedOn w:val="53"/>
    <w:qFormat/>
    <w:uiPriority w:val="0"/>
    <w:rPr>
      <w:rFonts w:ascii="Arial" w:hAnsi="Arial" w:cs="Arial"/>
      <w:color w:val="000000"/>
      <w:sz w:val="20"/>
      <w:szCs w:val="20"/>
      <w:u w:val="none"/>
    </w:rPr>
  </w:style>
  <w:style w:type="character" w:customStyle="1" w:styleId="173">
    <w:name w:val="font51"/>
    <w:basedOn w:val="53"/>
    <w:qFormat/>
    <w:uiPriority w:val="0"/>
    <w:rPr>
      <w:rFonts w:ascii="仿宋" w:hAnsi="仿宋" w:eastAsia="仿宋" w:cs="仿宋"/>
      <w:color w:val="000000"/>
      <w:sz w:val="21"/>
      <w:szCs w:val="21"/>
      <w:u w:val="none"/>
    </w:rPr>
  </w:style>
  <w:style w:type="character" w:customStyle="1" w:styleId="174">
    <w:name w:val="font101"/>
    <w:basedOn w:val="53"/>
    <w:qFormat/>
    <w:uiPriority w:val="0"/>
    <w:rPr>
      <w:rFonts w:hint="eastAsia" w:ascii="仿宋_GB2312" w:eastAsia="仿宋_GB2312" w:cs="仿宋_GB2312"/>
      <w:color w:val="000000"/>
      <w:sz w:val="20"/>
      <w:szCs w:val="20"/>
      <w:u w:val="none"/>
    </w:rPr>
  </w:style>
  <w:style w:type="character" w:customStyle="1" w:styleId="175">
    <w:name w:val="font61"/>
    <w:basedOn w:val="53"/>
    <w:qFormat/>
    <w:uiPriority w:val="0"/>
    <w:rPr>
      <w:rFonts w:hint="eastAsia" w:ascii="宋体" w:hAnsi="宋体" w:eastAsia="宋体" w:cs="宋体"/>
      <w:color w:val="000000"/>
      <w:sz w:val="20"/>
      <w:szCs w:val="20"/>
      <w:u w:val="none"/>
    </w:rPr>
  </w:style>
  <w:style w:type="character" w:customStyle="1" w:styleId="176">
    <w:name w:val="font81"/>
    <w:basedOn w:val="53"/>
    <w:qFormat/>
    <w:uiPriority w:val="0"/>
    <w:rPr>
      <w:rFonts w:hint="eastAsia" w:ascii="仿宋" w:hAnsi="仿宋" w:eastAsia="仿宋" w:cs="仿宋"/>
      <w:color w:val="000000"/>
      <w:sz w:val="21"/>
      <w:szCs w:val="21"/>
      <w:u w:val="none"/>
    </w:rPr>
  </w:style>
  <w:style w:type="character" w:customStyle="1" w:styleId="177">
    <w:name w:val="font111"/>
    <w:basedOn w:val="53"/>
    <w:qFormat/>
    <w:uiPriority w:val="0"/>
    <w:rPr>
      <w:rFonts w:hint="eastAsia" w:ascii="仿宋_GB2312" w:eastAsia="仿宋_GB2312" w:cs="仿宋_GB2312"/>
      <w:color w:val="000000"/>
      <w:sz w:val="21"/>
      <w:szCs w:val="21"/>
      <w:u w:val="none"/>
    </w:rPr>
  </w:style>
  <w:style w:type="character" w:customStyle="1" w:styleId="178">
    <w:name w:val="font121"/>
    <w:basedOn w:val="53"/>
    <w:qFormat/>
    <w:uiPriority w:val="0"/>
    <w:rPr>
      <w:rFonts w:ascii="Arial" w:hAnsi="Arial" w:cs="Arial"/>
      <w:color w:val="000000"/>
      <w:sz w:val="20"/>
      <w:szCs w:val="20"/>
      <w:u w:val="none"/>
    </w:rPr>
  </w:style>
  <w:style w:type="character" w:customStyle="1" w:styleId="179">
    <w:name w:val="font112"/>
    <w:basedOn w:val="53"/>
    <w:qFormat/>
    <w:uiPriority w:val="0"/>
    <w:rPr>
      <w:rFonts w:hint="eastAsia" w:ascii="仿宋_GB2312" w:eastAsia="仿宋_GB2312" w:cs="仿宋_GB2312"/>
      <w:color w:val="000000"/>
      <w:sz w:val="21"/>
      <w:szCs w:val="21"/>
      <w:u w:val="none"/>
    </w:rPr>
  </w:style>
  <w:style w:type="paragraph" w:customStyle="1" w:styleId="180">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1">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2">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4">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5">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7">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9">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1">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9">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0">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1">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2">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5">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0">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4">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2">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4">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5">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6">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8">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9">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7">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8">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5">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
    <w:basedOn w:val="1"/>
    <w:qFormat/>
    <w:uiPriority w:val="0"/>
    <w:pPr>
      <w:spacing w:beforeLines="50"/>
      <w:ind w:firstLine="200" w:firstLineChars="200"/>
    </w:pPr>
    <w:rPr>
      <w:rFonts w:ascii="Calibri" w:hAnsi="Calibri" w:eastAsia="华文仿宋"/>
      <w:szCs w:val="22"/>
    </w:rPr>
  </w:style>
  <w:style w:type="paragraph" w:customStyle="1" w:styleId="258">
    <w:name w:val="正文A缩进"/>
    <w:basedOn w:val="1"/>
    <w:qFormat/>
    <w:uiPriority w:val="0"/>
    <w:pPr>
      <w:spacing w:line="360" w:lineRule="auto"/>
      <w:ind w:firstLine="200" w:firstLineChars="200"/>
    </w:pPr>
    <w:rPr>
      <w:kern w:val="0"/>
      <w:sz w:val="28"/>
      <w:szCs w:val="20"/>
    </w:rPr>
  </w:style>
  <w:style w:type="paragraph" w:customStyle="1" w:styleId="259">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0">
    <w:name w:val="标题 5 Char"/>
    <w:basedOn w:val="53"/>
    <w:qFormat/>
    <w:uiPriority w:val="0"/>
    <w:rPr>
      <w:b/>
      <w:bCs/>
      <w:kern w:val="2"/>
      <w:sz w:val="28"/>
      <w:szCs w:val="28"/>
    </w:rPr>
  </w:style>
  <w:style w:type="character" w:customStyle="1" w:styleId="261">
    <w:name w:val="标题 6 Char"/>
    <w:basedOn w:val="53"/>
    <w:qFormat/>
    <w:uiPriority w:val="9"/>
    <w:rPr>
      <w:rFonts w:asciiTheme="majorHAnsi" w:hAnsiTheme="majorHAnsi" w:eastAsiaTheme="majorEastAsia" w:cstheme="majorBidi"/>
      <w:b/>
      <w:bCs/>
      <w:kern w:val="2"/>
      <w:sz w:val="24"/>
      <w:szCs w:val="24"/>
    </w:rPr>
  </w:style>
  <w:style w:type="character" w:customStyle="1" w:styleId="262">
    <w:name w:val="标题 7 Char"/>
    <w:basedOn w:val="53"/>
    <w:qFormat/>
    <w:uiPriority w:val="9"/>
    <w:rPr>
      <w:b/>
      <w:bCs/>
      <w:kern w:val="2"/>
      <w:sz w:val="24"/>
      <w:szCs w:val="24"/>
    </w:rPr>
  </w:style>
  <w:style w:type="character" w:customStyle="1" w:styleId="263">
    <w:name w:val="标题 8 Char"/>
    <w:basedOn w:val="53"/>
    <w:qFormat/>
    <w:uiPriority w:val="9"/>
    <w:rPr>
      <w:rFonts w:asciiTheme="majorHAnsi" w:hAnsiTheme="majorHAnsi" w:eastAsiaTheme="majorEastAsia" w:cstheme="majorBidi"/>
      <w:kern w:val="2"/>
      <w:sz w:val="24"/>
      <w:szCs w:val="24"/>
    </w:rPr>
  </w:style>
  <w:style w:type="character" w:customStyle="1" w:styleId="264">
    <w:name w:val="标题 9 Char"/>
    <w:basedOn w:val="53"/>
    <w:qFormat/>
    <w:uiPriority w:val="0"/>
    <w:rPr>
      <w:rFonts w:asciiTheme="majorHAnsi" w:hAnsiTheme="majorHAnsi" w:eastAsiaTheme="majorEastAsia" w:cstheme="majorBidi"/>
      <w:kern w:val="2"/>
      <w:sz w:val="21"/>
      <w:szCs w:val="21"/>
    </w:rPr>
  </w:style>
  <w:style w:type="paragraph" w:customStyle="1" w:styleId="265">
    <w:name w:val="！表格内容"/>
    <w:basedOn w:val="1"/>
    <w:qFormat/>
    <w:uiPriority w:val="0"/>
    <w:pPr>
      <w:spacing w:line="320" w:lineRule="atLeast"/>
    </w:pPr>
  </w:style>
  <w:style w:type="character" w:customStyle="1" w:styleId="266">
    <w:name w:val="页眉 Char2"/>
    <w:basedOn w:val="53"/>
    <w:qFormat/>
    <w:uiPriority w:val="99"/>
    <w:rPr>
      <w:rFonts w:ascii="Times New Roman" w:hAnsi="Times New Roman" w:eastAsia="宋体" w:cs="Times New Roman"/>
      <w:sz w:val="18"/>
      <w:szCs w:val="18"/>
    </w:rPr>
  </w:style>
  <w:style w:type="character" w:customStyle="1" w:styleId="267">
    <w:name w:val="页脚 Char1"/>
    <w:basedOn w:val="53"/>
    <w:qFormat/>
    <w:uiPriority w:val="99"/>
    <w:rPr>
      <w:rFonts w:ascii="Times New Roman" w:hAnsi="Times New Roman" w:eastAsia="宋体" w:cs="Times New Roman"/>
      <w:sz w:val="18"/>
      <w:szCs w:val="18"/>
    </w:rPr>
  </w:style>
  <w:style w:type="paragraph" w:customStyle="1" w:styleId="268">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3"/>
    <w:qFormat/>
    <w:uiPriority w:val="99"/>
    <w:rPr>
      <w:rFonts w:ascii="Times New Roman" w:hAnsi="Times New Roman" w:eastAsia="宋体" w:cs="Times New Roman"/>
      <w:szCs w:val="24"/>
    </w:rPr>
  </w:style>
  <w:style w:type="character" w:customStyle="1" w:styleId="270">
    <w:name w:val="文档结构图 Char1"/>
    <w:basedOn w:val="53"/>
    <w:qFormat/>
    <w:uiPriority w:val="0"/>
    <w:rPr>
      <w:rFonts w:ascii="宋体" w:hAnsi="Times New Roman" w:eastAsia="宋体" w:cs="Times New Roman"/>
      <w:sz w:val="18"/>
      <w:szCs w:val="18"/>
    </w:rPr>
  </w:style>
  <w:style w:type="character" w:customStyle="1" w:styleId="271">
    <w:name w:val="批注主题 Char1"/>
    <w:basedOn w:val="109"/>
    <w:qFormat/>
    <w:uiPriority w:val="0"/>
    <w:rPr>
      <w:rFonts w:ascii="Times New Roman" w:hAnsi="Times New Roman" w:eastAsia="宋体" w:cs="Times New Roman"/>
      <w:b/>
      <w:bCs/>
      <w:szCs w:val="24"/>
    </w:rPr>
  </w:style>
  <w:style w:type="character" w:customStyle="1" w:styleId="272">
    <w:name w:val="批注框文本 Char1"/>
    <w:basedOn w:val="53"/>
    <w:qFormat/>
    <w:uiPriority w:val="0"/>
    <w:rPr>
      <w:rFonts w:ascii="Times New Roman" w:hAnsi="Times New Roman" w:eastAsia="宋体" w:cs="Times New Roman"/>
      <w:sz w:val="18"/>
      <w:szCs w:val="18"/>
    </w:rPr>
  </w:style>
  <w:style w:type="character" w:customStyle="1" w:styleId="273">
    <w:name w:val="标题 1 Char1"/>
    <w:basedOn w:val="53"/>
    <w:qFormat/>
    <w:uiPriority w:val="0"/>
    <w:rPr>
      <w:b/>
      <w:bCs/>
      <w:kern w:val="44"/>
      <w:sz w:val="44"/>
      <w:szCs w:val="44"/>
    </w:rPr>
  </w:style>
  <w:style w:type="character" w:customStyle="1" w:styleId="274">
    <w:name w:val="标题 2 Char1"/>
    <w:basedOn w:val="53"/>
    <w:qFormat/>
    <w:uiPriority w:val="0"/>
    <w:rPr>
      <w:rFonts w:asciiTheme="majorHAnsi" w:hAnsiTheme="majorHAnsi" w:eastAsiaTheme="majorEastAsia" w:cstheme="majorBidi"/>
      <w:b/>
      <w:bCs/>
      <w:kern w:val="2"/>
      <w:sz w:val="32"/>
      <w:szCs w:val="32"/>
    </w:rPr>
  </w:style>
  <w:style w:type="character" w:customStyle="1" w:styleId="275">
    <w:name w:val="标题 3 Char1"/>
    <w:basedOn w:val="53"/>
    <w:qFormat/>
    <w:uiPriority w:val="99"/>
    <w:rPr>
      <w:rFonts w:ascii="宋体" w:hAnsi="Arial"/>
      <w:b/>
      <w:kern w:val="2"/>
      <w:sz w:val="28"/>
    </w:rPr>
  </w:style>
  <w:style w:type="character" w:customStyle="1" w:styleId="276">
    <w:name w:val="Char Char3"/>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qFormat/>
    <w:uiPriority w:val="0"/>
    <w:rPr>
      <w:rFonts w:eastAsia="Times New Roman"/>
      <w:sz w:val="24"/>
      <w:szCs w:val="24"/>
    </w:rPr>
  </w:style>
  <w:style w:type="paragraph" w:customStyle="1" w:styleId="278">
    <w:name w:val="正文－段落"/>
    <w:link w:val="277"/>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qFormat/>
    <w:uiPriority w:val="0"/>
    <w:rPr>
      <w:rFonts w:ascii="宋体" w:hAnsi="Courier New"/>
      <w:spacing w:val="-8"/>
      <w:kern w:val="2"/>
      <w:sz w:val="24"/>
    </w:rPr>
  </w:style>
  <w:style w:type="character" w:customStyle="1" w:styleId="280">
    <w:name w:val="日期 Char"/>
    <w:qFormat/>
    <w:uiPriority w:val="0"/>
    <w:rPr>
      <w:rFonts w:ascii="宋体" w:hAnsi="宋体"/>
      <w:sz w:val="24"/>
    </w:rPr>
  </w:style>
  <w:style w:type="character" w:customStyle="1" w:styleId="281">
    <w:name w:val="Char Char9"/>
    <w:qFormat/>
    <w:uiPriority w:val="0"/>
    <w:rPr>
      <w:rFonts w:hint="default" w:ascii="Calibri" w:hAnsi="Calibri" w:eastAsia="宋体"/>
      <w:sz w:val="18"/>
      <w:szCs w:val="18"/>
      <w:lang w:bidi="ar-SA"/>
    </w:rPr>
  </w:style>
  <w:style w:type="character" w:customStyle="1" w:styleId="282">
    <w:name w:val="Char Char17"/>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qFormat/>
    <w:uiPriority w:val="0"/>
    <w:rPr>
      <w:rFonts w:ascii="黑体" w:hAnsi="Courier New" w:eastAsia="黑体" w:cs="Courier New"/>
    </w:rPr>
  </w:style>
  <w:style w:type="character" w:customStyle="1" w:styleId="284">
    <w:name w:val="1.5倍行距 Char Char"/>
    <w:link w:val="285"/>
    <w:qFormat/>
    <w:uiPriority w:val="0"/>
    <w:rPr>
      <w:kern w:val="2"/>
      <w:sz w:val="21"/>
      <w:szCs w:val="24"/>
    </w:rPr>
  </w:style>
  <w:style w:type="paragraph" w:customStyle="1" w:styleId="285">
    <w:name w:val="1.5倍行距"/>
    <w:basedOn w:val="1"/>
    <w:link w:val="284"/>
    <w:qFormat/>
    <w:uiPriority w:val="0"/>
    <w:pPr>
      <w:spacing w:line="360" w:lineRule="auto"/>
      <w:ind w:firstLine="420"/>
    </w:pPr>
  </w:style>
  <w:style w:type="character" w:customStyle="1" w:styleId="286">
    <w:name w:val="H2 Char1"/>
    <w:qFormat/>
    <w:uiPriority w:val="0"/>
    <w:rPr>
      <w:rFonts w:ascii="Cambria" w:hAnsi="Cambria"/>
      <w:b/>
      <w:bCs/>
      <w:sz w:val="32"/>
      <w:szCs w:val="32"/>
    </w:rPr>
  </w:style>
  <w:style w:type="character" w:customStyle="1" w:styleId="287">
    <w:name w:val="Char Char4"/>
    <w:qFormat/>
    <w:uiPriority w:val="0"/>
    <w:rPr>
      <w:rFonts w:hint="default" w:ascii="Calibri" w:hAnsi="Calibri" w:eastAsia="宋体"/>
      <w:kern w:val="2"/>
      <w:sz w:val="21"/>
      <w:szCs w:val="22"/>
      <w:lang w:val="en-US" w:eastAsia="zh-CN" w:bidi="ar-SA"/>
    </w:rPr>
  </w:style>
  <w:style w:type="character" w:customStyle="1" w:styleId="288">
    <w:name w:val="正文文本缩进 2 Char"/>
    <w:qFormat/>
    <w:uiPriority w:val="0"/>
    <w:rPr>
      <w:kern w:val="2"/>
      <w:sz w:val="21"/>
    </w:rPr>
  </w:style>
  <w:style w:type="character" w:customStyle="1" w:styleId="289">
    <w:name w:val="签名 字符"/>
    <w:link w:val="35"/>
    <w:qFormat/>
    <w:uiPriority w:val="0"/>
    <w:rPr>
      <w:rFonts w:eastAsia="楷体_GB2312"/>
      <w:kern w:val="2"/>
      <w:sz w:val="21"/>
    </w:rPr>
  </w:style>
  <w:style w:type="character" w:customStyle="1" w:styleId="290">
    <w:name w:val="标题2 Char"/>
    <w:link w:val="291"/>
    <w:qFormat/>
    <w:uiPriority w:val="0"/>
    <w:rPr>
      <w:rFonts w:ascii="仿宋" w:hAnsi="仿宋" w:eastAsia="仿宋"/>
      <w:b/>
      <w:bCs/>
      <w:color w:val="000000"/>
      <w:kern w:val="2"/>
      <w:sz w:val="24"/>
      <w:szCs w:val="24"/>
    </w:rPr>
  </w:style>
  <w:style w:type="paragraph" w:customStyle="1" w:styleId="291">
    <w:name w:val="标题2"/>
    <w:basedOn w:val="292"/>
    <w:link w:val="290"/>
    <w:qFormat/>
    <w:uiPriority w:val="0"/>
    <w:pPr>
      <w:tabs>
        <w:tab w:val="left" w:pos="425"/>
        <w:tab w:val="left" w:pos="709"/>
        <w:tab w:val="left" w:pos="851"/>
        <w:tab w:val="left" w:pos="1419"/>
      </w:tabs>
    </w:pPr>
    <w:rPr>
      <w:szCs w:val="24"/>
    </w:rPr>
  </w:style>
  <w:style w:type="paragraph" w:customStyle="1" w:styleId="292">
    <w:name w:val="三级"/>
    <w:basedOn w:val="3"/>
    <w:link w:val="293"/>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qFormat/>
    <w:uiPriority w:val="0"/>
    <w:rPr>
      <w:rFonts w:ascii="仿宋" w:hAnsi="仿宋" w:eastAsia="仿宋"/>
      <w:b/>
      <w:bCs/>
      <w:color w:val="000000"/>
      <w:kern w:val="2"/>
      <w:sz w:val="32"/>
      <w:szCs w:val="32"/>
    </w:rPr>
  </w:style>
  <w:style w:type="character" w:customStyle="1" w:styleId="294">
    <w:name w:val="正文文本首行缩进 2 字符"/>
    <w:link w:val="50"/>
    <w:qFormat/>
    <w:uiPriority w:val="0"/>
    <w:rPr>
      <w:sz w:val="24"/>
      <w:szCs w:val="24"/>
    </w:rPr>
  </w:style>
  <w:style w:type="character" w:customStyle="1" w:styleId="295">
    <w:name w:val="正文首行缩进 Char Char Char1"/>
    <w:qFormat/>
    <w:uiPriority w:val="0"/>
    <w:rPr>
      <w:rFonts w:ascii="Times New Roman" w:hAnsi="Times New Roman"/>
      <w:kern w:val="2"/>
      <w:sz w:val="24"/>
      <w:szCs w:val="24"/>
    </w:rPr>
  </w:style>
  <w:style w:type="character" w:customStyle="1" w:styleId="296">
    <w:name w:val="标题 Char1"/>
    <w:qFormat/>
    <w:uiPriority w:val="0"/>
    <w:rPr>
      <w:rFonts w:ascii="Arial" w:hAnsi="Arial"/>
      <w:b/>
      <w:kern w:val="2"/>
      <w:sz w:val="36"/>
      <w:szCs w:val="24"/>
    </w:rPr>
  </w:style>
  <w:style w:type="character" w:customStyle="1" w:styleId="297">
    <w:name w:val="正文文本 字符"/>
    <w:qFormat/>
    <w:uiPriority w:val="0"/>
    <w:rPr>
      <w:rFonts w:eastAsia="宋体"/>
      <w:kern w:val="2"/>
      <w:sz w:val="21"/>
      <w:szCs w:val="24"/>
      <w:lang w:bidi="ar-SA"/>
    </w:rPr>
  </w:style>
  <w:style w:type="character" w:customStyle="1" w:styleId="298">
    <w:name w:val="正文文本缩进 Char"/>
    <w:qFormat/>
    <w:uiPriority w:val="0"/>
    <w:rPr>
      <w:kern w:val="2"/>
      <w:sz w:val="24"/>
    </w:rPr>
  </w:style>
  <w:style w:type="character" w:customStyle="1" w:styleId="299">
    <w:name w:val="题注 字符"/>
    <w:link w:val="16"/>
    <w:qFormat/>
    <w:uiPriority w:val="0"/>
    <w:rPr>
      <w:rFonts w:ascii="Cambria" w:hAnsi="Cambria" w:eastAsia="黑体"/>
      <w:kern w:val="2"/>
      <w:sz w:val="21"/>
      <w:szCs w:val="24"/>
    </w:rPr>
  </w:style>
  <w:style w:type="character" w:customStyle="1" w:styleId="300">
    <w:name w:val="bt Char1"/>
    <w:qFormat/>
    <w:uiPriority w:val="0"/>
    <w:rPr>
      <w:rFonts w:ascii="Times New Roman" w:hAnsi="Times New Roman"/>
      <w:kern w:val="2"/>
      <w:sz w:val="24"/>
      <w:szCs w:val="24"/>
    </w:rPr>
  </w:style>
  <w:style w:type="character" w:customStyle="1" w:styleId="301">
    <w:name w:val="Char Char18"/>
    <w:qFormat/>
    <w:uiPriority w:val="0"/>
    <w:rPr>
      <w:rFonts w:hint="default" w:ascii="Cambria" w:hAnsi="Cambria" w:eastAsia="宋体"/>
      <w:b/>
      <w:bCs/>
      <w:sz w:val="32"/>
      <w:szCs w:val="32"/>
      <w:lang w:bidi="ar-SA"/>
    </w:rPr>
  </w:style>
  <w:style w:type="character" w:customStyle="1" w:styleId="302">
    <w:name w:val="四级 Char"/>
    <w:link w:val="303"/>
    <w:qFormat/>
    <w:uiPriority w:val="0"/>
    <w:rPr>
      <w:rFonts w:ascii="仿宋" w:hAnsi="仿宋" w:eastAsia="仿宋"/>
      <w:bCs/>
      <w:kern w:val="2"/>
      <w:sz w:val="32"/>
      <w:szCs w:val="32"/>
    </w:rPr>
  </w:style>
  <w:style w:type="paragraph" w:customStyle="1" w:styleId="303">
    <w:name w:val="四级"/>
    <w:basedOn w:val="5"/>
    <w:link w:val="302"/>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3"/>
    <w:qFormat/>
    <w:uiPriority w:val="0"/>
  </w:style>
  <w:style w:type="character" w:customStyle="1" w:styleId="305">
    <w:name w:val="p141"/>
    <w:qFormat/>
    <w:uiPriority w:val="0"/>
    <w:rPr>
      <w:sz w:val="21"/>
      <w:szCs w:val="21"/>
    </w:rPr>
  </w:style>
  <w:style w:type="character" w:customStyle="1" w:styleId="306">
    <w:name w:val="正文文本缩进 3 Char"/>
    <w:qFormat/>
    <w:uiPriority w:val="0"/>
    <w:rPr>
      <w:kern w:val="2"/>
      <w:sz w:val="21"/>
    </w:rPr>
  </w:style>
  <w:style w:type="character" w:customStyle="1" w:styleId="307">
    <w:name w:val="Char Char13"/>
    <w:qFormat/>
    <w:uiPriority w:val="0"/>
    <w:rPr>
      <w:rFonts w:ascii="Cambria" w:hAnsi="Cambria" w:eastAsia="宋体"/>
      <w:sz w:val="24"/>
      <w:szCs w:val="24"/>
      <w:lang w:bidi="ar-SA"/>
    </w:rPr>
  </w:style>
  <w:style w:type="character" w:customStyle="1" w:styleId="308">
    <w:name w:val="正文文本 2 字符"/>
    <w:link w:val="22"/>
    <w:qFormat/>
    <w:uiPriority w:val="0"/>
    <w:rPr>
      <w:kern w:val="2"/>
      <w:sz w:val="28"/>
    </w:rPr>
  </w:style>
  <w:style w:type="character" w:customStyle="1" w:styleId="309">
    <w:name w:val="Char Char5"/>
    <w:qFormat/>
    <w:uiPriority w:val="0"/>
    <w:rPr>
      <w:rFonts w:ascii="宋体" w:hAnsi="宋体" w:eastAsia="宋体"/>
      <w:b/>
      <w:bCs/>
      <w:szCs w:val="24"/>
      <w:lang w:bidi="ar-SA"/>
    </w:rPr>
  </w:style>
  <w:style w:type="character" w:customStyle="1" w:styleId="310">
    <w:name w:val="正文文本 2 Char"/>
    <w:qFormat/>
    <w:uiPriority w:val="0"/>
    <w:rPr>
      <w:kern w:val="2"/>
      <w:sz w:val="28"/>
    </w:rPr>
  </w:style>
  <w:style w:type="character" w:customStyle="1" w:styleId="311">
    <w:name w:val="Char Char6"/>
    <w:qFormat/>
    <w:uiPriority w:val="0"/>
    <w:rPr>
      <w:rFonts w:ascii="宋体" w:hAnsi="宋体" w:eastAsia="宋体"/>
      <w:szCs w:val="24"/>
      <w:lang w:bidi="ar-SA"/>
    </w:rPr>
  </w:style>
  <w:style w:type="character" w:customStyle="1" w:styleId="312">
    <w:name w:val="Char Char15"/>
    <w:qFormat/>
    <w:uiPriority w:val="0"/>
    <w:rPr>
      <w:rFonts w:hint="default" w:ascii="Cambria" w:hAnsi="Cambria" w:eastAsia="宋体"/>
      <w:b/>
      <w:bCs/>
      <w:sz w:val="24"/>
      <w:szCs w:val="24"/>
      <w:lang w:bidi="ar-SA"/>
    </w:rPr>
  </w:style>
  <w:style w:type="character" w:customStyle="1" w:styleId="313">
    <w:name w:val="H4 Char"/>
    <w:qFormat/>
    <w:uiPriority w:val="0"/>
    <w:rPr>
      <w:rFonts w:ascii="Cambria" w:hAnsi="Cambria" w:eastAsia="仿宋_GB2312"/>
      <w:b/>
      <w:bCs/>
      <w:sz w:val="32"/>
      <w:szCs w:val="28"/>
    </w:rPr>
  </w:style>
  <w:style w:type="character" w:customStyle="1" w:styleId="314">
    <w:name w:val="Char Char20"/>
    <w:qFormat/>
    <w:uiPriority w:val="0"/>
    <w:rPr>
      <w:rFonts w:eastAsia="宋体"/>
      <w:b/>
      <w:kern w:val="2"/>
      <w:sz w:val="28"/>
      <w:lang w:bidi="ar-SA"/>
    </w:rPr>
  </w:style>
  <w:style w:type="character" w:customStyle="1" w:styleId="315">
    <w:name w:val="正文文本缩进 3 字符"/>
    <w:link w:val="42"/>
    <w:qFormat/>
    <w:uiPriority w:val="0"/>
    <w:rPr>
      <w:kern w:val="2"/>
      <w:sz w:val="21"/>
    </w:rPr>
  </w:style>
  <w:style w:type="character" w:customStyle="1" w:styleId="316">
    <w:name w:val="Char Char16"/>
    <w:qFormat/>
    <w:uiPriority w:val="0"/>
    <w:rPr>
      <w:rFonts w:hint="eastAsia" w:ascii="仿宋_GB2313" w:hAnsi="仿宋_GB2313" w:eastAsia="仿宋_GB2312"/>
      <w:b/>
      <w:bCs/>
      <w:sz w:val="32"/>
      <w:szCs w:val="28"/>
      <w:lang w:bidi="ar-SA"/>
    </w:rPr>
  </w:style>
  <w:style w:type="character" w:customStyle="1" w:styleId="317">
    <w:name w:val="Char Char7"/>
    <w:qFormat/>
    <w:uiPriority w:val="0"/>
    <w:rPr>
      <w:rFonts w:ascii="宋体" w:hAnsi="宋体" w:eastAsia="宋体"/>
      <w:sz w:val="24"/>
      <w:szCs w:val="24"/>
      <w:lang w:bidi="ar-SA"/>
    </w:rPr>
  </w:style>
  <w:style w:type="character" w:customStyle="1" w:styleId="318">
    <w:name w:val="日期 字符"/>
    <w:link w:val="30"/>
    <w:qFormat/>
    <w:uiPriority w:val="0"/>
    <w:rPr>
      <w:rFonts w:ascii="宋体" w:hAnsi="宋体"/>
      <w:kern w:val="2"/>
      <w:sz w:val="24"/>
      <w:szCs w:val="24"/>
    </w:rPr>
  </w:style>
  <w:style w:type="character" w:customStyle="1" w:styleId="319">
    <w:name w:val="Char Char12"/>
    <w:qFormat/>
    <w:uiPriority w:val="0"/>
    <w:rPr>
      <w:rFonts w:hint="default" w:ascii="Cambria" w:hAnsi="Cambria" w:eastAsia="宋体"/>
      <w:szCs w:val="21"/>
      <w:lang w:bidi="ar-SA"/>
    </w:rPr>
  </w:style>
  <w:style w:type="character" w:customStyle="1" w:styleId="320">
    <w:name w:val="标题 4 Char"/>
    <w:qFormat/>
    <w:uiPriority w:val="0"/>
    <w:rPr>
      <w:rFonts w:ascii="Arial" w:hAnsi="Arial" w:eastAsia="黑体"/>
      <w:b/>
      <w:kern w:val="2"/>
      <w:sz w:val="24"/>
    </w:rPr>
  </w:style>
  <w:style w:type="character" w:customStyle="1" w:styleId="321">
    <w:name w:val="Char Char2"/>
    <w:qFormat/>
    <w:uiPriority w:val="0"/>
    <w:rPr>
      <w:rFonts w:ascii="宋体" w:hAnsi="宋体" w:eastAsia="宋体"/>
      <w:kern w:val="2"/>
      <w:sz w:val="24"/>
      <w:szCs w:val="24"/>
      <w:lang w:val="en-US" w:eastAsia="zh-CN" w:bidi="ar-SA"/>
    </w:rPr>
  </w:style>
  <w:style w:type="character" w:customStyle="1" w:styleId="322">
    <w:name w:val="*正文 Char"/>
    <w:link w:val="323"/>
    <w:qFormat/>
    <w:uiPriority w:val="0"/>
    <w:rPr>
      <w:rFonts w:ascii="宋体" w:hAnsi="宋体"/>
      <w:sz w:val="24"/>
      <w:szCs w:val="24"/>
    </w:rPr>
  </w:style>
  <w:style w:type="paragraph" w:customStyle="1" w:styleId="323">
    <w:name w:val="*正文"/>
    <w:basedOn w:val="1"/>
    <w:link w:val="322"/>
    <w:qFormat/>
    <w:uiPriority w:val="0"/>
    <w:pPr>
      <w:spacing w:line="360" w:lineRule="auto"/>
      <w:ind w:firstLine="200" w:firstLineChars="200"/>
    </w:pPr>
    <w:rPr>
      <w:rFonts w:ascii="宋体" w:hAnsi="宋体"/>
      <w:kern w:val="0"/>
      <w:sz w:val="24"/>
    </w:rPr>
  </w:style>
  <w:style w:type="character" w:customStyle="1" w:styleId="324">
    <w:name w:val="页脚 字符1"/>
    <w:qFormat/>
    <w:uiPriority w:val="0"/>
    <w:rPr>
      <w:rFonts w:eastAsia="宋体"/>
      <w:kern w:val="2"/>
      <w:sz w:val="18"/>
      <w:lang w:bidi="ar-SA"/>
    </w:rPr>
  </w:style>
  <w:style w:type="character" w:customStyle="1" w:styleId="325">
    <w:name w:val="GP正文[858D7CFB-ED40-4347-BF05-701D383B685F]"/>
    <w:link w:val="326"/>
    <w:qFormat/>
    <w:uiPriority w:val="0"/>
    <w:rPr>
      <w:rFonts w:ascii="宋体" w:hAnsi="宋体"/>
      <w:kern w:val="2"/>
      <w:sz w:val="24"/>
      <w:szCs w:val="24"/>
    </w:rPr>
  </w:style>
  <w:style w:type="paragraph" w:customStyle="1" w:styleId="326">
    <w:name w:val="GP正文"/>
    <w:basedOn w:val="1"/>
    <w:link w:val="325"/>
    <w:qFormat/>
    <w:uiPriority w:val="0"/>
    <w:pPr>
      <w:spacing w:line="360" w:lineRule="auto"/>
      <w:ind w:firstLine="200" w:firstLineChars="200"/>
      <w:jc w:val="left"/>
    </w:pPr>
    <w:rPr>
      <w:rFonts w:ascii="宋体" w:hAnsi="宋体"/>
      <w:sz w:val="24"/>
    </w:rPr>
  </w:style>
  <w:style w:type="character" w:customStyle="1" w:styleId="327">
    <w:name w:val="Char Char14"/>
    <w:qFormat/>
    <w:uiPriority w:val="0"/>
    <w:rPr>
      <w:rFonts w:ascii="Calibri" w:hAnsi="Calibri" w:eastAsia="宋体"/>
      <w:b/>
      <w:bCs/>
      <w:sz w:val="24"/>
      <w:szCs w:val="24"/>
      <w:lang w:bidi="ar-SA"/>
    </w:rPr>
  </w:style>
  <w:style w:type="character" w:customStyle="1" w:styleId="328">
    <w:name w:val="Char Char19"/>
    <w:qFormat/>
    <w:uiPriority w:val="0"/>
    <w:rPr>
      <w:rFonts w:ascii="Arial" w:hAnsi="Arial" w:eastAsia="黑体"/>
      <w:b/>
      <w:kern w:val="2"/>
      <w:sz w:val="24"/>
      <w:lang w:bidi="ar-SA"/>
    </w:rPr>
  </w:style>
  <w:style w:type="character" w:customStyle="1" w:styleId="329">
    <w:name w:val="正文文本 Char1"/>
    <w:qFormat/>
    <w:uiPriority w:val="0"/>
    <w:rPr>
      <w:kern w:val="2"/>
      <w:sz w:val="21"/>
      <w:szCs w:val="24"/>
    </w:rPr>
  </w:style>
  <w:style w:type="character" w:customStyle="1" w:styleId="330">
    <w:name w:val="二级 Char"/>
    <w:link w:val="331"/>
    <w:qFormat/>
    <w:uiPriority w:val="0"/>
    <w:rPr>
      <w:rFonts w:ascii="仿宋" w:hAnsi="仿宋" w:eastAsia="仿宋"/>
      <w:b/>
      <w:bCs/>
      <w:spacing w:val="24"/>
      <w:kern w:val="2"/>
      <w:sz w:val="32"/>
      <w:szCs w:val="32"/>
    </w:rPr>
  </w:style>
  <w:style w:type="paragraph" w:customStyle="1" w:styleId="331">
    <w:name w:val="二级"/>
    <w:basedOn w:val="4"/>
    <w:link w:val="330"/>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2">
    <w:name w:val="签名 Char"/>
    <w:qFormat/>
    <w:uiPriority w:val="0"/>
    <w:rPr>
      <w:rFonts w:eastAsia="楷体_GB2312"/>
      <w:kern w:val="2"/>
      <w:sz w:val="21"/>
    </w:rPr>
  </w:style>
  <w:style w:type="character" w:customStyle="1" w:styleId="333">
    <w:name w:val="Char Char"/>
    <w:qFormat/>
    <w:uiPriority w:val="0"/>
    <w:rPr>
      <w:rFonts w:hint="eastAsia" w:ascii="宋体" w:hAnsi="Courier New" w:eastAsia="宋体"/>
      <w:spacing w:val="-8"/>
      <w:kern w:val="2"/>
      <w:sz w:val="24"/>
      <w:lang w:val="en-US" w:eastAsia="zh-CN" w:bidi="ar-SA"/>
    </w:rPr>
  </w:style>
  <w:style w:type="character" w:customStyle="1" w:styleId="334">
    <w:name w:val="Char Char11"/>
    <w:qFormat/>
    <w:uiPriority w:val="0"/>
    <w:rPr>
      <w:rFonts w:hint="default" w:ascii="Calibri" w:hAnsi="Calibri" w:eastAsia="宋体"/>
      <w:sz w:val="18"/>
      <w:szCs w:val="18"/>
      <w:lang w:bidi="ar-SA"/>
    </w:rPr>
  </w:style>
  <w:style w:type="character" w:customStyle="1" w:styleId="335">
    <w:name w:val="页眉 字符1"/>
    <w:qFormat/>
    <w:uiPriority w:val="0"/>
    <w:rPr>
      <w:rFonts w:eastAsia="宋体"/>
      <w:kern w:val="2"/>
      <w:sz w:val="18"/>
      <w:szCs w:val="18"/>
      <w:lang w:bidi="ar-SA"/>
    </w:rPr>
  </w:style>
  <w:style w:type="character" w:customStyle="1" w:styleId="336">
    <w:name w:val="正文首行缩进 Char1"/>
    <w:qFormat/>
    <w:uiPriority w:val="0"/>
    <w:rPr>
      <w:kern w:val="2"/>
      <w:sz w:val="21"/>
    </w:rPr>
  </w:style>
  <w:style w:type="character" w:customStyle="1" w:styleId="337">
    <w:name w:val="页眉 Char1"/>
    <w:qFormat/>
    <w:uiPriority w:val="0"/>
    <w:rPr>
      <w:rFonts w:eastAsia="宋体"/>
      <w:kern w:val="2"/>
      <w:sz w:val="18"/>
      <w:szCs w:val="18"/>
      <w:lang w:val="en-US" w:eastAsia="zh-CN" w:bidi="ar-SA"/>
    </w:rPr>
  </w:style>
  <w:style w:type="character" w:customStyle="1" w:styleId="338">
    <w:name w:val="题注 Char"/>
    <w:qFormat/>
    <w:uiPriority w:val="0"/>
    <w:rPr>
      <w:rFonts w:ascii="Cambria" w:hAnsi="Cambria" w:eastAsia="黑体"/>
      <w:kern w:val="2"/>
      <w:lang w:bidi="ar-SA"/>
    </w:rPr>
  </w:style>
  <w:style w:type="character" w:customStyle="1" w:styleId="339">
    <w:name w:val="样式 标题 3 + 小四 Char"/>
    <w:qFormat/>
    <w:uiPriority w:val="0"/>
    <w:rPr>
      <w:rFonts w:ascii="宋体" w:hAnsi="宋体" w:cs="Arial"/>
      <w:b/>
      <w:bCs/>
      <w:smallCaps/>
      <w:sz w:val="24"/>
      <w:lang w:val="en-US" w:eastAsia="zh-CN"/>
    </w:rPr>
  </w:style>
  <w:style w:type="character" w:customStyle="1" w:styleId="340">
    <w:name w:val="unnamed21"/>
    <w:qFormat/>
    <w:uiPriority w:val="0"/>
    <w:rPr>
      <w:color w:val="CC6633"/>
      <w:u w:val="none"/>
    </w:rPr>
  </w:style>
  <w:style w:type="character" w:customStyle="1" w:styleId="341">
    <w:name w:val="16"/>
    <w:qFormat/>
    <w:uiPriority w:val="0"/>
    <w:rPr>
      <w:rFonts w:hint="eastAsia" w:ascii="宋体" w:hAnsi="宋体" w:eastAsia="宋体" w:cs="Arial"/>
      <w:b/>
      <w:bCs/>
      <w:smallCaps/>
      <w:kern w:val="2"/>
      <w:sz w:val="24"/>
      <w:szCs w:val="24"/>
    </w:rPr>
  </w:style>
  <w:style w:type="character" w:customStyle="1" w:styleId="342">
    <w:name w:val="正文文本缩进 字符"/>
    <w:qFormat/>
    <w:uiPriority w:val="0"/>
    <w:rPr>
      <w:rFonts w:eastAsia="宋体"/>
      <w:kern w:val="2"/>
      <w:sz w:val="24"/>
      <w:lang w:bidi="ar-SA"/>
    </w:rPr>
  </w:style>
  <w:style w:type="character" w:customStyle="1" w:styleId="343">
    <w:name w:val="Char Char8"/>
    <w:qFormat/>
    <w:uiPriority w:val="0"/>
    <w:rPr>
      <w:rFonts w:hint="default" w:ascii="Calibri" w:hAnsi="Calibri" w:eastAsia="宋体"/>
      <w:kern w:val="2"/>
      <w:sz w:val="21"/>
      <w:szCs w:val="22"/>
      <w:lang w:val="en-US" w:eastAsia="zh-CN" w:bidi="ar-SA"/>
    </w:rPr>
  </w:style>
  <w:style w:type="character" w:customStyle="1" w:styleId="344">
    <w:name w:val="H3 Char1"/>
    <w:qFormat/>
    <w:uiPriority w:val="0"/>
    <w:rPr>
      <w:rFonts w:ascii="仿宋_GB2312" w:eastAsia="仿宋_GB2312"/>
      <w:b/>
      <w:bCs/>
      <w:color w:val="000000"/>
      <w:kern w:val="2"/>
      <w:sz w:val="32"/>
      <w:szCs w:val="32"/>
    </w:rPr>
  </w:style>
  <w:style w:type="character" w:customStyle="1" w:styleId="345">
    <w:name w:val="Char Char1"/>
    <w:qFormat/>
    <w:uiPriority w:val="0"/>
    <w:rPr>
      <w:rFonts w:hint="eastAsia" w:ascii="宋体" w:hAnsi="宋体" w:eastAsia="宋体"/>
      <w:kern w:val="2"/>
      <w:sz w:val="21"/>
      <w:szCs w:val="24"/>
      <w:lang w:val="en-US" w:eastAsia="zh-CN" w:bidi="ar-SA"/>
    </w:rPr>
  </w:style>
  <w:style w:type="character" w:customStyle="1" w:styleId="346">
    <w:name w:val="Char Char10"/>
    <w:qFormat/>
    <w:uiPriority w:val="0"/>
    <w:rPr>
      <w:rFonts w:eastAsia="宋体"/>
      <w:kern w:val="2"/>
      <w:sz w:val="18"/>
      <w:szCs w:val="18"/>
      <w:lang w:val="en-US" w:eastAsia="zh-CN" w:bidi="ar-SA"/>
    </w:rPr>
  </w:style>
  <w:style w:type="character" w:customStyle="1" w:styleId="347">
    <w:name w:val="文档正文 Char"/>
    <w:link w:val="348"/>
    <w:qFormat/>
    <w:uiPriority w:val="0"/>
    <w:rPr>
      <w:rFonts w:ascii="Arial" w:hAnsi="Arial" w:cs="Arial"/>
      <w:bCs/>
      <w:kern w:val="2"/>
      <w:sz w:val="24"/>
      <w:szCs w:val="24"/>
    </w:rPr>
  </w:style>
  <w:style w:type="paragraph" w:customStyle="1" w:styleId="348">
    <w:name w:val="文档正文"/>
    <w:basedOn w:val="1"/>
    <w:link w:val="347"/>
    <w:qFormat/>
    <w:uiPriority w:val="0"/>
    <w:rPr>
      <w:rFonts w:ascii="Arial" w:hAnsi="Arial" w:cs="Arial"/>
      <w:bCs/>
      <w:sz w:val="24"/>
    </w:rPr>
  </w:style>
  <w:style w:type="character" w:customStyle="1" w:styleId="349">
    <w:name w:val="正文文本 2 Char2"/>
    <w:basedOn w:val="53"/>
    <w:semiHidden/>
    <w:qFormat/>
    <w:uiPriority w:val="0"/>
    <w:rPr>
      <w:kern w:val="2"/>
      <w:sz w:val="21"/>
      <w:szCs w:val="24"/>
    </w:rPr>
  </w:style>
  <w:style w:type="character" w:customStyle="1" w:styleId="350">
    <w:name w:val="标题 字符1"/>
    <w:basedOn w:val="53"/>
    <w:qFormat/>
    <w:uiPriority w:val="10"/>
    <w:rPr>
      <w:rFonts w:asciiTheme="majorHAnsi" w:hAnsiTheme="majorHAnsi" w:eastAsiaTheme="majorEastAsia" w:cstheme="majorBidi"/>
      <w:b/>
      <w:bCs/>
      <w:kern w:val="2"/>
      <w:sz w:val="32"/>
      <w:szCs w:val="32"/>
    </w:rPr>
  </w:style>
  <w:style w:type="character" w:customStyle="1" w:styleId="351">
    <w:name w:val="正文首行缩进 2 Char1"/>
    <w:basedOn w:val="76"/>
    <w:qFormat/>
    <w:uiPriority w:val="0"/>
    <w:rPr>
      <w:kern w:val="2"/>
      <w:sz w:val="21"/>
      <w:szCs w:val="24"/>
    </w:rPr>
  </w:style>
  <w:style w:type="character" w:customStyle="1" w:styleId="352">
    <w:name w:val="签名 Char2"/>
    <w:basedOn w:val="53"/>
    <w:semiHidden/>
    <w:qFormat/>
    <w:uiPriority w:val="0"/>
    <w:rPr>
      <w:kern w:val="2"/>
      <w:sz w:val="21"/>
      <w:szCs w:val="24"/>
    </w:rPr>
  </w:style>
  <w:style w:type="character" w:customStyle="1" w:styleId="353">
    <w:name w:val="正文文本缩进 3 Char2"/>
    <w:basedOn w:val="53"/>
    <w:semiHidden/>
    <w:qFormat/>
    <w:uiPriority w:val="0"/>
    <w:rPr>
      <w:kern w:val="2"/>
      <w:sz w:val="16"/>
      <w:szCs w:val="16"/>
    </w:rPr>
  </w:style>
  <w:style w:type="character" w:customStyle="1" w:styleId="354">
    <w:name w:val="日期 Char2"/>
    <w:basedOn w:val="53"/>
    <w:semiHidden/>
    <w:qFormat/>
    <w:uiPriority w:val="0"/>
    <w:rPr>
      <w:kern w:val="2"/>
      <w:sz w:val="21"/>
      <w:szCs w:val="24"/>
    </w:rPr>
  </w:style>
  <w:style w:type="paragraph" w:customStyle="1" w:styleId="35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8">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Table Heading"/>
    <w:basedOn w:val="1"/>
    <w:qFormat/>
    <w:uiPriority w:val="0"/>
    <w:pPr>
      <w:widowControl/>
      <w:jc w:val="center"/>
    </w:pPr>
    <w:rPr>
      <w:rFonts w:ascii="Arial" w:hAnsi="Arial"/>
      <w:b/>
      <w:kern w:val="0"/>
      <w:sz w:val="18"/>
      <w:szCs w:val="20"/>
    </w:rPr>
  </w:style>
  <w:style w:type="paragraph" w:customStyle="1" w:styleId="361">
    <w:name w:val="4"/>
    <w:basedOn w:val="1"/>
    <w:next w:val="1"/>
    <w:qFormat/>
    <w:uiPriority w:val="0"/>
  </w:style>
  <w:style w:type="paragraph" w:customStyle="1" w:styleId="3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3">
    <w:name w:val="--规划正文"/>
    <w:basedOn w:val="1"/>
    <w:qFormat/>
    <w:uiPriority w:val="0"/>
    <w:pPr>
      <w:spacing w:line="360" w:lineRule="auto"/>
      <w:ind w:firstLine="200" w:firstLineChars="200"/>
    </w:pPr>
    <w:rPr>
      <w:szCs w:val="20"/>
    </w:rPr>
  </w:style>
  <w:style w:type="paragraph" w:customStyle="1" w:styleId="364">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5">
    <w:name w:val="修订1"/>
    <w:qFormat/>
    <w:uiPriority w:val="99"/>
    <w:rPr>
      <w:rFonts w:ascii="Times New Roman" w:hAnsi="Times New Roman" w:eastAsia="宋体" w:cs="Times New Roman"/>
      <w:kern w:val="2"/>
      <w:sz w:val="21"/>
      <w:szCs w:val="22"/>
      <w:lang w:val="en-US" w:eastAsia="zh-CN" w:bidi="ar-SA"/>
    </w:rPr>
  </w:style>
  <w:style w:type="paragraph" w:customStyle="1" w:styleId="366">
    <w:name w:val="样式2"/>
    <w:basedOn w:val="27"/>
    <w:qFormat/>
    <w:uiPriority w:val="0"/>
    <w:pPr>
      <w:tabs>
        <w:tab w:val="right" w:leader="dot" w:pos="9458"/>
      </w:tabs>
    </w:pPr>
    <w:rPr>
      <w:rFonts w:ascii="Arial" w:cs="Arial"/>
      <w:i/>
    </w:rPr>
  </w:style>
  <w:style w:type="paragraph" w:customStyle="1" w:styleId="36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8">
    <w:name w:val="l2"/>
    <w:basedOn w:val="1"/>
    <w:qFormat/>
    <w:uiPriority w:val="0"/>
    <w:pPr>
      <w:keepLines/>
      <w:widowControl/>
      <w:spacing w:beforeLines="50" w:afterLines="50" w:line="300" w:lineRule="auto"/>
    </w:pPr>
    <w:rPr>
      <w:rFonts w:ascii="Arial" w:hAnsi="Arial"/>
      <w:bCs/>
    </w:rPr>
  </w:style>
  <w:style w:type="paragraph" w:customStyle="1" w:styleId="369">
    <w:name w:val="样式5"/>
    <w:basedOn w:val="370"/>
    <w:next w:val="370"/>
    <w:qFormat/>
    <w:uiPriority w:val="0"/>
    <w:pPr>
      <w:tabs>
        <w:tab w:val="right" w:leader="dot" w:pos="9458"/>
      </w:tabs>
    </w:pPr>
  </w:style>
  <w:style w:type="paragraph" w:customStyle="1" w:styleId="370">
    <w:name w:val="样式4"/>
    <w:basedOn w:val="36"/>
    <w:qFormat/>
    <w:uiPriority w:val="0"/>
    <w:pPr>
      <w:tabs>
        <w:tab w:val="right" w:leader="dot" w:pos="9458"/>
      </w:tabs>
    </w:pPr>
    <w:rPr>
      <w:b w:val="0"/>
    </w:rPr>
  </w:style>
  <w:style w:type="paragraph" w:customStyle="1" w:styleId="371">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3">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Table Body"/>
    <w:basedOn w:val="1"/>
    <w:qFormat/>
    <w:uiPriority w:val="0"/>
    <w:pPr>
      <w:widowControl/>
      <w:jc w:val="center"/>
    </w:pPr>
    <w:rPr>
      <w:rFonts w:ascii="Arial" w:hAnsi="Arial"/>
      <w:snapToGrid w:val="0"/>
      <w:kern w:val="0"/>
      <w:sz w:val="18"/>
      <w:szCs w:val="20"/>
    </w:rPr>
  </w:style>
  <w:style w:type="paragraph" w:customStyle="1" w:styleId="37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9">
    <w:name w:val="签名 - 公司"/>
    <w:basedOn w:val="35"/>
    <w:next w:val="380"/>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80">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4">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6">
    <w:name w:val="正文缩进1"/>
    <w:basedOn w:val="1"/>
    <w:qFormat/>
    <w:uiPriority w:val="0"/>
    <w:pPr>
      <w:ind w:firstLine="567"/>
    </w:pPr>
    <w:rPr>
      <w:spacing w:val="20"/>
      <w:sz w:val="24"/>
      <w:szCs w:val="20"/>
    </w:rPr>
  </w:style>
  <w:style w:type="paragraph" w:customStyle="1" w:styleId="387">
    <w:name w:val="_正文"/>
    <w:basedOn w:val="1"/>
    <w:qFormat/>
    <w:uiPriority w:val="99"/>
    <w:pPr>
      <w:spacing w:line="360" w:lineRule="auto"/>
      <w:ind w:firstLine="200" w:firstLineChars="200"/>
    </w:pPr>
    <w:rPr>
      <w:rFonts w:ascii="宋体" w:hAnsi="宋体"/>
      <w:sz w:val="24"/>
    </w:rPr>
  </w:style>
  <w:style w:type="paragraph" w:customStyle="1" w:styleId="38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9">
    <w:name w:val="列出段落6"/>
    <w:basedOn w:val="1"/>
    <w:qFormat/>
    <w:uiPriority w:val="0"/>
    <w:pPr>
      <w:ind w:firstLine="420" w:firstLineChars="200"/>
    </w:pPr>
    <w:rPr>
      <w:rFonts w:ascii="仿宋_GB2312" w:eastAsia="仿宋_GB2312" w:cs="宋体"/>
      <w:spacing w:val="6"/>
      <w:sz w:val="30"/>
      <w:szCs w:val="30"/>
    </w:rPr>
  </w:style>
  <w:style w:type="paragraph" w:customStyle="1" w:styleId="390">
    <w:name w:val="_Style 15"/>
    <w:basedOn w:val="1"/>
    <w:qFormat/>
    <w:uiPriority w:val="0"/>
  </w:style>
  <w:style w:type="paragraph" w:customStyle="1" w:styleId="39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4">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8">
    <w:name w:val="样式"/>
    <w:basedOn w:val="1"/>
    <w:next w:val="24"/>
    <w:qFormat/>
    <w:uiPriority w:val="0"/>
    <w:pPr>
      <w:ind w:left="572" w:right="32" w:firstLine="478"/>
    </w:pPr>
    <w:rPr>
      <w:szCs w:val="21"/>
    </w:rPr>
  </w:style>
  <w:style w:type="paragraph" w:customStyle="1" w:styleId="399">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400">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1">
    <w:name w:val="图表"/>
    <w:basedOn w:val="1"/>
    <w:qFormat/>
    <w:uiPriority w:val="0"/>
    <w:pPr>
      <w:spacing w:line="360" w:lineRule="auto"/>
      <w:ind w:hanging="420"/>
      <w:jc w:val="center"/>
    </w:pPr>
    <w:rPr>
      <w:sz w:val="24"/>
      <w:szCs w:val="20"/>
    </w:rPr>
  </w:style>
  <w:style w:type="paragraph" w:customStyle="1" w:styleId="40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3">
    <w:name w:val="正文_0"/>
    <w:basedOn w:val="1"/>
    <w:qFormat/>
    <w:uiPriority w:val="0"/>
  </w:style>
  <w:style w:type="paragraph" w:customStyle="1" w:styleId="40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5">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6">
    <w:name w:val="简单回函地址"/>
    <w:basedOn w:val="1"/>
    <w:qFormat/>
    <w:uiPriority w:val="0"/>
  </w:style>
  <w:style w:type="paragraph" w:customStyle="1" w:styleId="4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8">
    <w:name w:val="样式3"/>
    <w:basedOn w:val="27"/>
    <w:qFormat/>
    <w:uiPriority w:val="0"/>
    <w:pPr>
      <w:tabs>
        <w:tab w:val="right" w:leader="dot" w:pos="9458"/>
      </w:tabs>
    </w:pPr>
    <w:rPr>
      <w:i/>
    </w:rPr>
  </w:style>
  <w:style w:type="paragraph" w:customStyle="1" w:styleId="409">
    <w:name w:val="msolistparagraph"/>
    <w:basedOn w:val="1"/>
    <w:qFormat/>
    <w:uiPriority w:val="0"/>
    <w:pPr>
      <w:ind w:firstLine="420" w:firstLineChars="200"/>
    </w:pPr>
    <w:rPr>
      <w:rFonts w:ascii="Calibri" w:hAnsi="Calibri"/>
      <w:szCs w:val="22"/>
    </w:rPr>
  </w:style>
  <w:style w:type="paragraph" w:customStyle="1" w:styleId="410">
    <w:name w:val="Char Char16 Char Char"/>
    <w:basedOn w:val="1"/>
    <w:qFormat/>
    <w:uiPriority w:val="0"/>
    <w:rPr>
      <w:rFonts w:ascii="Tahoma" w:hAnsi="Tahoma"/>
      <w:sz w:val="24"/>
      <w:szCs w:val="20"/>
    </w:rPr>
  </w:style>
  <w:style w:type="paragraph" w:customStyle="1" w:styleId="411">
    <w:name w:val="正文内容"/>
    <w:basedOn w:val="1"/>
    <w:qFormat/>
    <w:uiPriority w:val="0"/>
    <w:rPr>
      <w:rFonts w:ascii="Arial" w:hAnsi="Arial"/>
      <w:spacing w:val="-12"/>
      <w:szCs w:val="20"/>
    </w:rPr>
  </w:style>
  <w:style w:type="paragraph" w:customStyle="1" w:styleId="4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4">
    <w:name w:val="WPSOffice手动目录 1"/>
    <w:qFormat/>
    <w:uiPriority w:val="0"/>
    <w:rPr>
      <w:rFonts w:ascii="Times New Roman" w:hAnsi="Times New Roman" w:eastAsia="宋体" w:cs="Times New Roman"/>
      <w:lang w:val="en-US" w:eastAsia="zh-CN" w:bidi="ar-SA"/>
    </w:rPr>
  </w:style>
  <w:style w:type="paragraph" w:customStyle="1" w:styleId="4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8">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0">
    <w:name w:val="Char1 Char Char Char Char Char Char Char Char"/>
    <w:basedOn w:val="1"/>
    <w:qFormat/>
    <w:uiPriority w:val="0"/>
  </w:style>
  <w:style w:type="paragraph" w:customStyle="1" w:styleId="42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标题5"/>
    <w:basedOn w:val="1"/>
    <w:qFormat/>
    <w:uiPriority w:val="0"/>
    <w:pPr>
      <w:spacing w:before="120" w:after="120"/>
    </w:pPr>
    <w:rPr>
      <w:rFonts w:ascii="宋体"/>
      <w:b/>
      <w:sz w:val="28"/>
    </w:rPr>
  </w:style>
  <w:style w:type="paragraph" w:customStyle="1" w:styleId="42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5">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7">
    <w:name w:val="Char4"/>
    <w:basedOn w:val="1"/>
    <w:qFormat/>
    <w:uiPriority w:val="0"/>
    <w:pPr>
      <w:ind w:left="980" w:hanging="420"/>
    </w:pPr>
    <w:rPr>
      <w:sz w:val="24"/>
    </w:rPr>
  </w:style>
  <w:style w:type="paragraph" w:customStyle="1" w:styleId="428">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30">
    <w:name w:val="样式 首行缩进:  0.85 厘米"/>
    <w:basedOn w:val="1"/>
    <w:qFormat/>
    <w:uiPriority w:val="0"/>
    <w:pPr>
      <w:ind w:firstLine="480" w:firstLineChars="200"/>
    </w:pPr>
    <w:rPr>
      <w:rFonts w:cs="宋体"/>
      <w:szCs w:val="20"/>
    </w:rPr>
  </w:style>
  <w:style w:type="paragraph" w:customStyle="1" w:styleId="43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3">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4">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5">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9">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6">
    <w:name w:val="列表段落 字符1"/>
    <w:link w:val="457"/>
    <w:qFormat/>
    <w:uiPriority w:val="34"/>
    <w:rPr>
      <w:kern w:val="2"/>
      <w:sz w:val="21"/>
      <w:szCs w:val="24"/>
    </w:rPr>
  </w:style>
  <w:style w:type="paragraph" w:styleId="457">
    <w:name w:val="List Paragraph"/>
    <w:basedOn w:val="1"/>
    <w:link w:val="456"/>
    <w:qFormat/>
    <w:uiPriority w:val="34"/>
    <w:pPr>
      <w:ind w:firstLine="420" w:firstLineChars="200"/>
    </w:pPr>
  </w:style>
  <w:style w:type="paragraph" w:customStyle="1" w:styleId="458">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评价"/>
    <w:basedOn w:val="1"/>
    <w:qFormat/>
    <w:uiPriority w:val="0"/>
    <w:pPr>
      <w:spacing w:afterLines="20"/>
      <w:ind w:firstLine="1446" w:firstLineChars="200"/>
    </w:pPr>
    <w:rPr>
      <w:rFonts w:ascii="Calibri" w:hAnsi="Calibri"/>
      <w:sz w:val="24"/>
    </w:rPr>
  </w:style>
  <w:style w:type="character" w:customStyle="1" w:styleId="460">
    <w:name w:val="正文文本 3 字符"/>
    <w:basedOn w:val="53"/>
    <w:link w:val="20"/>
    <w:qFormat/>
    <w:uiPriority w:val="0"/>
    <w:rPr>
      <w:kern w:val="2"/>
      <w:sz w:val="16"/>
      <w:szCs w:val="16"/>
    </w:rPr>
  </w:style>
  <w:style w:type="character" w:customStyle="1" w:styleId="461">
    <w:name w:val="content"/>
    <w:basedOn w:val="53"/>
    <w:qFormat/>
    <w:uiPriority w:val="0"/>
  </w:style>
  <w:style w:type="character" w:customStyle="1" w:styleId="462">
    <w:name w:val="ca-3"/>
    <w:basedOn w:val="53"/>
    <w:qFormat/>
    <w:uiPriority w:val="0"/>
  </w:style>
  <w:style w:type="character" w:customStyle="1" w:styleId="463">
    <w:name w:val="textcontents1"/>
    <w:qFormat/>
    <w:uiPriority w:val="0"/>
    <w:rPr>
      <w:rFonts w:hint="default" w:ascii="ˎ̥" w:hAnsi="ˎ̥"/>
      <w:sz w:val="21"/>
      <w:szCs w:val="21"/>
    </w:rPr>
  </w:style>
  <w:style w:type="character" w:customStyle="1" w:styleId="464">
    <w:name w:val="脚注文本 Char1"/>
    <w:qFormat/>
    <w:uiPriority w:val="0"/>
    <w:rPr>
      <w:kern w:val="2"/>
      <w:sz w:val="18"/>
      <w:szCs w:val="18"/>
    </w:rPr>
  </w:style>
  <w:style w:type="character" w:customStyle="1" w:styleId="465">
    <w:name w:val="脚注文本 字符"/>
    <w:link w:val="40"/>
    <w:qFormat/>
    <w:uiPriority w:val="0"/>
    <w:rPr>
      <w:kern w:val="2"/>
      <w:sz w:val="18"/>
      <w:szCs w:val="18"/>
    </w:rPr>
  </w:style>
  <w:style w:type="character" w:customStyle="1" w:styleId="466">
    <w:name w:val="正文首行缩进（绿盟科技） Char"/>
    <w:link w:val="467"/>
    <w:qFormat/>
    <w:uiPriority w:val="0"/>
    <w:rPr>
      <w:rFonts w:ascii="Arial" w:hAnsi="Arial"/>
      <w:szCs w:val="21"/>
    </w:rPr>
  </w:style>
  <w:style w:type="paragraph" w:customStyle="1" w:styleId="467">
    <w:name w:val="正文首行缩进（绿盟科技）"/>
    <w:basedOn w:val="1"/>
    <w:link w:val="466"/>
    <w:qFormat/>
    <w:uiPriority w:val="0"/>
    <w:pPr>
      <w:widowControl/>
      <w:spacing w:after="50" w:line="300" w:lineRule="auto"/>
      <w:ind w:firstLine="200" w:firstLineChars="200"/>
      <w:jc w:val="left"/>
    </w:pPr>
    <w:rPr>
      <w:rFonts w:ascii="Arial" w:hAnsi="Arial"/>
      <w:kern w:val="0"/>
      <w:sz w:val="20"/>
      <w:szCs w:val="21"/>
    </w:rPr>
  </w:style>
  <w:style w:type="character" w:customStyle="1" w:styleId="468">
    <w:name w:val="c lh15"/>
    <w:basedOn w:val="53"/>
    <w:qFormat/>
    <w:uiPriority w:val="0"/>
  </w:style>
  <w:style w:type="character" w:customStyle="1" w:styleId="469">
    <w:name w:val="Char Char21"/>
    <w:qFormat/>
    <w:uiPriority w:val="0"/>
    <w:rPr>
      <w:b/>
      <w:bCs/>
      <w:kern w:val="2"/>
      <w:sz w:val="32"/>
      <w:szCs w:val="32"/>
    </w:rPr>
  </w:style>
  <w:style w:type="character" w:customStyle="1" w:styleId="470">
    <w:name w:val="content1"/>
    <w:qFormat/>
    <w:uiPriority w:val="0"/>
    <w:rPr>
      <w:rFonts w:hint="default" w:ascii="??" w:hAnsi="??"/>
      <w:sz w:val="16"/>
      <w:szCs w:val="16"/>
      <w:u w:val="none"/>
    </w:rPr>
  </w:style>
  <w:style w:type="character" w:customStyle="1" w:styleId="471">
    <w:name w:val="text21"/>
    <w:basedOn w:val="53"/>
    <w:qFormat/>
    <w:uiPriority w:val="0"/>
  </w:style>
  <w:style w:type="character" w:customStyle="1" w:styleId="472">
    <w:name w:val="apple-style-span"/>
    <w:basedOn w:val="53"/>
    <w:qFormat/>
    <w:uiPriority w:val="0"/>
  </w:style>
  <w:style w:type="paragraph" w:customStyle="1" w:styleId="473">
    <w:name w:val="缺省文本"/>
    <w:basedOn w:val="1"/>
    <w:qFormat/>
    <w:uiPriority w:val="0"/>
    <w:pPr>
      <w:autoSpaceDE w:val="0"/>
      <w:autoSpaceDN w:val="0"/>
      <w:adjustRightInd w:val="0"/>
      <w:jc w:val="left"/>
    </w:pPr>
    <w:rPr>
      <w:kern w:val="0"/>
      <w:sz w:val="24"/>
    </w:rPr>
  </w:style>
  <w:style w:type="paragraph" w:customStyle="1" w:styleId="47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5">
    <w:name w:val="1"/>
    <w:basedOn w:val="1"/>
    <w:next w:val="28"/>
    <w:qFormat/>
    <w:uiPriority w:val="0"/>
    <w:rPr>
      <w:rFonts w:ascii="宋体" w:hAnsi="Courier New"/>
      <w:szCs w:val="20"/>
    </w:rPr>
  </w:style>
  <w:style w:type="paragraph" w:customStyle="1" w:styleId="476">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7">
    <w:name w:val="Char Char Char Char Char Char Char1"/>
    <w:basedOn w:val="1"/>
    <w:qFormat/>
    <w:uiPriority w:val="0"/>
    <w:pPr>
      <w:widowControl/>
      <w:spacing w:after="160" w:line="240" w:lineRule="exact"/>
      <w:jc w:val="left"/>
    </w:pPr>
  </w:style>
  <w:style w:type="paragraph" w:customStyle="1" w:styleId="478">
    <w:name w:val="USE 1"/>
    <w:basedOn w:val="1"/>
    <w:qFormat/>
    <w:uiPriority w:val="0"/>
    <w:pPr>
      <w:spacing w:line="200" w:lineRule="atLeast"/>
      <w:jc w:val="left"/>
    </w:pPr>
    <w:rPr>
      <w:rFonts w:ascii="宋体" w:hAnsi="宋体"/>
      <w:b/>
      <w:sz w:val="24"/>
      <w:szCs w:val="28"/>
    </w:rPr>
  </w:style>
  <w:style w:type="paragraph" w:customStyle="1" w:styleId="4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2">
    <w:name w:val="_Style 54"/>
    <w:basedOn w:val="1"/>
    <w:next w:val="28"/>
    <w:qFormat/>
    <w:uiPriority w:val="0"/>
    <w:rPr>
      <w:rFonts w:ascii="宋体" w:hAnsi="Courier New"/>
      <w:szCs w:val="20"/>
    </w:rPr>
  </w:style>
  <w:style w:type="character" w:customStyle="1" w:styleId="483">
    <w:name w:val="脚注文本 Char2"/>
    <w:basedOn w:val="53"/>
    <w:semiHidden/>
    <w:qFormat/>
    <w:uiPriority w:val="0"/>
    <w:rPr>
      <w:kern w:val="2"/>
      <w:sz w:val="18"/>
      <w:szCs w:val="18"/>
    </w:rPr>
  </w:style>
  <w:style w:type="paragraph" w:customStyle="1" w:styleId="484">
    <w:name w:val="_Style 56"/>
    <w:basedOn w:val="1"/>
    <w:next w:val="28"/>
    <w:qFormat/>
    <w:uiPriority w:val="0"/>
    <w:rPr>
      <w:rFonts w:ascii="宋体" w:hAnsi="Courier New"/>
      <w:szCs w:val="20"/>
    </w:rPr>
  </w:style>
  <w:style w:type="paragraph" w:customStyle="1" w:styleId="485">
    <w:name w:val="Char Char Char Char2"/>
    <w:basedOn w:val="1"/>
    <w:qFormat/>
    <w:uiPriority w:val="0"/>
    <w:pPr>
      <w:widowControl/>
      <w:spacing w:after="160" w:line="240" w:lineRule="exact"/>
      <w:jc w:val="center"/>
    </w:pPr>
  </w:style>
  <w:style w:type="paragraph" w:customStyle="1" w:styleId="486">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9">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90">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1">
    <w:name w:val="Char2 Char Char Char Char Char Char"/>
    <w:basedOn w:val="1"/>
    <w:qFormat/>
    <w:uiPriority w:val="0"/>
    <w:pPr>
      <w:widowControl/>
      <w:spacing w:after="160" w:line="240" w:lineRule="exact"/>
      <w:jc w:val="left"/>
    </w:pPr>
  </w:style>
  <w:style w:type="paragraph" w:customStyle="1" w:styleId="492">
    <w:name w:val="_Style 50"/>
    <w:basedOn w:val="1"/>
    <w:next w:val="31"/>
    <w:qFormat/>
    <w:uiPriority w:val="0"/>
    <w:pPr>
      <w:adjustRightInd w:val="0"/>
      <w:snapToGrid w:val="0"/>
      <w:spacing w:line="300" w:lineRule="auto"/>
      <w:ind w:firstLine="630" w:firstLineChars="300"/>
    </w:pPr>
    <w:rPr>
      <w:snapToGrid w:val="0"/>
      <w:kern w:val="0"/>
    </w:rPr>
  </w:style>
  <w:style w:type="paragraph" w:customStyle="1" w:styleId="493">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6">
    <w:name w:val="5"/>
    <w:basedOn w:val="1"/>
    <w:next w:val="28"/>
    <w:qFormat/>
    <w:uiPriority w:val="0"/>
    <w:rPr>
      <w:rFonts w:ascii="宋体" w:hAnsi="Courier New"/>
      <w:szCs w:val="20"/>
    </w:rPr>
  </w:style>
  <w:style w:type="paragraph" w:customStyle="1" w:styleId="497">
    <w:name w:val="Char Char Char"/>
    <w:basedOn w:val="1"/>
    <w:qFormat/>
    <w:uiPriority w:val="0"/>
    <w:rPr>
      <w:szCs w:val="20"/>
    </w:rPr>
  </w:style>
  <w:style w:type="paragraph" w:customStyle="1" w:styleId="498">
    <w:name w:val="Char2"/>
    <w:basedOn w:val="1"/>
    <w:qFormat/>
    <w:uiPriority w:val="0"/>
    <w:rPr>
      <w:rFonts w:ascii="Tahoma" w:hAnsi="Tahoma"/>
      <w:sz w:val="24"/>
      <w:szCs w:val="20"/>
    </w:rPr>
  </w:style>
  <w:style w:type="paragraph" w:customStyle="1" w:styleId="49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2">
    <w:name w:val="6"/>
    <w:basedOn w:val="1"/>
    <w:next w:val="28"/>
    <w:qFormat/>
    <w:uiPriority w:val="0"/>
    <w:rPr>
      <w:rFonts w:ascii="宋体" w:hAnsi="Courier New"/>
      <w:szCs w:val="20"/>
    </w:rPr>
  </w:style>
  <w:style w:type="paragraph" w:customStyle="1" w:styleId="503">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4">
    <w:name w:val="7"/>
    <w:basedOn w:val="1"/>
    <w:next w:val="31"/>
    <w:qFormat/>
    <w:uiPriority w:val="0"/>
    <w:pPr>
      <w:adjustRightInd w:val="0"/>
      <w:snapToGrid w:val="0"/>
      <w:spacing w:line="300" w:lineRule="auto"/>
      <w:ind w:firstLine="630" w:firstLineChars="300"/>
    </w:pPr>
    <w:rPr>
      <w:snapToGrid w:val="0"/>
      <w:kern w:val="0"/>
    </w:rPr>
  </w:style>
  <w:style w:type="paragraph" w:customStyle="1" w:styleId="50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7">
    <w:name w:val="纯文本 Char2"/>
    <w:qFormat/>
    <w:uiPriority w:val="99"/>
    <w:rPr>
      <w:rFonts w:ascii="宋体" w:hAnsi="Courier New"/>
      <w:kern w:val="2"/>
      <w:sz w:val="21"/>
    </w:rPr>
  </w:style>
  <w:style w:type="paragraph" w:customStyle="1" w:styleId="508">
    <w:name w:val="Table Text"/>
    <w:basedOn w:val="1"/>
    <w:semiHidden/>
    <w:qFormat/>
    <w:uiPriority w:val="0"/>
    <w:rPr>
      <w:rFonts w:ascii="微软雅黑" w:hAnsi="微软雅黑" w:eastAsia="微软雅黑" w:cs="微软雅黑"/>
      <w:sz w:val="24"/>
      <w:lang w:eastAsia="en-US"/>
    </w:rPr>
  </w:style>
  <w:style w:type="table" w:customStyle="1" w:styleId="509">
    <w:name w:val="Table Normal"/>
    <w:semiHidden/>
    <w:unhideWhenUsed/>
    <w:qFormat/>
    <w:uiPriority w:val="0"/>
    <w:tblPr>
      <w:tblCellMar>
        <w:top w:w="0" w:type="dxa"/>
        <w:left w:w="0" w:type="dxa"/>
        <w:bottom w:w="0" w:type="dxa"/>
        <w:right w:w="0" w:type="dxa"/>
      </w:tblCellMar>
    </w:tblPr>
  </w:style>
  <w:style w:type="table" w:customStyle="1" w:styleId="510">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12">
    <w:name w:val="列出段落8"/>
    <w:basedOn w:val="1"/>
    <w:qFormat/>
    <w:uiPriority w:val="34"/>
    <w:pPr>
      <w:ind w:firstLine="420" w:firstLineChars="200"/>
    </w:pPr>
  </w:style>
  <w:style w:type="character" w:customStyle="1" w:styleId="513">
    <w:name w:val="未处理的提及1"/>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110</Pages>
  <Words>18275</Words>
  <Characters>19157</Characters>
  <Lines>2778</Lines>
  <Paragraphs>2479</Paragraphs>
  <TotalTime>26</TotalTime>
  <ScaleCrop>false</ScaleCrop>
  <LinksUpToDate>false</LinksUpToDate>
  <CharactersWithSpaces>19316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2025-04-27T01:48:00Z</dcterms:created>
  <dc:creator>微软用户</dc:creator>
  <cp:lastModifiedBy>中正招标-梁工</cp:lastModifiedBy>
  <cp:lastPrinted>2020-05-26T01:03:00Z</cp:lastPrinted>
  <dcterms:modified xsi:type="dcterms:W3CDTF">2025-05-06T03:47:03Z</dcterms:modified>
  <dc:title>招标编号：UHO2010-G0029</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0A54A02743CA42E0AE5501F6BCBBA6A1_13</vt:lpwstr>
  </property>
  <property fmtid="{D5CDD505-2E9C-101B-9397-08002B2CF9AE}" pid="4" name="KSOTemplateDocerSaveRecord">
    <vt:lpwstr>eyJoZGlkIjoiNzFmODkyYTJhYTc0NDU2NmYyMGFlOTA5ZWRiNzRhY2IiLCJ1c2VySWQiOiIxNTIxNDE1MzI1In0=</vt:lpwstr>
  </property>
</Properties>
</file>