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071F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sz w:val="36"/>
          <w:szCs w:val="36"/>
        </w:rPr>
      </w:pPr>
      <w:r>
        <w:rPr>
          <w:rFonts w:hint="eastAsia" w:ascii="宋体" w:hAnsi="宋体" w:eastAsia="宋体" w:cs="宋体"/>
          <w:b/>
          <w:sz w:val="36"/>
          <w:szCs w:val="36"/>
        </w:rPr>
        <w:t>项目需求</w:t>
      </w:r>
    </w:p>
    <w:p w14:paraId="5BE53BA8">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rPr>
        <w:t>一、项目清单</w:t>
      </w:r>
    </w:p>
    <w:tbl>
      <w:tblPr>
        <w:tblStyle w:val="18"/>
        <w:tblW w:w="8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3532"/>
        <w:gridCol w:w="683"/>
        <w:gridCol w:w="857"/>
        <w:gridCol w:w="2182"/>
        <w:gridCol w:w="890"/>
      </w:tblGrid>
      <w:tr w14:paraId="1204D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3" w:type="dxa"/>
            <w:noWrap w:val="0"/>
            <w:vAlign w:val="center"/>
          </w:tcPr>
          <w:p w14:paraId="594EE763">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序号</w:t>
            </w:r>
          </w:p>
        </w:tc>
        <w:tc>
          <w:tcPr>
            <w:tcW w:w="3532" w:type="dxa"/>
            <w:noWrap w:val="0"/>
            <w:vAlign w:val="center"/>
          </w:tcPr>
          <w:p w14:paraId="5C48956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服务内容</w:t>
            </w:r>
          </w:p>
        </w:tc>
        <w:tc>
          <w:tcPr>
            <w:tcW w:w="683" w:type="dxa"/>
            <w:noWrap w:val="0"/>
            <w:vAlign w:val="center"/>
          </w:tcPr>
          <w:p w14:paraId="665FF04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单位</w:t>
            </w:r>
          </w:p>
        </w:tc>
        <w:tc>
          <w:tcPr>
            <w:tcW w:w="857" w:type="dxa"/>
            <w:noWrap w:val="0"/>
            <w:vAlign w:val="center"/>
          </w:tcPr>
          <w:p w14:paraId="186D285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数量</w:t>
            </w:r>
          </w:p>
        </w:tc>
        <w:tc>
          <w:tcPr>
            <w:tcW w:w="2182" w:type="dxa"/>
            <w:noWrap w:val="0"/>
            <w:vAlign w:val="center"/>
          </w:tcPr>
          <w:p w14:paraId="58739109">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财政预算金额（元）</w:t>
            </w:r>
          </w:p>
        </w:tc>
        <w:tc>
          <w:tcPr>
            <w:tcW w:w="890" w:type="dxa"/>
            <w:noWrap w:val="0"/>
            <w:vAlign w:val="center"/>
          </w:tcPr>
          <w:p w14:paraId="651E443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
                <w:sz w:val="22"/>
              </w:rPr>
            </w:pPr>
            <w:r>
              <w:rPr>
                <w:rFonts w:hint="eastAsia" w:ascii="宋体" w:hAnsi="宋体" w:eastAsia="宋体" w:cs="宋体"/>
                <w:b/>
                <w:sz w:val="22"/>
              </w:rPr>
              <w:t>备注</w:t>
            </w:r>
          </w:p>
        </w:tc>
      </w:tr>
      <w:tr w14:paraId="6A84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23" w:type="dxa"/>
            <w:noWrap w:val="0"/>
            <w:vAlign w:val="center"/>
          </w:tcPr>
          <w:p w14:paraId="3143CD8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1</w:t>
            </w:r>
          </w:p>
        </w:tc>
        <w:tc>
          <w:tcPr>
            <w:tcW w:w="3532" w:type="dxa"/>
            <w:noWrap w:val="0"/>
            <w:vAlign w:val="center"/>
          </w:tcPr>
          <w:p w14:paraId="2343C32E">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深圳市第三人民医院</w:t>
            </w:r>
            <w:r>
              <w:rPr>
                <w:rFonts w:hint="eastAsia" w:ascii="宋体" w:hAnsi="宋体" w:eastAsia="宋体" w:cs="宋体"/>
                <w:sz w:val="21"/>
                <w:szCs w:val="21"/>
                <w:lang w:eastAsia="zh-CN"/>
              </w:rPr>
              <w:t>信息安全等级保护测评</w:t>
            </w:r>
          </w:p>
        </w:tc>
        <w:tc>
          <w:tcPr>
            <w:tcW w:w="683" w:type="dxa"/>
            <w:noWrap w:val="0"/>
            <w:vAlign w:val="center"/>
          </w:tcPr>
          <w:p w14:paraId="3041CEBB">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1</w:t>
            </w:r>
          </w:p>
        </w:tc>
        <w:tc>
          <w:tcPr>
            <w:tcW w:w="857" w:type="dxa"/>
            <w:noWrap w:val="0"/>
            <w:vAlign w:val="center"/>
          </w:tcPr>
          <w:p w14:paraId="1FCE30B2">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bCs/>
                <w:sz w:val="21"/>
                <w:szCs w:val="21"/>
              </w:rPr>
              <w:t>项</w:t>
            </w:r>
          </w:p>
        </w:tc>
        <w:tc>
          <w:tcPr>
            <w:tcW w:w="2182" w:type="dxa"/>
            <w:noWrap w:val="0"/>
            <w:vAlign w:val="center"/>
          </w:tcPr>
          <w:p w14:paraId="434D57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5</w:t>
            </w:r>
            <w:r>
              <w:rPr>
                <w:rFonts w:hint="eastAsia" w:ascii="宋体" w:hAnsi="宋体" w:eastAsia="宋体" w:cs="宋体"/>
                <w:sz w:val="21"/>
                <w:szCs w:val="21"/>
              </w:rPr>
              <w:t>0</w:t>
            </w:r>
            <w:r>
              <w:rPr>
                <w:rFonts w:hint="eastAsia" w:ascii="宋体" w:hAnsi="宋体" w:eastAsia="宋体" w:cs="宋体"/>
                <w:sz w:val="21"/>
                <w:szCs w:val="21"/>
                <w:lang w:val="en-US" w:eastAsia="zh-CN"/>
              </w:rPr>
              <w:t>,</w:t>
            </w:r>
            <w:r>
              <w:rPr>
                <w:rFonts w:hint="eastAsia" w:ascii="宋体" w:hAnsi="宋体" w:eastAsia="宋体" w:cs="宋体"/>
                <w:sz w:val="21"/>
                <w:szCs w:val="21"/>
              </w:rPr>
              <w:t>000.00</w:t>
            </w:r>
          </w:p>
        </w:tc>
        <w:tc>
          <w:tcPr>
            <w:tcW w:w="890" w:type="dxa"/>
            <w:noWrap w:val="0"/>
            <w:vAlign w:val="center"/>
          </w:tcPr>
          <w:p w14:paraId="18CCE016">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kern w:val="0"/>
                <w:sz w:val="21"/>
                <w:szCs w:val="21"/>
              </w:rPr>
            </w:pPr>
          </w:p>
        </w:tc>
      </w:tr>
    </w:tbl>
    <w:p w14:paraId="22509316">
      <w:pPr>
        <w:keepNext w:val="0"/>
        <w:keepLines w:val="0"/>
        <w:pageBreakBefore w:val="0"/>
        <w:widowControl w:val="0"/>
        <w:tabs>
          <w:tab w:val="left" w:pos="420"/>
        </w:tabs>
        <w:kinsoku/>
        <w:wordWrap/>
        <w:overflowPunct/>
        <w:topLinePunct w:val="0"/>
        <w:autoSpaceDE/>
        <w:autoSpaceDN/>
        <w:bidi w:val="0"/>
        <w:adjustRightInd/>
        <w:snapToGrid/>
        <w:spacing w:line="360" w:lineRule="auto"/>
        <w:ind w:left="0"/>
        <w:textAlignment w:val="auto"/>
        <w:rPr>
          <w:rFonts w:hint="eastAsia" w:ascii="宋体" w:hAnsi="宋体" w:eastAsia="宋体" w:cs="宋体"/>
          <w:b/>
          <w:bCs/>
          <w:sz w:val="22"/>
          <w:szCs w:val="22"/>
        </w:rPr>
      </w:pPr>
      <w:r>
        <w:rPr>
          <w:rFonts w:hint="eastAsia" w:ascii="宋体" w:hAnsi="宋体" w:eastAsia="宋体" w:cs="宋体"/>
          <w:b/>
          <w:bCs/>
          <w:sz w:val="22"/>
        </w:rPr>
        <w:t>注：</w:t>
      </w:r>
      <w:r>
        <w:rPr>
          <w:rFonts w:hint="eastAsia" w:ascii="宋体" w:hAnsi="宋体" w:eastAsia="宋体" w:cs="宋体"/>
          <w:b/>
          <w:bCs/>
          <w:sz w:val="22"/>
          <w:szCs w:val="22"/>
        </w:rPr>
        <w:t>超出财政预算限额的投标报价将不被接受。</w:t>
      </w:r>
    </w:p>
    <w:p w14:paraId="6FCB4A35">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61CCD5BF">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二、采购清单</w:t>
      </w:r>
    </w:p>
    <w:tbl>
      <w:tblPr>
        <w:tblStyle w:val="19"/>
        <w:tblW w:w="86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440"/>
        <w:gridCol w:w="1992"/>
        <w:gridCol w:w="1240"/>
        <w:gridCol w:w="2540"/>
      </w:tblGrid>
      <w:tr w14:paraId="62A1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34BF50B7">
            <w:pPr>
              <w:pStyle w:val="7"/>
              <w:keepNext w:val="0"/>
              <w:keepLines w:val="0"/>
              <w:pageBreakBefore w:val="0"/>
              <w:kinsoku/>
              <w:wordWrap/>
              <w:overflowPunct/>
              <w:topLinePunct w:val="0"/>
              <w:autoSpaceDE/>
              <w:autoSpaceDN/>
              <w:bidi w:val="0"/>
              <w:spacing w:after="0" w:line="360" w:lineRule="auto"/>
              <w:ind w:left="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序号</w:t>
            </w:r>
          </w:p>
        </w:tc>
        <w:tc>
          <w:tcPr>
            <w:tcW w:w="1440" w:type="dxa"/>
            <w:noWrap w:val="0"/>
            <w:vAlign w:val="top"/>
          </w:tcPr>
          <w:p w14:paraId="0939122F">
            <w:pPr>
              <w:keepNext w:val="0"/>
              <w:keepLines w:val="0"/>
              <w:pageBreakBefore w:val="0"/>
              <w:kinsoku/>
              <w:wordWrap/>
              <w:overflowPunct/>
              <w:topLinePunct w:val="0"/>
              <w:autoSpaceDE/>
              <w:autoSpaceDN/>
              <w:bidi w:val="0"/>
              <w:spacing w:line="360" w:lineRule="auto"/>
              <w:ind w:left="0" w:firstLine="210" w:firstLineChars="10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内容</w:t>
            </w:r>
          </w:p>
        </w:tc>
        <w:tc>
          <w:tcPr>
            <w:tcW w:w="1992" w:type="dxa"/>
            <w:noWrap w:val="0"/>
            <w:vAlign w:val="top"/>
          </w:tcPr>
          <w:p w14:paraId="45CE1C38">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预计数量</w:t>
            </w:r>
          </w:p>
        </w:tc>
        <w:tc>
          <w:tcPr>
            <w:tcW w:w="1240" w:type="dxa"/>
            <w:noWrap w:val="0"/>
            <w:vAlign w:val="center"/>
          </w:tcPr>
          <w:p w14:paraId="2ACE38E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1"/>
                <w:szCs w:val="21"/>
                <w:vertAlign w:val="baseline"/>
              </w:rPr>
            </w:pPr>
            <w:r>
              <w:rPr>
                <w:rFonts w:hint="eastAsia" w:ascii="宋体" w:hAnsi="宋体" w:eastAsia="宋体" w:cs="宋体"/>
                <w:bCs/>
                <w:sz w:val="21"/>
                <w:szCs w:val="21"/>
              </w:rPr>
              <w:t>单位</w:t>
            </w:r>
          </w:p>
        </w:tc>
        <w:tc>
          <w:tcPr>
            <w:tcW w:w="2540" w:type="dxa"/>
            <w:noWrap w:val="0"/>
            <w:vAlign w:val="center"/>
          </w:tcPr>
          <w:p w14:paraId="1AB815F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1"/>
                <w:szCs w:val="21"/>
                <w:vertAlign w:val="baseline"/>
              </w:rPr>
            </w:pPr>
            <w:r>
              <w:rPr>
                <w:rFonts w:hint="eastAsia" w:ascii="宋体" w:hAnsi="宋体" w:eastAsia="宋体" w:cs="宋体"/>
                <w:bCs/>
                <w:sz w:val="21"/>
                <w:szCs w:val="21"/>
                <w:lang w:val="en-US" w:eastAsia="zh-CN"/>
              </w:rPr>
              <w:t>单价</w:t>
            </w:r>
            <w:r>
              <w:rPr>
                <w:rFonts w:hint="eastAsia" w:ascii="宋体" w:hAnsi="宋体" w:eastAsia="宋体" w:cs="宋体"/>
                <w:bCs/>
                <w:sz w:val="21"/>
                <w:szCs w:val="21"/>
              </w:rPr>
              <w:t>预算限额（元</w:t>
            </w:r>
            <w:r>
              <w:rPr>
                <w:rFonts w:hint="eastAsia" w:ascii="宋体" w:hAnsi="宋体" w:eastAsia="宋体" w:cs="宋体"/>
                <w:bCs/>
                <w:sz w:val="21"/>
                <w:szCs w:val="21"/>
                <w:lang w:val="en-US" w:eastAsia="zh-CN"/>
              </w:rPr>
              <w:t>/个</w:t>
            </w:r>
            <w:r>
              <w:rPr>
                <w:rFonts w:hint="eastAsia" w:ascii="宋体" w:hAnsi="宋体" w:eastAsia="宋体" w:cs="宋体"/>
                <w:bCs/>
                <w:sz w:val="21"/>
                <w:szCs w:val="21"/>
              </w:rPr>
              <w:t>）</w:t>
            </w:r>
          </w:p>
        </w:tc>
      </w:tr>
      <w:tr w14:paraId="6FA8E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128B985A">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1</w:t>
            </w:r>
          </w:p>
        </w:tc>
        <w:tc>
          <w:tcPr>
            <w:tcW w:w="1440" w:type="dxa"/>
            <w:noWrap w:val="0"/>
            <w:vAlign w:val="top"/>
          </w:tcPr>
          <w:p w14:paraId="2C12538D">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三级系统</w:t>
            </w:r>
          </w:p>
        </w:tc>
        <w:tc>
          <w:tcPr>
            <w:tcW w:w="1992" w:type="dxa"/>
            <w:vMerge w:val="restart"/>
            <w:noWrap w:val="0"/>
            <w:vAlign w:val="top"/>
          </w:tcPr>
          <w:p w14:paraId="5108C192">
            <w:pPr>
              <w:keepNext w:val="0"/>
              <w:keepLines w:val="0"/>
              <w:pageBreakBefore w:val="0"/>
              <w:kinsoku/>
              <w:wordWrap/>
              <w:overflowPunct/>
              <w:topLinePunct w:val="0"/>
              <w:autoSpaceDE/>
              <w:autoSpaceDN/>
              <w:bidi w:val="0"/>
              <w:spacing w:line="360" w:lineRule="auto"/>
              <w:ind w:left="0"/>
              <w:jc w:val="both"/>
              <w:textAlignment w:val="auto"/>
              <w:rPr>
                <w:rFonts w:hint="eastAsia" w:ascii="宋体" w:hAnsi="宋体" w:eastAsia="宋体" w:cs="宋体"/>
                <w:color w:val="000000"/>
                <w:sz w:val="21"/>
                <w:szCs w:val="21"/>
                <w:vertAlign w:val="baseline"/>
              </w:rPr>
            </w:pPr>
            <w:r>
              <w:rPr>
                <w:rFonts w:hint="eastAsia" w:ascii="宋体" w:hAnsi="宋体" w:eastAsia="宋体" w:cs="宋体"/>
                <w:bCs/>
                <w:sz w:val="21"/>
                <w:szCs w:val="21"/>
                <w:lang w:val="en-US" w:eastAsia="zh-CN"/>
              </w:rPr>
              <w:t>按实际发生量为准</w:t>
            </w:r>
          </w:p>
        </w:tc>
        <w:tc>
          <w:tcPr>
            <w:tcW w:w="1240" w:type="dxa"/>
            <w:noWrap w:val="0"/>
            <w:vAlign w:val="center"/>
          </w:tcPr>
          <w:p w14:paraId="08B847F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bCs/>
                <w:sz w:val="21"/>
                <w:szCs w:val="21"/>
                <w:lang w:eastAsia="zh-CN"/>
              </w:rPr>
              <w:t>个</w:t>
            </w:r>
          </w:p>
        </w:tc>
        <w:tc>
          <w:tcPr>
            <w:tcW w:w="2540" w:type="dxa"/>
            <w:noWrap w:val="0"/>
            <w:vAlign w:val="center"/>
          </w:tcPr>
          <w:p w14:paraId="0E0044D5">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1"/>
                <w:szCs w:val="21"/>
                <w:vertAlign w:val="baseline"/>
              </w:rPr>
            </w:pPr>
            <w:r>
              <w:rPr>
                <w:rFonts w:hint="eastAsia" w:ascii="宋体" w:hAnsi="宋体" w:eastAsia="宋体" w:cs="宋体"/>
                <w:bCs/>
                <w:sz w:val="21"/>
                <w:szCs w:val="21"/>
                <w:lang w:val="en-US" w:eastAsia="zh-CN"/>
              </w:rPr>
              <w:t>51000.00</w:t>
            </w:r>
          </w:p>
        </w:tc>
      </w:tr>
      <w:tr w14:paraId="7586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noWrap w:val="0"/>
            <w:vAlign w:val="top"/>
          </w:tcPr>
          <w:p w14:paraId="33D24A7E">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2</w:t>
            </w:r>
          </w:p>
        </w:tc>
        <w:tc>
          <w:tcPr>
            <w:tcW w:w="1440" w:type="dxa"/>
            <w:noWrap w:val="0"/>
            <w:vAlign w:val="top"/>
          </w:tcPr>
          <w:p w14:paraId="33DCC78F">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二级系统</w:t>
            </w:r>
          </w:p>
        </w:tc>
        <w:tc>
          <w:tcPr>
            <w:tcW w:w="1992" w:type="dxa"/>
            <w:vMerge w:val="continue"/>
            <w:noWrap w:val="0"/>
            <w:vAlign w:val="top"/>
          </w:tcPr>
          <w:p w14:paraId="2262C24C">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color w:val="000000"/>
                <w:sz w:val="21"/>
                <w:szCs w:val="21"/>
                <w:vertAlign w:val="baseline"/>
              </w:rPr>
            </w:pPr>
          </w:p>
        </w:tc>
        <w:tc>
          <w:tcPr>
            <w:tcW w:w="1240" w:type="dxa"/>
            <w:noWrap w:val="0"/>
            <w:vAlign w:val="center"/>
          </w:tcPr>
          <w:p w14:paraId="194DE65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1"/>
                <w:szCs w:val="21"/>
                <w:vertAlign w:val="baseline"/>
                <w:lang w:eastAsia="zh-CN"/>
              </w:rPr>
            </w:pPr>
            <w:r>
              <w:rPr>
                <w:rFonts w:hint="eastAsia" w:ascii="宋体" w:hAnsi="宋体" w:eastAsia="宋体" w:cs="宋体"/>
                <w:bCs/>
                <w:sz w:val="21"/>
                <w:szCs w:val="21"/>
                <w:lang w:eastAsia="zh-CN"/>
              </w:rPr>
              <w:t>个</w:t>
            </w:r>
          </w:p>
        </w:tc>
        <w:tc>
          <w:tcPr>
            <w:tcW w:w="2540" w:type="dxa"/>
            <w:noWrap w:val="0"/>
            <w:vAlign w:val="center"/>
          </w:tcPr>
          <w:p w14:paraId="19E3C71C">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color w:val="000000"/>
                <w:sz w:val="21"/>
                <w:szCs w:val="21"/>
                <w:vertAlign w:val="baseline"/>
              </w:rPr>
            </w:pPr>
            <w:r>
              <w:rPr>
                <w:rFonts w:hint="eastAsia" w:ascii="宋体" w:hAnsi="宋体" w:eastAsia="宋体" w:cs="宋体"/>
                <w:bCs/>
                <w:sz w:val="21"/>
                <w:szCs w:val="21"/>
                <w:lang w:val="en-US" w:eastAsia="zh-CN"/>
              </w:rPr>
              <w:t>31000.00</w:t>
            </w:r>
          </w:p>
        </w:tc>
      </w:tr>
      <w:tr w14:paraId="64B4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2" w:type="dxa"/>
            <w:gridSpan w:val="5"/>
            <w:noWrap w:val="0"/>
            <w:vAlign w:val="top"/>
          </w:tcPr>
          <w:p w14:paraId="573C3EDA">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highlight w:val="none"/>
                <w:lang w:val="en-US" w:eastAsia="zh-CN"/>
              </w:rPr>
              <w:t>备注：按照《中华人民共和国网络安全法》、《信息安全等级保护条例》等相关要求，每年应对等级保护三级系统完成测评。采购人拟执行2025年度网络安全等级保护测评预算，对采购人信息系统进行等级保护测评，预算为35万元(三级系统测评价格约5.1万/个，二级系统约3.1万/个)，后续如需新增其他系统需测评，可参考本次成交单价进行签约。</w:t>
            </w:r>
          </w:p>
        </w:tc>
      </w:tr>
    </w:tbl>
    <w:p w14:paraId="69EA55AE">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lang w:val="en-US" w:eastAsia="zh-CN"/>
        </w:rPr>
      </w:pPr>
    </w:p>
    <w:p w14:paraId="5EBF993B">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三</w:t>
      </w:r>
      <w:r>
        <w:rPr>
          <w:rFonts w:hint="eastAsia" w:ascii="宋体" w:hAnsi="宋体" w:eastAsia="宋体" w:cs="宋体"/>
          <w:b/>
          <w:sz w:val="28"/>
          <w:szCs w:val="28"/>
        </w:rPr>
        <w:t>、具体技术要求</w:t>
      </w:r>
    </w:p>
    <w:p w14:paraId="7922F353">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2"/>
          <w:sz w:val="21"/>
          <w:szCs w:val="21"/>
          <w:lang w:val="en-US" w:eastAsia="zh-CN" w:bidi="ar-SA"/>
        </w:rPr>
        <w:t>一、</w:t>
      </w:r>
      <w:r>
        <w:rPr>
          <w:rFonts w:hint="eastAsia" w:ascii="宋体" w:hAnsi="宋体" w:eastAsia="宋体" w:cs="宋体"/>
          <w:b/>
          <w:bCs/>
          <w:color w:val="auto"/>
          <w:sz w:val="21"/>
          <w:szCs w:val="21"/>
          <w:lang w:val="en-US" w:eastAsia="zh-CN"/>
        </w:rPr>
        <w:t>服务内容</w:t>
      </w:r>
    </w:p>
    <w:tbl>
      <w:tblPr>
        <w:tblStyle w:val="18"/>
        <w:tblW w:w="8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4"/>
        <w:gridCol w:w="3328"/>
        <w:gridCol w:w="2161"/>
        <w:gridCol w:w="2161"/>
      </w:tblGrid>
      <w:tr w14:paraId="4963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top"/>
          </w:tcPr>
          <w:p w14:paraId="5A532B6C">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Cs/>
                <w:color w:val="auto"/>
                <w:sz w:val="21"/>
                <w:szCs w:val="21"/>
              </w:rPr>
              <w:t>序号</w:t>
            </w:r>
          </w:p>
        </w:tc>
        <w:tc>
          <w:tcPr>
            <w:tcW w:w="3328" w:type="dxa"/>
            <w:noWrap w:val="0"/>
            <w:vAlign w:val="top"/>
          </w:tcPr>
          <w:p w14:paraId="52C88027">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Cs/>
                <w:color w:val="auto"/>
                <w:sz w:val="21"/>
                <w:szCs w:val="21"/>
              </w:rPr>
              <w:t>服务项</w:t>
            </w:r>
          </w:p>
        </w:tc>
        <w:tc>
          <w:tcPr>
            <w:tcW w:w="2161" w:type="dxa"/>
            <w:noWrap w:val="0"/>
            <w:vAlign w:val="center"/>
          </w:tcPr>
          <w:p w14:paraId="06703C2B">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Cs/>
                <w:color w:val="auto"/>
                <w:sz w:val="21"/>
                <w:szCs w:val="21"/>
              </w:rPr>
              <w:t>数量</w:t>
            </w:r>
          </w:p>
        </w:tc>
        <w:tc>
          <w:tcPr>
            <w:tcW w:w="2161" w:type="dxa"/>
            <w:noWrap w:val="0"/>
            <w:vAlign w:val="center"/>
          </w:tcPr>
          <w:p w14:paraId="4CF138C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Cs/>
                <w:color w:val="auto"/>
                <w:sz w:val="21"/>
                <w:szCs w:val="21"/>
              </w:rPr>
              <w:t>单位</w:t>
            </w:r>
          </w:p>
        </w:tc>
      </w:tr>
      <w:tr w14:paraId="4567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dxa"/>
            <w:noWrap w:val="0"/>
            <w:vAlign w:val="top"/>
          </w:tcPr>
          <w:p w14:paraId="27A3F948">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Cs/>
                <w:color w:val="auto"/>
                <w:sz w:val="21"/>
                <w:szCs w:val="21"/>
              </w:rPr>
              <w:t>1</w:t>
            </w:r>
          </w:p>
        </w:tc>
        <w:tc>
          <w:tcPr>
            <w:tcW w:w="3328" w:type="dxa"/>
            <w:noWrap w:val="0"/>
            <w:vAlign w:val="center"/>
          </w:tcPr>
          <w:p w14:paraId="244F6B84">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highlight w:val="none"/>
                <w:lang w:eastAsia="zh-CN"/>
              </w:rPr>
              <w:t>网络安全等级保护测评服务</w:t>
            </w:r>
          </w:p>
        </w:tc>
        <w:tc>
          <w:tcPr>
            <w:tcW w:w="2161" w:type="dxa"/>
            <w:noWrap w:val="0"/>
            <w:vAlign w:val="center"/>
          </w:tcPr>
          <w:p w14:paraId="4F69760C">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Cs/>
                <w:color w:val="auto"/>
                <w:sz w:val="21"/>
                <w:szCs w:val="21"/>
              </w:rPr>
              <w:t>1</w:t>
            </w:r>
          </w:p>
        </w:tc>
        <w:tc>
          <w:tcPr>
            <w:tcW w:w="2161" w:type="dxa"/>
            <w:noWrap w:val="0"/>
            <w:vAlign w:val="center"/>
          </w:tcPr>
          <w:p w14:paraId="584AC963">
            <w:pPr>
              <w:keepNext w:val="0"/>
              <w:keepLines w:val="0"/>
              <w:pageBreakBefore w:val="0"/>
              <w:kinsoku/>
              <w:wordWrap/>
              <w:overflowPunct/>
              <w:topLinePunct w:val="0"/>
              <w:autoSpaceDE/>
              <w:autoSpaceDN/>
              <w:bidi w:val="0"/>
              <w:spacing w:line="360" w:lineRule="auto"/>
              <w:ind w:left="0"/>
              <w:jc w:val="center"/>
              <w:textAlignment w:val="auto"/>
              <w:rPr>
                <w:rFonts w:hint="eastAsia" w:ascii="宋体" w:hAnsi="宋体" w:eastAsia="宋体" w:cs="宋体"/>
                <w:b/>
                <w:bCs/>
                <w:color w:val="auto"/>
                <w:sz w:val="21"/>
                <w:szCs w:val="21"/>
              </w:rPr>
            </w:pPr>
            <w:r>
              <w:rPr>
                <w:rFonts w:hint="eastAsia" w:ascii="宋体" w:hAnsi="宋体" w:eastAsia="宋体" w:cs="宋体"/>
                <w:bCs/>
                <w:color w:val="auto"/>
                <w:sz w:val="21"/>
                <w:szCs w:val="21"/>
              </w:rPr>
              <w:t>项</w:t>
            </w:r>
          </w:p>
        </w:tc>
      </w:tr>
    </w:tbl>
    <w:p w14:paraId="28022DE4">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yellow"/>
          <w:lang w:val="en-US" w:eastAsia="zh-CN"/>
        </w:rPr>
        <w:t>★</w:t>
      </w:r>
      <w:r>
        <w:rPr>
          <w:rFonts w:hint="eastAsia" w:ascii="宋体" w:hAnsi="宋体" w:eastAsia="宋体" w:cs="宋体"/>
          <w:b/>
          <w:bCs/>
          <w:color w:val="auto"/>
          <w:kern w:val="2"/>
          <w:sz w:val="21"/>
          <w:szCs w:val="21"/>
          <w:highlight w:val="yellow"/>
          <w:lang w:val="en-US" w:eastAsia="zh-CN" w:bidi="ar-SA"/>
        </w:rPr>
        <w:t>二、</w:t>
      </w:r>
      <w:r>
        <w:rPr>
          <w:rFonts w:hint="eastAsia" w:ascii="宋体" w:hAnsi="宋体" w:eastAsia="宋体" w:cs="宋体"/>
          <w:b/>
          <w:bCs/>
          <w:color w:val="auto"/>
          <w:sz w:val="21"/>
          <w:szCs w:val="21"/>
          <w:highlight w:val="yellow"/>
          <w:lang w:val="en-US" w:eastAsia="zh-CN"/>
        </w:rPr>
        <w:t>服务内容</w:t>
      </w:r>
    </w:p>
    <w:p w14:paraId="0C663D13">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根据《网络安全法》要求，按照广东省和深圳市公安网监部门工作部署要求，对深圳市第三人民医院</w:t>
      </w:r>
      <w:r>
        <w:rPr>
          <w:rFonts w:hint="eastAsia" w:ascii="宋体" w:hAnsi="宋体" w:eastAsia="宋体" w:cs="宋体"/>
          <w:b/>
          <w:bCs/>
          <w:color w:val="auto"/>
          <w:sz w:val="21"/>
          <w:szCs w:val="21"/>
          <w:highlight w:val="yellow"/>
          <w:lang w:val="en-US" w:eastAsia="zh-CN"/>
        </w:rPr>
        <w:t>指定的测评对象</w:t>
      </w:r>
      <w:r>
        <w:rPr>
          <w:rFonts w:hint="eastAsia" w:ascii="宋体" w:hAnsi="宋体" w:eastAsia="宋体" w:cs="宋体"/>
          <w:b/>
          <w:bCs/>
          <w:color w:val="auto"/>
          <w:sz w:val="21"/>
          <w:szCs w:val="21"/>
          <w:highlight w:val="yellow"/>
        </w:rPr>
        <w:t>，落实开展202</w:t>
      </w:r>
      <w:r>
        <w:rPr>
          <w:rFonts w:hint="eastAsia" w:ascii="宋体" w:hAnsi="宋体" w:eastAsia="宋体" w:cs="宋体"/>
          <w:b/>
          <w:bCs/>
          <w:color w:val="auto"/>
          <w:sz w:val="21"/>
          <w:szCs w:val="21"/>
          <w:highlight w:val="yellow"/>
          <w:lang w:val="en-US" w:eastAsia="zh-CN"/>
        </w:rPr>
        <w:t>5</w:t>
      </w:r>
      <w:r>
        <w:rPr>
          <w:rFonts w:hint="eastAsia" w:ascii="宋体" w:hAnsi="宋体" w:eastAsia="宋体" w:cs="宋体"/>
          <w:b/>
          <w:bCs/>
          <w:color w:val="auto"/>
          <w:sz w:val="21"/>
          <w:szCs w:val="21"/>
          <w:highlight w:val="yellow"/>
        </w:rPr>
        <w:t>年度网络安全等级保护测评工作，按照等级保护国家标准规范要求进行评测，找出存在的差距和不足，提出整改修复意见和建议。</w:t>
      </w:r>
    </w:p>
    <w:p w14:paraId="4A8373A8">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lang w:val="en-US" w:eastAsia="zh-CN"/>
        </w:rPr>
        <w:t>具体要求：</w:t>
      </w:r>
    </w:p>
    <w:p w14:paraId="7A99B081">
      <w:pPr>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kern w:val="0"/>
          <w:sz w:val="21"/>
          <w:szCs w:val="21"/>
          <w:highlight w:val="yellow"/>
        </w:rPr>
        <w:t>（1）</w:t>
      </w:r>
      <w:r>
        <w:rPr>
          <w:rFonts w:hint="eastAsia" w:ascii="宋体" w:hAnsi="宋体" w:eastAsia="宋体" w:cs="宋体"/>
          <w:b/>
          <w:bCs/>
          <w:color w:val="auto"/>
          <w:sz w:val="21"/>
          <w:szCs w:val="21"/>
          <w:highlight w:val="yellow"/>
        </w:rPr>
        <w:t>网络安全等级保护定级备案</w:t>
      </w:r>
    </w:p>
    <w:p w14:paraId="280B5A64">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yellow"/>
        </w:rPr>
        <w:t>对新建信息系统，按照《信息系统安全等级保护定级指南》以及《信息安全等级保护管理办法》等文件要求，协助用户完成信息系统安全等级保护备案</w:t>
      </w:r>
      <w:r>
        <w:rPr>
          <w:rFonts w:hint="eastAsia" w:ascii="宋体" w:hAnsi="宋体" w:eastAsia="宋体" w:cs="宋体"/>
          <w:b/>
          <w:bCs/>
          <w:color w:val="auto"/>
          <w:sz w:val="21"/>
          <w:szCs w:val="21"/>
          <w:highlight w:val="yellow"/>
          <w:lang w:val="en-US" w:eastAsia="zh-CN"/>
        </w:rPr>
        <w:t>一切</w:t>
      </w:r>
      <w:r>
        <w:rPr>
          <w:rFonts w:hint="eastAsia" w:ascii="宋体" w:hAnsi="宋体" w:eastAsia="宋体" w:cs="宋体"/>
          <w:b/>
          <w:bCs/>
          <w:color w:val="auto"/>
          <w:sz w:val="21"/>
          <w:szCs w:val="21"/>
          <w:highlight w:val="yellow"/>
        </w:rPr>
        <w:t>工作</w:t>
      </w:r>
      <w:r>
        <w:rPr>
          <w:rFonts w:hint="eastAsia" w:ascii="宋体" w:hAnsi="宋体" w:eastAsia="宋体" w:cs="宋体"/>
          <w:b/>
          <w:bCs/>
          <w:color w:val="auto"/>
          <w:sz w:val="21"/>
          <w:szCs w:val="21"/>
          <w:highlight w:val="yellow"/>
          <w:lang w:eastAsia="zh-CN"/>
        </w:rPr>
        <w:t>，</w:t>
      </w:r>
      <w:r>
        <w:rPr>
          <w:rFonts w:hint="eastAsia" w:ascii="宋体" w:hAnsi="宋体" w:eastAsia="宋体" w:cs="宋体"/>
          <w:b/>
          <w:bCs/>
          <w:color w:val="auto"/>
          <w:sz w:val="21"/>
          <w:szCs w:val="21"/>
          <w:highlight w:val="yellow"/>
          <w:lang w:val="en-US" w:eastAsia="zh-CN"/>
        </w:rPr>
        <w:t>取得备案证明。</w:t>
      </w:r>
    </w:p>
    <w:p w14:paraId="42075357">
      <w:pPr>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（2）网络安全等级保护测评</w:t>
      </w:r>
    </w:p>
    <w:p w14:paraId="06633B67">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依据《信息安全等级保护管理办法》（公通字〔2007〕43号）、《信息系统安全等级保护测评要求》、《信息系统安全等级保护测评过程指南》和《信息系统安全等级保护基本要求》（GB/T22239-2019）标准，对单位</w:t>
      </w:r>
      <w:r>
        <w:rPr>
          <w:rFonts w:hint="eastAsia" w:ascii="宋体" w:hAnsi="宋体" w:eastAsia="宋体" w:cs="宋体"/>
          <w:b/>
          <w:bCs/>
          <w:color w:val="auto"/>
          <w:sz w:val="21"/>
          <w:szCs w:val="21"/>
          <w:highlight w:val="yellow"/>
          <w:lang w:val="en-US" w:eastAsia="zh-CN"/>
        </w:rPr>
        <w:t>指定的测评对象</w:t>
      </w:r>
      <w:r>
        <w:rPr>
          <w:rFonts w:hint="eastAsia" w:ascii="宋体" w:hAnsi="宋体" w:eastAsia="宋体" w:cs="宋体"/>
          <w:b/>
          <w:bCs/>
          <w:color w:val="auto"/>
          <w:sz w:val="21"/>
          <w:szCs w:val="21"/>
          <w:highlight w:val="yellow"/>
        </w:rPr>
        <w:t>，根据安全保护现状开展信息系统等级保护测评，并编写等保测评报告。</w:t>
      </w:r>
    </w:p>
    <w:p w14:paraId="477B8885">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color w:val="auto"/>
          <w:sz w:val="21"/>
          <w:szCs w:val="21"/>
          <w:highlight w:val="yellow"/>
          <w:lang w:val="en-US" w:eastAsia="zh-CN"/>
        </w:rPr>
      </w:pPr>
      <w:r>
        <w:rPr>
          <w:rFonts w:hint="eastAsia" w:ascii="宋体" w:hAnsi="宋体" w:eastAsia="宋体" w:cs="宋体"/>
          <w:b/>
          <w:bCs/>
          <w:color w:val="auto"/>
          <w:sz w:val="21"/>
          <w:szCs w:val="21"/>
          <w:highlight w:val="yellow"/>
        </w:rPr>
        <w:t>等级测评内容包括</w:t>
      </w:r>
      <w:r>
        <w:rPr>
          <w:rFonts w:hint="eastAsia" w:ascii="宋体" w:hAnsi="宋体" w:eastAsia="宋体" w:cs="宋体"/>
          <w:b/>
          <w:bCs/>
          <w:color w:val="auto"/>
          <w:sz w:val="21"/>
          <w:szCs w:val="21"/>
          <w:highlight w:val="yellow"/>
          <w:lang w:eastAsia="zh-CN"/>
        </w:rPr>
        <w:t>：</w:t>
      </w:r>
      <w:r>
        <w:rPr>
          <w:rFonts w:hint="eastAsia" w:ascii="宋体" w:hAnsi="宋体" w:eastAsia="宋体" w:cs="宋体"/>
          <w:b/>
          <w:bCs/>
          <w:color w:val="auto"/>
          <w:sz w:val="21"/>
          <w:szCs w:val="21"/>
          <w:highlight w:val="yellow"/>
        </w:rPr>
        <w:t>安全物理环境测评</w:t>
      </w:r>
      <w:r>
        <w:rPr>
          <w:rFonts w:hint="eastAsia" w:ascii="宋体" w:hAnsi="宋体" w:eastAsia="宋体" w:cs="宋体"/>
          <w:b/>
          <w:bCs/>
          <w:color w:val="auto"/>
          <w:sz w:val="21"/>
          <w:szCs w:val="21"/>
          <w:highlight w:val="yellow"/>
          <w:lang w:val="en-US" w:eastAsia="zh-CN"/>
        </w:rPr>
        <w:t>分析</w:t>
      </w:r>
      <w:r>
        <w:rPr>
          <w:rFonts w:hint="eastAsia" w:ascii="宋体" w:hAnsi="宋体" w:eastAsia="宋体" w:cs="宋体"/>
          <w:b/>
          <w:bCs/>
          <w:color w:val="auto"/>
          <w:sz w:val="21"/>
          <w:szCs w:val="21"/>
          <w:highlight w:val="yellow"/>
        </w:rPr>
        <w:t>；</w:t>
      </w:r>
      <w:r>
        <w:rPr>
          <w:rFonts w:hint="eastAsia" w:ascii="宋体" w:hAnsi="宋体" w:eastAsia="宋体" w:cs="宋体"/>
          <w:b/>
          <w:bCs/>
          <w:color w:val="auto"/>
          <w:sz w:val="21"/>
          <w:szCs w:val="21"/>
          <w:highlight w:val="yellow"/>
        </w:rPr>
        <w:tab/>
      </w:r>
      <w:r>
        <w:rPr>
          <w:rFonts w:hint="eastAsia" w:ascii="宋体" w:hAnsi="宋体" w:eastAsia="宋体" w:cs="宋体"/>
          <w:b/>
          <w:bCs/>
          <w:color w:val="auto"/>
          <w:sz w:val="21"/>
          <w:szCs w:val="21"/>
          <w:highlight w:val="yellow"/>
        </w:rPr>
        <w:t>安全通信网络测评分析；安全区域边界测评分析；</w:t>
      </w:r>
      <w:r>
        <w:rPr>
          <w:rFonts w:hint="eastAsia" w:ascii="宋体" w:hAnsi="宋体" w:eastAsia="宋体" w:cs="宋体"/>
          <w:b/>
          <w:bCs/>
          <w:color w:val="auto"/>
          <w:sz w:val="21"/>
          <w:szCs w:val="21"/>
          <w:highlight w:val="yellow"/>
        </w:rPr>
        <w:tab/>
      </w:r>
      <w:r>
        <w:rPr>
          <w:rFonts w:hint="eastAsia" w:ascii="宋体" w:hAnsi="宋体" w:eastAsia="宋体" w:cs="宋体"/>
          <w:b/>
          <w:bCs/>
          <w:color w:val="auto"/>
          <w:sz w:val="21"/>
          <w:szCs w:val="21"/>
          <w:highlight w:val="yellow"/>
        </w:rPr>
        <w:t>安全计算环境测评分析；安全管理中心测评分析；安全管理制度测评分析；安全管理机构测评分析；安全管理人员测评分析；安全建设管理测评分析；安全运维管理测评分析；信息系统等级保护要求差距分析；</w:t>
      </w:r>
      <w:r>
        <w:rPr>
          <w:rFonts w:hint="eastAsia" w:ascii="宋体" w:hAnsi="宋体" w:eastAsia="宋体" w:cs="宋体"/>
          <w:b/>
          <w:bCs/>
          <w:color w:val="auto"/>
          <w:sz w:val="21"/>
          <w:szCs w:val="21"/>
          <w:highlight w:val="yellow"/>
        </w:rPr>
        <w:tab/>
      </w:r>
      <w:r>
        <w:rPr>
          <w:rFonts w:hint="eastAsia" w:ascii="宋体" w:hAnsi="宋体" w:eastAsia="宋体" w:cs="宋体"/>
          <w:b/>
          <w:bCs/>
          <w:color w:val="auto"/>
          <w:sz w:val="21"/>
          <w:szCs w:val="21"/>
          <w:highlight w:val="yellow"/>
        </w:rPr>
        <w:t>信息系统整改建议评估分析</w:t>
      </w:r>
      <w:r>
        <w:rPr>
          <w:rFonts w:hint="eastAsia" w:ascii="宋体" w:hAnsi="宋体" w:eastAsia="宋体" w:cs="宋体"/>
          <w:b/>
          <w:bCs/>
          <w:color w:val="auto"/>
          <w:sz w:val="21"/>
          <w:szCs w:val="21"/>
          <w:highlight w:val="yellow"/>
          <w:lang w:val="en-US" w:eastAsia="zh-CN"/>
        </w:rPr>
        <w:t>等</w:t>
      </w:r>
      <w:r>
        <w:rPr>
          <w:rFonts w:hint="eastAsia" w:ascii="宋体" w:hAnsi="宋体" w:eastAsia="宋体" w:cs="宋体"/>
          <w:b/>
          <w:bCs/>
          <w:color w:val="auto"/>
          <w:sz w:val="21"/>
          <w:szCs w:val="21"/>
          <w:highlight w:val="yellow"/>
          <w:lang w:eastAsia="zh-CN"/>
        </w:rPr>
        <w:t>。</w:t>
      </w:r>
    </w:p>
    <w:p w14:paraId="7C728F4B">
      <w:pPr>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color w:val="auto"/>
          <w:sz w:val="21"/>
          <w:szCs w:val="21"/>
          <w:highlight w:val="yellow"/>
        </w:rPr>
      </w:pPr>
      <w:r>
        <w:rPr>
          <w:rFonts w:hint="eastAsia" w:ascii="宋体" w:hAnsi="宋体" w:eastAsia="宋体" w:cs="宋体"/>
          <w:b/>
          <w:bCs/>
          <w:color w:val="auto"/>
          <w:sz w:val="21"/>
          <w:szCs w:val="21"/>
          <w:highlight w:val="yellow"/>
        </w:rPr>
        <w:t>漏洞扫描：针对</w:t>
      </w:r>
      <w:r>
        <w:rPr>
          <w:rFonts w:hint="eastAsia" w:ascii="宋体" w:hAnsi="宋体" w:eastAsia="宋体" w:cs="宋体"/>
          <w:b/>
          <w:bCs/>
          <w:color w:val="auto"/>
          <w:sz w:val="21"/>
          <w:szCs w:val="21"/>
          <w:highlight w:val="yellow"/>
          <w:lang w:val="en-US" w:eastAsia="zh-CN"/>
        </w:rPr>
        <w:t>指定的</w:t>
      </w:r>
      <w:r>
        <w:rPr>
          <w:rFonts w:hint="eastAsia" w:ascii="宋体" w:hAnsi="宋体" w:eastAsia="宋体" w:cs="宋体"/>
          <w:b/>
          <w:bCs/>
          <w:color w:val="auto"/>
          <w:sz w:val="21"/>
          <w:szCs w:val="21"/>
          <w:highlight w:val="yellow"/>
        </w:rPr>
        <w:t>网络设备，服务器，应用等进行漏洞扫描出具漏洞扫描报告。</w:t>
      </w:r>
    </w:p>
    <w:p w14:paraId="4DD4223F">
      <w:pPr>
        <w:keepNext w:val="0"/>
        <w:keepLines w:val="0"/>
        <w:pageBreakBefore w:val="0"/>
        <w:kinsoku/>
        <w:wordWrap/>
        <w:overflowPunct/>
        <w:topLinePunct w:val="0"/>
        <w:autoSpaceDE/>
        <w:autoSpaceDN/>
        <w:bidi w:val="0"/>
        <w:spacing w:line="360" w:lineRule="auto"/>
        <w:ind w:left="0"/>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highlight w:val="yellow"/>
        </w:rPr>
        <w:t>渗透测试：模拟黑客可能使用的攻击技术和漏洞发现技术，对信息系统进行验证性渗透测试。</w:t>
      </w:r>
    </w:p>
    <w:p w14:paraId="3FAAF8A7">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2"/>
          <w:sz w:val="21"/>
          <w:szCs w:val="21"/>
          <w:lang w:val="en-US" w:eastAsia="zh-CN" w:bidi="ar-SA"/>
        </w:rPr>
        <w:t>三、</w:t>
      </w:r>
      <w:r>
        <w:rPr>
          <w:rFonts w:hint="eastAsia" w:ascii="宋体" w:hAnsi="宋体" w:eastAsia="宋体" w:cs="宋体"/>
          <w:b/>
          <w:bCs/>
          <w:color w:val="auto"/>
          <w:sz w:val="21"/>
          <w:szCs w:val="21"/>
          <w:lang w:val="en-US" w:eastAsia="zh-CN"/>
        </w:rPr>
        <w:t>提交成果</w:t>
      </w:r>
    </w:p>
    <w:p w14:paraId="381B22A6">
      <w:pPr>
        <w:keepNext w:val="0"/>
        <w:keepLines w:val="0"/>
        <w:pageBreakBefore w:val="0"/>
        <w:numPr>
          <w:ilvl w:val="0"/>
          <w:numId w:val="0"/>
        </w:numPr>
        <w:kinsoku/>
        <w:wordWrap/>
        <w:overflowPunct/>
        <w:topLinePunct w:val="0"/>
        <w:autoSpaceDE/>
        <w:autoSpaceDN/>
        <w:bidi w:val="0"/>
        <w:spacing w:line="360" w:lineRule="auto"/>
        <w:ind w:left="0" w:leftChars="0" w:firstLine="424"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lang w:val="en-US" w:eastAsia="zh-CN"/>
        </w:rPr>
        <w:t>系统初测后交付《不符合项报告》。</w:t>
      </w:r>
    </w:p>
    <w:p w14:paraId="1ECF13D6">
      <w:pPr>
        <w:keepNext w:val="0"/>
        <w:keepLines w:val="0"/>
        <w:pageBreakBefore w:val="0"/>
        <w:numPr>
          <w:ilvl w:val="0"/>
          <w:numId w:val="0"/>
        </w:numPr>
        <w:kinsoku/>
        <w:wordWrap/>
        <w:overflowPunct/>
        <w:topLinePunct w:val="0"/>
        <w:autoSpaceDE/>
        <w:autoSpaceDN/>
        <w:bidi w:val="0"/>
        <w:spacing w:line="360" w:lineRule="auto"/>
        <w:ind w:left="0" w:leftChars="0" w:firstLine="424" w:firstLineChars="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2、</w:t>
      </w:r>
      <w:r>
        <w:rPr>
          <w:rFonts w:hint="eastAsia" w:ascii="宋体" w:hAnsi="宋体" w:eastAsia="宋体" w:cs="宋体"/>
          <w:color w:val="auto"/>
          <w:sz w:val="21"/>
          <w:szCs w:val="21"/>
          <w:lang w:val="en-US" w:eastAsia="zh-CN"/>
        </w:rPr>
        <w:t>交付</w:t>
      </w:r>
      <w:r>
        <w:rPr>
          <w:rFonts w:hint="eastAsia" w:ascii="宋体" w:hAnsi="宋体" w:eastAsia="宋体" w:cs="宋体"/>
          <w:color w:val="auto"/>
          <w:sz w:val="21"/>
          <w:szCs w:val="21"/>
        </w:rPr>
        <w:t>由</w:t>
      </w:r>
      <w:r>
        <w:rPr>
          <w:rFonts w:hint="eastAsia" w:ascii="宋体" w:hAnsi="宋体" w:eastAsia="宋体" w:cs="宋体"/>
          <w:color w:val="auto"/>
          <w:sz w:val="21"/>
          <w:szCs w:val="21"/>
          <w:lang w:val="en-US" w:eastAsia="zh-CN"/>
        </w:rPr>
        <w:t>公安三所</w:t>
      </w:r>
      <w:r>
        <w:rPr>
          <w:rFonts w:hint="eastAsia" w:ascii="宋体" w:hAnsi="宋体" w:eastAsia="宋体" w:cs="宋体"/>
          <w:color w:val="auto"/>
          <w:sz w:val="21"/>
          <w:szCs w:val="21"/>
        </w:rPr>
        <w:t>颁发相关资质证书的第三方等级保护测评机构出具的《网络安全等级保护测评报告》。</w:t>
      </w:r>
    </w:p>
    <w:p w14:paraId="0EC6A715">
      <w:pPr>
        <w:pStyle w:val="37"/>
        <w:keepNext w:val="0"/>
        <w:keepLines w:val="0"/>
        <w:pageBreakBefore w:val="0"/>
        <w:widowControl w:val="0"/>
        <w:kinsoku/>
        <w:wordWrap/>
        <w:overflowPunct/>
        <w:topLinePunct w:val="0"/>
        <w:autoSpaceDE/>
        <w:autoSpaceDN/>
        <w:bidi w:val="0"/>
        <w:adjustRightInd/>
        <w:snapToGrid/>
        <w:spacing w:line="360" w:lineRule="auto"/>
        <w:ind w:left="0" w:firstLine="0" w:firstLineChars="0"/>
        <w:textAlignment w:val="auto"/>
        <w:rPr>
          <w:rFonts w:hint="eastAsia" w:ascii="宋体" w:hAnsi="宋体" w:eastAsia="宋体" w:cs="宋体"/>
          <w:b/>
          <w:bCs w:val="0"/>
          <w:color w:val="auto"/>
          <w:sz w:val="21"/>
          <w:szCs w:val="21"/>
          <w:highlight w:val="yellow"/>
          <w:lang w:val="en-US" w:eastAsia="zh-CN"/>
        </w:rPr>
      </w:pPr>
      <w:r>
        <w:rPr>
          <w:rFonts w:hint="eastAsia" w:ascii="宋体" w:hAnsi="宋体" w:eastAsia="宋体" w:cs="宋体"/>
          <w:b/>
          <w:bCs w:val="0"/>
          <w:color w:val="auto"/>
          <w:sz w:val="21"/>
          <w:szCs w:val="21"/>
          <w:highlight w:val="yellow"/>
          <w:lang w:val="en-US" w:eastAsia="zh-CN"/>
        </w:rPr>
        <w:t>★四、人员要求</w:t>
      </w:r>
    </w:p>
    <w:p w14:paraId="316AE344">
      <w:pPr>
        <w:pStyle w:val="9"/>
        <w:keepNext w:val="0"/>
        <w:keepLines w:val="0"/>
        <w:pageBreakBefore w:val="0"/>
        <w:tabs>
          <w:tab w:val="left" w:pos="420"/>
          <w:tab w:val="left" w:pos="540"/>
        </w:tabs>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val="0"/>
          <w:color w:val="auto"/>
          <w:sz w:val="21"/>
          <w:szCs w:val="21"/>
          <w:highlight w:val="yellow"/>
          <w:lang w:val="en-US" w:eastAsia="zh-CN"/>
        </w:rPr>
        <w:t>投标人需为本项目安排不得少于6人，包含1名项目负责人、1名项目技术负责人及4名项目测评技术成员（包含渗透工程师、漏扫工程师）。</w:t>
      </w:r>
    </w:p>
    <w:p w14:paraId="3176BBDF">
      <w:pPr>
        <w:pStyle w:val="37"/>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b/>
          <w:bCs/>
          <w:color w:val="auto"/>
          <w:sz w:val="21"/>
          <w:szCs w:val="21"/>
          <w:lang w:val="en-US" w:eastAsia="zh-CN"/>
        </w:rPr>
      </w:pPr>
      <w:r>
        <w:rPr>
          <w:rFonts w:hint="eastAsia" w:ascii="宋体" w:hAnsi="宋体" w:eastAsia="宋体" w:cs="宋体"/>
          <w:b/>
          <w:bCs/>
          <w:color w:val="auto"/>
          <w:kern w:val="2"/>
          <w:sz w:val="21"/>
          <w:szCs w:val="21"/>
          <w:lang w:val="en-US" w:eastAsia="zh-CN" w:bidi="ar-SA"/>
        </w:rPr>
        <w:t>五、</w:t>
      </w:r>
      <w:r>
        <w:rPr>
          <w:rFonts w:hint="eastAsia" w:ascii="宋体" w:hAnsi="宋体" w:eastAsia="宋体" w:cs="宋体"/>
          <w:b/>
          <w:bCs/>
          <w:color w:val="auto"/>
          <w:sz w:val="21"/>
          <w:szCs w:val="21"/>
          <w:lang w:val="en-US" w:eastAsia="zh-CN"/>
        </w:rPr>
        <w:t>验收要求</w:t>
      </w:r>
    </w:p>
    <w:p w14:paraId="0DD1E1A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kern w:val="2"/>
          <w:sz w:val="21"/>
          <w:szCs w:val="21"/>
          <w:lang w:val="en-US" w:eastAsia="zh-CN" w:bidi="ar-SA"/>
        </w:rPr>
        <w:t>(1)</w:t>
      </w:r>
      <w:r>
        <w:rPr>
          <w:rFonts w:hint="eastAsia" w:ascii="宋体" w:hAnsi="宋体" w:eastAsia="宋体" w:cs="宋体"/>
          <w:color w:val="auto"/>
          <w:sz w:val="21"/>
          <w:szCs w:val="21"/>
        </w:rPr>
        <w:t>服务内容符合招标文件要求，并经医</w:t>
      </w:r>
      <w:r>
        <w:rPr>
          <w:rFonts w:hint="eastAsia" w:ascii="宋体" w:hAnsi="宋体" w:eastAsia="宋体" w:cs="宋体"/>
          <w:color w:val="auto"/>
          <w:sz w:val="21"/>
          <w:szCs w:val="21"/>
          <w:lang w:val="en-US" w:eastAsia="zh-CN"/>
        </w:rPr>
        <w:t>院</w:t>
      </w:r>
      <w:r>
        <w:rPr>
          <w:rFonts w:hint="eastAsia" w:ascii="宋体" w:hAnsi="宋体" w:eastAsia="宋体" w:cs="宋体"/>
          <w:color w:val="auto"/>
          <w:sz w:val="21"/>
          <w:szCs w:val="21"/>
        </w:rPr>
        <w:t>网络安全管理员签收确认。</w:t>
      </w:r>
    </w:p>
    <w:p w14:paraId="0C0CF7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kern w:val="2"/>
          <w:sz w:val="21"/>
          <w:szCs w:val="21"/>
          <w:lang w:val="en-US" w:eastAsia="zh-CN" w:bidi="ar-SA"/>
        </w:rPr>
        <w:t>(2)</w:t>
      </w:r>
      <w:r>
        <w:rPr>
          <w:rFonts w:hint="eastAsia" w:ascii="宋体" w:hAnsi="宋体" w:eastAsia="宋体" w:cs="宋体"/>
          <w:bCs/>
          <w:color w:val="auto"/>
          <w:sz w:val="21"/>
          <w:szCs w:val="21"/>
        </w:rPr>
        <w:t>交付广东省信息安全等级保护协调小组办公室认可的《网络安全等级保护测评报告》</w:t>
      </w:r>
      <w:r>
        <w:rPr>
          <w:rFonts w:hint="eastAsia" w:ascii="宋体" w:hAnsi="宋体" w:eastAsia="宋体" w:cs="宋体"/>
          <w:bCs/>
          <w:color w:val="auto"/>
          <w:sz w:val="21"/>
          <w:szCs w:val="21"/>
          <w:lang w:eastAsia="zh-CN"/>
        </w:rPr>
        <w:t>。</w:t>
      </w:r>
    </w:p>
    <w:p w14:paraId="73A4390C">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rPr>
      </w:pPr>
      <w:r>
        <w:rPr>
          <w:rFonts w:hint="eastAsia" w:ascii="宋体" w:hAnsi="宋体" w:eastAsia="宋体" w:cs="宋体"/>
          <w:bCs/>
          <w:color w:val="auto"/>
          <w:kern w:val="2"/>
          <w:sz w:val="21"/>
          <w:szCs w:val="21"/>
          <w:lang w:val="en-US" w:eastAsia="zh-CN" w:bidi="ar-SA"/>
        </w:rPr>
        <w:t>(3)</w:t>
      </w:r>
      <w:r>
        <w:rPr>
          <w:rFonts w:hint="eastAsia" w:ascii="宋体" w:hAnsi="宋体" w:eastAsia="宋体" w:cs="宋体"/>
          <w:bCs/>
          <w:color w:val="auto"/>
          <w:sz w:val="21"/>
          <w:szCs w:val="21"/>
        </w:rPr>
        <w:t>交付由深圳市信息安全等级保护工作协调领导小组办公室颁发的《深圳市网络安全等级保护测评结果通知书》</w:t>
      </w:r>
      <w:r>
        <w:rPr>
          <w:rFonts w:hint="eastAsia" w:ascii="宋体" w:hAnsi="宋体" w:eastAsia="宋体" w:cs="宋体"/>
          <w:bCs/>
          <w:color w:val="auto"/>
          <w:sz w:val="21"/>
          <w:szCs w:val="21"/>
          <w:lang w:eastAsia="zh-CN"/>
        </w:rPr>
        <w:t>。</w:t>
      </w:r>
    </w:p>
    <w:p w14:paraId="567C2613">
      <w:pPr>
        <w:pStyle w:val="7"/>
        <w:keepNext w:val="0"/>
        <w:keepLines w:val="0"/>
        <w:pageBreakBefore w:val="0"/>
        <w:widowControl w:val="0"/>
        <w:kinsoku/>
        <w:wordWrap/>
        <w:overflowPunct/>
        <w:topLinePunct w:val="0"/>
        <w:autoSpaceDE/>
        <w:autoSpaceDN/>
        <w:bidi w:val="0"/>
        <w:adjustRightInd/>
        <w:snapToGrid/>
        <w:spacing w:after="0" w:line="360" w:lineRule="auto"/>
        <w:ind w:left="0"/>
        <w:textAlignment w:val="auto"/>
        <w:rPr>
          <w:rFonts w:hint="eastAsia" w:ascii="宋体" w:hAnsi="宋体" w:eastAsia="宋体" w:cs="宋体"/>
        </w:rPr>
      </w:pPr>
    </w:p>
    <w:p w14:paraId="321F0FD9">
      <w:pPr>
        <w:keepNext w:val="0"/>
        <w:keepLines w:val="0"/>
        <w:pageBreakBefore w:val="0"/>
        <w:widowControl w:val="0"/>
        <w:kinsoku/>
        <w:wordWrap/>
        <w:overflowPunct/>
        <w:topLinePunct w:val="0"/>
        <w:autoSpaceDE/>
        <w:autoSpaceDN/>
        <w:bidi w:val="0"/>
        <w:adjustRightInd/>
        <w:snapToGrid/>
        <w:spacing w:line="360" w:lineRule="auto"/>
        <w:ind w:left="0"/>
        <w:jc w:val="left"/>
        <w:textAlignment w:val="auto"/>
        <w:rPr>
          <w:rFonts w:hint="eastAsia" w:ascii="宋体" w:hAnsi="宋体" w:eastAsia="宋体" w:cs="宋体"/>
          <w:b/>
          <w:sz w:val="28"/>
          <w:szCs w:val="28"/>
        </w:rPr>
      </w:pPr>
      <w:r>
        <w:rPr>
          <w:rFonts w:hint="eastAsia" w:ascii="宋体" w:hAnsi="宋体" w:eastAsia="宋体" w:cs="宋体"/>
          <w:b/>
          <w:sz w:val="28"/>
          <w:szCs w:val="28"/>
          <w:lang w:val="en-US" w:eastAsia="zh-CN"/>
        </w:rPr>
        <w:t>四</w:t>
      </w:r>
      <w:r>
        <w:rPr>
          <w:rFonts w:hint="eastAsia" w:ascii="宋体" w:hAnsi="宋体" w:eastAsia="宋体" w:cs="宋体"/>
          <w:b/>
          <w:sz w:val="28"/>
          <w:szCs w:val="28"/>
        </w:rPr>
        <w:t>、商务需求</w:t>
      </w:r>
    </w:p>
    <w:p w14:paraId="71B937F8">
      <w:pPr>
        <w:keepNext w:val="0"/>
        <w:keepLines w:val="0"/>
        <w:pageBreakBefore w:val="0"/>
        <w:widowControl/>
        <w:kinsoku/>
        <w:wordWrap/>
        <w:overflowPunct/>
        <w:topLinePunct w:val="0"/>
        <w:autoSpaceDE/>
        <w:autoSpaceDN/>
        <w:bidi w:val="0"/>
        <w:adjustRightInd w:val="0"/>
        <w:snapToGrid w:val="0"/>
        <w:spacing w:line="360" w:lineRule="auto"/>
        <w:ind w:left="0" w:firstLine="0" w:firstLineChars="0"/>
        <w:textAlignment w:val="auto"/>
        <w:outlineLvl w:val="0"/>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highlight w:val="yellow"/>
        </w:rPr>
        <w:t>★</w:t>
      </w:r>
      <w:r>
        <w:rPr>
          <w:rFonts w:hint="eastAsia" w:ascii="宋体" w:hAnsi="宋体" w:eastAsia="宋体" w:cs="宋体"/>
          <w:b/>
          <w:bCs w:val="0"/>
          <w:color w:val="auto"/>
          <w:kern w:val="0"/>
          <w:sz w:val="21"/>
          <w:szCs w:val="21"/>
          <w:highlight w:val="yellow"/>
          <w:lang w:val="en-US" w:eastAsia="zh-CN" w:bidi="ar-SA"/>
        </w:rPr>
        <w:t>（一）</w:t>
      </w:r>
      <w:r>
        <w:rPr>
          <w:rFonts w:hint="eastAsia" w:ascii="宋体" w:hAnsi="宋体" w:eastAsia="宋体" w:cs="宋体"/>
          <w:b/>
          <w:bCs w:val="0"/>
          <w:color w:val="auto"/>
          <w:kern w:val="0"/>
          <w:sz w:val="21"/>
          <w:szCs w:val="21"/>
          <w:highlight w:val="yellow"/>
        </w:rPr>
        <w:t>报价要求</w:t>
      </w:r>
    </w:p>
    <w:p w14:paraId="10845EAB">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200"/>
        <w:textAlignment w:val="auto"/>
        <w:outlineLvl w:val="0"/>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highlight w:val="yellow"/>
        </w:rPr>
        <w:t>1、</w:t>
      </w:r>
      <w:r>
        <w:rPr>
          <w:rFonts w:hint="eastAsia" w:ascii="宋体" w:hAnsi="宋体" w:eastAsia="宋体" w:cs="宋体"/>
          <w:b/>
          <w:bCs w:val="0"/>
          <w:color w:val="auto"/>
          <w:sz w:val="21"/>
          <w:szCs w:val="21"/>
          <w:highlight w:val="yellow"/>
          <w:lang w:val="en-US" w:eastAsia="zh-CN"/>
        </w:rPr>
        <w:t>本项目采用单价报价，投标人需分别报出“</w:t>
      </w:r>
      <w:r>
        <w:rPr>
          <w:rFonts w:hint="eastAsia" w:ascii="宋体" w:hAnsi="宋体" w:eastAsia="宋体" w:cs="宋体"/>
          <w:b/>
          <w:bCs w:val="0"/>
          <w:color w:val="auto"/>
          <w:sz w:val="21"/>
          <w:szCs w:val="21"/>
          <w:highlight w:val="yellow"/>
          <w:vertAlign w:val="baseline"/>
          <w:lang w:val="en-US" w:eastAsia="zh-CN"/>
        </w:rPr>
        <w:t>三级系统</w:t>
      </w:r>
      <w:r>
        <w:rPr>
          <w:rFonts w:hint="eastAsia" w:ascii="宋体" w:hAnsi="宋体" w:eastAsia="宋体" w:cs="宋体"/>
          <w:b/>
          <w:bCs w:val="0"/>
          <w:color w:val="auto"/>
          <w:sz w:val="21"/>
          <w:szCs w:val="21"/>
          <w:highlight w:val="yellow"/>
          <w:lang w:val="en-US" w:eastAsia="zh-CN"/>
        </w:rPr>
        <w:t>”和“二</w:t>
      </w:r>
      <w:r>
        <w:rPr>
          <w:rFonts w:hint="eastAsia" w:ascii="宋体" w:hAnsi="宋体" w:eastAsia="宋体" w:cs="宋体"/>
          <w:b/>
          <w:bCs w:val="0"/>
          <w:color w:val="auto"/>
          <w:sz w:val="21"/>
          <w:szCs w:val="21"/>
          <w:highlight w:val="yellow"/>
          <w:vertAlign w:val="baseline"/>
          <w:lang w:val="en-US" w:eastAsia="zh-CN"/>
        </w:rPr>
        <w:t>级系统</w:t>
      </w:r>
      <w:r>
        <w:rPr>
          <w:rFonts w:hint="eastAsia" w:ascii="宋体" w:hAnsi="宋体" w:eastAsia="宋体" w:cs="宋体"/>
          <w:b/>
          <w:bCs w:val="0"/>
          <w:color w:val="auto"/>
          <w:sz w:val="21"/>
          <w:szCs w:val="21"/>
          <w:highlight w:val="yellow"/>
          <w:lang w:val="en-US" w:eastAsia="zh-CN"/>
        </w:rPr>
        <w:t>”两种系统的单价，如投标报价超过其单价</w:t>
      </w:r>
      <w:r>
        <w:rPr>
          <w:rFonts w:hint="eastAsia" w:ascii="宋体" w:hAnsi="宋体" w:eastAsia="宋体" w:cs="宋体"/>
          <w:b/>
          <w:bCs w:val="0"/>
          <w:color w:val="auto"/>
          <w:sz w:val="21"/>
          <w:szCs w:val="21"/>
          <w:highlight w:val="yellow"/>
        </w:rPr>
        <w:t>预算限额</w:t>
      </w:r>
      <w:r>
        <w:rPr>
          <w:rFonts w:hint="eastAsia" w:ascii="宋体" w:hAnsi="宋体" w:eastAsia="宋体" w:cs="宋体"/>
          <w:b/>
          <w:bCs w:val="0"/>
          <w:color w:val="auto"/>
          <w:sz w:val="21"/>
          <w:szCs w:val="21"/>
          <w:highlight w:val="yellow"/>
          <w:lang w:val="en-US" w:eastAsia="zh-CN"/>
        </w:rPr>
        <w:t>的，将导致投标无效。</w:t>
      </w:r>
      <w:r>
        <w:rPr>
          <w:rFonts w:hint="eastAsia" w:ascii="宋体" w:hAnsi="宋体" w:eastAsia="宋体" w:cs="宋体"/>
          <w:b/>
          <w:bCs w:val="0"/>
          <w:color w:val="auto"/>
          <w:sz w:val="21"/>
          <w:szCs w:val="21"/>
          <w:highlight w:val="yellow"/>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08EF9E4">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200"/>
        <w:textAlignment w:val="auto"/>
        <w:outlineLvl w:val="0"/>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highlight w:val="yellow"/>
        </w:rPr>
        <w:t>2、投标人的投标报价，应是本项目招标范围和招标文件及合同条款上所列的各项内容中所述的全部，不得以任何理由予以重复，并以投标人在投标文件中提出的综合单价或总价为依据。</w:t>
      </w:r>
    </w:p>
    <w:p w14:paraId="4DF908D0">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200"/>
        <w:textAlignment w:val="auto"/>
        <w:outlineLvl w:val="0"/>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highlight w:val="yellow"/>
        </w:rPr>
        <w:t>3、除非采购人或采购代理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5244D088">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200"/>
        <w:textAlignment w:val="auto"/>
        <w:outlineLvl w:val="0"/>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highlight w:val="yellow"/>
        </w:rPr>
        <w:t>4、投标人应充分了解项目的位置、情况、道路及任何其它足以影响投标报价的情况，任何因忽视或误解项目情况而导致的索赔或服务期限延长申请将不获批准。</w:t>
      </w:r>
    </w:p>
    <w:p w14:paraId="7BBD9E0E">
      <w:pPr>
        <w:keepNext w:val="0"/>
        <w:keepLines w:val="0"/>
        <w:pageBreakBefore w:val="0"/>
        <w:widowControl/>
        <w:kinsoku/>
        <w:wordWrap/>
        <w:overflowPunct/>
        <w:topLinePunct w:val="0"/>
        <w:autoSpaceDE/>
        <w:autoSpaceDN/>
        <w:bidi w:val="0"/>
        <w:adjustRightInd w:val="0"/>
        <w:snapToGrid w:val="0"/>
        <w:spacing w:line="360" w:lineRule="auto"/>
        <w:ind w:left="0" w:firstLine="422" w:firstLineChars="200"/>
        <w:textAlignment w:val="auto"/>
        <w:outlineLvl w:val="0"/>
        <w:rPr>
          <w:rFonts w:hint="eastAsia" w:ascii="宋体" w:hAnsi="宋体" w:eastAsia="宋体" w:cs="宋体"/>
          <w:b/>
          <w:bCs w:val="0"/>
          <w:color w:val="auto"/>
          <w:sz w:val="21"/>
          <w:szCs w:val="21"/>
          <w:highlight w:val="yellow"/>
        </w:rPr>
      </w:pPr>
      <w:r>
        <w:rPr>
          <w:rFonts w:hint="eastAsia" w:ascii="宋体" w:hAnsi="宋体" w:eastAsia="宋体" w:cs="宋体"/>
          <w:b/>
          <w:bCs w:val="0"/>
          <w:color w:val="auto"/>
          <w:sz w:val="21"/>
          <w:szCs w:val="21"/>
          <w:highlight w:val="yellow"/>
        </w:rPr>
        <w:t>5、投标人不得期望通过索赔等方式获取补偿，否则，除可能遭到拒绝外，还可能将被作为不良行为记录在案，并可能影响其以后参加政府采购的项目投标。各投标人在投标报价时，应充分考虑投标报价的风险。</w:t>
      </w:r>
    </w:p>
    <w:p w14:paraId="114833A8">
      <w:pPr>
        <w:keepNext w:val="0"/>
        <w:keepLines w:val="0"/>
        <w:pageBreakBefore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auto"/>
          <w:sz w:val="21"/>
          <w:szCs w:val="21"/>
        </w:rPr>
      </w:pPr>
      <w:r>
        <w:rPr>
          <w:rFonts w:hint="eastAsia" w:ascii="宋体" w:hAnsi="宋体" w:eastAsia="宋体" w:cs="宋体"/>
          <w:b/>
          <w:bCs w:val="0"/>
          <w:color w:val="auto"/>
          <w:sz w:val="21"/>
          <w:szCs w:val="21"/>
          <w:highlight w:val="yellow"/>
        </w:rPr>
        <w:t>6、投标人须考虑本项目在实施期间的一切可能产生的费用。在项目实施过程中，如项目工作范围发生变更，由中标人和采购人双方协商解决；其余情况下，投标总价均不予调整。</w:t>
      </w:r>
      <w:r>
        <w:rPr>
          <w:rFonts w:hint="eastAsia" w:ascii="宋体" w:hAnsi="宋体" w:eastAsia="宋体" w:cs="宋体"/>
          <w:color w:val="auto"/>
          <w:sz w:val="21"/>
          <w:szCs w:val="21"/>
        </w:rPr>
        <w:t xml:space="preserve">  </w:t>
      </w:r>
    </w:p>
    <w:p w14:paraId="3505CF95">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val="0"/>
          <w:color w:val="auto"/>
          <w:kern w:val="0"/>
          <w:sz w:val="21"/>
          <w:szCs w:val="21"/>
          <w:highlight w:val="yellow"/>
        </w:rPr>
      </w:pPr>
      <w:r>
        <w:rPr>
          <w:rFonts w:hint="eastAsia" w:ascii="宋体" w:hAnsi="宋体" w:eastAsia="宋体" w:cs="宋体"/>
          <w:b/>
          <w:bCs w:val="0"/>
          <w:color w:val="auto"/>
          <w:sz w:val="21"/>
          <w:szCs w:val="21"/>
          <w:highlight w:val="yellow"/>
        </w:rPr>
        <w:t>★</w:t>
      </w:r>
      <w:r>
        <w:rPr>
          <w:rFonts w:hint="eastAsia" w:ascii="宋体" w:hAnsi="宋体" w:eastAsia="宋体" w:cs="宋体"/>
          <w:b/>
          <w:bCs w:val="0"/>
          <w:color w:val="auto"/>
          <w:kern w:val="0"/>
          <w:sz w:val="21"/>
          <w:szCs w:val="21"/>
          <w:highlight w:val="yellow"/>
          <w:lang w:val="en-US" w:eastAsia="zh-CN" w:bidi="ar-SA"/>
        </w:rPr>
        <w:t>（二）</w:t>
      </w:r>
      <w:r>
        <w:rPr>
          <w:rFonts w:hint="eastAsia" w:ascii="宋体" w:hAnsi="宋体" w:eastAsia="宋体" w:cs="宋体"/>
          <w:b/>
          <w:bCs w:val="0"/>
          <w:color w:val="auto"/>
          <w:kern w:val="0"/>
          <w:sz w:val="21"/>
          <w:szCs w:val="21"/>
          <w:highlight w:val="yellow"/>
        </w:rPr>
        <w:t>支付要求</w:t>
      </w:r>
    </w:p>
    <w:p w14:paraId="671D8E8D">
      <w:pPr>
        <w:keepNext w:val="0"/>
        <w:keepLines w:val="0"/>
        <w:pageBreakBefore w:val="0"/>
        <w:widowControl w:val="0"/>
        <w:kinsoku/>
        <w:wordWrap/>
        <w:overflowPunct/>
        <w:topLinePunct w:val="0"/>
        <w:autoSpaceDE/>
        <w:autoSpaceDN/>
        <w:bidi w:val="0"/>
        <w:snapToGrid w:val="0"/>
        <w:spacing w:line="360" w:lineRule="auto"/>
        <w:ind w:left="0" w:firstLine="422" w:firstLineChars="200"/>
        <w:jc w:val="left"/>
        <w:textAlignment w:val="auto"/>
        <w:rPr>
          <w:rFonts w:hint="eastAsia" w:ascii="宋体" w:hAnsi="宋体" w:eastAsia="宋体" w:cs="宋体"/>
          <w:b/>
          <w:bCs w:val="0"/>
          <w:color w:val="auto"/>
          <w:sz w:val="21"/>
          <w:szCs w:val="21"/>
          <w:highlight w:val="yellow"/>
          <w:lang w:val="en-US" w:eastAsia="zh-CN"/>
        </w:rPr>
      </w:pPr>
      <w:r>
        <w:rPr>
          <w:rFonts w:hint="eastAsia" w:ascii="宋体" w:hAnsi="宋体" w:eastAsia="宋体" w:cs="宋体"/>
          <w:b/>
          <w:bCs w:val="0"/>
          <w:color w:val="auto"/>
          <w:sz w:val="21"/>
          <w:szCs w:val="21"/>
          <w:highlight w:val="yellow"/>
          <w:lang w:val="en-US" w:eastAsia="zh-CN"/>
        </w:rPr>
        <w:t>本合同按以下付款方式执行:</w:t>
      </w:r>
    </w:p>
    <w:p w14:paraId="1B3939CD">
      <w:pPr>
        <w:keepNext w:val="0"/>
        <w:keepLines w:val="0"/>
        <w:pageBreakBefore w:val="0"/>
        <w:widowControl w:val="0"/>
        <w:kinsoku/>
        <w:wordWrap/>
        <w:overflowPunct/>
        <w:topLinePunct w:val="0"/>
        <w:autoSpaceDE/>
        <w:autoSpaceDN/>
        <w:bidi w:val="0"/>
        <w:snapToGrid w:val="0"/>
        <w:spacing w:line="360" w:lineRule="auto"/>
        <w:ind w:left="0" w:firstLine="422" w:firstLineChars="200"/>
        <w:jc w:val="left"/>
        <w:textAlignment w:val="auto"/>
        <w:rPr>
          <w:rFonts w:hint="eastAsia" w:ascii="宋体" w:hAnsi="宋体" w:eastAsia="宋体" w:cs="宋体"/>
          <w:b/>
          <w:bCs w:val="0"/>
          <w:color w:val="000000"/>
          <w:sz w:val="21"/>
          <w:szCs w:val="21"/>
          <w:highlight w:val="yellow"/>
          <w:lang w:val="zh-CN"/>
        </w:rPr>
      </w:pPr>
      <w:r>
        <w:rPr>
          <w:rFonts w:hint="eastAsia" w:ascii="宋体" w:hAnsi="宋体" w:eastAsia="宋体" w:cs="宋体"/>
          <w:b/>
          <w:bCs w:val="0"/>
          <w:color w:val="auto"/>
          <w:sz w:val="21"/>
          <w:szCs w:val="21"/>
          <w:highlight w:val="yellow"/>
          <w:lang w:val="zh-CN"/>
        </w:rPr>
        <w:t>(1)甲方</w:t>
      </w:r>
      <w:r>
        <w:rPr>
          <w:rFonts w:hint="eastAsia" w:ascii="宋体" w:hAnsi="宋体" w:eastAsia="宋体" w:cs="宋体"/>
          <w:b/>
          <w:bCs w:val="0"/>
          <w:color w:val="000000"/>
          <w:sz w:val="21"/>
          <w:szCs w:val="21"/>
          <w:highlight w:val="yellow"/>
          <w:lang w:val="zh-CN"/>
        </w:rPr>
        <w:t>确定最终测评系统数量</w:t>
      </w:r>
      <w:r>
        <w:rPr>
          <w:rFonts w:hint="eastAsia" w:ascii="宋体" w:hAnsi="宋体" w:eastAsia="宋体" w:cs="宋体"/>
          <w:b/>
          <w:bCs w:val="0"/>
          <w:color w:val="000000"/>
          <w:sz w:val="21"/>
          <w:szCs w:val="21"/>
          <w:highlight w:val="yellow"/>
          <w:lang w:val="en-US" w:eastAsia="zh-CN"/>
        </w:rPr>
        <w:t>后与乙方</w:t>
      </w:r>
      <w:r>
        <w:rPr>
          <w:rFonts w:hint="eastAsia" w:ascii="宋体" w:hAnsi="宋体" w:eastAsia="宋体" w:cs="宋体"/>
          <w:b/>
          <w:bCs w:val="0"/>
          <w:color w:val="000000"/>
          <w:sz w:val="21"/>
          <w:szCs w:val="21"/>
          <w:highlight w:val="yellow"/>
          <w:lang w:val="zh-CN"/>
        </w:rPr>
        <w:t>签订合同，乙方提供等额合法有效发票后</w:t>
      </w:r>
      <w:r>
        <w:rPr>
          <w:rFonts w:hint="eastAsia" w:ascii="宋体" w:hAnsi="宋体" w:eastAsia="宋体" w:cs="宋体"/>
          <w:b/>
          <w:bCs w:val="0"/>
          <w:color w:val="000000"/>
          <w:sz w:val="21"/>
          <w:szCs w:val="21"/>
          <w:highlight w:val="yellow"/>
          <w:lang w:val="en-US" w:eastAsia="zh-CN"/>
        </w:rPr>
        <w:t>10</w:t>
      </w:r>
      <w:r>
        <w:rPr>
          <w:rFonts w:hint="eastAsia" w:ascii="宋体" w:hAnsi="宋体" w:eastAsia="宋体" w:cs="宋体"/>
          <w:b/>
          <w:bCs w:val="0"/>
          <w:color w:val="000000"/>
          <w:sz w:val="21"/>
          <w:szCs w:val="21"/>
          <w:highlight w:val="yellow"/>
          <w:lang w:val="zh-CN"/>
        </w:rPr>
        <w:t>个工作日内,甲方向乙方支付最终二三级测评系统数量乘以单价汇总金额50%的款项。</w:t>
      </w:r>
    </w:p>
    <w:p w14:paraId="0220ED37">
      <w:pPr>
        <w:pStyle w:val="9"/>
        <w:keepNext w:val="0"/>
        <w:keepLines w:val="0"/>
        <w:pageBreakBefore w:val="0"/>
        <w:widowControl w:val="0"/>
        <w:kinsoku/>
        <w:wordWrap/>
        <w:overflowPunct/>
        <w:topLinePunct w:val="0"/>
        <w:autoSpaceDE/>
        <w:autoSpaceDN/>
        <w:bidi w:val="0"/>
        <w:adjustRightInd w:val="0"/>
        <w:snapToGrid w:val="0"/>
        <w:spacing w:line="360" w:lineRule="auto"/>
        <w:ind w:left="0" w:firstLine="422" w:firstLineChars="200"/>
        <w:textAlignment w:val="auto"/>
        <w:rPr>
          <w:rFonts w:hint="eastAsia" w:ascii="宋体" w:hAnsi="宋体" w:eastAsia="宋体" w:cs="宋体"/>
          <w:color w:val="FF0000"/>
          <w:sz w:val="21"/>
          <w:szCs w:val="21"/>
          <w:shd w:val="clear" w:color="FFFFFF" w:fill="D9D9D9"/>
          <w:lang w:val="en-US" w:eastAsia="zh-CN"/>
        </w:rPr>
      </w:pPr>
      <w:r>
        <w:rPr>
          <w:rFonts w:hint="eastAsia" w:ascii="宋体" w:hAnsi="宋体" w:eastAsia="宋体" w:cs="宋体"/>
          <w:b/>
          <w:bCs w:val="0"/>
          <w:color w:val="000000"/>
          <w:sz w:val="21"/>
          <w:szCs w:val="21"/>
          <w:highlight w:val="yellow"/>
          <w:lang w:val="zh-CN"/>
        </w:rPr>
        <w:t>(2)在乙方提供对应的交付报告《网络安全等级保护测评报告》</w:t>
      </w:r>
      <w:r>
        <w:rPr>
          <w:rFonts w:hint="eastAsia" w:ascii="宋体" w:hAnsi="宋体" w:eastAsia="宋体" w:cs="宋体"/>
          <w:b/>
          <w:bCs w:val="0"/>
          <w:color w:val="000000"/>
          <w:sz w:val="21"/>
          <w:szCs w:val="21"/>
          <w:highlight w:val="yellow"/>
          <w:lang w:val="en-US" w:eastAsia="zh-CN"/>
        </w:rPr>
        <w:t>并通过甲方验收</w:t>
      </w:r>
      <w:r>
        <w:rPr>
          <w:rFonts w:hint="eastAsia" w:ascii="宋体" w:hAnsi="宋体" w:eastAsia="宋体" w:cs="宋体"/>
          <w:b/>
          <w:bCs w:val="0"/>
          <w:color w:val="000000"/>
          <w:sz w:val="21"/>
          <w:szCs w:val="21"/>
          <w:highlight w:val="yellow"/>
          <w:lang w:val="zh-CN"/>
        </w:rPr>
        <w:t>后，且乙方提供等额合法有效发票后</w:t>
      </w:r>
      <w:r>
        <w:rPr>
          <w:rFonts w:hint="eastAsia" w:ascii="宋体" w:hAnsi="宋体" w:eastAsia="宋体" w:cs="宋体"/>
          <w:b/>
          <w:bCs w:val="0"/>
          <w:color w:val="000000"/>
          <w:sz w:val="21"/>
          <w:szCs w:val="21"/>
          <w:highlight w:val="yellow"/>
          <w:lang w:val="en-US" w:eastAsia="zh-CN"/>
        </w:rPr>
        <w:t>10</w:t>
      </w:r>
      <w:r>
        <w:rPr>
          <w:rFonts w:hint="eastAsia" w:ascii="宋体" w:hAnsi="宋体" w:eastAsia="宋体" w:cs="宋体"/>
          <w:b/>
          <w:bCs w:val="0"/>
          <w:color w:val="000000"/>
          <w:sz w:val="21"/>
          <w:szCs w:val="21"/>
          <w:highlight w:val="yellow"/>
          <w:lang w:val="zh-CN"/>
        </w:rPr>
        <w:t>个工作日内,甲方向乙方支付最终二三级测评系统数量乘以单价汇总金额剩余50%的款项。</w:t>
      </w:r>
    </w:p>
    <w:p w14:paraId="480F0FC6">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sz w:val="21"/>
          <w:szCs w:val="21"/>
          <w:highlight w:val="yellow"/>
        </w:rPr>
      </w:pPr>
      <w:r>
        <w:rPr>
          <w:rFonts w:hint="eastAsia" w:ascii="宋体" w:hAnsi="宋体" w:eastAsia="宋体" w:cs="宋体"/>
          <w:b/>
          <w:bCs/>
          <w:color w:val="000000"/>
          <w:kern w:val="0"/>
          <w:sz w:val="21"/>
          <w:szCs w:val="21"/>
          <w:highlight w:val="yellow"/>
        </w:rPr>
        <w:t>★</w:t>
      </w:r>
      <w:r>
        <w:rPr>
          <w:rFonts w:hint="eastAsia" w:ascii="宋体" w:hAnsi="宋体" w:eastAsia="宋体" w:cs="宋体"/>
          <w:b/>
          <w:bCs/>
          <w:kern w:val="2"/>
          <w:sz w:val="21"/>
          <w:szCs w:val="21"/>
          <w:highlight w:val="yellow"/>
          <w:lang w:val="en-US" w:eastAsia="zh-CN" w:bidi="ar-SA"/>
        </w:rPr>
        <w:t>（三）</w:t>
      </w:r>
      <w:r>
        <w:rPr>
          <w:rFonts w:hint="eastAsia" w:ascii="宋体" w:hAnsi="宋体" w:eastAsia="宋体" w:cs="宋体"/>
          <w:b/>
          <w:bCs/>
          <w:color w:val="000000"/>
          <w:kern w:val="0"/>
          <w:sz w:val="21"/>
          <w:szCs w:val="21"/>
          <w:highlight w:val="yellow"/>
        </w:rPr>
        <w:t>合同服务期限</w:t>
      </w:r>
    </w:p>
    <w:p w14:paraId="4C46D81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color w:val="000000"/>
          <w:sz w:val="21"/>
          <w:szCs w:val="21"/>
          <w:highlight w:val="yellow"/>
        </w:rPr>
      </w:pPr>
      <w:r>
        <w:rPr>
          <w:rFonts w:hint="eastAsia" w:ascii="宋体" w:hAnsi="宋体" w:eastAsia="宋体" w:cs="宋体"/>
          <w:b/>
          <w:bCs/>
          <w:color w:val="000000"/>
          <w:kern w:val="2"/>
          <w:sz w:val="21"/>
          <w:szCs w:val="21"/>
          <w:highlight w:val="yellow"/>
          <w:lang w:val="en-US" w:eastAsia="zh-CN" w:bidi="ar-SA"/>
        </w:rPr>
        <w:t>1、</w:t>
      </w:r>
      <w:r>
        <w:rPr>
          <w:rFonts w:hint="eastAsia" w:ascii="宋体" w:hAnsi="宋体" w:eastAsia="宋体" w:cs="宋体"/>
          <w:b/>
          <w:bCs/>
          <w:sz w:val="21"/>
          <w:szCs w:val="21"/>
          <w:highlight w:val="yellow"/>
        </w:rPr>
        <w:t>自合同签订之日起一年。本项目为长期服务项目，合同履行期限最长不得超过三十六个月。服务期满后采购人可根据履约情况续签合同，最多续签两次，合同一年一签。</w:t>
      </w:r>
      <w:r>
        <w:rPr>
          <w:rFonts w:hint="eastAsia" w:ascii="宋体" w:hAnsi="宋体" w:eastAsia="宋体" w:cs="宋体"/>
          <w:b/>
          <w:bCs/>
          <w:color w:val="000000"/>
          <w:sz w:val="21"/>
          <w:szCs w:val="21"/>
          <w:highlight w:val="yellow"/>
        </w:rPr>
        <w:t>测评服务期间，如采购单位新增其他信息系统需测评，可</w:t>
      </w:r>
      <w:r>
        <w:rPr>
          <w:rFonts w:hint="eastAsia" w:ascii="宋体" w:hAnsi="宋体" w:eastAsia="宋体" w:cs="宋体"/>
          <w:b/>
          <w:bCs/>
          <w:color w:val="000000"/>
          <w:sz w:val="21"/>
          <w:szCs w:val="21"/>
          <w:highlight w:val="yellow"/>
          <w:lang w:val="en-US" w:eastAsia="zh-CN"/>
        </w:rPr>
        <w:t>参考</w:t>
      </w:r>
      <w:r>
        <w:rPr>
          <w:rFonts w:hint="eastAsia" w:ascii="宋体" w:hAnsi="宋体" w:eastAsia="宋体" w:cs="宋体"/>
          <w:b/>
          <w:bCs/>
          <w:color w:val="000000"/>
          <w:sz w:val="21"/>
          <w:szCs w:val="21"/>
          <w:highlight w:val="yellow"/>
        </w:rPr>
        <w:t>本次成交</w:t>
      </w:r>
      <w:r>
        <w:rPr>
          <w:rFonts w:hint="eastAsia" w:ascii="宋体" w:hAnsi="宋体" w:eastAsia="宋体" w:cs="宋体"/>
          <w:b/>
          <w:bCs/>
          <w:color w:val="000000"/>
          <w:sz w:val="21"/>
          <w:szCs w:val="21"/>
          <w:highlight w:val="yellow"/>
          <w:lang w:val="en-US" w:eastAsia="zh-CN"/>
        </w:rPr>
        <w:t>系统单价</w:t>
      </w:r>
      <w:r>
        <w:rPr>
          <w:rFonts w:hint="eastAsia" w:ascii="宋体" w:hAnsi="宋体" w:eastAsia="宋体" w:cs="宋体"/>
          <w:b/>
          <w:bCs/>
          <w:color w:val="000000"/>
          <w:sz w:val="21"/>
          <w:szCs w:val="21"/>
          <w:highlight w:val="yellow"/>
        </w:rPr>
        <w:t>进行签约，以实际发生量结算</w:t>
      </w:r>
      <w:r>
        <w:rPr>
          <w:rFonts w:hint="eastAsia" w:ascii="宋体" w:hAnsi="宋体" w:eastAsia="宋体" w:cs="宋体"/>
          <w:b/>
          <w:bCs/>
          <w:color w:val="000000"/>
          <w:sz w:val="21"/>
          <w:szCs w:val="21"/>
          <w:highlight w:val="yellow"/>
          <w:lang w:eastAsia="zh-CN"/>
        </w:rPr>
        <w:t>，</w:t>
      </w:r>
      <w:r>
        <w:rPr>
          <w:rFonts w:hint="eastAsia" w:ascii="宋体" w:hAnsi="宋体" w:eastAsia="宋体" w:cs="宋体"/>
          <w:b/>
          <w:bCs/>
          <w:sz w:val="21"/>
          <w:szCs w:val="21"/>
          <w:highlight w:val="yellow"/>
          <w:lang w:val="en-US" w:eastAsia="zh-CN"/>
        </w:rPr>
        <w:t>本项目支付上限为人民币35万元</w:t>
      </w:r>
      <w:r>
        <w:rPr>
          <w:rFonts w:hint="eastAsia" w:ascii="宋体" w:hAnsi="宋体" w:eastAsia="宋体" w:cs="宋体"/>
          <w:b/>
          <w:bCs/>
          <w:color w:val="000000"/>
          <w:sz w:val="21"/>
          <w:szCs w:val="21"/>
          <w:highlight w:val="yellow"/>
        </w:rPr>
        <w:t>。</w:t>
      </w:r>
    </w:p>
    <w:p w14:paraId="373F2915">
      <w:pPr>
        <w:pStyle w:val="7"/>
        <w:keepNext w:val="0"/>
        <w:keepLines w:val="0"/>
        <w:pageBreakBefore w:val="0"/>
        <w:widowControl w:val="0"/>
        <w:numPr>
          <w:ilvl w:val="0"/>
          <w:numId w:val="0"/>
        </w:numPr>
        <w:kinsoku/>
        <w:wordWrap/>
        <w:overflowPunct/>
        <w:topLinePunct w:val="0"/>
        <w:autoSpaceDE/>
        <w:autoSpaceDN/>
        <w:bidi w:val="0"/>
        <w:spacing w:after="0" w:line="360" w:lineRule="auto"/>
        <w:ind w:left="0" w:leftChars="0" w:firstLine="422" w:firstLineChars="200"/>
        <w:textAlignment w:val="auto"/>
        <w:rPr>
          <w:rFonts w:hint="eastAsia" w:ascii="宋体" w:hAnsi="宋体" w:eastAsia="宋体" w:cs="宋体"/>
          <w:b/>
          <w:bCs/>
          <w:kern w:val="2"/>
          <w:sz w:val="21"/>
          <w:szCs w:val="21"/>
          <w:highlight w:val="yellow"/>
          <w:lang w:val="en-US" w:eastAsia="zh-CN" w:bidi="ar-SA"/>
        </w:rPr>
      </w:pPr>
      <w:r>
        <w:rPr>
          <w:rFonts w:hint="eastAsia" w:ascii="宋体" w:hAnsi="宋体" w:eastAsia="宋体" w:cs="宋体"/>
          <w:b/>
          <w:bCs/>
          <w:kern w:val="2"/>
          <w:sz w:val="21"/>
          <w:szCs w:val="21"/>
          <w:highlight w:val="yellow"/>
          <w:lang w:val="en-US" w:eastAsia="zh-CN" w:bidi="ar-SA"/>
        </w:rPr>
        <w:t>2、如采购人对履约情况不满意或者中标人在合同履行期间因违法行为被禁止参与政府采购活动或者存在其他重大违法行为的，采购人不再续约。</w:t>
      </w:r>
    </w:p>
    <w:p w14:paraId="7E84F8B1">
      <w:pPr>
        <w:pStyle w:val="7"/>
        <w:keepNext w:val="0"/>
        <w:keepLines w:val="0"/>
        <w:pageBreakBefore w:val="0"/>
        <w:widowControl w:val="0"/>
        <w:tabs>
          <w:tab w:val="left" w:pos="562"/>
          <w:tab w:val="left" w:pos="3372"/>
          <w:tab w:val="left" w:pos="3653"/>
        </w:tabs>
        <w:kinsoku/>
        <w:wordWrap/>
        <w:overflowPunct/>
        <w:topLinePunct w:val="0"/>
        <w:autoSpaceDE/>
        <w:autoSpaceDN/>
        <w:bidi w:val="0"/>
        <w:spacing w:after="0" w:line="360" w:lineRule="auto"/>
        <w:ind w:left="0"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highlight w:val="yellow"/>
          <w:lang w:val="en-US" w:eastAsia="zh-CN"/>
        </w:rPr>
        <w:t>3、售后服务期限：项目完成由采购人验收通过后进入售后服务期1年，中标人要在售后服务期限内提供相关咨询、协调和项目审查等技术支持。</w:t>
      </w:r>
    </w:p>
    <w:p w14:paraId="36278F13">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 w:val="21"/>
          <w:szCs w:val="21"/>
        </w:rPr>
        <w:t>保密要求</w:t>
      </w:r>
    </w:p>
    <w:p w14:paraId="6288E7F1">
      <w:pPr>
        <w:keepNext w:val="0"/>
        <w:keepLines w:val="0"/>
        <w:pageBreakBefore w:val="0"/>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标号招标文件、中标人投标文件，国家和行业有关规范、规程和标准。</w:t>
      </w:r>
    </w:p>
    <w:p w14:paraId="4A966CDC">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highlight w:val="yellow"/>
        </w:rPr>
      </w:pPr>
      <w:r>
        <w:rPr>
          <w:rFonts w:hint="eastAsia" w:ascii="宋体" w:hAnsi="宋体" w:eastAsia="宋体" w:cs="宋体"/>
          <w:b/>
          <w:bCs/>
          <w:color w:val="000000"/>
          <w:kern w:val="0"/>
          <w:sz w:val="21"/>
          <w:szCs w:val="21"/>
          <w:highlight w:val="yellow"/>
        </w:rPr>
        <w:t>★</w:t>
      </w:r>
      <w:r>
        <w:rPr>
          <w:rFonts w:hint="eastAsia" w:ascii="宋体" w:hAnsi="宋体" w:eastAsia="宋体" w:cs="宋体"/>
          <w:b/>
          <w:bCs/>
          <w:color w:val="000000"/>
          <w:kern w:val="0"/>
          <w:sz w:val="21"/>
          <w:szCs w:val="21"/>
          <w:highlight w:val="yellow"/>
          <w:lang w:val="en-US" w:eastAsia="zh-CN" w:bidi="ar-SA"/>
        </w:rPr>
        <w:t>（五）</w:t>
      </w:r>
      <w:r>
        <w:rPr>
          <w:rFonts w:hint="eastAsia" w:ascii="宋体" w:hAnsi="宋体" w:eastAsia="宋体" w:cs="宋体"/>
          <w:b/>
          <w:bCs/>
          <w:color w:val="000000"/>
          <w:kern w:val="0"/>
          <w:sz w:val="21"/>
          <w:szCs w:val="21"/>
          <w:highlight w:val="yellow"/>
        </w:rPr>
        <w:t>违约责任</w:t>
      </w:r>
      <w:r>
        <w:rPr>
          <w:rFonts w:hint="eastAsia" w:ascii="宋体" w:hAnsi="宋体" w:eastAsia="宋体" w:cs="宋体"/>
          <w:b/>
          <w:bCs/>
          <w:color w:val="000000"/>
          <w:kern w:val="0"/>
          <w:sz w:val="21"/>
          <w:szCs w:val="21"/>
          <w:highlight w:val="yellow"/>
        </w:rPr>
        <w:tab/>
      </w:r>
    </w:p>
    <w:p w14:paraId="6BACDE1D">
      <w:pPr>
        <w:keepNext w:val="0"/>
        <w:keepLines w:val="0"/>
        <w:pageBreakBefore w:val="0"/>
        <w:numPr>
          <w:ilvl w:val="1"/>
          <w:numId w:val="0"/>
        </w:numPr>
        <w:tabs>
          <w:tab w:val="left" w:pos="540"/>
          <w:tab w:val="left" w:pos="78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sz w:val="21"/>
          <w:szCs w:val="21"/>
          <w:highlight w:val="yellow"/>
        </w:rPr>
      </w:pPr>
      <w:r>
        <w:rPr>
          <w:rFonts w:hint="eastAsia" w:ascii="宋体" w:hAnsi="宋体" w:eastAsia="宋体" w:cs="宋体"/>
          <w:b/>
          <w:bCs/>
          <w:color w:val="auto"/>
          <w:kern w:val="2"/>
          <w:sz w:val="21"/>
          <w:szCs w:val="21"/>
          <w:highlight w:val="yellow"/>
          <w:lang w:val="en-US" w:eastAsia="zh-CN" w:bidi="ar-SA"/>
        </w:rPr>
        <w:t>1、</w:t>
      </w:r>
      <w:r>
        <w:rPr>
          <w:rFonts w:hint="eastAsia" w:ascii="宋体" w:hAnsi="宋体" w:eastAsia="宋体" w:cs="宋体"/>
          <w:b/>
          <w:bCs/>
          <w:kern w:val="0"/>
          <w:sz w:val="21"/>
          <w:szCs w:val="21"/>
          <w:highlight w:val="yellow"/>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11E6E527">
      <w:pPr>
        <w:keepNext w:val="0"/>
        <w:keepLines w:val="0"/>
        <w:pageBreakBefore w:val="0"/>
        <w:numPr>
          <w:ilvl w:val="1"/>
          <w:numId w:val="0"/>
        </w:numPr>
        <w:tabs>
          <w:tab w:val="left" w:pos="540"/>
          <w:tab w:val="left" w:pos="78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sz w:val="21"/>
          <w:szCs w:val="21"/>
          <w:highlight w:val="yellow"/>
        </w:rPr>
      </w:pPr>
      <w:r>
        <w:rPr>
          <w:rFonts w:hint="eastAsia" w:ascii="宋体" w:hAnsi="宋体" w:eastAsia="宋体" w:cs="宋体"/>
          <w:b/>
          <w:bCs/>
          <w:color w:val="auto"/>
          <w:kern w:val="2"/>
          <w:sz w:val="21"/>
          <w:szCs w:val="21"/>
          <w:highlight w:val="yellow"/>
          <w:lang w:val="en-US" w:eastAsia="zh-CN" w:bidi="ar-SA"/>
        </w:rPr>
        <w:t>2、</w:t>
      </w:r>
      <w:r>
        <w:rPr>
          <w:rFonts w:hint="eastAsia" w:ascii="宋体" w:hAnsi="宋体" w:eastAsia="宋体" w:cs="宋体"/>
          <w:b/>
          <w:bCs/>
          <w:kern w:val="0"/>
          <w:sz w:val="21"/>
          <w:szCs w:val="21"/>
          <w:highlight w:val="yellow"/>
        </w:rPr>
        <w:t>如中标人提供的技术服务或技术服务文件不符合质量要求，必须在采购人提出要求后7天内无条件修改，其费用由中标人承担。</w:t>
      </w:r>
      <w:r>
        <w:rPr>
          <w:rFonts w:hint="eastAsia" w:ascii="宋体" w:hAnsi="宋体" w:eastAsia="宋体" w:cs="宋体"/>
          <w:b/>
          <w:bCs/>
          <w:sz w:val="21"/>
          <w:szCs w:val="21"/>
          <w:highlight w:val="yellow"/>
        </w:rPr>
        <w:t>中标人经修改后</w:t>
      </w:r>
      <w:r>
        <w:rPr>
          <w:rFonts w:hint="eastAsia" w:ascii="宋体" w:hAnsi="宋体" w:eastAsia="宋体" w:cs="宋体"/>
          <w:b/>
          <w:bCs/>
          <w:kern w:val="0"/>
          <w:sz w:val="21"/>
          <w:szCs w:val="21"/>
          <w:highlight w:val="yellow"/>
        </w:rPr>
        <w:t>提供的技术服务或技术服务文件</w:t>
      </w:r>
      <w:r>
        <w:rPr>
          <w:rFonts w:hint="eastAsia" w:ascii="宋体" w:hAnsi="宋体" w:eastAsia="宋体" w:cs="宋体"/>
          <w:b/>
          <w:bCs/>
          <w:sz w:val="21"/>
          <w:szCs w:val="21"/>
          <w:highlight w:val="yellow"/>
        </w:rPr>
        <w:t>仍</w:t>
      </w:r>
      <w:r>
        <w:rPr>
          <w:rFonts w:hint="eastAsia" w:ascii="宋体" w:hAnsi="宋体" w:eastAsia="宋体" w:cs="宋体"/>
          <w:b/>
          <w:bCs/>
          <w:kern w:val="0"/>
          <w:sz w:val="21"/>
          <w:szCs w:val="21"/>
          <w:highlight w:val="yellow"/>
        </w:rPr>
        <w:t>不符合质量要求的</w:t>
      </w:r>
      <w:r>
        <w:rPr>
          <w:rFonts w:hint="eastAsia" w:ascii="宋体" w:hAnsi="宋体" w:eastAsia="宋体" w:cs="宋体"/>
          <w:b/>
          <w:bCs/>
          <w:sz w:val="21"/>
          <w:szCs w:val="21"/>
          <w:highlight w:val="yellow"/>
        </w:rPr>
        <w:t>，</w:t>
      </w:r>
      <w:r>
        <w:rPr>
          <w:rFonts w:hint="eastAsia" w:ascii="宋体" w:hAnsi="宋体" w:eastAsia="宋体" w:cs="宋体"/>
          <w:b/>
          <w:bCs/>
          <w:kern w:val="0"/>
          <w:sz w:val="21"/>
          <w:szCs w:val="21"/>
          <w:highlight w:val="yellow"/>
        </w:rPr>
        <w:t>采购人有权解除合同，中标人应当返还采购人已支付款项并向采购人支付采购合同总价款20%的违约金；</w:t>
      </w:r>
    </w:p>
    <w:p w14:paraId="66424E40">
      <w:pPr>
        <w:pStyle w:val="15"/>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b/>
          <w:bCs/>
          <w:sz w:val="21"/>
          <w:szCs w:val="21"/>
          <w:highlight w:val="yellow"/>
        </w:rPr>
      </w:pPr>
      <w:r>
        <w:rPr>
          <w:rFonts w:hint="eastAsia" w:ascii="宋体" w:hAnsi="宋体" w:eastAsia="宋体" w:cs="宋体"/>
          <w:b/>
          <w:bCs/>
          <w:sz w:val="21"/>
          <w:szCs w:val="21"/>
          <w:highlight w:val="yellow"/>
        </w:rPr>
        <w:t>3、如中标人违反保密义务或提供的项目服务或项目成果侵犯第三方知识产权的，采购人有权解除合同，中标人应当返还采购人已支付款项并向采购人支付采购合同总价款20%的违约金；</w:t>
      </w:r>
    </w:p>
    <w:p w14:paraId="6153ADBA">
      <w:pPr>
        <w:pStyle w:val="15"/>
        <w:keepNext w:val="0"/>
        <w:keepLines w:val="0"/>
        <w:pageBreakBefore w:val="0"/>
        <w:kinsoku/>
        <w:wordWrap/>
        <w:overflowPunct/>
        <w:topLinePunct w:val="0"/>
        <w:autoSpaceDE/>
        <w:autoSpaceDN/>
        <w:bidi w:val="0"/>
        <w:spacing w:line="360" w:lineRule="auto"/>
        <w:ind w:left="0"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highlight w:val="yellow"/>
        </w:rPr>
        <w:t>4、未经采购人同意，中标人不得将项目转包或分包给其他第三方，如若违反，采购人有权解除合同，中标人应当返还采购人已支付的款项并向采购人支付采购合同总价款20%的违约金。</w:t>
      </w:r>
      <w:r>
        <w:rPr>
          <w:rFonts w:hint="eastAsia" w:ascii="宋体" w:hAnsi="宋体" w:eastAsia="宋体" w:cs="宋体"/>
          <w:sz w:val="21"/>
          <w:szCs w:val="21"/>
        </w:rPr>
        <w:t xml:space="preserve"> </w:t>
      </w:r>
    </w:p>
    <w:p w14:paraId="2CF5FD3D">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SA"/>
        </w:rPr>
        <w:t>（六）</w:t>
      </w:r>
      <w:r>
        <w:rPr>
          <w:rFonts w:hint="eastAsia" w:ascii="宋体" w:hAnsi="宋体" w:eastAsia="宋体" w:cs="宋体"/>
          <w:b/>
          <w:bCs/>
          <w:color w:val="000000"/>
          <w:kern w:val="0"/>
          <w:sz w:val="21"/>
          <w:szCs w:val="21"/>
        </w:rPr>
        <w:t>合同的变更</w:t>
      </w:r>
    </w:p>
    <w:p w14:paraId="55FEF01C">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 w:val="21"/>
          <w:szCs w:val="21"/>
        </w:rPr>
        <w:t>在合同履行过程中，采购人、中标人双方可就合同履行的时间、地点和方式等协商进行变更。协商一致后，双方应签订书面的补充协议。</w:t>
      </w:r>
    </w:p>
    <w:p w14:paraId="5EBAADDB">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2、</w:t>
      </w:r>
      <w:r>
        <w:rPr>
          <w:rFonts w:hint="eastAsia" w:ascii="宋体" w:hAnsi="宋体" w:eastAsia="宋体" w:cs="宋体"/>
          <w:kern w:val="0"/>
          <w:sz w:val="21"/>
          <w:szCs w:val="21"/>
        </w:rPr>
        <w:t>在不改变合同其他条款的前提下，采购人有权在合同价款改变正负百分之十的范围内追加或减少与合同标的相同的货物或服务，并就此与中标人签订补充合同，中标人不得拒绝。</w:t>
      </w:r>
    </w:p>
    <w:p w14:paraId="2E788C43">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3、</w:t>
      </w:r>
      <w:r>
        <w:rPr>
          <w:rFonts w:hint="eastAsia" w:ascii="宋体" w:hAnsi="宋体" w:eastAsia="宋体" w:cs="宋体"/>
          <w:kern w:val="0"/>
          <w:sz w:val="21"/>
          <w:szCs w:val="21"/>
        </w:rPr>
        <w:t>除了双方签署书面协议，并成为合同不可分割的一部分之外，合同条件不得有任何变更。</w:t>
      </w:r>
    </w:p>
    <w:p w14:paraId="68B6A35A">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SA"/>
        </w:rPr>
        <w:t>（七）</w:t>
      </w:r>
      <w:r>
        <w:rPr>
          <w:rFonts w:hint="eastAsia" w:ascii="宋体" w:hAnsi="宋体" w:eastAsia="宋体" w:cs="宋体"/>
          <w:b/>
          <w:bCs/>
          <w:color w:val="000000"/>
          <w:kern w:val="0"/>
          <w:sz w:val="21"/>
          <w:szCs w:val="21"/>
        </w:rPr>
        <w:t>合同转让和分包</w:t>
      </w:r>
    </w:p>
    <w:p w14:paraId="599F8612">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 w:val="21"/>
          <w:szCs w:val="21"/>
        </w:rPr>
        <w:t>中标人不得以任何形式部分或全部转让其应履行的合同义务。</w:t>
      </w:r>
    </w:p>
    <w:p w14:paraId="7B4B3B19">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2、</w:t>
      </w:r>
      <w:r>
        <w:rPr>
          <w:rFonts w:hint="eastAsia" w:ascii="宋体" w:hAnsi="宋体" w:eastAsia="宋体" w:cs="宋体"/>
          <w:kern w:val="0"/>
          <w:sz w:val="21"/>
          <w:szCs w:val="21"/>
        </w:rPr>
        <w:t>除非在投标文件中提出的分包项目和建议的分包人，中标人不得采用分包方式履行合同。</w:t>
      </w:r>
    </w:p>
    <w:p w14:paraId="41BD8490">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3、</w:t>
      </w:r>
      <w:r>
        <w:rPr>
          <w:rFonts w:hint="eastAsia" w:ascii="宋体" w:hAnsi="宋体" w:eastAsia="宋体" w:cs="宋体"/>
          <w:kern w:val="0"/>
          <w:sz w:val="21"/>
          <w:szCs w:val="21"/>
        </w:rPr>
        <w:t>在合同实施过程中，除非中标人违约，采购人不得指定分包人。</w:t>
      </w:r>
    </w:p>
    <w:p w14:paraId="066E9073">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SA"/>
        </w:rPr>
        <w:t>（八）</w:t>
      </w:r>
      <w:r>
        <w:rPr>
          <w:rFonts w:hint="eastAsia" w:ascii="宋体" w:hAnsi="宋体" w:eastAsia="宋体" w:cs="宋体"/>
          <w:b/>
          <w:bCs/>
          <w:color w:val="000000"/>
          <w:kern w:val="0"/>
          <w:sz w:val="21"/>
          <w:szCs w:val="21"/>
        </w:rPr>
        <w:t>解决争议的方法</w:t>
      </w:r>
      <w:r>
        <w:rPr>
          <w:rFonts w:hint="eastAsia" w:ascii="宋体" w:hAnsi="宋体" w:eastAsia="宋体" w:cs="宋体"/>
          <w:b/>
          <w:bCs/>
          <w:color w:val="000000"/>
          <w:kern w:val="0"/>
          <w:sz w:val="21"/>
          <w:szCs w:val="21"/>
        </w:rPr>
        <w:tab/>
      </w:r>
    </w:p>
    <w:p w14:paraId="65BC704F">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 w:val="21"/>
          <w:szCs w:val="21"/>
        </w:rPr>
        <w:t>合同各方应通过友好协商，解决在执行合同过程中所发生的或与合同有关的一切争端。</w:t>
      </w:r>
    </w:p>
    <w:p w14:paraId="7638A52F">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2、</w:t>
      </w:r>
      <w:r>
        <w:rPr>
          <w:rFonts w:hint="eastAsia" w:ascii="宋体" w:hAnsi="宋体" w:eastAsia="宋体" w:cs="宋体"/>
          <w:kern w:val="0"/>
          <w:sz w:val="21"/>
          <w:szCs w:val="21"/>
        </w:rPr>
        <w:t>如从协商开始28天内仍不能解决，任一方可向采购人所在地的人民法院提起诉讼。</w:t>
      </w:r>
    </w:p>
    <w:p w14:paraId="60F2B384">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3、</w:t>
      </w:r>
      <w:r>
        <w:rPr>
          <w:rFonts w:hint="eastAsia" w:ascii="宋体" w:hAnsi="宋体" w:eastAsia="宋体" w:cs="宋体"/>
          <w:kern w:val="0"/>
          <w:sz w:val="21"/>
          <w:szCs w:val="21"/>
        </w:rPr>
        <w:t>在诉讼期间，除正在进行诉讼的部分外，合同的其他部分应继续执行。</w:t>
      </w:r>
    </w:p>
    <w:p w14:paraId="6A61090C">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SA"/>
        </w:rPr>
        <w:t>（九）</w:t>
      </w:r>
      <w:r>
        <w:rPr>
          <w:rFonts w:hint="eastAsia" w:ascii="宋体" w:hAnsi="宋体" w:eastAsia="宋体" w:cs="宋体"/>
          <w:b/>
          <w:bCs/>
          <w:color w:val="000000"/>
          <w:kern w:val="0"/>
          <w:sz w:val="21"/>
          <w:szCs w:val="21"/>
        </w:rPr>
        <w:t>合同语言</w:t>
      </w:r>
      <w:r>
        <w:rPr>
          <w:rFonts w:hint="eastAsia" w:ascii="宋体" w:hAnsi="宋体" w:eastAsia="宋体" w:cs="宋体"/>
          <w:b/>
          <w:bCs/>
          <w:color w:val="000000"/>
          <w:kern w:val="0"/>
          <w:sz w:val="21"/>
          <w:szCs w:val="21"/>
        </w:rPr>
        <w:tab/>
      </w:r>
    </w:p>
    <w:p w14:paraId="0B62229F">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 w:val="21"/>
          <w:szCs w:val="21"/>
        </w:rPr>
        <w:t>合同以及双方来住的与合同有关的信件、传真和其它文件应用中文书写。</w:t>
      </w:r>
    </w:p>
    <w:p w14:paraId="2F7C758C">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SA"/>
        </w:rPr>
        <w:t>（十）</w:t>
      </w:r>
      <w:r>
        <w:rPr>
          <w:rFonts w:hint="eastAsia" w:ascii="宋体" w:hAnsi="宋体" w:eastAsia="宋体" w:cs="宋体"/>
          <w:b/>
          <w:bCs/>
          <w:color w:val="000000"/>
          <w:kern w:val="0"/>
          <w:sz w:val="21"/>
          <w:szCs w:val="21"/>
        </w:rPr>
        <w:t>法律适用</w:t>
      </w:r>
      <w:r>
        <w:rPr>
          <w:rFonts w:hint="eastAsia" w:ascii="宋体" w:hAnsi="宋体" w:eastAsia="宋体" w:cs="宋体"/>
          <w:b/>
          <w:bCs/>
          <w:color w:val="000000"/>
          <w:kern w:val="0"/>
          <w:sz w:val="21"/>
          <w:szCs w:val="21"/>
        </w:rPr>
        <w:tab/>
      </w:r>
    </w:p>
    <w:p w14:paraId="58B17676">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 w:val="21"/>
          <w:szCs w:val="21"/>
        </w:rPr>
        <w:t>合同适用中华人民共和国现行法律、行政法规和规章，如合同条款与法律、行政法规和规章不一致的，按照法律、行政法规和规章修改合同。</w:t>
      </w:r>
    </w:p>
    <w:p w14:paraId="0DE336B7">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SA"/>
        </w:rPr>
        <w:t>（十一）</w:t>
      </w:r>
      <w:r>
        <w:rPr>
          <w:rFonts w:hint="eastAsia" w:ascii="宋体" w:hAnsi="宋体" w:eastAsia="宋体" w:cs="宋体"/>
          <w:b/>
          <w:bCs/>
          <w:color w:val="000000"/>
          <w:kern w:val="0"/>
          <w:sz w:val="21"/>
          <w:szCs w:val="21"/>
        </w:rPr>
        <w:t>通知</w:t>
      </w:r>
      <w:r>
        <w:rPr>
          <w:rFonts w:hint="eastAsia" w:ascii="宋体" w:hAnsi="宋体" w:eastAsia="宋体" w:cs="宋体"/>
          <w:b/>
          <w:bCs/>
          <w:color w:val="000000"/>
          <w:kern w:val="0"/>
          <w:sz w:val="21"/>
          <w:szCs w:val="21"/>
        </w:rPr>
        <w:tab/>
      </w:r>
    </w:p>
    <w:p w14:paraId="20261B6B">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1、</w:t>
      </w:r>
      <w:r>
        <w:rPr>
          <w:rFonts w:hint="eastAsia" w:ascii="宋体" w:hAnsi="宋体" w:eastAsia="宋体" w:cs="宋体"/>
          <w:kern w:val="0"/>
          <w:sz w:val="21"/>
          <w:szCs w:val="21"/>
        </w:rPr>
        <w:t>合同一方给另一方的通知均应采用书面形式，传真或快递送到对方的地址和办理签收手续。</w:t>
      </w:r>
    </w:p>
    <w:p w14:paraId="297A7F06">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kern w:val="0"/>
          <w:sz w:val="21"/>
          <w:szCs w:val="21"/>
        </w:rPr>
      </w:pPr>
      <w:r>
        <w:rPr>
          <w:rFonts w:hint="eastAsia" w:ascii="宋体" w:hAnsi="宋体" w:eastAsia="宋体" w:cs="宋体"/>
          <w:b w:val="0"/>
          <w:color w:val="auto"/>
          <w:kern w:val="0"/>
          <w:sz w:val="21"/>
          <w:szCs w:val="21"/>
          <w:lang w:val="en-US" w:eastAsia="zh-CN" w:bidi="ar-SA"/>
        </w:rPr>
        <w:t>2、</w:t>
      </w:r>
      <w:r>
        <w:rPr>
          <w:rFonts w:hint="eastAsia" w:ascii="宋体" w:hAnsi="宋体" w:eastAsia="宋体" w:cs="宋体"/>
          <w:kern w:val="0"/>
          <w:sz w:val="21"/>
          <w:szCs w:val="21"/>
        </w:rPr>
        <w:t>通知以送到之日或通知书中规定的生效之日起生效，两者中以较迟之日为准。</w:t>
      </w:r>
    </w:p>
    <w:p w14:paraId="34BC7E17">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highlight w:val="yellow"/>
        </w:rPr>
      </w:pPr>
      <w:r>
        <w:rPr>
          <w:rFonts w:hint="eastAsia" w:ascii="宋体" w:hAnsi="宋体" w:eastAsia="宋体" w:cs="宋体"/>
          <w:b/>
          <w:bCs/>
          <w:color w:val="000000"/>
          <w:kern w:val="0"/>
          <w:sz w:val="21"/>
          <w:szCs w:val="21"/>
          <w:highlight w:val="yellow"/>
        </w:rPr>
        <w:t>★</w:t>
      </w:r>
      <w:r>
        <w:rPr>
          <w:rFonts w:hint="eastAsia" w:ascii="宋体" w:hAnsi="宋体" w:eastAsia="宋体" w:cs="宋体"/>
          <w:b/>
          <w:bCs/>
          <w:color w:val="000000"/>
          <w:kern w:val="0"/>
          <w:sz w:val="21"/>
          <w:szCs w:val="21"/>
          <w:highlight w:val="yellow"/>
          <w:lang w:val="en-US" w:eastAsia="zh-CN" w:bidi="ar-SA"/>
        </w:rPr>
        <w:t>（十二）</w:t>
      </w:r>
      <w:r>
        <w:rPr>
          <w:rFonts w:hint="eastAsia" w:ascii="宋体" w:hAnsi="宋体" w:eastAsia="宋体" w:cs="宋体"/>
          <w:b/>
          <w:bCs/>
          <w:color w:val="000000"/>
          <w:kern w:val="0"/>
          <w:sz w:val="21"/>
          <w:szCs w:val="21"/>
          <w:highlight w:val="yellow"/>
        </w:rPr>
        <w:t>知识产权合规承诺</w:t>
      </w:r>
      <w:r>
        <w:rPr>
          <w:rFonts w:hint="eastAsia" w:ascii="宋体" w:hAnsi="宋体" w:eastAsia="宋体" w:cs="宋体"/>
          <w:b/>
          <w:bCs/>
          <w:color w:val="000000"/>
          <w:kern w:val="0"/>
          <w:sz w:val="21"/>
          <w:szCs w:val="21"/>
          <w:highlight w:val="yellow"/>
        </w:rPr>
        <w:tab/>
      </w:r>
    </w:p>
    <w:p w14:paraId="38DBE33A">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kern w:val="0"/>
          <w:sz w:val="21"/>
          <w:szCs w:val="21"/>
          <w:highlight w:val="yellow"/>
        </w:rPr>
      </w:pPr>
      <w:r>
        <w:rPr>
          <w:rFonts w:hint="eastAsia" w:ascii="宋体" w:hAnsi="宋体" w:eastAsia="宋体" w:cs="宋体"/>
          <w:b/>
          <w:bCs/>
          <w:color w:val="auto"/>
          <w:kern w:val="0"/>
          <w:sz w:val="21"/>
          <w:szCs w:val="21"/>
          <w:highlight w:val="yellow"/>
          <w:lang w:val="en-US" w:eastAsia="zh-CN" w:bidi="ar-SA"/>
        </w:rPr>
        <w:t>1、</w:t>
      </w:r>
      <w:r>
        <w:rPr>
          <w:rFonts w:hint="eastAsia" w:ascii="宋体" w:hAnsi="宋体" w:eastAsia="宋体" w:cs="宋体"/>
          <w:b/>
          <w:bCs/>
          <w:kern w:val="0"/>
          <w:sz w:val="21"/>
          <w:szCs w:val="21"/>
          <w:highlight w:val="yellow"/>
        </w:rPr>
        <w:t>中标人在履行合同的过程中不得侵犯他人知识产权，不得提供虚假知识产权申请材料或者违背知识产权合规性承诺，否则依法追究其违约等责任，并将其失信违法信息依法纳入公共信用信息系统。</w:t>
      </w:r>
    </w:p>
    <w:p w14:paraId="0AC1CC5A">
      <w:pPr>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bCs/>
          <w:kern w:val="0"/>
          <w:sz w:val="21"/>
          <w:szCs w:val="21"/>
          <w:highlight w:val="yellow"/>
        </w:rPr>
      </w:pPr>
      <w:r>
        <w:rPr>
          <w:rFonts w:hint="eastAsia" w:ascii="宋体" w:hAnsi="宋体" w:eastAsia="宋体" w:cs="宋体"/>
          <w:b/>
          <w:bCs/>
          <w:color w:val="auto"/>
          <w:kern w:val="0"/>
          <w:sz w:val="21"/>
          <w:szCs w:val="21"/>
          <w:highlight w:val="yellow"/>
          <w:lang w:val="en-US" w:eastAsia="zh-CN" w:bidi="ar-SA"/>
        </w:rPr>
        <w:t>2、</w:t>
      </w:r>
      <w:r>
        <w:rPr>
          <w:rFonts w:hint="eastAsia" w:ascii="宋体" w:hAnsi="宋体" w:eastAsia="宋体" w:cs="宋体"/>
          <w:b/>
          <w:bCs/>
          <w:kern w:val="0"/>
          <w:sz w:val="21"/>
          <w:szCs w:val="21"/>
          <w:highlight w:val="yellow"/>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14:paraId="5DAE75E0">
      <w:pPr>
        <w:pStyle w:val="9"/>
        <w:keepNext w:val="0"/>
        <w:keepLines w:val="0"/>
        <w:pageBreakBefore w:val="0"/>
        <w:widowControl w:val="0"/>
        <w:numPr>
          <w:ilvl w:val="1"/>
          <w:numId w:val="0"/>
        </w:numPr>
        <w:tabs>
          <w:tab w:val="left" w:pos="780"/>
        </w:tabs>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b/>
          <w:bCs/>
          <w:color w:val="auto"/>
          <w:kern w:val="0"/>
          <w:sz w:val="21"/>
          <w:szCs w:val="21"/>
          <w:highlight w:val="yellow"/>
          <w:lang w:val="en-US" w:eastAsia="zh-CN" w:bidi="ar-SA"/>
        </w:rPr>
        <w:t>3、</w:t>
      </w:r>
      <w:r>
        <w:rPr>
          <w:rFonts w:hint="eastAsia" w:ascii="宋体" w:hAnsi="宋体" w:eastAsia="宋体" w:cs="宋体"/>
          <w:b/>
          <w:bCs/>
          <w:kern w:val="0"/>
          <w:sz w:val="21"/>
          <w:szCs w:val="21"/>
          <w:highlight w:val="yellow"/>
          <w:lang w:val="en-US" w:eastAsia="zh-CN"/>
        </w:rPr>
        <w:t>中标人实施本项目所形成成果的知识产权归采购人所有，未经采购人许可，中标人不得随意使用。</w:t>
      </w:r>
    </w:p>
    <w:p w14:paraId="0DC4783E">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SA"/>
        </w:rPr>
        <w:t>（十三）</w:t>
      </w:r>
      <w:r>
        <w:rPr>
          <w:rFonts w:hint="eastAsia" w:ascii="宋体" w:hAnsi="宋体" w:eastAsia="宋体" w:cs="宋体"/>
          <w:b/>
          <w:bCs/>
          <w:color w:val="000000"/>
          <w:kern w:val="0"/>
          <w:sz w:val="21"/>
          <w:szCs w:val="21"/>
        </w:rPr>
        <w:t>合同解除和终止</w:t>
      </w:r>
      <w:r>
        <w:rPr>
          <w:rFonts w:hint="eastAsia" w:ascii="宋体" w:hAnsi="宋体" w:eastAsia="宋体" w:cs="宋体"/>
          <w:b/>
          <w:bCs/>
          <w:color w:val="000000"/>
          <w:kern w:val="0"/>
          <w:sz w:val="21"/>
          <w:szCs w:val="21"/>
        </w:rPr>
        <w:tab/>
      </w:r>
    </w:p>
    <w:p w14:paraId="2C51BCC7">
      <w:pPr>
        <w:keepNext w:val="0"/>
        <w:keepLines w:val="0"/>
        <w:pageBreakBefore w:val="0"/>
        <w:widowControl w:val="0"/>
        <w:tabs>
          <w:tab w:val="left" w:pos="780"/>
        </w:tabs>
        <w:kinsoku/>
        <w:wordWrap/>
        <w:overflowPunct/>
        <w:topLinePunct w:val="0"/>
        <w:autoSpaceDE/>
        <w:autoSpaceDN/>
        <w:bidi w:val="0"/>
        <w:adjustRightInd w:val="0"/>
        <w:snapToGrid w:val="0"/>
        <w:spacing w:line="360" w:lineRule="auto"/>
        <w:ind w:left="0"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24EC54AA">
      <w:pPr>
        <w:keepNext w:val="0"/>
        <w:keepLines w:val="0"/>
        <w:pageBreakBefore w:val="0"/>
        <w:widowControl w:val="0"/>
        <w:numPr>
          <w:ilvl w:val="0"/>
          <w:numId w:val="0"/>
        </w:numPr>
        <w:tabs>
          <w:tab w:val="left" w:pos="540"/>
        </w:tabs>
        <w:kinsoku/>
        <w:wordWrap/>
        <w:overflowPunct/>
        <w:topLinePunct w:val="0"/>
        <w:autoSpaceDE/>
        <w:autoSpaceDN/>
        <w:bidi w:val="0"/>
        <w:adjustRightInd w:val="0"/>
        <w:snapToGrid w:val="0"/>
        <w:spacing w:line="360" w:lineRule="auto"/>
        <w:ind w:left="420" w:leftChars="0" w:hanging="420" w:firstLineChars="0"/>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bidi="ar-SA"/>
        </w:rPr>
        <w:t>（十</w:t>
      </w:r>
      <w:bookmarkStart w:id="0" w:name="_GoBack"/>
      <w:r>
        <w:rPr>
          <w:rFonts w:hint="eastAsia" w:ascii="宋体" w:hAnsi="宋体" w:eastAsia="宋体" w:cs="宋体"/>
          <w:b/>
          <w:bCs/>
          <w:color w:val="000000"/>
          <w:kern w:val="0"/>
          <w:sz w:val="21"/>
          <w:szCs w:val="21"/>
          <w:lang w:val="en-US" w:eastAsia="zh-CN" w:bidi="ar-SA"/>
        </w:rPr>
        <w:t>四）</w:t>
      </w:r>
      <w:r>
        <w:rPr>
          <w:rFonts w:hint="eastAsia" w:ascii="宋体" w:hAnsi="宋体" w:eastAsia="宋体" w:cs="宋体"/>
          <w:b/>
          <w:bCs/>
          <w:color w:val="000000"/>
          <w:kern w:val="0"/>
          <w:sz w:val="21"/>
          <w:szCs w:val="21"/>
        </w:rPr>
        <w:t>税费</w:t>
      </w:r>
      <w:bookmarkEnd w:id="0"/>
      <w:r>
        <w:rPr>
          <w:rFonts w:hint="eastAsia" w:ascii="宋体" w:hAnsi="宋体" w:eastAsia="宋体" w:cs="宋体"/>
          <w:b/>
          <w:bCs/>
          <w:color w:val="000000"/>
          <w:kern w:val="0"/>
          <w:sz w:val="21"/>
          <w:szCs w:val="21"/>
        </w:rPr>
        <w:tab/>
      </w:r>
    </w:p>
    <w:p w14:paraId="65C0EAF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b w:val="0"/>
          <w:bCs/>
          <w:sz w:val="21"/>
          <w:szCs w:val="21"/>
        </w:rPr>
      </w:pPr>
      <w:r>
        <w:rPr>
          <w:rFonts w:hint="eastAsia" w:ascii="宋体" w:hAnsi="宋体" w:eastAsia="宋体" w:cs="宋体"/>
          <w:kern w:val="0"/>
          <w:sz w:val="21"/>
          <w:szCs w:val="21"/>
        </w:rPr>
        <w:t>中国政府根据现行税法向中标人征收的与合同有关的一切税费均由中标人负责。</w:t>
      </w:r>
    </w:p>
    <w:sectPr>
      <w:footerReference r:id="rId5" w:type="first"/>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长城仿宋">
    <w:altName w:val="黑体"/>
    <w:panose1 w:val="00000000000000000000"/>
    <w:charset w:val="86"/>
    <w:family w:val="modern"/>
    <w:pitch w:val="default"/>
    <w:sig w:usb0="00000000" w:usb1="00000000" w:usb2="00000010" w:usb3="00000000" w:csb0="00040000" w:csb1="00000000"/>
  </w:font>
  <w:font w:name="H Yb 2gj">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2"/>
      <w:docPartObj>
        <w:docPartGallery w:val="autotext"/>
      </w:docPartObj>
    </w:sdtPr>
    <w:sdtContent>
      <w:p w14:paraId="6BF5143B">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14:paraId="0482999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32003"/>
      <w:docPartObj>
        <w:docPartGallery w:val="autotext"/>
      </w:docPartObj>
    </w:sdtPr>
    <w:sdtContent>
      <w:p w14:paraId="34D04A62">
        <w:pPr>
          <w:pStyle w:val="12"/>
          <w:jc w:val="center"/>
        </w:pPr>
      </w:p>
    </w:sdtContent>
  </w:sdt>
  <w:p w14:paraId="7FA61508">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786B8">
    <w:pPr>
      <w:pStyle w:val="13"/>
      <w:ind w:firstLine="450" w:firstLineChars="250"/>
      <w:jc w:val="left"/>
      <w:rPr>
        <w:rFonts w:hint="default" w:eastAsia="宋体"/>
        <w:lang w:val="en-US" w:eastAsia="zh-CN"/>
      </w:rPr>
    </w:pPr>
    <w:r>
      <w:rPr>
        <w:rFonts w:hint="eastAsia"/>
      </w:rPr>
      <w:t>项目名称：</w:t>
    </w:r>
    <w:r>
      <w:rPr>
        <w:rFonts w:hint="eastAsia" w:ascii="宋体" w:hAnsi="宋体"/>
        <w:b w:val="0"/>
        <w:bCs w:val="0"/>
        <w:lang w:eastAsia="zh-CN"/>
      </w:rPr>
      <w:t>射频控温热凝器采购项目</w:t>
    </w:r>
    <w:r>
      <w:rPr>
        <w:rFonts w:hint="eastAsia"/>
      </w:rPr>
      <w:t xml:space="preserve">  </w:t>
    </w:r>
    <w:r>
      <w:rPr>
        <w:rFonts w:hint="eastAsia"/>
        <w:lang w:val="en-US" w:eastAsia="zh-CN"/>
      </w:rPr>
      <w:t xml:space="preserve">        </w:t>
    </w:r>
    <w:r>
      <w:rPr>
        <w:rFonts w:hint="eastAsia"/>
      </w:rPr>
      <w:t xml:space="preserve">    项目编号：</w:t>
    </w:r>
    <w:r>
      <w:t>SZZZ202</w:t>
    </w:r>
    <w:r>
      <w:rPr>
        <w:rFonts w:hint="eastAsia"/>
        <w:lang w:val="en-US" w:eastAsia="zh-CN"/>
      </w:rPr>
      <w:t>2</w:t>
    </w:r>
    <w:r>
      <w:t>-</w:t>
    </w:r>
    <w:r>
      <w:rPr>
        <w:rFonts w:hint="eastAsia"/>
        <w:lang w:eastAsia="zh-CN"/>
      </w:rPr>
      <w:t>QA0</w:t>
    </w:r>
    <w:r>
      <w:rPr>
        <w:rFonts w:hint="eastAsia"/>
        <w:lang w:val="en-US" w:eastAsia="zh-CN"/>
      </w:rPr>
      <w:t>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E42CC"/>
    <w:multiLevelType w:val="multilevel"/>
    <w:tmpl w:val="062E42CC"/>
    <w:lvl w:ilvl="0" w:tentative="0">
      <w:start w:val="1"/>
      <w:numFmt w:val="bullet"/>
      <w:pStyle w:val="51"/>
      <w:lvlText w:val=""/>
      <w:lvlJc w:val="left"/>
      <w:pPr>
        <w:tabs>
          <w:tab w:val="left" w:pos="839"/>
        </w:tabs>
        <w:ind w:left="840" w:hanging="420"/>
      </w:pPr>
      <w:rPr>
        <w:rFonts w:hint="default" w:ascii="Wingdings" w:hAnsi="Wingdings"/>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NiN2JjZGQwODQzNTVmMDg4ZGNmNzRhYmJlZDY2YTUifQ=="/>
  </w:docVars>
  <w:rsids>
    <w:rsidRoot w:val="00081812"/>
    <w:rsid w:val="00000DEE"/>
    <w:rsid w:val="00000F62"/>
    <w:rsid w:val="00000FB1"/>
    <w:rsid w:val="0000490F"/>
    <w:rsid w:val="00007ECB"/>
    <w:rsid w:val="00010E98"/>
    <w:rsid w:val="000111D4"/>
    <w:rsid w:val="0001133A"/>
    <w:rsid w:val="000159CF"/>
    <w:rsid w:val="000176BA"/>
    <w:rsid w:val="0002500E"/>
    <w:rsid w:val="0002675A"/>
    <w:rsid w:val="00027833"/>
    <w:rsid w:val="000309C1"/>
    <w:rsid w:val="00031BF4"/>
    <w:rsid w:val="00032DB0"/>
    <w:rsid w:val="0003579A"/>
    <w:rsid w:val="00036165"/>
    <w:rsid w:val="00037412"/>
    <w:rsid w:val="000375B9"/>
    <w:rsid w:val="00037D52"/>
    <w:rsid w:val="00050AB0"/>
    <w:rsid w:val="00050F57"/>
    <w:rsid w:val="0005394E"/>
    <w:rsid w:val="00053B8A"/>
    <w:rsid w:val="000550D9"/>
    <w:rsid w:val="00055193"/>
    <w:rsid w:val="00056E7C"/>
    <w:rsid w:val="000600D8"/>
    <w:rsid w:val="00060560"/>
    <w:rsid w:val="000614D2"/>
    <w:rsid w:val="0006220B"/>
    <w:rsid w:val="00063194"/>
    <w:rsid w:val="0006778F"/>
    <w:rsid w:val="000679AB"/>
    <w:rsid w:val="00072F2B"/>
    <w:rsid w:val="00075875"/>
    <w:rsid w:val="00076401"/>
    <w:rsid w:val="000771B0"/>
    <w:rsid w:val="00080FB8"/>
    <w:rsid w:val="00081812"/>
    <w:rsid w:val="00081C0F"/>
    <w:rsid w:val="000851F4"/>
    <w:rsid w:val="00086549"/>
    <w:rsid w:val="000875D3"/>
    <w:rsid w:val="00094345"/>
    <w:rsid w:val="00094CF9"/>
    <w:rsid w:val="000A02CF"/>
    <w:rsid w:val="000A103E"/>
    <w:rsid w:val="000A2045"/>
    <w:rsid w:val="000B12D8"/>
    <w:rsid w:val="000B3159"/>
    <w:rsid w:val="000B44BC"/>
    <w:rsid w:val="000B7A52"/>
    <w:rsid w:val="000C05F3"/>
    <w:rsid w:val="000C2FC4"/>
    <w:rsid w:val="000C4E01"/>
    <w:rsid w:val="000C7610"/>
    <w:rsid w:val="000C7E05"/>
    <w:rsid w:val="000D1227"/>
    <w:rsid w:val="000D16E0"/>
    <w:rsid w:val="000D3053"/>
    <w:rsid w:val="000D3DAD"/>
    <w:rsid w:val="000D4339"/>
    <w:rsid w:val="000D4C91"/>
    <w:rsid w:val="000D6CAD"/>
    <w:rsid w:val="000D74FE"/>
    <w:rsid w:val="000E1731"/>
    <w:rsid w:val="000E2AAA"/>
    <w:rsid w:val="000E41B3"/>
    <w:rsid w:val="000E647C"/>
    <w:rsid w:val="000E6F68"/>
    <w:rsid w:val="000F4536"/>
    <w:rsid w:val="000F47BD"/>
    <w:rsid w:val="000F5214"/>
    <w:rsid w:val="000F5791"/>
    <w:rsid w:val="001017A2"/>
    <w:rsid w:val="0010276A"/>
    <w:rsid w:val="001036FB"/>
    <w:rsid w:val="0010378A"/>
    <w:rsid w:val="00103A07"/>
    <w:rsid w:val="00103BD6"/>
    <w:rsid w:val="00103D0B"/>
    <w:rsid w:val="00103E57"/>
    <w:rsid w:val="00105AE0"/>
    <w:rsid w:val="001071FF"/>
    <w:rsid w:val="001075BE"/>
    <w:rsid w:val="0011046C"/>
    <w:rsid w:val="0011120F"/>
    <w:rsid w:val="00112047"/>
    <w:rsid w:val="001120AB"/>
    <w:rsid w:val="00113460"/>
    <w:rsid w:val="00113EC5"/>
    <w:rsid w:val="0011733C"/>
    <w:rsid w:val="001206C4"/>
    <w:rsid w:val="00120905"/>
    <w:rsid w:val="00120A80"/>
    <w:rsid w:val="00120DDA"/>
    <w:rsid w:val="00122482"/>
    <w:rsid w:val="001224CA"/>
    <w:rsid w:val="001235DF"/>
    <w:rsid w:val="001253C1"/>
    <w:rsid w:val="001300A8"/>
    <w:rsid w:val="001307EF"/>
    <w:rsid w:val="00130FFD"/>
    <w:rsid w:val="00131B9B"/>
    <w:rsid w:val="00132409"/>
    <w:rsid w:val="00132477"/>
    <w:rsid w:val="00134941"/>
    <w:rsid w:val="00135348"/>
    <w:rsid w:val="0013568E"/>
    <w:rsid w:val="0013577A"/>
    <w:rsid w:val="0013596A"/>
    <w:rsid w:val="001451A4"/>
    <w:rsid w:val="0015310D"/>
    <w:rsid w:val="0015356C"/>
    <w:rsid w:val="00155BE9"/>
    <w:rsid w:val="0015652F"/>
    <w:rsid w:val="0016076C"/>
    <w:rsid w:val="001618C7"/>
    <w:rsid w:val="00165708"/>
    <w:rsid w:val="00166E7A"/>
    <w:rsid w:val="001713CD"/>
    <w:rsid w:val="00174A8D"/>
    <w:rsid w:val="00176A0E"/>
    <w:rsid w:val="0018134E"/>
    <w:rsid w:val="00182643"/>
    <w:rsid w:val="001830D7"/>
    <w:rsid w:val="00185010"/>
    <w:rsid w:val="001850C4"/>
    <w:rsid w:val="001906D1"/>
    <w:rsid w:val="0019175D"/>
    <w:rsid w:val="00192E27"/>
    <w:rsid w:val="00194B76"/>
    <w:rsid w:val="00197685"/>
    <w:rsid w:val="0019777D"/>
    <w:rsid w:val="001A0D90"/>
    <w:rsid w:val="001A0EB6"/>
    <w:rsid w:val="001A1302"/>
    <w:rsid w:val="001A4995"/>
    <w:rsid w:val="001A529F"/>
    <w:rsid w:val="001B026C"/>
    <w:rsid w:val="001B0736"/>
    <w:rsid w:val="001B14D5"/>
    <w:rsid w:val="001B4B65"/>
    <w:rsid w:val="001B4C23"/>
    <w:rsid w:val="001C0532"/>
    <w:rsid w:val="001C0CCF"/>
    <w:rsid w:val="001C1FFB"/>
    <w:rsid w:val="001D3874"/>
    <w:rsid w:val="001D6198"/>
    <w:rsid w:val="001D6B2F"/>
    <w:rsid w:val="001D6CCA"/>
    <w:rsid w:val="001D7A7C"/>
    <w:rsid w:val="001E1BC7"/>
    <w:rsid w:val="001E398A"/>
    <w:rsid w:val="001E3C4F"/>
    <w:rsid w:val="001E4745"/>
    <w:rsid w:val="001E48C9"/>
    <w:rsid w:val="001E5169"/>
    <w:rsid w:val="001E60D1"/>
    <w:rsid w:val="001E6EA6"/>
    <w:rsid w:val="001E7031"/>
    <w:rsid w:val="001F0977"/>
    <w:rsid w:val="001F2061"/>
    <w:rsid w:val="001F259A"/>
    <w:rsid w:val="001F2D31"/>
    <w:rsid w:val="001F3E52"/>
    <w:rsid w:val="001F52C4"/>
    <w:rsid w:val="001F5A31"/>
    <w:rsid w:val="00201022"/>
    <w:rsid w:val="00204553"/>
    <w:rsid w:val="00207834"/>
    <w:rsid w:val="00211E1C"/>
    <w:rsid w:val="002131F0"/>
    <w:rsid w:val="002134C1"/>
    <w:rsid w:val="00213858"/>
    <w:rsid w:val="002140DF"/>
    <w:rsid w:val="002151EE"/>
    <w:rsid w:val="00215F43"/>
    <w:rsid w:val="00216C79"/>
    <w:rsid w:val="002172FA"/>
    <w:rsid w:val="00223218"/>
    <w:rsid w:val="00223C0E"/>
    <w:rsid w:val="002244FB"/>
    <w:rsid w:val="0022493F"/>
    <w:rsid w:val="002259B7"/>
    <w:rsid w:val="00226BD7"/>
    <w:rsid w:val="00230218"/>
    <w:rsid w:val="002304B2"/>
    <w:rsid w:val="00234AB5"/>
    <w:rsid w:val="00235A7C"/>
    <w:rsid w:val="00235E71"/>
    <w:rsid w:val="002366EC"/>
    <w:rsid w:val="00240B70"/>
    <w:rsid w:val="00241247"/>
    <w:rsid w:val="00241A35"/>
    <w:rsid w:val="00244EDA"/>
    <w:rsid w:val="002463C2"/>
    <w:rsid w:val="0024707D"/>
    <w:rsid w:val="00251EE6"/>
    <w:rsid w:val="00252A0E"/>
    <w:rsid w:val="00256F3C"/>
    <w:rsid w:val="002579AC"/>
    <w:rsid w:val="0026095A"/>
    <w:rsid w:val="00261E10"/>
    <w:rsid w:val="00262836"/>
    <w:rsid w:val="00266448"/>
    <w:rsid w:val="002666B6"/>
    <w:rsid w:val="00267F2E"/>
    <w:rsid w:val="00270AB4"/>
    <w:rsid w:val="0027125F"/>
    <w:rsid w:val="0027386D"/>
    <w:rsid w:val="00273CE7"/>
    <w:rsid w:val="00280004"/>
    <w:rsid w:val="00280295"/>
    <w:rsid w:val="00281900"/>
    <w:rsid w:val="00282D0F"/>
    <w:rsid w:val="00284440"/>
    <w:rsid w:val="00285487"/>
    <w:rsid w:val="00290049"/>
    <w:rsid w:val="0029092A"/>
    <w:rsid w:val="00290A37"/>
    <w:rsid w:val="00291A31"/>
    <w:rsid w:val="0029352A"/>
    <w:rsid w:val="00293E95"/>
    <w:rsid w:val="00294665"/>
    <w:rsid w:val="00297D1B"/>
    <w:rsid w:val="002A06F5"/>
    <w:rsid w:val="002A3990"/>
    <w:rsid w:val="002A3CF6"/>
    <w:rsid w:val="002A5275"/>
    <w:rsid w:val="002A78DB"/>
    <w:rsid w:val="002B11F2"/>
    <w:rsid w:val="002C12B1"/>
    <w:rsid w:val="002C3E2A"/>
    <w:rsid w:val="002C54D8"/>
    <w:rsid w:val="002C5F7F"/>
    <w:rsid w:val="002D285F"/>
    <w:rsid w:val="002D51A5"/>
    <w:rsid w:val="002D6413"/>
    <w:rsid w:val="002D78BD"/>
    <w:rsid w:val="002D7BEA"/>
    <w:rsid w:val="002E071E"/>
    <w:rsid w:val="002E23B1"/>
    <w:rsid w:val="002E3E90"/>
    <w:rsid w:val="002E3F94"/>
    <w:rsid w:val="002E4814"/>
    <w:rsid w:val="002E5B12"/>
    <w:rsid w:val="002E6738"/>
    <w:rsid w:val="002F0946"/>
    <w:rsid w:val="002F0E71"/>
    <w:rsid w:val="002F30E6"/>
    <w:rsid w:val="002F49D2"/>
    <w:rsid w:val="002F5D8F"/>
    <w:rsid w:val="002F5DF7"/>
    <w:rsid w:val="003007E9"/>
    <w:rsid w:val="00300F63"/>
    <w:rsid w:val="00302A03"/>
    <w:rsid w:val="00303151"/>
    <w:rsid w:val="0030484B"/>
    <w:rsid w:val="00305E56"/>
    <w:rsid w:val="00306415"/>
    <w:rsid w:val="00312539"/>
    <w:rsid w:val="00312A7C"/>
    <w:rsid w:val="00315ABB"/>
    <w:rsid w:val="003165DD"/>
    <w:rsid w:val="00320E9C"/>
    <w:rsid w:val="00321AB6"/>
    <w:rsid w:val="00321C69"/>
    <w:rsid w:val="00324BEB"/>
    <w:rsid w:val="00325DC4"/>
    <w:rsid w:val="0032699D"/>
    <w:rsid w:val="00331CBE"/>
    <w:rsid w:val="00331F0C"/>
    <w:rsid w:val="003344DE"/>
    <w:rsid w:val="0033607F"/>
    <w:rsid w:val="003366C3"/>
    <w:rsid w:val="0033717B"/>
    <w:rsid w:val="00341029"/>
    <w:rsid w:val="00341DF6"/>
    <w:rsid w:val="00342E35"/>
    <w:rsid w:val="0034412F"/>
    <w:rsid w:val="003467AA"/>
    <w:rsid w:val="00347DED"/>
    <w:rsid w:val="00350427"/>
    <w:rsid w:val="00351589"/>
    <w:rsid w:val="0035266A"/>
    <w:rsid w:val="003533CB"/>
    <w:rsid w:val="00354170"/>
    <w:rsid w:val="00357198"/>
    <w:rsid w:val="00360E2B"/>
    <w:rsid w:val="00362130"/>
    <w:rsid w:val="00362685"/>
    <w:rsid w:val="00362FDA"/>
    <w:rsid w:val="0036371B"/>
    <w:rsid w:val="00363840"/>
    <w:rsid w:val="00363D01"/>
    <w:rsid w:val="00364104"/>
    <w:rsid w:val="00365175"/>
    <w:rsid w:val="00365C3E"/>
    <w:rsid w:val="00365C92"/>
    <w:rsid w:val="00366870"/>
    <w:rsid w:val="00367676"/>
    <w:rsid w:val="003679CE"/>
    <w:rsid w:val="00370059"/>
    <w:rsid w:val="00371507"/>
    <w:rsid w:val="00373358"/>
    <w:rsid w:val="003734A9"/>
    <w:rsid w:val="003749D0"/>
    <w:rsid w:val="00375504"/>
    <w:rsid w:val="00380BF7"/>
    <w:rsid w:val="003817C2"/>
    <w:rsid w:val="003821BD"/>
    <w:rsid w:val="003961A8"/>
    <w:rsid w:val="00397B90"/>
    <w:rsid w:val="003A0AF8"/>
    <w:rsid w:val="003A12B6"/>
    <w:rsid w:val="003A2361"/>
    <w:rsid w:val="003A3825"/>
    <w:rsid w:val="003A3C1C"/>
    <w:rsid w:val="003A45DB"/>
    <w:rsid w:val="003A6687"/>
    <w:rsid w:val="003B0701"/>
    <w:rsid w:val="003B09EB"/>
    <w:rsid w:val="003B1F2D"/>
    <w:rsid w:val="003B2517"/>
    <w:rsid w:val="003B3548"/>
    <w:rsid w:val="003B43AA"/>
    <w:rsid w:val="003B480F"/>
    <w:rsid w:val="003B72A9"/>
    <w:rsid w:val="003B73C7"/>
    <w:rsid w:val="003C007A"/>
    <w:rsid w:val="003C09AC"/>
    <w:rsid w:val="003C3302"/>
    <w:rsid w:val="003C34EB"/>
    <w:rsid w:val="003C450F"/>
    <w:rsid w:val="003C49B8"/>
    <w:rsid w:val="003C5421"/>
    <w:rsid w:val="003C5430"/>
    <w:rsid w:val="003C73B6"/>
    <w:rsid w:val="003D00F6"/>
    <w:rsid w:val="003D4C25"/>
    <w:rsid w:val="003D6A99"/>
    <w:rsid w:val="003D7227"/>
    <w:rsid w:val="003D76AD"/>
    <w:rsid w:val="003E21AD"/>
    <w:rsid w:val="003E2E33"/>
    <w:rsid w:val="003E35A8"/>
    <w:rsid w:val="003E6702"/>
    <w:rsid w:val="003E7DA3"/>
    <w:rsid w:val="003F2113"/>
    <w:rsid w:val="003F35A5"/>
    <w:rsid w:val="003F3EE1"/>
    <w:rsid w:val="003F54E0"/>
    <w:rsid w:val="003F5A49"/>
    <w:rsid w:val="003F68EA"/>
    <w:rsid w:val="003F7B83"/>
    <w:rsid w:val="00400065"/>
    <w:rsid w:val="00414963"/>
    <w:rsid w:val="00415251"/>
    <w:rsid w:val="0041630C"/>
    <w:rsid w:val="004168DC"/>
    <w:rsid w:val="00416F7A"/>
    <w:rsid w:val="0042116F"/>
    <w:rsid w:val="00421DAD"/>
    <w:rsid w:val="004222E0"/>
    <w:rsid w:val="00422693"/>
    <w:rsid w:val="00422A55"/>
    <w:rsid w:val="00422C44"/>
    <w:rsid w:val="0042569B"/>
    <w:rsid w:val="0042757A"/>
    <w:rsid w:val="00427866"/>
    <w:rsid w:val="004278A7"/>
    <w:rsid w:val="0043223F"/>
    <w:rsid w:val="004338CE"/>
    <w:rsid w:val="00435AA6"/>
    <w:rsid w:val="004430A5"/>
    <w:rsid w:val="0044367E"/>
    <w:rsid w:val="004443E7"/>
    <w:rsid w:val="004501AD"/>
    <w:rsid w:val="00450263"/>
    <w:rsid w:val="0045273A"/>
    <w:rsid w:val="00453647"/>
    <w:rsid w:val="00454FF9"/>
    <w:rsid w:val="00457E2E"/>
    <w:rsid w:val="00460AA2"/>
    <w:rsid w:val="00462399"/>
    <w:rsid w:val="004625C3"/>
    <w:rsid w:val="00465C8A"/>
    <w:rsid w:val="00466085"/>
    <w:rsid w:val="0046668A"/>
    <w:rsid w:val="00466DE8"/>
    <w:rsid w:val="00476772"/>
    <w:rsid w:val="004807D8"/>
    <w:rsid w:val="004858C4"/>
    <w:rsid w:val="0048606B"/>
    <w:rsid w:val="00486360"/>
    <w:rsid w:val="004870E5"/>
    <w:rsid w:val="00487AC8"/>
    <w:rsid w:val="00490108"/>
    <w:rsid w:val="00492994"/>
    <w:rsid w:val="00492ED3"/>
    <w:rsid w:val="00492EE9"/>
    <w:rsid w:val="0049371D"/>
    <w:rsid w:val="0049518C"/>
    <w:rsid w:val="00496E36"/>
    <w:rsid w:val="004A008B"/>
    <w:rsid w:val="004A2A14"/>
    <w:rsid w:val="004A3574"/>
    <w:rsid w:val="004A3D8F"/>
    <w:rsid w:val="004A3ED8"/>
    <w:rsid w:val="004A44E9"/>
    <w:rsid w:val="004A4D27"/>
    <w:rsid w:val="004A760C"/>
    <w:rsid w:val="004B3011"/>
    <w:rsid w:val="004B3C41"/>
    <w:rsid w:val="004B3E4E"/>
    <w:rsid w:val="004B5B22"/>
    <w:rsid w:val="004B5B8D"/>
    <w:rsid w:val="004B702D"/>
    <w:rsid w:val="004B7A5D"/>
    <w:rsid w:val="004C01E3"/>
    <w:rsid w:val="004C0510"/>
    <w:rsid w:val="004C1824"/>
    <w:rsid w:val="004C1F8C"/>
    <w:rsid w:val="004C27A2"/>
    <w:rsid w:val="004C2C97"/>
    <w:rsid w:val="004C3BFC"/>
    <w:rsid w:val="004C4655"/>
    <w:rsid w:val="004C5A96"/>
    <w:rsid w:val="004C71FD"/>
    <w:rsid w:val="004D21F9"/>
    <w:rsid w:val="004D2D87"/>
    <w:rsid w:val="004D3C88"/>
    <w:rsid w:val="004D3EFD"/>
    <w:rsid w:val="004D6C39"/>
    <w:rsid w:val="004E0D3B"/>
    <w:rsid w:val="004E30ED"/>
    <w:rsid w:val="004E4D52"/>
    <w:rsid w:val="004E6514"/>
    <w:rsid w:val="004F0013"/>
    <w:rsid w:val="004F037B"/>
    <w:rsid w:val="004F1964"/>
    <w:rsid w:val="004F1E55"/>
    <w:rsid w:val="004F2741"/>
    <w:rsid w:val="004F2C86"/>
    <w:rsid w:val="004F4A43"/>
    <w:rsid w:val="004F57EA"/>
    <w:rsid w:val="004F5A1F"/>
    <w:rsid w:val="0050673A"/>
    <w:rsid w:val="00507910"/>
    <w:rsid w:val="005115F1"/>
    <w:rsid w:val="00513405"/>
    <w:rsid w:val="00517508"/>
    <w:rsid w:val="00524AB5"/>
    <w:rsid w:val="00530955"/>
    <w:rsid w:val="00530EBB"/>
    <w:rsid w:val="00531594"/>
    <w:rsid w:val="005339CE"/>
    <w:rsid w:val="0053469D"/>
    <w:rsid w:val="0053608D"/>
    <w:rsid w:val="00536394"/>
    <w:rsid w:val="00536771"/>
    <w:rsid w:val="0054086A"/>
    <w:rsid w:val="00541912"/>
    <w:rsid w:val="00541962"/>
    <w:rsid w:val="00542267"/>
    <w:rsid w:val="00544A1E"/>
    <w:rsid w:val="005454F7"/>
    <w:rsid w:val="00545A1D"/>
    <w:rsid w:val="00546FF3"/>
    <w:rsid w:val="00547A36"/>
    <w:rsid w:val="00552EA1"/>
    <w:rsid w:val="0055628A"/>
    <w:rsid w:val="00556603"/>
    <w:rsid w:val="00562A80"/>
    <w:rsid w:val="005659BA"/>
    <w:rsid w:val="00571031"/>
    <w:rsid w:val="00571D74"/>
    <w:rsid w:val="00574D07"/>
    <w:rsid w:val="00581D61"/>
    <w:rsid w:val="00583965"/>
    <w:rsid w:val="0058457D"/>
    <w:rsid w:val="00584C51"/>
    <w:rsid w:val="0059165F"/>
    <w:rsid w:val="00594812"/>
    <w:rsid w:val="00597492"/>
    <w:rsid w:val="005977CD"/>
    <w:rsid w:val="005A198A"/>
    <w:rsid w:val="005A2D99"/>
    <w:rsid w:val="005A556A"/>
    <w:rsid w:val="005A657A"/>
    <w:rsid w:val="005B1387"/>
    <w:rsid w:val="005B39F5"/>
    <w:rsid w:val="005B3CF3"/>
    <w:rsid w:val="005B6672"/>
    <w:rsid w:val="005B67E4"/>
    <w:rsid w:val="005B7AB9"/>
    <w:rsid w:val="005C038C"/>
    <w:rsid w:val="005C1F40"/>
    <w:rsid w:val="005C26E6"/>
    <w:rsid w:val="005C297C"/>
    <w:rsid w:val="005C50DE"/>
    <w:rsid w:val="005C669E"/>
    <w:rsid w:val="005C6BAF"/>
    <w:rsid w:val="005C79AB"/>
    <w:rsid w:val="005D0E62"/>
    <w:rsid w:val="005D120E"/>
    <w:rsid w:val="005E0B51"/>
    <w:rsid w:val="005E3AA1"/>
    <w:rsid w:val="005E3DDF"/>
    <w:rsid w:val="005E5481"/>
    <w:rsid w:val="005E5539"/>
    <w:rsid w:val="005E6047"/>
    <w:rsid w:val="005F13C2"/>
    <w:rsid w:val="005F37DF"/>
    <w:rsid w:val="005F3B95"/>
    <w:rsid w:val="005F559B"/>
    <w:rsid w:val="00600A83"/>
    <w:rsid w:val="00600F48"/>
    <w:rsid w:val="006013DE"/>
    <w:rsid w:val="00601E13"/>
    <w:rsid w:val="006025E7"/>
    <w:rsid w:val="00602A6E"/>
    <w:rsid w:val="00606E51"/>
    <w:rsid w:val="006110AC"/>
    <w:rsid w:val="0061385D"/>
    <w:rsid w:val="00614ECA"/>
    <w:rsid w:val="00615303"/>
    <w:rsid w:val="006163F2"/>
    <w:rsid w:val="00622721"/>
    <w:rsid w:val="0062393E"/>
    <w:rsid w:val="00624117"/>
    <w:rsid w:val="00624500"/>
    <w:rsid w:val="00626FA9"/>
    <w:rsid w:val="00627FC7"/>
    <w:rsid w:val="00630A1C"/>
    <w:rsid w:val="00632887"/>
    <w:rsid w:val="00634058"/>
    <w:rsid w:val="00634059"/>
    <w:rsid w:val="006340B5"/>
    <w:rsid w:val="00635984"/>
    <w:rsid w:val="00636C5D"/>
    <w:rsid w:val="00640096"/>
    <w:rsid w:val="00641597"/>
    <w:rsid w:val="0064227E"/>
    <w:rsid w:val="00645DC0"/>
    <w:rsid w:val="00653A3C"/>
    <w:rsid w:val="00660043"/>
    <w:rsid w:val="0067037C"/>
    <w:rsid w:val="006705E0"/>
    <w:rsid w:val="0067192F"/>
    <w:rsid w:val="0067283C"/>
    <w:rsid w:val="00673498"/>
    <w:rsid w:val="00673BA6"/>
    <w:rsid w:val="0067485A"/>
    <w:rsid w:val="00674B85"/>
    <w:rsid w:val="006755C2"/>
    <w:rsid w:val="0067661F"/>
    <w:rsid w:val="00680CAD"/>
    <w:rsid w:val="00681F30"/>
    <w:rsid w:val="00682B9C"/>
    <w:rsid w:val="00683D71"/>
    <w:rsid w:val="00683EB7"/>
    <w:rsid w:val="006857DF"/>
    <w:rsid w:val="0068713A"/>
    <w:rsid w:val="006907D5"/>
    <w:rsid w:val="00690FBE"/>
    <w:rsid w:val="00691E45"/>
    <w:rsid w:val="0069583C"/>
    <w:rsid w:val="00697BC5"/>
    <w:rsid w:val="006A535A"/>
    <w:rsid w:val="006A7A1E"/>
    <w:rsid w:val="006B752A"/>
    <w:rsid w:val="006B797B"/>
    <w:rsid w:val="006B7F97"/>
    <w:rsid w:val="006C1097"/>
    <w:rsid w:val="006C3937"/>
    <w:rsid w:val="006C57C7"/>
    <w:rsid w:val="006C5E75"/>
    <w:rsid w:val="006C7615"/>
    <w:rsid w:val="006D0B4B"/>
    <w:rsid w:val="006D0B9C"/>
    <w:rsid w:val="006D0CD7"/>
    <w:rsid w:val="006D0DE8"/>
    <w:rsid w:val="006D125F"/>
    <w:rsid w:val="006D5AD5"/>
    <w:rsid w:val="006D609F"/>
    <w:rsid w:val="006E0808"/>
    <w:rsid w:val="006E0C83"/>
    <w:rsid w:val="006E0F6E"/>
    <w:rsid w:val="006E26F4"/>
    <w:rsid w:val="006E3ACC"/>
    <w:rsid w:val="006E561B"/>
    <w:rsid w:val="006E7E40"/>
    <w:rsid w:val="006F0048"/>
    <w:rsid w:val="006F1F29"/>
    <w:rsid w:val="006F6DFA"/>
    <w:rsid w:val="00701BFA"/>
    <w:rsid w:val="007031AC"/>
    <w:rsid w:val="007045A7"/>
    <w:rsid w:val="007056CF"/>
    <w:rsid w:val="00706C72"/>
    <w:rsid w:val="007101BF"/>
    <w:rsid w:val="00710E18"/>
    <w:rsid w:val="00711D73"/>
    <w:rsid w:val="00712437"/>
    <w:rsid w:val="00712AB9"/>
    <w:rsid w:val="00712FBB"/>
    <w:rsid w:val="007202B8"/>
    <w:rsid w:val="007204CB"/>
    <w:rsid w:val="007234AB"/>
    <w:rsid w:val="00723F16"/>
    <w:rsid w:val="007264E7"/>
    <w:rsid w:val="00731470"/>
    <w:rsid w:val="0073473A"/>
    <w:rsid w:val="00734C96"/>
    <w:rsid w:val="00734FEE"/>
    <w:rsid w:val="00737D97"/>
    <w:rsid w:val="007421A3"/>
    <w:rsid w:val="007458E4"/>
    <w:rsid w:val="007516CF"/>
    <w:rsid w:val="00753B18"/>
    <w:rsid w:val="00755A42"/>
    <w:rsid w:val="00757231"/>
    <w:rsid w:val="00761B09"/>
    <w:rsid w:val="0076307E"/>
    <w:rsid w:val="00765D7F"/>
    <w:rsid w:val="00772F41"/>
    <w:rsid w:val="0077521B"/>
    <w:rsid w:val="007811AB"/>
    <w:rsid w:val="00785AEF"/>
    <w:rsid w:val="00785E4F"/>
    <w:rsid w:val="0078680E"/>
    <w:rsid w:val="007928C7"/>
    <w:rsid w:val="00793E36"/>
    <w:rsid w:val="00794D26"/>
    <w:rsid w:val="007A0AF9"/>
    <w:rsid w:val="007A1673"/>
    <w:rsid w:val="007A47D0"/>
    <w:rsid w:val="007A538E"/>
    <w:rsid w:val="007A7D08"/>
    <w:rsid w:val="007B0FAF"/>
    <w:rsid w:val="007B2F12"/>
    <w:rsid w:val="007B58FB"/>
    <w:rsid w:val="007B6079"/>
    <w:rsid w:val="007B6A98"/>
    <w:rsid w:val="007B7EE3"/>
    <w:rsid w:val="007C035E"/>
    <w:rsid w:val="007C0EC0"/>
    <w:rsid w:val="007C1898"/>
    <w:rsid w:val="007C6BBE"/>
    <w:rsid w:val="007C75FA"/>
    <w:rsid w:val="007D00B9"/>
    <w:rsid w:val="007D4329"/>
    <w:rsid w:val="007D4552"/>
    <w:rsid w:val="007D57B6"/>
    <w:rsid w:val="007D759B"/>
    <w:rsid w:val="007E1CC4"/>
    <w:rsid w:val="007E2D0F"/>
    <w:rsid w:val="007E2D1B"/>
    <w:rsid w:val="007E3507"/>
    <w:rsid w:val="007E377A"/>
    <w:rsid w:val="007E422B"/>
    <w:rsid w:val="007F139E"/>
    <w:rsid w:val="007F5B57"/>
    <w:rsid w:val="0080097C"/>
    <w:rsid w:val="00801B99"/>
    <w:rsid w:val="00803317"/>
    <w:rsid w:val="008036E6"/>
    <w:rsid w:val="008050C5"/>
    <w:rsid w:val="00812D80"/>
    <w:rsid w:val="00814E6B"/>
    <w:rsid w:val="00816305"/>
    <w:rsid w:val="0082240A"/>
    <w:rsid w:val="00822F18"/>
    <w:rsid w:val="008237AE"/>
    <w:rsid w:val="00830F5F"/>
    <w:rsid w:val="00831DA8"/>
    <w:rsid w:val="008338E9"/>
    <w:rsid w:val="0083456A"/>
    <w:rsid w:val="00837E5D"/>
    <w:rsid w:val="008400A9"/>
    <w:rsid w:val="00844881"/>
    <w:rsid w:val="00845DA7"/>
    <w:rsid w:val="0085078C"/>
    <w:rsid w:val="00851111"/>
    <w:rsid w:val="0085139E"/>
    <w:rsid w:val="00851BAA"/>
    <w:rsid w:val="00854839"/>
    <w:rsid w:val="00860209"/>
    <w:rsid w:val="00861447"/>
    <w:rsid w:val="00862F1A"/>
    <w:rsid w:val="008636CF"/>
    <w:rsid w:val="00863E78"/>
    <w:rsid w:val="0086541B"/>
    <w:rsid w:val="008659ED"/>
    <w:rsid w:val="00867868"/>
    <w:rsid w:val="00867964"/>
    <w:rsid w:val="00871FDA"/>
    <w:rsid w:val="00875E76"/>
    <w:rsid w:val="008760F4"/>
    <w:rsid w:val="00876C9B"/>
    <w:rsid w:val="00880E46"/>
    <w:rsid w:val="00884EE0"/>
    <w:rsid w:val="00885021"/>
    <w:rsid w:val="008857F3"/>
    <w:rsid w:val="0089097C"/>
    <w:rsid w:val="008913F6"/>
    <w:rsid w:val="008915C8"/>
    <w:rsid w:val="00891BB5"/>
    <w:rsid w:val="0089442D"/>
    <w:rsid w:val="008978BC"/>
    <w:rsid w:val="008A00DE"/>
    <w:rsid w:val="008A1135"/>
    <w:rsid w:val="008A5579"/>
    <w:rsid w:val="008B23ED"/>
    <w:rsid w:val="008B3CF6"/>
    <w:rsid w:val="008B6E3E"/>
    <w:rsid w:val="008C22C3"/>
    <w:rsid w:val="008C2872"/>
    <w:rsid w:val="008C4E93"/>
    <w:rsid w:val="008C5331"/>
    <w:rsid w:val="008D1C6E"/>
    <w:rsid w:val="008D487D"/>
    <w:rsid w:val="008D589B"/>
    <w:rsid w:val="008D5F36"/>
    <w:rsid w:val="008D6F39"/>
    <w:rsid w:val="008D74D8"/>
    <w:rsid w:val="008E0196"/>
    <w:rsid w:val="008E4A5E"/>
    <w:rsid w:val="008E4EA6"/>
    <w:rsid w:val="008E5BEA"/>
    <w:rsid w:val="008E61CF"/>
    <w:rsid w:val="008E66A7"/>
    <w:rsid w:val="008E7B94"/>
    <w:rsid w:val="008F0027"/>
    <w:rsid w:val="008F13F4"/>
    <w:rsid w:val="008F2248"/>
    <w:rsid w:val="008F429A"/>
    <w:rsid w:val="008F4885"/>
    <w:rsid w:val="008F69B0"/>
    <w:rsid w:val="008F6DFC"/>
    <w:rsid w:val="00900FA9"/>
    <w:rsid w:val="0090175B"/>
    <w:rsid w:val="0090254E"/>
    <w:rsid w:val="0090397D"/>
    <w:rsid w:val="00903B8A"/>
    <w:rsid w:val="009071AD"/>
    <w:rsid w:val="00911D77"/>
    <w:rsid w:val="00914D80"/>
    <w:rsid w:val="00915C0A"/>
    <w:rsid w:val="00916C61"/>
    <w:rsid w:val="00920BE6"/>
    <w:rsid w:val="00920D54"/>
    <w:rsid w:val="00922E91"/>
    <w:rsid w:val="009253A2"/>
    <w:rsid w:val="009260F9"/>
    <w:rsid w:val="009328BD"/>
    <w:rsid w:val="0093469C"/>
    <w:rsid w:val="009360EA"/>
    <w:rsid w:val="00940D53"/>
    <w:rsid w:val="00942081"/>
    <w:rsid w:val="009447BD"/>
    <w:rsid w:val="00944876"/>
    <w:rsid w:val="00945F75"/>
    <w:rsid w:val="00950D6C"/>
    <w:rsid w:val="00952B8F"/>
    <w:rsid w:val="00953321"/>
    <w:rsid w:val="00955935"/>
    <w:rsid w:val="00956877"/>
    <w:rsid w:val="009574EE"/>
    <w:rsid w:val="00957C3F"/>
    <w:rsid w:val="009630AF"/>
    <w:rsid w:val="00964F16"/>
    <w:rsid w:val="0096690F"/>
    <w:rsid w:val="0096729D"/>
    <w:rsid w:val="00970692"/>
    <w:rsid w:val="00971686"/>
    <w:rsid w:val="00973845"/>
    <w:rsid w:val="009743E5"/>
    <w:rsid w:val="0097620C"/>
    <w:rsid w:val="0097647D"/>
    <w:rsid w:val="00983A52"/>
    <w:rsid w:val="00984B13"/>
    <w:rsid w:val="00986AE7"/>
    <w:rsid w:val="00987773"/>
    <w:rsid w:val="00987A32"/>
    <w:rsid w:val="00993600"/>
    <w:rsid w:val="0099428B"/>
    <w:rsid w:val="00997D11"/>
    <w:rsid w:val="009A0A96"/>
    <w:rsid w:val="009A1D8B"/>
    <w:rsid w:val="009A2498"/>
    <w:rsid w:val="009A271D"/>
    <w:rsid w:val="009A44F9"/>
    <w:rsid w:val="009A64A6"/>
    <w:rsid w:val="009A70D5"/>
    <w:rsid w:val="009B10B0"/>
    <w:rsid w:val="009B2507"/>
    <w:rsid w:val="009B2E8E"/>
    <w:rsid w:val="009B3004"/>
    <w:rsid w:val="009B348C"/>
    <w:rsid w:val="009B5293"/>
    <w:rsid w:val="009B6EAF"/>
    <w:rsid w:val="009B7712"/>
    <w:rsid w:val="009C0636"/>
    <w:rsid w:val="009C08BA"/>
    <w:rsid w:val="009C4B87"/>
    <w:rsid w:val="009C6F32"/>
    <w:rsid w:val="009C797B"/>
    <w:rsid w:val="009D02E8"/>
    <w:rsid w:val="009D0C05"/>
    <w:rsid w:val="009D2987"/>
    <w:rsid w:val="009D4274"/>
    <w:rsid w:val="009D461F"/>
    <w:rsid w:val="009D5D74"/>
    <w:rsid w:val="009D622C"/>
    <w:rsid w:val="009E1268"/>
    <w:rsid w:val="009E5716"/>
    <w:rsid w:val="009E61F7"/>
    <w:rsid w:val="009E708C"/>
    <w:rsid w:val="009E7B3D"/>
    <w:rsid w:val="009E7BE7"/>
    <w:rsid w:val="009E7EB2"/>
    <w:rsid w:val="009F145D"/>
    <w:rsid w:val="009F17D1"/>
    <w:rsid w:val="009F7CAB"/>
    <w:rsid w:val="00A00D15"/>
    <w:rsid w:val="00A011F7"/>
    <w:rsid w:val="00A02E6E"/>
    <w:rsid w:val="00A03F22"/>
    <w:rsid w:val="00A05B28"/>
    <w:rsid w:val="00A064C9"/>
    <w:rsid w:val="00A0662C"/>
    <w:rsid w:val="00A12624"/>
    <w:rsid w:val="00A1407B"/>
    <w:rsid w:val="00A14B13"/>
    <w:rsid w:val="00A14B40"/>
    <w:rsid w:val="00A15BF3"/>
    <w:rsid w:val="00A17FEB"/>
    <w:rsid w:val="00A20772"/>
    <w:rsid w:val="00A214C8"/>
    <w:rsid w:val="00A21567"/>
    <w:rsid w:val="00A215C7"/>
    <w:rsid w:val="00A223D3"/>
    <w:rsid w:val="00A24B13"/>
    <w:rsid w:val="00A30451"/>
    <w:rsid w:val="00A3148A"/>
    <w:rsid w:val="00A31B46"/>
    <w:rsid w:val="00A324AB"/>
    <w:rsid w:val="00A34E09"/>
    <w:rsid w:val="00A34F55"/>
    <w:rsid w:val="00A35B35"/>
    <w:rsid w:val="00A4004C"/>
    <w:rsid w:val="00A44A6C"/>
    <w:rsid w:val="00A44E5B"/>
    <w:rsid w:val="00A45819"/>
    <w:rsid w:val="00A4687A"/>
    <w:rsid w:val="00A46D17"/>
    <w:rsid w:val="00A47C08"/>
    <w:rsid w:val="00A52F47"/>
    <w:rsid w:val="00A54695"/>
    <w:rsid w:val="00A54D83"/>
    <w:rsid w:val="00A61176"/>
    <w:rsid w:val="00A61F5C"/>
    <w:rsid w:val="00A63384"/>
    <w:rsid w:val="00A71631"/>
    <w:rsid w:val="00A71754"/>
    <w:rsid w:val="00A717E7"/>
    <w:rsid w:val="00A71EDB"/>
    <w:rsid w:val="00A74152"/>
    <w:rsid w:val="00A76A28"/>
    <w:rsid w:val="00A81A62"/>
    <w:rsid w:val="00A8284E"/>
    <w:rsid w:val="00A82DC6"/>
    <w:rsid w:val="00A83243"/>
    <w:rsid w:val="00A83CC9"/>
    <w:rsid w:val="00A8789C"/>
    <w:rsid w:val="00A90111"/>
    <w:rsid w:val="00A91528"/>
    <w:rsid w:val="00A95196"/>
    <w:rsid w:val="00A9738A"/>
    <w:rsid w:val="00AA1EFF"/>
    <w:rsid w:val="00AA5115"/>
    <w:rsid w:val="00AA70DF"/>
    <w:rsid w:val="00AA7241"/>
    <w:rsid w:val="00AB14C7"/>
    <w:rsid w:val="00AB2264"/>
    <w:rsid w:val="00AB4E47"/>
    <w:rsid w:val="00AB67F7"/>
    <w:rsid w:val="00AC0715"/>
    <w:rsid w:val="00AC146C"/>
    <w:rsid w:val="00AC1BA8"/>
    <w:rsid w:val="00AC1F76"/>
    <w:rsid w:val="00AC2615"/>
    <w:rsid w:val="00AC5AB5"/>
    <w:rsid w:val="00AC64D8"/>
    <w:rsid w:val="00AD0AF6"/>
    <w:rsid w:val="00AD12D2"/>
    <w:rsid w:val="00AD1729"/>
    <w:rsid w:val="00AD1C00"/>
    <w:rsid w:val="00AD2774"/>
    <w:rsid w:val="00AD3BAE"/>
    <w:rsid w:val="00AD5261"/>
    <w:rsid w:val="00AE2CB2"/>
    <w:rsid w:val="00AE357A"/>
    <w:rsid w:val="00AE38B2"/>
    <w:rsid w:val="00AE5A4E"/>
    <w:rsid w:val="00AE76F9"/>
    <w:rsid w:val="00AF1F8B"/>
    <w:rsid w:val="00AF4117"/>
    <w:rsid w:val="00AF4295"/>
    <w:rsid w:val="00AF4B9E"/>
    <w:rsid w:val="00AF6636"/>
    <w:rsid w:val="00B11692"/>
    <w:rsid w:val="00B14116"/>
    <w:rsid w:val="00B1486E"/>
    <w:rsid w:val="00B159E2"/>
    <w:rsid w:val="00B15BDD"/>
    <w:rsid w:val="00B20443"/>
    <w:rsid w:val="00B214AB"/>
    <w:rsid w:val="00B22EB9"/>
    <w:rsid w:val="00B259CE"/>
    <w:rsid w:val="00B25B50"/>
    <w:rsid w:val="00B26510"/>
    <w:rsid w:val="00B30680"/>
    <w:rsid w:val="00B31DD7"/>
    <w:rsid w:val="00B32CAF"/>
    <w:rsid w:val="00B33432"/>
    <w:rsid w:val="00B336D5"/>
    <w:rsid w:val="00B35F18"/>
    <w:rsid w:val="00B3657C"/>
    <w:rsid w:val="00B42372"/>
    <w:rsid w:val="00B423A4"/>
    <w:rsid w:val="00B437D6"/>
    <w:rsid w:val="00B4446B"/>
    <w:rsid w:val="00B445C1"/>
    <w:rsid w:val="00B523FB"/>
    <w:rsid w:val="00B5525E"/>
    <w:rsid w:val="00B57726"/>
    <w:rsid w:val="00B63604"/>
    <w:rsid w:val="00B63CFC"/>
    <w:rsid w:val="00B63FA9"/>
    <w:rsid w:val="00B650CC"/>
    <w:rsid w:val="00B663D5"/>
    <w:rsid w:val="00B7078F"/>
    <w:rsid w:val="00B71457"/>
    <w:rsid w:val="00B73394"/>
    <w:rsid w:val="00B750BF"/>
    <w:rsid w:val="00B75217"/>
    <w:rsid w:val="00B75366"/>
    <w:rsid w:val="00B81AFD"/>
    <w:rsid w:val="00B83085"/>
    <w:rsid w:val="00B85442"/>
    <w:rsid w:val="00B85BF4"/>
    <w:rsid w:val="00B91090"/>
    <w:rsid w:val="00B926B7"/>
    <w:rsid w:val="00B94A3A"/>
    <w:rsid w:val="00B95094"/>
    <w:rsid w:val="00BB0F96"/>
    <w:rsid w:val="00BB12EA"/>
    <w:rsid w:val="00BB2F95"/>
    <w:rsid w:val="00BC2829"/>
    <w:rsid w:val="00BC4096"/>
    <w:rsid w:val="00BC60A9"/>
    <w:rsid w:val="00BC65BA"/>
    <w:rsid w:val="00BD55FE"/>
    <w:rsid w:val="00BE0383"/>
    <w:rsid w:val="00BE07A0"/>
    <w:rsid w:val="00BE0C7C"/>
    <w:rsid w:val="00BE1C3A"/>
    <w:rsid w:val="00BE70FF"/>
    <w:rsid w:val="00BF1079"/>
    <w:rsid w:val="00BF2768"/>
    <w:rsid w:val="00BF5859"/>
    <w:rsid w:val="00BF6DFF"/>
    <w:rsid w:val="00C00048"/>
    <w:rsid w:val="00C00239"/>
    <w:rsid w:val="00C012B8"/>
    <w:rsid w:val="00C11842"/>
    <w:rsid w:val="00C12994"/>
    <w:rsid w:val="00C1363B"/>
    <w:rsid w:val="00C14D24"/>
    <w:rsid w:val="00C1538F"/>
    <w:rsid w:val="00C15926"/>
    <w:rsid w:val="00C16139"/>
    <w:rsid w:val="00C17609"/>
    <w:rsid w:val="00C177ED"/>
    <w:rsid w:val="00C2265C"/>
    <w:rsid w:val="00C24E8F"/>
    <w:rsid w:val="00C25AB2"/>
    <w:rsid w:val="00C278A9"/>
    <w:rsid w:val="00C30985"/>
    <w:rsid w:val="00C3350C"/>
    <w:rsid w:val="00C33BB9"/>
    <w:rsid w:val="00C3464B"/>
    <w:rsid w:val="00C35140"/>
    <w:rsid w:val="00C35A34"/>
    <w:rsid w:val="00C367F2"/>
    <w:rsid w:val="00C3715A"/>
    <w:rsid w:val="00C3717F"/>
    <w:rsid w:val="00C408DA"/>
    <w:rsid w:val="00C421FF"/>
    <w:rsid w:val="00C425BE"/>
    <w:rsid w:val="00C44F2B"/>
    <w:rsid w:val="00C545D3"/>
    <w:rsid w:val="00C54A8C"/>
    <w:rsid w:val="00C5675C"/>
    <w:rsid w:val="00C61233"/>
    <w:rsid w:val="00C61911"/>
    <w:rsid w:val="00C627D8"/>
    <w:rsid w:val="00C62EB5"/>
    <w:rsid w:val="00C65EB9"/>
    <w:rsid w:val="00C718D9"/>
    <w:rsid w:val="00C72850"/>
    <w:rsid w:val="00C73632"/>
    <w:rsid w:val="00C75175"/>
    <w:rsid w:val="00C7543D"/>
    <w:rsid w:val="00C759F9"/>
    <w:rsid w:val="00C75CB7"/>
    <w:rsid w:val="00C777E7"/>
    <w:rsid w:val="00C81E92"/>
    <w:rsid w:val="00C82A83"/>
    <w:rsid w:val="00C91F28"/>
    <w:rsid w:val="00C92ED2"/>
    <w:rsid w:val="00C93239"/>
    <w:rsid w:val="00C94BF8"/>
    <w:rsid w:val="00C94F86"/>
    <w:rsid w:val="00CA180E"/>
    <w:rsid w:val="00CA23F1"/>
    <w:rsid w:val="00CA4DB3"/>
    <w:rsid w:val="00CA574E"/>
    <w:rsid w:val="00CA69FF"/>
    <w:rsid w:val="00CA7FEE"/>
    <w:rsid w:val="00CB0CBA"/>
    <w:rsid w:val="00CB11FA"/>
    <w:rsid w:val="00CC0F98"/>
    <w:rsid w:val="00CC1F38"/>
    <w:rsid w:val="00CC4D3B"/>
    <w:rsid w:val="00CC6328"/>
    <w:rsid w:val="00CC69B1"/>
    <w:rsid w:val="00CC7D94"/>
    <w:rsid w:val="00CD0996"/>
    <w:rsid w:val="00CD17D9"/>
    <w:rsid w:val="00CD218F"/>
    <w:rsid w:val="00CD417B"/>
    <w:rsid w:val="00CD4EA9"/>
    <w:rsid w:val="00CE0A40"/>
    <w:rsid w:val="00CE0C33"/>
    <w:rsid w:val="00CE2480"/>
    <w:rsid w:val="00CE3871"/>
    <w:rsid w:val="00CE39D5"/>
    <w:rsid w:val="00CE52D0"/>
    <w:rsid w:val="00CE7671"/>
    <w:rsid w:val="00CF1043"/>
    <w:rsid w:val="00CF1336"/>
    <w:rsid w:val="00CF2265"/>
    <w:rsid w:val="00CF38DA"/>
    <w:rsid w:val="00CF6B12"/>
    <w:rsid w:val="00CF6CA8"/>
    <w:rsid w:val="00CF797E"/>
    <w:rsid w:val="00CF7AF4"/>
    <w:rsid w:val="00CF7C9B"/>
    <w:rsid w:val="00D01079"/>
    <w:rsid w:val="00D02059"/>
    <w:rsid w:val="00D03B55"/>
    <w:rsid w:val="00D04D65"/>
    <w:rsid w:val="00D10FDF"/>
    <w:rsid w:val="00D15CC8"/>
    <w:rsid w:val="00D20615"/>
    <w:rsid w:val="00D206F9"/>
    <w:rsid w:val="00D20796"/>
    <w:rsid w:val="00D238ED"/>
    <w:rsid w:val="00D2538D"/>
    <w:rsid w:val="00D268C9"/>
    <w:rsid w:val="00D26D00"/>
    <w:rsid w:val="00D301ED"/>
    <w:rsid w:val="00D313B0"/>
    <w:rsid w:val="00D319D4"/>
    <w:rsid w:val="00D36569"/>
    <w:rsid w:val="00D36FBF"/>
    <w:rsid w:val="00D40062"/>
    <w:rsid w:val="00D405E7"/>
    <w:rsid w:val="00D4133A"/>
    <w:rsid w:val="00D440FF"/>
    <w:rsid w:val="00D44DD1"/>
    <w:rsid w:val="00D50BC2"/>
    <w:rsid w:val="00D515C2"/>
    <w:rsid w:val="00D51801"/>
    <w:rsid w:val="00D5622E"/>
    <w:rsid w:val="00D570CE"/>
    <w:rsid w:val="00D66F14"/>
    <w:rsid w:val="00D679C1"/>
    <w:rsid w:val="00D67A9D"/>
    <w:rsid w:val="00D7638B"/>
    <w:rsid w:val="00D76DCC"/>
    <w:rsid w:val="00D77028"/>
    <w:rsid w:val="00D77D9E"/>
    <w:rsid w:val="00D81C8D"/>
    <w:rsid w:val="00D81D6D"/>
    <w:rsid w:val="00D8340F"/>
    <w:rsid w:val="00D86400"/>
    <w:rsid w:val="00D867D6"/>
    <w:rsid w:val="00D868DE"/>
    <w:rsid w:val="00D90503"/>
    <w:rsid w:val="00D94A33"/>
    <w:rsid w:val="00D97FE0"/>
    <w:rsid w:val="00DA1C78"/>
    <w:rsid w:val="00DA6875"/>
    <w:rsid w:val="00DB0107"/>
    <w:rsid w:val="00DB0B44"/>
    <w:rsid w:val="00DB18E3"/>
    <w:rsid w:val="00DB297D"/>
    <w:rsid w:val="00DB4314"/>
    <w:rsid w:val="00DB6163"/>
    <w:rsid w:val="00DB66A1"/>
    <w:rsid w:val="00DB75D0"/>
    <w:rsid w:val="00DB7C7C"/>
    <w:rsid w:val="00DC0A19"/>
    <w:rsid w:val="00DC0C8E"/>
    <w:rsid w:val="00DC1BE6"/>
    <w:rsid w:val="00DC68AF"/>
    <w:rsid w:val="00DD1317"/>
    <w:rsid w:val="00DD2426"/>
    <w:rsid w:val="00DD2F1D"/>
    <w:rsid w:val="00DD3ACE"/>
    <w:rsid w:val="00DD60CF"/>
    <w:rsid w:val="00DE02C0"/>
    <w:rsid w:val="00DE0C01"/>
    <w:rsid w:val="00DE3797"/>
    <w:rsid w:val="00DE4E97"/>
    <w:rsid w:val="00DE5AB2"/>
    <w:rsid w:val="00DE671D"/>
    <w:rsid w:val="00DF4497"/>
    <w:rsid w:val="00DF44DC"/>
    <w:rsid w:val="00DF4E4D"/>
    <w:rsid w:val="00DF715B"/>
    <w:rsid w:val="00E00C09"/>
    <w:rsid w:val="00E01840"/>
    <w:rsid w:val="00E03760"/>
    <w:rsid w:val="00E03EFD"/>
    <w:rsid w:val="00E0764D"/>
    <w:rsid w:val="00E0782E"/>
    <w:rsid w:val="00E10D0C"/>
    <w:rsid w:val="00E10E49"/>
    <w:rsid w:val="00E1639B"/>
    <w:rsid w:val="00E16966"/>
    <w:rsid w:val="00E16B58"/>
    <w:rsid w:val="00E173A4"/>
    <w:rsid w:val="00E1777D"/>
    <w:rsid w:val="00E20B76"/>
    <w:rsid w:val="00E21B6D"/>
    <w:rsid w:val="00E22996"/>
    <w:rsid w:val="00E31245"/>
    <w:rsid w:val="00E319E4"/>
    <w:rsid w:val="00E34FE8"/>
    <w:rsid w:val="00E377D4"/>
    <w:rsid w:val="00E406E1"/>
    <w:rsid w:val="00E4111A"/>
    <w:rsid w:val="00E418B7"/>
    <w:rsid w:val="00E419D1"/>
    <w:rsid w:val="00E41A8F"/>
    <w:rsid w:val="00E47A9E"/>
    <w:rsid w:val="00E52810"/>
    <w:rsid w:val="00E536A2"/>
    <w:rsid w:val="00E56F5D"/>
    <w:rsid w:val="00E60A9C"/>
    <w:rsid w:val="00E61924"/>
    <w:rsid w:val="00E61E2A"/>
    <w:rsid w:val="00E62870"/>
    <w:rsid w:val="00E63015"/>
    <w:rsid w:val="00E6532F"/>
    <w:rsid w:val="00E70E68"/>
    <w:rsid w:val="00E7106D"/>
    <w:rsid w:val="00E7401E"/>
    <w:rsid w:val="00E762FB"/>
    <w:rsid w:val="00E808E3"/>
    <w:rsid w:val="00E817C5"/>
    <w:rsid w:val="00E81DDF"/>
    <w:rsid w:val="00E82791"/>
    <w:rsid w:val="00E8332D"/>
    <w:rsid w:val="00E85DFB"/>
    <w:rsid w:val="00E85F74"/>
    <w:rsid w:val="00E865C1"/>
    <w:rsid w:val="00E87CCD"/>
    <w:rsid w:val="00E87EBC"/>
    <w:rsid w:val="00E90614"/>
    <w:rsid w:val="00E92C08"/>
    <w:rsid w:val="00E94054"/>
    <w:rsid w:val="00E9426D"/>
    <w:rsid w:val="00E947D0"/>
    <w:rsid w:val="00E94B32"/>
    <w:rsid w:val="00E94F48"/>
    <w:rsid w:val="00E95122"/>
    <w:rsid w:val="00E95A5B"/>
    <w:rsid w:val="00EA02B6"/>
    <w:rsid w:val="00EA0BAE"/>
    <w:rsid w:val="00EA1009"/>
    <w:rsid w:val="00EA1F39"/>
    <w:rsid w:val="00EA328C"/>
    <w:rsid w:val="00EA50FC"/>
    <w:rsid w:val="00EA6123"/>
    <w:rsid w:val="00EB170B"/>
    <w:rsid w:val="00EB290D"/>
    <w:rsid w:val="00EB474C"/>
    <w:rsid w:val="00EB5517"/>
    <w:rsid w:val="00EB632A"/>
    <w:rsid w:val="00EC36BC"/>
    <w:rsid w:val="00ED18AF"/>
    <w:rsid w:val="00ED2203"/>
    <w:rsid w:val="00ED2569"/>
    <w:rsid w:val="00ED25B1"/>
    <w:rsid w:val="00ED3109"/>
    <w:rsid w:val="00ED621F"/>
    <w:rsid w:val="00ED7FAF"/>
    <w:rsid w:val="00EE0104"/>
    <w:rsid w:val="00EE07DA"/>
    <w:rsid w:val="00EE2AD2"/>
    <w:rsid w:val="00EE324B"/>
    <w:rsid w:val="00EE56CB"/>
    <w:rsid w:val="00EE6B8D"/>
    <w:rsid w:val="00EE6C48"/>
    <w:rsid w:val="00EF0079"/>
    <w:rsid w:val="00EF4E25"/>
    <w:rsid w:val="00EF5AEB"/>
    <w:rsid w:val="00EF5E4C"/>
    <w:rsid w:val="00EF6B7E"/>
    <w:rsid w:val="00F03DD9"/>
    <w:rsid w:val="00F06A8A"/>
    <w:rsid w:val="00F0761C"/>
    <w:rsid w:val="00F1054C"/>
    <w:rsid w:val="00F11975"/>
    <w:rsid w:val="00F1246B"/>
    <w:rsid w:val="00F243C8"/>
    <w:rsid w:val="00F25F70"/>
    <w:rsid w:val="00F26D6A"/>
    <w:rsid w:val="00F304A9"/>
    <w:rsid w:val="00F30688"/>
    <w:rsid w:val="00F30C1A"/>
    <w:rsid w:val="00F33F84"/>
    <w:rsid w:val="00F34FB2"/>
    <w:rsid w:val="00F35A11"/>
    <w:rsid w:val="00F400ED"/>
    <w:rsid w:val="00F420CC"/>
    <w:rsid w:val="00F43840"/>
    <w:rsid w:val="00F43BBA"/>
    <w:rsid w:val="00F45E41"/>
    <w:rsid w:val="00F50479"/>
    <w:rsid w:val="00F507CD"/>
    <w:rsid w:val="00F52083"/>
    <w:rsid w:val="00F53C91"/>
    <w:rsid w:val="00F56191"/>
    <w:rsid w:val="00F56E87"/>
    <w:rsid w:val="00F61FC5"/>
    <w:rsid w:val="00F64BB0"/>
    <w:rsid w:val="00F6546C"/>
    <w:rsid w:val="00F709AA"/>
    <w:rsid w:val="00F73E51"/>
    <w:rsid w:val="00F75244"/>
    <w:rsid w:val="00F801B9"/>
    <w:rsid w:val="00F8304C"/>
    <w:rsid w:val="00F85A8C"/>
    <w:rsid w:val="00F86E62"/>
    <w:rsid w:val="00F915F1"/>
    <w:rsid w:val="00F91721"/>
    <w:rsid w:val="00F920ED"/>
    <w:rsid w:val="00F95601"/>
    <w:rsid w:val="00F957DB"/>
    <w:rsid w:val="00FA5879"/>
    <w:rsid w:val="00FA58E9"/>
    <w:rsid w:val="00FA5CFA"/>
    <w:rsid w:val="00FB04D2"/>
    <w:rsid w:val="00FB0604"/>
    <w:rsid w:val="00FB209F"/>
    <w:rsid w:val="00FB6215"/>
    <w:rsid w:val="00FB6448"/>
    <w:rsid w:val="00FD0668"/>
    <w:rsid w:val="00FD2335"/>
    <w:rsid w:val="00FD2AED"/>
    <w:rsid w:val="00FD739B"/>
    <w:rsid w:val="00FD784E"/>
    <w:rsid w:val="00FE0A74"/>
    <w:rsid w:val="00FE0E36"/>
    <w:rsid w:val="00FE2790"/>
    <w:rsid w:val="00FE4D23"/>
    <w:rsid w:val="00FE639A"/>
    <w:rsid w:val="00FE6EA5"/>
    <w:rsid w:val="00FE76EB"/>
    <w:rsid w:val="00FE7BE9"/>
    <w:rsid w:val="00FF344D"/>
    <w:rsid w:val="00FF366D"/>
    <w:rsid w:val="00FF401B"/>
    <w:rsid w:val="00FF463F"/>
    <w:rsid w:val="00FF55FB"/>
    <w:rsid w:val="00FF5C61"/>
    <w:rsid w:val="00FF7F98"/>
    <w:rsid w:val="016D0AE4"/>
    <w:rsid w:val="0173558A"/>
    <w:rsid w:val="018B513A"/>
    <w:rsid w:val="01C55CBC"/>
    <w:rsid w:val="02021905"/>
    <w:rsid w:val="020C2A3C"/>
    <w:rsid w:val="02347182"/>
    <w:rsid w:val="0256505D"/>
    <w:rsid w:val="02840791"/>
    <w:rsid w:val="02873BB9"/>
    <w:rsid w:val="02C35A8C"/>
    <w:rsid w:val="02F32FFC"/>
    <w:rsid w:val="02F33C8E"/>
    <w:rsid w:val="02F4124E"/>
    <w:rsid w:val="0312709C"/>
    <w:rsid w:val="032D650E"/>
    <w:rsid w:val="03315E11"/>
    <w:rsid w:val="03483348"/>
    <w:rsid w:val="035319A4"/>
    <w:rsid w:val="0363259C"/>
    <w:rsid w:val="03646924"/>
    <w:rsid w:val="03A13EF0"/>
    <w:rsid w:val="03E80C4F"/>
    <w:rsid w:val="03FC0559"/>
    <w:rsid w:val="03FC5AE5"/>
    <w:rsid w:val="04447FB3"/>
    <w:rsid w:val="045E7583"/>
    <w:rsid w:val="04722D72"/>
    <w:rsid w:val="047D4AC7"/>
    <w:rsid w:val="04EB042F"/>
    <w:rsid w:val="053A3164"/>
    <w:rsid w:val="054D2B00"/>
    <w:rsid w:val="055052D8"/>
    <w:rsid w:val="0596101C"/>
    <w:rsid w:val="0598128A"/>
    <w:rsid w:val="061614DB"/>
    <w:rsid w:val="063D115E"/>
    <w:rsid w:val="063E2346"/>
    <w:rsid w:val="066F0F41"/>
    <w:rsid w:val="06741ABD"/>
    <w:rsid w:val="067B3C14"/>
    <w:rsid w:val="068C79F0"/>
    <w:rsid w:val="069570A1"/>
    <w:rsid w:val="06B11E4C"/>
    <w:rsid w:val="06C158EB"/>
    <w:rsid w:val="06CC1C4B"/>
    <w:rsid w:val="06F32700"/>
    <w:rsid w:val="06F832D7"/>
    <w:rsid w:val="077A3CEC"/>
    <w:rsid w:val="07B0770E"/>
    <w:rsid w:val="07D27EA8"/>
    <w:rsid w:val="08363DD4"/>
    <w:rsid w:val="085812C8"/>
    <w:rsid w:val="08622C24"/>
    <w:rsid w:val="08653728"/>
    <w:rsid w:val="08BF40AC"/>
    <w:rsid w:val="090C4E18"/>
    <w:rsid w:val="098470A4"/>
    <w:rsid w:val="09B43E53"/>
    <w:rsid w:val="0A2006DF"/>
    <w:rsid w:val="0A3D734D"/>
    <w:rsid w:val="0A4831D0"/>
    <w:rsid w:val="0A483924"/>
    <w:rsid w:val="0B071D3B"/>
    <w:rsid w:val="0B267E65"/>
    <w:rsid w:val="0B435506"/>
    <w:rsid w:val="0B4D6655"/>
    <w:rsid w:val="0B500328"/>
    <w:rsid w:val="0B5218A1"/>
    <w:rsid w:val="0B5E2329"/>
    <w:rsid w:val="0BDA5E91"/>
    <w:rsid w:val="0C01398D"/>
    <w:rsid w:val="0C4C7929"/>
    <w:rsid w:val="0C853010"/>
    <w:rsid w:val="0CAF6800"/>
    <w:rsid w:val="0D3606B5"/>
    <w:rsid w:val="0D426F90"/>
    <w:rsid w:val="0D5A6454"/>
    <w:rsid w:val="0D5D20E6"/>
    <w:rsid w:val="0D8C3BEB"/>
    <w:rsid w:val="0DB8556E"/>
    <w:rsid w:val="0E124C7E"/>
    <w:rsid w:val="0E1518A1"/>
    <w:rsid w:val="0E1B3AE0"/>
    <w:rsid w:val="0E285C93"/>
    <w:rsid w:val="0E2F5830"/>
    <w:rsid w:val="0E3C5C14"/>
    <w:rsid w:val="0E7E2229"/>
    <w:rsid w:val="0ECC7937"/>
    <w:rsid w:val="0EE22579"/>
    <w:rsid w:val="0F622805"/>
    <w:rsid w:val="0F987405"/>
    <w:rsid w:val="0FDC42A7"/>
    <w:rsid w:val="10367123"/>
    <w:rsid w:val="10417984"/>
    <w:rsid w:val="10895666"/>
    <w:rsid w:val="1090553E"/>
    <w:rsid w:val="10AF63B7"/>
    <w:rsid w:val="10E02E12"/>
    <w:rsid w:val="118F7CFF"/>
    <w:rsid w:val="1197619F"/>
    <w:rsid w:val="11FF19BD"/>
    <w:rsid w:val="12426DD2"/>
    <w:rsid w:val="12A70E1F"/>
    <w:rsid w:val="12AF0CEE"/>
    <w:rsid w:val="12B72FCD"/>
    <w:rsid w:val="12D524C3"/>
    <w:rsid w:val="12D6271E"/>
    <w:rsid w:val="130518A2"/>
    <w:rsid w:val="130D6092"/>
    <w:rsid w:val="133A0200"/>
    <w:rsid w:val="135950FD"/>
    <w:rsid w:val="136B50CE"/>
    <w:rsid w:val="137E6912"/>
    <w:rsid w:val="13842C16"/>
    <w:rsid w:val="13B660AC"/>
    <w:rsid w:val="13B758FF"/>
    <w:rsid w:val="13C5743C"/>
    <w:rsid w:val="13D029CA"/>
    <w:rsid w:val="14725BD8"/>
    <w:rsid w:val="14A423A8"/>
    <w:rsid w:val="14E32A08"/>
    <w:rsid w:val="14E62BA3"/>
    <w:rsid w:val="15151870"/>
    <w:rsid w:val="1517224A"/>
    <w:rsid w:val="157D01C2"/>
    <w:rsid w:val="159B7C4F"/>
    <w:rsid w:val="15B57EA4"/>
    <w:rsid w:val="15C947BC"/>
    <w:rsid w:val="15E74C42"/>
    <w:rsid w:val="165226A8"/>
    <w:rsid w:val="165A2530"/>
    <w:rsid w:val="16AD5139"/>
    <w:rsid w:val="17083EDC"/>
    <w:rsid w:val="17147CB9"/>
    <w:rsid w:val="17233A58"/>
    <w:rsid w:val="174C4B7F"/>
    <w:rsid w:val="177158A7"/>
    <w:rsid w:val="17E42C71"/>
    <w:rsid w:val="18043C32"/>
    <w:rsid w:val="180B4D7E"/>
    <w:rsid w:val="180E3144"/>
    <w:rsid w:val="181007CF"/>
    <w:rsid w:val="182857AC"/>
    <w:rsid w:val="184A1286"/>
    <w:rsid w:val="18A06742"/>
    <w:rsid w:val="1929079B"/>
    <w:rsid w:val="19314B52"/>
    <w:rsid w:val="193843DE"/>
    <w:rsid w:val="19483C4A"/>
    <w:rsid w:val="19595E57"/>
    <w:rsid w:val="196533B7"/>
    <w:rsid w:val="197C1A0D"/>
    <w:rsid w:val="19B47531"/>
    <w:rsid w:val="19EF2318"/>
    <w:rsid w:val="19FB70C4"/>
    <w:rsid w:val="1A4D0B70"/>
    <w:rsid w:val="1A6D0A09"/>
    <w:rsid w:val="1A6D6BAE"/>
    <w:rsid w:val="1A7840BB"/>
    <w:rsid w:val="1A7F6325"/>
    <w:rsid w:val="1A895970"/>
    <w:rsid w:val="1A8D4D62"/>
    <w:rsid w:val="1AC467AA"/>
    <w:rsid w:val="1B787B31"/>
    <w:rsid w:val="1BD21EF1"/>
    <w:rsid w:val="1C1C260C"/>
    <w:rsid w:val="1C3D60E3"/>
    <w:rsid w:val="1C7238D5"/>
    <w:rsid w:val="1C840525"/>
    <w:rsid w:val="1C84143D"/>
    <w:rsid w:val="1C8B701C"/>
    <w:rsid w:val="1C977472"/>
    <w:rsid w:val="1CF163A7"/>
    <w:rsid w:val="1D1A3062"/>
    <w:rsid w:val="1D23178A"/>
    <w:rsid w:val="1D3C5EE1"/>
    <w:rsid w:val="1D4666A1"/>
    <w:rsid w:val="1D473226"/>
    <w:rsid w:val="1D4A4435"/>
    <w:rsid w:val="1D546098"/>
    <w:rsid w:val="1E635786"/>
    <w:rsid w:val="1E9E7418"/>
    <w:rsid w:val="1EC52E72"/>
    <w:rsid w:val="1EC91BF5"/>
    <w:rsid w:val="1ECD49B8"/>
    <w:rsid w:val="1EF831D2"/>
    <w:rsid w:val="1F562B02"/>
    <w:rsid w:val="1FDA25D0"/>
    <w:rsid w:val="1FE049EE"/>
    <w:rsid w:val="20194A40"/>
    <w:rsid w:val="203B529E"/>
    <w:rsid w:val="204469BC"/>
    <w:rsid w:val="20524E44"/>
    <w:rsid w:val="20844494"/>
    <w:rsid w:val="20863AF3"/>
    <w:rsid w:val="209B2E36"/>
    <w:rsid w:val="20D61200"/>
    <w:rsid w:val="210E7527"/>
    <w:rsid w:val="2146615C"/>
    <w:rsid w:val="21587A1D"/>
    <w:rsid w:val="21651998"/>
    <w:rsid w:val="221A39C9"/>
    <w:rsid w:val="22271A7E"/>
    <w:rsid w:val="22334F35"/>
    <w:rsid w:val="22551AD5"/>
    <w:rsid w:val="226371B8"/>
    <w:rsid w:val="226C59F0"/>
    <w:rsid w:val="22B440FE"/>
    <w:rsid w:val="22D24D60"/>
    <w:rsid w:val="23060D8C"/>
    <w:rsid w:val="234611FA"/>
    <w:rsid w:val="23485551"/>
    <w:rsid w:val="237467A2"/>
    <w:rsid w:val="239A18B2"/>
    <w:rsid w:val="23CD7DA1"/>
    <w:rsid w:val="23FA5FEA"/>
    <w:rsid w:val="241C7A13"/>
    <w:rsid w:val="244D65B8"/>
    <w:rsid w:val="248E2DE1"/>
    <w:rsid w:val="249809B4"/>
    <w:rsid w:val="24CA4117"/>
    <w:rsid w:val="24D64A43"/>
    <w:rsid w:val="24FD50EE"/>
    <w:rsid w:val="25347747"/>
    <w:rsid w:val="25697422"/>
    <w:rsid w:val="256A4E4D"/>
    <w:rsid w:val="25875AFA"/>
    <w:rsid w:val="25897AC4"/>
    <w:rsid w:val="259E376E"/>
    <w:rsid w:val="25DD571A"/>
    <w:rsid w:val="25F74A2E"/>
    <w:rsid w:val="262E0970"/>
    <w:rsid w:val="26483950"/>
    <w:rsid w:val="268F2EB8"/>
    <w:rsid w:val="26B01932"/>
    <w:rsid w:val="26D27C2D"/>
    <w:rsid w:val="27280C17"/>
    <w:rsid w:val="273864DE"/>
    <w:rsid w:val="275D4D64"/>
    <w:rsid w:val="276E51C4"/>
    <w:rsid w:val="276F7EC0"/>
    <w:rsid w:val="27C13000"/>
    <w:rsid w:val="2849353B"/>
    <w:rsid w:val="28642907"/>
    <w:rsid w:val="286940D9"/>
    <w:rsid w:val="286D5F65"/>
    <w:rsid w:val="28997FF9"/>
    <w:rsid w:val="28ED2118"/>
    <w:rsid w:val="290D7B43"/>
    <w:rsid w:val="29A0418A"/>
    <w:rsid w:val="29E33C4B"/>
    <w:rsid w:val="29F30D4C"/>
    <w:rsid w:val="2A261D85"/>
    <w:rsid w:val="2A344CC5"/>
    <w:rsid w:val="2AA0533E"/>
    <w:rsid w:val="2B51698E"/>
    <w:rsid w:val="2B6761B2"/>
    <w:rsid w:val="2BC21530"/>
    <w:rsid w:val="2BDC1AD4"/>
    <w:rsid w:val="2C062A3B"/>
    <w:rsid w:val="2CBA2FB1"/>
    <w:rsid w:val="2D030DB2"/>
    <w:rsid w:val="2D3F4D6F"/>
    <w:rsid w:val="2D6A1F89"/>
    <w:rsid w:val="2DD1218E"/>
    <w:rsid w:val="2DF53F49"/>
    <w:rsid w:val="2E1343CF"/>
    <w:rsid w:val="2E1819E5"/>
    <w:rsid w:val="2E2B2D7C"/>
    <w:rsid w:val="2EA01DE3"/>
    <w:rsid w:val="2EA663FE"/>
    <w:rsid w:val="2EB24CE0"/>
    <w:rsid w:val="2EC7265D"/>
    <w:rsid w:val="2EF27956"/>
    <w:rsid w:val="2F0F4239"/>
    <w:rsid w:val="2FA920B8"/>
    <w:rsid w:val="2FC418D8"/>
    <w:rsid w:val="2FE52A7E"/>
    <w:rsid w:val="300E7950"/>
    <w:rsid w:val="304C61CA"/>
    <w:rsid w:val="307329D5"/>
    <w:rsid w:val="307C4E72"/>
    <w:rsid w:val="30A74C5B"/>
    <w:rsid w:val="30B01B4A"/>
    <w:rsid w:val="30D20571"/>
    <w:rsid w:val="310F3573"/>
    <w:rsid w:val="317821EF"/>
    <w:rsid w:val="31E4090D"/>
    <w:rsid w:val="31FD161E"/>
    <w:rsid w:val="32153857"/>
    <w:rsid w:val="32794A1C"/>
    <w:rsid w:val="328775B4"/>
    <w:rsid w:val="330723DC"/>
    <w:rsid w:val="337E0C62"/>
    <w:rsid w:val="33CF0D98"/>
    <w:rsid w:val="346A7BCF"/>
    <w:rsid w:val="348A193A"/>
    <w:rsid w:val="349D42F5"/>
    <w:rsid w:val="35415CC5"/>
    <w:rsid w:val="354C1656"/>
    <w:rsid w:val="356814A4"/>
    <w:rsid w:val="357A2F85"/>
    <w:rsid w:val="358337C3"/>
    <w:rsid w:val="359B703E"/>
    <w:rsid w:val="35D958F9"/>
    <w:rsid w:val="360C5343"/>
    <w:rsid w:val="360D7D52"/>
    <w:rsid w:val="36176A26"/>
    <w:rsid w:val="362E7FFA"/>
    <w:rsid w:val="36315D3A"/>
    <w:rsid w:val="366157C4"/>
    <w:rsid w:val="366D4898"/>
    <w:rsid w:val="367B2569"/>
    <w:rsid w:val="36AE1139"/>
    <w:rsid w:val="36AF31C8"/>
    <w:rsid w:val="36C23C6D"/>
    <w:rsid w:val="370074BA"/>
    <w:rsid w:val="37045804"/>
    <w:rsid w:val="378679C0"/>
    <w:rsid w:val="37A367C3"/>
    <w:rsid w:val="37D77D6E"/>
    <w:rsid w:val="37E30F28"/>
    <w:rsid w:val="3835795C"/>
    <w:rsid w:val="384E78A9"/>
    <w:rsid w:val="385B37C8"/>
    <w:rsid w:val="386B35B8"/>
    <w:rsid w:val="387C313D"/>
    <w:rsid w:val="38A36E8B"/>
    <w:rsid w:val="38A94FE7"/>
    <w:rsid w:val="38B236C7"/>
    <w:rsid w:val="38D736B9"/>
    <w:rsid w:val="38ED560D"/>
    <w:rsid w:val="39335925"/>
    <w:rsid w:val="393C6ED0"/>
    <w:rsid w:val="39B00F52"/>
    <w:rsid w:val="39CC10E9"/>
    <w:rsid w:val="39D26841"/>
    <w:rsid w:val="39D81877"/>
    <w:rsid w:val="39EE04F3"/>
    <w:rsid w:val="3A5902A4"/>
    <w:rsid w:val="3A655FB2"/>
    <w:rsid w:val="3A6B2F3C"/>
    <w:rsid w:val="3A742699"/>
    <w:rsid w:val="3A7F400B"/>
    <w:rsid w:val="3AAD08CD"/>
    <w:rsid w:val="3B61579D"/>
    <w:rsid w:val="3B6E4235"/>
    <w:rsid w:val="3BA7084C"/>
    <w:rsid w:val="3BCA3066"/>
    <w:rsid w:val="3C01771B"/>
    <w:rsid w:val="3C764097"/>
    <w:rsid w:val="3CA55B29"/>
    <w:rsid w:val="3CB21A52"/>
    <w:rsid w:val="3CC35212"/>
    <w:rsid w:val="3CD84EB3"/>
    <w:rsid w:val="3D000214"/>
    <w:rsid w:val="3D0072B8"/>
    <w:rsid w:val="3D0173C5"/>
    <w:rsid w:val="3D332398"/>
    <w:rsid w:val="3DE83833"/>
    <w:rsid w:val="3E104487"/>
    <w:rsid w:val="3E465B7C"/>
    <w:rsid w:val="3E4660FB"/>
    <w:rsid w:val="3E734A16"/>
    <w:rsid w:val="3E752DDF"/>
    <w:rsid w:val="3E92628C"/>
    <w:rsid w:val="3EF728D5"/>
    <w:rsid w:val="3F877A39"/>
    <w:rsid w:val="40093884"/>
    <w:rsid w:val="400D176C"/>
    <w:rsid w:val="401D2E8B"/>
    <w:rsid w:val="40251D40"/>
    <w:rsid w:val="406366DD"/>
    <w:rsid w:val="40DF6392"/>
    <w:rsid w:val="41887122"/>
    <w:rsid w:val="418F7312"/>
    <w:rsid w:val="41AC096A"/>
    <w:rsid w:val="41BB295C"/>
    <w:rsid w:val="41E974C9"/>
    <w:rsid w:val="42593309"/>
    <w:rsid w:val="425F29E4"/>
    <w:rsid w:val="42BB2A00"/>
    <w:rsid w:val="42CF1A6D"/>
    <w:rsid w:val="42D9578F"/>
    <w:rsid w:val="42FB3958"/>
    <w:rsid w:val="433504EC"/>
    <w:rsid w:val="434F4957"/>
    <w:rsid w:val="435E59BE"/>
    <w:rsid w:val="4362385A"/>
    <w:rsid w:val="43CE580F"/>
    <w:rsid w:val="4401783A"/>
    <w:rsid w:val="440A4948"/>
    <w:rsid w:val="44406889"/>
    <w:rsid w:val="44550E45"/>
    <w:rsid w:val="44931781"/>
    <w:rsid w:val="44B94D9B"/>
    <w:rsid w:val="45196317"/>
    <w:rsid w:val="452C3A1D"/>
    <w:rsid w:val="454D74A9"/>
    <w:rsid w:val="45E004FC"/>
    <w:rsid w:val="45E138F4"/>
    <w:rsid w:val="46547D5A"/>
    <w:rsid w:val="46AE6F33"/>
    <w:rsid w:val="46B1432D"/>
    <w:rsid w:val="47046B53"/>
    <w:rsid w:val="47376F28"/>
    <w:rsid w:val="47CC6923"/>
    <w:rsid w:val="480E207F"/>
    <w:rsid w:val="480F6038"/>
    <w:rsid w:val="48576465"/>
    <w:rsid w:val="48FC2DB1"/>
    <w:rsid w:val="49522D5E"/>
    <w:rsid w:val="49A02651"/>
    <w:rsid w:val="49C47659"/>
    <w:rsid w:val="49DF11B1"/>
    <w:rsid w:val="4A2B5779"/>
    <w:rsid w:val="4A450EF1"/>
    <w:rsid w:val="4A5D5D84"/>
    <w:rsid w:val="4A88006B"/>
    <w:rsid w:val="4A9401EE"/>
    <w:rsid w:val="4A9F52A4"/>
    <w:rsid w:val="4AD351BA"/>
    <w:rsid w:val="4B050259"/>
    <w:rsid w:val="4B0557AD"/>
    <w:rsid w:val="4B06733D"/>
    <w:rsid w:val="4B0B4954"/>
    <w:rsid w:val="4B6F670D"/>
    <w:rsid w:val="4B730369"/>
    <w:rsid w:val="4BAB27B1"/>
    <w:rsid w:val="4BB26B7D"/>
    <w:rsid w:val="4BD935B2"/>
    <w:rsid w:val="4C420357"/>
    <w:rsid w:val="4C420BC6"/>
    <w:rsid w:val="4C5C2F8D"/>
    <w:rsid w:val="4C8F4AEF"/>
    <w:rsid w:val="4CAD2284"/>
    <w:rsid w:val="4CBF59B7"/>
    <w:rsid w:val="4DBF37D4"/>
    <w:rsid w:val="4DFF1E22"/>
    <w:rsid w:val="4E04701D"/>
    <w:rsid w:val="4E0F02B7"/>
    <w:rsid w:val="4E19737E"/>
    <w:rsid w:val="4E6E2FB5"/>
    <w:rsid w:val="4E8D38D2"/>
    <w:rsid w:val="4EB175DB"/>
    <w:rsid w:val="4EBA414E"/>
    <w:rsid w:val="4F5662D3"/>
    <w:rsid w:val="4F5A491C"/>
    <w:rsid w:val="500E28C5"/>
    <w:rsid w:val="50606A7D"/>
    <w:rsid w:val="50A62A29"/>
    <w:rsid w:val="50D61B66"/>
    <w:rsid w:val="50E06415"/>
    <w:rsid w:val="50EF617E"/>
    <w:rsid w:val="511C715A"/>
    <w:rsid w:val="51207AE6"/>
    <w:rsid w:val="513A03FE"/>
    <w:rsid w:val="5153495F"/>
    <w:rsid w:val="51547B32"/>
    <w:rsid w:val="519A7131"/>
    <w:rsid w:val="51C0603E"/>
    <w:rsid w:val="5218720A"/>
    <w:rsid w:val="521E46DD"/>
    <w:rsid w:val="52217827"/>
    <w:rsid w:val="52412A09"/>
    <w:rsid w:val="52445A58"/>
    <w:rsid w:val="524B13D8"/>
    <w:rsid w:val="5266074B"/>
    <w:rsid w:val="52727066"/>
    <w:rsid w:val="527F3531"/>
    <w:rsid w:val="52B86C7A"/>
    <w:rsid w:val="52D715BF"/>
    <w:rsid w:val="53675712"/>
    <w:rsid w:val="536F3457"/>
    <w:rsid w:val="537155BE"/>
    <w:rsid w:val="537B63EF"/>
    <w:rsid w:val="53D61885"/>
    <w:rsid w:val="53DF24DA"/>
    <w:rsid w:val="543A1E06"/>
    <w:rsid w:val="54417169"/>
    <w:rsid w:val="54444075"/>
    <w:rsid w:val="54482775"/>
    <w:rsid w:val="54CA7B59"/>
    <w:rsid w:val="54D45954"/>
    <w:rsid w:val="54FD4609"/>
    <w:rsid w:val="55030E5B"/>
    <w:rsid w:val="550D3B58"/>
    <w:rsid w:val="555A1BA0"/>
    <w:rsid w:val="55810253"/>
    <w:rsid w:val="55CA674D"/>
    <w:rsid w:val="55D02697"/>
    <w:rsid w:val="55DA64AD"/>
    <w:rsid w:val="55F76BEE"/>
    <w:rsid w:val="561A081A"/>
    <w:rsid w:val="561D19DF"/>
    <w:rsid w:val="56292132"/>
    <w:rsid w:val="56307F1D"/>
    <w:rsid w:val="56B850C9"/>
    <w:rsid w:val="56C02A96"/>
    <w:rsid w:val="56CF0F2B"/>
    <w:rsid w:val="56DD7F5E"/>
    <w:rsid w:val="56F73FDE"/>
    <w:rsid w:val="57032983"/>
    <w:rsid w:val="572A285B"/>
    <w:rsid w:val="57527466"/>
    <w:rsid w:val="576D24F2"/>
    <w:rsid w:val="57A51C8C"/>
    <w:rsid w:val="57A5783A"/>
    <w:rsid w:val="57EF4246"/>
    <w:rsid w:val="5832685C"/>
    <w:rsid w:val="584568AC"/>
    <w:rsid w:val="58824ACC"/>
    <w:rsid w:val="589200EC"/>
    <w:rsid w:val="58A91476"/>
    <w:rsid w:val="58B3435E"/>
    <w:rsid w:val="590D7131"/>
    <w:rsid w:val="591253D6"/>
    <w:rsid w:val="594B37F1"/>
    <w:rsid w:val="599E5578"/>
    <w:rsid w:val="59C37040"/>
    <w:rsid w:val="59CB0374"/>
    <w:rsid w:val="59DE0CA7"/>
    <w:rsid w:val="5A1A3741"/>
    <w:rsid w:val="5A7616BE"/>
    <w:rsid w:val="5A770749"/>
    <w:rsid w:val="5A861ABD"/>
    <w:rsid w:val="5A8F20BE"/>
    <w:rsid w:val="5AA837AC"/>
    <w:rsid w:val="5AB67D0C"/>
    <w:rsid w:val="5ABE59E9"/>
    <w:rsid w:val="5AC4067B"/>
    <w:rsid w:val="5ADF6E56"/>
    <w:rsid w:val="5B0116C7"/>
    <w:rsid w:val="5B1F3B03"/>
    <w:rsid w:val="5B380C90"/>
    <w:rsid w:val="5B6363EB"/>
    <w:rsid w:val="5B7D338F"/>
    <w:rsid w:val="5B9F14C4"/>
    <w:rsid w:val="5BA1276A"/>
    <w:rsid w:val="5BA57C0C"/>
    <w:rsid w:val="5C234513"/>
    <w:rsid w:val="5C425CFC"/>
    <w:rsid w:val="5C462667"/>
    <w:rsid w:val="5C4F6BD1"/>
    <w:rsid w:val="5C7E21D6"/>
    <w:rsid w:val="5C910A31"/>
    <w:rsid w:val="5C9367F6"/>
    <w:rsid w:val="5CB77CFA"/>
    <w:rsid w:val="5D214E4E"/>
    <w:rsid w:val="5D611272"/>
    <w:rsid w:val="5D630DB1"/>
    <w:rsid w:val="5D9562FF"/>
    <w:rsid w:val="5DAB0B66"/>
    <w:rsid w:val="5DDE6F83"/>
    <w:rsid w:val="5DF146B7"/>
    <w:rsid w:val="5E16050E"/>
    <w:rsid w:val="5E327DFC"/>
    <w:rsid w:val="5E4D122B"/>
    <w:rsid w:val="5E8425FB"/>
    <w:rsid w:val="5E9F11E3"/>
    <w:rsid w:val="5EF336FC"/>
    <w:rsid w:val="5F01627C"/>
    <w:rsid w:val="5F074FDA"/>
    <w:rsid w:val="5F35068C"/>
    <w:rsid w:val="5F405E81"/>
    <w:rsid w:val="5F4C0C3F"/>
    <w:rsid w:val="60A76A75"/>
    <w:rsid w:val="60A90CC5"/>
    <w:rsid w:val="61241947"/>
    <w:rsid w:val="612E6AAD"/>
    <w:rsid w:val="61633FDA"/>
    <w:rsid w:val="616A7D2F"/>
    <w:rsid w:val="61745166"/>
    <w:rsid w:val="61974113"/>
    <w:rsid w:val="61C64A0E"/>
    <w:rsid w:val="61F40A0D"/>
    <w:rsid w:val="62173786"/>
    <w:rsid w:val="621C2B4B"/>
    <w:rsid w:val="62404A8B"/>
    <w:rsid w:val="6241261C"/>
    <w:rsid w:val="62420210"/>
    <w:rsid w:val="62611DB0"/>
    <w:rsid w:val="62662018"/>
    <w:rsid w:val="62B47326"/>
    <w:rsid w:val="62EE553D"/>
    <w:rsid w:val="6300421A"/>
    <w:rsid w:val="630901A6"/>
    <w:rsid w:val="632C0E07"/>
    <w:rsid w:val="6349725C"/>
    <w:rsid w:val="63865AC3"/>
    <w:rsid w:val="638A4820"/>
    <w:rsid w:val="63931D5D"/>
    <w:rsid w:val="63A27AA9"/>
    <w:rsid w:val="64035650"/>
    <w:rsid w:val="644A2A60"/>
    <w:rsid w:val="64812DEB"/>
    <w:rsid w:val="64CB0227"/>
    <w:rsid w:val="656138C5"/>
    <w:rsid w:val="65942779"/>
    <w:rsid w:val="663C677D"/>
    <w:rsid w:val="66987842"/>
    <w:rsid w:val="66A001EE"/>
    <w:rsid w:val="66B206ED"/>
    <w:rsid w:val="66EF4ABB"/>
    <w:rsid w:val="67CC59E3"/>
    <w:rsid w:val="68264A5A"/>
    <w:rsid w:val="685B20EE"/>
    <w:rsid w:val="68907DEF"/>
    <w:rsid w:val="68E93DF6"/>
    <w:rsid w:val="690359D6"/>
    <w:rsid w:val="691427CE"/>
    <w:rsid w:val="69826F10"/>
    <w:rsid w:val="6992118F"/>
    <w:rsid w:val="699A6627"/>
    <w:rsid w:val="69C96D41"/>
    <w:rsid w:val="69F04850"/>
    <w:rsid w:val="6A087A2A"/>
    <w:rsid w:val="6A2A2395"/>
    <w:rsid w:val="6A435043"/>
    <w:rsid w:val="6A5E2F38"/>
    <w:rsid w:val="6AF52ECD"/>
    <w:rsid w:val="6B113469"/>
    <w:rsid w:val="6B2A277C"/>
    <w:rsid w:val="6B43383E"/>
    <w:rsid w:val="6B8D6867"/>
    <w:rsid w:val="6B8D71AD"/>
    <w:rsid w:val="6BAA5F82"/>
    <w:rsid w:val="6BAE515B"/>
    <w:rsid w:val="6BFE1359"/>
    <w:rsid w:val="6D264A09"/>
    <w:rsid w:val="6D285EEE"/>
    <w:rsid w:val="6D3A4256"/>
    <w:rsid w:val="6D912FC0"/>
    <w:rsid w:val="6DAB2AD4"/>
    <w:rsid w:val="6DB4632D"/>
    <w:rsid w:val="6DDE162C"/>
    <w:rsid w:val="6E1172F4"/>
    <w:rsid w:val="6E196680"/>
    <w:rsid w:val="6E380D0C"/>
    <w:rsid w:val="6EC647D7"/>
    <w:rsid w:val="6ED919F6"/>
    <w:rsid w:val="6EDE3796"/>
    <w:rsid w:val="6EF410D7"/>
    <w:rsid w:val="6EFA4214"/>
    <w:rsid w:val="6F5153EC"/>
    <w:rsid w:val="6FC84312"/>
    <w:rsid w:val="6FE605C4"/>
    <w:rsid w:val="70265F41"/>
    <w:rsid w:val="703B2D36"/>
    <w:rsid w:val="70673123"/>
    <w:rsid w:val="706C3BCA"/>
    <w:rsid w:val="70A34986"/>
    <w:rsid w:val="70B704DA"/>
    <w:rsid w:val="70FA674D"/>
    <w:rsid w:val="710B069E"/>
    <w:rsid w:val="714844A1"/>
    <w:rsid w:val="714C17A4"/>
    <w:rsid w:val="7161057A"/>
    <w:rsid w:val="71793B16"/>
    <w:rsid w:val="71A12B08"/>
    <w:rsid w:val="71AF4994"/>
    <w:rsid w:val="71FD4F1A"/>
    <w:rsid w:val="722975D2"/>
    <w:rsid w:val="72457E9C"/>
    <w:rsid w:val="7270316B"/>
    <w:rsid w:val="72757CAB"/>
    <w:rsid w:val="727C248C"/>
    <w:rsid w:val="73264FA6"/>
    <w:rsid w:val="734B2C0B"/>
    <w:rsid w:val="73824F7C"/>
    <w:rsid w:val="739648B7"/>
    <w:rsid w:val="73B37F21"/>
    <w:rsid w:val="73EF00BF"/>
    <w:rsid w:val="7406050A"/>
    <w:rsid w:val="7420296E"/>
    <w:rsid w:val="74746816"/>
    <w:rsid w:val="74747483"/>
    <w:rsid w:val="74CE0C97"/>
    <w:rsid w:val="752306D3"/>
    <w:rsid w:val="752537A3"/>
    <w:rsid w:val="758111EB"/>
    <w:rsid w:val="759676DE"/>
    <w:rsid w:val="75D23344"/>
    <w:rsid w:val="75D60E9A"/>
    <w:rsid w:val="75E579CC"/>
    <w:rsid w:val="76184CE8"/>
    <w:rsid w:val="76525E43"/>
    <w:rsid w:val="76783713"/>
    <w:rsid w:val="76BB7D9C"/>
    <w:rsid w:val="76FF4ABD"/>
    <w:rsid w:val="77813724"/>
    <w:rsid w:val="778E6FF9"/>
    <w:rsid w:val="77BC650A"/>
    <w:rsid w:val="77D50689"/>
    <w:rsid w:val="781A4D46"/>
    <w:rsid w:val="782E006B"/>
    <w:rsid w:val="786A240A"/>
    <w:rsid w:val="78827754"/>
    <w:rsid w:val="7892370F"/>
    <w:rsid w:val="789B5F87"/>
    <w:rsid w:val="78F02F79"/>
    <w:rsid w:val="79086F68"/>
    <w:rsid w:val="792E05AF"/>
    <w:rsid w:val="79C678D4"/>
    <w:rsid w:val="79EE1860"/>
    <w:rsid w:val="7A08012D"/>
    <w:rsid w:val="7B036820"/>
    <w:rsid w:val="7B08205F"/>
    <w:rsid w:val="7B4927AB"/>
    <w:rsid w:val="7BFF157E"/>
    <w:rsid w:val="7C391482"/>
    <w:rsid w:val="7C5036C5"/>
    <w:rsid w:val="7C611615"/>
    <w:rsid w:val="7C9932A4"/>
    <w:rsid w:val="7CA943D8"/>
    <w:rsid w:val="7CF0563E"/>
    <w:rsid w:val="7D060CAB"/>
    <w:rsid w:val="7D0B50EE"/>
    <w:rsid w:val="7D7942E8"/>
    <w:rsid w:val="7D9552CA"/>
    <w:rsid w:val="7DF42BD8"/>
    <w:rsid w:val="7E255143"/>
    <w:rsid w:val="7E7200FE"/>
    <w:rsid w:val="7EA46823"/>
    <w:rsid w:val="7EE46AA6"/>
    <w:rsid w:val="7EEA05E4"/>
    <w:rsid w:val="7EED5B43"/>
    <w:rsid w:val="7F402117"/>
    <w:rsid w:val="7F5B6A68"/>
    <w:rsid w:val="7F871130"/>
    <w:rsid w:val="7F907C00"/>
    <w:rsid w:val="7FA51F7A"/>
    <w:rsid w:val="7FC97A14"/>
    <w:rsid w:val="7FF64583"/>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autoRedefine/>
    <w:qFormat/>
    <w:uiPriority w:val="0"/>
    <w:pPr>
      <w:keepNext/>
      <w:autoSpaceDE w:val="0"/>
      <w:autoSpaceDN w:val="0"/>
      <w:adjustRightInd w:val="0"/>
      <w:jc w:val="center"/>
      <w:outlineLvl w:val="0"/>
    </w:pPr>
    <w:rPr>
      <w:rFonts w:ascii="宋体"/>
      <w:color w:val="000000"/>
      <w:sz w:val="28"/>
      <w:szCs w:val="20"/>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b/>
      <w:bCs/>
      <w:sz w:val="32"/>
      <w:szCs w:val="32"/>
    </w:rPr>
  </w:style>
  <w:style w:type="paragraph" w:styleId="4">
    <w:name w:val="heading 3"/>
    <w:basedOn w:val="1"/>
    <w:next w:val="1"/>
    <w:link w:val="38"/>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Cambria" w:hAnsi="Cambria"/>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2"/>
    <w:autoRedefine/>
    <w:unhideWhenUsed/>
    <w:qFormat/>
    <w:uiPriority w:val="99"/>
    <w:pPr>
      <w:jc w:val="left"/>
    </w:pPr>
  </w:style>
  <w:style w:type="paragraph" w:styleId="7">
    <w:name w:val="Body Text"/>
    <w:basedOn w:val="1"/>
    <w:next w:val="1"/>
    <w:autoRedefine/>
    <w:qFormat/>
    <w:uiPriority w:val="0"/>
    <w:pPr>
      <w:spacing w:after="120"/>
    </w:pPr>
  </w:style>
  <w:style w:type="paragraph" w:styleId="8">
    <w:name w:val="Body Text Indent"/>
    <w:basedOn w:val="1"/>
    <w:autoRedefine/>
    <w:unhideWhenUsed/>
    <w:qFormat/>
    <w:uiPriority w:val="99"/>
    <w:pPr>
      <w:spacing w:after="120"/>
      <w:ind w:left="420" w:leftChars="200"/>
    </w:pPr>
  </w:style>
  <w:style w:type="paragraph" w:styleId="9">
    <w:name w:val="Plain Text"/>
    <w:basedOn w:val="1"/>
    <w:link w:val="35"/>
    <w:autoRedefine/>
    <w:qFormat/>
    <w:uiPriority w:val="0"/>
    <w:rPr>
      <w:rFonts w:ascii="宋体" w:hAnsi="Courier New" w:eastAsiaTheme="minorEastAsia" w:cstheme="minorBidi"/>
    </w:rPr>
  </w:style>
  <w:style w:type="paragraph" w:styleId="10">
    <w:name w:val="Date"/>
    <w:basedOn w:val="1"/>
    <w:next w:val="1"/>
    <w:link w:val="27"/>
    <w:autoRedefine/>
    <w:qFormat/>
    <w:uiPriority w:val="0"/>
    <w:rPr>
      <w:rFonts w:ascii="宋体" w:hAnsi="Courier New"/>
      <w:kern w:val="0"/>
      <w:sz w:val="32"/>
      <w:szCs w:val="20"/>
    </w:rPr>
  </w:style>
  <w:style w:type="paragraph" w:styleId="11">
    <w:name w:val="Balloon Text"/>
    <w:basedOn w:val="1"/>
    <w:link w:val="28"/>
    <w:autoRedefine/>
    <w:semiHidden/>
    <w:unhideWhenUsed/>
    <w:qFormat/>
    <w:uiPriority w:val="99"/>
    <w:rPr>
      <w:sz w:val="18"/>
      <w:szCs w:val="18"/>
    </w:rPr>
  </w:style>
  <w:style w:type="paragraph" w:styleId="12">
    <w:name w:val="footer"/>
    <w:basedOn w:val="1"/>
    <w:link w:val="30"/>
    <w:autoRedefine/>
    <w:unhideWhenUsed/>
    <w:qFormat/>
    <w:uiPriority w:val="99"/>
    <w:pPr>
      <w:tabs>
        <w:tab w:val="center" w:pos="4153"/>
        <w:tab w:val="right" w:pos="8306"/>
      </w:tabs>
      <w:snapToGrid w:val="0"/>
      <w:jc w:val="left"/>
    </w:pPr>
    <w:rPr>
      <w:sz w:val="18"/>
      <w:szCs w:val="18"/>
    </w:rPr>
  </w:style>
  <w:style w:type="paragraph" w:styleId="13">
    <w:name w:val="header"/>
    <w:basedOn w:val="1"/>
    <w:link w:val="2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semiHidden/>
    <w:qFormat/>
    <w:uiPriority w:val="0"/>
    <w:pPr>
      <w:tabs>
        <w:tab w:val="right" w:leader="dot" w:pos="8296"/>
      </w:tabs>
      <w:ind w:left="210"/>
      <w:jc w:val="left"/>
    </w:pPr>
    <w:rPr>
      <w:smallCaps/>
    </w:rPr>
  </w:style>
  <w:style w:type="paragraph" w:styleId="15">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Cs w:val="21"/>
    </w:rPr>
  </w:style>
  <w:style w:type="paragraph" w:styleId="16">
    <w:name w:val="annotation subject"/>
    <w:basedOn w:val="6"/>
    <w:next w:val="6"/>
    <w:link w:val="33"/>
    <w:autoRedefine/>
    <w:semiHidden/>
    <w:unhideWhenUsed/>
    <w:qFormat/>
    <w:uiPriority w:val="99"/>
    <w:rPr>
      <w:b/>
      <w:bCs/>
    </w:rPr>
  </w:style>
  <w:style w:type="paragraph" w:styleId="17">
    <w:name w:val="Body Text First Indent 2"/>
    <w:basedOn w:val="8"/>
    <w:autoRedefine/>
    <w:qFormat/>
    <w:uiPriority w:val="0"/>
    <w:pPr>
      <w:ind w:firstLine="420" w:firstLineChars="200"/>
    </w:pPr>
    <w:rPr>
      <w:szCs w:val="24"/>
    </w:rPr>
  </w:style>
  <w:style w:type="table" w:styleId="19">
    <w:name w:val="Table Grid"/>
    <w:basedOn w:val="18"/>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qFormat/>
    <w:uiPriority w:val="0"/>
    <w:rPr>
      <w:rFonts w:ascii="Times New Roman" w:hAnsi="Times New Roman" w:eastAsia="宋体" w:cs="Times New Roman"/>
      <w:b/>
      <w:bCs/>
    </w:rPr>
  </w:style>
  <w:style w:type="character" w:styleId="22">
    <w:name w:val="page number"/>
    <w:basedOn w:val="20"/>
    <w:qFormat/>
    <w:uiPriority w:val="0"/>
  </w:style>
  <w:style w:type="character" w:styleId="23">
    <w:name w:val="Hyperlink"/>
    <w:autoRedefine/>
    <w:qFormat/>
    <w:uiPriority w:val="99"/>
    <w:rPr>
      <w:color w:val="0000FF"/>
      <w:u w:val="single"/>
    </w:rPr>
  </w:style>
  <w:style w:type="character" w:styleId="24">
    <w:name w:val="annotation reference"/>
    <w:basedOn w:val="20"/>
    <w:autoRedefine/>
    <w:semiHidden/>
    <w:unhideWhenUsed/>
    <w:qFormat/>
    <w:uiPriority w:val="99"/>
    <w:rPr>
      <w:sz w:val="21"/>
      <w:szCs w:val="21"/>
    </w:rPr>
  </w:style>
  <w:style w:type="paragraph" w:customStyle="1" w:styleId="25">
    <w:name w:val="表格文字"/>
    <w:basedOn w:val="1"/>
    <w:autoRedefine/>
    <w:qFormat/>
    <w:uiPriority w:val="0"/>
    <w:pPr>
      <w:spacing w:before="25" w:after="25" w:line="240" w:lineRule="auto"/>
      <w:ind w:firstLine="0"/>
      <w:jc w:val="left"/>
    </w:pPr>
    <w:rPr>
      <w:bCs/>
      <w:spacing w:val="10"/>
      <w:kern w:val="0"/>
      <w:sz w:val="24"/>
    </w:rPr>
  </w:style>
  <w:style w:type="character" w:customStyle="1" w:styleId="26">
    <w:name w:val="日期 Char"/>
    <w:basedOn w:val="20"/>
    <w:link w:val="10"/>
    <w:autoRedefine/>
    <w:qFormat/>
    <w:uiPriority w:val="0"/>
    <w:rPr>
      <w:rFonts w:ascii="宋体" w:hAnsi="Courier New" w:eastAsia="宋体" w:cs="Times New Roman"/>
      <w:kern w:val="0"/>
      <w:sz w:val="32"/>
      <w:szCs w:val="20"/>
    </w:rPr>
  </w:style>
  <w:style w:type="character" w:customStyle="1" w:styleId="27">
    <w:name w:val="日期 Char1"/>
    <w:basedOn w:val="20"/>
    <w:link w:val="10"/>
    <w:autoRedefine/>
    <w:semiHidden/>
    <w:qFormat/>
    <w:uiPriority w:val="99"/>
    <w:rPr>
      <w:rFonts w:ascii="Calibri" w:hAnsi="Calibri" w:eastAsia="宋体" w:cs="Times New Roman"/>
    </w:rPr>
  </w:style>
  <w:style w:type="character" w:customStyle="1" w:styleId="28">
    <w:name w:val="批注框文本 Char"/>
    <w:basedOn w:val="20"/>
    <w:link w:val="11"/>
    <w:autoRedefine/>
    <w:semiHidden/>
    <w:qFormat/>
    <w:uiPriority w:val="99"/>
    <w:rPr>
      <w:rFonts w:ascii="Calibri" w:hAnsi="Calibri" w:eastAsia="宋体" w:cs="Times New Roman"/>
      <w:sz w:val="18"/>
      <w:szCs w:val="18"/>
    </w:rPr>
  </w:style>
  <w:style w:type="character" w:customStyle="1" w:styleId="29">
    <w:name w:val="页眉 Char"/>
    <w:basedOn w:val="20"/>
    <w:link w:val="13"/>
    <w:autoRedefine/>
    <w:semiHidden/>
    <w:qFormat/>
    <w:uiPriority w:val="99"/>
    <w:rPr>
      <w:rFonts w:ascii="Calibri" w:hAnsi="Calibri" w:eastAsia="宋体" w:cs="Times New Roman"/>
      <w:sz w:val="18"/>
      <w:szCs w:val="18"/>
    </w:rPr>
  </w:style>
  <w:style w:type="character" w:customStyle="1" w:styleId="30">
    <w:name w:val="页脚 Char"/>
    <w:basedOn w:val="20"/>
    <w:link w:val="12"/>
    <w:autoRedefine/>
    <w:qFormat/>
    <w:uiPriority w:val="99"/>
    <w:rPr>
      <w:rFonts w:ascii="Calibri" w:hAnsi="Calibri" w:eastAsia="宋体" w:cs="Times New Roman"/>
      <w:sz w:val="18"/>
      <w:szCs w:val="18"/>
    </w:rPr>
  </w:style>
  <w:style w:type="character" w:customStyle="1" w:styleId="31">
    <w:name w:val="标题 1 Char"/>
    <w:basedOn w:val="20"/>
    <w:link w:val="2"/>
    <w:autoRedefine/>
    <w:qFormat/>
    <w:uiPriority w:val="0"/>
    <w:rPr>
      <w:rFonts w:ascii="宋体" w:hAnsi="Calibri" w:eastAsia="宋体" w:cs="Times New Roman"/>
      <w:color w:val="000000"/>
      <w:sz w:val="28"/>
      <w:szCs w:val="20"/>
    </w:rPr>
  </w:style>
  <w:style w:type="character" w:customStyle="1" w:styleId="32">
    <w:name w:val="批注文字 Char"/>
    <w:basedOn w:val="20"/>
    <w:link w:val="6"/>
    <w:autoRedefine/>
    <w:qFormat/>
    <w:uiPriority w:val="99"/>
    <w:rPr>
      <w:rFonts w:ascii="Calibri" w:hAnsi="Calibri" w:eastAsia="宋体" w:cs="Times New Roman"/>
    </w:rPr>
  </w:style>
  <w:style w:type="character" w:customStyle="1" w:styleId="33">
    <w:name w:val="批注主题 Char"/>
    <w:basedOn w:val="32"/>
    <w:link w:val="16"/>
    <w:autoRedefine/>
    <w:semiHidden/>
    <w:qFormat/>
    <w:uiPriority w:val="99"/>
    <w:rPr>
      <w:b/>
      <w:bCs/>
    </w:rPr>
  </w:style>
  <w:style w:type="character" w:customStyle="1" w:styleId="34">
    <w:name w:val="纯文本 Char"/>
    <w:link w:val="9"/>
    <w:autoRedefine/>
    <w:qFormat/>
    <w:uiPriority w:val="0"/>
    <w:rPr>
      <w:rFonts w:ascii="宋体" w:hAnsi="Courier New"/>
    </w:rPr>
  </w:style>
  <w:style w:type="character" w:customStyle="1" w:styleId="35">
    <w:name w:val="纯文本 Char1"/>
    <w:basedOn w:val="20"/>
    <w:link w:val="9"/>
    <w:autoRedefine/>
    <w:semiHidden/>
    <w:qFormat/>
    <w:uiPriority w:val="99"/>
    <w:rPr>
      <w:rFonts w:ascii="宋体" w:hAnsi="Courier New" w:eastAsia="宋体" w:cs="Courier New"/>
      <w:szCs w:val="21"/>
    </w:rPr>
  </w:style>
  <w:style w:type="character" w:customStyle="1" w:styleId="36">
    <w:name w:val="标题 2 Char"/>
    <w:basedOn w:val="20"/>
    <w:link w:val="3"/>
    <w:autoRedefine/>
    <w:qFormat/>
    <w:uiPriority w:val="0"/>
    <w:rPr>
      <w:rFonts w:ascii="Arial" w:hAnsi="Arial" w:eastAsia="宋体" w:cs="Times New Roman"/>
      <w:b/>
      <w:bCs/>
      <w:sz w:val="32"/>
      <w:szCs w:val="32"/>
    </w:rPr>
  </w:style>
  <w:style w:type="paragraph" w:styleId="37">
    <w:name w:val="List Paragraph"/>
    <w:basedOn w:val="1"/>
    <w:autoRedefine/>
    <w:qFormat/>
    <w:uiPriority w:val="34"/>
    <w:pPr>
      <w:ind w:firstLine="420" w:firstLineChars="200"/>
    </w:pPr>
  </w:style>
  <w:style w:type="character" w:customStyle="1" w:styleId="38">
    <w:name w:val="标题 3 Char"/>
    <w:basedOn w:val="20"/>
    <w:link w:val="4"/>
    <w:autoRedefine/>
    <w:semiHidden/>
    <w:qFormat/>
    <w:uiPriority w:val="9"/>
    <w:rPr>
      <w:rFonts w:ascii="Calibri" w:hAnsi="Calibri" w:eastAsia="宋体" w:cs="Times New Roman"/>
      <w:b/>
      <w:bCs/>
      <w:sz w:val="32"/>
      <w:szCs w:val="32"/>
    </w:rPr>
  </w:style>
  <w:style w:type="character" w:customStyle="1" w:styleId="39">
    <w:name w:val="标题 4 Char"/>
    <w:basedOn w:val="20"/>
    <w:link w:val="5"/>
    <w:autoRedefine/>
    <w:qFormat/>
    <w:uiPriority w:val="0"/>
    <w:rPr>
      <w:rFonts w:ascii="Cambria" w:hAnsi="Cambria" w:eastAsia="宋体" w:cs="Times New Roman"/>
      <w:b/>
      <w:bCs/>
      <w:sz w:val="28"/>
      <w:szCs w:val="28"/>
    </w:rPr>
  </w:style>
  <w:style w:type="paragraph" w:customStyle="1" w:styleId="40">
    <w:name w:val="xl48"/>
    <w:basedOn w:val="1"/>
    <w:autoRedefine/>
    <w:qFormat/>
    <w:uiPriority w:val="0"/>
    <w:pPr>
      <w:widowControl/>
      <w:pBdr>
        <w:bottom w:val="single" w:color="auto" w:sz="4" w:space="0"/>
      </w:pBdr>
      <w:spacing w:before="100" w:beforeAutospacing="1" w:after="100" w:afterAutospacing="1"/>
      <w:jc w:val="center"/>
      <w:textAlignment w:val="center"/>
    </w:pPr>
    <w:rPr>
      <w:rFonts w:eastAsia="Arial Unicode MS"/>
      <w:kern w:val="0"/>
      <w:sz w:val="24"/>
      <w:szCs w:val="24"/>
    </w:rPr>
  </w:style>
  <w:style w:type="paragraph" w:customStyle="1" w:styleId="41">
    <w:name w:val="1"/>
    <w:basedOn w:val="1"/>
    <w:next w:val="9"/>
    <w:autoRedefine/>
    <w:qFormat/>
    <w:uiPriority w:val="0"/>
    <w:rPr>
      <w:rFonts w:ascii="宋体" w:hAnsi="Courier New"/>
      <w:szCs w:val="20"/>
    </w:rPr>
  </w:style>
  <w:style w:type="paragraph" w:customStyle="1" w:styleId="42">
    <w:name w:val="8"/>
    <w:basedOn w:val="1"/>
    <w:next w:val="9"/>
    <w:autoRedefine/>
    <w:qFormat/>
    <w:uiPriority w:val="0"/>
    <w:rPr>
      <w:rFonts w:ascii="宋体" w:hAnsi="Courier New"/>
      <w:szCs w:val="20"/>
    </w:rPr>
  </w:style>
  <w:style w:type="paragraph" w:customStyle="1" w:styleId="43">
    <w:name w:val="_Style 55"/>
    <w:basedOn w:val="1"/>
    <w:next w:val="9"/>
    <w:autoRedefine/>
    <w:qFormat/>
    <w:uiPriority w:val="0"/>
    <w:rPr>
      <w:rFonts w:ascii="宋体" w:hAnsi="Courier New"/>
      <w:szCs w:val="20"/>
    </w:rPr>
  </w:style>
  <w:style w:type="paragraph" w:customStyle="1" w:styleId="44">
    <w:name w:val="7"/>
    <w:basedOn w:val="1"/>
    <w:next w:val="9"/>
    <w:link w:val="45"/>
    <w:autoRedefine/>
    <w:qFormat/>
    <w:uiPriority w:val="0"/>
    <w:rPr>
      <w:rFonts w:ascii="宋体" w:hAnsi="Courier New"/>
      <w:szCs w:val="20"/>
    </w:rPr>
  </w:style>
  <w:style w:type="character" w:customStyle="1" w:styleId="45">
    <w:name w:val="Char1"/>
    <w:link w:val="44"/>
    <w:autoRedefine/>
    <w:qFormat/>
    <w:uiPriority w:val="0"/>
    <w:rPr>
      <w:rFonts w:ascii="宋体" w:hAnsi="Courier New" w:eastAsia="宋体" w:cs="Times New Roman"/>
      <w:szCs w:val="20"/>
    </w:rPr>
  </w:style>
  <w:style w:type="paragraph" w:customStyle="1" w:styleId="46">
    <w:name w:val="Body text|1"/>
    <w:basedOn w:val="1"/>
    <w:autoRedefine/>
    <w:qFormat/>
    <w:uiPriority w:val="0"/>
    <w:pPr>
      <w:widowControl w:val="0"/>
      <w:shd w:val="clear" w:color="auto" w:fill="auto"/>
      <w:spacing w:line="396" w:lineRule="auto"/>
    </w:pPr>
    <w:rPr>
      <w:rFonts w:ascii="宋体" w:hAnsi="宋体" w:eastAsia="宋体" w:cs="宋体"/>
      <w:u w:val="none"/>
      <w:shd w:val="clear" w:color="auto" w:fill="auto"/>
      <w:lang w:val="zh-TW" w:eastAsia="zh-TW" w:bidi="zh-TW"/>
    </w:rPr>
  </w:style>
  <w:style w:type="paragraph" w:customStyle="1" w:styleId="4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48">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49">
    <w:name w:val="表正文"/>
    <w:basedOn w:val="1"/>
    <w:qFormat/>
    <w:uiPriority w:val="0"/>
    <w:rPr>
      <w:sz w:val="18"/>
    </w:rPr>
  </w:style>
  <w:style w:type="paragraph" w:customStyle="1" w:styleId="50">
    <w:name w:val="表格并列项"/>
    <w:basedOn w:val="51"/>
    <w:qFormat/>
    <w:uiPriority w:val="0"/>
    <w:pPr>
      <w:tabs>
        <w:tab w:val="left" w:pos="839"/>
      </w:tabs>
      <w:spacing w:before="40" w:after="40"/>
      <w:ind w:left="840" w:firstLineChars="0"/>
    </w:pPr>
  </w:style>
  <w:style w:type="paragraph" w:customStyle="1" w:styleId="51">
    <w:name w:val="并列项"/>
    <w:basedOn w:val="37"/>
    <w:qFormat/>
    <w:uiPriority w:val="0"/>
    <w:pPr>
      <w:numPr>
        <w:ilvl w:val="0"/>
        <w:numId w:val="1"/>
      </w:numPr>
      <w:snapToGrid w:val="0"/>
      <w:ind w:left="420"/>
      <w:contextualSpacing/>
    </w:pPr>
    <w:rPr>
      <w:rFonts w:cs="Cambri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2ED83-26AA-4E65-B141-EB370BBE785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3879</Words>
  <Characters>3999</Characters>
  <Lines>229</Lines>
  <Paragraphs>64</Paragraphs>
  <TotalTime>2</TotalTime>
  <ScaleCrop>false</ScaleCrop>
  <LinksUpToDate>false</LinksUpToDate>
  <CharactersWithSpaces>4015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2019-10-21T09:39:00Z</dcterms:created>
  <dc:creator>User</dc:creator>
  <cp:lastModifiedBy>中正招标--李工</cp:lastModifiedBy>
  <cp:lastPrinted>2020-05-21T02:27:00Z</cp:lastPrinted>
  <dcterms:modified xsi:type="dcterms:W3CDTF">2025-04-22T03:56:50Z</dcterms:modified>
  <cp:revision>1664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B946BEF99C8F409FBFCFBF89E6EAF5A4</vt:lpwstr>
  </property>
  <property fmtid="{D5CDD505-2E9C-101B-9397-08002B2CF9AE}" pid="4" name="KSOTemplateDocerSaveRecord">
    <vt:lpwstr>eyJoZGlkIjoiMzNiN2JjZGQwODQzNTVmMDg4ZGNmNzRhYmJlZDY2YTUiLCJ1c2VySWQiOiI0NjMwNjU1NzcifQ==</vt:lpwstr>
  </property>
</Properties>
</file>