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7"/>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445"/>
        <w:gridCol w:w="1906"/>
        <w:gridCol w:w="1830"/>
        <w:gridCol w:w="1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44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906"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w:t>
            </w:r>
          </w:p>
        </w:tc>
        <w:tc>
          <w:tcPr>
            <w:tcW w:w="178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445" w:type="dxa"/>
            <w:noWrap w:val="0"/>
            <w:vAlign w:val="center"/>
          </w:tcPr>
          <w:p>
            <w:pPr>
              <w:spacing w:line="360" w:lineRule="auto"/>
              <w:jc w:val="center"/>
              <w:rPr>
                <w:rFonts w:hint="default" w:ascii="仿宋" w:hAnsi="仿宋" w:eastAsia="仿宋"/>
                <w:sz w:val="24"/>
                <w:szCs w:val="24"/>
                <w:lang w:val="en-US" w:eastAsia="zh-CN"/>
              </w:rPr>
            </w:pPr>
            <w:r>
              <w:rPr>
                <w:rFonts w:hint="default" w:ascii="仿宋" w:hAnsi="仿宋" w:eastAsia="仿宋"/>
                <w:sz w:val="24"/>
                <w:szCs w:val="24"/>
                <w:lang w:val="en-US" w:eastAsia="zh-CN"/>
              </w:rPr>
              <w:t>电脑验光仪</w:t>
            </w:r>
          </w:p>
        </w:tc>
        <w:tc>
          <w:tcPr>
            <w:tcW w:w="1906"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2套</w:t>
            </w:r>
          </w:p>
        </w:tc>
        <w:tc>
          <w:tcPr>
            <w:tcW w:w="1830" w:type="dxa"/>
            <w:noWrap w:val="0"/>
            <w:vAlign w:val="center"/>
          </w:tcPr>
          <w:p>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32</w:t>
            </w:r>
            <w:r>
              <w:rPr>
                <w:rFonts w:hint="eastAsia" w:ascii="仿宋" w:hAnsi="仿宋" w:eastAsia="仿宋"/>
                <w:kern w:val="0"/>
                <w:sz w:val="24"/>
                <w:szCs w:val="24"/>
              </w:rPr>
              <w:t>万元</w:t>
            </w:r>
          </w:p>
        </w:tc>
        <w:tc>
          <w:tcPr>
            <w:tcW w:w="1780"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接受</w:t>
            </w:r>
            <w:r>
              <w:rPr>
                <w:rFonts w:hint="eastAsia" w:ascii="仿宋" w:hAnsi="仿宋" w:eastAsia="仿宋"/>
                <w:sz w:val="24"/>
                <w:szCs w:val="24"/>
              </w:rPr>
              <w:t>进口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2445" w:type="dxa"/>
            <w:noWrap w:val="0"/>
            <w:vAlign w:val="center"/>
          </w:tcPr>
          <w:p>
            <w:pPr>
              <w:spacing w:line="360" w:lineRule="auto"/>
              <w:jc w:val="center"/>
              <w:rPr>
                <w:rFonts w:hint="default" w:ascii="仿宋" w:hAnsi="仿宋" w:eastAsia="仿宋"/>
                <w:sz w:val="24"/>
                <w:szCs w:val="24"/>
                <w:lang w:val="en-US" w:eastAsia="zh-CN"/>
              </w:rPr>
            </w:pPr>
            <w:r>
              <w:rPr>
                <w:rFonts w:hint="default" w:ascii="仿宋" w:hAnsi="仿宋" w:eastAsia="仿宋"/>
                <w:sz w:val="24"/>
                <w:szCs w:val="24"/>
                <w:lang w:val="en-US" w:eastAsia="zh-CN"/>
              </w:rPr>
              <w:t>综合验光仪</w:t>
            </w:r>
          </w:p>
        </w:tc>
        <w:tc>
          <w:tcPr>
            <w:tcW w:w="1906"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1830" w:type="dxa"/>
            <w:noWrap w:val="0"/>
            <w:vAlign w:val="center"/>
          </w:tcPr>
          <w:p>
            <w:pPr>
              <w:spacing w:line="360" w:lineRule="auto"/>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30万元</w:t>
            </w:r>
          </w:p>
        </w:tc>
        <w:tc>
          <w:tcPr>
            <w:tcW w:w="1780"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接受进口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7"/>
        <w:tblW w:w="90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665"/>
        <w:gridCol w:w="1265"/>
        <w:gridCol w:w="18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257"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665"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货物名称</w:t>
            </w:r>
          </w:p>
        </w:tc>
        <w:tc>
          <w:tcPr>
            <w:tcW w:w="1265"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880"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7" w:type="dxa"/>
            <w:gridSpan w:val="4"/>
            <w:tcBorders>
              <w:tl2br w:val="nil"/>
              <w:tr2bl w:val="nil"/>
            </w:tcBorders>
            <w:noWrap w:val="0"/>
            <w:vAlign w:val="center"/>
          </w:tcPr>
          <w:p>
            <w:pPr>
              <w:spacing w:line="276" w:lineRule="auto"/>
              <w:jc w:val="left"/>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（一）电脑验光仪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电脑验光仪</w:t>
            </w:r>
          </w:p>
        </w:tc>
        <w:tc>
          <w:tcPr>
            <w:tcW w:w="12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8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打印纸</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电源线</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防尘罩</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下颌托垫纸</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下颌托垫纸固定销钉</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球镜模拟眼/ 隐形眼镜托架（一体式）</w:t>
            </w:r>
          </w:p>
        </w:tc>
        <w:tc>
          <w:tcPr>
            <w:tcW w:w="12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8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配国产升降台</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7" w:type="dxa"/>
            <w:gridSpan w:val="4"/>
            <w:tcBorders>
              <w:tl2br w:val="nil"/>
              <w:tr2bl w:val="nil"/>
            </w:tcBorders>
            <w:noWrap w:val="0"/>
            <w:vAlign w:val="center"/>
          </w:tcPr>
          <w:p>
            <w:pPr>
              <w:spacing w:line="276" w:lineRule="auto"/>
              <w:jc w:val="left"/>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（二）综合验光仪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全自动综合验光仪集合镜片头</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触屏面板控制设备</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近距离测试卡和杆</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灯</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内置打印机</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魔术箱视力表</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p>
        </w:tc>
        <w:tc>
          <w:tcPr>
            <w:tcW w:w="4665"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综合检查台和电动升降椅</w:t>
            </w:r>
          </w:p>
        </w:tc>
        <w:tc>
          <w:tcPr>
            <w:tcW w:w="1265"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bl>
    <w:p>
      <w:pPr>
        <w:widowControl/>
        <w:jc w:val="left"/>
        <w:rPr>
          <w:rFonts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rPr>
        <w:t>三、技术需求</w:t>
      </w:r>
    </w:p>
    <w:tbl>
      <w:tblPr>
        <w:tblStyle w:val="18"/>
        <w:tblW w:w="10068"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2"/>
        <w:gridCol w:w="8986"/>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1082"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rPr>
              <w:t>序号</w:t>
            </w:r>
          </w:p>
        </w:tc>
        <w:tc>
          <w:tcPr>
            <w:tcW w:w="8986"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具体参数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68" w:type="dxa"/>
            <w:gridSpan w:val="2"/>
            <w:tcBorders>
              <w:tl2br w:val="nil"/>
              <w:tr2bl w:val="nil"/>
            </w:tcBorders>
            <w:vAlign w:val="center"/>
          </w:tcPr>
          <w:p>
            <w:pPr>
              <w:spacing w:line="360" w:lineRule="auto"/>
              <w:jc w:val="both"/>
              <w:rPr>
                <w:rFonts w:hint="eastAsia" w:ascii="仿宋" w:hAnsi="仿宋" w:eastAsia="仿宋"/>
                <w:bCs/>
                <w:sz w:val="24"/>
                <w:szCs w:val="24"/>
                <w:lang w:val="en-US" w:eastAsia="zh-CN"/>
              </w:rPr>
            </w:pPr>
            <w:r>
              <w:rPr>
                <w:rFonts w:hint="eastAsia" w:ascii="仿宋" w:hAnsi="仿宋" w:eastAsia="仿宋" w:cs="仿宋"/>
                <w:b/>
                <w:bCs/>
                <w:sz w:val="24"/>
                <w:szCs w:val="24"/>
                <w:lang w:val="en-US" w:eastAsia="zh-CN"/>
              </w:rPr>
              <w:t>（一）电脑验光仪</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★电脑验光：球镜：-30.00D至+25.00D</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8986" w:type="dxa"/>
            <w:tcBorders>
              <w:tl2br w:val="nil"/>
              <w:tr2bl w:val="nil"/>
            </w:tcBorders>
            <w:vAlign w:val="top"/>
          </w:tcPr>
          <w:p>
            <w:pPr>
              <w:widowControl/>
              <w:spacing w:line="360" w:lineRule="auto"/>
              <w:jc w:val="left"/>
              <w:rPr>
                <w:rFonts w:hint="default"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柱镜：0至±12.00 D</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轴位：0至 180° (1° / 5°增量）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 xml:space="preserve">最小可测量瞳孔直径：≤Ø2mm </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5</w:t>
            </w:r>
          </w:p>
        </w:tc>
        <w:tc>
          <w:tcPr>
            <w:tcW w:w="8986" w:type="dxa"/>
            <w:tcBorders>
              <w:tl2br w:val="nil"/>
              <w:tr2bl w:val="nil"/>
            </w:tcBorders>
            <w:vAlign w:val="top"/>
          </w:tcPr>
          <w:p>
            <w:pPr>
              <w:widowControl/>
              <w:spacing w:line="360" w:lineRule="auto"/>
              <w:jc w:val="left"/>
              <w:rPr>
                <w:rFonts w:hint="default"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★角膜曲率：曲率半径:5.00至13.00mm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6</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屈光力:25.96至67.50D  n=1.3375</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7</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★柱镜:0至±12.00D</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8</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★轴位:0至180°</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9</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矢高测量：从中心起每25°测量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10</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★瞳孔距离测量：远用30至85mm近用28至80mm近用距离40mm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11</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瞳孔大小测量：1.0至10.0 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12</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角膜大小测量: 10.0至14.0mm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13</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▲调节力测量：0至10.00D</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14</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▲后照法模式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15</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视力比较模拟戴镜效果</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16</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▲散光预矫正功能</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17</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双环大瞳孔区域成像，可测6mm瞳孔区域屈光</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18</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▲白内障模式：屈光间质混浊测量模式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19</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隐形眼镜度数测量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20</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▲测量方式：3D自动追踪/手杆操作</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21</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显示：≥6.5英寸可倾斜式彩色LCD液晶屏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22</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打印机：快装型带自动切纸功能的行式热敏打印机</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23</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接口：RS-232C,USB,LAN</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24</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电源及功耗: AC 100至240 V  50 / 60 Hz ,100 VA</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25</w:t>
            </w:r>
          </w:p>
        </w:tc>
        <w:tc>
          <w:tcPr>
            <w:tcW w:w="8986" w:type="dxa"/>
            <w:tcBorders>
              <w:tl2br w:val="nil"/>
              <w:tr2bl w:val="nil"/>
            </w:tcBorders>
            <w:vAlign w:val="top"/>
          </w:tcPr>
          <w:p>
            <w:pPr>
              <w:widowControl/>
              <w:spacing w:line="360" w:lineRule="auto"/>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sz w:val="24"/>
                <w:szCs w:val="24"/>
                <w:lang w:val="en-US" w:eastAsia="zh-CN"/>
              </w:rPr>
              <w:t>尺寸及重量：260 (W) x 495 (D) x 457 (H) mm / 20 kg</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68" w:type="dxa"/>
            <w:gridSpan w:val="2"/>
            <w:tcBorders>
              <w:tl2br w:val="nil"/>
              <w:tr2bl w:val="nil"/>
            </w:tcBorders>
            <w:vAlign w:val="center"/>
          </w:tcPr>
          <w:p>
            <w:pPr>
              <w:spacing w:line="360" w:lineRule="auto"/>
              <w:ind w:left="0" w:leftChars="0" w:firstLine="0" w:firstLineChars="0"/>
              <w:jc w:val="both"/>
              <w:rPr>
                <w:rFonts w:hint="eastAsia" w:ascii="仿宋" w:hAnsi="仿宋" w:eastAsia="仿宋"/>
                <w:bCs/>
                <w:sz w:val="24"/>
                <w:szCs w:val="24"/>
                <w:lang w:val="en-US" w:eastAsia="zh-CN"/>
              </w:rPr>
            </w:pPr>
            <w:r>
              <w:rPr>
                <w:rFonts w:hint="eastAsia" w:ascii="仿宋" w:hAnsi="仿宋" w:eastAsia="仿宋" w:cs="仿宋"/>
                <w:b/>
                <w:bCs/>
                <w:sz w:val="24"/>
                <w:szCs w:val="24"/>
                <w:lang w:val="en-US" w:eastAsia="zh-CN"/>
              </w:rPr>
              <w:t>（二）综合验光仪</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▲测量范围：球镜：-29.00至+26.75D (增量为0.12/0.25D/0.5D/3D)-19.00至+16.75D (十字交叉柱镜测试，棱镜测试)</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柱镜：0.00至±8.75D (增量为0.25D/1D/2D/3D)</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轴位：0至180°(1/5/15°增量)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瞳距(PD)：48至80mm50~74mm（近视距离35CM时）54~80mm（辐辏时的远用PD）0.5/1.0mm间隔</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5</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棱镜：0至20Δ(0.1Δ/0.5Δ/2Δ间隔)</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6</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辅助镜片：十字交叉柱镜镜片(±0.25D,±0.50D,±0.25D自动十字交叉柱镜镜片)，遮挡镜，小孔镜（直径2mm），红/绿镜片，偏振滤光片（45°，135°），固定十字交叉柱镜镜片（±0.50D），检影镜用球镜镜片（+1.5D/-2.0D），红色马氏杆，固定分离棱镜，双眼平衡分离棱镜，水平隐斜视分离棱镜，垂直隐斜视分离棱镜，固定十字柱镜+水平隐斜视分离棱镜，双眼开放雾化（单只眼睛可以0.5Δ为增量更改）</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7</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▲视野: 40°（VD=12mm），39°（VD=13.75mm）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8</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▲近视力验光距离：350至700mm(50mm增量)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9</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近视力灯：白色LED</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10</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前额托调节范围：14±2mm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11</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顶点距离标记：12mm，14mm（13.75mm），16mm，18mm，20mm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12</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水平调节：±2.5°</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13</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▲显示：8.4英寸点阵式可翻转触摸彩色LCD屏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14</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▲程序更新和版本升级可通过CF卡完成，简单而迅速，大幅度扩充仪器潜在功能</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15</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尺寸及重量：主机405（W）X 102（D）X 276（H）mm，3.5kg</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16</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电源及功耗：AC230V（±10%） 50/60Hz，120VA</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17</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视力表验光距离：5 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18</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▲安装距离：1.1 m（另一种安装距离适用于T型视力表）</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19</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对比度：74% 或以上</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20</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▲背景亮度：170 ± 20 cd/㎡ ；10 ± 3 cd/㎡（夜间视力测试模式）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21</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遮蔽功能（隔离）：单个字单个字母，纵列，横行（对于具有四栏的视力表，中间两栏）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22</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滤光片功能：红-绿滤光片</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23</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视力表选择：遥控器，自动验光仪控制箱</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24</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▲视力表切换时间：0.24 秒（1帧）</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25</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视力表窗口尺寸：338（宽）x 258（高mm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26</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▲视力表照明光源：白色LED</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2"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27</w:t>
            </w:r>
          </w:p>
        </w:tc>
        <w:tc>
          <w:tcPr>
            <w:tcW w:w="8986" w:type="dxa"/>
            <w:tcBorders>
              <w:tl2br w:val="nil"/>
              <w:tr2bl w:val="nil"/>
            </w:tcBorders>
            <w:vAlign w:val="top"/>
          </w:tcPr>
          <w:p>
            <w:pPr>
              <w:widowControl/>
              <w:spacing w:line="360" w:lineRule="auto"/>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▲视力表位置范围：在主机前面1.1m处移动行程400mm( 上下反向为200mm)</w:t>
            </w:r>
          </w:p>
        </w:tc>
      </w:tr>
    </w:tbl>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rPr>
        <w:t>四、商务需求</w:t>
      </w:r>
    </w:p>
    <w:tbl>
      <w:tblPr>
        <w:tblStyle w:val="17"/>
        <w:tblW w:w="9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tcBorders>
              <w:tl2br w:val="nil"/>
              <w:tr2bl w:val="nil"/>
            </w:tcBorders>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3</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终身维修，时间自交付使用之日起计算</w:t>
            </w:r>
            <w:r>
              <w:rPr>
                <w:rFonts w:hint="eastAsia" w:ascii="仿宋" w:hAnsi="仿宋" w:eastAsia="仿宋" w:cs="仿宋"/>
                <w:b/>
                <w:color w:val="000000"/>
                <w:sz w:val="24"/>
                <w:szCs w:val="24"/>
                <w:highlight w:val="yellow"/>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pPr>
              <w:spacing w:line="360" w:lineRule="auto"/>
              <w:ind w:left="420" w:hanging="480" w:hanging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▲5）投标人提供的仪器设备的生产日期需要在一年半内生产。【</w:t>
            </w:r>
            <w:r>
              <w:rPr>
                <w:rFonts w:hint="eastAsia" w:ascii="仿宋" w:hAnsi="仿宋" w:eastAsia="仿宋" w:cs="仿宋"/>
                <w:b/>
                <w:bCs w:val="0"/>
                <w:color w:val="FF0000"/>
                <w:sz w:val="24"/>
                <w:szCs w:val="24"/>
                <w:highlight w:val="none"/>
                <w:lang w:val="en-US" w:eastAsia="zh-CN"/>
              </w:rPr>
              <w:t>生产日期需提供承诺书，格式自拟</w:t>
            </w:r>
            <w:r>
              <w:rPr>
                <w:rFonts w:hint="eastAsia" w:ascii="仿宋" w:hAnsi="仿宋" w:eastAsia="仿宋" w:cs="仿宋"/>
                <w:b w:val="0"/>
                <w:bCs/>
                <w:color w:val="000000"/>
                <w:sz w:val="24"/>
                <w:szCs w:val="24"/>
                <w:highlight w:val="none"/>
                <w:lang w:val="en-US" w:eastAsia="zh-CN"/>
              </w:rPr>
              <w:t>】</w:t>
            </w:r>
          </w:p>
          <w:p>
            <w:pPr>
              <w:spacing w:line="360" w:lineRule="auto"/>
              <w:ind w:left="420" w:hanging="480" w:hangingChars="200"/>
              <w:rPr>
                <w:rFonts w:hint="default" w:ascii="仿宋" w:hAnsi="仿宋" w:eastAsia="仿宋" w:cs="仿宋"/>
                <w:color w:val="000000"/>
                <w:sz w:val="24"/>
                <w:szCs w:val="24"/>
                <w:lang w:val="en-US" w:eastAsia="zh-CN"/>
              </w:rPr>
            </w:pPr>
            <w:r>
              <w:rPr>
                <w:rFonts w:hint="eastAsia" w:ascii="仿宋" w:hAnsi="仿宋" w:eastAsia="仿宋" w:cs="仿宋"/>
                <w:b w:val="0"/>
                <w:bCs/>
                <w:color w:val="000000"/>
                <w:sz w:val="24"/>
                <w:szCs w:val="24"/>
                <w:highlight w:val="none"/>
                <w:lang w:val="en-US" w:eastAsia="zh-CN"/>
              </w:rPr>
              <w:t>▲6）提供的仪器设备的设计使用年限必须≥5年。【</w:t>
            </w:r>
            <w:r>
              <w:rPr>
                <w:rFonts w:hint="eastAsia" w:ascii="仿宋" w:hAnsi="仿宋" w:eastAsia="仿宋" w:cs="仿宋"/>
                <w:b/>
                <w:bCs w:val="0"/>
                <w:color w:val="FF0000"/>
                <w:sz w:val="24"/>
                <w:szCs w:val="24"/>
                <w:highlight w:val="none"/>
                <w:lang w:val="en-US" w:eastAsia="zh-CN"/>
              </w:rPr>
              <w:t>设计年限需提供相关证明材料进行佐证</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tl2br w:val="nil"/>
              <w:tr2bl w:val="nil"/>
            </w:tcBorders>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pPr>
              <w:spacing w:line="360" w:lineRule="auto"/>
              <w:ind w:left="420" w:hanging="480" w:hangingChars="200"/>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▲6）仪器配套封闭试剂及耗材需在深圳市卫生耗材阳光采购平台上注册，并承诺提供深圳市内最低供货价。【</w:t>
            </w:r>
            <w:r>
              <w:rPr>
                <w:rFonts w:hint="eastAsia" w:ascii="仿宋" w:hAnsi="仿宋" w:eastAsia="仿宋" w:cs="仿宋"/>
                <w:b/>
                <w:bCs w:val="0"/>
                <w:color w:val="FF0000"/>
                <w:sz w:val="24"/>
                <w:szCs w:val="24"/>
                <w:highlight w:val="none"/>
                <w:lang w:val="en-US" w:eastAsia="zh-CN"/>
              </w:rPr>
              <w:t>提供深圳市卫生耗材阳光采购平台上注册证明和承诺函（格式自拟）,若无封闭试剂及耗材，则无需提供</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tcBorders>
              <w:tl2br w:val="nil"/>
              <w:tr2bl w:val="nil"/>
            </w:tcBorders>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tcBorders>
              <w:tl2br w:val="nil"/>
              <w:tr2bl w:val="nil"/>
            </w:tcBorders>
            <w:noWrap w:val="0"/>
            <w:vAlign w:val="top"/>
          </w:tcPr>
          <w:p>
            <w:pPr>
              <w:spacing w:line="360" w:lineRule="auto"/>
              <w:ind w:left="14" w:leftChars="0" w:hanging="14" w:hangingChars="6"/>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合同签订后三日内，乙方需支付合同总金额的5%作为履约保证金到甲方指定账户；货到指定地点、验收合格并提供全额发票办理入库之日起60日内，甲方向乙方支付全款；乙方履行完毕本合同全部义务后，乙方需向甲方申请退回该履约保证金，甲方收到申请后，60日内无息返还乙方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10</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8.2若所投产品为进口，则投标人必须提供由设备制造商或授权的中国总代理签署的合法有效的保修、维修承诺函（免费保修期满足招标文件要求）扫描件，原件备查；若所投产品为国产产品，则无需提供。</w:t>
            </w:r>
          </w:p>
        </w:tc>
      </w:tr>
    </w:tbl>
    <w:p>
      <w:bookmarkStart w:id="0" w:name="_GoBack"/>
      <w:bookmarkEnd w:id="0"/>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3"/>
          <w:jc w:val="center"/>
        </w:pP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3MTFlNzI0MDdjMzAyNWNjYzk5NGRmMzYyODU4NzYifQ=="/>
    <w:docVar w:name="KSO_WPS_MARK_KEY" w:val="8db44ecf-847d-48f9-ba65-a87c6d0afa36"/>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3B10FF"/>
    <w:rsid w:val="04447FB3"/>
    <w:rsid w:val="045E7583"/>
    <w:rsid w:val="04722D72"/>
    <w:rsid w:val="047D4AC7"/>
    <w:rsid w:val="04EB042F"/>
    <w:rsid w:val="053A3164"/>
    <w:rsid w:val="054D2B00"/>
    <w:rsid w:val="0596101C"/>
    <w:rsid w:val="05AB5E10"/>
    <w:rsid w:val="05F53990"/>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8CA7C54"/>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172A20"/>
    <w:rsid w:val="10367123"/>
    <w:rsid w:val="103E7FAD"/>
    <w:rsid w:val="10417984"/>
    <w:rsid w:val="10895666"/>
    <w:rsid w:val="1090553E"/>
    <w:rsid w:val="10AF63B7"/>
    <w:rsid w:val="10E02E12"/>
    <w:rsid w:val="10FF6FF0"/>
    <w:rsid w:val="118F7CFF"/>
    <w:rsid w:val="1197619F"/>
    <w:rsid w:val="11FF19BD"/>
    <w:rsid w:val="12426DD2"/>
    <w:rsid w:val="12443DC6"/>
    <w:rsid w:val="12A70E1F"/>
    <w:rsid w:val="12AF0CEE"/>
    <w:rsid w:val="12B72FCD"/>
    <w:rsid w:val="12D524C3"/>
    <w:rsid w:val="12D6271E"/>
    <w:rsid w:val="130518A2"/>
    <w:rsid w:val="130D6092"/>
    <w:rsid w:val="133A0200"/>
    <w:rsid w:val="13400886"/>
    <w:rsid w:val="13540978"/>
    <w:rsid w:val="135950FD"/>
    <w:rsid w:val="136B50CE"/>
    <w:rsid w:val="137E6912"/>
    <w:rsid w:val="13842C16"/>
    <w:rsid w:val="13B660AC"/>
    <w:rsid w:val="13B758FF"/>
    <w:rsid w:val="13C5743C"/>
    <w:rsid w:val="13D029CA"/>
    <w:rsid w:val="14725BD8"/>
    <w:rsid w:val="14A423A8"/>
    <w:rsid w:val="14C30A80"/>
    <w:rsid w:val="14E32A08"/>
    <w:rsid w:val="14E62BA3"/>
    <w:rsid w:val="15151870"/>
    <w:rsid w:val="1517224A"/>
    <w:rsid w:val="157D01C2"/>
    <w:rsid w:val="159B7C4F"/>
    <w:rsid w:val="15B57EA4"/>
    <w:rsid w:val="15C947BC"/>
    <w:rsid w:val="15E74C42"/>
    <w:rsid w:val="165226A8"/>
    <w:rsid w:val="165A2530"/>
    <w:rsid w:val="16AD5139"/>
    <w:rsid w:val="16FF3F08"/>
    <w:rsid w:val="1705386D"/>
    <w:rsid w:val="17083EDC"/>
    <w:rsid w:val="17147CB9"/>
    <w:rsid w:val="17233A58"/>
    <w:rsid w:val="174C4B7F"/>
    <w:rsid w:val="17693EFA"/>
    <w:rsid w:val="177158A7"/>
    <w:rsid w:val="17D17958"/>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8E1B30"/>
    <w:rsid w:val="1AC467AA"/>
    <w:rsid w:val="1B787B31"/>
    <w:rsid w:val="1B7C407F"/>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9F104A"/>
    <w:rsid w:val="1E635786"/>
    <w:rsid w:val="1E9E7418"/>
    <w:rsid w:val="1EC52E72"/>
    <w:rsid w:val="1EC91BF5"/>
    <w:rsid w:val="1EF831D2"/>
    <w:rsid w:val="1F562B02"/>
    <w:rsid w:val="1FDA244D"/>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2D447A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BC47E5"/>
    <w:rsid w:val="27C13000"/>
    <w:rsid w:val="283C2E53"/>
    <w:rsid w:val="2849353B"/>
    <w:rsid w:val="28642907"/>
    <w:rsid w:val="286940D9"/>
    <w:rsid w:val="286D5F65"/>
    <w:rsid w:val="28997FF9"/>
    <w:rsid w:val="28ED2118"/>
    <w:rsid w:val="290D7B43"/>
    <w:rsid w:val="29A0418A"/>
    <w:rsid w:val="29E33C4B"/>
    <w:rsid w:val="29F30D4C"/>
    <w:rsid w:val="2A261D85"/>
    <w:rsid w:val="2A344CC5"/>
    <w:rsid w:val="2A7F1496"/>
    <w:rsid w:val="2AA0533E"/>
    <w:rsid w:val="2B51698E"/>
    <w:rsid w:val="2B6761B2"/>
    <w:rsid w:val="2BC21530"/>
    <w:rsid w:val="2BDC1AD4"/>
    <w:rsid w:val="2C062A3B"/>
    <w:rsid w:val="2C932FD6"/>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2B5ED3"/>
    <w:rsid w:val="317821EF"/>
    <w:rsid w:val="31943F2B"/>
    <w:rsid w:val="31E4090D"/>
    <w:rsid w:val="31FD161E"/>
    <w:rsid w:val="32153857"/>
    <w:rsid w:val="32794A1C"/>
    <w:rsid w:val="328775B4"/>
    <w:rsid w:val="330723DC"/>
    <w:rsid w:val="334E50BD"/>
    <w:rsid w:val="337E0C62"/>
    <w:rsid w:val="33CF0D98"/>
    <w:rsid w:val="33F627C9"/>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151BEF"/>
    <w:rsid w:val="382367D9"/>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0D4C3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314B39"/>
    <w:rsid w:val="406366DD"/>
    <w:rsid w:val="40DF6392"/>
    <w:rsid w:val="41173618"/>
    <w:rsid w:val="41887122"/>
    <w:rsid w:val="418F7312"/>
    <w:rsid w:val="41AC096A"/>
    <w:rsid w:val="41BB295C"/>
    <w:rsid w:val="41E974C9"/>
    <w:rsid w:val="42347B56"/>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3778F9"/>
    <w:rsid w:val="4DFF1E22"/>
    <w:rsid w:val="4E04701D"/>
    <w:rsid w:val="4E0F02B7"/>
    <w:rsid w:val="4E19737E"/>
    <w:rsid w:val="4E6E2FB5"/>
    <w:rsid w:val="4E8D38D2"/>
    <w:rsid w:val="4EB175DB"/>
    <w:rsid w:val="4EB8094F"/>
    <w:rsid w:val="4EBA414E"/>
    <w:rsid w:val="4F5662D3"/>
    <w:rsid w:val="4F5A491C"/>
    <w:rsid w:val="500E28C5"/>
    <w:rsid w:val="50606A7D"/>
    <w:rsid w:val="50A62A29"/>
    <w:rsid w:val="50D61B66"/>
    <w:rsid w:val="50E06415"/>
    <w:rsid w:val="50EF617E"/>
    <w:rsid w:val="511C715A"/>
    <w:rsid w:val="51207AE6"/>
    <w:rsid w:val="513A03FE"/>
    <w:rsid w:val="5144339C"/>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BA1450"/>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BF741A2"/>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0E00A2B"/>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0113FE"/>
    <w:rsid w:val="656138C5"/>
    <w:rsid w:val="65942779"/>
    <w:rsid w:val="65D24B51"/>
    <w:rsid w:val="663C677D"/>
    <w:rsid w:val="66987842"/>
    <w:rsid w:val="66A001EE"/>
    <w:rsid w:val="66B206ED"/>
    <w:rsid w:val="66EF4ABB"/>
    <w:rsid w:val="6764746E"/>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174C46"/>
    <w:rsid w:val="6B2A277C"/>
    <w:rsid w:val="6B43383E"/>
    <w:rsid w:val="6B8D6867"/>
    <w:rsid w:val="6B8D71AD"/>
    <w:rsid w:val="6BAA5F82"/>
    <w:rsid w:val="6BAE515B"/>
    <w:rsid w:val="6BFE1359"/>
    <w:rsid w:val="6D264A09"/>
    <w:rsid w:val="6D285EEE"/>
    <w:rsid w:val="6D371181"/>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2A4B7A"/>
    <w:rsid w:val="74746816"/>
    <w:rsid w:val="74747483"/>
    <w:rsid w:val="74CE0C97"/>
    <w:rsid w:val="752306D3"/>
    <w:rsid w:val="752537A3"/>
    <w:rsid w:val="759676DE"/>
    <w:rsid w:val="75D23344"/>
    <w:rsid w:val="75D60E9A"/>
    <w:rsid w:val="75E579CC"/>
    <w:rsid w:val="76184CE8"/>
    <w:rsid w:val="76525E43"/>
    <w:rsid w:val="76783713"/>
    <w:rsid w:val="76BB7D9C"/>
    <w:rsid w:val="76FF4ABD"/>
    <w:rsid w:val="776C6322"/>
    <w:rsid w:val="77813724"/>
    <w:rsid w:val="778E6FF9"/>
    <w:rsid w:val="77BC650A"/>
    <w:rsid w:val="77D50689"/>
    <w:rsid w:val="781A4D46"/>
    <w:rsid w:val="782E006B"/>
    <w:rsid w:val="786A240A"/>
    <w:rsid w:val="78827754"/>
    <w:rsid w:val="7892370F"/>
    <w:rsid w:val="789B5F87"/>
    <w:rsid w:val="78F02F79"/>
    <w:rsid w:val="79086F68"/>
    <w:rsid w:val="792E05AF"/>
    <w:rsid w:val="79892621"/>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046E5D"/>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2"/>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8"/>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1"/>
    <w:qFormat/>
    <w:uiPriority w:val="0"/>
    <w:rPr>
      <w:rFonts w:ascii="宋体" w:hAnsi="Courier New" w:eastAsiaTheme="minorEastAsia" w:cstheme="minorBidi"/>
    </w:rPr>
  </w:style>
  <w:style w:type="paragraph" w:styleId="10">
    <w:name w:val="Date"/>
    <w:basedOn w:val="1"/>
    <w:next w:val="1"/>
    <w:link w:val="23"/>
    <w:qFormat/>
    <w:uiPriority w:val="0"/>
    <w:rPr>
      <w:rFonts w:ascii="宋体" w:hAnsi="Courier New"/>
      <w:kern w:val="0"/>
      <w:sz w:val="32"/>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Balloon Text"/>
    <w:basedOn w:val="1"/>
    <w:link w:val="24"/>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7"/>
    <w:next w:val="7"/>
    <w:link w:val="29"/>
    <w:semiHidden/>
    <w:unhideWhenUsed/>
    <w:qFormat/>
    <w:uiPriority w:val="99"/>
    <w:rPr>
      <w:b/>
      <w:bCs/>
    </w:rPr>
  </w:style>
  <w:style w:type="paragraph" w:styleId="16">
    <w:name w:val="Body Text First Indent 2"/>
    <w:basedOn w:val="8"/>
    <w:qFormat/>
    <w:uiPriority w:val="0"/>
    <w:pPr>
      <w:ind w:firstLine="420" w:firstLineChars="200"/>
    </w:pPr>
    <w:rPr>
      <w:szCs w:val="24"/>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日期 Char"/>
    <w:basedOn w:val="19"/>
    <w:link w:val="10"/>
    <w:qFormat/>
    <w:uiPriority w:val="0"/>
    <w:rPr>
      <w:rFonts w:ascii="宋体" w:hAnsi="Courier New" w:eastAsia="宋体" w:cs="Times New Roman"/>
      <w:kern w:val="0"/>
      <w:sz w:val="32"/>
      <w:szCs w:val="20"/>
    </w:rPr>
  </w:style>
  <w:style w:type="character" w:customStyle="1" w:styleId="23">
    <w:name w:val="日期 Char1"/>
    <w:basedOn w:val="19"/>
    <w:link w:val="10"/>
    <w:semiHidden/>
    <w:qFormat/>
    <w:uiPriority w:val="99"/>
    <w:rPr>
      <w:rFonts w:ascii="Calibri" w:hAnsi="Calibri" w:eastAsia="宋体" w:cs="Times New Roman"/>
    </w:rPr>
  </w:style>
  <w:style w:type="character" w:customStyle="1" w:styleId="24">
    <w:name w:val="批注框文本 Char"/>
    <w:basedOn w:val="19"/>
    <w:link w:val="12"/>
    <w:semiHidden/>
    <w:qFormat/>
    <w:uiPriority w:val="99"/>
    <w:rPr>
      <w:rFonts w:ascii="Calibri" w:hAnsi="Calibri" w:eastAsia="宋体" w:cs="Times New Roman"/>
      <w:sz w:val="18"/>
      <w:szCs w:val="18"/>
    </w:rPr>
  </w:style>
  <w:style w:type="character" w:customStyle="1" w:styleId="25">
    <w:name w:val="页眉 Char"/>
    <w:basedOn w:val="19"/>
    <w:link w:val="14"/>
    <w:semiHidden/>
    <w:qFormat/>
    <w:uiPriority w:val="99"/>
    <w:rPr>
      <w:rFonts w:ascii="Calibri" w:hAnsi="Calibri" w:eastAsia="宋体" w:cs="Times New Roman"/>
      <w:sz w:val="18"/>
      <w:szCs w:val="18"/>
    </w:rPr>
  </w:style>
  <w:style w:type="character" w:customStyle="1" w:styleId="26">
    <w:name w:val="页脚 Char"/>
    <w:basedOn w:val="19"/>
    <w:link w:val="13"/>
    <w:qFormat/>
    <w:uiPriority w:val="99"/>
    <w:rPr>
      <w:rFonts w:ascii="Calibri" w:hAnsi="Calibri" w:eastAsia="宋体" w:cs="Times New Roman"/>
      <w:sz w:val="18"/>
      <w:szCs w:val="18"/>
    </w:rPr>
  </w:style>
  <w:style w:type="character" w:customStyle="1" w:styleId="27">
    <w:name w:val="标题 1 Char"/>
    <w:basedOn w:val="19"/>
    <w:link w:val="3"/>
    <w:qFormat/>
    <w:uiPriority w:val="0"/>
    <w:rPr>
      <w:rFonts w:ascii="宋体" w:hAnsi="Calibri" w:eastAsia="宋体" w:cs="Times New Roman"/>
      <w:color w:val="000000"/>
      <w:sz w:val="28"/>
      <w:szCs w:val="20"/>
    </w:rPr>
  </w:style>
  <w:style w:type="character" w:customStyle="1" w:styleId="28">
    <w:name w:val="批注文字 Char"/>
    <w:basedOn w:val="19"/>
    <w:link w:val="7"/>
    <w:qFormat/>
    <w:uiPriority w:val="99"/>
    <w:rPr>
      <w:rFonts w:ascii="Calibri" w:hAnsi="Calibri" w:eastAsia="宋体" w:cs="Times New Roman"/>
    </w:rPr>
  </w:style>
  <w:style w:type="character" w:customStyle="1" w:styleId="29">
    <w:name w:val="批注主题 Char"/>
    <w:basedOn w:val="28"/>
    <w:link w:val="15"/>
    <w:semiHidden/>
    <w:qFormat/>
    <w:uiPriority w:val="99"/>
    <w:rPr>
      <w:b/>
      <w:bCs/>
    </w:rPr>
  </w:style>
  <w:style w:type="character" w:customStyle="1" w:styleId="30">
    <w:name w:val="纯文本 Char"/>
    <w:link w:val="9"/>
    <w:qFormat/>
    <w:uiPriority w:val="0"/>
    <w:rPr>
      <w:rFonts w:ascii="宋体" w:hAnsi="Courier New"/>
    </w:rPr>
  </w:style>
  <w:style w:type="character" w:customStyle="1" w:styleId="31">
    <w:name w:val="纯文本 Char1"/>
    <w:basedOn w:val="19"/>
    <w:link w:val="9"/>
    <w:semiHidden/>
    <w:qFormat/>
    <w:uiPriority w:val="99"/>
    <w:rPr>
      <w:rFonts w:ascii="宋体" w:hAnsi="Courier New" w:eastAsia="宋体" w:cs="Courier New"/>
      <w:szCs w:val="21"/>
    </w:rPr>
  </w:style>
  <w:style w:type="character" w:customStyle="1" w:styleId="32">
    <w:name w:val="标题 2 Char"/>
    <w:basedOn w:val="19"/>
    <w:link w:val="4"/>
    <w:qFormat/>
    <w:uiPriority w:val="0"/>
    <w:rPr>
      <w:rFonts w:ascii="Arial" w:hAnsi="Arial" w:eastAsia="宋体" w:cs="Times New Roman"/>
      <w:b/>
      <w:bCs/>
      <w:sz w:val="32"/>
      <w:szCs w:val="32"/>
    </w:rPr>
  </w:style>
  <w:style w:type="paragraph" w:styleId="33">
    <w:name w:val="List Paragraph"/>
    <w:basedOn w:val="1"/>
    <w:qFormat/>
    <w:uiPriority w:val="34"/>
    <w:pPr>
      <w:ind w:firstLine="420" w:firstLineChars="200"/>
    </w:pPr>
  </w:style>
  <w:style w:type="character" w:customStyle="1" w:styleId="34">
    <w:name w:val="标题 3 Char"/>
    <w:basedOn w:val="19"/>
    <w:link w:val="5"/>
    <w:semiHidden/>
    <w:qFormat/>
    <w:uiPriority w:val="9"/>
    <w:rPr>
      <w:rFonts w:ascii="Calibri" w:hAnsi="Calibri" w:eastAsia="宋体" w:cs="Times New Roman"/>
      <w:b/>
      <w:bCs/>
      <w:sz w:val="32"/>
      <w:szCs w:val="32"/>
    </w:rPr>
  </w:style>
  <w:style w:type="character" w:customStyle="1" w:styleId="35">
    <w:name w:val="标题 4 Char"/>
    <w:basedOn w:val="19"/>
    <w:link w:val="6"/>
    <w:qFormat/>
    <w:uiPriority w:val="0"/>
    <w:rPr>
      <w:rFonts w:ascii="Cambria" w:hAnsi="Cambria" w:eastAsia="宋体" w:cs="Times New Roman"/>
      <w:b/>
      <w:bCs/>
      <w:sz w:val="28"/>
      <w:szCs w:val="28"/>
    </w:rPr>
  </w:style>
  <w:style w:type="paragraph" w:customStyle="1" w:styleId="36">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9"/>
    <w:qFormat/>
    <w:uiPriority w:val="0"/>
    <w:rPr>
      <w:rFonts w:ascii="宋体" w:hAnsi="Courier New"/>
      <w:szCs w:val="20"/>
    </w:rPr>
  </w:style>
  <w:style w:type="paragraph" w:customStyle="1" w:styleId="38">
    <w:name w:val="8"/>
    <w:basedOn w:val="1"/>
    <w:next w:val="9"/>
    <w:qFormat/>
    <w:uiPriority w:val="0"/>
    <w:rPr>
      <w:rFonts w:ascii="宋体" w:hAnsi="Courier New"/>
      <w:szCs w:val="20"/>
    </w:rPr>
  </w:style>
  <w:style w:type="paragraph" w:customStyle="1" w:styleId="39">
    <w:name w:val="_Style 55"/>
    <w:basedOn w:val="1"/>
    <w:next w:val="9"/>
    <w:qFormat/>
    <w:uiPriority w:val="0"/>
    <w:rPr>
      <w:rFonts w:ascii="宋体" w:hAnsi="Courier New"/>
      <w:szCs w:val="20"/>
    </w:rPr>
  </w:style>
  <w:style w:type="paragraph" w:customStyle="1" w:styleId="40">
    <w:name w:val="7"/>
    <w:basedOn w:val="1"/>
    <w:next w:val="9"/>
    <w:link w:val="41"/>
    <w:qFormat/>
    <w:uiPriority w:val="0"/>
    <w:rPr>
      <w:rFonts w:ascii="宋体" w:hAnsi="Courier New"/>
      <w:szCs w:val="20"/>
    </w:rPr>
  </w:style>
  <w:style w:type="character" w:customStyle="1" w:styleId="41">
    <w:name w:val="Char1"/>
    <w:link w:val="40"/>
    <w:qFormat/>
    <w:uiPriority w:val="0"/>
    <w:rPr>
      <w:rFonts w:ascii="宋体" w:hAnsi="Courier New" w:eastAsia="宋体" w:cs="Times New Roman"/>
      <w:szCs w:val="20"/>
    </w:rPr>
  </w:style>
  <w:style w:type="paragraph" w:customStyle="1" w:styleId="42">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3911</Words>
  <Characters>4388</Characters>
  <Lines>229</Lines>
  <Paragraphs>64</Paragraphs>
  <TotalTime>0</TotalTime>
  <ScaleCrop>false</ScaleCrop>
  <LinksUpToDate>false</LinksUpToDate>
  <CharactersWithSpaces>4475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2023-03-14T09:58:46Z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B946BEF99C8F409FBFCFBF89E6EAF5A4</vt:lpwstr>
  </property>
</Properties>
</file>