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heme="minorEastAsia" w:hAnsiTheme="minorEastAsia"/>
          <w:b/>
          <w:sz w:val="36"/>
          <w:szCs w:val="36"/>
        </w:rPr>
      </w:pPr>
      <w:r>
        <w:rPr>
          <w:rFonts w:hint="eastAsia" w:asciiTheme="minorEastAsia" w:hAnsiTheme="minorEastAsia"/>
          <w:b/>
          <w:sz w:val="36"/>
          <w:szCs w:val="36"/>
          <w:lang w:eastAsia="zh-CN"/>
        </w:rPr>
        <w:t>光学生物测量仪</w:t>
      </w:r>
      <w:r>
        <w:rPr>
          <w:rFonts w:hint="eastAsia" w:asciiTheme="minorEastAsia" w:hAnsiTheme="minorEastAsia"/>
          <w:b/>
          <w:sz w:val="36"/>
          <w:szCs w:val="36"/>
        </w:rPr>
        <w:t>采购需求公示</w:t>
      </w:r>
    </w:p>
    <w:tbl>
      <w:tblPr>
        <w:tblStyle w:val="5"/>
        <w:tblW w:w="10774" w:type="dxa"/>
        <w:tblCellSpacing w:w="0" w:type="dxa"/>
        <w:tblInd w:w="-138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306"/>
        <w:gridCol w:w="3226"/>
        <w:gridCol w:w="2220"/>
        <w:gridCol w:w="402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项目名称</w:t>
            </w:r>
            <w:r>
              <w:rPr>
                <w:rFonts w:ascii="宋体" w:hAnsi="宋体" w:eastAsia="宋体" w:cs="宋体"/>
                <w:kern w:val="0"/>
                <w:sz w:val="20"/>
                <w:szCs w:val="20"/>
              </w:rPr>
              <w:t xml:space="preserve"> </w:t>
            </w:r>
          </w:p>
        </w:tc>
        <w:tc>
          <w:tcPr>
            <w:tcW w:w="3226" w:type="dxa"/>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光学生物测量仪</w:t>
            </w:r>
          </w:p>
        </w:tc>
        <w:tc>
          <w:tcPr>
            <w:tcW w:w="2220"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是否预选项目</w:t>
            </w:r>
            <w:r>
              <w:rPr>
                <w:rFonts w:ascii="宋体" w:hAnsi="宋体" w:eastAsia="宋体" w:cs="宋体"/>
                <w:kern w:val="0"/>
                <w:sz w:val="20"/>
                <w:szCs w:val="20"/>
              </w:rPr>
              <w:t xml:space="preserve"> </w:t>
            </w:r>
          </w:p>
        </w:tc>
        <w:tc>
          <w:tcPr>
            <w:tcW w:w="4022" w:type="dxa"/>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采购人名称</w:t>
            </w:r>
            <w:r>
              <w:rPr>
                <w:rFonts w:ascii="宋体" w:hAnsi="宋体" w:eastAsia="宋体" w:cs="宋体"/>
                <w:kern w:val="0"/>
                <w:sz w:val="20"/>
                <w:szCs w:val="20"/>
              </w:rPr>
              <w:t xml:space="preserve"> </w:t>
            </w:r>
          </w:p>
        </w:tc>
        <w:tc>
          <w:tcPr>
            <w:tcW w:w="3226" w:type="dxa"/>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深圳市中医院</w:t>
            </w:r>
          </w:p>
        </w:tc>
        <w:tc>
          <w:tcPr>
            <w:tcW w:w="2220"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采购方式</w:t>
            </w:r>
            <w:r>
              <w:rPr>
                <w:rFonts w:ascii="宋体" w:hAnsi="宋体" w:eastAsia="宋体" w:cs="宋体"/>
                <w:kern w:val="0"/>
                <w:sz w:val="20"/>
                <w:szCs w:val="20"/>
              </w:rPr>
              <w:t xml:space="preserve"> </w:t>
            </w:r>
          </w:p>
        </w:tc>
        <w:tc>
          <w:tcPr>
            <w:tcW w:w="4022" w:type="dxa"/>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公开招标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财政预算限额（元）</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460000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项目背景</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hint="eastAsia" w:ascii="宋体" w:hAnsi="宋体" w:eastAsia="宋体" w:cs="宋体"/>
                <w:kern w:val="0"/>
                <w:sz w:val="20"/>
                <w:szCs w:val="20"/>
                <w:lang w:eastAsia="zh-CN"/>
              </w:rPr>
            </w:pPr>
            <w:r>
              <w:rPr>
                <w:rFonts w:ascii="宋体" w:hAnsi="宋体" w:eastAsia="宋体" w:cs="宋体"/>
                <w:kern w:val="0"/>
                <w:sz w:val="20"/>
                <w:szCs w:val="20"/>
              </w:rPr>
              <w:t xml:space="preserve"> </w:t>
            </w:r>
            <w:r>
              <w:rPr>
                <w:rFonts w:hint="eastAsia" w:ascii="宋体" w:hAnsi="宋体" w:eastAsia="宋体" w:cs="宋体"/>
                <w:kern w:val="0"/>
                <w:sz w:val="20"/>
                <w:szCs w:val="20"/>
                <w:lang w:eastAsia="zh-CN"/>
              </w:rPr>
              <w:t>见需求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投标人资质要求</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rPr>
                <w:color w:val="FF0000"/>
              </w:rPr>
            </w:pPr>
            <w:r>
              <w:rPr>
                <w:rFonts w:hint="eastAsia"/>
                <w:color w:val="FF0000"/>
              </w:rPr>
              <w:t>1）具有独立法人资格（提供合法有效的营业执照扫描件，原件备查）；</w:t>
            </w:r>
          </w:p>
          <w:p>
            <w:pPr>
              <w:rPr>
                <w:color w:val="FF0000"/>
              </w:rPr>
            </w:pPr>
            <w:r>
              <w:rPr>
                <w:rFonts w:hint="eastAsia"/>
                <w:color w:val="FF0000"/>
              </w:rPr>
              <w:t>2）若投标人为所投产品的生产企业，必须提供《医疗器械生产企业许可证》，且生产范围包含该产品；若投标人为所投产品的代理商或授权供应商，必须提供《医疗器械经营企业许可证》，且经营范围包含该产品；</w:t>
            </w:r>
          </w:p>
          <w:p>
            <w:pPr>
              <w:rPr>
                <w:color w:val="FF0000"/>
              </w:rPr>
            </w:pPr>
            <w:r>
              <w:rPr>
                <w:rFonts w:hint="eastAsia"/>
                <w:color w:val="FF0000"/>
              </w:rPr>
              <w:t>3）投标人必须提供所投产品的《医疗器械注册（备案）证》的扫描件，原件备查（开标时，该证应在有效期内；若不在有效期内，则需提供该证和所投产品在该证有效期内生产的药监局出具的证明文件）；</w:t>
            </w:r>
          </w:p>
          <w:p>
            <w:pPr>
              <w:rPr>
                <w:color w:val="FF0000"/>
              </w:rPr>
            </w:pPr>
            <w:r>
              <w:rPr>
                <w:rFonts w:hint="eastAsia"/>
                <w:color w:val="FF0000"/>
              </w:rPr>
              <w:t>4）若所投产品为进口，则投标人必须提供由设备制造商或授权的中国总代理签署的合法有效的保修、维修承诺函；若所投产品为国产产品，则无需提供。</w:t>
            </w:r>
          </w:p>
          <w:p>
            <w:pPr>
              <w:rPr>
                <w:color w:val="FF0000"/>
              </w:rPr>
            </w:pPr>
            <w:r>
              <w:rPr>
                <w:rFonts w:hint="eastAsia"/>
                <w:color w:val="FF0000"/>
              </w:rPr>
              <w:t>5）本项目不接受联合体投标；接受投标人选用进口产品参与投标；</w:t>
            </w:r>
          </w:p>
          <w:p>
            <w:pPr>
              <w:rPr>
                <w:color w:val="FF0000"/>
              </w:rPr>
            </w:pPr>
            <w:r>
              <w:rPr>
                <w:rFonts w:hint="eastAsia"/>
                <w:color w:val="FF0000"/>
              </w:rPr>
              <w:t>6） 参与本项目投标前三年内，在经营活动中没有重大违法记录（由供应商在《政府采购投标及履约承诺函》中作出声明）；</w:t>
            </w:r>
          </w:p>
          <w:p>
            <w:pPr>
              <w:rPr>
                <w:color w:val="FF0000"/>
              </w:rPr>
            </w:pPr>
            <w:r>
              <w:rPr>
                <w:rFonts w:hint="eastAsia"/>
                <w:color w:val="FF0000"/>
              </w:rPr>
              <w:t>7）参与本项目政府采购活动时不存在被有关部门禁止参与政府采购活动且在有效期内的情况（由供应商在《政府采购投标及履约承诺函》中作出声明）；</w:t>
            </w:r>
          </w:p>
          <w:p>
            <w:pPr>
              <w:widowControl/>
              <w:jc w:val="left"/>
              <w:rPr>
                <w:rFonts w:ascii="宋体" w:hAnsi="宋体" w:eastAsia="宋体" w:cs="宋体"/>
                <w:b/>
                <w:color w:val="FF0000"/>
                <w:kern w:val="0"/>
                <w:sz w:val="20"/>
                <w:szCs w:val="20"/>
              </w:rPr>
            </w:pPr>
            <w:r>
              <w:rPr>
                <w:rFonts w:hint="eastAsia"/>
                <w:color w:val="FF0000"/>
              </w:rPr>
              <w:t>8）参与政府采购项目投标的供应商未被列入失信被执行人、重大税收违法案件当事人名单、政府采购严重违法失信行为记录名单（由供应商在《政府采购投标及履约承诺函》中作出声明）</w:t>
            </w:r>
          </w:p>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货物清单</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2410"/>
              <w:gridCol w:w="992"/>
              <w:gridCol w:w="992"/>
              <w:gridCol w:w="1985"/>
              <w:gridCol w:w="22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序号</w:t>
                  </w:r>
                </w:p>
              </w:tc>
              <w:tc>
                <w:tcPr>
                  <w:tcW w:w="2410"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货物名称</w:t>
                  </w:r>
                </w:p>
              </w:tc>
              <w:tc>
                <w:tcPr>
                  <w:tcW w:w="992"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数量</w:t>
                  </w:r>
                </w:p>
              </w:tc>
              <w:tc>
                <w:tcPr>
                  <w:tcW w:w="992"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单位</w:t>
                  </w:r>
                </w:p>
              </w:tc>
              <w:tc>
                <w:tcPr>
                  <w:tcW w:w="1985"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备注</w:t>
                  </w:r>
                </w:p>
              </w:tc>
              <w:tc>
                <w:tcPr>
                  <w:tcW w:w="2243" w:type="dxa"/>
                  <w:vAlign w:val="center"/>
                </w:tcPr>
                <w:p>
                  <w:pPr>
                    <w:widowControl/>
                    <w:jc w:val="center"/>
                    <w:rPr>
                      <w:rFonts w:ascii="宋体" w:hAnsi="宋体" w:eastAsia="宋体" w:cs="宋体"/>
                      <w:b/>
                      <w:kern w:val="0"/>
                      <w:sz w:val="22"/>
                    </w:rPr>
                  </w:pPr>
                  <w:r>
                    <w:rPr>
                      <w:rFonts w:hint="eastAsia" w:ascii="宋体" w:hAnsi="宋体" w:eastAsia="宋体" w:cs="宋体"/>
                      <w:b/>
                      <w:kern w:val="0"/>
                      <w:sz w:val="22"/>
                    </w:rPr>
                    <w:t>预算金额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86" w:type="dxa"/>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2410" w:type="dxa"/>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光学生物测量仪</w:t>
                  </w:r>
                </w:p>
              </w:tc>
              <w:tc>
                <w:tcPr>
                  <w:tcW w:w="992" w:type="dxa"/>
                </w:tcPr>
                <w:p>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992" w:type="dxa"/>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套</w:t>
                  </w:r>
                </w:p>
              </w:tc>
              <w:tc>
                <w:tcPr>
                  <w:tcW w:w="1985" w:type="dxa"/>
                </w:tcPr>
                <w:p>
                  <w:pPr>
                    <w:widowControl/>
                    <w:jc w:val="left"/>
                    <w:rPr>
                      <w:rFonts w:hint="eastAsia" w:ascii="宋体" w:hAnsi="宋体" w:eastAsia="宋体" w:cs="宋体"/>
                      <w:kern w:val="0"/>
                      <w:sz w:val="20"/>
                      <w:szCs w:val="20"/>
                      <w:lang w:eastAsia="zh-CN"/>
                    </w:rPr>
                  </w:pPr>
                  <w:r>
                    <w:rPr>
                      <w:rFonts w:hint="eastAsia" w:ascii="宋体" w:hAnsi="宋体" w:eastAsia="宋体" w:cs="宋体"/>
                      <w:kern w:val="0"/>
                      <w:sz w:val="20"/>
                      <w:szCs w:val="20"/>
                      <w:lang w:eastAsia="zh-CN"/>
                    </w:rPr>
                    <w:t>接受进口</w:t>
                  </w:r>
                </w:p>
              </w:tc>
              <w:tc>
                <w:tcPr>
                  <w:tcW w:w="2243" w:type="dxa"/>
                </w:tcPr>
                <w:p>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460000</w:t>
                  </w:r>
                  <w:bookmarkStart w:id="0" w:name="_GoBack"/>
                  <w:bookmarkEnd w:id="0"/>
                </w:p>
              </w:tc>
            </w:tr>
          </w:tbl>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具体技术要求</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rPr>
                <w:b/>
                <w:color w:val="FF0000"/>
                <w:szCs w:val="21"/>
              </w:rPr>
            </w:pPr>
            <w:r>
              <w:rPr>
                <w:rFonts w:hint="eastAsia"/>
                <w:b/>
                <w:color w:val="FF0000"/>
                <w:szCs w:val="21"/>
              </w:rPr>
              <w:t>说明：投标人须如实填写《技术规格偏离表》，并按招标文件的要求提供相关证明资料，包括产品原厂说明书或产品彩页等。提供的证明资料与投标响应情况不相符的，视为《技术规格偏离表》填写不实。</w:t>
            </w:r>
          </w:p>
          <w:p>
            <w:pPr>
              <w:jc w:val="center"/>
              <w:rPr>
                <w:rFonts w:hint="eastAsia" w:ascii="仿宋" w:hAnsi="仿宋" w:eastAsia="仿宋" w:cs="仿宋"/>
                <w:b w:val="0"/>
                <w:bCs/>
                <w:sz w:val="24"/>
                <w:szCs w:val="24"/>
                <w:lang w:val="en-US" w:eastAsia="zh-Hans"/>
              </w:rPr>
            </w:pPr>
            <w:r>
              <w:rPr>
                <w:rFonts w:hint="eastAsia" w:ascii="仿宋" w:hAnsi="仿宋" w:eastAsia="仿宋" w:cs="仿宋"/>
                <w:b w:val="0"/>
                <w:bCs/>
                <w:sz w:val="24"/>
                <w:szCs w:val="24"/>
                <w:lang w:val="en-US" w:eastAsia="zh-Hans"/>
              </w:rPr>
              <w:t>光学生物测量仪</w:t>
            </w:r>
          </w:p>
          <w:p>
            <w:pPr>
              <w:spacing w:line="360" w:lineRule="auto"/>
              <w:rPr>
                <w:rFonts w:hint="eastAsia" w:ascii="仿宋" w:hAnsi="仿宋" w:eastAsia="仿宋" w:cs="仿宋"/>
                <w:b w:val="0"/>
                <w:bCs/>
                <w:sz w:val="24"/>
                <w:szCs w:val="24"/>
                <w:lang w:val="en-US" w:eastAsia="zh-CN"/>
              </w:rPr>
            </w:pPr>
            <w:r>
              <w:rPr>
                <w:rFonts w:hint="eastAsia" w:ascii="仿宋" w:hAnsi="仿宋" w:eastAsia="仿宋" w:cs="仿宋"/>
                <w:b/>
                <w:bCs w:val="0"/>
                <w:sz w:val="24"/>
                <w:szCs w:val="24"/>
              </w:rPr>
              <w:t>技术参数：</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1984"/>
              <w:gridCol w:w="543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6" w:hRule="atLeast"/>
              </w:trPr>
              <w:tc>
                <w:tcPr>
                  <w:tcW w:w="1101"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984"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货物名称</w:t>
                  </w:r>
                </w:p>
              </w:tc>
              <w:tc>
                <w:tcPr>
                  <w:tcW w:w="5437"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技术</w:t>
                  </w:r>
                  <w:r>
                    <w:rPr>
                      <w:rFonts w:hint="eastAsia" w:ascii="仿宋" w:hAnsi="仿宋" w:eastAsia="仿宋" w:cs="仿宋"/>
                      <w:b/>
                      <w:sz w:val="24"/>
                      <w:szCs w:val="24"/>
                      <w:lang w:eastAsia="zh-CN"/>
                    </w:rPr>
                    <w:t>参数</w:t>
                  </w:r>
                  <w:r>
                    <w:rPr>
                      <w:rFonts w:hint="eastAsia" w:ascii="仿宋" w:hAnsi="仿宋" w:eastAsia="仿宋" w:cs="仿宋"/>
                      <w:b/>
                      <w:sz w:val="24"/>
                      <w:szCs w:val="24"/>
                    </w:rPr>
                    <w:t>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restart"/>
                  <w:vAlign w:val="center"/>
                </w:tcPr>
                <w:p>
                  <w:pPr>
                    <w:spacing w:line="360" w:lineRule="auto"/>
                    <w:jc w:val="center"/>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一</w:t>
                  </w:r>
                </w:p>
              </w:tc>
              <w:tc>
                <w:tcPr>
                  <w:tcW w:w="1984" w:type="dxa"/>
                  <w:vMerge w:val="restart"/>
                  <w:vAlign w:val="center"/>
                </w:tcPr>
                <w:p>
                  <w:pPr>
                    <w:jc w:val="center"/>
                    <w:rPr>
                      <w:rFonts w:hint="eastAsia" w:ascii="仿宋" w:hAnsi="仿宋" w:eastAsia="仿宋" w:cs="仿宋"/>
                      <w:b w:val="0"/>
                      <w:bCs/>
                      <w:sz w:val="24"/>
                      <w:szCs w:val="24"/>
                      <w:lang w:val="en-US" w:eastAsia="zh-Hans"/>
                    </w:rPr>
                  </w:pPr>
                  <w:r>
                    <w:rPr>
                      <w:rFonts w:hint="eastAsia" w:ascii="仿宋" w:hAnsi="仿宋" w:eastAsia="仿宋" w:cs="仿宋"/>
                      <w:b w:val="0"/>
                      <w:bCs/>
                      <w:sz w:val="24"/>
                      <w:szCs w:val="24"/>
                      <w:lang w:val="en-US" w:eastAsia="zh-Hans"/>
                    </w:rPr>
                    <w:t>光学生物测量仪</w:t>
                  </w:r>
                </w:p>
                <w:p>
                  <w:pPr>
                    <w:spacing w:line="360" w:lineRule="auto"/>
                    <w:jc w:val="center"/>
                    <w:rPr>
                      <w:rFonts w:hint="eastAsia" w:ascii="仿宋" w:hAnsi="仿宋" w:eastAsia="仿宋" w:cs="仿宋"/>
                      <w:b/>
                      <w:bCs w:val="0"/>
                      <w:sz w:val="24"/>
                      <w:szCs w:val="24"/>
                      <w:lang w:val="en-US" w:eastAsia="zh-CN"/>
                    </w:rPr>
                  </w:pPr>
                </w:p>
              </w:tc>
              <w:tc>
                <w:tcPr>
                  <w:tcW w:w="5437" w:type="dxa"/>
                  <w:vAlign w:val="top"/>
                </w:tcPr>
                <w:p>
                  <w:pPr>
                    <w:widowControl/>
                    <w:numPr>
                      <w:ilvl w:val="0"/>
                      <w:numId w:val="0"/>
                    </w:numPr>
                    <w:spacing w:line="360" w:lineRule="auto"/>
                    <w:ind w:left="361" w:leftChars="0" w:hanging="361" w:hangingChars="150"/>
                    <w:jc w:val="left"/>
                    <w:rPr>
                      <w:rFonts w:hint="eastAsia" w:ascii="宋体" w:hAnsi="宋体" w:eastAsiaTheme="minorEastAsia"/>
                      <w:b/>
                      <w:sz w:val="24"/>
                      <w:szCs w:val="24"/>
                      <w:lang w:eastAsia="zh-Hans"/>
                    </w:rPr>
                  </w:pPr>
                  <w:r>
                    <w:rPr>
                      <w:rFonts w:hint="default" w:ascii="宋体" w:hAnsi="宋体"/>
                      <w:b/>
                      <w:sz w:val="24"/>
                      <w:szCs w:val="24"/>
                      <w:lang w:eastAsia="zh-Hans"/>
                    </w:rPr>
                    <w:t>（</w:t>
                  </w:r>
                  <w:r>
                    <w:rPr>
                      <w:rFonts w:hint="eastAsia" w:ascii="宋体" w:hAnsi="宋体"/>
                      <w:b/>
                      <w:sz w:val="24"/>
                      <w:szCs w:val="24"/>
                      <w:lang w:eastAsia="zh-Hans"/>
                    </w:rPr>
                    <w:t>一</w:t>
                  </w:r>
                  <w:r>
                    <w:rPr>
                      <w:rFonts w:hint="default" w:ascii="宋体" w:hAnsi="宋体"/>
                      <w:b/>
                      <w:sz w:val="24"/>
                      <w:szCs w:val="24"/>
                      <w:lang w:eastAsia="zh-Hans"/>
                    </w:rPr>
                    <w:t>）</w:t>
                  </w:r>
                  <w:r>
                    <w:rPr>
                      <w:rFonts w:hint="eastAsia" w:ascii="宋体" w:hAnsi="宋体"/>
                      <w:b/>
                      <w:sz w:val="24"/>
                      <w:szCs w:val="24"/>
                      <w:lang w:eastAsia="zh-Hans"/>
                    </w:rPr>
                    <w:t>简要说明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lang w:eastAsia="zh-CN"/>
                    </w:rPr>
                  </w:pPr>
                </w:p>
              </w:tc>
              <w:tc>
                <w:tcPr>
                  <w:tcW w:w="1984" w:type="dxa"/>
                  <w:vMerge w:val="continue"/>
                  <w:vAlign w:val="center"/>
                </w:tcPr>
                <w:p>
                  <w:pPr>
                    <w:spacing w:line="360" w:lineRule="auto"/>
                    <w:jc w:val="center"/>
                    <w:rPr>
                      <w:rFonts w:hint="eastAsia" w:ascii="仿宋" w:hAnsi="仿宋" w:eastAsia="仿宋" w:cs="仿宋"/>
                      <w:b/>
                      <w:bCs w:val="0"/>
                      <w:sz w:val="24"/>
                      <w:szCs w:val="24"/>
                      <w:lang w:val="en-US" w:eastAsia="zh-CN"/>
                    </w:rPr>
                  </w:pPr>
                </w:p>
              </w:tc>
              <w:tc>
                <w:tcPr>
                  <w:tcW w:w="5437" w:type="dxa"/>
                  <w:vAlign w:val="top"/>
                </w:tcPr>
                <w:p>
                  <w:pPr>
                    <w:spacing w:line="360" w:lineRule="auto"/>
                    <w:ind w:left="360" w:hanging="360" w:hangingChars="150"/>
                    <w:rPr>
                      <w:rFonts w:hint="eastAsia" w:ascii="宋体" w:hAnsi="宋体"/>
                      <w:b/>
                      <w:sz w:val="24"/>
                      <w:szCs w:val="24"/>
                    </w:rPr>
                  </w:pPr>
                  <w:r>
                    <w:rPr>
                      <w:rFonts w:hint="eastAsia" w:ascii="宋体" w:hAnsi="宋体"/>
                      <w:sz w:val="24"/>
                      <w:szCs w:val="24"/>
                    </w:rPr>
                    <w:t>1、用于非接触测量眼轴长度、角膜曲率、前房深度及白-白角膜直径</w:t>
                  </w:r>
                  <w:r>
                    <w:rPr>
                      <w:rFonts w:hint="eastAsia" w:ascii="宋体" w:hAnsi="宋体"/>
                      <w:sz w:val="24"/>
                      <w:szCs w:val="24"/>
                      <w:lang w:eastAsia="zh-CN"/>
                    </w:rPr>
                    <w:t>等数值，</w:t>
                  </w:r>
                  <w:r>
                    <w:rPr>
                      <w:rFonts w:hint="eastAsia" w:ascii="宋体" w:hAnsi="宋体"/>
                      <w:sz w:val="24"/>
                      <w:szCs w:val="24"/>
                    </w:rPr>
                    <w:t>并计算人工晶体度数。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lang w:eastAsia="zh-CN"/>
                    </w:rPr>
                  </w:pPr>
                </w:p>
              </w:tc>
              <w:tc>
                <w:tcPr>
                  <w:tcW w:w="1984" w:type="dxa"/>
                  <w:vMerge w:val="continue"/>
                  <w:vAlign w:val="center"/>
                </w:tcPr>
                <w:p>
                  <w:pPr>
                    <w:spacing w:line="360" w:lineRule="auto"/>
                    <w:jc w:val="center"/>
                    <w:rPr>
                      <w:rFonts w:hint="eastAsia" w:ascii="仿宋" w:hAnsi="仿宋" w:eastAsia="仿宋" w:cs="仿宋"/>
                      <w:b/>
                      <w:bCs w:val="0"/>
                      <w:sz w:val="24"/>
                      <w:szCs w:val="24"/>
                      <w:lang w:val="en-US" w:eastAsia="zh-CN"/>
                    </w:rPr>
                  </w:pPr>
                </w:p>
              </w:tc>
              <w:tc>
                <w:tcPr>
                  <w:tcW w:w="5437" w:type="dxa"/>
                  <w:vAlign w:val="top"/>
                </w:tcPr>
                <w:p>
                  <w:pPr>
                    <w:spacing w:line="360" w:lineRule="auto"/>
                    <w:ind w:left="360" w:hanging="360" w:hangingChars="150"/>
                    <w:rPr>
                      <w:rFonts w:hint="eastAsia" w:ascii="宋体" w:hAnsi="宋体"/>
                      <w:b/>
                      <w:sz w:val="24"/>
                      <w:szCs w:val="24"/>
                    </w:rPr>
                  </w:pPr>
                  <w:r>
                    <w:rPr>
                      <w:rFonts w:hint="eastAsia" w:ascii="宋体" w:hAnsi="宋体" w:eastAsia="宋体" w:cs="宋体"/>
                      <w:sz w:val="24"/>
                      <w:szCs w:val="24"/>
                    </w:rPr>
                    <w:t>▲</w:t>
                  </w:r>
                  <w:r>
                    <w:rPr>
                      <w:rFonts w:hint="eastAsia" w:ascii="宋体" w:hAnsi="宋体"/>
                      <w:sz w:val="24"/>
                      <w:szCs w:val="24"/>
                    </w:rPr>
                    <w:t>2、需具备只做单项测量选项，提高设备有效率。特别是眼轴长测量时有红黄绿灯指示，并有信噪比数值，提高准确度。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lang w:eastAsia="zh-CN"/>
                    </w:rPr>
                  </w:pPr>
                </w:p>
              </w:tc>
              <w:tc>
                <w:tcPr>
                  <w:tcW w:w="1984" w:type="dxa"/>
                  <w:vMerge w:val="continue"/>
                  <w:vAlign w:val="center"/>
                </w:tcPr>
                <w:p>
                  <w:pPr>
                    <w:spacing w:line="360" w:lineRule="auto"/>
                    <w:jc w:val="center"/>
                    <w:rPr>
                      <w:rFonts w:hint="eastAsia" w:ascii="仿宋" w:hAnsi="仿宋" w:eastAsia="仿宋" w:cs="仿宋"/>
                      <w:b/>
                      <w:bCs w:val="0"/>
                      <w:sz w:val="24"/>
                      <w:szCs w:val="24"/>
                      <w:lang w:val="en-US" w:eastAsia="zh-CN"/>
                    </w:rPr>
                  </w:pPr>
                </w:p>
              </w:tc>
              <w:tc>
                <w:tcPr>
                  <w:tcW w:w="5437" w:type="dxa"/>
                  <w:vAlign w:val="top"/>
                </w:tcPr>
                <w:p>
                  <w:pPr>
                    <w:spacing w:line="360" w:lineRule="auto"/>
                    <w:ind w:left="360" w:hanging="360" w:hangingChars="150"/>
                    <w:rPr>
                      <w:rFonts w:hint="eastAsia" w:ascii="宋体" w:hAnsi="宋体"/>
                      <w:b/>
                      <w:sz w:val="24"/>
                      <w:szCs w:val="24"/>
                    </w:rPr>
                  </w:pPr>
                  <w:r>
                    <w:rPr>
                      <w:rFonts w:hint="eastAsia" w:ascii="宋体" w:hAnsi="宋体" w:eastAsia="宋体" w:cs="宋体"/>
                      <w:sz w:val="24"/>
                      <w:szCs w:val="24"/>
                    </w:rPr>
                    <w:t>▲</w:t>
                  </w:r>
                  <w:r>
                    <w:rPr>
                      <w:rFonts w:hint="eastAsia" w:ascii="宋体" w:hAnsi="宋体"/>
                      <w:sz w:val="24"/>
                    </w:rPr>
                    <w:t>3、中文操作系统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lang w:eastAsia="zh-CN"/>
                    </w:rPr>
                  </w:pPr>
                </w:p>
              </w:tc>
              <w:tc>
                <w:tcPr>
                  <w:tcW w:w="1984" w:type="dxa"/>
                  <w:vMerge w:val="continue"/>
                  <w:vAlign w:val="center"/>
                </w:tcPr>
                <w:p>
                  <w:pPr>
                    <w:spacing w:line="360" w:lineRule="auto"/>
                    <w:jc w:val="center"/>
                    <w:rPr>
                      <w:rFonts w:hint="eastAsia" w:ascii="仿宋" w:hAnsi="仿宋" w:eastAsia="仿宋" w:cs="仿宋"/>
                      <w:b/>
                      <w:bCs w:val="0"/>
                      <w:sz w:val="24"/>
                      <w:szCs w:val="24"/>
                      <w:lang w:val="en-US" w:eastAsia="zh-CN"/>
                    </w:rPr>
                  </w:pPr>
                </w:p>
              </w:tc>
              <w:tc>
                <w:tcPr>
                  <w:tcW w:w="5437" w:type="dxa"/>
                  <w:vAlign w:val="top"/>
                </w:tcPr>
                <w:p>
                  <w:pPr>
                    <w:spacing w:line="360" w:lineRule="auto"/>
                    <w:ind w:left="360" w:hanging="360" w:hangingChars="150"/>
                    <w:rPr>
                      <w:rFonts w:hint="eastAsia" w:ascii="宋体" w:hAnsi="宋体" w:eastAsia="宋体" w:cs="宋体"/>
                      <w:sz w:val="24"/>
                      <w:szCs w:val="24"/>
                    </w:rPr>
                  </w:pPr>
                  <w:r>
                    <w:rPr>
                      <w:rFonts w:hint="default" w:ascii="宋体" w:hAnsi="宋体" w:eastAsia="宋体" w:cs="宋体"/>
                      <w:sz w:val="24"/>
                      <w:szCs w:val="24"/>
                    </w:rPr>
                    <w:t>（</w:t>
                  </w:r>
                  <w:r>
                    <w:rPr>
                      <w:rFonts w:hint="eastAsia" w:ascii="宋体" w:hAnsi="宋体" w:eastAsia="宋体" w:cs="宋体"/>
                      <w:sz w:val="24"/>
                      <w:szCs w:val="24"/>
                      <w:lang w:eastAsia="zh-Hans"/>
                    </w:rPr>
                    <w:t>二</w:t>
                  </w:r>
                  <w:r>
                    <w:rPr>
                      <w:rFonts w:hint="default" w:ascii="宋体" w:hAnsi="宋体" w:eastAsia="宋体" w:cs="宋体"/>
                      <w:sz w:val="24"/>
                      <w:szCs w:val="24"/>
                    </w:rPr>
                    <w:t>）</w:t>
                  </w:r>
                  <w:r>
                    <w:rPr>
                      <w:rFonts w:hint="eastAsia" w:ascii="宋体" w:hAnsi="宋体" w:eastAsia="宋体" w:cs="宋体"/>
                      <w:sz w:val="24"/>
                      <w:szCs w:val="24"/>
                      <w:lang w:eastAsia="zh-Hans"/>
                    </w:rPr>
                    <w:t>具体参数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lang w:eastAsia="zh-CN"/>
                    </w:rPr>
                  </w:pPr>
                </w:p>
              </w:tc>
              <w:tc>
                <w:tcPr>
                  <w:tcW w:w="1984" w:type="dxa"/>
                  <w:vMerge w:val="continue"/>
                  <w:vAlign w:val="center"/>
                </w:tcPr>
                <w:p>
                  <w:pPr>
                    <w:spacing w:line="360" w:lineRule="auto"/>
                    <w:jc w:val="center"/>
                    <w:rPr>
                      <w:rFonts w:hint="eastAsia" w:ascii="仿宋" w:hAnsi="仿宋" w:eastAsia="仿宋" w:cs="仿宋"/>
                      <w:b/>
                      <w:bCs w:val="0"/>
                      <w:sz w:val="24"/>
                      <w:szCs w:val="24"/>
                      <w:lang w:val="en-US" w:eastAsia="zh-CN"/>
                    </w:rPr>
                  </w:pPr>
                </w:p>
              </w:tc>
              <w:tc>
                <w:tcPr>
                  <w:tcW w:w="5437" w:type="dxa"/>
                  <w:vAlign w:val="top"/>
                </w:tcPr>
                <w:p>
                  <w:pPr>
                    <w:widowControl/>
                    <w:numPr>
                      <w:ilvl w:val="0"/>
                      <w:numId w:val="0"/>
                    </w:numPr>
                    <w:spacing w:line="360" w:lineRule="auto"/>
                    <w:ind w:left="361" w:leftChars="0" w:hanging="361" w:hangingChars="150"/>
                    <w:jc w:val="left"/>
                    <w:rPr>
                      <w:rFonts w:hint="eastAsia" w:ascii="仿宋" w:hAnsi="仿宋" w:eastAsia="仿宋" w:cs="仿宋"/>
                      <w:sz w:val="24"/>
                      <w:szCs w:val="24"/>
                      <w:lang w:val="en-US" w:eastAsia="zh-CN"/>
                    </w:rPr>
                  </w:pPr>
                  <w:r>
                    <w:rPr>
                      <w:rFonts w:hint="eastAsia" w:ascii="宋体" w:hAnsi="宋体"/>
                      <w:b/>
                      <w:sz w:val="24"/>
                      <w:szCs w:val="24"/>
                    </w:rPr>
                    <w:t>1光源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widowControl/>
                    <w:numPr>
                      <w:ilvl w:val="0"/>
                      <w:numId w:val="0"/>
                    </w:num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1.1照明光源：发光二极管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1.2照明光源波长：880nm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1.3眼轴长度测量光源: 半导体二极管激光器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1.4眼轴长度测量光源波长: 780nm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1" w:leftChars="0" w:hanging="361" w:hangingChars="150"/>
                    <w:jc w:val="left"/>
                    <w:rPr>
                      <w:rFonts w:hint="eastAsia" w:ascii="仿宋" w:hAnsi="仿宋" w:eastAsia="仿宋" w:cs="仿宋"/>
                      <w:sz w:val="24"/>
                      <w:szCs w:val="24"/>
                      <w:lang w:val="en-US" w:eastAsia="zh-CN"/>
                    </w:rPr>
                  </w:pPr>
                  <w:r>
                    <w:rPr>
                      <w:rFonts w:hint="eastAsia" w:ascii="宋体" w:hAnsi="宋体"/>
                      <w:b/>
                      <w:sz w:val="24"/>
                      <w:szCs w:val="24"/>
                    </w:rPr>
                    <w:t>2测量生物参数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宋体" w:hAnsi="宋体"/>
                      <w:sz w:val="24"/>
                      <w:szCs w:val="24"/>
                    </w:rPr>
                    <w:t>2.1眼轴长度：14-38mm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2.2角膜曲率半径：5-10mm （角膜曲率33-67D）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2.3前房深度：1.5-6.5mm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2.4白-白角膜直径：8-16mm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1" w:leftChars="0" w:hanging="361" w:hangingChars="150"/>
                    <w:jc w:val="left"/>
                    <w:rPr>
                      <w:rFonts w:hint="eastAsia" w:ascii="仿宋" w:hAnsi="仿宋" w:eastAsia="仿宋" w:cs="仿宋"/>
                      <w:sz w:val="24"/>
                      <w:szCs w:val="24"/>
                      <w:lang w:val="en-US" w:eastAsia="zh-CN"/>
                    </w:rPr>
                  </w:pPr>
                  <w:r>
                    <w:rPr>
                      <w:rFonts w:hint="eastAsia" w:ascii="宋体" w:hAnsi="宋体"/>
                      <w:b/>
                      <w:sz w:val="24"/>
                      <w:szCs w:val="24"/>
                    </w:rPr>
                    <w:t>3、测量精确度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3.1眼轴长度：0.01mm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3.2角膜曲率半径：0.01mm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3.3前房深度：0.01mm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3.4白-白角膜直径：0.1mm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1" w:leftChars="0" w:hanging="361" w:hangingChars="150"/>
                    <w:jc w:val="left"/>
                    <w:rPr>
                      <w:rFonts w:hint="eastAsia" w:ascii="仿宋" w:hAnsi="仿宋" w:eastAsia="仿宋" w:cs="仿宋"/>
                      <w:sz w:val="24"/>
                      <w:szCs w:val="24"/>
                      <w:lang w:val="en-US" w:eastAsia="zh-CN"/>
                    </w:rPr>
                  </w:pPr>
                  <w:r>
                    <w:rPr>
                      <w:rFonts w:hint="eastAsia" w:ascii="宋体" w:hAnsi="宋体"/>
                      <w:b/>
                      <w:sz w:val="24"/>
                      <w:szCs w:val="24"/>
                    </w:rPr>
                    <w:t>4、测量方法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4.1眼轴长度测量技术：部分相干干涉测量原理</w:t>
                  </w:r>
                  <w:r>
                    <w:rPr>
                      <w:rFonts w:hint="default" w:ascii="宋体" w:hAnsi="宋体"/>
                      <w:sz w:val="24"/>
                      <w:szCs w:val="24"/>
                    </w:rPr>
                    <w:t>,</w:t>
                  </w:r>
                  <w:r>
                    <w:rPr>
                      <w:rFonts w:hint="eastAsia" w:ascii="宋体" w:hAnsi="宋体"/>
                      <w:sz w:val="24"/>
                      <w:szCs w:val="24"/>
                      <w:lang w:eastAsia="zh-Hans"/>
                    </w:rPr>
                    <w:t>组合信号处理技术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4.2眼轴长度测量分析软件： 非调和眼轴长度精确测量分析技术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4.3并行快速自动测量</w:t>
                  </w:r>
                  <w:r>
                    <w:rPr>
                      <w:rFonts w:hint="eastAsia" w:ascii="宋体" w:hAnsi="宋体"/>
                      <w:sz w:val="24"/>
                      <w:szCs w:val="24"/>
                      <w:lang w:eastAsia="zh-CN"/>
                    </w:rPr>
                    <w:t>，开启后，无需按键，自动测量，并计算。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4.4测量方式：非接触式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4.5左右眼识别方式：自动识别</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4.6对焦方式：辅助对焦</w:t>
                  </w:r>
                  <w:r>
                    <w:rPr>
                      <w:rFonts w:hint="eastAsia" w:ascii="宋体" w:hAnsi="宋体"/>
                      <w:sz w:val="24"/>
                      <w:szCs w:val="24"/>
                      <w:lang w:eastAsia="zh-CN"/>
                    </w:rPr>
                    <w:t>，眼轴长测量、角膜曲率测量、前房深度测量均具有红绿指示灯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1" w:leftChars="0" w:hanging="361" w:hangingChars="150"/>
                    <w:jc w:val="left"/>
                    <w:rPr>
                      <w:rFonts w:hint="eastAsia" w:ascii="仿宋" w:hAnsi="仿宋" w:eastAsia="仿宋" w:cs="仿宋"/>
                      <w:sz w:val="24"/>
                      <w:szCs w:val="24"/>
                      <w:lang w:val="en-US" w:eastAsia="zh-CN"/>
                    </w:rPr>
                  </w:pPr>
                  <w:r>
                    <w:rPr>
                      <w:rFonts w:hint="eastAsia" w:ascii="宋体" w:hAnsi="宋体"/>
                      <w:b/>
                      <w:sz w:val="24"/>
                      <w:szCs w:val="24"/>
                    </w:rPr>
                    <w:t>5人工晶体计算公式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5.1第四代计算公式：SKR II, SRK T, Holladay, Holladay II, Hoffer Q, Haigis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宋体" w:hAnsi="宋体"/>
                      <w:sz w:val="24"/>
                      <w:szCs w:val="24"/>
                    </w:rPr>
                    <w:t>5.2</w:t>
                  </w:r>
                  <w:r>
                    <w:rPr>
                      <w:rFonts w:hint="eastAsia" w:ascii="宋体" w:hAnsi="宋体"/>
                      <w:sz w:val="24"/>
                      <w:szCs w:val="24"/>
                      <w:lang w:eastAsia="zh-CN"/>
                    </w:rPr>
                    <w:t>具</w:t>
                  </w:r>
                  <w:r>
                    <w:rPr>
                      <w:rFonts w:hint="eastAsia" w:ascii="宋体" w:hAnsi="宋体"/>
                      <w:sz w:val="24"/>
                      <w:szCs w:val="24"/>
                    </w:rPr>
                    <w:t>有Haigis-L公式（适用于角膜屈光术后）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5.3角膜屈光手术后历史资料法和角膜接触镜法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hanging="360" w:hangingChars="150"/>
                    <w:rPr>
                      <w:rFonts w:hint="eastAsia" w:ascii="仿宋" w:hAnsi="仿宋" w:eastAsia="仿宋" w:cs="仿宋"/>
                      <w:sz w:val="24"/>
                      <w:szCs w:val="24"/>
                      <w:lang w:val="en-US" w:eastAsia="zh-CN"/>
                    </w:rPr>
                  </w:pPr>
                  <w:r>
                    <w:rPr>
                      <w:rFonts w:hint="eastAsia" w:ascii="宋体" w:hAnsi="宋体" w:eastAsia="宋体" w:cs="宋体"/>
                      <w:sz w:val="24"/>
                      <w:szCs w:val="24"/>
                    </w:rPr>
                    <w:t>▲</w:t>
                  </w:r>
                  <w:r>
                    <w:rPr>
                      <w:rFonts w:hint="eastAsia" w:ascii="宋体" w:hAnsi="宋体"/>
                      <w:sz w:val="24"/>
                      <w:szCs w:val="24"/>
                    </w:rPr>
                    <w:t>5.4</w:t>
                  </w:r>
                  <w:r>
                    <w:rPr>
                      <w:rFonts w:hint="eastAsia" w:ascii="宋体" w:hAnsi="宋体"/>
                      <w:sz w:val="24"/>
                      <w:szCs w:val="24"/>
                      <w:lang w:eastAsia="zh-CN"/>
                    </w:rPr>
                    <w:t>数据参数测量后，具有智能自动推荐人工晶体计算公式功能，根据不同的眼轴长，自动推荐公式，避免计算误差。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Merge w:val="continue"/>
                  <w:vAlign w:val="center"/>
                </w:tcPr>
                <w:p>
                  <w:pPr>
                    <w:spacing w:line="360" w:lineRule="auto"/>
                    <w:jc w:val="center"/>
                    <w:rPr>
                      <w:rFonts w:hint="eastAsia" w:ascii="仿宋" w:hAnsi="仿宋" w:eastAsia="仿宋" w:cs="仿宋"/>
                      <w:b/>
                      <w:bCs w:val="0"/>
                      <w:sz w:val="24"/>
                      <w:szCs w:val="24"/>
                    </w:rPr>
                  </w:pPr>
                </w:p>
              </w:tc>
              <w:tc>
                <w:tcPr>
                  <w:tcW w:w="1984" w:type="dxa"/>
                  <w:vMerge w:val="continue"/>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仿宋" w:hAnsi="仿宋" w:eastAsia="仿宋" w:cs="仿宋"/>
                      <w:sz w:val="24"/>
                      <w:szCs w:val="24"/>
                      <w:lang w:val="en-US" w:eastAsia="zh-CN"/>
                    </w:rPr>
                  </w:pPr>
                  <w:r>
                    <w:rPr>
                      <w:rFonts w:hint="eastAsia" w:ascii="宋体" w:hAnsi="宋体"/>
                      <w:sz w:val="24"/>
                      <w:szCs w:val="24"/>
                    </w:rPr>
                    <w:t>5.5</w:t>
                  </w:r>
                  <w:r>
                    <w:rPr>
                      <w:rFonts w:hint="eastAsia"/>
                      <w:sz w:val="24"/>
                      <w:lang w:eastAsia="zh-CN"/>
                    </w:rPr>
                    <w:t>可在网站下载、导入光学人工晶体</w:t>
                  </w:r>
                  <w:r>
                    <w:rPr>
                      <w:rFonts w:hint="eastAsia"/>
                      <w:sz w:val="24"/>
                      <w:lang w:val="en-US" w:eastAsia="zh-CN"/>
                    </w:rPr>
                    <w:t>A常数，且</w:t>
                  </w:r>
                  <w:r>
                    <w:rPr>
                      <w:rFonts w:hint="eastAsia"/>
                      <w:sz w:val="24"/>
                      <w:lang w:eastAsia="zh-CN"/>
                    </w:rPr>
                    <w:t>具有</w:t>
                  </w:r>
                  <w:r>
                    <w:rPr>
                      <w:rFonts w:hint="eastAsia"/>
                      <w:sz w:val="24"/>
                      <w:lang w:val="en-US" w:eastAsia="zh-CN"/>
                    </w:rPr>
                    <w:t>100个以上A常数专供此设备</w:t>
                  </w:r>
                  <w:r>
                    <w:rPr>
                      <w:rFonts w:hint="eastAsia"/>
                      <w:sz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Align w:val="center"/>
                </w:tcPr>
                <w:p>
                  <w:pPr>
                    <w:spacing w:line="360" w:lineRule="auto"/>
                    <w:jc w:val="center"/>
                    <w:rPr>
                      <w:rFonts w:hint="eastAsia" w:ascii="仿宋" w:hAnsi="仿宋" w:eastAsia="仿宋" w:cs="仿宋"/>
                      <w:b/>
                      <w:bCs w:val="0"/>
                      <w:sz w:val="24"/>
                      <w:szCs w:val="24"/>
                    </w:rPr>
                  </w:pPr>
                </w:p>
              </w:tc>
              <w:tc>
                <w:tcPr>
                  <w:tcW w:w="1984" w:type="dxa"/>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1" w:leftChars="0" w:hanging="361" w:hangingChars="150"/>
                    <w:jc w:val="left"/>
                    <w:rPr>
                      <w:rFonts w:hint="eastAsia" w:ascii="宋体" w:hAnsi="宋体"/>
                      <w:sz w:val="24"/>
                      <w:szCs w:val="24"/>
                    </w:rPr>
                  </w:pPr>
                  <w:r>
                    <w:rPr>
                      <w:rFonts w:hint="eastAsia" w:ascii="宋体" w:hAnsi="宋体"/>
                      <w:b/>
                      <w:sz w:val="24"/>
                      <w:szCs w:val="24"/>
                    </w:rPr>
                    <w:t>6数据传输</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Align w:val="center"/>
                </w:tcPr>
                <w:p>
                  <w:pPr>
                    <w:spacing w:line="360" w:lineRule="auto"/>
                    <w:jc w:val="center"/>
                    <w:rPr>
                      <w:rFonts w:hint="eastAsia" w:ascii="仿宋" w:hAnsi="仿宋" w:eastAsia="仿宋" w:cs="仿宋"/>
                      <w:b/>
                      <w:bCs w:val="0"/>
                      <w:sz w:val="24"/>
                      <w:szCs w:val="24"/>
                    </w:rPr>
                  </w:pPr>
                </w:p>
              </w:tc>
              <w:tc>
                <w:tcPr>
                  <w:tcW w:w="1984" w:type="dxa"/>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宋体" w:hAnsi="宋体"/>
                      <w:sz w:val="24"/>
                      <w:szCs w:val="24"/>
                    </w:rPr>
                  </w:pPr>
                  <w:r>
                    <w:rPr>
                      <w:rFonts w:hint="eastAsia" w:ascii="宋体" w:hAnsi="宋体"/>
                      <w:sz w:val="24"/>
                      <w:szCs w:val="24"/>
                    </w:rPr>
                    <w:t>6.1</w:t>
                  </w:r>
                  <w:r>
                    <w:rPr>
                      <w:rFonts w:hint="eastAsia" w:ascii="宋体" w:hAnsi="宋体"/>
                      <w:sz w:val="24"/>
                      <w:szCs w:val="24"/>
                      <w:lang w:eastAsia="zh-CN"/>
                    </w:rPr>
                    <w:t>具备标准网络接口，并免费开放。</w:t>
                  </w:r>
                  <w:r>
                    <w:rPr>
                      <w:rFonts w:hint="eastAsia" w:ascii="宋体" w:hAnsi="宋体"/>
                      <w:sz w:val="24"/>
                      <w:szCs w:val="24"/>
                    </w:rPr>
                    <w:t>可与</w:t>
                  </w:r>
                  <w:r>
                    <w:rPr>
                      <w:rFonts w:hint="eastAsia" w:ascii="宋体" w:hAnsi="宋体"/>
                      <w:sz w:val="24"/>
                      <w:szCs w:val="24"/>
                      <w:lang w:eastAsia="zh-CN"/>
                    </w:rPr>
                    <w:t>医院</w:t>
                  </w:r>
                  <w:r>
                    <w:rPr>
                      <w:rFonts w:hint="eastAsia" w:ascii="宋体" w:hAnsi="宋体"/>
                      <w:sz w:val="24"/>
                      <w:szCs w:val="24"/>
                    </w:rPr>
                    <w:t>信息化系统相连传输数据</w:t>
                  </w:r>
                  <w:r>
                    <w:rPr>
                      <w:rFonts w:hint="eastAsia" w:ascii="宋体" w:hAnsi="宋体"/>
                      <w:sz w:val="24"/>
                      <w:szCs w:val="24"/>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Align w:val="center"/>
                </w:tcPr>
                <w:p>
                  <w:pPr>
                    <w:spacing w:line="360" w:lineRule="auto"/>
                    <w:jc w:val="center"/>
                    <w:rPr>
                      <w:rFonts w:hint="eastAsia" w:ascii="仿宋" w:hAnsi="仿宋" w:eastAsia="仿宋" w:cs="仿宋"/>
                      <w:b/>
                      <w:bCs w:val="0"/>
                      <w:sz w:val="24"/>
                      <w:szCs w:val="24"/>
                    </w:rPr>
                  </w:pPr>
                </w:p>
              </w:tc>
              <w:tc>
                <w:tcPr>
                  <w:tcW w:w="1984" w:type="dxa"/>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宋体" w:hAnsi="宋体"/>
                      <w:sz w:val="24"/>
                      <w:szCs w:val="24"/>
                    </w:rPr>
                  </w:pPr>
                  <w:r>
                    <w:rPr>
                      <w:rFonts w:hint="eastAsia" w:ascii="宋体" w:hAnsi="宋体"/>
                      <w:sz w:val="24"/>
                      <w:szCs w:val="24"/>
                    </w:rPr>
                    <w:t>6.2</w:t>
                  </w:r>
                  <w:r>
                    <w:rPr>
                      <w:rFonts w:hint="eastAsia" w:ascii="宋体" w:hAnsi="宋体"/>
                      <w:sz w:val="24"/>
                      <w:szCs w:val="24"/>
                      <w:lang w:eastAsia="zh-CN"/>
                    </w:rPr>
                    <w:t>可通过</w:t>
                  </w:r>
                  <w:r>
                    <w:rPr>
                      <w:rFonts w:hint="eastAsia" w:ascii="宋体" w:hAnsi="宋体"/>
                      <w:sz w:val="24"/>
                      <w:szCs w:val="24"/>
                    </w:rPr>
                    <w:t>USB</w:t>
                  </w:r>
                  <w:r>
                    <w:rPr>
                      <w:rFonts w:hint="eastAsia" w:ascii="宋体" w:hAnsi="宋体"/>
                      <w:sz w:val="24"/>
                      <w:szCs w:val="24"/>
                      <w:lang w:eastAsia="zh-CN"/>
                    </w:rPr>
                    <w:t>接口导出数据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Align w:val="center"/>
                </w:tcPr>
                <w:p>
                  <w:pPr>
                    <w:spacing w:line="360" w:lineRule="auto"/>
                    <w:jc w:val="center"/>
                    <w:rPr>
                      <w:rFonts w:hint="eastAsia" w:ascii="仿宋" w:hAnsi="仿宋" w:eastAsia="仿宋" w:cs="仿宋"/>
                      <w:b/>
                      <w:bCs w:val="0"/>
                      <w:sz w:val="24"/>
                      <w:szCs w:val="24"/>
                    </w:rPr>
                  </w:pPr>
                </w:p>
              </w:tc>
              <w:tc>
                <w:tcPr>
                  <w:tcW w:w="1984" w:type="dxa"/>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360" w:lineRule="auto"/>
                    <w:ind w:left="360" w:leftChars="0" w:hanging="360" w:hangingChars="150"/>
                    <w:jc w:val="left"/>
                    <w:rPr>
                      <w:rFonts w:hint="eastAsia" w:ascii="宋体" w:hAnsi="宋体"/>
                      <w:sz w:val="24"/>
                      <w:szCs w:val="24"/>
                    </w:rPr>
                  </w:pPr>
                  <w:r>
                    <w:rPr>
                      <w:rFonts w:hint="default" w:ascii="宋体" w:hAnsi="宋体"/>
                      <w:sz w:val="24"/>
                      <w:szCs w:val="24"/>
                      <w:lang w:eastAsia="zh-CN"/>
                    </w:rPr>
                    <w:t>6.3</w:t>
                  </w:r>
                  <w:r>
                    <w:rPr>
                      <w:rFonts w:hint="eastAsia" w:ascii="宋体" w:hAnsi="宋体" w:cs="宋体"/>
                      <w:sz w:val="24"/>
                      <w:szCs w:val="24"/>
                    </w:rPr>
                    <w:t>可无缝对接升级眼科手术显微镜信息管理系统。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0" w:hRule="atLeast"/>
              </w:trPr>
              <w:tc>
                <w:tcPr>
                  <w:tcW w:w="1101" w:type="dxa"/>
                  <w:vAlign w:val="center"/>
                </w:tcPr>
                <w:p>
                  <w:pPr>
                    <w:spacing w:line="360" w:lineRule="auto"/>
                    <w:jc w:val="center"/>
                    <w:rPr>
                      <w:rFonts w:hint="eastAsia" w:ascii="仿宋" w:hAnsi="仿宋" w:eastAsia="仿宋" w:cs="仿宋"/>
                      <w:b/>
                      <w:bCs w:val="0"/>
                      <w:sz w:val="24"/>
                      <w:szCs w:val="24"/>
                    </w:rPr>
                  </w:pPr>
                </w:p>
              </w:tc>
              <w:tc>
                <w:tcPr>
                  <w:tcW w:w="1984" w:type="dxa"/>
                  <w:vAlign w:val="center"/>
                </w:tcPr>
                <w:p>
                  <w:pPr>
                    <w:spacing w:line="360" w:lineRule="auto"/>
                    <w:jc w:val="center"/>
                    <w:rPr>
                      <w:rFonts w:hint="eastAsia" w:ascii="仿宋" w:hAnsi="仿宋" w:eastAsia="仿宋" w:cs="仿宋"/>
                      <w:b/>
                      <w:bCs w:val="0"/>
                      <w:sz w:val="24"/>
                      <w:szCs w:val="24"/>
                    </w:rPr>
                  </w:pPr>
                </w:p>
              </w:tc>
              <w:tc>
                <w:tcPr>
                  <w:tcW w:w="5437" w:type="dxa"/>
                  <w:vAlign w:val="top"/>
                </w:tcPr>
                <w:p>
                  <w:pPr>
                    <w:spacing w:line="420" w:lineRule="exact"/>
                    <w:jc w:val="both"/>
                    <w:rPr>
                      <w:rFonts w:hint="eastAsia" w:ascii="宋体" w:hAnsi="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6.4</w:t>
                  </w:r>
                  <w:r>
                    <w:rPr>
                      <w:rFonts w:hint="eastAsia" w:ascii="宋体" w:hAnsi="宋体" w:cs="宋体"/>
                      <w:b w:val="0"/>
                      <w:bCs w:val="0"/>
                      <w:sz w:val="24"/>
                      <w:szCs w:val="24"/>
                      <w:lang w:val="en-US" w:eastAsia="zh-CN"/>
                    </w:rPr>
                    <w:t>一体化设计，整机含主机，无需另配电脑。</w:t>
                  </w:r>
                </w:p>
              </w:tc>
            </w:tr>
          </w:tbl>
          <w:p>
            <w:pPr>
              <w:spacing w:line="360" w:lineRule="auto"/>
              <w:rPr>
                <w:rFonts w:hint="eastAsia" w:ascii="仿宋" w:hAnsi="仿宋" w:eastAsia="仿宋" w:cs="仿宋"/>
                <w:kern w:val="0"/>
                <w:sz w:val="24"/>
                <w:szCs w:val="24"/>
              </w:rPr>
            </w:pPr>
          </w:p>
          <w:p>
            <w:pPr>
              <w:spacing w:line="360" w:lineRule="auto"/>
              <w:rPr>
                <w:rFonts w:hint="eastAsia" w:ascii="仿宋" w:hAnsi="仿宋" w:eastAsia="仿宋" w:cs="仿宋"/>
                <w:kern w:val="0"/>
                <w:sz w:val="24"/>
                <w:szCs w:val="24"/>
              </w:rPr>
            </w:pPr>
          </w:p>
          <w:p>
            <w:pPr>
              <w:numPr>
                <w:ilvl w:val="0"/>
                <w:numId w:val="0"/>
              </w:numPr>
              <w:spacing w:line="360" w:lineRule="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配置清单：</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4867"/>
              <w:gridCol w:w="182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trPr>
              <w:tc>
                <w:tcPr>
                  <w:tcW w:w="608" w:type="pct"/>
                  <w:vAlign w:val="center"/>
                </w:tcPr>
                <w:p>
                  <w:pPr>
                    <w:spacing w:line="360" w:lineRule="auto"/>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序号</w:t>
                  </w:r>
                </w:p>
              </w:tc>
              <w:tc>
                <w:tcPr>
                  <w:tcW w:w="2586" w:type="pc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名   称</w:t>
                  </w:r>
                </w:p>
              </w:tc>
              <w:tc>
                <w:tcPr>
                  <w:tcW w:w="967" w:type="pc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838" w:type="pct"/>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rPr>
              <w:tc>
                <w:tcPr>
                  <w:tcW w:w="608" w:type="pct"/>
                  <w:vAlign w:val="center"/>
                </w:tcPr>
                <w:p>
                  <w:pPr>
                    <w:pStyle w:val="14"/>
                    <w:spacing w:line="360" w:lineRule="auto"/>
                    <w:jc w:val="center"/>
                    <w:rPr>
                      <w:rFonts w:hint="eastAsia" w:ascii="仿宋" w:hAnsi="仿宋" w:eastAsia="仿宋" w:cs="仿宋"/>
                      <w:sz w:val="24"/>
                      <w:szCs w:val="24"/>
                      <w:lang w:eastAsia="zh-CN"/>
                    </w:rPr>
                  </w:pPr>
                  <w:r>
                    <w:rPr>
                      <w:rFonts w:hint="default" w:ascii="仿宋" w:hAnsi="仿宋" w:eastAsia="仿宋" w:cs="仿宋"/>
                      <w:sz w:val="24"/>
                      <w:szCs w:val="24"/>
                      <w:lang w:eastAsia="zh-CN"/>
                    </w:rPr>
                    <w:t>1</w:t>
                  </w:r>
                </w:p>
              </w:tc>
              <w:tc>
                <w:tcPr>
                  <w:tcW w:w="2586" w:type="pct"/>
                  <w:vAlign w:val="center"/>
                </w:tcPr>
                <w:p>
                  <w:pPr>
                    <w:pStyle w:val="14"/>
                    <w:spacing w:line="360" w:lineRule="auto"/>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主机</w:t>
                  </w:r>
                </w:p>
              </w:tc>
              <w:tc>
                <w:tcPr>
                  <w:tcW w:w="967" w:type="pct"/>
                  <w:vAlign w:val="center"/>
                </w:tcPr>
                <w:p>
                  <w:pPr>
                    <w:spacing w:line="360" w:lineRule="auto"/>
                    <w:jc w:val="center"/>
                    <w:rPr>
                      <w:rFonts w:hint="default" w:ascii="仿宋" w:hAnsi="仿宋" w:eastAsia="仿宋" w:cs="仿宋"/>
                      <w:sz w:val="24"/>
                      <w:szCs w:val="24"/>
                    </w:rPr>
                  </w:pPr>
                  <w:r>
                    <w:rPr>
                      <w:rFonts w:hint="default" w:ascii="仿宋" w:hAnsi="仿宋" w:eastAsia="仿宋" w:cs="仿宋"/>
                      <w:sz w:val="24"/>
                      <w:szCs w:val="24"/>
                    </w:rPr>
                    <w:t>1</w:t>
                  </w:r>
                </w:p>
              </w:tc>
              <w:tc>
                <w:tcPr>
                  <w:tcW w:w="838" w:type="pct"/>
                  <w:vAlign w:val="center"/>
                </w:tcPr>
                <w:p>
                  <w:pPr>
                    <w:spacing w:line="360" w:lineRule="auto"/>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trPr>
              <w:tc>
                <w:tcPr>
                  <w:tcW w:w="608" w:type="pct"/>
                  <w:vAlign w:val="center"/>
                </w:tcPr>
                <w:p>
                  <w:pPr>
                    <w:pStyle w:val="14"/>
                    <w:spacing w:line="360" w:lineRule="auto"/>
                    <w:jc w:val="center"/>
                    <w:rPr>
                      <w:rFonts w:hint="eastAsia" w:ascii="仿宋" w:hAnsi="仿宋" w:eastAsia="仿宋" w:cs="仿宋"/>
                      <w:sz w:val="24"/>
                      <w:szCs w:val="24"/>
                      <w:lang w:eastAsia="zh-CN"/>
                    </w:rPr>
                  </w:pPr>
                  <w:r>
                    <w:rPr>
                      <w:rFonts w:hint="default" w:ascii="仿宋" w:hAnsi="仿宋" w:eastAsia="仿宋" w:cs="仿宋"/>
                      <w:sz w:val="24"/>
                      <w:szCs w:val="24"/>
                      <w:lang w:eastAsia="zh-CN"/>
                    </w:rPr>
                    <w:t>2</w:t>
                  </w:r>
                </w:p>
              </w:tc>
              <w:tc>
                <w:tcPr>
                  <w:tcW w:w="2586" w:type="pct"/>
                  <w:vAlign w:val="center"/>
                </w:tcPr>
                <w:p>
                  <w:pPr>
                    <w:pStyle w:val="14"/>
                    <w:spacing w:line="360" w:lineRule="auto"/>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键盘</w:t>
                  </w:r>
                </w:p>
              </w:tc>
              <w:tc>
                <w:tcPr>
                  <w:tcW w:w="967" w:type="pct"/>
                  <w:vAlign w:val="center"/>
                </w:tcPr>
                <w:p>
                  <w:pPr>
                    <w:spacing w:line="360" w:lineRule="auto"/>
                    <w:jc w:val="center"/>
                    <w:rPr>
                      <w:rFonts w:hint="eastAsia" w:ascii="仿宋" w:hAnsi="仿宋" w:eastAsia="仿宋" w:cs="仿宋"/>
                      <w:sz w:val="24"/>
                      <w:szCs w:val="24"/>
                    </w:rPr>
                  </w:pPr>
                  <w:r>
                    <w:rPr>
                      <w:rFonts w:hint="default" w:ascii="仿宋" w:hAnsi="仿宋" w:eastAsia="仿宋" w:cs="仿宋"/>
                      <w:sz w:val="24"/>
                      <w:szCs w:val="24"/>
                    </w:rPr>
                    <w:t>1</w:t>
                  </w:r>
                </w:p>
              </w:tc>
              <w:tc>
                <w:tcPr>
                  <w:tcW w:w="838" w:type="pct"/>
                  <w:vAlign w:val="center"/>
                </w:tcPr>
                <w:p>
                  <w:pPr>
                    <w:spacing w:line="360" w:lineRule="auto"/>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trPr>
              <w:tc>
                <w:tcPr>
                  <w:tcW w:w="608" w:type="pct"/>
                  <w:vAlign w:val="center"/>
                </w:tcPr>
                <w:p>
                  <w:pPr>
                    <w:pStyle w:val="14"/>
                    <w:spacing w:line="360" w:lineRule="auto"/>
                    <w:jc w:val="center"/>
                    <w:rPr>
                      <w:rFonts w:hint="eastAsia" w:ascii="仿宋" w:hAnsi="仿宋" w:eastAsia="仿宋" w:cs="仿宋"/>
                      <w:sz w:val="24"/>
                      <w:szCs w:val="24"/>
                      <w:lang w:eastAsia="zh-CN"/>
                    </w:rPr>
                  </w:pPr>
                  <w:r>
                    <w:rPr>
                      <w:rFonts w:hint="default" w:ascii="仿宋" w:hAnsi="仿宋" w:eastAsia="仿宋" w:cs="仿宋"/>
                      <w:sz w:val="24"/>
                      <w:szCs w:val="24"/>
                      <w:lang w:eastAsia="zh-CN"/>
                    </w:rPr>
                    <w:t>3</w:t>
                  </w:r>
                </w:p>
              </w:tc>
              <w:tc>
                <w:tcPr>
                  <w:tcW w:w="2586" w:type="pct"/>
                  <w:vAlign w:val="center"/>
                </w:tcPr>
                <w:p>
                  <w:pPr>
                    <w:pStyle w:val="14"/>
                    <w:spacing w:line="360" w:lineRule="auto"/>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电源线</w:t>
                  </w:r>
                </w:p>
              </w:tc>
              <w:tc>
                <w:tcPr>
                  <w:tcW w:w="967" w:type="pct"/>
                  <w:vAlign w:val="center"/>
                </w:tcPr>
                <w:p>
                  <w:pPr>
                    <w:spacing w:line="360" w:lineRule="auto"/>
                    <w:jc w:val="center"/>
                    <w:rPr>
                      <w:rFonts w:hint="eastAsia" w:ascii="仿宋" w:hAnsi="仿宋" w:eastAsia="仿宋" w:cs="仿宋"/>
                      <w:sz w:val="24"/>
                      <w:szCs w:val="24"/>
                    </w:rPr>
                  </w:pPr>
                  <w:r>
                    <w:rPr>
                      <w:rFonts w:hint="default" w:ascii="仿宋" w:hAnsi="仿宋" w:eastAsia="仿宋" w:cs="仿宋"/>
                      <w:sz w:val="24"/>
                      <w:szCs w:val="24"/>
                    </w:rPr>
                    <w:t>1</w:t>
                  </w:r>
                </w:p>
              </w:tc>
              <w:tc>
                <w:tcPr>
                  <w:tcW w:w="838" w:type="pct"/>
                  <w:vAlign w:val="center"/>
                </w:tcPr>
                <w:p>
                  <w:pPr>
                    <w:spacing w:line="360" w:lineRule="auto"/>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trPr>
              <w:tc>
                <w:tcPr>
                  <w:tcW w:w="608" w:type="pct"/>
                  <w:vAlign w:val="center"/>
                </w:tcPr>
                <w:p>
                  <w:pPr>
                    <w:pStyle w:val="14"/>
                    <w:spacing w:line="360" w:lineRule="auto"/>
                    <w:jc w:val="center"/>
                    <w:rPr>
                      <w:rFonts w:hint="eastAsia" w:ascii="仿宋" w:hAnsi="仿宋" w:eastAsia="仿宋" w:cs="仿宋"/>
                      <w:sz w:val="24"/>
                      <w:szCs w:val="24"/>
                      <w:lang w:eastAsia="zh-Hans"/>
                    </w:rPr>
                  </w:pPr>
                  <w:r>
                    <w:rPr>
                      <w:rFonts w:hint="default" w:ascii="仿宋" w:hAnsi="仿宋" w:eastAsia="仿宋" w:cs="仿宋"/>
                      <w:sz w:val="24"/>
                      <w:szCs w:val="24"/>
                      <w:lang w:eastAsia="zh-Hans"/>
                    </w:rPr>
                    <w:t>4</w:t>
                  </w:r>
                </w:p>
              </w:tc>
              <w:tc>
                <w:tcPr>
                  <w:tcW w:w="2586" w:type="pct"/>
                  <w:vAlign w:val="center"/>
                </w:tcPr>
                <w:p>
                  <w:pPr>
                    <w:pStyle w:val="14"/>
                    <w:spacing w:line="360" w:lineRule="auto"/>
                    <w:jc w:val="both"/>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升降台</w:t>
                  </w:r>
                </w:p>
              </w:tc>
              <w:tc>
                <w:tcPr>
                  <w:tcW w:w="967" w:type="pct"/>
                  <w:vAlign w:val="center"/>
                </w:tcPr>
                <w:p>
                  <w:pPr>
                    <w:spacing w:line="360" w:lineRule="auto"/>
                    <w:jc w:val="center"/>
                    <w:rPr>
                      <w:rFonts w:hint="eastAsia" w:ascii="仿宋" w:hAnsi="仿宋" w:eastAsia="仿宋" w:cs="仿宋"/>
                      <w:sz w:val="24"/>
                      <w:szCs w:val="24"/>
                    </w:rPr>
                  </w:pPr>
                  <w:r>
                    <w:rPr>
                      <w:rFonts w:hint="default" w:ascii="仿宋" w:hAnsi="仿宋" w:eastAsia="仿宋" w:cs="仿宋"/>
                      <w:sz w:val="24"/>
                      <w:szCs w:val="24"/>
                    </w:rPr>
                    <w:t>1</w:t>
                  </w:r>
                </w:p>
              </w:tc>
              <w:tc>
                <w:tcPr>
                  <w:tcW w:w="838" w:type="pct"/>
                  <w:vAlign w:val="center"/>
                </w:tcPr>
                <w:p>
                  <w:pPr>
                    <w:spacing w:line="360" w:lineRule="auto"/>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 w:hRule="atLeast"/>
              </w:trPr>
              <w:tc>
                <w:tcPr>
                  <w:tcW w:w="608" w:type="pct"/>
                  <w:vAlign w:val="center"/>
                </w:tcPr>
                <w:p>
                  <w:pPr>
                    <w:pStyle w:val="14"/>
                    <w:spacing w:line="360" w:lineRule="auto"/>
                    <w:jc w:val="center"/>
                    <w:rPr>
                      <w:rFonts w:hint="eastAsia" w:ascii="仿宋" w:hAnsi="仿宋" w:eastAsia="仿宋" w:cs="仿宋"/>
                      <w:sz w:val="24"/>
                      <w:szCs w:val="24"/>
                      <w:lang w:eastAsia="zh-CN"/>
                    </w:rPr>
                  </w:pPr>
                  <w:r>
                    <w:rPr>
                      <w:rFonts w:hint="default" w:ascii="仿宋" w:hAnsi="仿宋" w:eastAsia="仿宋" w:cs="仿宋"/>
                      <w:sz w:val="24"/>
                      <w:szCs w:val="24"/>
                      <w:lang w:eastAsia="zh-CN"/>
                    </w:rPr>
                    <w:t>5</w:t>
                  </w:r>
                </w:p>
              </w:tc>
              <w:tc>
                <w:tcPr>
                  <w:tcW w:w="2586" w:type="pct"/>
                  <w:vAlign w:val="center"/>
                </w:tcPr>
                <w:p>
                  <w:pPr>
                    <w:pStyle w:val="14"/>
                    <w:spacing w:line="360" w:lineRule="auto"/>
                    <w:jc w:val="both"/>
                    <w:rPr>
                      <w:rFonts w:hint="eastAsia" w:ascii="仿宋" w:hAnsi="仿宋" w:eastAsia="仿宋" w:cs="仿宋"/>
                      <w:sz w:val="24"/>
                      <w:szCs w:val="24"/>
                      <w:lang w:eastAsia="zh-Hans"/>
                    </w:rPr>
                  </w:pPr>
                  <w:r>
                    <w:rPr>
                      <w:rFonts w:hint="eastAsia" w:ascii="仿宋" w:hAnsi="仿宋" w:eastAsia="仿宋" w:cs="仿宋"/>
                      <w:sz w:val="24"/>
                      <w:szCs w:val="24"/>
                      <w:lang w:eastAsia="zh-Hans"/>
                    </w:rPr>
                    <w:t>打印机</w:t>
                  </w:r>
                </w:p>
              </w:tc>
              <w:tc>
                <w:tcPr>
                  <w:tcW w:w="967" w:type="pct"/>
                  <w:vAlign w:val="center"/>
                </w:tcPr>
                <w:p>
                  <w:pPr>
                    <w:spacing w:line="360" w:lineRule="auto"/>
                    <w:jc w:val="center"/>
                    <w:rPr>
                      <w:rFonts w:hint="eastAsia" w:ascii="仿宋" w:hAnsi="仿宋" w:eastAsia="仿宋" w:cs="仿宋"/>
                      <w:sz w:val="24"/>
                      <w:szCs w:val="24"/>
                    </w:rPr>
                  </w:pPr>
                  <w:r>
                    <w:rPr>
                      <w:rFonts w:hint="default" w:ascii="仿宋" w:hAnsi="仿宋" w:eastAsia="仿宋" w:cs="仿宋"/>
                      <w:sz w:val="24"/>
                      <w:szCs w:val="24"/>
                    </w:rPr>
                    <w:t>1</w:t>
                  </w:r>
                </w:p>
              </w:tc>
              <w:tc>
                <w:tcPr>
                  <w:tcW w:w="838" w:type="pct"/>
                  <w:vAlign w:val="center"/>
                </w:tcPr>
                <w:p>
                  <w:pPr>
                    <w:spacing w:line="360" w:lineRule="auto"/>
                    <w:jc w:val="center"/>
                    <w:rPr>
                      <w:rFonts w:hint="eastAsia" w:ascii="仿宋" w:hAnsi="仿宋" w:eastAsia="仿宋" w:cs="仿宋"/>
                      <w:sz w:val="24"/>
                      <w:szCs w:val="24"/>
                      <w:lang w:eastAsia="zh-Hans"/>
                    </w:rPr>
                  </w:pPr>
                  <w:r>
                    <w:rPr>
                      <w:rFonts w:hint="eastAsia" w:ascii="仿宋" w:hAnsi="仿宋" w:eastAsia="仿宋" w:cs="仿宋"/>
                      <w:sz w:val="24"/>
                      <w:szCs w:val="24"/>
                      <w:lang w:eastAsia="zh-Hans"/>
                    </w:rPr>
                    <w:t>台</w:t>
                  </w:r>
                </w:p>
              </w:tc>
            </w:tr>
          </w:tbl>
          <w:p>
            <w:pPr>
              <w:rPr>
                <w:b/>
                <w:szCs w:val="21"/>
              </w:rPr>
            </w:pPr>
          </w:p>
          <w:p>
            <w:pPr>
              <w:widowControl/>
              <w:spacing w:line="360" w:lineRule="auto"/>
              <w:ind w:hanging="720"/>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12" w:hRule="atLeast"/>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商务需求</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tbl>
            <w:tblPr>
              <w:tblStyle w:val="5"/>
              <w:tblW w:w="751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620"/>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834" w:type="dxa"/>
                  <w:vAlign w:val="center"/>
                </w:tcPr>
                <w:p>
                  <w:pPr>
                    <w:jc w:val="center"/>
                    <w:rPr>
                      <w:b/>
                    </w:rPr>
                  </w:pPr>
                  <w:r>
                    <w:rPr>
                      <w:rFonts w:hint="eastAsia"/>
                      <w:b/>
                    </w:rPr>
                    <w:t>序号</w:t>
                  </w:r>
                </w:p>
              </w:tc>
              <w:tc>
                <w:tcPr>
                  <w:tcW w:w="1620" w:type="dxa"/>
                  <w:vAlign w:val="center"/>
                </w:tcPr>
                <w:p>
                  <w:pPr>
                    <w:jc w:val="center"/>
                    <w:rPr>
                      <w:b/>
                    </w:rPr>
                  </w:pPr>
                  <w:r>
                    <w:rPr>
                      <w:rFonts w:hint="eastAsia"/>
                      <w:b/>
                    </w:rPr>
                    <w:t>目录</w:t>
                  </w:r>
                </w:p>
              </w:tc>
              <w:tc>
                <w:tcPr>
                  <w:tcW w:w="5058" w:type="dxa"/>
                  <w:vAlign w:val="center"/>
                </w:tcPr>
                <w:p>
                  <w:pPr>
                    <w:jc w:val="center"/>
                    <w:rPr>
                      <w:b/>
                    </w:rPr>
                  </w:pPr>
                  <w:r>
                    <w:rPr>
                      <w:rFonts w:hint="eastAsia"/>
                      <w:b/>
                    </w:rPr>
                    <w:t>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2" w:type="dxa"/>
                  <w:gridSpan w:val="3"/>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834" w:type="dxa"/>
                  <w:vMerge w:val="restart"/>
                  <w:vAlign w:val="center"/>
                </w:tcPr>
                <w:p>
                  <w:pPr>
                    <w:spacing w:line="300" w:lineRule="exact"/>
                    <w:jc w:val="center"/>
                    <w:rPr>
                      <w:b/>
                    </w:rPr>
                  </w:pPr>
                  <w:r>
                    <w:rPr>
                      <w:rFonts w:hint="eastAsia"/>
                      <w:b/>
                    </w:rPr>
                    <w:t>1</w:t>
                  </w:r>
                </w:p>
              </w:tc>
              <w:tc>
                <w:tcPr>
                  <w:tcW w:w="1620" w:type="dxa"/>
                  <w:vMerge w:val="restart"/>
                  <w:vAlign w:val="center"/>
                </w:tcPr>
                <w:p>
                  <w:pPr>
                    <w:spacing w:line="300" w:lineRule="exact"/>
                  </w:pPr>
                  <w:r>
                    <w:rPr>
                      <w:rFonts w:hint="eastAsia" w:ascii="宋体" w:hAnsi="宋体"/>
                      <w:b/>
                      <w:kern w:val="0"/>
                      <w:szCs w:val="21"/>
                    </w:rPr>
                    <w:t>维修及维护服务</w:t>
                  </w:r>
                </w:p>
              </w:tc>
              <w:tc>
                <w:tcPr>
                  <w:tcW w:w="5058" w:type="dxa"/>
                </w:tcPr>
                <w:p>
                  <w:pPr>
                    <w:spacing w:line="300" w:lineRule="exact"/>
                    <w:rPr>
                      <w:b/>
                    </w:rPr>
                  </w:pPr>
                  <w:r>
                    <w:rPr>
                      <w:rFonts w:hint="eastAsia" w:ascii="宋体" w:hAnsi="宋体"/>
                      <w:kern w:val="0"/>
                      <w:szCs w:val="21"/>
                    </w:rPr>
                    <w:t>1.1各投标人应在投标文件中列明各主机、配件和易耗品的保修期限</w:t>
                  </w:r>
                  <w:r>
                    <w:rPr>
                      <w:rFonts w:ascii="宋体" w:hAnsi="宋体"/>
                      <w:kern w:val="0"/>
                      <w:szCs w:val="21"/>
                    </w:rPr>
                    <w:t>,</w:t>
                  </w:r>
                  <w:r>
                    <w:rPr>
                      <w:rFonts w:hint="eastAsia" w:ascii="宋体" w:hAnsi="宋体"/>
                      <w:kern w:val="0"/>
                      <w:szCs w:val="21"/>
                    </w:rPr>
                    <w:t>并承诺提供整机免费保修期</w:t>
                  </w:r>
                  <w:r>
                    <w:rPr>
                      <w:rFonts w:hint="eastAsia" w:ascii="宋体" w:hAnsi="宋体"/>
                      <w:bCs/>
                      <w:kern w:val="0"/>
                      <w:szCs w:val="21"/>
                      <w:u w:val="single"/>
                      <w:lang w:val="en-US" w:eastAsia="zh-CN"/>
                    </w:rPr>
                    <w:t>2</w:t>
                  </w:r>
                  <w:r>
                    <w:rPr>
                      <w:rFonts w:hint="eastAsia" w:ascii="宋体" w:hAnsi="宋体"/>
                      <w:kern w:val="0"/>
                      <w:szCs w:val="21"/>
                    </w:rPr>
                    <w:t>年</w:t>
                  </w:r>
                  <w:r>
                    <w:rPr>
                      <w:rFonts w:hint="eastAsia" w:ascii="宋体" w:hAnsi="宋体"/>
                      <w:color w:val="FF0000"/>
                      <w:kern w:val="0"/>
                      <w:szCs w:val="21"/>
                    </w:rPr>
                    <w:t>(废标条款)</w:t>
                  </w:r>
                  <w:r>
                    <w:rPr>
                      <w:rFonts w:ascii="宋体" w:hAnsi="宋体"/>
                      <w:kern w:val="0"/>
                      <w:szCs w:val="21"/>
                    </w:rPr>
                    <w:t>,</w:t>
                  </w:r>
                  <w:r>
                    <w:rPr>
                      <w:rFonts w:hint="eastAsia" w:ascii="宋体" w:hAnsi="宋体"/>
                      <w:kern w:val="0"/>
                      <w:szCs w:val="21"/>
                    </w:rPr>
                    <w:t>终身维修。保修期内</w:t>
                  </w:r>
                  <w:r>
                    <w:rPr>
                      <w:rFonts w:ascii="宋体" w:hAnsi="宋体"/>
                      <w:kern w:val="0"/>
                      <w:szCs w:val="21"/>
                    </w:rPr>
                    <w:t>,</w:t>
                  </w:r>
                  <w:r>
                    <w:rPr>
                      <w:rFonts w:hint="eastAsia" w:ascii="宋体" w:hAnsi="宋体"/>
                      <w:kern w:val="0"/>
                      <w:szCs w:val="21"/>
                    </w:rPr>
                    <w:t>年度定期预防性维护保养次数应不少于</w:t>
                  </w:r>
                  <w:r>
                    <w:rPr>
                      <w:rFonts w:hint="eastAsia" w:ascii="宋体" w:hAnsi="宋体"/>
                      <w:bCs/>
                      <w:kern w:val="0"/>
                      <w:szCs w:val="21"/>
                      <w:u w:val="single"/>
                    </w:rPr>
                    <w:t xml:space="preserve">  2  </w:t>
                  </w:r>
                  <w:r>
                    <w:rPr>
                      <w:rFonts w:hint="eastAsia" w:ascii="宋体" w:hAnsi="宋体"/>
                      <w:kern w:val="0"/>
                      <w:szCs w:val="21"/>
                    </w:rPr>
                    <w:t>次。保修期内免费更换零配件、免工时费。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4" w:type="dxa"/>
                  <w:vMerge w:val="continue"/>
                  <w:vAlign w:val="center"/>
                </w:tcPr>
                <w:p>
                  <w:pPr>
                    <w:spacing w:line="300" w:lineRule="exact"/>
                    <w:jc w:val="center"/>
                    <w:rPr>
                      <w:b/>
                    </w:rPr>
                  </w:pPr>
                </w:p>
              </w:tc>
              <w:tc>
                <w:tcPr>
                  <w:tcW w:w="1620" w:type="dxa"/>
                  <w:vMerge w:val="continue"/>
                  <w:vAlign w:val="center"/>
                </w:tcPr>
                <w:p>
                  <w:pPr>
                    <w:spacing w:line="300" w:lineRule="exact"/>
                    <w:rPr>
                      <w:rFonts w:ascii="宋体" w:hAnsi="宋体"/>
                      <w:b/>
                      <w:kern w:val="0"/>
                      <w:szCs w:val="21"/>
                    </w:rPr>
                  </w:pPr>
                </w:p>
              </w:tc>
              <w:tc>
                <w:tcPr>
                  <w:tcW w:w="5058" w:type="dxa"/>
                </w:tcPr>
                <w:p>
                  <w:pPr>
                    <w:spacing w:line="300" w:lineRule="exact"/>
                    <w:rPr>
                      <w:bCs/>
                      <w:szCs w:val="21"/>
                    </w:rPr>
                  </w:pPr>
                  <w:r>
                    <w:rPr>
                      <w:rFonts w:hint="eastAsia" w:ascii="宋体" w:hAnsi="宋体"/>
                      <w:kern w:val="0"/>
                      <w:szCs w:val="21"/>
                    </w:rPr>
                    <w:t>1.2由设备制造商提供售后服务，</w:t>
                  </w:r>
                  <w:r>
                    <w:rPr>
                      <w:rFonts w:hint="eastAsia" w:ascii="宋体" w:hAnsi="宋体"/>
                      <w:bCs/>
                      <w:kern w:val="0"/>
                      <w:szCs w:val="21"/>
                      <w:u w:val="single"/>
                    </w:rPr>
                    <w:t xml:space="preserve">  2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34" w:type="dxa"/>
                  <w:vMerge w:val="continue"/>
                  <w:vAlign w:val="center"/>
                </w:tcPr>
                <w:p>
                  <w:pPr>
                    <w:spacing w:line="300" w:lineRule="exact"/>
                    <w:jc w:val="center"/>
                    <w:rPr>
                      <w:b/>
                    </w:rPr>
                  </w:pPr>
                </w:p>
              </w:tc>
              <w:tc>
                <w:tcPr>
                  <w:tcW w:w="1620" w:type="dxa"/>
                  <w:vMerge w:val="continue"/>
                  <w:vAlign w:val="center"/>
                </w:tcPr>
                <w:p>
                  <w:pPr>
                    <w:spacing w:line="300" w:lineRule="exact"/>
                    <w:rPr>
                      <w:rFonts w:ascii="宋体" w:hAnsi="宋体"/>
                      <w:b/>
                      <w:kern w:val="0"/>
                      <w:szCs w:val="21"/>
                    </w:rPr>
                  </w:pPr>
                </w:p>
              </w:tc>
              <w:tc>
                <w:tcPr>
                  <w:tcW w:w="5058" w:type="dxa"/>
                </w:tcPr>
                <w:p>
                  <w:pPr>
                    <w:spacing w:line="300" w:lineRule="exact"/>
                    <w:rPr>
                      <w:bCs/>
                      <w:szCs w:val="21"/>
                    </w:rPr>
                  </w:pPr>
                  <w:r>
                    <w:rPr>
                      <w:rFonts w:hint="eastAsia" w:ascii="宋体" w:hAnsi="宋体"/>
                      <w:kern w:val="0"/>
                      <w:szCs w:val="21"/>
                    </w:rPr>
                    <w:t>1.3投标人负责货物的终身维修，保证</w:t>
                  </w:r>
                  <w:r>
                    <w:rPr>
                      <w:rFonts w:hint="eastAsia" w:ascii="宋体" w:hAnsi="宋体"/>
                      <w:bCs/>
                      <w:kern w:val="0"/>
                      <w:szCs w:val="21"/>
                      <w:u w:val="single"/>
                    </w:rPr>
                    <w:t>终身</w:t>
                  </w:r>
                  <w:r>
                    <w:rPr>
                      <w:rFonts w:hint="eastAsia" w:ascii="宋体" w:hAnsi="宋体"/>
                      <w:kern w:val="0"/>
                      <w:szCs w:val="21"/>
                    </w:rPr>
                    <w:t>供应维修配件，</w:t>
                  </w:r>
                  <w:r>
                    <w:rPr>
                      <w:rFonts w:hint="eastAsia" w:ascii="宋体" w:hAnsi="宋体"/>
                      <w:bCs/>
                      <w:kern w:val="0"/>
                      <w:szCs w:val="21"/>
                      <w:u w:val="single"/>
                    </w:rPr>
                    <w:t xml:space="preserve">  3  </w:t>
                  </w:r>
                  <w:r>
                    <w:rPr>
                      <w:rFonts w:hint="eastAsia" w:ascii="宋体" w:hAnsi="宋体"/>
                      <w:kern w:val="0"/>
                      <w:szCs w:val="21"/>
                    </w:rPr>
                    <w:t>年内免费提供软件升级服务。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34" w:type="dxa"/>
                  <w:vAlign w:val="center"/>
                </w:tcPr>
                <w:p>
                  <w:pPr>
                    <w:spacing w:line="300" w:lineRule="exact"/>
                    <w:jc w:val="center"/>
                    <w:rPr>
                      <w:b/>
                    </w:rPr>
                  </w:pPr>
                  <w:r>
                    <w:rPr>
                      <w:rFonts w:hint="eastAsia"/>
                      <w:b/>
                    </w:rPr>
                    <w:t>2</w:t>
                  </w:r>
                </w:p>
              </w:tc>
              <w:tc>
                <w:tcPr>
                  <w:tcW w:w="1620" w:type="dxa"/>
                  <w:vAlign w:val="center"/>
                </w:tcPr>
                <w:p>
                  <w:pPr>
                    <w:spacing w:line="300" w:lineRule="exact"/>
                    <w:jc w:val="center"/>
                  </w:pPr>
                  <w:r>
                    <w:rPr>
                      <w:rFonts w:hint="eastAsia" w:ascii="宋体" w:hAnsi="宋体"/>
                      <w:b/>
                      <w:kern w:val="0"/>
                      <w:szCs w:val="21"/>
                    </w:rPr>
                    <w:t>质量保证</w:t>
                  </w:r>
                </w:p>
              </w:tc>
              <w:tc>
                <w:tcPr>
                  <w:tcW w:w="5058" w:type="dxa"/>
                </w:tcPr>
                <w:p>
                  <w:pPr>
                    <w:spacing w:line="300" w:lineRule="exact"/>
                    <w:rPr>
                      <w:rFonts w:ascii="宋体" w:hAnsi="宋体"/>
                      <w:color w:val="FF0000"/>
                      <w:kern w:val="0"/>
                      <w:szCs w:val="21"/>
                    </w:rPr>
                  </w:pPr>
                  <w:r>
                    <w:rPr>
                      <w:rFonts w:hint="eastAsia" w:ascii="宋体" w:hAnsi="宋体"/>
                      <w:kern w:val="0"/>
                      <w:szCs w:val="21"/>
                    </w:rPr>
                    <w:t>2.1在保修期内</w:t>
                  </w:r>
                  <w:r>
                    <w:rPr>
                      <w:rFonts w:ascii="宋体" w:hAnsi="宋体"/>
                      <w:kern w:val="0"/>
                      <w:szCs w:val="21"/>
                    </w:rPr>
                    <w:t>,</w:t>
                  </w:r>
                  <w:r>
                    <w:rPr>
                      <w:rFonts w:hint="eastAsia" w:ascii="宋体" w:hAnsi="宋体"/>
                      <w:kern w:val="0"/>
                      <w:szCs w:val="21"/>
                    </w:rPr>
                    <w:t xml:space="preserve"> 投标人应确保年开机率在</w:t>
                  </w:r>
                  <w:r>
                    <w:rPr>
                      <w:rFonts w:ascii="宋体" w:hAnsi="宋体"/>
                      <w:kern w:val="0"/>
                      <w:szCs w:val="21"/>
                    </w:rPr>
                    <w:t>95%</w:t>
                  </w:r>
                  <w:r>
                    <w:rPr>
                      <w:rFonts w:hint="eastAsia" w:ascii="宋体" w:hAnsi="宋体"/>
                      <w:kern w:val="0"/>
                      <w:szCs w:val="21"/>
                    </w:rPr>
                    <w:t>以上</w:t>
                  </w:r>
                  <w:r>
                    <w:rPr>
                      <w:rFonts w:ascii="宋体" w:hAnsi="宋体"/>
                      <w:kern w:val="0"/>
                      <w:szCs w:val="21"/>
                    </w:rPr>
                    <w:t xml:space="preserve">, </w:t>
                  </w:r>
                  <w:r>
                    <w:rPr>
                      <w:rFonts w:hint="eastAsia" w:ascii="宋体" w:hAnsi="宋体"/>
                      <w:kern w:val="0"/>
                      <w:szCs w:val="21"/>
                    </w:rPr>
                    <w:t>若不能达到此开机率，将作以下处理：</w:t>
                  </w:r>
                  <w:r>
                    <w:rPr>
                      <w:rFonts w:ascii="宋体" w:hAnsi="宋体"/>
                      <w:kern w:val="0"/>
                      <w:szCs w:val="21"/>
                    </w:rPr>
                    <w:t>a.</w:t>
                  </w:r>
                  <w:r>
                    <w:rPr>
                      <w:rFonts w:hint="eastAsia" w:ascii="宋体" w:hAnsi="宋体"/>
                      <w:kern w:val="0"/>
                      <w:szCs w:val="21"/>
                    </w:rPr>
                    <w:t xml:space="preserve"> 年开机率在</w:t>
                  </w:r>
                  <w:r>
                    <w:rPr>
                      <w:rFonts w:ascii="宋体" w:hAnsi="宋体"/>
                      <w:kern w:val="0"/>
                      <w:szCs w:val="21"/>
                    </w:rPr>
                    <w:t>90-95%</w:t>
                  </w:r>
                  <w:r>
                    <w:rPr>
                      <w:rFonts w:hint="eastAsia" w:ascii="宋体" w:hAnsi="宋体"/>
                      <w:kern w:val="0"/>
                      <w:szCs w:val="21"/>
                    </w:rPr>
                    <w:t>之间按一赔</w:t>
                  </w:r>
                  <w:r>
                    <w:rPr>
                      <w:rFonts w:hint="eastAsia" w:ascii="宋体" w:hAnsi="宋体"/>
                      <w:kern w:val="0"/>
                      <w:szCs w:val="21"/>
                      <w:u w:val="single"/>
                    </w:rPr>
                    <w:t xml:space="preserve">  二</w:t>
                  </w:r>
                  <w:r>
                    <w:rPr>
                      <w:rFonts w:hint="eastAsia" w:ascii="宋体" w:hAnsi="宋体"/>
                      <w:kern w:val="0"/>
                      <w:szCs w:val="21"/>
                    </w:rPr>
                    <w:t>延长保修期；</w:t>
                  </w:r>
                  <w:r>
                    <w:rPr>
                      <w:rFonts w:ascii="宋体" w:hAnsi="宋体"/>
                      <w:kern w:val="0"/>
                      <w:szCs w:val="21"/>
                    </w:rPr>
                    <w:t>b.</w:t>
                  </w:r>
                  <w:r>
                    <w:rPr>
                      <w:rFonts w:hint="eastAsia" w:ascii="宋体" w:hAnsi="宋体"/>
                      <w:kern w:val="0"/>
                      <w:szCs w:val="21"/>
                    </w:rPr>
                    <w:t xml:space="preserve"> 年开机率在</w:t>
                  </w:r>
                  <w:r>
                    <w:rPr>
                      <w:rFonts w:ascii="宋体" w:hAnsi="宋体"/>
                      <w:kern w:val="0"/>
                      <w:szCs w:val="21"/>
                    </w:rPr>
                    <w:t>85-90%</w:t>
                  </w:r>
                  <w:r>
                    <w:rPr>
                      <w:rFonts w:hint="eastAsia" w:ascii="宋体" w:hAnsi="宋体"/>
                      <w:kern w:val="0"/>
                      <w:szCs w:val="21"/>
                    </w:rPr>
                    <w:t>之间按一赔</w:t>
                  </w:r>
                  <w:r>
                    <w:rPr>
                      <w:rFonts w:hint="eastAsia" w:ascii="宋体" w:hAnsi="宋体"/>
                      <w:kern w:val="0"/>
                      <w:szCs w:val="21"/>
                      <w:u w:val="single"/>
                    </w:rPr>
                    <w:t xml:space="preserve">  五</w:t>
                  </w:r>
                  <w:r>
                    <w:rPr>
                      <w:rFonts w:hint="eastAsia" w:ascii="宋体" w:hAnsi="宋体"/>
                      <w:kern w:val="0"/>
                      <w:szCs w:val="21"/>
                    </w:rPr>
                    <w:t>延长保修期；</w:t>
                  </w:r>
                  <w:r>
                    <w:rPr>
                      <w:rFonts w:ascii="宋体" w:hAnsi="宋体"/>
                      <w:kern w:val="0"/>
                      <w:szCs w:val="21"/>
                    </w:rPr>
                    <w:t>c.</w:t>
                  </w:r>
                  <w:r>
                    <w:rPr>
                      <w:rFonts w:hint="eastAsia" w:ascii="宋体" w:hAnsi="宋体"/>
                      <w:kern w:val="0"/>
                      <w:szCs w:val="21"/>
                    </w:rPr>
                    <w:t xml:space="preserve"> 年开机率低于</w:t>
                  </w:r>
                  <w:r>
                    <w:rPr>
                      <w:rFonts w:ascii="宋体" w:hAnsi="宋体"/>
                      <w:kern w:val="0"/>
                      <w:szCs w:val="21"/>
                    </w:rPr>
                    <w:t>85%</w:t>
                  </w:r>
                  <w:r>
                    <w:rPr>
                      <w:rFonts w:hint="eastAsia" w:ascii="宋体" w:hAnsi="宋体"/>
                      <w:kern w:val="0"/>
                      <w:szCs w:val="21"/>
                    </w:rPr>
                    <w:t>，投标人必须无条件更换新机，并重新计算保修期，以及赔偿用户的直接经济损失和间接经济损失。注：年开机率=（365-停机天数）/365）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2" w:type="dxa"/>
                  <w:gridSpan w:val="3"/>
                </w:tcPr>
                <w:p>
                  <w:pPr>
                    <w:spacing w:line="300" w:lineRule="exact"/>
                    <w:rPr>
                      <w:b/>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restart"/>
                  <w:vAlign w:val="center"/>
                </w:tcPr>
                <w:p>
                  <w:pPr>
                    <w:spacing w:line="300" w:lineRule="exact"/>
                    <w:jc w:val="center"/>
                    <w:rPr>
                      <w:b/>
                    </w:rPr>
                  </w:pPr>
                  <w:r>
                    <w:rPr>
                      <w:rFonts w:hint="eastAsia"/>
                      <w:b/>
                    </w:rPr>
                    <w:t>1</w:t>
                  </w:r>
                </w:p>
              </w:tc>
              <w:tc>
                <w:tcPr>
                  <w:tcW w:w="1620" w:type="dxa"/>
                  <w:vMerge w:val="restart"/>
                  <w:vAlign w:val="center"/>
                </w:tcPr>
                <w:p>
                  <w:pPr>
                    <w:spacing w:line="300" w:lineRule="exact"/>
                    <w:jc w:val="center"/>
                    <w:rPr>
                      <w:b/>
                    </w:rPr>
                  </w:pPr>
                  <w:r>
                    <w:rPr>
                      <w:rFonts w:hint="eastAsia" w:ascii="宋体" w:hAnsi="宋体"/>
                      <w:b/>
                      <w:kern w:val="0"/>
                      <w:szCs w:val="21"/>
                    </w:rPr>
                    <w:t>维修零配件、消耗品和延续保修合同的报价</w:t>
                  </w:r>
                </w:p>
              </w:tc>
              <w:tc>
                <w:tcPr>
                  <w:tcW w:w="5058" w:type="dxa"/>
                </w:tcPr>
                <w:p>
                  <w:pPr>
                    <w:spacing w:line="300" w:lineRule="exact"/>
                    <w:rPr>
                      <w:rFonts w:ascii="宋体" w:hAnsi="宋体"/>
                      <w:kern w:val="0"/>
                      <w:szCs w:val="21"/>
                    </w:rPr>
                  </w:pPr>
                  <w:r>
                    <w:rPr>
                      <w:rFonts w:hint="eastAsia" w:ascii="宋体" w:hAnsi="宋体"/>
                      <w:kern w:val="0"/>
                      <w:szCs w:val="21"/>
                    </w:rPr>
                    <w:t>1.1由设备制造商提供售后服务，</w:t>
                  </w:r>
                  <w:r>
                    <w:rPr>
                      <w:rFonts w:hint="eastAsia" w:ascii="宋体" w:hAnsi="宋体"/>
                      <w:bCs/>
                      <w:kern w:val="0"/>
                      <w:szCs w:val="21"/>
                      <w:u w:val="single"/>
                    </w:rPr>
                    <w:t xml:space="preserve">  2  </w:t>
                  </w:r>
                  <w:r>
                    <w:rPr>
                      <w:rFonts w:hint="eastAsia" w:ascii="宋体" w:hAnsi="宋体"/>
                      <w:kern w:val="0"/>
                      <w:szCs w:val="21"/>
                    </w:rPr>
                    <w:t>小时内响应，</w:t>
                  </w:r>
                  <w:r>
                    <w:rPr>
                      <w:rFonts w:hint="eastAsia" w:ascii="宋体" w:hAnsi="宋体"/>
                      <w:bCs/>
                      <w:kern w:val="0"/>
                      <w:szCs w:val="21"/>
                      <w:u w:val="single"/>
                    </w:rPr>
                    <w:t xml:space="preserve">  24  </w:t>
                  </w:r>
                  <w:r>
                    <w:rPr>
                      <w:rFonts w:hint="eastAsia" w:ascii="宋体" w:hAnsi="宋体"/>
                      <w:kern w:val="0"/>
                      <w:szCs w:val="21"/>
                    </w:rPr>
                    <w:t>小时维修到位（不可抗力情况除外）。消耗品和零配件供应及时，特殊情况下可提供备用机。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spacing w:line="300" w:lineRule="exact"/>
                    <w:jc w:val="center"/>
                    <w:rPr>
                      <w:b/>
                    </w:rPr>
                  </w:pPr>
                </w:p>
              </w:tc>
              <w:tc>
                <w:tcPr>
                  <w:tcW w:w="1620" w:type="dxa"/>
                  <w:vMerge w:val="continue"/>
                  <w:vAlign w:val="center"/>
                </w:tcPr>
                <w:p>
                  <w:pPr>
                    <w:spacing w:line="300" w:lineRule="exact"/>
                    <w:jc w:val="center"/>
                    <w:rPr>
                      <w:rFonts w:ascii="宋体" w:hAnsi="宋体"/>
                      <w:b/>
                      <w:kern w:val="0"/>
                      <w:szCs w:val="21"/>
                    </w:rPr>
                  </w:pPr>
                </w:p>
              </w:tc>
              <w:tc>
                <w:tcPr>
                  <w:tcW w:w="5058" w:type="dxa"/>
                </w:tcPr>
                <w:p>
                  <w:pPr>
                    <w:spacing w:line="300" w:lineRule="exact"/>
                    <w:rPr>
                      <w:rFonts w:ascii="宋体" w:hAnsi="宋体"/>
                      <w:kern w:val="0"/>
                      <w:szCs w:val="21"/>
                    </w:rPr>
                  </w:pPr>
                  <w:r>
                    <w:rPr>
                      <w:rFonts w:hint="eastAsia" w:ascii="宋体" w:hAnsi="宋体"/>
                      <w:kern w:val="0"/>
                      <w:szCs w:val="21"/>
                    </w:rPr>
                    <w:t>1.2保修期满后，投标人应以优惠价供应维修零配件、消耗品和延续保修合同。价格最高的前5项零配件、消耗品和延续保修合同的报价明细必须填写于《零配件、消耗品和延续保修合同报价明清单》中。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spacing w:line="300" w:lineRule="exact"/>
                    <w:jc w:val="center"/>
                    <w:rPr>
                      <w:b/>
                    </w:rPr>
                  </w:pPr>
                </w:p>
              </w:tc>
              <w:tc>
                <w:tcPr>
                  <w:tcW w:w="1620" w:type="dxa"/>
                  <w:vMerge w:val="continue"/>
                </w:tcPr>
                <w:p>
                  <w:pPr>
                    <w:spacing w:line="300" w:lineRule="exact"/>
                    <w:rPr>
                      <w:b/>
                    </w:rPr>
                  </w:pPr>
                </w:p>
              </w:tc>
              <w:tc>
                <w:tcPr>
                  <w:tcW w:w="5058" w:type="dxa"/>
                </w:tcPr>
                <w:p>
                  <w:pPr>
                    <w:spacing w:line="300" w:lineRule="exact"/>
                    <w:rPr>
                      <w:rFonts w:ascii="宋体" w:hAnsi="宋体"/>
                      <w:kern w:val="0"/>
                      <w:szCs w:val="21"/>
                    </w:rPr>
                  </w:pPr>
                  <w:r>
                    <w:rPr>
                      <w:rFonts w:hint="eastAsia" w:ascii="宋体" w:hAnsi="宋体"/>
                      <w:kern w:val="0"/>
                      <w:szCs w:val="21"/>
                    </w:rPr>
                    <w:t>1.3采购人可与投标人就优惠价进行谈判，但优惠价不得高于投标人在投标文件的《零配件、消耗品和延续保修合同报价明清单》中承诺的维修零配件、消耗品和延续保修合同的报价。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rPr>
                      <w:b/>
                    </w:rPr>
                  </w:pPr>
                  <w:r>
                    <w:rPr>
                      <w:rFonts w:hint="eastAsia" w:ascii="宋体" w:hAnsi="宋体"/>
                      <w:kern w:val="0"/>
                      <w:szCs w:val="21"/>
                    </w:rPr>
                    <w:t>1.4设备制造商维修的货物经采购人验收合格，且设备制造商提供维修专用发票后，采购人支付维修费用。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rPr>
                      <w:b/>
                    </w:rPr>
                  </w:pPr>
                  <w:r>
                    <w:rPr>
                      <w:rFonts w:hint="eastAsia" w:ascii="宋体" w:hAnsi="宋体"/>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7512" w:type="dxa"/>
                  <w:gridSpan w:val="3"/>
                </w:tcPr>
                <w:p>
                  <w:pPr>
                    <w:rPr>
                      <w:b/>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834" w:type="dxa"/>
                  <w:vMerge w:val="restart"/>
                  <w:vAlign w:val="center"/>
                </w:tcPr>
                <w:p>
                  <w:pPr>
                    <w:jc w:val="center"/>
                    <w:rPr>
                      <w:b/>
                    </w:rPr>
                  </w:pPr>
                  <w:r>
                    <w:rPr>
                      <w:rFonts w:hint="eastAsia"/>
                      <w:b/>
                    </w:rPr>
                    <w:t>1</w:t>
                  </w:r>
                </w:p>
              </w:tc>
              <w:tc>
                <w:tcPr>
                  <w:tcW w:w="1620" w:type="dxa"/>
                  <w:vMerge w:val="restart"/>
                  <w:vAlign w:val="center"/>
                </w:tcPr>
                <w:p>
                  <w:pPr>
                    <w:jc w:val="center"/>
                  </w:pPr>
                  <w:r>
                    <w:rPr>
                      <w:rFonts w:hint="eastAsia" w:ascii="宋体" w:hAnsi="宋体"/>
                      <w:b/>
                      <w:szCs w:val="21"/>
                    </w:rPr>
                    <w:t>交货要求</w:t>
                  </w:r>
                </w:p>
              </w:tc>
              <w:tc>
                <w:tcPr>
                  <w:tcW w:w="5058" w:type="dxa"/>
                </w:tcPr>
                <w:p>
                  <w:pPr>
                    <w:rPr>
                      <w:b/>
                    </w:rPr>
                  </w:pPr>
                  <w:r>
                    <w:rPr>
                      <w:rFonts w:hint="eastAsia"/>
                      <w:bCs/>
                      <w:szCs w:val="21"/>
                    </w:rPr>
                    <w:t>1.1</w:t>
                  </w:r>
                  <w:r>
                    <w:rPr>
                      <w:rFonts w:hint="eastAsia" w:ascii="宋体" w:hAnsi="宋体"/>
                      <w:bCs/>
                      <w:kern w:val="0"/>
                      <w:szCs w:val="21"/>
                    </w:rPr>
                    <w:t>投标人在签订合同之日起</w:t>
                  </w:r>
                  <w:r>
                    <w:rPr>
                      <w:rFonts w:hint="eastAsia" w:ascii="宋体" w:hAnsi="宋体"/>
                      <w:bCs/>
                      <w:kern w:val="0"/>
                      <w:szCs w:val="21"/>
                      <w:u w:val="single"/>
                      <w:lang w:val="en-US" w:eastAsia="zh-CN"/>
                    </w:rPr>
                    <w:t>30</w:t>
                  </w:r>
                  <w:r>
                    <w:rPr>
                      <w:rFonts w:hint="eastAsia" w:ascii="宋体" w:hAnsi="宋体"/>
                      <w:bCs/>
                      <w:kern w:val="0"/>
                      <w:szCs w:val="21"/>
                    </w:rPr>
                    <w:t>天内交货</w:t>
                  </w:r>
                  <w:r>
                    <w:rPr>
                      <w:rFonts w:hint="eastAsia" w:ascii="宋体" w:hAnsi="宋体"/>
                      <w:color w:val="FF0000"/>
                      <w:kern w:val="0"/>
                      <w:szCs w:val="21"/>
                    </w:rPr>
                    <w:t>(废标条款)</w:t>
                  </w:r>
                  <w:r>
                    <w:rPr>
                      <w:rFonts w:hint="eastAsia" w:ascii="宋体" w:hAnsi="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834" w:type="dxa"/>
                  <w:vMerge w:val="continue"/>
                  <w:vAlign w:val="center"/>
                </w:tcPr>
                <w:p>
                  <w:pPr>
                    <w:jc w:val="center"/>
                    <w:rPr>
                      <w:b/>
                    </w:rPr>
                  </w:pPr>
                </w:p>
              </w:tc>
              <w:tc>
                <w:tcPr>
                  <w:tcW w:w="1620" w:type="dxa"/>
                  <w:vMerge w:val="continue"/>
                  <w:vAlign w:val="center"/>
                </w:tcPr>
                <w:p>
                  <w:pPr>
                    <w:jc w:val="center"/>
                  </w:pPr>
                </w:p>
              </w:tc>
              <w:tc>
                <w:tcPr>
                  <w:tcW w:w="5058" w:type="dxa"/>
                </w:tcPr>
                <w:p>
                  <w:pPr>
                    <w:rPr>
                      <w:bCs/>
                      <w:szCs w:val="21"/>
                    </w:rPr>
                  </w:pPr>
                  <w:r>
                    <w:rPr>
                      <w:rFonts w:hint="eastAsia"/>
                      <w:bCs/>
                      <w:szCs w:val="21"/>
                    </w:rPr>
                    <w:t>1.2投标人</w:t>
                  </w:r>
                  <w:r>
                    <w:rPr>
                      <w:rFonts w:hint="eastAsia" w:ascii="宋体" w:hAnsi="宋体"/>
                      <w:kern w:val="0"/>
                      <w:szCs w:val="21"/>
                    </w:rPr>
                    <w:t>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34" w:type="dxa"/>
                  <w:vMerge w:val="continue"/>
                  <w:vAlign w:val="center"/>
                </w:tcPr>
                <w:p>
                  <w:pPr>
                    <w:jc w:val="center"/>
                    <w:rPr>
                      <w:b/>
                    </w:rPr>
                  </w:pPr>
                </w:p>
              </w:tc>
              <w:tc>
                <w:tcPr>
                  <w:tcW w:w="1620" w:type="dxa"/>
                  <w:vMerge w:val="continue"/>
                  <w:vAlign w:val="center"/>
                </w:tcPr>
                <w:p>
                  <w:pPr>
                    <w:jc w:val="center"/>
                  </w:pPr>
                </w:p>
              </w:tc>
              <w:tc>
                <w:tcPr>
                  <w:tcW w:w="5058" w:type="dxa"/>
                </w:tcPr>
                <w:p>
                  <w:pPr>
                    <w:rPr>
                      <w:bCs/>
                      <w:szCs w:val="21"/>
                    </w:rPr>
                  </w:pPr>
                  <w:r>
                    <w:rPr>
                      <w:rFonts w:hint="eastAsia" w:ascii="宋体" w:hAnsi="宋体"/>
                      <w:spacing w:val="-3"/>
                      <w:szCs w:val="21"/>
                    </w:rPr>
                    <w:t>1.3提供的货物必须为全新、经检验合格的产品。产品如需要计量检定的应提供相关计量检定部门出具的合法检定报告。其中，进口设备必须具有</w:t>
                  </w:r>
                  <w:r>
                    <w:rPr>
                      <w:rFonts w:hint="eastAsia" w:ascii="宋体" w:hAnsi="宋体"/>
                      <w:kern w:val="0"/>
                      <w:szCs w:val="21"/>
                    </w:rPr>
                    <w:t>报关证明</w:t>
                  </w:r>
                  <w:r>
                    <w:rPr>
                      <w:rFonts w:hint="eastAsia" w:ascii="宋体" w:hAnsi="宋体"/>
                      <w:spacing w:val="-3"/>
                      <w:szCs w:val="21"/>
                    </w:rPr>
                    <w:t>文件、</w:t>
                  </w:r>
                  <w:r>
                    <w:rPr>
                      <w:rFonts w:hint="eastAsia" w:ascii="宋体" w:hAnsi="宋体"/>
                      <w:kern w:val="0"/>
                      <w:szCs w:val="21"/>
                    </w:rPr>
                    <w:t>原产地证明和</w:t>
                  </w:r>
                  <w:r>
                    <w:rPr>
                      <w:rFonts w:hint="eastAsia" w:ascii="宋体" w:hAnsi="宋体"/>
                      <w:spacing w:val="-3"/>
                      <w:szCs w:val="21"/>
                    </w:rPr>
                    <w:t>商检合格证明文件。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restart"/>
                  <w:vAlign w:val="center"/>
                </w:tcPr>
                <w:p>
                  <w:pPr>
                    <w:jc w:val="center"/>
                    <w:rPr>
                      <w:b/>
                    </w:rPr>
                  </w:pPr>
                  <w:r>
                    <w:rPr>
                      <w:rFonts w:hint="eastAsia"/>
                      <w:b/>
                    </w:rPr>
                    <w:t>2</w:t>
                  </w:r>
                </w:p>
              </w:tc>
              <w:tc>
                <w:tcPr>
                  <w:tcW w:w="1620" w:type="dxa"/>
                  <w:vMerge w:val="restart"/>
                  <w:vAlign w:val="center"/>
                </w:tcPr>
                <w:p>
                  <w:pPr>
                    <w:jc w:val="center"/>
                  </w:pPr>
                  <w:r>
                    <w:rPr>
                      <w:rFonts w:hint="eastAsia" w:ascii="宋体" w:hAnsi="宋体"/>
                      <w:b/>
                      <w:bCs/>
                      <w:kern w:val="0"/>
                      <w:szCs w:val="21"/>
                    </w:rPr>
                    <w:t>运输、安装和验收</w:t>
                  </w:r>
                </w:p>
              </w:tc>
              <w:tc>
                <w:tcPr>
                  <w:tcW w:w="5058" w:type="dxa"/>
                </w:tcPr>
                <w:p>
                  <w:pPr>
                    <w:spacing w:line="340" w:lineRule="exact"/>
                    <w:rPr>
                      <w:bCs/>
                      <w:szCs w:val="21"/>
                    </w:rPr>
                  </w:pPr>
                  <w:r>
                    <w:rPr>
                      <w:rFonts w:hint="eastAsia"/>
                      <w:bCs/>
                      <w:szCs w:val="21"/>
                    </w:rPr>
                    <w:t>2.1投标人</w:t>
                  </w:r>
                  <w:r>
                    <w:rPr>
                      <w:rFonts w:hint="eastAsia" w:ascii="宋体" w:hAnsi="宋体"/>
                      <w:bCs/>
                      <w:kern w:val="0"/>
                      <w:szCs w:val="21"/>
                    </w:rPr>
                    <w:t>负责将</w:t>
                  </w:r>
                  <w:r>
                    <w:rPr>
                      <w:rFonts w:hint="eastAsia" w:ascii="宋体" w:hAnsi="宋体"/>
                      <w:kern w:val="0"/>
                      <w:szCs w:val="21"/>
                    </w:rPr>
                    <w:t>货物</w:t>
                  </w:r>
                  <w:r>
                    <w:rPr>
                      <w:rFonts w:hint="eastAsia" w:ascii="宋体" w:hAnsi="宋体"/>
                      <w:bCs/>
                      <w:kern w:val="0"/>
                      <w:szCs w:val="21"/>
                    </w:rPr>
                    <w:t>安全无损运抵采购人指定地点,并承担设备的包装、运输、保险、装卸、安装调试、培训、商检及计量检测、关税、增值税和进口代理等费用。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tabs>
                      <w:tab w:val="left" w:pos="1260"/>
                    </w:tabs>
                    <w:spacing w:line="340" w:lineRule="exact"/>
                    <w:rPr>
                      <w:bCs/>
                      <w:szCs w:val="21"/>
                    </w:rPr>
                  </w:pPr>
                  <w:r>
                    <w:rPr>
                      <w:rFonts w:hint="eastAsia"/>
                      <w:bCs/>
                      <w:szCs w:val="21"/>
                    </w:rPr>
                    <w:t>2.2</w:t>
                  </w:r>
                  <w:r>
                    <w:rPr>
                      <w:rFonts w:hint="eastAsia" w:ascii="宋体" w:hAnsi="宋体"/>
                      <w:bCs/>
                      <w:kern w:val="0"/>
                      <w:szCs w:val="21"/>
                    </w:rPr>
                    <w:t>采购人有权检验或测试货物，以确认货物是否符合合同规格的要求，并且不承担额外的费用。如果发现所交货物与投标文件中所承诺的不符或存在质量、技术缺陷等</w:t>
                  </w:r>
                  <w:r>
                    <w:rPr>
                      <w:rFonts w:ascii="宋体" w:hAnsi="宋体"/>
                      <w:bCs/>
                      <w:kern w:val="0"/>
                      <w:szCs w:val="21"/>
                    </w:rPr>
                    <w:t>,</w:t>
                  </w:r>
                  <w:r>
                    <w:rPr>
                      <w:rFonts w:hint="eastAsia" w:ascii="宋体" w:hAnsi="宋体"/>
                      <w:bCs/>
                      <w:kern w:val="0"/>
                      <w:szCs w:val="21"/>
                    </w:rPr>
                    <w:t>采购人可以拒绝接收该货物</w:t>
                  </w:r>
                  <w:r>
                    <w:rPr>
                      <w:rFonts w:ascii="宋体" w:hAnsi="宋体"/>
                      <w:bCs/>
                      <w:kern w:val="0"/>
                      <w:szCs w:val="21"/>
                    </w:rPr>
                    <w:t>,</w:t>
                  </w:r>
                  <w:r>
                    <w:rPr>
                      <w:rFonts w:hint="eastAsia" w:ascii="宋体" w:hAnsi="宋体"/>
                      <w:bCs/>
                      <w:kern w:val="0"/>
                      <w:szCs w:val="21"/>
                    </w:rPr>
                    <w:t>投标人应在</w:t>
                  </w:r>
                  <w:r>
                    <w:rPr>
                      <w:rFonts w:hint="eastAsia" w:ascii="宋体" w:hAnsi="宋体"/>
                      <w:bCs/>
                      <w:kern w:val="0"/>
                      <w:szCs w:val="21"/>
                      <w:u w:val="single"/>
                    </w:rPr>
                    <w:t xml:space="preserve"> 3个工作日</w:t>
                  </w:r>
                  <w:r>
                    <w:rPr>
                      <w:rFonts w:hint="eastAsia" w:ascii="宋体" w:hAnsi="宋体"/>
                      <w:bCs/>
                      <w:kern w:val="0"/>
                      <w:szCs w:val="21"/>
                    </w:rPr>
                    <w:t>内采取补足、更换或退货等措施</w:t>
                  </w:r>
                  <w:r>
                    <w:rPr>
                      <w:rFonts w:ascii="宋体" w:hAnsi="宋体"/>
                      <w:bCs/>
                      <w:kern w:val="0"/>
                      <w:szCs w:val="21"/>
                    </w:rPr>
                    <w:t>,</w:t>
                  </w:r>
                  <w:r>
                    <w:rPr>
                      <w:rFonts w:hint="eastAsia" w:ascii="宋体" w:hAnsi="宋体"/>
                      <w:bCs/>
                      <w:kern w:val="0"/>
                      <w:szCs w:val="21"/>
                    </w:rPr>
                    <w:t>以满足规格的要求，由此发生的一切损失和费用由投标人承担。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tabs>
                      <w:tab w:val="left" w:pos="1260"/>
                    </w:tabs>
                    <w:spacing w:line="340" w:lineRule="exact"/>
                    <w:rPr>
                      <w:bCs/>
                      <w:szCs w:val="21"/>
                    </w:rPr>
                  </w:pPr>
                  <w:r>
                    <w:rPr>
                      <w:rFonts w:hint="eastAsia" w:ascii="宋体" w:hAnsi="宋体"/>
                      <w:spacing w:val="-3"/>
                      <w:szCs w:val="21"/>
                    </w:rPr>
                    <w:t>2.3投标人负责货物的现场安装和调试</w:t>
                  </w:r>
                  <w:r>
                    <w:rPr>
                      <w:rFonts w:ascii="宋体" w:hAnsi="宋体"/>
                      <w:spacing w:val="-3"/>
                      <w:szCs w:val="21"/>
                    </w:rPr>
                    <w:t>,</w:t>
                  </w:r>
                  <w:r>
                    <w:rPr>
                      <w:rFonts w:hint="eastAsia" w:ascii="宋体" w:hAnsi="宋体"/>
                      <w:spacing w:val="-3"/>
                      <w:szCs w:val="21"/>
                    </w:rPr>
                    <w:t>提供货物安装、调试和维修所需的专用工具和辅助材料。投标人应在货物运至指定地点后一周内开始安装调试</w:t>
                  </w:r>
                  <w:r>
                    <w:rPr>
                      <w:rFonts w:ascii="宋体" w:hAnsi="宋体"/>
                      <w:spacing w:val="-3"/>
                      <w:szCs w:val="21"/>
                    </w:rPr>
                    <w:t>,</w:t>
                  </w:r>
                  <w:r>
                    <w:rPr>
                      <w:rFonts w:hint="eastAsia" w:ascii="宋体" w:hAnsi="宋体"/>
                      <w:spacing w:val="-3"/>
                      <w:szCs w:val="21"/>
                    </w:rPr>
                    <w:t>并在</w:t>
                  </w:r>
                  <w:r>
                    <w:rPr>
                      <w:rFonts w:hint="eastAsia" w:ascii="宋体" w:hAnsi="宋体"/>
                      <w:bCs/>
                      <w:kern w:val="0"/>
                      <w:szCs w:val="21"/>
                      <w:u w:val="single"/>
                    </w:rPr>
                    <w:t xml:space="preserve">  7 </w:t>
                  </w:r>
                  <w:r>
                    <w:rPr>
                      <w:rFonts w:hint="eastAsia" w:ascii="宋体" w:hAnsi="宋体"/>
                      <w:spacing w:val="-3"/>
                      <w:szCs w:val="21"/>
                    </w:rPr>
                    <w:t>天内安装调试完毕。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rPr>
                  </w:pPr>
                </w:p>
              </w:tc>
              <w:tc>
                <w:tcPr>
                  <w:tcW w:w="1620" w:type="dxa"/>
                  <w:vMerge w:val="continue"/>
                </w:tcPr>
                <w:p>
                  <w:pPr>
                    <w:rPr>
                      <w:b/>
                    </w:rPr>
                  </w:pPr>
                </w:p>
              </w:tc>
              <w:tc>
                <w:tcPr>
                  <w:tcW w:w="5058" w:type="dxa"/>
                </w:tcPr>
                <w:p>
                  <w:pPr>
                    <w:tabs>
                      <w:tab w:val="left" w:pos="1260"/>
                    </w:tabs>
                    <w:spacing w:line="340" w:lineRule="exact"/>
                    <w:rPr>
                      <w:bCs/>
                      <w:szCs w:val="21"/>
                    </w:rPr>
                  </w:pPr>
                  <w:r>
                    <w:rPr>
                      <w:rFonts w:hint="eastAsia" w:ascii="宋体" w:hAnsi="宋体"/>
                      <w:spacing w:val="-3"/>
                      <w:szCs w:val="21"/>
                    </w:rPr>
                    <w:t>2.4由投标人代表和采购人组成验收小组对产品进行验收。验收标准按照国家规定标准执行。经检验设备正常运作后签署验收报告</w:t>
                  </w:r>
                  <w:r>
                    <w:rPr>
                      <w:rFonts w:ascii="宋体" w:hAnsi="宋体"/>
                      <w:spacing w:val="-3"/>
                      <w:szCs w:val="21"/>
                    </w:rPr>
                    <w:t>,</w:t>
                  </w:r>
                  <w:r>
                    <w:rPr>
                      <w:rFonts w:hint="eastAsia" w:ascii="宋体" w:hAnsi="宋体"/>
                      <w:spacing w:val="-3"/>
                      <w:szCs w:val="21"/>
                    </w:rPr>
                    <w:t>产品保修期自验收合格之日起算。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834" w:type="dxa"/>
                  <w:vAlign w:val="center"/>
                </w:tcPr>
                <w:p>
                  <w:pPr>
                    <w:jc w:val="center"/>
                    <w:rPr>
                      <w:b/>
                    </w:rPr>
                  </w:pPr>
                  <w:r>
                    <w:rPr>
                      <w:rFonts w:hint="eastAsia"/>
                      <w:b/>
                    </w:rPr>
                    <w:t>3</w:t>
                  </w:r>
                </w:p>
              </w:tc>
              <w:tc>
                <w:tcPr>
                  <w:tcW w:w="1620" w:type="dxa"/>
                  <w:vAlign w:val="center"/>
                </w:tcPr>
                <w:p>
                  <w:pPr>
                    <w:jc w:val="center"/>
                    <w:rPr>
                      <w:b/>
                    </w:rPr>
                  </w:pPr>
                  <w:r>
                    <w:rPr>
                      <w:rFonts w:hint="eastAsia" w:ascii="宋体" w:hAnsi="宋体"/>
                      <w:b/>
                      <w:kern w:val="0"/>
                      <w:szCs w:val="21"/>
                    </w:rPr>
                    <w:t>培训</w:t>
                  </w:r>
                </w:p>
              </w:tc>
              <w:tc>
                <w:tcPr>
                  <w:tcW w:w="5058" w:type="dxa"/>
                </w:tcPr>
                <w:p>
                  <w:pPr>
                    <w:rPr>
                      <w:b/>
                    </w:rPr>
                  </w:pPr>
                  <w:r>
                    <w:rPr>
                      <w:rFonts w:hint="eastAsia" w:ascii="宋体" w:hAnsi="宋体"/>
                      <w:bCs/>
                      <w:kern w:val="0"/>
                      <w:szCs w:val="21"/>
                    </w:rPr>
                    <w:t>3.1中标人应派专业技术人员免费对采购单位指定人员进行定期培训及指导，直至其完全掌握设备的基本故障处理技术。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restart"/>
                  <w:vAlign w:val="center"/>
                </w:tcPr>
                <w:p>
                  <w:pPr>
                    <w:jc w:val="center"/>
                    <w:rPr>
                      <w:rFonts w:ascii="宋体" w:hAnsi="宋体"/>
                      <w:b/>
                      <w:kern w:val="0"/>
                      <w:szCs w:val="21"/>
                    </w:rPr>
                  </w:pPr>
                  <w:r>
                    <w:rPr>
                      <w:rFonts w:hint="eastAsia" w:ascii="宋体" w:hAnsi="宋体"/>
                      <w:b/>
                      <w:kern w:val="0"/>
                      <w:szCs w:val="21"/>
                    </w:rPr>
                    <w:t>4</w:t>
                  </w:r>
                </w:p>
              </w:tc>
              <w:tc>
                <w:tcPr>
                  <w:tcW w:w="1620" w:type="dxa"/>
                  <w:vMerge w:val="restart"/>
                  <w:vAlign w:val="center"/>
                </w:tcPr>
                <w:p>
                  <w:pPr>
                    <w:tabs>
                      <w:tab w:val="left" w:pos="1260"/>
                    </w:tabs>
                    <w:spacing w:line="340" w:lineRule="exact"/>
                    <w:jc w:val="center"/>
                    <w:rPr>
                      <w:rFonts w:ascii="宋体" w:hAnsi="宋体"/>
                      <w:b/>
                      <w:kern w:val="0"/>
                      <w:szCs w:val="21"/>
                    </w:rPr>
                  </w:pPr>
                  <w:r>
                    <w:rPr>
                      <w:rFonts w:hint="eastAsia" w:ascii="宋体" w:hAnsi="宋体"/>
                      <w:b/>
                      <w:kern w:val="0"/>
                      <w:szCs w:val="21"/>
                    </w:rPr>
                    <w:t>知识产权</w:t>
                  </w:r>
                </w:p>
              </w:tc>
              <w:tc>
                <w:tcPr>
                  <w:tcW w:w="5058" w:type="dxa"/>
                </w:tcPr>
                <w:p>
                  <w:pPr>
                    <w:tabs>
                      <w:tab w:val="left" w:pos="1260"/>
                    </w:tabs>
                    <w:spacing w:line="340" w:lineRule="exact"/>
                    <w:rPr>
                      <w:rFonts w:ascii="宋体" w:hAnsi="宋体"/>
                      <w:kern w:val="0"/>
                      <w:szCs w:val="21"/>
                    </w:rPr>
                  </w:pPr>
                  <w:r>
                    <w:rPr>
                      <w:rFonts w:hint="eastAsia" w:ascii="宋体" w:hAnsi="宋体"/>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trPr>
              <w:tc>
                <w:tcPr>
                  <w:tcW w:w="834" w:type="dxa"/>
                  <w:vMerge w:val="continue"/>
                  <w:vAlign w:val="center"/>
                </w:tcPr>
                <w:p>
                  <w:pPr>
                    <w:jc w:val="center"/>
                    <w:rPr>
                      <w:rFonts w:ascii="宋体" w:hAnsi="宋体"/>
                      <w:b/>
                      <w:kern w:val="0"/>
                      <w:szCs w:val="21"/>
                    </w:rPr>
                  </w:pPr>
                </w:p>
              </w:tc>
              <w:tc>
                <w:tcPr>
                  <w:tcW w:w="1620" w:type="dxa"/>
                  <w:vMerge w:val="continue"/>
                  <w:vAlign w:val="center"/>
                </w:tcPr>
                <w:p>
                  <w:pPr>
                    <w:jc w:val="center"/>
                    <w:rPr>
                      <w:rFonts w:ascii="宋体" w:hAnsi="宋体"/>
                      <w:b/>
                      <w:kern w:val="0"/>
                      <w:szCs w:val="21"/>
                    </w:rPr>
                  </w:pPr>
                </w:p>
              </w:tc>
              <w:tc>
                <w:tcPr>
                  <w:tcW w:w="5058" w:type="dxa"/>
                </w:tcPr>
                <w:p>
                  <w:pPr>
                    <w:rPr>
                      <w:rFonts w:ascii="宋体" w:hAnsi="宋体"/>
                      <w:kern w:val="0"/>
                      <w:szCs w:val="21"/>
                    </w:rPr>
                  </w:pPr>
                  <w:r>
                    <w:rPr>
                      <w:rFonts w:hint="eastAsia" w:ascii="宋体" w:hAnsi="宋体"/>
                      <w:kern w:val="0"/>
                      <w:szCs w:val="21"/>
                    </w:rPr>
                    <w:t>4.2采购人购买产品后，有权对该产品与其他设备进行配套、整合或适当改进，而免受侵犯专利权的起诉。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34" w:type="dxa"/>
                  <w:vAlign w:val="center"/>
                </w:tcPr>
                <w:p>
                  <w:pPr>
                    <w:jc w:val="center"/>
                    <w:rPr>
                      <w:b/>
                    </w:rPr>
                  </w:pPr>
                  <w:r>
                    <w:rPr>
                      <w:rFonts w:hint="eastAsia"/>
                      <w:b/>
                    </w:rPr>
                    <w:t>5</w:t>
                  </w:r>
                </w:p>
              </w:tc>
              <w:tc>
                <w:tcPr>
                  <w:tcW w:w="1620" w:type="dxa"/>
                  <w:vAlign w:val="center"/>
                </w:tcPr>
                <w:p>
                  <w:pPr>
                    <w:jc w:val="center"/>
                    <w:rPr>
                      <w:rFonts w:ascii="宋体" w:hAnsi="宋体"/>
                      <w:b/>
                      <w:bCs/>
                      <w:kern w:val="0"/>
                      <w:szCs w:val="21"/>
                    </w:rPr>
                  </w:pPr>
                  <w:r>
                    <w:rPr>
                      <w:rFonts w:hint="eastAsia" w:ascii="宋体" w:hAnsi="宋体"/>
                      <w:b/>
                      <w:bCs/>
                      <w:kern w:val="0"/>
                      <w:szCs w:val="21"/>
                    </w:rPr>
                    <w:t>付款方式</w:t>
                  </w:r>
                </w:p>
              </w:tc>
              <w:tc>
                <w:tcPr>
                  <w:tcW w:w="5058" w:type="dxa"/>
                </w:tcPr>
                <w:p>
                  <w:pPr>
                    <w:tabs>
                      <w:tab w:val="left" w:pos="1260"/>
                    </w:tabs>
                    <w:spacing w:line="340" w:lineRule="exact"/>
                    <w:rPr>
                      <w:bCs/>
                      <w:szCs w:val="21"/>
                    </w:rPr>
                  </w:pPr>
                  <w:r>
                    <w:rPr>
                      <w:rFonts w:hint="eastAsia" w:ascii="宋体" w:hAnsi="宋体"/>
                      <w:kern w:val="0"/>
                      <w:szCs w:val="21"/>
                    </w:rPr>
                    <w:t>5.1货到指定地点、验收合格并提供全额发票后支付95%，5%余款作为质保金。质保金在保修期结束后，经采购人确认产品质量无问题后支付。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5" w:hRule="atLeast"/>
              </w:trPr>
              <w:tc>
                <w:tcPr>
                  <w:tcW w:w="834" w:type="dxa"/>
                  <w:vMerge w:val="restart"/>
                  <w:vAlign w:val="center"/>
                </w:tcPr>
                <w:p>
                  <w:pPr>
                    <w:jc w:val="center"/>
                    <w:rPr>
                      <w:b/>
                      <w:szCs w:val="21"/>
                    </w:rPr>
                  </w:pPr>
                  <w:r>
                    <w:rPr>
                      <w:rFonts w:hint="eastAsia"/>
                      <w:b/>
                      <w:szCs w:val="21"/>
                    </w:rPr>
                    <w:t>6</w:t>
                  </w:r>
                </w:p>
              </w:tc>
              <w:tc>
                <w:tcPr>
                  <w:tcW w:w="1620" w:type="dxa"/>
                  <w:vMerge w:val="restart"/>
                  <w:vAlign w:val="center"/>
                </w:tcPr>
                <w:p>
                  <w:pPr>
                    <w:tabs>
                      <w:tab w:val="left" w:pos="1260"/>
                    </w:tabs>
                    <w:spacing w:line="340" w:lineRule="exact"/>
                    <w:jc w:val="center"/>
                    <w:rPr>
                      <w:rFonts w:ascii="宋体" w:hAnsi="宋体"/>
                      <w:b/>
                      <w:kern w:val="0"/>
                      <w:szCs w:val="21"/>
                    </w:rPr>
                  </w:pPr>
                  <w:r>
                    <w:rPr>
                      <w:rFonts w:hint="eastAsia" w:ascii="宋体" w:hAnsi="宋体"/>
                      <w:b/>
                      <w:kern w:val="0"/>
                      <w:szCs w:val="21"/>
                    </w:rPr>
                    <w:t>违约责任</w:t>
                  </w:r>
                </w:p>
              </w:tc>
              <w:tc>
                <w:tcPr>
                  <w:tcW w:w="5058" w:type="dxa"/>
                </w:tcPr>
                <w:p>
                  <w:pPr>
                    <w:rPr>
                      <w:rFonts w:ascii="宋体" w:hAnsi="宋体"/>
                      <w:bCs/>
                      <w:kern w:val="0"/>
                      <w:szCs w:val="21"/>
                    </w:rPr>
                  </w:pPr>
                  <w:r>
                    <w:rPr>
                      <w:rFonts w:hint="eastAsia" w:ascii="宋体" w:hAnsi="宋体"/>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34" w:type="dxa"/>
                  <w:vMerge w:val="continue"/>
                  <w:vAlign w:val="center"/>
                </w:tcPr>
                <w:p>
                  <w:pPr>
                    <w:jc w:val="center"/>
                    <w:rPr>
                      <w:b/>
                      <w:szCs w:val="21"/>
                    </w:rPr>
                  </w:pPr>
                </w:p>
              </w:tc>
              <w:tc>
                <w:tcPr>
                  <w:tcW w:w="1620" w:type="dxa"/>
                  <w:vMerge w:val="continue"/>
                  <w:vAlign w:val="center"/>
                </w:tcPr>
                <w:p>
                  <w:pPr>
                    <w:jc w:val="center"/>
                    <w:rPr>
                      <w:rFonts w:ascii="仿宋_GB2312" w:hAnsi="宋体" w:eastAsia="仿宋_GB2312"/>
                      <w:b/>
                      <w:kern w:val="0"/>
                      <w:szCs w:val="21"/>
                    </w:rPr>
                  </w:pPr>
                </w:p>
              </w:tc>
              <w:tc>
                <w:tcPr>
                  <w:tcW w:w="5058" w:type="dxa"/>
                </w:tcPr>
                <w:p>
                  <w:pPr>
                    <w:rPr>
                      <w:rFonts w:ascii="宋体" w:hAnsi="宋体"/>
                      <w:bCs/>
                      <w:kern w:val="0"/>
                      <w:szCs w:val="21"/>
                    </w:rPr>
                  </w:pPr>
                  <w:r>
                    <w:rPr>
                      <w:rFonts w:hint="eastAsia" w:ascii="宋体" w:hAnsi="宋体"/>
                      <w:bCs/>
                      <w:kern w:val="0"/>
                      <w:szCs w:val="21"/>
                    </w:rPr>
                    <w:t>6.2投标人所交设备的品种、型号、规格、质量、功能、技术参数等方面不能实质性满足招标文件要约的，采购人有权拒绝收货，投标人向采购人偿付项目采购金额千分之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834" w:type="dxa"/>
                  <w:vMerge w:val="continue"/>
                  <w:vAlign w:val="center"/>
                </w:tcPr>
                <w:p>
                  <w:pPr>
                    <w:jc w:val="center"/>
                    <w:rPr>
                      <w:b/>
                      <w:szCs w:val="21"/>
                    </w:rPr>
                  </w:pPr>
                </w:p>
              </w:tc>
              <w:tc>
                <w:tcPr>
                  <w:tcW w:w="1620" w:type="dxa"/>
                  <w:vMerge w:val="continue"/>
                  <w:vAlign w:val="center"/>
                </w:tcPr>
                <w:p>
                  <w:pPr>
                    <w:jc w:val="center"/>
                    <w:rPr>
                      <w:rFonts w:ascii="仿宋_GB2312" w:hAnsi="宋体" w:eastAsia="仿宋_GB2312"/>
                      <w:b/>
                      <w:kern w:val="0"/>
                      <w:szCs w:val="21"/>
                    </w:rPr>
                  </w:pPr>
                </w:p>
              </w:tc>
              <w:tc>
                <w:tcPr>
                  <w:tcW w:w="5058" w:type="dxa"/>
                </w:tcPr>
                <w:p>
                  <w:pPr>
                    <w:rPr>
                      <w:rFonts w:ascii="宋体" w:hAnsi="宋体"/>
                      <w:bCs/>
                      <w:kern w:val="0"/>
                      <w:szCs w:val="21"/>
                    </w:rPr>
                  </w:pPr>
                  <w:r>
                    <w:rPr>
                      <w:rFonts w:hint="eastAsia" w:ascii="宋体" w:hAnsi="宋体"/>
                      <w:bCs/>
                      <w:kern w:val="0"/>
                      <w:szCs w:val="21"/>
                    </w:rPr>
                    <w:t>6.3投标人不能交付设备的，投标人向采购人偿付项目采购金额千分之</w:t>
                  </w:r>
                  <w:r>
                    <w:rPr>
                      <w:rFonts w:hint="eastAsia" w:ascii="宋体" w:hAnsi="宋体"/>
                      <w:bCs/>
                      <w:kern w:val="0"/>
                      <w:szCs w:val="21"/>
                      <w:u w:val="single"/>
                    </w:rPr>
                    <w:t xml:space="preserve">  十 </w:t>
                  </w:r>
                  <w:r>
                    <w:rPr>
                      <w:rFonts w:hint="eastAsia" w:ascii="宋体" w:hAnsi="宋体"/>
                      <w:bCs/>
                      <w:kern w:val="0"/>
                      <w:szCs w:val="21"/>
                    </w:rPr>
                    <w:t>（千分之十以上千分之二十以下）的违约金；造成严重后果的，根据《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》第五十七条第（二）款规定，由主管部门对中标人进行处罚。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Merge w:val="continue"/>
                  <w:vAlign w:val="center"/>
                </w:tcPr>
                <w:p>
                  <w:pPr>
                    <w:jc w:val="center"/>
                    <w:rPr>
                      <w:b/>
                      <w:szCs w:val="21"/>
                    </w:rPr>
                  </w:pPr>
                </w:p>
              </w:tc>
              <w:tc>
                <w:tcPr>
                  <w:tcW w:w="1620" w:type="dxa"/>
                  <w:vMerge w:val="continue"/>
                  <w:vAlign w:val="center"/>
                </w:tcPr>
                <w:p>
                  <w:pPr>
                    <w:jc w:val="center"/>
                    <w:rPr>
                      <w:rFonts w:ascii="仿宋_GB2312" w:hAnsi="宋体" w:eastAsia="仿宋_GB2312"/>
                      <w:b/>
                      <w:kern w:val="0"/>
                      <w:szCs w:val="21"/>
                    </w:rPr>
                  </w:pPr>
                </w:p>
              </w:tc>
              <w:tc>
                <w:tcPr>
                  <w:tcW w:w="5058" w:type="dxa"/>
                </w:tcPr>
                <w:p>
                  <w:pPr>
                    <w:rPr>
                      <w:rFonts w:ascii="宋体" w:hAnsi="宋体"/>
                      <w:bCs/>
                      <w:kern w:val="0"/>
                      <w:szCs w:val="21"/>
                    </w:rPr>
                  </w:pPr>
                  <w:r>
                    <w:rPr>
                      <w:rFonts w:hint="eastAsia" w:ascii="宋体" w:hAnsi="宋体"/>
                      <w:bCs/>
                      <w:kern w:val="0"/>
                      <w:szCs w:val="21"/>
                    </w:rPr>
                    <w:t>6.4投标人逾期未交设备的，投标人向采购人每日偿付设备款千分之</w:t>
                  </w:r>
                  <w:r>
                    <w:rPr>
                      <w:rFonts w:hint="eastAsia" w:ascii="宋体" w:hAnsi="宋体"/>
                      <w:bCs/>
                      <w:kern w:val="0"/>
                      <w:szCs w:val="21"/>
                      <w:u w:val="single"/>
                    </w:rPr>
                    <w:t xml:space="preserve">  五  </w:t>
                  </w:r>
                  <w:r>
                    <w:rPr>
                      <w:rFonts w:hint="eastAsia" w:ascii="宋体" w:hAnsi="宋体"/>
                      <w:bCs/>
                      <w:kern w:val="0"/>
                      <w:szCs w:val="21"/>
                    </w:rPr>
                    <w:t>的违约金。投标人超过交货期限</w:t>
                  </w:r>
                  <w:r>
                    <w:rPr>
                      <w:rFonts w:hint="eastAsia" w:ascii="宋体" w:hAnsi="宋体"/>
                      <w:bCs/>
                      <w:kern w:val="0"/>
                      <w:szCs w:val="21"/>
                      <w:u w:val="single"/>
                    </w:rPr>
                    <w:t xml:space="preserve"> 30  </w:t>
                  </w:r>
                  <w:r>
                    <w:rPr>
                      <w:rFonts w:hint="eastAsia" w:ascii="宋体" w:hAnsi="宋体"/>
                      <w:bCs/>
                      <w:kern w:val="0"/>
                      <w:szCs w:val="21"/>
                    </w:rPr>
                    <w:t>日仍未交货，采购人有权解除合同。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834" w:type="dxa"/>
                  <w:vMerge w:val="continue"/>
                  <w:vAlign w:val="center"/>
                </w:tcPr>
                <w:p>
                  <w:pPr>
                    <w:jc w:val="center"/>
                    <w:rPr>
                      <w:b/>
                      <w:szCs w:val="21"/>
                    </w:rPr>
                  </w:pPr>
                </w:p>
              </w:tc>
              <w:tc>
                <w:tcPr>
                  <w:tcW w:w="1620" w:type="dxa"/>
                  <w:vMerge w:val="continue"/>
                  <w:vAlign w:val="center"/>
                </w:tcPr>
                <w:p>
                  <w:pPr>
                    <w:jc w:val="center"/>
                    <w:rPr>
                      <w:rFonts w:ascii="仿宋_GB2312" w:hAnsi="宋体" w:eastAsia="仿宋_GB2312"/>
                      <w:b/>
                      <w:kern w:val="0"/>
                      <w:szCs w:val="21"/>
                    </w:rPr>
                  </w:pPr>
                </w:p>
              </w:tc>
              <w:tc>
                <w:tcPr>
                  <w:tcW w:w="5058" w:type="dxa"/>
                </w:tcPr>
                <w:p>
                  <w:pPr>
                    <w:rPr>
                      <w:rFonts w:ascii="宋体" w:hAnsi="宋体"/>
                      <w:bCs/>
                      <w:kern w:val="0"/>
                      <w:szCs w:val="21"/>
                    </w:rPr>
                  </w:pPr>
                  <w:r>
                    <w:rPr>
                      <w:rFonts w:hint="eastAsia" w:ascii="宋体" w:hAnsi="宋体"/>
                      <w:bCs/>
                      <w:kern w:val="0"/>
                      <w:szCs w:val="21"/>
                    </w:rPr>
                    <w:t>6.5违约金先从由投标人履约保证金中扣除，若有不足部分则由中标人补齐。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4" w:type="dxa"/>
                  <w:vAlign w:val="center"/>
                </w:tcPr>
                <w:p>
                  <w:pPr>
                    <w:jc w:val="center"/>
                    <w:rPr>
                      <w:b/>
                    </w:rPr>
                  </w:pPr>
                  <w:r>
                    <w:rPr>
                      <w:rFonts w:hint="eastAsia"/>
                      <w:b/>
                    </w:rPr>
                    <w:t>7</w:t>
                  </w:r>
                </w:p>
              </w:tc>
              <w:tc>
                <w:tcPr>
                  <w:tcW w:w="1620" w:type="dxa"/>
                  <w:vAlign w:val="center"/>
                </w:tcPr>
                <w:p>
                  <w:pPr>
                    <w:jc w:val="center"/>
                    <w:rPr>
                      <w:rFonts w:ascii="宋体" w:hAnsi="宋体"/>
                      <w:b/>
                      <w:kern w:val="0"/>
                      <w:szCs w:val="21"/>
                    </w:rPr>
                  </w:pPr>
                  <w:r>
                    <w:rPr>
                      <w:rFonts w:hint="eastAsia" w:ascii="宋体" w:hAnsi="宋体"/>
                      <w:b/>
                      <w:kern w:val="0"/>
                      <w:szCs w:val="21"/>
                    </w:rPr>
                    <w:t>其他</w:t>
                  </w:r>
                </w:p>
              </w:tc>
              <w:tc>
                <w:tcPr>
                  <w:tcW w:w="5058" w:type="dxa"/>
                  <w:vAlign w:val="center"/>
                </w:tcPr>
                <w:p>
                  <w:pPr>
                    <w:rPr>
                      <w:b/>
                    </w:rPr>
                  </w:pPr>
                  <w:r>
                    <w:rPr>
                      <w:rFonts w:hint="eastAsia"/>
                      <w:bCs/>
                      <w:szCs w:val="21"/>
                    </w:rPr>
                    <w:t>7.1投标人应按其投标文件中的承诺，进行其他售后服务工作。</w:t>
                  </w:r>
                </w:p>
              </w:tc>
            </w:tr>
          </w:tbl>
          <w:p/>
          <w:p>
            <w:r>
              <w:rPr>
                <w:rFonts w:hint="eastAsia"/>
              </w:rPr>
              <w:t>备注：</w:t>
            </w:r>
          </w:p>
          <w:p>
            <w:r>
              <w:rPr>
                <w:rFonts w:hint="eastAsia"/>
              </w:rPr>
              <w:t xml:space="preserve">1. “（一）免费保修期内售后服务要求”部分，请详细列明免费保修期内的售后服务要求，内容包括但不限于免费保修期限、售后服务人员配备、技术培训方案、质量保证、违约承诺、维修响应及故障解决时间、方案等。 </w:t>
            </w:r>
          </w:p>
          <w:p>
            <w:r>
              <w:rPr>
                <w:rFonts w:hint="eastAsia"/>
              </w:rPr>
              <w:t>2. “（二）免费保修期外售后服务要求”部分，请详细列明免费保修期外的售后服务要求，内容包括但不限于零配件的优惠率、维修响应及故障解决时间、方案、提供的服务等。</w:t>
            </w:r>
          </w:p>
          <w:p>
            <w:pPr>
              <w:widowControl/>
              <w:jc w:val="left"/>
              <w:rPr>
                <w:rFonts w:ascii="宋体" w:hAnsi="宋体" w:eastAsia="宋体" w:cs="宋体"/>
                <w:kern w:val="0"/>
                <w:sz w:val="20"/>
                <w:szCs w:val="20"/>
              </w:rPr>
            </w:pPr>
            <w:r>
              <w:rPr>
                <w:rFonts w:hint="eastAsia"/>
              </w:rPr>
              <w:t>3. “（三）其他商务要求”部分，如有补充，请详细列明。</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b/>
                <w:bCs/>
                <w:kern w:val="0"/>
                <w:sz w:val="20"/>
                <w:szCs w:val="20"/>
              </w:rPr>
            </w:pPr>
            <w:r>
              <w:rPr>
                <w:rFonts w:hint="eastAsia" w:ascii="宋体" w:hAnsi="宋体" w:eastAsia="宋体" w:cs="宋体"/>
                <w:b/>
                <w:bCs/>
                <w:kern w:val="0"/>
                <w:sz w:val="20"/>
                <w:szCs w:val="20"/>
              </w:rPr>
              <w:t>技术规格偏离表</w:t>
            </w:r>
          </w:p>
        </w:tc>
        <w:tc>
          <w:tcPr>
            <w:tcW w:w="9468" w:type="dxa"/>
            <w:gridSpan w:val="3"/>
            <w:tcBorders>
              <w:top w:val="single" w:color="auto" w:sz="6" w:space="0"/>
              <w:left w:val="single" w:color="auto" w:sz="6" w:space="0"/>
              <w:bottom w:val="nil"/>
              <w:right w:val="nil"/>
            </w:tcBorders>
            <w:vAlign w:val="center"/>
          </w:tcPr>
          <w:p>
            <w:pPr>
              <w:widowControl/>
              <w:jc w:val="left"/>
              <w:rPr>
                <w:rFonts w:ascii="宋体" w:hAnsi="宋体" w:eastAsia="宋体" w:cs="宋体"/>
                <w:b/>
                <w:color w:val="FF0000"/>
                <w:kern w:val="0"/>
                <w:szCs w:val="20"/>
              </w:rPr>
            </w:pPr>
            <w:r>
              <w:rPr>
                <w:rFonts w:hint="eastAsia" w:ascii="宋体" w:hAnsi="宋体" w:eastAsia="宋体" w:cs="宋体"/>
                <w:b/>
                <w:color w:val="FF0000"/>
                <w:kern w:val="0"/>
                <w:szCs w:val="20"/>
              </w:rPr>
              <w:t>说明：请根据所填的“具体技术要求”详细填写下表的“序号”、“货物名称”、“招标技术要求”方面的内容</w:t>
            </w:r>
          </w:p>
          <w:tbl>
            <w:tblPr>
              <w:tblStyle w:val="5"/>
              <w:tblpPr w:leftFromText="180" w:rightFromText="180" w:vertAnchor="text" w:horzAnchor="margin" w:tblpY="250"/>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992"/>
              <w:gridCol w:w="1984"/>
              <w:gridCol w:w="3516"/>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r>
                    <w:rPr>
                      <w:rFonts w:hint="eastAsia"/>
                      <w:sz w:val="24"/>
                    </w:rPr>
                    <w:t>序号</w:t>
                  </w:r>
                </w:p>
              </w:tc>
              <w:tc>
                <w:tcPr>
                  <w:tcW w:w="992" w:type="dxa"/>
                </w:tcPr>
                <w:p>
                  <w:pPr>
                    <w:ind w:left="136" w:leftChars="65"/>
                    <w:rPr>
                      <w:sz w:val="24"/>
                    </w:rPr>
                  </w:pPr>
                  <w:r>
                    <w:rPr>
                      <w:rFonts w:hint="eastAsia"/>
                      <w:sz w:val="24"/>
                    </w:rPr>
                    <w:t>货物名称</w:t>
                  </w:r>
                </w:p>
              </w:tc>
              <w:tc>
                <w:tcPr>
                  <w:tcW w:w="1984" w:type="dxa"/>
                </w:tcPr>
                <w:p>
                  <w:pPr>
                    <w:ind w:left="136" w:leftChars="65"/>
                    <w:rPr>
                      <w:sz w:val="24"/>
                    </w:rPr>
                  </w:pPr>
                  <w:r>
                    <w:rPr>
                      <w:rFonts w:hint="eastAsia"/>
                      <w:sz w:val="24"/>
                    </w:rPr>
                    <w:t>招标技术要求</w:t>
                  </w:r>
                </w:p>
              </w:tc>
              <w:tc>
                <w:tcPr>
                  <w:tcW w:w="3516" w:type="dxa"/>
                </w:tcPr>
                <w:p>
                  <w:pPr>
                    <w:ind w:left="136" w:leftChars="65"/>
                    <w:rPr>
                      <w:sz w:val="24"/>
                    </w:rPr>
                  </w:pPr>
                  <w:r>
                    <w:rPr>
                      <w:rFonts w:hint="eastAsia"/>
                      <w:sz w:val="24"/>
                    </w:rPr>
                    <w:t>投标技术响应</w:t>
                  </w:r>
                </w:p>
              </w:tc>
              <w:tc>
                <w:tcPr>
                  <w:tcW w:w="1417" w:type="dxa"/>
                </w:tcPr>
                <w:p>
                  <w:pPr>
                    <w:ind w:left="136" w:leftChars="65"/>
                    <w:rPr>
                      <w:sz w:val="24"/>
                    </w:rPr>
                  </w:pPr>
                  <w:r>
                    <w:rPr>
                      <w:rFonts w:hint="eastAsia"/>
                      <w:sz w:val="24"/>
                    </w:rPr>
                    <w:t>偏离情况</w:t>
                  </w:r>
                </w:p>
              </w:tc>
              <w:tc>
                <w:tcPr>
                  <w:tcW w:w="851" w:type="dxa"/>
                </w:tcPr>
                <w:p>
                  <w:pPr>
                    <w:ind w:left="136" w:leftChars="65"/>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1" w:type="dxa"/>
                </w:tcPr>
                <w:p>
                  <w:pPr>
                    <w:ind w:left="136" w:leftChars="65"/>
                    <w:rPr>
                      <w:sz w:val="24"/>
                    </w:rPr>
                  </w:pPr>
                </w:p>
              </w:tc>
              <w:tc>
                <w:tcPr>
                  <w:tcW w:w="992" w:type="dxa"/>
                </w:tcPr>
                <w:p>
                  <w:pPr>
                    <w:ind w:left="136" w:leftChars="65"/>
                    <w:rPr>
                      <w:sz w:val="24"/>
                    </w:rPr>
                  </w:pPr>
                </w:p>
              </w:tc>
              <w:tc>
                <w:tcPr>
                  <w:tcW w:w="1984" w:type="dxa"/>
                </w:tcPr>
                <w:p>
                  <w:pPr>
                    <w:ind w:left="136" w:leftChars="65"/>
                    <w:rPr>
                      <w:sz w:val="24"/>
                    </w:rPr>
                  </w:pPr>
                </w:p>
              </w:tc>
              <w:tc>
                <w:tcPr>
                  <w:tcW w:w="3516" w:type="dxa"/>
                </w:tcPr>
                <w:p>
                  <w:pPr>
                    <w:ind w:left="136" w:leftChars="65"/>
                    <w:rPr>
                      <w:sz w:val="24"/>
                    </w:rPr>
                  </w:pPr>
                </w:p>
              </w:tc>
              <w:tc>
                <w:tcPr>
                  <w:tcW w:w="1417" w:type="dxa"/>
                </w:tcPr>
                <w:p>
                  <w:pPr>
                    <w:ind w:left="136" w:leftChars="65"/>
                    <w:rPr>
                      <w:sz w:val="24"/>
                    </w:rPr>
                  </w:pPr>
                </w:p>
              </w:tc>
              <w:tc>
                <w:tcPr>
                  <w:tcW w:w="851" w:type="dxa"/>
                </w:tcPr>
                <w:p>
                  <w:pPr>
                    <w:ind w:left="136" w:leftChars="65"/>
                    <w:rPr>
                      <w:sz w:val="24"/>
                    </w:rPr>
                  </w:pPr>
                </w:p>
              </w:tc>
            </w:tr>
          </w:tbl>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600" w:hRule="atLeast"/>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b/>
                <w:bCs/>
                <w:kern w:val="0"/>
                <w:sz w:val="20"/>
                <w:szCs w:val="20"/>
              </w:rPr>
            </w:pPr>
            <w:r>
              <w:rPr>
                <w:rFonts w:hint="eastAsia" w:ascii="宋体" w:hAnsi="宋体" w:eastAsia="宋体" w:cs="宋体"/>
                <w:b/>
                <w:bCs/>
                <w:kern w:val="0"/>
                <w:sz w:val="20"/>
                <w:szCs w:val="20"/>
              </w:rPr>
              <w:t>商务规格偏离表</w:t>
            </w:r>
          </w:p>
        </w:tc>
        <w:tc>
          <w:tcPr>
            <w:tcW w:w="9468" w:type="dxa"/>
            <w:gridSpan w:val="3"/>
            <w:tcBorders>
              <w:top w:val="single" w:color="auto" w:sz="6" w:space="0"/>
              <w:left w:val="single" w:color="auto" w:sz="6" w:space="0"/>
              <w:bottom w:val="nil"/>
              <w:right w:val="nil"/>
            </w:tcBorders>
            <w:vAlign w:val="center"/>
          </w:tcPr>
          <w:tbl>
            <w:tblPr>
              <w:tblStyle w:val="5"/>
              <w:tblpPr w:leftFromText="180" w:rightFromText="180" w:vertAnchor="text" w:horzAnchor="margin" w:tblpY="856"/>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7"/>
              <w:gridCol w:w="2693"/>
              <w:gridCol w:w="1559"/>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序号</w:t>
                  </w:r>
                </w:p>
              </w:tc>
              <w:tc>
                <w:tcPr>
                  <w:tcW w:w="727" w:type="dxa"/>
                </w:tcPr>
                <w:p>
                  <w:pPr>
                    <w:rPr>
                      <w:sz w:val="24"/>
                    </w:rPr>
                  </w:pPr>
                  <w:r>
                    <w:rPr>
                      <w:rFonts w:hint="eastAsia"/>
                      <w:sz w:val="24"/>
                    </w:rPr>
                    <w:t>目录</w:t>
                  </w:r>
                </w:p>
              </w:tc>
              <w:tc>
                <w:tcPr>
                  <w:tcW w:w="2693" w:type="dxa"/>
                </w:tcPr>
                <w:p>
                  <w:pPr>
                    <w:rPr>
                      <w:sz w:val="24"/>
                    </w:rPr>
                  </w:pPr>
                  <w:r>
                    <w:rPr>
                      <w:rFonts w:hint="eastAsia"/>
                      <w:sz w:val="24"/>
                    </w:rPr>
                    <w:t>招标商务条款</w:t>
                  </w:r>
                </w:p>
              </w:tc>
              <w:tc>
                <w:tcPr>
                  <w:tcW w:w="1559" w:type="dxa"/>
                </w:tcPr>
                <w:p>
                  <w:pPr>
                    <w:rPr>
                      <w:sz w:val="24"/>
                    </w:rPr>
                  </w:pPr>
                  <w:r>
                    <w:rPr>
                      <w:rFonts w:hint="eastAsia"/>
                      <w:sz w:val="24"/>
                    </w:rPr>
                    <w:t>投标商务条款</w:t>
                  </w:r>
                </w:p>
              </w:tc>
              <w:tc>
                <w:tcPr>
                  <w:tcW w:w="1843" w:type="dxa"/>
                </w:tcPr>
                <w:p>
                  <w:pPr>
                    <w:rPr>
                      <w:sz w:val="24"/>
                    </w:rPr>
                  </w:pPr>
                  <w:r>
                    <w:rPr>
                      <w:rFonts w:hint="eastAsia"/>
                    </w:rPr>
                    <w:t>偏离情况</w:t>
                  </w:r>
                </w:p>
              </w:tc>
              <w:tc>
                <w:tcPr>
                  <w:tcW w:w="1417" w:type="dxa"/>
                </w:tcPr>
                <w:p>
                  <w:pPr>
                    <w:rPr>
                      <w:sz w:val="24"/>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Pr>
                <w:p>
                  <w:pPr>
                    <w:rPr>
                      <w:sz w:val="24"/>
                    </w:rPr>
                  </w:pPr>
                  <w:r>
                    <w:rPr>
                      <w:rFonts w:hint="eastAsia"/>
                      <w:sz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Pr>
                <w:p>
                  <w:pPr>
                    <w:rPr>
                      <w:sz w:val="24"/>
                    </w:rPr>
                  </w:pPr>
                  <w:r>
                    <w:rPr>
                      <w:rFonts w:hint="eastAsia"/>
                      <w:sz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7" w:type="dxa"/>
                  <w:gridSpan w:val="6"/>
                </w:tcPr>
                <w:p>
                  <w:pPr>
                    <w:rPr>
                      <w:sz w:val="24"/>
                    </w:rPr>
                  </w:pPr>
                  <w:r>
                    <w:rPr>
                      <w:rFonts w:hint="eastAsia"/>
                      <w:sz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1</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2</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sz w:val="24"/>
                    </w:rPr>
                  </w:pPr>
                  <w:r>
                    <w:rPr>
                      <w:rFonts w:hint="eastAsia"/>
                      <w:sz w:val="24"/>
                    </w:rPr>
                    <w:t>……</w:t>
                  </w:r>
                </w:p>
              </w:tc>
              <w:tc>
                <w:tcPr>
                  <w:tcW w:w="727" w:type="dxa"/>
                </w:tcPr>
                <w:p>
                  <w:pPr>
                    <w:rPr>
                      <w:sz w:val="24"/>
                    </w:rPr>
                  </w:pPr>
                </w:p>
              </w:tc>
              <w:tc>
                <w:tcPr>
                  <w:tcW w:w="2693" w:type="dxa"/>
                </w:tcPr>
                <w:p>
                  <w:pPr>
                    <w:rPr>
                      <w:sz w:val="24"/>
                    </w:rPr>
                  </w:pPr>
                </w:p>
              </w:tc>
              <w:tc>
                <w:tcPr>
                  <w:tcW w:w="1559" w:type="dxa"/>
                </w:tcPr>
                <w:p>
                  <w:pPr>
                    <w:rPr>
                      <w:sz w:val="24"/>
                    </w:rPr>
                  </w:pPr>
                </w:p>
              </w:tc>
              <w:tc>
                <w:tcPr>
                  <w:tcW w:w="1843" w:type="dxa"/>
                </w:tcPr>
                <w:p>
                  <w:pPr>
                    <w:rPr>
                      <w:sz w:val="24"/>
                    </w:rPr>
                  </w:pPr>
                </w:p>
              </w:tc>
              <w:tc>
                <w:tcPr>
                  <w:tcW w:w="1417" w:type="dxa"/>
                </w:tcPr>
                <w:p>
                  <w:pPr>
                    <w:rPr>
                      <w:sz w:val="24"/>
                    </w:rPr>
                  </w:pPr>
                </w:p>
              </w:tc>
            </w:tr>
          </w:tbl>
          <w:p>
            <w:pPr>
              <w:widowControl/>
              <w:jc w:val="left"/>
              <w:rPr>
                <w:rFonts w:ascii="宋体" w:hAnsi="宋体" w:eastAsia="宋体" w:cs="宋体"/>
                <w:b/>
                <w:color w:val="FF0000"/>
                <w:kern w:val="0"/>
                <w:szCs w:val="20"/>
              </w:rPr>
            </w:pPr>
            <w:r>
              <w:rPr>
                <w:rFonts w:hint="eastAsia" w:ascii="宋体" w:hAnsi="宋体" w:eastAsia="宋体" w:cs="宋体"/>
                <w:b/>
                <w:color w:val="FF0000"/>
                <w:kern w:val="0"/>
                <w:szCs w:val="20"/>
              </w:rPr>
              <w:t>说明：请根据所填的“商务需求”详细填写下表的“序号”、“目录”、“招标商务条款”方面的内容</w:t>
            </w:r>
          </w:p>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评标信息</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r>
              <w:rPr>
                <w:rFonts w:hint="eastAsia"/>
              </w:rPr>
              <w:t>评标方法： 综合评分法</w:t>
            </w:r>
          </w:p>
          <w:p>
            <w:r>
              <w:rPr>
                <w:rFonts w:hint="eastAsia"/>
              </w:rPr>
              <w:t>评标方法说明：</w:t>
            </w:r>
          </w:p>
          <w:p>
            <w:r>
              <w:rPr>
                <w:rFonts w:hint="eastAsia"/>
              </w:rPr>
              <w:t>投标报价得分=（评标基准价/投标报价）</w:t>
            </w:r>
            <w:r>
              <w:rPr>
                <w:rFonts w:hint="eastAsia" w:asciiTheme="minorEastAsia" w:hAnsiTheme="minorEastAsia"/>
              </w:rPr>
              <w:t>×100</w:t>
            </w:r>
          </w:p>
          <w:tbl>
            <w:tblPr>
              <w:tblStyle w:val="5"/>
              <w:tblpPr w:leftFromText="180" w:rightFromText="180" w:vertAnchor="text" w:tblpXSpec="center" w:tblpY="1"/>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483"/>
              <w:gridCol w:w="1843"/>
              <w:gridCol w:w="897"/>
              <w:gridCol w:w="1189"/>
              <w:gridCol w:w="6"/>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1" w:type="dxa"/>
                  <w:vAlign w:val="center"/>
                </w:tcPr>
                <w:p>
                  <w:pPr>
                    <w:spacing w:line="240" w:lineRule="exact"/>
                    <w:jc w:val="center"/>
                    <w:rPr>
                      <w:rFonts w:ascii="宋体" w:hAnsi="宋体"/>
                      <w:szCs w:val="21"/>
                    </w:rPr>
                  </w:pPr>
                  <w:r>
                    <w:rPr>
                      <w:rFonts w:hint="eastAsia" w:ascii="宋体" w:hAnsi="宋体"/>
                      <w:szCs w:val="21"/>
                    </w:rPr>
                    <w:t>序号</w:t>
                  </w:r>
                </w:p>
              </w:tc>
              <w:tc>
                <w:tcPr>
                  <w:tcW w:w="4412" w:type="dxa"/>
                  <w:gridSpan w:val="4"/>
                  <w:vAlign w:val="center"/>
                </w:tcPr>
                <w:p>
                  <w:pPr>
                    <w:spacing w:line="240" w:lineRule="exact"/>
                    <w:jc w:val="center"/>
                    <w:rPr>
                      <w:rFonts w:ascii="宋体" w:hAnsi="宋体"/>
                      <w:szCs w:val="21"/>
                    </w:rPr>
                  </w:pPr>
                  <w:r>
                    <w:rPr>
                      <w:rFonts w:hint="eastAsia" w:ascii="宋体" w:hAnsi="宋体"/>
                      <w:szCs w:val="21"/>
                    </w:rPr>
                    <w:t>评分项</w:t>
                  </w:r>
                </w:p>
              </w:tc>
              <w:tc>
                <w:tcPr>
                  <w:tcW w:w="2862" w:type="dxa"/>
                  <w:gridSpan w:val="2"/>
                  <w:vAlign w:val="center"/>
                </w:tcPr>
                <w:p>
                  <w:pPr>
                    <w:spacing w:line="240" w:lineRule="exact"/>
                    <w:jc w:val="center"/>
                    <w:rPr>
                      <w:rFonts w:ascii="宋体" w:hAnsi="宋体"/>
                      <w:szCs w:val="21"/>
                    </w:rPr>
                  </w:pPr>
                  <w:r>
                    <w:rPr>
                      <w:rFonts w:hint="eastAsia" w:ascii="宋体" w:hAnsi="宋体"/>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31" w:type="dxa"/>
                  <w:vAlign w:val="center"/>
                </w:tcPr>
                <w:p>
                  <w:pPr>
                    <w:spacing w:line="240" w:lineRule="exact"/>
                    <w:jc w:val="center"/>
                    <w:rPr>
                      <w:rFonts w:ascii="宋体" w:hAnsi="宋体"/>
                      <w:szCs w:val="21"/>
                    </w:rPr>
                  </w:pPr>
                  <w:r>
                    <w:rPr>
                      <w:rFonts w:ascii="宋体" w:hAnsi="宋体"/>
                      <w:szCs w:val="21"/>
                    </w:rPr>
                    <w:t>1</w:t>
                  </w:r>
                </w:p>
              </w:tc>
              <w:tc>
                <w:tcPr>
                  <w:tcW w:w="4412" w:type="dxa"/>
                  <w:gridSpan w:val="4"/>
                  <w:vAlign w:val="center"/>
                </w:tcPr>
                <w:p>
                  <w:pPr>
                    <w:spacing w:line="240" w:lineRule="exact"/>
                    <w:jc w:val="center"/>
                    <w:rPr>
                      <w:rFonts w:ascii="宋体" w:hAnsi="宋体"/>
                      <w:szCs w:val="21"/>
                    </w:rPr>
                  </w:pPr>
                  <w:r>
                    <w:rPr>
                      <w:rFonts w:hint="eastAsia" w:ascii="宋体" w:hAnsi="宋体"/>
                      <w:szCs w:val="21"/>
                    </w:rPr>
                    <w:t>价格</w:t>
                  </w:r>
                </w:p>
              </w:tc>
              <w:tc>
                <w:tcPr>
                  <w:tcW w:w="2862" w:type="dxa"/>
                  <w:gridSpan w:val="2"/>
                  <w:vAlign w:val="center"/>
                </w:tcPr>
                <w:p>
                  <w:pPr>
                    <w:spacing w:line="240" w:lineRule="exact"/>
                    <w:jc w:val="center"/>
                    <w:rPr>
                      <w:rFonts w:ascii="宋体" w:hAnsi="宋体"/>
                      <w:szCs w:val="21"/>
                    </w:rPr>
                  </w:pPr>
                  <w:r>
                    <w:rPr>
                      <w:rFonts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1" w:type="dxa"/>
                  <w:vAlign w:val="center"/>
                </w:tcPr>
                <w:p>
                  <w:pPr>
                    <w:spacing w:line="240" w:lineRule="exact"/>
                    <w:jc w:val="center"/>
                    <w:rPr>
                      <w:rFonts w:ascii="宋体" w:hAnsi="宋体"/>
                      <w:szCs w:val="21"/>
                    </w:rPr>
                  </w:pPr>
                  <w:r>
                    <w:rPr>
                      <w:rFonts w:ascii="宋体" w:hAnsi="宋体"/>
                      <w:szCs w:val="21"/>
                    </w:rPr>
                    <w:t>2</w:t>
                  </w:r>
                </w:p>
              </w:tc>
              <w:tc>
                <w:tcPr>
                  <w:tcW w:w="4412" w:type="dxa"/>
                  <w:gridSpan w:val="4"/>
                  <w:vAlign w:val="center"/>
                </w:tcPr>
                <w:p>
                  <w:pPr>
                    <w:spacing w:line="240" w:lineRule="exact"/>
                    <w:jc w:val="center"/>
                    <w:rPr>
                      <w:rFonts w:ascii="宋体" w:hAnsi="宋体"/>
                      <w:szCs w:val="21"/>
                    </w:rPr>
                  </w:pPr>
                  <w:r>
                    <w:rPr>
                      <w:rFonts w:hint="eastAsia" w:ascii="宋体" w:hAnsi="宋体"/>
                      <w:szCs w:val="21"/>
                    </w:rPr>
                    <w:t>技术部分</w:t>
                  </w:r>
                </w:p>
              </w:tc>
              <w:tc>
                <w:tcPr>
                  <w:tcW w:w="2862" w:type="dxa"/>
                  <w:gridSpan w:val="2"/>
                  <w:vAlign w:val="center"/>
                </w:tcPr>
                <w:p>
                  <w:pPr>
                    <w:spacing w:line="240" w:lineRule="exact"/>
                    <w:jc w:val="center"/>
                    <w:rPr>
                      <w:rFonts w:ascii="宋体" w:hAnsi="宋体"/>
                      <w:szCs w:val="21"/>
                    </w:rPr>
                  </w:pPr>
                  <w:r>
                    <w:rPr>
                      <w:rFonts w:hint="eastAsia" w:ascii="宋体" w:hAnsi="宋体"/>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1" w:type="dxa"/>
                  <w:vMerge w:val="restart"/>
                  <w:vAlign w:val="center"/>
                </w:tcPr>
                <w:p>
                  <w:pPr>
                    <w:spacing w:line="240" w:lineRule="exact"/>
                    <w:jc w:val="center"/>
                    <w:rPr>
                      <w:rFonts w:ascii="宋体" w:hAnsi="宋体"/>
                      <w:szCs w:val="21"/>
                    </w:rPr>
                  </w:pPr>
                </w:p>
              </w:tc>
              <w:tc>
                <w:tcPr>
                  <w:tcW w:w="483" w:type="dxa"/>
                  <w:vAlign w:val="center"/>
                </w:tcPr>
                <w:p>
                  <w:pPr>
                    <w:spacing w:line="240" w:lineRule="exact"/>
                    <w:jc w:val="center"/>
                    <w:rPr>
                      <w:rFonts w:ascii="宋体" w:hAnsi="宋体"/>
                      <w:szCs w:val="21"/>
                    </w:rPr>
                  </w:pPr>
                  <w:r>
                    <w:rPr>
                      <w:rFonts w:hint="eastAsia" w:ascii="宋体" w:hAnsi="宋体"/>
                      <w:szCs w:val="21"/>
                    </w:rPr>
                    <w:t>序号</w:t>
                  </w:r>
                </w:p>
              </w:tc>
              <w:tc>
                <w:tcPr>
                  <w:tcW w:w="1843" w:type="dxa"/>
                  <w:vAlign w:val="center"/>
                </w:tcPr>
                <w:p>
                  <w:pPr>
                    <w:spacing w:line="240" w:lineRule="exact"/>
                    <w:jc w:val="center"/>
                    <w:rPr>
                      <w:rFonts w:ascii="宋体" w:hAnsi="宋体"/>
                      <w:szCs w:val="21"/>
                    </w:rPr>
                  </w:pPr>
                  <w:r>
                    <w:rPr>
                      <w:rFonts w:hint="eastAsia" w:ascii="宋体" w:hAnsi="宋体"/>
                      <w:szCs w:val="21"/>
                    </w:rPr>
                    <w:t>评分因素</w:t>
                  </w:r>
                </w:p>
              </w:tc>
              <w:tc>
                <w:tcPr>
                  <w:tcW w:w="897" w:type="dxa"/>
                  <w:vAlign w:val="center"/>
                </w:tcPr>
                <w:p>
                  <w:pPr>
                    <w:spacing w:line="240" w:lineRule="exact"/>
                    <w:jc w:val="center"/>
                    <w:rPr>
                      <w:rFonts w:ascii="宋体" w:hAnsi="宋体"/>
                      <w:szCs w:val="21"/>
                    </w:rPr>
                  </w:pPr>
                  <w:r>
                    <w:rPr>
                      <w:rFonts w:hint="eastAsia" w:ascii="宋体" w:hAnsi="宋体"/>
                      <w:szCs w:val="21"/>
                    </w:rPr>
                    <w:t>权重</w:t>
                  </w:r>
                </w:p>
              </w:tc>
              <w:tc>
                <w:tcPr>
                  <w:tcW w:w="1189" w:type="dxa"/>
                  <w:vAlign w:val="center"/>
                </w:tcPr>
                <w:p>
                  <w:pPr>
                    <w:spacing w:line="240" w:lineRule="exact"/>
                    <w:jc w:val="center"/>
                    <w:rPr>
                      <w:rFonts w:ascii="宋体" w:hAnsi="宋体"/>
                      <w:szCs w:val="21"/>
                    </w:rPr>
                  </w:pPr>
                  <w:r>
                    <w:rPr>
                      <w:rFonts w:hint="eastAsia" w:ascii="宋体" w:hAnsi="宋体"/>
                      <w:szCs w:val="21"/>
                    </w:rPr>
                    <w:t>评分方式</w:t>
                  </w:r>
                </w:p>
              </w:tc>
              <w:tc>
                <w:tcPr>
                  <w:tcW w:w="2862" w:type="dxa"/>
                  <w:gridSpan w:val="2"/>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2" w:hRule="atLeast"/>
              </w:trPr>
              <w:tc>
                <w:tcPr>
                  <w:tcW w:w="631" w:type="dxa"/>
                  <w:vMerge w:val="continu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1</w:t>
                  </w:r>
                </w:p>
              </w:tc>
              <w:tc>
                <w:tcPr>
                  <w:tcW w:w="1843" w:type="dxa"/>
                  <w:vAlign w:val="center"/>
                </w:tcPr>
                <w:p>
                  <w:pPr>
                    <w:spacing w:line="240" w:lineRule="exact"/>
                    <w:jc w:val="center"/>
                    <w:rPr>
                      <w:rFonts w:ascii="宋体" w:hAnsi="宋体"/>
                      <w:szCs w:val="21"/>
                    </w:rPr>
                  </w:pPr>
                  <w:r>
                    <w:rPr>
                      <w:rFonts w:hint="eastAsia" w:ascii="宋体" w:hAnsi="宋体"/>
                      <w:szCs w:val="21"/>
                    </w:rPr>
                    <w:t>技术保障措施</w:t>
                  </w:r>
                </w:p>
              </w:tc>
              <w:tc>
                <w:tcPr>
                  <w:tcW w:w="897" w:type="dxa"/>
                  <w:vAlign w:val="center"/>
                </w:tcPr>
                <w:p>
                  <w:pPr>
                    <w:spacing w:line="240" w:lineRule="exact"/>
                    <w:jc w:val="center"/>
                    <w:rPr>
                      <w:rFonts w:ascii="宋体" w:hAnsi="宋体"/>
                      <w:szCs w:val="21"/>
                    </w:rPr>
                  </w:pPr>
                  <w:r>
                    <w:rPr>
                      <w:rFonts w:ascii="宋体" w:hAnsi="宋体"/>
                      <w:szCs w:val="21"/>
                    </w:rPr>
                    <w:t>3</w:t>
                  </w:r>
                </w:p>
              </w:tc>
              <w:tc>
                <w:tcPr>
                  <w:tcW w:w="1189" w:type="dxa"/>
                  <w:vAlign w:val="center"/>
                </w:tcPr>
                <w:p>
                  <w:pPr>
                    <w:spacing w:line="240" w:lineRule="exact"/>
                    <w:jc w:val="center"/>
                    <w:rPr>
                      <w:rFonts w:ascii="宋体" w:hAnsi="宋体"/>
                      <w:szCs w:val="21"/>
                    </w:rPr>
                  </w:pPr>
                  <w:r>
                    <w:rPr>
                      <w:rFonts w:hint="eastAsia" w:ascii="宋体" w:hAnsi="宋体"/>
                      <w:szCs w:val="21"/>
                    </w:rPr>
                    <w:t>专家打分</w:t>
                  </w:r>
                </w:p>
              </w:tc>
              <w:tc>
                <w:tcPr>
                  <w:tcW w:w="2862" w:type="dxa"/>
                  <w:gridSpan w:val="2"/>
                  <w:vAlign w:val="center"/>
                </w:tcPr>
                <w:p>
                  <w:pPr>
                    <w:spacing w:line="320" w:lineRule="exact"/>
                    <w:rPr>
                      <w:rFonts w:ascii="宋体" w:hAnsi="宋体" w:cs="宋体"/>
                      <w:szCs w:val="21"/>
                    </w:rPr>
                  </w:pPr>
                  <w:r>
                    <w:rPr>
                      <w:rFonts w:hint="eastAsia" w:ascii="宋体" w:hAnsi="宋体" w:cs="宋体"/>
                      <w:szCs w:val="21"/>
                    </w:rPr>
                    <w:t>在投标文件中详细说明设备制造商的保障措施（包括技术团队和技术方案等），评审委员会根据响应情况进行横向比较，按优</w:t>
                  </w:r>
                  <w:r>
                    <w:rPr>
                      <w:rFonts w:ascii="宋体" w:hAnsi="宋体" w:cs="宋体"/>
                      <w:szCs w:val="21"/>
                    </w:rPr>
                    <w:t>100</w:t>
                  </w:r>
                  <w:r>
                    <w:rPr>
                      <w:rFonts w:hint="eastAsia" w:ascii="宋体" w:hAnsi="宋体" w:cs="宋体"/>
                      <w:szCs w:val="21"/>
                    </w:rPr>
                    <w:t>分，良</w:t>
                  </w:r>
                  <w:r>
                    <w:rPr>
                      <w:rFonts w:ascii="宋体" w:hAnsi="宋体" w:cs="宋体"/>
                      <w:szCs w:val="21"/>
                    </w:rPr>
                    <w:t>80</w:t>
                  </w:r>
                  <w:r>
                    <w:rPr>
                      <w:rFonts w:hint="eastAsia" w:ascii="宋体" w:hAnsi="宋体" w:cs="宋体"/>
                      <w:szCs w:val="21"/>
                    </w:rPr>
                    <w:t>分，中</w:t>
                  </w:r>
                  <w:r>
                    <w:rPr>
                      <w:rFonts w:ascii="宋体" w:hAnsi="宋体" w:cs="宋体"/>
                      <w:szCs w:val="21"/>
                    </w:rPr>
                    <w:t>60</w:t>
                  </w:r>
                  <w:r>
                    <w:rPr>
                      <w:rFonts w:hint="eastAsia" w:ascii="宋体" w:hAnsi="宋体" w:cs="宋体"/>
                      <w:szCs w:val="21"/>
                    </w:rPr>
                    <w:t>分，差</w:t>
                  </w:r>
                  <w:r>
                    <w:rPr>
                      <w:rFonts w:ascii="宋体" w:cs="宋体"/>
                      <w:szCs w:val="21"/>
                    </w:rPr>
                    <w:t>0</w:t>
                  </w:r>
                  <w:r>
                    <w:rPr>
                      <w:rFonts w:hint="eastAsia" w:ascii="宋体" w:hAnsi="宋体" w:cs="宋体"/>
                      <w:szCs w:val="21"/>
                    </w:rPr>
                    <w:t>分打分。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8" w:hRule="atLeast"/>
              </w:trPr>
              <w:tc>
                <w:tcPr>
                  <w:tcW w:w="631" w:type="dxa"/>
                  <w:vMerge w:val="continue"/>
                  <w:vAlign w:val="center"/>
                </w:tcPr>
                <w:p>
                  <w:pPr>
                    <w:keepNext/>
                    <w:keepLines/>
                    <w:spacing w:before="260" w:after="260" w:line="240" w:lineRule="exact"/>
                    <w:jc w:val="center"/>
                    <w:outlineLvl w:val="2"/>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2</w:t>
                  </w:r>
                </w:p>
              </w:tc>
              <w:tc>
                <w:tcPr>
                  <w:tcW w:w="1843" w:type="dxa"/>
                  <w:vAlign w:val="center"/>
                </w:tcPr>
                <w:p>
                  <w:pPr>
                    <w:spacing w:line="240" w:lineRule="exact"/>
                    <w:jc w:val="center"/>
                    <w:rPr>
                      <w:rFonts w:ascii="宋体" w:hAnsi="宋体"/>
                      <w:szCs w:val="21"/>
                    </w:rPr>
                  </w:pPr>
                  <w:r>
                    <w:rPr>
                      <w:rFonts w:hint="eastAsia" w:ascii="宋体" w:hAnsi="宋体" w:cs="宋体"/>
                      <w:kern w:val="0"/>
                      <w:szCs w:val="21"/>
                    </w:rPr>
                    <w:t>技术规格偏离情况</w:t>
                  </w:r>
                </w:p>
              </w:tc>
              <w:tc>
                <w:tcPr>
                  <w:tcW w:w="897" w:type="dxa"/>
                  <w:vAlign w:val="center"/>
                </w:tcPr>
                <w:p>
                  <w:pPr>
                    <w:spacing w:line="240" w:lineRule="exact"/>
                    <w:jc w:val="center"/>
                    <w:rPr>
                      <w:rFonts w:ascii="宋体" w:hAnsi="宋体"/>
                      <w:szCs w:val="21"/>
                    </w:rPr>
                  </w:pPr>
                  <w:r>
                    <w:rPr>
                      <w:rFonts w:hint="eastAsia" w:ascii="宋体" w:hAnsi="宋体" w:cs="宋体"/>
                      <w:szCs w:val="21"/>
                    </w:rPr>
                    <w:t>45</w:t>
                  </w:r>
                </w:p>
              </w:tc>
              <w:tc>
                <w:tcPr>
                  <w:tcW w:w="1189" w:type="dxa"/>
                  <w:vAlign w:val="center"/>
                </w:tcPr>
                <w:p>
                  <w:pPr>
                    <w:spacing w:line="240" w:lineRule="exact"/>
                    <w:jc w:val="center"/>
                    <w:rPr>
                      <w:rFonts w:ascii="宋体" w:hAnsi="宋体"/>
                      <w:szCs w:val="21"/>
                    </w:rPr>
                  </w:pPr>
                  <w:r>
                    <w:rPr>
                      <w:rFonts w:hint="eastAsia" w:ascii="宋体" w:hAnsi="宋体"/>
                      <w:szCs w:val="21"/>
                    </w:rPr>
                    <w:t>专家打分</w:t>
                  </w:r>
                </w:p>
              </w:tc>
              <w:tc>
                <w:tcPr>
                  <w:tcW w:w="2862" w:type="dxa"/>
                  <w:gridSpan w:val="2"/>
                  <w:vAlign w:val="center"/>
                </w:tcPr>
                <w:p>
                  <w:pPr>
                    <w:widowControl/>
                    <w:spacing w:line="120" w:lineRule="atLeast"/>
                    <w:jc w:val="left"/>
                    <w:rPr>
                      <w:rFonts w:ascii="宋体" w:hAnsi="宋体" w:cs="宋体"/>
                      <w:szCs w:val="21"/>
                    </w:rPr>
                  </w:pPr>
                  <w:r>
                    <w:rPr>
                      <w:rFonts w:hint="eastAsia" w:ascii="宋体" w:hAnsi="宋体" w:cs="宋体"/>
                      <w:szCs w:val="21"/>
                    </w:rPr>
                    <w:t>投标人应如实填写《技术规格偏离表》，评审委员会根据技术需求参数响应情况进行打分，各项技术参数指标及要求全部满足的得</w:t>
                  </w:r>
                  <w:r>
                    <w:rPr>
                      <w:rFonts w:ascii="宋体" w:hAnsi="宋体"/>
                      <w:szCs w:val="21"/>
                    </w:rPr>
                    <w:t>100</w:t>
                  </w:r>
                  <w:r>
                    <w:rPr>
                      <w:rFonts w:hint="eastAsia" w:ascii="宋体" w:hAnsi="宋体" w:cs="宋体"/>
                      <w:szCs w:val="21"/>
                    </w:rPr>
                    <w:t>分，</w:t>
                  </w:r>
                  <w:r>
                    <w:rPr>
                      <w:rFonts w:ascii="宋体" w:hAnsi="宋体"/>
                      <w:szCs w:val="21"/>
                    </w:rPr>
                    <w:t>带“</w:t>
                  </w:r>
                  <w:r>
                    <w:rPr>
                      <w:rFonts w:hint="eastAsia" w:asciiTheme="minorEastAsia" w:hAnsiTheme="minorEastAsia"/>
                    </w:rPr>
                    <w:t>▲</w:t>
                  </w:r>
                  <w:r>
                    <w:rPr>
                      <w:rFonts w:ascii="宋体" w:hAnsi="宋体" w:cs="Calibri"/>
                      <w:szCs w:val="21"/>
                    </w:rPr>
                    <w:t>”</w:t>
                  </w:r>
                  <w:r>
                    <w:rPr>
                      <w:rFonts w:ascii="宋体" w:hAnsi="宋体"/>
                      <w:szCs w:val="21"/>
                    </w:rPr>
                    <w:t>重要</w:t>
                  </w:r>
                  <w:r>
                    <w:rPr>
                      <w:rFonts w:hint="eastAsia" w:ascii="宋体" w:hAnsi="宋体"/>
                      <w:szCs w:val="21"/>
                    </w:rPr>
                    <w:t>参数</w:t>
                  </w:r>
                  <w:r>
                    <w:rPr>
                      <w:rFonts w:ascii="宋体" w:hAnsi="宋体"/>
                      <w:szCs w:val="21"/>
                    </w:rPr>
                    <w:t>每负偏离一项扣10分</w:t>
                  </w:r>
                  <w:r>
                    <w:rPr>
                      <w:rFonts w:hint="eastAsia" w:ascii="宋体" w:hAnsi="宋体"/>
                      <w:szCs w:val="21"/>
                    </w:rPr>
                    <w:t>，其他一般参数</w:t>
                  </w:r>
                  <w:r>
                    <w:rPr>
                      <w:rFonts w:ascii="宋体" w:hAnsi="宋体"/>
                      <w:szCs w:val="21"/>
                    </w:rPr>
                    <w:t>每负偏离一项扣5分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8" w:hRule="atLeast"/>
              </w:trPr>
              <w:tc>
                <w:tcPr>
                  <w:tcW w:w="631" w:type="dxa"/>
                  <w:vAlign w:val="center"/>
                </w:tcPr>
                <w:p>
                  <w:pPr>
                    <w:spacing w:line="260" w:lineRule="exact"/>
                    <w:jc w:val="center"/>
                    <w:rPr>
                      <w:rFonts w:ascii="宋体" w:hAnsi="宋体"/>
                      <w:szCs w:val="21"/>
                    </w:rPr>
                  </w:pPr>
                  <w:r>
                    <w:rPr>
                      <w:rFonts w:ascii="宋体" w:hAnsi="宋体"/>
                      <w:szCs w:val="21"/>
                    </w:rPr>
                    <w:t>3</w:t>
                  </w:r>
                </w:p>
              </w:tc>
              <w:tc>
                <w:tcPr>
                  <w:tcW w:w="4412" w:type="dxa"/>
                  <w:gridSpan w:val="4"/>
                  <w:vAlign w:val="center"/>
                </w:tcPr>
                <w:p>
                  <w:pPr>
                    <w:spacing w:line="260" w:lineRule="exact"/>
                    <w:jc w:val="center"/>
                    <w:rPr>
                      <w:rFonts w:ascii="宋体" w:hAnsi="宋体"/>
                      <w:szCs w:val="21"/>
                    </w:rPr>
                  </w:pPr>
                  <w:r>
                    <w:rPr>
                      <w:rFonts w:hint="eastAsia" w:ascii="宋体" w:hAnsi="宋体"/>
                      <w:szCs w:val="21"/>
                    </w:rPr>
                    <w:t>商务需求</w:t>
                  </w:r>
                </w:p>
              </w:tc>
              <w:tc>
                <w:tcPr>
                  <w:tcW w:w="2862" w:type="dxa"/>
                  <w:gridSpan w:val="2"/>
                  <w:vAlign w:val="center"/>
                </w:tcPr>
                <w:p>
                  <w:pPr>
                    <w:spacing w:line="260" w:lineRule="exact"/>
                    <w:jc w:val="center"/>
                    <w:rPr>
                      <w:rFonts w:ascii="宋体" w:hAnsi="宋体" w:cs="宋体"/>
                      <w:szCs w:val="21"/>
                    </w:rPr>
                  </w:pPr>
                  <w:r>
                    <w:rPr>
                      <w:rFonts w:hint="eastAsia" w:ascii="宋体" w:hAnsi="宋体" w:cs="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631" w:type="dxa"/>
                  <w:vMerge w:val="restart"/>
                  <w:vAlign w:val="center"/>
                </w:tcPr>
                <w:p>
                  <w:pPr>
                    <w:keepNext/>
                    <w:keepLines/>
                    <w:spacing w:line="260" w:lineRule="exact"/>
                    <w:jc w:val="center"/>
                    <w:outlineLvl w:val="0"/>
                    <w:rPr>
                      <w:rFonts w:ascii="宋体" w:hAnsi="宋体"/>
                      <w:szCs w:val="21"/>
                    </w:rPr>
                  </w:pPr>
                </w:p>
              </w:tc>
              <w:tc>
                <w:tcPr>
                  <w:tcW w:w="483" w:type="dxa"/>
                  <w:vAlign w:val="center"/>
                </w:tcPr>
                <w:p>
                  <w:pPr>
                    <w:spacing w:line="260" w:lineRule="exact"/>
                    <w:jc w:val="center"/>
                    <w:rPr>
                      <w:rFonts w:ascii="宋体" w:hAnsi="宋体"/>
                      <w:szCs w:val="21"/>
                    </w:rPr>
                  </w:pPr>
                  <w:r>
                    <w:rPr>
                      <w:rFonts w:hint="eastAsia" w:ascii="宋体" w:hAnsi="宋体"/>
                      <w:szCs w:val="21"/>
                    </w:rPr>
                    <w:t>序号</w:t>
                  </w:r>
                </w:p>
              </w:tc>
              <w:tc>
                <w:tcPr>
                  <w:tcW w:w="1843" w:type="dxa"/>
                  <w:vAlign w:val="center"/>
                </w:tcPr>
                <w:p>
                  <w:pPr>
                    <w:spacing w:line="260" w:lineRule="exact"/>
                    <w:jc w:val="center"/>
                    <w:rPr>
                      <w:rFonts w:ascii="宋体" w:hAnsi="宋体"/>
                      <w:szCs w:val="21"/>
                    </w:rPr>
                  </w:pPr>
                  <w:r>
                    <w:rPr>
                      <w:rFonts w:hint="eastAsia" w:ascii="宋体" w:hAnsi="宋体"/>
                      <w:szCs w:val="21"/>
                    </w:rPr>
                    <w:t>评分因素</w:t>
                  </w:r>
                </w:p>
              </w:tc>
              <w:tc>
                <w:tcPr>
                  <w:tcW w:w="897" w:type="dxa"/>
                  <w:vAlign w:val="center"/>
                </w:tcPr>
                <w:p>
                  <w:pPr>
                    <w:spacing w:line="260" w:lineRule="exact"/>
                    <w:jc w:val="center"/>
                    <w:rPr>
                      <w:rFonts w:ascii="宋体" w:hAnsi="宋体"/>
                      <w:szCs w:val="21"/>
                    </w:rPr>
                  </w:pPr>
                  <w:r>
                    <w:rPr>
                      <w:rFonts w:hint="eastAsia" w:ascii="宋体" w:hAnsi="宋体"/>
                      <w:szCs w:val="21"/>
                    </w:rPr>
                    <w:t>权重</w:t>
                  </w:r>
                </w:p>
              </w:tc>
              <w:tc>
                <w:tcPr>
                  <w:tcW w:w="1189" w:type="dxa"/>
                  <w:vAlign w:val="center"/>
                </w:tcPr>
                <w:p>
                  <w:pPr>
                    <w:spacing w:line="260" w:lineRule="exact"/>
                    <w:jc w:val="center"/>
                    <w:rPr>
                      <w:rFonts w:ascii="宋体" w:hAnsi="宋体"/>
                      <w:szCs w:val="21"/>
                    </w:rPr>
                  </w:pPr>
                  <w:r>
                    <w:rPr>
                      <w:rFonts w:hint="eastAsia" w:ascii="宋体" w:hAnsi="宋体"/>
                      <w:szCs w:val="21"/>
                    </w:rPr>
                    <w:t>评分方式</w:t>
                  </w:r>
                </w:p>
              </w:tc>
              <w:tc>
                <w:tcPr>
                  <w:tcW w:w="2862" w:type="dxa"/>
                  <w:gridSpan w:val="2"/>
                  <w:vAlign w:val="center"/>
                </w:tcPr>
                <w:p>
                  <w:pPr>
                    <w:spacing w:line="26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15" w:hRule="atLeast"/>
              </w:trPr>
              <w:tc>
                <w:tcPr>
                  <w:tcW w:w="631" w:type="dxa"/>
                  <w:vMerge w:val="continue"/>
                  <w:vAlign w:val="center"/>
                </w:tcPr>
                <w:p>
                  <w:pPr>
                    <w:keepNext/>
                    <w:keepLines/>
                    <w:spacing w:line="260" w:lineRule="exact"/>
                    <w:jc w:val="center"/>
                    <w:outlineLvl w:val="0"/>
                    <w:rPr>
                      <w:rFonts w:ascii="宋体" w:hAnsi="宋体"/>
                      <w:szCs w:val="21"/>
                    </w:rPr>
                  </w:pPr>
                </w:p>
              </w:tc>
              <w:tc>
                <w:tcPr>
                  <w:tcW w:w="483" w:type="dxa"/>
                  <w:vAlign w:val="center"/>
                </w:tcPr>
                <w:p>
                  <w:pPr>
                    <w:spacing w:line="260" w:lineRule="exact"/>
                    <w:jc w:val="center"/>
                    <w:rPr>
                      <w:rFonts w:ascii="宋体" w:hAnsi="宋体"/>
                      <w:szCs w:val="21"/>
                    </w:rPr>
                  </w:pPr>
                  <w:r>
                    <w:rPr>
                      <w:rFonts w:ascii="宋体" w:hAnsi="宋体"/>
                      <w:szCs w:val="21"/>
                    </w:rPr>
                    <w:t>1</w:t>
                  </w:r>
                </w:p>
              </w:tc>
              <w:tc>
                <w:tcPr>
                  <w:tcW w:w="1843" w:type="dxa"/>
                  <w:vAlign w:val="center"/>
                </w:tcPr>
                <w:p>
                  <w:pPr>
                    <w:spacing w:line="260" w:lineRule="exact"/>
                    <w:jc w:val="center"/>
                    <w:rPr>
                      <w:rFonts w:ascii="宋体" w:hAnsi="宋体"/>
                      <w:szCs w:val="21"/>
                    </w:rPr>
                  </w:pPr>
                  <w:r>
                    <w:rPr>
                      <w:rFonts w:hint="eastAsia" w:ascii="宋体" w:hAnsi="宋体"/>
                      <w:szCs w:val="21"/>
                    </w:rPr>
                    <w:t>免费保修期内售后服务条款偏离情况</w:t>
                  </w:r>
                </w:p>
              </w:tc>
              <w:tc>
                <w:tcPr>
                  <w:tcW w:w="897" w:type="dxa"/>
                  <w:vAlign w:val="center"/>
                </w:tcPr>
                <w:p>
                  <w:pPr>
                    <w:spacing w:line="260" w:lineRule="exact"/>
                    <w:jc w:val="center"/>
                    <w:rPr>
                      <w:rFonts w:ascii="宋体" w:hAnsi="宋体" w:cs="宋体"/>
                      <w:szCs w:val="21"/>
                    </w:rPr>
                  </w:pPr>
                  <w:r>
                    <w:rPr>
                      <w:rFonts w:hint="eastAsia" w:ascii="宋体" w:hAnsi="宋体" w:cs="宋体"/>
                      <w:szCs w:val="21"/>
                    </w:rPr>
                    <w:t>5</w:t>
                  </w:r>
                </w:p>
              </w:tc>
              <w:tc>
                <w:tcPr>
                  <w:tcW w:w="1189" w:type="dxa"/>
                  <w:vAlign w:val="center"/>
                </w:tcPr>
                <w:p>
                  <w:pPr>
                    <w:spacing w:line="260" w:lineRule="exact"/>
                    <w:jc w:val="center"/>
                    <w:rPr>
                      <w:rFonts w:ascii="宋体" w:hAnsi="宋体"/>
                      <w:szCs w:val="21"/>
                    </w:rPr>
                  </w:pPr>
                  <w:r>
                    <w:rPr>
                      <w:rFonts w:hint="eastAsia" w:ascii="宋体" w:hAnsi="宋体"/>
                      <w:szCs w:val="21"/>
                    </w:rPr>
                    <w:t>专家评分</w:t>
                  </w:r>
                </w:p>
              </w:tc>
              <w:tc>
                <w:tcPr>
                  <w:tcW w:w="2862" w:type="dxa"/>
                  <w:gridSpan w:val="2"/>
                  <w:vAlign w:val="center"/>
                </w:tcPr>
                <w:p>
                  <w:pPr>
                    <w:spacing w:line="280" w:lineRule="exact"/>
                    <w:rPr>
                      <w:rFonts w:cs="宋体"/>
                      <w:szCs w:val="21"/>
                    </w:rPr>
                  </w:pPr>
                  <w:r>
                    <w:rPr>
                      <w:rFonts w:hint="eastAsia" w:cs="宋体"/>
                      <w:szCs w:val="21"/>
                    </w:rPr>
                    <w:t>1.投标人应如实填写《免费保修期内售后服务条款偏离表》，评审委员会根据响应情况进行打分。满足免费保修期的得30分，每增加一年加10分，最高得60分。</w:t>
                  </w:r>
                </w:p>
                <w:p>
                  <w:pPr>
                    <w:spacing w:line="280" w:lineRule="exact"/>
                    <w:rPr>
                      <w:rFonts w:cs="宋体"/>
                      <w:szCs w:val="21"/>
                    </w:rPr>
                  </w:pPr>
                  <w:r>
                    <w:rPr>
                      <w:rFonts w:hint="eastAsia" w:cs="宋体"/>
                      <w:szCs w:val="21"/>
                    </w:rPr>
                    <w:t>2.其他要求全部满足要求的得</w:t>
                  </w:r>
                  <w:r>
                    <w:rPr>
                      <w:rFonts w:hint="eastAsia"/>
                      <w:szCs w:val="21"/>
                    </w:rPr>
                    <w:t>40</w:t>
                  </w:r>
                  <w:r>
                    <w:rPr>
                      <w:rFonts w:hint="eastAsia" w:cs="宋体"/>
                      <w:szCs w:val="21"/>
                    </w:rPr>
                    <w:t>分，每负偏离一项扣</w:t>
                  </w:r>
                  <w:r>
                    <w:rPr>
                      <w:rFonts w:hint="eastAsia"/>
                      <w:szCs w:val="21"/>
                    </w:rPr>
                    <w:t>10</w:t>
                  </w:r>
                  <w:r>
                    <w:rPr>
                      <w:rFonts w:hint="eastAsia" w:cs="宋体"/>
                      <w:szCs w:val="21"/>
                    </w:rPr>
                    <w:t>分。</w:t>
                  </w:r>
                </w:p>
                <w:p>
                  <w:pPr>
                    <w:spacing w:line="280" w:lineRule="exact"/>
                    <w:rPr>
                      <w:rFonts w:cs="宋体"/>
                      <w:szCs w:val="21"/>
                    </w:rPr>
                  </w:pPr>
                  <w:r>
                    <w:rPr>
                      <w:rFonts w:hint="eastAsia" w:cs="宋体"/>
                      <w:szCs w:val="21"/>
                    </w:rPr>
                    <w:t>以上两项合计100分。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2" w:hRule="atLeast"/>
              </w:trPr>
              <w:tc>
                <w:tcPr>
                  <w:tcW w:w="631" w:type="dxa"/>
                  <w:vMerge w:val="continue"/>
                  <w:vAlign w:val="center"/>
                </w:tcPr>
                <w:p>
                  <w:pPr>
                    <w:keepNext/>
                    <w:keepLines/>
                    <w:spacing w:line="260" w:lineRule="exact"/>
                    <w:jc w:val="center"/>
                    <w:outlineLvl w:val="2"/>
                    <w:rPr>
                      <w:rFonts w:ascii="宋体" w:hAnsi="宋体"/>
                      <w:szCs w:val="21"/>
                    </w:rPr>
                  </w:pPr>
                </w:p>
              </w:tc>
              <w:tc>
                <w:tcPr>
                  <w:tcW w:w="483" w:type="dxa"/>
                  <w:vAlign w:val="center"/>
                </w:tcPr>
                <w:p>
                  <w:pPr>
                    <w:spacing w:line="260" w:lineRule="exact"/>
                    <w:jc w:val="center"/>
                    <w:rPr>
                      <w:rFonts w:ascii="宋体" w:hAnsi="宋体"/>
                      <w:szCs w:val="21"/>
                    </w:rPr>
                  </w:pPr>
                  <w:r>
                    <w:rPr>
                      <w:rFonts w:ascii="宋体" w:hAnsi="宋体"/>
                      <w:szCs w:val="21"/>
                    </w:rPr>
                    <w:t>2</w:t>
                  </w:r>
                </w:p>
              </w:tc>
              <w:tc>
                <w:tcPr>
                  <w:tcW w:w="1843" w:type="dxa"/>
                  <w:vAlign w:val="center"/>
                </w:tcPr>
                <w:p>
                  <w:pPr>
                    <w:spacing w:line="260" w:lineRule="exact"/>
                    <w:jc w:val="center"/>
                    <w:rPr>
                      <w:rFonts w:ascii="宋体" w:hAnsi="宋体" w:cs="宋体"/>
                      <w:szCs w:val="21"/>
                    </w:rPr>
                  </w:pPr>
                  <w:r>
                    <w:rPr>
                      <w:rFonts w:hint="eastAsia" w:ascii="宋体" w:hAnsi="宋体" w:cs="宋体"/>
                      <w:szCs w:val="21"/>
                    </w:rPr>
                    <w:t>免费保修期外售后服务条款偏离情况</w:t>
                  </w:r>
                </w:p>
              </w:tc>
              <w:tc>
                <w:tcPr>
                  <w:tcW w:w="897" w:type="dxa"/>
                  <w:vAlign w:val="center"/>
                </w:tcPr>
                <w:p>
                  <w:pPr>
                    <w:spacing w:line="260" w:lineRule="exact"/>
                    <w:jc w:val="center"/>
                    <w:rPr>
                      <w:rFonts w:ascii="宋体" w:hAnsi="宋体" w:cs="宋体"/>
                      <w:szCs w:val="21"/>
                    </w:rPr>
                  </w:pPr>
                  <w:r>
                    <w:rPr>
                      <w:rFonts w:hint="eastAsia" w:ascii="宋体" w:hAnsi="宋体" w:cs="宋体"/>
                      <w:szCs w:val="21"/>
                    </w:rPr>
                    <w:t>8</w:t>
                  </w:r>
                </w:p>
              </w:tc>
              <w:tc>
                <w:tcPr>
                  <w:tcW w:w="1189" w:type="dxa"/>
                  <w:vAlign w:val="center"/>
                </w:tcPr>
                <w:p>
                  <w:pPr>
                    <w:spacing w:line="260" w:lineRule="exact"/>
                    <w:jc w:val="center"/>
                    <w:rPr>
                      <w:rFonts w:ascii="宋体" w:hAnsi="宋体"/>
                      <w:szCs w:val="21"/>
                    </w:rPr>
                  </w:pPr>
                  <w:r>
                    <w:rPr>
                      <w:rFonts w:hint="eastAsia" w:ascii="宋体" w:hAnsi="宋体"/>
                      <w:szCs w:val="21"/>
                    </w:rPr>
                    <w:t>专家评分</w:t>
                  </w:r>
                </w:p>
              </w:tc>
              <w:tc>
                <w:tcPr>
                  <w:tcW w:w="2862" w:type="dxa"/>
                  <w:gridSpan w:val="2"/>
                  <w:vAlign w:val="center"/>
                </w:tcPr>
                <w:p>
                  <w:pPr>
                    <w:spacing w:line="280" w:lineRule="exact"/>
                    <w:rPr>
                      <w:rFonts w:cs="宋体"/>
                      <w:color w:val="FF0000"/>
                      <w:szCs w:val="21"/>
                    </w:rPr>
                  </w:pPr>
                  <w:r>
                    <w:rPr>
                      <w:rFonts w:hint="eastAsia" w:cs="宋体"/>
                      <w:szCs w:val="21"/>
                    </w:rPr>
                    <w:t>投标人应如实填写《免费保修期外售后服务条款偏离表》，评审委员会根据响应情况进行打分，每负偏离一项扣</w:t>
                  </w:r>
                  <w:r>
                    <w:rPr>
                      <w:rFonts w:hint="eastAsia"/>
                      <w:szCs w:val="21"/>
                    </w:rPr>
                    <w:t>20</w:t>
                  </w:r>
                  <w:r>
                    <w:rPr>
                      <w:rFonts w:hint="eastAsia"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9" w:hRule="atLeast"/>
              </w:trPr>
              <w:tc>
                <w:tcPr>
                  <w:tcW w:w="631" w:type="dxa"/>
                  <w:vMerge w:val="continue"/>
                  <w:vAlign w:val="center"/>
                </w:tcPr>
                <w:p>
                  <w:pPr>
                    <w:keepNext/>
                    <w:keepLines/>
                    <w:spacing w:line="260" w:lineRule="exact"/>
                    <w:jc w:val="center"/>
                    <w:outlineLvl w:val="2"/>
                    <w:rPr>
                      <w:rFonts w:ascii="宋体" w:hAnsi="宋体"/>
                      <w:szCs w:val="21"/>
                    </w:rPr>
                  </w:pPr>
                </w:p>
              </w:tc>
              <w:tc>
                <w:tcPr>
                  <w:tcW w:w="483" w:type="dxa"/>
                  <w:vAlign w:val="center"/>
                </w:tcPr>
                <w:p>
                  <w:pPr>
                    <w:spacing w:line="260" w:lineRule="exact"/>
                    <w:jc w:val="center"/>
                    <w:rPr>
                      <w:rFonts w:ascii="宋体" w:hAnsi="宋体"/>
                      <w:szCs w:val="21"/>
                    </w:rPr>
                  </w:pPr>
                  <w:r>
                    <w:rPr>
                      <w:rFonts w:ascii="宋体" w:hAnsi="宋体"/>
                      <w:szCs w:val="21"/>
                    </w:rPr>
                    <w:t>3</w:t>
                  </w:r>
                </w:p>
              </w:tc>
              <w:tc>
                <w:tcPr>
                  <w:tcW w:w="1843" w:type="dxa"/>
                  <w:vAlign w:val="center"/>
                </w:tcPr>
                <w:p>
                  <w:pPr>
                    <w:spacing w:line="260" w:lineRule="exact"/>
                    <w:jc w:val="center"/>
                    <w:rPr>
                      <w:rFonts w:ascii="宋体" w:hAnsi="宋体"/>
                      <w:szCs w:val="21"/>
                    </w:rPr>
                  </w:pPr>
                  <w:r>
                    <w:rPr>
                      <w:rFonts w:hint="eastAsia" w:ascii="宋体" w:hAnsi="宋体"/>
                      <w:szCs w:val="21"/>
                    </w:rPr>
                    <w:t>其他商务条款偏离情况</w:t>
                  </w:r>
                </w:p>
              </w:tc>
              <w:tc>
                <w:tcPr>
                  <w:tcW w:w="897" w:type="dxa"/>
                  <w:vAlign w:val="center"/>
                </w:tcPr>
                <w:p>
                  <w:pPr>
                    <w:spacing w:line="260" w:lineRule="exact"/>
                    <w:jc w:val="center"/>
                    <w:rPr>
                      <w:rFonts w:ascii="宋体" w:hAnsi="宋体"/>
                      <w:szCs w:val="21"/>
                    </w:rPr>
                  </w:pPr>
                  <w:r>
                    <w:rPr>
                      <w:rFonts w:hint="eastAsia" w:ascii="宋体" w:hAnsi="宋体" w:cs="宋体"/>
                      <w:szCs w:val="21"/>
                    </w:rPr>
                    <w:t>2</w:t>
                  </w:r>
                </w:p>
              </w:tc>
              <w:tc>
                <w:tcPr>
                  <w:tcW w:w="1189" w:type="dxa"/>
                  <w:vAlign w:val="center"/>
                </w:tcPr>
                <w:p>
                  <w:pPr>
                    <w:spacing w:line="260" w:lineRule="exact"/>
                    <w:jc w:val="center"/>
                    <w:rPr>
                      <w:rFonts w:ascii="宋体" w:hAnsi="宋体"/>
                      <w:szCs w:val="21"/>
                    </w:rPr>
                  </w:pPr>
                  <w:r>
                    <w:rPr>
                      <w:rFonts w:hint="eastAsia" w:ascii="宋体" w:hAnsi="宋体"/>
                      <w:szCs w:val="21"/>
                    </w:rPr>
                    <w:t>专家评分</w:t>
                  </w:r>
                </w:p>
              </w:tc>
              <w:tc>
                <w:tcPr>
                  <w:tcW w:w="2862" w:type="dxa"/>
                  <w:gridSpan w:val="2"/>
                  <w:vAlign w:val="center"/>
                </w:tcPr>
                <w:p>
                  <w:pPr>
                    <w:spacing w:line="280" w:lineRule="exact"/>
                    <w:rPr>
                      <w:rFonts w:cs="宋体"/>
                      <w:szCs w:val="21"/>
                    </w:rPr>
                  </w:pPr>
                  <w:r>
                    <w:rPr>
                      <w:rFonts w:hint="eastAsia" w:cs="宋体"/>
                      <w:szCs w:val="21"/>
                    </w:rPr>
                    <w:t>投标人应如实填写《其他商务条款偏离表》，评审委员会根据响应情况进行打分，全部满足要求的得</w:t>
                  </w:r>
                  <w:r>
                    <w:rPr>
                      <w:szCs w:val="21"/>
                    </w:rPr>
                    <w:t>100</w:t>
                  </w:r>
                  <w:r>
                    <w:rPr>
                      <w:rFonts w:hint="eastAsia" w:cs="宋体"/>
                      <w:szCs w:val="21"/>
                    </w:rPr>
                    <w:t>分，每负偏离一项扣</w:t>
                  </w:r>
                  <w:r>
                    <w:rPr>
                      <w:rFonts w:hint="eastAsia"/>
                      <w:szCs w:val="21"/>
                    </w:rPr>
                    <w:t>20</w:t>
                  </w:r>
                  <w:r>
                    <w:rPr>
                      <w:rFonts w:hint="eastAsia"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1" w:type="dxa"/>
                  <w:vAlign w:val="center"/>
                </w:tcPr>
                <w:p>
                  <w:pPr>
                    <w:spacing w:line="240" w:lineRule="exact"/>
                    <w:jc w:val="center"/>
                    <w:rPr>
                      <w:rFonts w:ascii="宋体" w:hAnsi="宋体"/>
                      <w:szCs w:val="21"/>
                    </w:rPr>
                  </w:pPr>
                  <w:r>
                    <w:rPr>
                      <w:rFonts w:ascii="宋体" w:hAnsi="宋体"/>
                      <w:szCs w:val="21"/>
                    </w:rPr>
                    <w:t>4</w:t>
                  </w:r>
                </w:p>
              </w:tc>
              <w:tc>
                <w:tcPr>
                  <w:tcW w:w="4418" w:type="dxa"/>
                  <w:gridSpan w:val="5"/>
                  <w:vAlign w:val="center"/>
                </w:tcPr>
                <w:p>
                  <w:pPr>
                    <w:spacing w:line="240" w:lineRule="exact"/>
                    <w:jc w:val="center"/>
                    <w:rPr>
                      <w:rFonts w:ascii="宋体" w:hAnsi="宋体"/>
                      <w:szCs w:val="21"/>
                    </w:rPr>
                  </w:pPr>
                  <w:r>
                    <w:rPr>
                      <w:rFonts w:hint="eastAsia" w:ascii="宋体" w:hAnsi="宋体"/>
                      <w:szCs w:val="21"/>
                    </w:rPr>
                    <w:t>诚信情况</w:t>
                  </w:r>
                </w:p>
              </w:tc>
              <w:tc>
                <w:tcPr>
                  <w:tcW w:w="2856" w:type="dxa"/>
                  <w:vAlign w:val="center"/>
                </w:tcPr>
                <w:p>
                  <w:pPr>
                    <w:pStyle w:val="3"/>
                    <w:numPr>
                      <w:ilvl w:val="12"/>
                      <w:numId w:val="0"/>
                    </w:numPr>
                    <w:pBdr>
                      <w:bottom w:val="none" w:color="auto" w:sz="0" w:space="0"/>
                    </w:pBdr>
                    <w:tabs>
                      <w:tab w:val="clear" w:pos="4153"/>
                      <w:tab w:val="clear" w:pos="8306"/>
                    </w:tabs>
                    <w:spacing w:line="300" w:lineRule="auto"/>
                    <w:rPr>
                      <w:rFonts w:ascii="宋体" w:hAnsi="宋体"/>
                      <w:sz w:val="21"/>
                      <w:szCs w:val="21"/>
                    </w:rPr>
                  </w:pPr>
                  <w:r>
                    <w:rPr>
                      <w:rFonts w:ascii="宋体" w:hAnsi="宋体"/>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1" w:type="dxa"/>
                  <w:vMerge w:val="restart"/>
                  <w:vAlign w:val="center"/>
                </w:tcPr>
                <w:p>
                  <w:pPr>
                    <w:spacing w:line="240" w:lineRule="exact"/>
                    <w:jc w:val="center"/>
                    <w:rPr>
                      <w:rFonts w:ascii="宋体" w:hAnsi="宋体"/>
                      <w:szCs w:val="21"/>
                    </w:rPr>
                  </w:pPr>
                </w:p>
              </w:tc>
              <w:tc>
                <w:tcPr>
                  <w:tcW w:w="483" w:type="dxa"/>
                  <w:vAlign w:val="center"/>
                </w:tcPr>
                <w:p>
                  <w:pPr>
                    <w:spacing w:line="240" w:lineRule="exact"/>
                    <w:jc w:val="center"/>
                    <w:rPr>
                      <w:rFonts w:ascii="宋体" w:hAnsi="宋体"/>
                      <w:szCs w:val="21"/>
                    </w:rPr>
                  </w:pPr>
                  <w:r>
                    <w:rPr>
                      <w:rFonts w:hint="eastAsia" w:ascii="宋体" w:hAnsi="宋体"/>
                      <w:szCs w:val="21"/>
                    </w:rPr>
                    <w:t>序号</w:t>
                  </w:r>
                </w:p>
              </w:tc>
              <w:tc>
                <w:tcPr>
                  <w:tcW w:w="1843" w:type="dxa"/>
                  <w:vAlign w:val="center"/>
                </w:tcPr>
                <w:p>
                  <w:pPr>
                    <w:spacing w:line="240" w:lineRule="exact"/>
                    <w:jc w:val="center"/>
                    <w:rPr>
                      <w:rFonts w:ascii="宋体" w:hAnsi="宋体"/>
                      <w:szCs w:val="21"/>
                    </w:rPr>
                  </w:pPr>
                  <w:r>
                    <w:rPr>
                      <w:rFonts w:hint="eastAsia" w:ascii="宋体" w:hAnsi="宋体"/>
                      <w:szCs w:val="21"/>
                    </w:rPr>
                    <w:t>评分因素</w:t>
                  </w:r>
                </w:p>
              </w:tc>
              <w:tc>
                <w:tcPr>
                  <w:tcW w:w="897" w:type="dxa"/>
                  <w:vAlign w:val="center"/>
                </w:tcPr>
                <w:p>
                  <w:pPr>
                    <w:spacing w:line="240" w:lineRule="exact"/>
                    <w:jc w:val="center"/>
                    <w:rPr>
                      <w:rFonts w:ascii="宋体" w:hAnsi="宋体"/>
                      <w:szCs w:val="21"/>
                    </w:rPr>
                  </w:pPr>
                  <w:r>
                    <w:rPr>
                      <w:rFonts w:hint="eastAsia" w:ascii="宋体" w:hAnsi="宋体"/>
                      <w:szCs w:val="21"/>
                    </w:rPr>
                    <w:t>权重</w:t>
                  </w:r>
                </w:p>
              </w:tc>
              <w:tc>
                <w:tcPr>
                  <w:tcW w:w="1195" w:type="dxa"/>
                  <w:gridSpan w:val="2"/>
                  <w:vAlign w:val="center"/>
                </w:tcPr>
                <w:p>
                  <w:pPr>
                    <w:spacing w:line="240" w:lineRule="exact"/>
                    <w:jc w:val="center"/>
                    <w:rPr>
                      <w:rFonts w:ascii="宋体" w:hAnsi="宋体"/>
                      <w:szCs w:val="21"/>
                    </w:rPr>
                  </w:pPr>
                  <w:r>
                    <w:rPr>
                      <w:rFonts w:hint="eastAsia" w:ascii="宋体" w:hAnsi="宋体"/>
                      <w:szCs w:val="21"/>
                    </w:rPr>
                    <w:t>评分方式</w:t>
                  </w:r>
                </w:p>
              </w:tc>
              <w:tc>
                <w:tcPr>
                  <w:tcW w:w="2856" w:type="dxa"/>
                  <w:vAlign w:val="center"/>
                </w:tcPr>
                <w:p>
                  <w:pPr>
                    <w:spacing w:line="240" w:lineRule="exact"/>
                    <w:jc w:val="center"/>
                    <w:rPr>
                      <w:rFonts w:ascii="宋体" w:hAnsi="宋体"/>
                      <w:szCs w:val="21"/>
                    </w:rPr>
                  </w:pPr>
                  <w:r>
                    <w:rPr>
                      <w:rFonts w:hint="eastAsia" w:ascii="宋体" w:hAnsi="宋体"/>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1" w:type="dxa"/>
                  <w:vMerge w:val="continue"/>
                  <w:vAlign w:val="center"/>
                </w:tcPr>
                <w:p>
                  <w:pPr>
                    <w:keepNext/>
                    <w:keepLines/>
                    <w:spacing w:before="340" w:after="330" w:line="240" w:lineRule="exact"/>
                    <w:jc w:val="center"/>
                    <w:outlineLvl w:val="0"/>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1</w:t>
                  </w:r>
                </w:p>
              </w:tc>
              <w:tc>
                <w:tcPr>
                  <w:tcW w:w="1843" w:type="dxa"/>
                  <w:vAlign w:val="center"/>
                </w:tcPr>
                <w:p>
                  <w:pPr>
                    <w:spacing w:line="240" w:lineRule="exact"/>
                    <w:jc w:val="center"/>
                    <w:rPr>
                      <w:rFonts w:ascii="宋体" w:hAnsi="宋体"/>
                      <w:szCs w:val="21"/>
                    </w:rPr>
                  </w:pPr>
                  <w:r>
                    <w:rPr>
                      <w:rFonts w:hint="eastAsia" w:ascii="宋体" w:hAnsi="宋体"/>
                      <w:szCs w:val="21"/>
                    </w:rPr>
                    <w:t>诚信</w:t>
                  </w:r>
                </w:p>
              </w:tc>
              <w:tc>
                <w:tcPr>
                  <w:tcW w:w="897" w:type="dxa"/>
                  <w:vAlign w:val="center"/>
                </w:tcPr>
                <w:p>
                  <w:pPr>
                    <w:spacing w:line="240" w:lineRule="exact"/>
                    <w:jc w:val="center"/>
                    <w:rPr>
                      <w:rFonts w:ascii="宋体" w:hAnsi="宋体"/>
                      <w:szCs w:val="21"/>
                    </w:rPr>
                  </w:pPr>
                  <w:r>
                    <w:rPr>
                      <w:rFonts w:ascii="宋体" w:hAnsi="宋体"/>
                      <w:szCs w:val="21"/>
                    </w:rPr>
                    <w:t>5</w:t>
                  </w:r>
                </w:p>
              </w:tc>
              <w:tc>
                <w:tcPr>
                  <w:tcW w:w="1195" w:type="dxa"/>
                  <w:gridSpan w:val="2"/>
                  <w:vAlign w:val="center"/>
                </w:tcPr>
                <w:p>
                  <w:pPr>
                    <w:spacing w:line="240" w:lineRule="exact"/>
                    <w:jc w:val="center"/>
                    <w:rPr>
                      <w:rFonts w:ascii="宋体" w:hAnsi="宋体"/>
                      <w:szCs w:val="21"/>
                    </w:rPr>
                  </w:pPr>
                  <w:r>
                    <w:rPr>
                      <w:rFonts w:hint="eastAsia" w:ascii="宋体" w:hAnsi="宋体"/>
                      <w:szCs w:val="21"/>
                    </w:rPr>
                    <w:t>专家评分</w:t>
                  </w:r>
                </w:p>
              </w:tc>
              <w:tc>
                <w:tcPr>
                  <w:tcW w:w="2856" w:type="dxa"/>
                </w:tcPr>
                <w:p>
                  <w:pPr>
                    <w:rPr>
                      <w:rFonts w:ascii="宋体" w:hAnsi="宋体"/>
                      <w:szCs w:val="21"/>
                    </w:rPr>
                  </w:pPr>
                  <w:r>
                    <w:rPr>
                      <w:rFonts w:hint="eastAsia" w:ascii="宋体" w:hAnsi="宋体" w:cs="宋体"/>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631" w:type="dxa"/>
                  <w:vMerge w:val="continue"/>
                  <w:vAlign w:val="center"/>
                </w:tcPr>
                <w:p>
                  <w:pPr>
                    <w:keepNext/>
                    <w:keepLines/>
                    <w:spacing w:before="260" w:after="260" w:line="240" w:lineRule="exact"/>
                    <w:jc w:val="center"/>
                    <w:outlineLvl w:val="2"/>
                    <w:rPr>
                      <w:rFonts w:ascii="宋体" w:hAnsi="宋体"/>
                      <w:szCs w:val="21"/>
                    </w:rPr>
                  </w:pPr>
                </w:p>
              </w:tc>
              <w:tc>
                <w:tcPr>
                  <w:tcW w:w="483" w:type="dxa"/>
                  <w:vAlign w:val="center"/>
                </w:tcPr>
                <w:p>
                  <w:pPr>
                    <w:spacing w:line="240" w:lineRule="exact"/>
                    <w:jc w:val="center"/>
                    <w:rPr>
                      <w:rFonts w:ascii="宋体" w:hAnsi="宋体"/>
                      <w:szCs w:val="21"/>
                    </w:rPr>
                  </w:pPr>
                  <w:r>
                    <w:rPr>
                      <w:rFonts w:ascii="宋体" w:hAnsi="宋体"/>
                      <w:szCs w:val="21"/>
                    </w:rPr>
                    <w:t>2</w:t>
                  </w:r>
                </w:p>
              </w:tc>
              <w:tc>
                <w:tcPr>
                  <w:tcW w:w="1843" w:type="dxa"/>
                  <w:vAlign w:val="center"/>
                </w:tcPr>
                <w:p>
                  <w:pPr>
                    <w:spacing w:line="240" w:lineRule="exact"/>
                    <w:jc w:val="center"/>
                    <w:rPr>
                      <w:rFonts w:ascii="宋体" w:hAnsi="宋体"/>
                      <w:szCs w:val="21"/>
                    </w:rPr>
                  </w:pPr>
                  <w:r>
                    <w:rPr>
                      <w:rFonts w:hint="eastAsia" w:ascii="宋体" w:hAnsi="宋体"/>
                      <w:szCs w:val="21"/>
                    </w:rPr>
                    <w:t>履约</w:t>
                  </w:r>
                </w:p>
              </w:tc>
              <w:tc>
                <w:tcPr>
                  <w:tcW w:w="897" w:type="dxa"/>
                  <w:vAlign w:val="center"/>
                </w:tcPr>
                <w:p>
                  <w:pPr>
                    <w:spacing w:line="240" w:lineRule="exact"/>
                    <w:jc w:val="center"/>
                    <w:rPr>
                      <w:rFonts w:ascii="宋体" w:hAnsi="宋体"/>
                      <w:szCs w:val="21"/>
                    </w:rPr>
                  </w:pPr>
                  <w:r>
                    <w:rPr>
                      <w:rFonts w:ascii="宋体" w:hAnsi="宋体"/>
                      <w:szCs w:val="21"/>
                    </w:rPr>
                    <w:t>2</w:t>
                  </w:r>
                </w:p>
              </w:tc>
              <w:tc>
                <w:tcPr>
                  <w:tcW w:w="1195" w:type="dxa"/>
                  <w:gridSpan w:val="2"/>
                  <w:vAlign w:val="center"/>
                </w:tcPr>
                <w:p>
                  <w:pPr>
                    <w:spacing w:line="240" w:lineRule="exact"/>
                    <w:jc w:val="center"/>
                    <w:rPr>
                      <w:rFonts w:ascii="宋体" w:hAnsi="宋体"/>
                      <w:szCs w:val="21"/>
                    </w:rPr>
                  </w:pPr>
                  <w:r>
                    <w:rPr>
                      <w:rFonts w:hint="eastAsia" w:ascii="宋体" w:hAnsi="宋体"/>
                      <w:szCs w:val="21"/>
                    </w:rPr>
                    <w:t>专家打分</w:t>
                  </w:r>
                </w:p>
              </w:tc>
              <w:tc>
                <w:tcPr>
                  <w:tcW w:w="2856" w:type="dxa"/>
                </w:tcPr>
                <w:p>
                  <w:pPr>
                    <w:pStyle w:val="3"/>
                    <w:numPr>
                      <w:ilvl w:val="12"/>
                      <w:numId w:val="0"/>
                    </w:numPr>
                    <w:pBdr>
                      <w:bottom w:val="none" w:color="auto" w:sz="0" w:space="0"/>
                    </w:pBdr>
                    <w:tabs>
                      <w:tab w:val="clear" w:pos="4153"/>
                      <w:tab w:val="clear" w:pos="8306"/>
                    </w:tabs>
                    <w:spacing w:line="300" w:lineRule="auto"/>
                    <w:jc w:val="both"/>
                    <w:rPr>
                      <w:rFonts w:ascii="宋体" w:hAnsi="宋体" w:cs="宋体"/>
                      <w:sz w:val="21"/>
                      <w:szCs w:val="21"/>
                    </w:rPr>
                  </w:pPr>
                  <w:r>
                    <w:rPr>
                      <w:rFonts w:hint="eastAsia" w:ascii="宋体" w:hAnsi="宋体"/>
                      <w:sz w:val="21"/>
                      <w:szCs w:val="21"/>
                    </w:rPr>
                    <w:t>近三年（以投标截止日期为准）在市政府采购中心有履约评价为差的记录，本项不得分，否则，得满分。</w:t>
                  </w:r>
                  <w:r>
                    <w:rPr>
                      <w:rFonts w:hint="eastAsia" w:ascii="宋体" w:hAnsi="宋体" w:cs="宋体"/>
                      <w:sz w:val="21"/>
                      <w:szCs w:val="21"/>
                    </w:rPr>
                    <w:t>投标人无需提供任何证明材料，由采购中心工作人员向评委会提供相关信息。</w:t>
                  </w:r>
                </w:p>
              </w:tc>
            </w:tr>
          </w:tbl>
          <w:p>
            <w:pPr>
              <w:widowControl/>
              <w:jc w:val="left"/>
              <w:rPr>
                <w:rFonts w:ascii="宋体" w:hAnsi="宋体" w:eastAsia="宋体" w:cs="宋体"/>
                <w:kern w:val="0"/>
                <w:sz w:val="20"/>
                <w:szCs w:val="20"/>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其它</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306" w:type="dxa"/>
            <w:tcBorders>
              <w:top w:val="single" w:color="auto" w:sz="6" w:space="0"/>
              <w:left w:val="single" w:color="auto" w:sz="6" w:space="0"/>
              <w:bottom w:val="nil"/>
              <w:right w:val="nil"/>
            </w:tcBorders>
            <w:vAlign w:val="center"/>
          </w:tcPr>
          <w:p>
            <w:pPr>
              <w:widowControl/>
              <w:spacing w:before="100" w:beforeAutospacing="1" w:after="100" w:afterAutospacing="1"/>
              <w:jc w:val="left"/>
              <w:rPr>
                <w:rFonts w:ascii="宋体" w:hAnsi="宋体" w:eastAsia="宋体" w:cs="宋体"/>
                <w:kern w:val="0"/>
                <w:sz w:val="20"/>
                <w:szCs w:val="20"/>
              </w:rPr>
            </w:pPr>
            <w:r>
              <w:rPr>
                <w:rFonts w:ascii="宋体" w:hAnsi="宋体" w:eastAsia="宋体" w:cs="宋体"/>
                <w:b/>
                <w:bCs/>
                <w:kern w:val="0"/>
                <w:sz w:val="20"/>
                <w:szCs w:val="20"/>
              </w:rPr>
              <w:t>附件</w:t>
            </w:r>
            <w:r>
              <w:rPr>
                <w:rFonts w:ascii="宋体" w:hAnsi="宋体" w:eastAsia="宋体" w:cs="宋体"/>
                <w:kern w:val="0"/>
                <w:sz w:val="20"/>
                <w:szCs w:val="20"/>
              </w:rPr>
              <w:t xml:space="preserve"> </w:t>
            </w:r>
          </w:p>
        </w:tc>
        <w:tc>
          <w:tcPr>
            <w:tcW w:w="9468" w:type="dxa"/>
            <w:gridSpan w:val="3"/>
            <w:tcBorders>
              <w:top w:val="single" w:color="auto" w:sz="6" w:space="0"/>
              <w:left w:val="single" w:color="auto" w:sz="6" w:space="0"/>
              <w:bottom w:val="nil"/>
              <w:right w:val="nil"/>
            </w:tcBorders>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5AE9"/>
    <w:rsid w:val="00022396"/>
    <w:rsid w:val="00024A31"/>
    <w:rsid w:val="00046274"/>
    <w:rsid w:val="00061B01"/>
    <w:rsid w:val="000F3E5F"/>
    <w:rsid w:val="00152AE6"/>
    <w:rsid w:val="001E01F8"/>
    <w:rsid w:val="00237E82"/>
    <w:rsid w:val="00284D25"/>
    <w:rsid w:val="00320A7E"/>
    <w:rsid w:val="003B338F"/>
    <w:rsid w:val="00445712"/>
    <w:rsid w:val="00461517"/>
    <w:rsid w:val="004C233F"/>
    <w:rsid w:val="004F7DD5"/>
    <w:rsid w:val="0051104B"/>
    <w:rsid w:val="005D55FC"/>
    <w:rsid w:val="005D5AE9"/>
    <w:rsid w:val="005E1B85"/>
    <w:rsid w:val="006204AC"/>
    <w:rsid w:val="007278DD"/>
    <w:rsid w:val="007326BE"/>
    <w:rsid w:val="00740B8E"/>
    <w:rsid w:val="00795AF1"/>
    <w:rsid w:val="00797F6C"/>
    <w:rsid w:val="007A1717"/>
    <w:rsid w:val="007B655D"/>
    <w:rsid w:val="00801C22"/>
    <w:rsid w:val="008A61A8"/>
    <w:rsid w:val="00912805"/>
    <w:rsid w:val="009C7B9C"/>
    <w:rsid w:val="00A1655C"/>
    <w:rsid w:val="00A66B9D"/>
    <w:rsid w:val="00A81187"/>
    <w:rsid w:val="00AC0DF1"/>
    <w:rsid w:val="00AC1882"/>
    <w:rsid w:val="00AE7B08"/>
    <w:rsid w:val="00B050F8"/>
    <w:rsid w:val="00B06840"/>
    <w:rsid w:val="00B4247F"/>
    <w:rsid w:val="00BD1D19"/>
    <w:rsid w:val="00BD4CD7"/>
    <w:rsid w:val="00C03F66"/>
    <w:rsid w:val="00C97C25"/>
    <w:rsid w:val="00CD1197"/>
    <w:rsid w:val="00D10DB4"/>
    <w:rsid w:val="00DB6660"/>
    <w:rsid w:val="00DC7026"/>
    <w:rsid w:val="00DF7812"/>
    <w:rsid w:val="00E56DF7"/>
    <w:rsid w:val="00E7331A"/>
    <w:rsid w:val="00E764D2"/>
    <w:rsid w:val="00EE53E6"/>
    <w:rsid w:val="00EF7C84"/>
    <w:rsid w:val="00F14A5B"/>
    <w:rsid w:val="00F23D2E"/>
    <w:rsid w:val="00F27F2B"/>
    <w:rsid w:val="00F32E87"/>
    <w:rsid w:val="00F60590"/>
    <w:rsid w:val="00FC2253"/>
    <w:rsid w:val="00FD3556"/>
    <w:rsid w:val="1A7F0A86"/>
    <w:rsid w:val="7788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sz w:val="20"/>
      <w:szCs w:val="20"/>
      <w:u w:val="single"/>
    </w:rPr>
  </w:style>
  <w:style w:type="character" w:styleId="10">
    <w:name w:val="Hyperlink"/>
    <w:basedOn w:val="7"/>
    <w:semiHidden/>
    <w:unhideWhenUsed/>
    <w:qFormat/>
    <w:uiPriority w:val="99"/>
    <w:rPr>
      <w:color w:val="0000FF"/>
      <w:sz w:val="20"/>
      <w:szCs w:val="20"/>
      <w:u w:val="single"/>
    </w:rPr>
  </w:style>
  <w:style w:type="paragraph" w:customStyle="1" w:styleId="11">
    <w:name w:val="tableheader"/>
    <w:basedOn w:val="1"/>
    <w:qFormat/>
    <w:uiPriority w:val="0"/>
    <w:pPr>
      <w:widowControl/>
      <w:shd w:val="clear" w:color="auto" w:fill="ABCDEF"/>
      <w:spacing w:before="100" w:beforeAutospacing="1" w:after="100" w:afterAutospacing="1"/>
      <w:jc w:val="left"/>
    </w:pPr>
    <w:rPr>
      <w:rFonts w:ascii="宋体" w:hAnsi="宋体" w:eastAsia="宋体" w:cs="宋体"/>
      <w:kern w:val="0"/>
      <w:sz w:val="24"/>
      <w:szCs w:val="24"/>
    </w:rPr>
  </w:style>
  <w:style w:type="character" w:customStyle="1" w:styleId="12">
    <w:name w:val="页眉 Char"/>
    <w:basedOn w:val="7"/>
    <w:link w:val="3"/>
    <w:qFormat/>
    <w:uiPriority w:val="0"/>
    <w:rPr>
      <w:rFonts w:ascii="Times New Roman" w:hAnsi="Times New Roman" w:eastAsia="宋体" w:cs="Times New Roman"/>
      <w:sz w:val="18"/>
      <w:szCs w:val="18"/>
    </w:rPr>
  </w:style>
  <w:style w:type="character" w:customStyle="1" w:styleId="13">
    <w:name w:val="页脚 Char"/>
    <w:basedOn w:val="7"/>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2</Pages>
  <Words>130</Words>
  <Characters>742</Characters>
  <Lines>6</Lines>
  <Paragraphs>1</Paragraphs>
  <TotalTime>1</TotalTime>
  <ScaleCrop>false</ScaleCrop>
  <LinksUpToDate>false</LinksUpToDate>
  <CharactersWithSpaces>871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2019-06-26T10:27:00Z</dcterms:created>
  <dc:creator>张婷婷</dc:creator>
  <cp:lastModifiedBy>臭萝卜</cp:lastModifiedBy>
  <dcterms:modified xsi:type="dcterms:W3CDTF">2021-09-18T09:20:28Z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83FDA0237FD24AAC856C74CCBDCEC988</vt:lpwstr>
  </property>
</Properties>
</file>