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56"/>
          <w:szCs w:val="56"/>
        </w:rPr>
      </w:pPr>
      <w:r>
        <w:rPr>
          <w:rFonts w:hint="eastAsia" w:ascii="仿宋" w:hAnsi="仿宋" w:eastAsia="仿宋"/>
          <w:b/>
          <w:bCs/>
          <w:snapToGrid w:val="0"/>
          <w:kern w:val="0"/>
          <w:sz w:val="56"/>
          <w:szCs w:val="56"/>
        </w:rPr>
        <w:t>2022年福田区涉进口冷链食品新冠病毒核酸监测项目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ascii="仿宋" w:hAnsi="仿宋" w:eastAsia="仿宋"/>
          <w:b/>
          <w:snapToGrid w:val="0"/>
          <w:kern w:val="0"/>
          <w:sz w:val="44"/>
        </w:rPr>
      </w:pPr>
      <w:r>
        <w:rPr>
          <w:rFonts w:hint="eastAsia" w:ascii="仿宋" w:hAnsi="仿宋" w:eastAsia="仿宋"/>
          <w:b/>
          <w:snapToGrid w:val="0"/>
          <w:kern w:val="0"/>
          <w:sz w:val="32"/>
        </w:rPr>
        <w:t>项目编号：FTDL2021188053</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1"/>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二〇二一年</w:t>
      </w:r>
      <w:r>
        <w:rPr>
          <w:rFonts w:hint="eastAsia" w:ascii="仿宋" w:hAnsi="仿宋" w:eastAsia="仿宋"/>
          <w:b/>
          <w:snapToGrid w:val="0"/>
          <w:sz w:val="30"/>
          <w:lang w:val="en-US" w:eastAsia="zh-CN"/>
        </w:rPr>
        <w:t>十二</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2022年福田区涉进口冷链食品新冠病毒核酸监测项目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FTDL2021188053</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服务类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lang w:val="en-US" w:eastAsia="zh-CN"/>
              </w:rPr>
              <w:t>2</w:t>
            </w:r>
            <w:r>
              <w:rPr>
                <w:rFonts w:hint="eastAsia" w:ascii="仿宋" w:hAnsi="仿宋" w:eastAsia="仿宋" w:cs="Arial Unicode MS"/>
                <w:sz w:val="24"/>
              </w:rPr>
              <w:t>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服务方案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差异表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第六部分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附件</w:t>
            </w:r>
            <w:bookmarkStart w:id="0" w:name="_Hlt229371809"/>
            <w:r>
              <w:rPr>
                <w:rFonts w:ascii="仿宋" w:hAnsi="仿宋" w:eastAsia="仿宋" w:cs="Arial Unicode MS"/>
                <w:sz w:val="24"/>
              </w:rPr>
              <w:t>1</w:t>
            </w:r>
            <w:bookmarkEnd w:id="0"/>
            <w:r>
              <w:rPr>
                <w:rFonts w:ascii="仿宋" w:hAnsi="仿宋" w:eastAsia="仿宋" w:cs="Arial Unicode MS"/>
                <w:sz w:val="24"/>
              </w:rPr>
              <w:t xml:space="preserve">  </w:t>
            </w:r>
            <w:r>
              <w:rPr>
                <w:rFonts w:hint="eastAsia" w:ascii="仿宋" w:hAnsi="仿宋" w:eastAsia="仿宋" w:cs="Arial Unicode MS"/>
                <w:sz w:val="24"/>
              </w:rPr>
              <w:t>履</w:t>
            </w:r>
            <w:bookmarkStart w:id="1" w:name="_Hlt358023691"/>
            <w:r>
              <w:rPr>
                <w:rFonts w:hint="eastAsia" w:ascii="仿宋" w:hAnsi="仿宋" w:eastAsia="仿宋" w:cs="Arial Unicode MS"/>
                <w:sz w:val="24"/>
              </w:rPr>
              <w:t>约</w:t>
            </w:r>
            <w:bookmarkEnd w:id="1"/>
            <w:r>
              <w:rPr>
                <w:rFonts w:ascii="仿宋" w:hAnsi="仿宋" w:eastAsia="仿宋" w:cs="Arial Unicode MS"/>
                <w:sz w:val="24"/>
              </w:rPr>
              <w:t>保</w:t>
            </w:r>
            <w:bookmarkStart w:id="2" w:name="_Hlt356375840"/>
            <w:bookmarkStart w:id="3" w:name="_Hlt356375839"/>
            <w:r>
              <w:rPr>
                <w:rFonts w:ascii="仿宋" w:hAnsi="仿宋" w:eastAsia="仿宋" w:cs="Arial Unicode MS"/>
                <w:sz w:val="24"/>
              </w:rPr>
              <w:t>证</w:t>
            </w:r>
            <w:bookmarkEnd w:id="2"/>
            <w:bookmarkEnd w:id="3"/>
            <w:r>
              <w:rPr>
                <w:rFonts w:ascii="仿宋" w:hAnsi="仿宋" w:eastAsia="仿宋" w:cs="Arial Unicode MS"/>
                <w:sz w:val="24"/>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 xml:space="preserve">附件2 </w:t>
            </w:r>
            <w:r>
              <w:rPr>
                <w:rFonts w:ascii="仿宋" w:hAnsi="仿宋" w:eastAsia="仿宋" w:cs="Arial Unicode MS"/>
                <w:sz w:val="24"/>
              </w:rPr>
              <w:t xml:space="preserve"> </w:t>
            </w:r>
            <w:r>
              <w:rPr>
                <w:rFonts w:hint="eastAsia" w:ascii="仿宋" w:hAnsi="仿宋" w:eastAsia="仿宋" w:cs="Arial Unicode MS"/>
                <w:sz w:val="24"/>
              </w:rPr>
              <w:t>项目保证金退还申请表</w:t>
            </w:r>
          </w:p>
        </w:tc>
      </w:tr>
    </w:tbl>
    <w:p>
      <w:pPr>
        <w:widowControl/>
        <w:jc w:val="left"/>
      </w:pPr>
      <w:r>
        <w:br w:type="page"/>
      </w:r>
    </w:p>
    <w:p>
      <w:pPr>
        <w:jc w:val="left"/>
      </w:pPr>
    </w:p>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2022年福田区涉进口冷链食品新冠病毒核酸监测项目采购公告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2022年福田区涉进口冷链食品新冠病毒核酸监测项目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2021</w:t>
      </w:r>
      <w:r>
        <w:rPr>
          <w:rFonts w:hint="eastAsia" w:ascii="仿宋" w:hAnsi="仿宋" w:eastAsia="仿宋"/>
          <w:bCs/>
          <w:sz w:val="24"/>
          <w:szCs w:val="24"/>
        </w:rPr>
        <w:t>年</w:t>
      </w:r>
      <w:r>
        <w:rPr>
          <w:rFonts w:hint="eastAsia" w:ascii="仿宋" w:hAnsi="仿宋" w:eastAsia="仿宋"/>
          <w:bCs/>
          <w:sz w:val="24"/>
          <w:szCs w:val="24"/>
          <w:u w:val="single"/>
          <w:lang w:val="en-US" w:eastAsia="zh-CN"/>
        </w:rPr>
        <w:t>12</w:t>
      </w:r>
      <w:r>
        <w:rPr>
          <w:rFonts w:hint="eastAsia" w:ascii="仿宋" w:hAnsi="仿宋" w:eastAsia="仿宋"/>
          <w:bCs/>
          <w:sz w:val="24"/>
          <w:szCs w:val="24"/>
        </w:rPr>
        <w:t>月</w:t>
      </w:r>
      <w:r>
        <w:rPr>
          <w:rFonts w:hint="eastAsia" w:ascii="仿宋" w:hAnsi="仿宋" w:eastAsia="仿宋"/>
          <w:bCs/>
          <w:sz w:val="24"/>
          <w:szCs w:val="24"/>
          <w:u w:val="single"/>
          <w:lang w:val="en-US" w:eastAsia="zh-CN"/>
        </w:rPr>
        <w:t>21</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6</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1、项目编号：FTDL2021188053</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2、项目名称：2022年福田区涉进口冷链食品新冠病毒核酸监测项目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332</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rPr>
      </w:pPr>
      <w:r>
        <w:rPr>
          <w:rFonts w:hint="eastAsia" w:ascii="仿宋" w:hAnsi="仿宋" w:eastAsia="仿宋"/>
          <w:bCs/>
          <w:sz w:val="24"/>
          <w:szCs w:val="24"/>
        </w:rPr>
        <w:t>4、单价最高限价：</w:t>
      </w:r>
      <w:r>
        <w:rPr>
          <w:rFonts w:hint="eastAsia" w:ascii="仿宋" w:hAnsi="仿宋" w:eastAsia="仿宋"/>
          <w:bCs/>
          <w:sz w:val="24"/>
          <w:szCs w:val="24"/>
          <w:lang w:val="en-US" w:eastAsia="zh-CN"/>
        </w:rPr>
        <w:t>1）单管</w:t>
      </w:r>
      <w:r>
        <w:rPr>
          <w:rFonts w:hint="eastAsia" w:ascii="仿宋" w:hAnsi="仿宋" w:eastAsia="仿宋"/>
          <w:bCs/>
          <w:sz w:val="24"/>
          <w:szCs w:val="24"/>
        </w:rPr>
        <w:t>最高投标上限单价为</w:t>
      </w:r>
      <w:r>
        <w:rPr>
          <w:rFonts w:hint="eastAsia" w:ascii="仿宋" w:hAnsi="仿宋" w:eastAsia="仿宋"/>
          <w:bCs/>
          <w:sz w:val="24"/>
          <w:szCs w:val="24"/>
          <w:lang w:val="en-US" w:eastAsia="zh-CN"/>
        </w:rPr>
        <w:t>40</w:t>
      </w:r>
      <w:r>
        <w:rPr>
          <w:rFonts w:hint="eastAsia" w:ascii="仿宋" w:hAnsi="仿宋" w:eastAsia="仿宋"/>
          <w:bCs/>
          <w:sz w:val="24"/>
          <w:szCs w:val="24"/>
        </w:rPr>
        <w:t>元</w:t>
      </w:r>
      <w:r>
        <w:rPr>
          <w:rFonts w:hint="eastAsia" w:ascii="仿宋" w:hAnsi="仿宋" w:eastAsia="仿宋"/>
          <w:bCs/>
          <w:sz w:val="24"/>
          <w:szCs w:val="24"/>
          <w:lang w:val="en-US" w:eastAsia="zh-CN"/>
        </w:rPr>
        <w:t>/人</w:t>
      </w:r>
      <w:r>
        <w:rPr>
          <w:rFonts w:hint="eastAsia" w:ascii="仿宋" w:hAnsi="仿宋" w:eastAsia="仿宋"/>
          <w:bCs/>
          <w:sz w:val="24"/>
          <w:szCs w:val="24"/>
        </w:rPr>
        <w:t>次</w:t>
      </w:r>
    </w:p>
    <w:p>
      <w:pPr>
        <w:spacing w:line="360" w:lineRule="auto"/>
        <w:ind w:firstLine="2580" w:firstLineChars="1075"/>
        <w:rPr>
          <w:rFonts w:ascii="仿宋" w:hAnsi="仿宋" w:eastAsia="仿宋"/>
          <w:bCs/>
          <w:sz w:val="24"/>
          <w:szCs w:val="24"/>
        </w:rPr>
      </w:pPr>
      <w:r>
        <w:rPr>
          <w:rFonts w:hint="eastAsia" w:ascii="仿宋" w:hAnsi="仿宋" w:eastAsia="仿宋"/>
          <w:bCs/>
          <w:sz w:val="24"/>
          <w:szCs w:val="24"/>
          <w:lang w:val="en-US" w:eastAsia="zh-CN"/>
        </w:rPr>
        <w:t>2）混采</w:t>
      </w:r>
      <w:r>
        <w:rPr>
          <w:rFonts w:hint="eastAsia" w:ascii="仿宋" w:hAnsi="仿宋" w:eastAsia="仿宋"/>
          <w:bCs/>
          <w:sz w:val="24"/>
          <w:szCs w:val="24"/>
        </w:rPr>
        <w:t>最高投标上限单价为</w:t>
      </w:r>
      <w:r>
        <w:rPr>
          <w:rFonts w:hint="eastAsia" w:ascii="仿宋" w:hAnsi="仿宋" w:eastAsia="仿宋"/>
          <w:bCs/>
          <w:sz w:val="24"/>
          <w:szCs w:val="24"/>
          <w:lang w:val="en-US" w:eastAsia="zh-CN"/>
        </w:rPr>
        <w:t>10</w:t>
      </w:r>
      <w:r>
        <w:rPr>
          <w:rFonts w:hint="eastAsia" w:ascii="仿宋" w:hAnsi="仿宋" w:eastAsia="仿宋"/>
          <w:bCs/>
          <w:sz w:val="24"/>
          <w:szCs w:val="24"/>
        </w:rPr>
        <w:t>元</w:t>
      </w:r>
      <w:r>
        <w:rPr>
          <w:rFonts w:hint="eastAsia" w:ascii="仿宋" w:hAnsi="仿宋" w:eastAsia="仿宋"/>
          <w:bCs/>
          <w:sz w:val="24"/>
          <w:szCs w:val="24"/>
          <w:lang w:val="en-US" w:eastAsia="zh-CN"/>
        </w:rPr>
        <w:t>/人</w:t>
      </w:r>
      <w:r>
        <w:rPr>
          <w:rFonts w:hint="eastAsia" w:ascii="仿宋" w:hAnsi="仿宋" w:eastAsia="仿宋"/>
          <w:bCs/>
          <w:sz w:val="24"/>
          <w:szCs w:val="24"/>
        </w:rPr>
        <w:t>次</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5895"/>
        <w:gridCol w:w="720"/>
        <w:gridCol w:w="170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5895"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720"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1706"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18"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5895"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2022年福田区涉进口冷链食品新冠病毒核酸监测项目</w:t>
            </w:r>
          </w:p>
        </w:tc>
        <w:tc>
          <w:tcPr>
            <w:tcW w:w="720"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1项</w:t>
            </w:r>
          </w:p>
        </w:tc>
        <w:tc>
          <w:tcPr>
            <w:tcW w:w="1706"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7、合同履行期限：自</w:t>
      </w:r>
      <w:r>
        <w:rPr>
          <w:rFonts w:hint="eastAsia" w:ascii="仿宋" w:hAnsi="仿宋" w:eastAsia="仿宋"/>
          <w:bCs/>
          <w:sz w:val="24"/>
          <w:szCs w:val="24"/>
          <w:lang w:val="en-US" w:eastAsia="zh-CN"/>
        </w:rPr>
        <w:t>2022年1月1</w:t>
      </w:r>
      <w:r>
        <w:rPr>
          <w:rFonts w:hint="eastAsia" w:ascii="仿宋" w:hAnsi="仿宋" w:eastAsia="仿宋"/>
          <w:bCs/>
          <w:sz w:val="24"/>
          <w:szCs w:val="24"/>
        </w:rPr>
        <w:t>日起至202</w:t>
      </w:r>
      <w:r>
        <w:rPr>
          <w:rFonts w:hint="eastAsia" w:ascii="仿宋" w:hAnsi="仿宋" w:eastAsia="仿宋"/>
          <w:bCs/>
          <w:sz w:val="24"/>
          <w:szCs w:val="24"/>
          <w:lang w:val="en-US" w:eastAsia="zh-CN"/>
        </w:rPr>
        <w:t>2</w:t>
      </w:r>
      <w:r>
        <w:rPr>
          <w:rFonts w:hint="eastAsia" w:ascii="仿宋" w:hAnsi="仿宋" w:eastAsia="仿宋"/>
          <w:bCs/>
          <w:sz w:val="24"/>
          <w:szCs w:val="24"/>
        </w:rPr>
        <w:t>年12月31日止。</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w:t>
      </w:r>
      <w:r>
        <w:rPr>
          <w:rFonts w:hint="eastAsia" w:ascii="仿宋" w:hAnsi="仿宋" w:eastAsia="仿宋"/>
          <w:bCs/>
          <w:sz w:val="24"/>
        </w:rPr>
        <w:t>深圳公共资源交易中心网站</w:t>
      </w:r>
      <w:r>
        <w:rPr>
          <w:rFonts w:hint="eastAsia" w:ascii="仿宋" w:hAnsi="仿宋" w:eastAsia="仿宋"/>
          <w:bCs/>
          <w:sz w:val="24"/>
          <w:szCs w:val="24"/>
        </w:rPr>
        <w:t>注册的供应商，注册网址</w:t>
      </w:r>
      <w:r>
        <w:rPr>
          <w:rFonts w:ascii="仿宋" w:hAnsi="仿宋" w:eastAsia="仿宋"/>
          <w:bCs/>
          <w:sz w:val="24"/>
        </w:rPr>
        <w:t>www.szzfcg.cn</w:t>
      </w:r>
      <w:r>
        <w:rPr>
          <w:rFonts w:hint="eastAsia" w:ascii="仿宋" w:hAnsi="仿宋" w:eastAsia="仿宋"/>
          <w:bCs/>
          <w:sz w:val="24"/>
          <w:szCs w:val="24"/>
        </w:rPr>
        <w:t>。【以采购代理机构从深圳公共资源交易中心网集中查询结果为准，投标人无须提供证明材料】</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rPr>
        <w:t>3、具有医疗机构执业许可证书（含新型冠状病毒核酸检测能力）</w:t>
      </w:r>
      <w:r>
        <w:rPr>
          <w:rFonts w:hint="eastAsia" w:ascii="仿宋" w:hAnsi="仿宋" w:eastAsia="仿宋"/>
          <w:bCs/>
          <w:sz w:val="24"/>
          <w:szCs w:val="24"/>
          <w:lang w:eastAsia="zh-CN"/>
        </w:rPr>
        <w:t>【</w:t>
      </w:r>
      <w:r>
        <w:rPr>
          <w:rFonts w:hint="eastAsia" w:ascii="仿宋" w:hAnsi="仿宋" w:eastAsia="仿宋"/>
          <w:bCs/>
          <w:sz w:val="24"/>
          <w:szCs w:val="24"/>
          <w:lang w:val="en-US" w:eastAsia="zh-CN"/>
        </w:rPr>
        <w:t>提供许可证的扫描件并加盖投标人公章，原件备查</w:t>
      </w:r>
      <w:r>
        <w:rPr>
          <w:rFonts w:hint="eastAsia" w:ascii="仿宋" w:hAnsi="仿宋" w:eastAsia="仿宋"/>
          <w:bCs/>
          <w:sz w:val="24"/>
          <w:szCs w:val="24"/>
          <w:lang w:eastAsia="zh-CN"/>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6</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、参与本项目的供应商</w:t>
      </w:r>
      <w:r>
        <w:rPr>
          <w:rFonts w:ascii="仿宋" w:hAnsi="仿宋" w:eastAsia="仿宋"/>
          <w:bCs/>
          <w:sz w:val="24"/>
          <w:szCs w:val="24"/>
        </w:rPr>
        <w:t>未被列入失信被执行人、重大税收违法案件当事人名单</w:t>
      </w:r>
      <w:r>
        <w:rPr>
          <w:rFonts w:hint="eastAsia" w:ascii="仿宋" w:hAnsi="仿宋" w:eastAsia="仿宋"/>
          <w:bCs/>
          <w:sz w:val="24"/>
          <w:szCs w:val="24"/>
        </w:rPr>
        <w:t>和</w:t>
      </w:r>
      <w:r>
        <w:rPr>
          <w:rFonts w:ascii="仿宋" w:hAnsi="仿宋" w:eastAsia="仿宋"/>
          <w:bCs/>
          <w:sz w:val="24"/>
          <w:szCs w:val="24"/>
        </w:rPr>
        <w:t>政府采购严重违法失信行为记录名单</w:t>
      </w:r>
      <w:r>
        <w:rPr>
          <w:rFonts w:hint="eastAsia" w:ascii="仿宋" w:hAnsi="仿宋" w:eastAsia="仿宋"/>
          <w:bCs/>
          <w:sz w:val="24"/>
          <w:szCs w:val="24"/>
        </w:rPr>
        <w:t>。【</w:t>
      </w:r>
      <w:r>
        <w:rPr>
          <w:rFonts w:ascii="仿宋" w:hAnsi="仿宋" w:eastAsia="仿宋"/>
          <w:bCs/>
          <w:sz w:val="24"/>
          <w:szCs w:val="24"/>
        </w:rPr>
        <w:t>通过</w:t>
      </w:r>
      <w:r>
        <w:rPr>
          <w:rFonts w:hint="eastAsia" w:ascii="仿宋" w:hAnsi="仿宋" w:eastAsia="仿宋"/>
          <w:bCs/>
          <w:sz w:val="24"/>
          <w:szCs w:val="24"/>
        </w:rPr>
        <w:t>“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ascii="仿宋" w:hAnsi="仿宋" w:eastAsia="仿宋"/>
          <w:bCs/>
          <w:sz w:val="24"/>
          <w:szCs w:val="24"/>
        </w:rPr>
        <w:t>截止时间</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8</w:t>
      </w:r>
      <w:r>
        <w:rPr>
          <w:rFonts w:hint="eastAsia" w:ascii="仿宋" w:hAnsi="仿宋" w:eastAsia="仿宋"/>
          <w:bCs/>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12</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10</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12</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17</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12</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21</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1、本项目需要落实的政府采购政策：《财政部工业和信息化部关于印发《政府采购促进中小企业发展管理办法》的通知》(财库〔2020〕46号)、《关于政府采购支持监狱企业发展有关问题的通知》</w:t>
      </w:r>
      <w:r>
        <w:rPr>
          <w:rFonts w:ascii="仿宋" w:hAnsi="仿宋" w:eastAsia="仿宋"/>
          <w:bCs/>
          <w:sz w:val="24"/>
          <w:szCs w:val="24"/>
        </w:rPr>
        <w:t>(</w:t>
      </w:r>
      <w:r>
        <w:rPr>
          <w:rFonts w:hint="eastAsia" w:ascii="仿宋" w:hAnsi="仿宋" w:eastAsia="仿宋"/>
          <w:bCs/>
          <w:sz w:val="24"/>
          <w:szCs w:val="24"/>
        </w:rPr>
        <w:t>财库〔</w:t>
      </w:r>
      <w:r>
        <w:rPr>
          <w:rFonts w:ascii="仿宋" w:hAnsi="仿宋" w:eastAsia="仿宋"/>
          <w:bCs/>
          <w:sz w:val="24"/>
          <w:szCs w:val="24"/>
        </w:rPr>
        <w:t>2014</w:t>
      </w:r>
      <w:r>
        <w:rPr>
          <w:rFonts w:hint="eastAsia" w:ascii="仿宋" w:hAnsi="仿宋" w:eastAsia="仿宋"/>
          <w:bCs/>
          <w:sz w:val="24"/>
          <w:szCs w:val="24"/>
        </w:rPr>
        <w:t>〕</w:t>
      </w:r>
      <w:r>
        <w:rPr>
          <w:rFonts w:ascii="仿宋" w:hAnsi="仿宋" w:eastAsia="仿宋"/>
          <w:bCs/>
          <w:sz w:val="24"/>
          <w:szCs w:val="24"/>
        </w:rPr>
        <w:t>68</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、《关于促进残疾人就业政府采购政策的通知》（财库〔</w:t>
      </w:r>
      <w:r>
        <w:rPr>
          <w:rFonts w:ascii="仿宋" w:hAnsi="仿宋" w:eastAsia="仿宋"/>
          <w:bCs/>
          <w:sz w:val="24"/>
          <w:szCs w:val="24"/>
        </w:rPr>
        <w:t>2017</w:t>
      </w:r>
      <w:r>
        <w:rPr>
          <w:rFonts w:hint="eastAsia" w:ascii="仿宋" w:hAnsi="仿宋" w:eastAsia="仿宋"/>
          <w:bCs/>
          <w:sz w:val="24"/>
          <w:szCs w:val="24"/>
        </w:rPr>
        <w:t>〕</w:t>
      </w:r>
      <w:r>
        <w:rPr>
          <w:rFonts w:ascii="仿宋" w:hAnsi="仿宋" w:eastAsia="仿宋"/>
          <w:bCs/>
          <w:sz w:val="24"/>
          <w:szCs w:val="24"/>
        </w:rPr>
        <w:t>141</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w:t>
      </w:r>
    </w:p>
    <w:p>
      <w:pPr>
        <w:spacing w:line="360" w:lineRule="auto"/>
        <w:ind w:firstLine="426" w:firstLineChars="177"/>
        <w:rPr>
          <w:rFonts w:ascii="仿宋" w:hAnsi="仿宋" w:eastAsia="仿宋"/>
          <w:b/>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其他未列明行业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深圳市市场监督管理局福田监管局</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 xml:space="preserve"> </w:t>
      </w:r>
      <w:r>
        <w:rPr>
          <w:rFonts w:hint="eastAsia" w:ascii="仿宋" w:hAnsi="仿宋" w:eastAsia="仿宋"/>
          <w:bCs/>
          <w:sz w:val="24"/>
          <w:szCs w:val="24"/>
        </w:rPr>
        <w:t>方式：</w:t>
      </w:r>
      <w:r>
        <w:rPr>
          <w:rFonts w:hint="eastAsia" w:ascii="仿宋" w:hAnsi="仿宋" w:eastAsia="仿宋"/>
          <w:bCs/>
          <w:sz w:val="24"/>
          <w:szCs w:val="24"/>
          <w:u w:val="single"/>
          <w:lang w:val="en-US" w:eastAsia="zh-CN"/>
        </w:rPr>
        <w:t>陈工，</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szCs w:val="24"/>
        </w:rPr>
      </w:pPr>
      <w:r>
        <w:rPr>
          <w:rFonts w:ascii="仿宋" w:hAnsi="仿宋" w:eastAsia="仿宋"/>
          <w:bCs/>
          <w:sz w:val="24"/>
          <w:szCs w:val="24"/>
        </w:rPr>
        <w:t>202</w:t>
      </w:r>
      <w:r>
        <w:rPr>
          <w:rFonts w:hint="eastAsia" w:ascii="仿宋" w:hAnsi="仿宋" w:eastAsia="仿宋"/>
          <w:bCs/>
          <w:sz w:val="24"/>
          <w:szCs w:val="24"/>
        </w:rPr>
        <w:t>1</w:t>
      </w:r>
      <w:r>
        <w:rPr>
          <w:rFonts w:ascii="仿宋" w:hAnsi="仿宋" w:eastAsia="仿宋"/>
          <w:bCs/>
          <w:sz w:val="24"/>
          <w:szCs w:val="24"/>
        </w:rPr>
        <w:t>年</w:t>
      </w:r>
      <w:r>
        <w:rPr>
          <w:rFonts w:hint="eastAsia" w:ascii="仿宋" w:hAnsi="仿宋" w:eastAsia="仿宋"/>
          <w:bCs/>
          <w:sz w:val="24"/>
          <w:szCs w:val="24"/>
        </w:rPr>
        <w:t>1</w:t>
      </w:r>
      <w:r>
        <w:rPr>
          <w:rFonts w:hint="eastAsia" w:ascii="仿宋" w:hAnsi="仿宋" w:eastAsia="仿宋"/>
          <w:bCs/>
          <w:sz w:val="24"/>
          <w:szCs w:val="24"/>
          <w:lang w:val="en-US" w:eastAsia="zh-CN"/>
        </w:rPr>
        <w:t>2</w:t>
      </w:r>
      <w:r>
        <w:rPr>
          <w:rFonts w:ascii="仿宋" w:hAnsi="仿宋" w:eastAsia="仿宋"/>
          <w:bCs/>
          <w:sz w:val="24"/>
          <w:szCs w:val="24"/>
        </w:rPr>
        <w:t>月</w:t>
      </w:r>
      <w:r>
        <w:rPr>
          <w:rFonts w:hint="eastAsia" w:ascii="仿宋" w:hAnsi="仿宋" w:eastAsia="仿宋"/>
          <w:bCs/>
          <w:sz w:val="24"/>
          <w:szCs w:val="24"/>
          <w:lang w:val="en-US" w:eastAsia="zh-CN"/>
        </w:rPr>
        <w:t>10</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10"/>
              <w:spacing w:line="360" w:lineRule="auto"/>
              <w:jc w:val="center"/>
              <w:rPr>
                <w:rFonts w:hAnsi="宋体"/>
              </w:rPr>
            </w:pPr>
            <w:r>
              <w:rPr>
                <w:rFonts w:hAnsi="宋体"/>
              </w:rPr>
              <w:t>1</w:t>
            </w:r>
          </w:p>
        </w:tc>
        <w:tc>
          <w:tcPr>
            <w:tcW w:w="850" w:type="dxa"/>
            <w:tcBorders>
              <w:top w:val="single" w:color="auto" w:sz="4" w:space="0"/>
            </w:tcBorders>
            <w:vAlign w:val="center"/>
          </w:tcPr>
          <w:p>
            <w:pPr>
              <w:pStyle w:val="10"/>
              <w:spacing w:line="360" w:lineRule="auto"/>
              <w:jc w:val="center"/>
              <w:rPr>
                <w:rFonts w:hAnsi="宋体"/>
              </w:rPr>
            </w:pPr>
            <w:r>
              <w:rPr>
                <w:rFonts w:hAnsi="宋体"/>
              </w:rPr>
              <w:t>1.1</w:t>
            </w:r>
          </w:p>
        </w:tc>
        <w:tc>
          <w:tcPr>
            <w:tcW w:w="1985" w:type="dxa"/>
            <w:tcBorders>
              <w:top w:val="single" w:color="auto" w:sz="4" w:space="0"/>
            </w:tcBorders>
            <w:vAlign w:val="center"/>
          </w:tcPr>
          <w:p>
            <w:pPr>
              <w:pStyle w:val="10"/>
              <w:spacing w:line="360" w:lineRule="auto"/>
              <w:jc w:val="center"/>
            </w:pPr>
            <w:r>
              <w:rPr>
                <w:rFonts w:hint="eastAsia"/>
              </w:rPr>
              <w:t>项目名称</w:t>
            </w:r>
          </w:p>
        </w:tc>
        <w:tc>
          <w:tcPr>
            <w:tcW w:w="5669" w:type="dxa"/>
            <w:tcBorders>
              <w:top w:val="single" w:color="auto" w:sz="4" w:space="0"/>
            </w:tcBorders>
            <w:vAlign w:val="center"/>
          </w:tcPr>
          <w:p>
            <w:pPr>
              <w:pStyle w:val="10"/>
              <w:spacing w:line="360" w:lineRule="auto"/>
            </w:pPr>
            <w:r>
              <w:rPr>
                <w:rFonts w:hint="eastAsia" w:ascii="宋体" w:hAnsi="宋体"/>
              </w:rPr>
              <w:t>2022年福田区涉进口冷链食品新冠病毒核酸监测项目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2</w:t>
            </w:r>
          </w:p>
        </w:tc>
        <w:tc>
          <w:tcPr>
            <w:tcW w:w="850" w:type="dxa"/>
            <w:vAlign w:val="center"/>
          </w:tcPr>
          <w:p>
            <w:pPr>
              <w:pStyle w:val="10"/>
              <w:spacing w:line="360" w:lineRule="auto"/>
              <w:jc w:val="center"/>
              <w:rPr>
                <w:rFonts w:hAnsi="宋体"/>
              </w:rPr>
            </w:pPr>
            <w:r>
              <w:rPr>
                <w:rFonts w:hAnsi="宋体"/>
              </w:rPr>
              <w:t>2.1</w:t>
            </w:r>
          </w:p>
        </w:tc>
        <w:tc>
          <w:tcPr>
            <w:tcW w:w="1985" w:type="dxa"/>
            <w:vAlign w:val="center"/>
          </w:tcPr>
          <w:p>
            <w:pPr>
              <w:pStyle w:val="10"/>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r>
              <w:rPr>
                <w:rFonts w:hint="eastAsia"/>
              </w:rPr>
              <w:t>深圳市市场监督管理局福田监管局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3</w:t>
            </w:r>
          </w:p>
        </w:tc>
        <w:tc>
          <w:tcPr>
            <w:tcW w:w="850" w:type="dxa"/>
            <w:vAlign w:val="center"/>
          </w:tcPr>
          <w:p>
            <w:pPr>
              <w:pStyle w:val="10"/>
              <w:spacing w:line="360" w:lineRule="auto"/>
              <w:jc w:val="center"/>
              <w:rPr>
                <w:rFonts w:hAnsi="宋体"/>
              </w:rPr>
            </w:pPr>
            <w:r>
              <w:rPr>
                <w:rFonts w:hAnsi="宋体"/>
              </w:rPr>
              <w:t>2.2</w:t>
            </w:r>
          </w:p>
        </w:tc>
        <w:tc>
          <w:tcPr>
            <w:tcW w:w="1985" w:type="dxa"/>
            <w:vAlign w:val="center"/>
          </w:tcPr>
          <w:p>
            <w:pPr>
              <w:pStyle w:val="10"/>
              <w:spacing w:line="360" w:lineRule="auto"/>
              <w:jc w:val="center"/>
              <w:rPr>
                <w:rFonts w:hAnsi="宋体"/>
                <w:bCs/>
              </w:rPr>
            </w:pPr>
            <w:r>
              <w:rPr>
                <w:rFonts w:hint="eastAsia" w:hAnsi="宋体"/>
                <w:bCs/>
              </w:rPr>
              <w:t>采购代理机构</w:t>
            </w:r>
          </w:p>
        </w:tc>
        <w:tc>
          <w:tcPr>
            <w:tcW w:w="5669" w:type="dxa"/>
            <w:vAlign w:val="center"/>
          </w:tcPr>
          <w:p>
            <w:pPr>
              <w:pStyle w:val="10"/>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4</w:t>
            </w:r>
          </w:p>
        </w:tc>
        <w:tc>
          <w:tcPr>
            <w:tcW w:w="850" w:type="dxa"/>
            <w:vAlign w:val="center"/>
          </w:tcPr>
          <w:p>
            <w:pPr>
              <w:pStyle w:val="10"/>
              <w:spacing w:line="360" w:lineRule="auto"/>
              <w:jc w:val="center"/>
              <w:rPr>
                <w:rFonts w:hAnsi="宋体"/>
              </w:rPr>
            </w:pPr>
            <w:r>
              <w:rPr>
                <w:rFonts w:hint="eastAsia" w:hAnsi="宋体"/>
              </w:rPr>
              <w:t>3.1</w:t>
            </w:r>
          </w:p>
        </w:tc>
        <w:tc>
          <w:tcPr>
            <w:tcW w:w="1985" w:type="dxa"/>
            <w:vAlign w:val="center"/>
          </w:tcPr>
          <w:p>
            <w:pPr>
              <w:pStyle w:val="10"/>
              <w:spacing w:line="360" w:lineRule="auto"/>
              <w:jc w:val="center"/>
              <w:rPr>
                <w:rFonts w:hAnsi="宋体"/>
              </w:rPr>
            </w:pPr>
            <w:r>
              <w:rPr>
                <w:rFonts w:hint="eastAsia" w:hAnsi="宋体"/>
              </w:rPr>
              <w:t>资金来源</w:t>
            </w:r>
          </w:p>
        </w:tc>
        <w:tc>
          <w:tcPr>
            <w:tcW w:w="5669" w:type="dxa"/>
            <w:vAlign w:val="center"/>
          </w:tcPr>
          <w:p>
            <w:pPr>
              <w:pStyle w:val="10"/>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5</w:t>
            </w:r>
          </w:p>
        </w:tc>
        <w:tc>
          <w:tcPr>
            <w:tcW w:w="850" w:type="dxa"/>
            <w:vAlign w:val="center"/>
          </w:tcPr>
          <w:p>
            <w:pPr>
              <w:pStyle w:val="10"/>
              <w:spacing w:line="360" w:lineRule="auto"/>
              <w:jc w:val="center"/>
              <w:rPr>
                <w:rFonts w:hAnsi="宋体"/>
              </w:rPr>
            </w:pPr>
            <w:r>
              <w:rPr>
                <w:rFonts w:hint="eastAsia" w:hAnsi="宋体"/>
              </w:rPr>
              <w:t>4.7</w:t>
            </w:r>
          </w:p>
        </w:tc>
        <w:tc>
          <w:tcPr>
            <w:tcW w:w="1985" w:type="dxa"/>
            <w:vAlign w:val="center"/>
          </w:tcPr>
          <w:p>
            <w:pPr>
              <w:pStyle w:val="10"/>
              <w:spacing w:line="360" w:lineRule="auto"/>
              <w:jc w:val="center"/>
              <w:rPr>
                <w:rFonts w:hAnsi="宋体"/>
              </w:rPr>
            </w:pPr>
            <w:r>
              <w:rPr>
                <w:rFonts w:hint="eastAsia" w:hAnsi="宋体"/>
              </w:rPr>
              <w:t>供应商资格要求</w:t>
            </w:r>
          </w:p>
        </w:tc>
        <w:tc>
          <w:tcPr>
            <w:tcW w:w="5669" w:type="dxa"/>
            <w:vAlign w:val="center"/>
          </w:tcPr>
          <w:p>
            <w:pPr>
              <w:pStyle w:val="10"/>
              <w:spacing w:line="360" w:lineRule="auto"/>
              <w:ind w:left="378" w:hanging="378" w:hangingChars="180"/>
              <w:rPr>
                <w:rFonts w:hAnsi="宋体"/>
                <w:szCs w:val="21"/>
              </w:rPr>
            </w:pPr>
            <w:r>
              <w:rPr>
                <w:rFonts w:hint="eastAsia" w:hAnsi="宋体"/>
                <w:szCs w:val="21"/>
              </w:rPr>
              <w:t>1、</w:t>
            </w:r>
            <w:r>
              <w:rPr>
                <w:rFonts w:hint="eastAsia" w:hAnsi="宋体"/>
                <w:bCs/>
                <w:szCs w:val="21"/>
              </w:rPr>
              <w:t>须是深圳公共资源交易中心网站注册的供应商，注册网址www.szzfcg.cn。【以采购代理机构从深圳公共资源交易中心网站集中查询结果为准，投标人无须提供证明材料】</w:t>
            </w:r>
          </w:p>
          <w:p>
            <w:pPr>
              <w:pStyle w:val="10"/>
              <w:spacing w:line="360" w:lineRule="auto"/>
              <w:ind w:left="378" w:hanging="378" w:hangingChars="180"/>
              <w:rPr>
                <w:rFonts w:hAnsi="宋体"/>
                <w:szCs w:val="21"/>
              </w:rPr>
            </w:pPr>
            <w:r>
              <w:rPr>
                <w:rFonts w:hint="eastAsia" w:hAnsi="宋体"/>
                <w:szCs w:val="21"/>
              </w:rPr>
              <w:t>2、</w:t>
            </w:r>
            <w:r>
              <w:rPr>
                <w:rFonts w:hint="eastAsia" w:hAnsi="宋体"/>
                <w:bCs/>
                <w:szCs w:val="21"/>
              </w:rPr>
              <w:t>须是在中华人民共和国境内注册的法人或其他组织。【须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10"/>
              <w:spacing w:line="360" w:lineRule="auto"/>
              <w:ind w:left="378" w:hanging="378" w:hangingChars="180"/>
              <w:rPr>
                <w:rFonts w:hint="eastAsia" w:hAnsi="宋体"/>
                <w:szCs w:val="21"/>
                <w:lang w:eastAsia="zh-CN"/>
              </w:rPr>
            </w:pPr>
            <w:r>
              <w:rPr>
                <w:rFonts w:hint="eastAsia" w:hAnsi="宋体"/>
                <w:szCs w:val="21"/>
              </w:rPr>
              <w:t>3、具有医疗机构执业许可证书（含新型冠状病毒核酸检测能力）</w:t>
            </w:r>
            <w:r>
              <w:rPr>
                <w:rFonts w:hint="eastAsia" w:hAnsi="宋体"/>
                <w:szCs w:val="21"/>
                <w:lang w:eastAsia="zh-CN"/>
              </w:rPr>
              <w:t>【</w:t>
            </w:r>
            <w:r>
              <w:rPr>
                <w:rFonts w:hint="eastAsia" w:hAnsi="宋体"/>
                <w:szCs w:val="21"/>
                <w:lang w:val="en-US" w:eastAsia="zh-CN"/>
              </w:rPr>
              <w:t>提供许可证的扫描件并加盖投标人公章，原件备查</w:t>
            </w:r>
            <w:r>
              <w:rPr>
                <w:rFonts w:hint="eastAsia" w:hAnsi="宋体"/>
                <w:szCs w:val="21"/>
                <w:lang w:eastAsia="zh-CN"/>
              </w:rPr>
              <w:t>】</w:t>
            </w:r>
          </w:p>
          <w:p>
            <w:pPr>
              <w:pStyle w:val="10"/>
              <w:spacing w:line="360" w:lineRule="auto"/>
              <w:ind w:left="378" w:hanging="378" w:hangingChars="180"/>
              <w:rPr>
                <w:rFonts w:hint="eastAsia" w:hAnsi="宋体"/>
                <w:szCs w:val="21"/>
              </w:rPr>
            </w:pPr>
            <w:r>
              <w:rPr>
                <w:rFonts w:hint="eastAsia" w:hAnsi="宋体"/>
                <w:szCs w:val="21"/>
                <w:lang w:val="en-US" w:eastAsia="zh-CN"/>
              </w:rPr>
              <w:t>4、</w:t>
            </w:r>
            <w:r>
              <w:rPr>
                <w:rFonts w:hint="eastAsia" w:hAnsi="宋体"/>
                <w:szCs w:val="21"/>
              </w:rPr>
              <w:t>参与本项目投标前三年内，在经营活动中没有重大违法记录。【由投标人按采购文件规定的格式在《政府采购投标及履约承诺函》中作出声明】</w:t>
            </w:r>
          </w:p>
          <w:p>
            <w:pPr>
              <w:pStyle w:val="10"/>
              <w:spacing w:line="360" w:lineRule="auto"/>
              <w:ind w:left="378" w:hanging="378" w:hangingChars="180"/>
              <w:rPr>
                <w:rFonts w:hint="eastAsia" w:hAnsi="宋体"/>
                <w:szCs w:val="21"/>
              </w:rPr>
            </w:pPr>
            <w:r>
              <w:rPr>
                <w:rFonts w:hint="eastAsia" w:hAnsi="宋体"/>
                <w:szCs w:val="21"/>
                <w:lang w:val="en-US" w:eastAsia="zh-CN"/>
              </w:rPr>
              <w:t>5</w:t>
            </w:r>
            <w:r>
              <w:rPr>
                <w:rFonts w:hint="eastAsia" w:hAnsi="宋体"/>
                <w:szCs w:val="21"/>
              </w:rPr>
              <w:t>、参与本项目政府采购活动时不存在被有关部门禁止参与政府采购活动且在有效期内的情况。【由供应商按采购文件规定的格式在《政府采购投标及履约承诺函》中作出声明】</w:t>
            </w:r>
          </w:p>
          <w:p>
            <w:pPr>
              <w:pStyle w:val="10"/>
              <w:spacing w:line="360" w:lineRule="auto"/>
              <w:ind w:left="378" w:hanging="378" w:hangingChars="180"/>
              <w:rPr>
                <w:rFonts w:hint="eastAsia" w:hAnsi="宋体"/>
                <w:szCs w:val="21"/>
              </w:rPr>
            </w:pPr>
            <w:r>
              <w:rPr>
                <w:rFonts w:hint="eastAsia" w:hAnsi="宋体"/>
                <w:szCs w:val="21"/>
                <w:lang w:val="en-US" w:eastAsia="zh-CN"/>
              </w:rPr>
              <w:t>6</w:t>
            </w:r>
            <w:r>
              <w:rPr>
                <w:rFonts w:hint="eastAsia" w:hAnsi="宋体"/>
                <w:szCs w:val="21"/>
              </w:rPr>
              <w:t>、参与本项目的供应商具备《中华人民共和国政府采购法》第二十二条规定。【由响应投标人按采购文件规定的格式在《政府采购投标及履约承诺函》中作出声明】</w:t>
            </w:r>
          </w:p>
          <w:p>
            <w:pPr>
              <w:pStyle w:val="10"/>
              <w:spacing w:line="360" w:lineRule="auto"/>
              <w:ind w:left="378" w:hanging="378" w:hangingChars="180"/>
              <w:rPr>
                <w:rFonts w:hint="eastAsia" w:hAnsi="宋体"/>
                <w:szCs w:val="21"/>
              </w:rPr>
            </w:pPr>
            <w:r>
              <w:rPr>
                <w:rFonts w:hint="eastAsia" w:hAnsi="宋体"/>
                <w:szCs w:val="21"/>
                <w:lang w:val="en-US" w:eastAsia="zh-CN"/>
              </w:rPr>
              <w:t>7</w:t>
            </w:r>
            <w:r>
              <w:rPr>
                <w:rFonts w:hint="eastAsia" w:hAnsi="宋体"/>
                <w:szCs w:val="21"/>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hAnsi="宋体"/>
                <w:szCs w:val="21"/>
                <w:lang w:eastAsia="zh-CN"/>
              </w:rPr>
              <w:t>。</w:t>
            </w:r>
            <w:r>
              <w:rPr>
                <w:rFonts w:hint="eastAsia" w:hAnsi="宋体"/>
                <w:szCs w:val="21"/>
                <w:lang w:val="en-US" w:eastAsia="zh-CN"/>
              </w:rPr>
              <w:t>投标人自行查询并提供查询</w:t>
            </w:r>
            <w:r>
              <w:rPr>
                <w:rFonts w:hint="eastAsia" w:hAnsi="宋体"/>
                <w:szCs w:val="21"/>
              </w:rPr>
              <w:t>结果</w:t>
            </w:r>
            <w:r>
              <w:rPr>
                <w:rFonts w:hint="eastAsia" w:hAnsi="宋体"/>
                <w:szCs w:val="21"/>
                <w:lang w:val="en-US" w:eastAsia="zh-CN"/>
              </w:rPr>
              <w:t>截图，查询时间以项目采购公告开始时间至投标</w:t>
            </w:r>
            <w:r>
              <w:rPr>
                <w:rFonts w:hint="eastAsia" w:hAnsi="宋体"/>
                <w:szCs w:val="21"/>
              </w:rPr>
              <w:t>截止时间】</w:t>
            </w:r>
          </w:p>
          <w:p>
            <w:pPr>
              <w:pStyle w:val="10"/>
              <w:spacing w:line="360" w:lineRule="auto"/>
              <w:ind w:left="378" w:hanging="378" w:hangingChars="180"/>
              <w:rPr>
                <w:rFonts w:hAnsi="宋体"/>
                <w:szCs w:val="21"/>
              </w:rPr>
            </w:pPr>
            <w:r>
              <w:rPr>
                <w:rFonts w:hint="eastAsia" w:hAnsi="宋体"/>
                <w:szCs w:val="21"/>
                <w:lang w:val="en-US" w:eastAsia="zh-CN"/>
              </w:rPr>
              <w:t>8</w:t>
            </w:r>
            <w:r>
              <w:rPr>
                <w:rFonts w:hint="eastAsia" w:hAnsi="宋体"/>
                <w:szCs w:val="21"/>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6</w:t>
            </w:r>
          </w:p>
        </w:tc>
        <w:tc>
          <w:tcPr>
            <w:tcW w:w="850" w:type="dxa"/>
            <w:vAlign w:val="center"/>
          </w:tcPr>
          <w:p>
            <w:pPr>
              <w:pStyle w:val="10"/>
              <w:spacing w:line="360" w:lineRule="auto"/>
              <w:jc w:val="center"/>
              <w:rPr>
                <w:rFonts w:hAnsi="宋体"/>
              </w:rPr>
            </w:pPr>
            <w:r>
              <w:rPr>
                <w:rFonts w:hint="eastAsia" w:hAnsi="宋体"/>
              </w:rPr>
              <w:t>6.1</w:t>
            </w:r>
          </w:p>
        </w:tc>
        <w:tc>
          <w:tcPr>
            <w:tcW w:w="1985" w:type="dxa"/>
            <w:vAlign w:val="center"/>
          </w:tcPr>
          <w:p>
            <w:pPr>
              <w:pStyle w:val="10"/>
              <w:spacing w:line="360" w:lineRule="auto"/>
              <w:jc w:val="center"/>
              <w:rPr>
                <w:rFonts w:hAnsi="宋体"/>
              </w:rPr>
            </w:pPr>
            <w:r>
              <w:rPr>
                <w:rFonts w:hint="eastAsia" w:hAnsi="宋体"/>
              </w:rPr>
              <w:t>踏勘现场</w:t>
            </w:r>
          </w:p>
        </w:tc>
        <w:tc>
          <w:tcPr>
            <w:tcW w:w="5669" w:type="dxa"/>
            <w:vAlign w:val="center"/>
          </w:tcPr>
          <w:p>
            <w:pPr>
              <w:pStyle w:val="10"/>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7</w:t>
            </w:r>
          </w:p>
        </w:tc>
        <w:tc>
          <w:tcPr>
            <w:tcW w:w="850" w:type="dxa"/>
            <w:vAlign w:val="center"/>
          </w:tcPr>
          <w:p>
            <w:pPr>
              <w:pStyle w:val="10"/>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10"/>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10"/>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8</w:t>
            </w:r>
          </w:p>
        </w:tc>
        <w:tc>
          <w:tcPr>
            <w:tcW w:w="850" w:type="dxa"/>
            <w:vAlign w:val="center"/>
          </w:tcPr>
          <w:p>
            <w:pPr>
              <w:pStyle w:val="10"/>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10"/>
              <w:spacing w:line="360" w:lineRule="auto"/>
              <w:jc w:val="center"/>
              <w:rPr>
                <w:rFonts w:hAnsi="宋体"/>
              </w:rPr>
            </w:pPr>
            <w:r>
              <w:rPr>
                <w:rFonts w:hint="eastAsia" w:hAnsi="宋体"/>
              </w:rPr>
              <w:t>项目保证金</w:t>
            </w:r>
          </w:p>
        </w:tc>
        <w:tc>
          <w:tcPr>
            <w:tcW w:w="5669" w:type="dxa"/>
            <w:vAlign w:val="center"/>
          </w:tcPr>
          <w:p>
            <w:pPr>
              <w:pStyle w:val="10"/>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10</w:t>
            </w:r>
          </w:p>
        </w:tc>
        <w:tc>
          <w:tcPr>
            <w:tcW w:w="850" w:type="dxa"/>
            <w:vAlign w:val="center"/>
          </w:tcPr>
          <w:p>
            <w:pPr>
              <w:pStyle w:val="10"/>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10"/>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10"/>
              <w:rPr>
                <w:rFonts w:hAnsi="宋体"/>
              </w:rPr>
            </w:pPr>
            <w:r>
              <w:rPr>
                <w:rFonts w:hint="eastAsia" w:hAnsi="宋体"/>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11</w:t>
            </w:r>
          </w:p>
        </w:tc>
        <w:tc>
          <w:tcPr>
            <w:tcW w:w="850" w:type="dxa"/>
            <w:vAlign w:val="center"/>
          </w:tcPr>
          <w:p>
            <w:pPr>
              <w:pStyle w:val="10"/>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10"/>
              <w:spacing w:line="360" w:lineRule="auto"/>
              <w:jc w:val="center"/>
              <w:rPr>
                <w:rFonts w:hAnsi="宋体"/>
              </w:rPr>
            </w:pPr>
            <w:r>
              <w:rPr>
                <w:rFonts w:hint="eastAsia" w:hAnsi="宋体"/>
              </w:rPr>
              <w:t>开标</w:t>
            </w:r>
          </w:p>
        </w:tc>
        <w:tc>
          <w:tcPr>
            <w:tcW w:w="5669" w:type="dxa"/>
            <w:vAlign w:val="center"/>
          </w:tcPr>
          <w:p>
            <w:pPr>
              <w:pStyle w:val="10"/>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2</w:t>
            </w:r>
            <w:r>
              <w:rPr>
                <w:rFonts w:ascii="Times New Roman" w:hAnsi="Times New Roman"/>
                <w:b/>
                <w:snapToGrid w:val="0"/>
                <w:highlight w:val="yellow"/>
              </w:rPr>
              <w:t>月</w:t>
            </w:r>
            <w:r>
              <w:rPr>
                <w:rFonts w:hint="eastAsia" w:ascii="Times New Roman" w:hAnsi="Times New Roman"/>
                <w:b/>
                <w:snapToGrid w:val="0"/>
                <w:highlight w:val="yellow"/>
                <w:lang w:val="en-US" w:eastAsia="zh-CN"/>
              </w:rPr>
              <w:t>21</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6</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10"/>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12</w:t>
            </w:r>
          </w:p>
        </w:tc>
        <w:tc>
          <w:tcPr>
            <w:tcW w:w="850" w:type="dxa"/>
            <w:vAlign w:val="center"/>
          </w:tcPr>
          <w:p>
            <w:pPr>
              <w:pStyle w:val="10"/>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10"/>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10"/>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2</w:t>
            </w:r>
            <w:r>
              <w:rPr>
                <w:rFonts w:ascii="Times New Roman" w:hAnsi="Times New Roman"/>
                <w:b/>
                <w:snapToGrid w:val="0"/>
                <w:highlight w:val="yellow"/>
              </w:rPr>
              <w:t>月</w:t>
            </w:r>
            <w:r>
              <w:rPr>
                <w:rFonts w:hint="eastAsia" w:ascii="Times New Roman" w:hAnsi="Times New Roman"/>
                <w:b/>
                <w:snapToGrid w:val="0"/>
                <w:highlight w:val="yellow"/>
                <w:lang w:val="en-US" w:eastAsia="zh-CN"/>
              </w:rPr>
              <w:t>21</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6</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13</w:t>
            </w:r>
          </w:p>
        </w:tc>
        <w:tc>
          <w:tcPr>
            <w:tcW w:w="850" w:type="dxa"/>
            <w:vAlign w:val="center"/>
          </w:tcPr>
          <w:p>
            <w:pPr>
              <w:pStyle w:val="10"/>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10"/>
              <w:spacing w:line="360" w:lineRule="auto"/>
              <w:jc w:val="center"/>
              <w:rPr>
                <w:rFonts w:hAnsi="宋体"/>
              </w:rPr>
            </w:pPr>
            <w:r>
              <w:rPr>
                <w:rFonts w:hint="eastAsia" w:hAnsi="宋体"/>
              </w:rPr>
              <w:t>评标办法</w:t>
            </w:r>
          </w:p>
        </w:tc>
        <w:tc>
          <w:tcPr>
            <w:tcW w:w="5669" w:type="dxa"/>
            <w:vAlign w:val="center"/>
          </w:tcPr>
          <w:p>
            <w:pPr>
              <w:pStyle w:val="10"/>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0"/>
              <w:spacing w:line="360" w:lineRule="auto"/>
              <w:jc w:val="center"/>
              <w:rPr>
                <w:rFonts w:hAnsi="宋体"/>
              </w:rPr>
            </w:pPr>
            <w:r>
              <w:rPr>
                <w:rFonts w:hint="eastAsia" w:hAnsi="宋体"/>
              </w:rPr>
              <w:t>14</w:t>
            </w:r>
          </w:p>
        </w:tc>
        <w:tc>
          <w:tcPr>
            <w:tcW w:w="850" w:type="dxa"/>
            <w:vAlign w:val="center"/>
          </w:tcPr>
          <w:p>
            <w:pPr>
              <w:pStyle w:val="10"/>
              <w:spacing w:line="360" w:lineRule="auto"/>
              <w:jc w:val="center"/>
              <w:rPr>
                <w:rFonts w:hAnsi="宋体"/>
              </w:rPr>
            </w:pPr>
            <w:r>
              <w:rPr>
                <w:rFonts w:hint="eastAsia" w:hAnsi="宋体"/>
              </w:rPr>
              <w:t>33.1</w:t>
            </w:r>
          </w:p>
        </w:tc>
        <w:tc>
          <w:tcPr>
            <w:tcW w:w="1985" w:type="dxa"/>
            <w:vAlign w:val="center"/>
          </w:tcPr>
          <w:p>
            <w:pPr>
              <w:pStyle w:val="10"/>
              <w:spacing w:line="340" w:lineRule="exact"/>
              <w:jc w:val="center"/>
              <w:rPr>
                <w:rFonts w:hAnsi="宋体"/>
              </w:rPr>
            </w:pPr>
            <w:r>
              <w:rPr>
                <w:rFonts w:hint="eastAsia" w:hAnsi="宋体"/>
              </w:rPr>
              <w:t>采购代理服务费</w:t>
            </w:r>
          </w:p>
        </w:tc>
        <w:tc>
          <w:tcPr>
            <w:tcW w:w="5669" w:type="dxa"/>
            <w:vAlign w:val="center"/>
          </w:tcPr>
          <w:p>
            <w:pPr>
              <w:pStyle w:val="10"/>
              <w:spacing w:line="340" w:lineRule="exact"/>
              <w:rPr>
                <w:rFonts w:hint="default" w:hAnsi="宋体" w:eastAsiaTheme="minorEastAsia"/>
                <w:lang w:val="en-US" w:eastAsia="zh-CN"/>
              </w:rPr>
            </w:pPr>
            <w:r>
              <w:rPr>
                <w:rFonts w:hint="eastAsia" w:hAnsi="宋体"/>
                <w:lang w:val="en-US" w:eastAsia="zh-CN"/>
              </w:rPr>
              <w:t>向2家中标单位各收取17,000.00元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0"/>
              <w:spacing w:line="360" w:lineRule="auto"/>
              <w:jc w:val="center"/>
              <w:rPr>
                <w:rFonts w:hAnsi="宋体"/>
              </w:rPr>
            </w:pPr>
            <w:r>
              <w:rPr>
                <w:rFonts w:hint="eastAsia" w:hAnsi="宋体"/>
              </w:rPr>
              <w:t>15</w:t>
            </w:r>
          </w:p>
        </w:tc>
        <w:tc>
          <w:tcPr>
            <w:tcW w:w="850" w:type="dxa"/>
            <w:vAlign w:val="center"/>
          </w:tcPr>
          <w:p>
            <w:pPr>
              <w:pStyle w:val="10"/>
              <w:spacing w:line="360" w:lineRule="auto"/>
              <w:jc w:val="center"/>
              <w:rPr>
                <w:rFonts w:hAnsi="宋体"/>
              </w:rPr>
            </w:pPr>
          </w:p>
        </w:tc>
        <w:tc>
          <w:tcPr>
            <w:tcW w:w="1985" w:type="dxa"/>
            <w:vAlign w:val="center"/>
          </w:tcPr>
          <w:p>
            <w:pPr>
              <w:pStyle w:val="10"/>
              <w:spacing w:line="340" w:lineRule="exact"/>
              <w:jc w:val="center"/>
              <w:rPr>
                <w:rFonts w:hint="default" w:hAnsi="宋体" w:eastAsiaTheme="minorEastAsia"/>
                <w:lang w:val="en-US" w:eastAsia="zh-CN"/>
              </w:rPr>
            </w:pPr>
            <w:r>
              <w:rPr>
                <w:rFonts w:hint="eastAsia" w:hAnsi="宋体"/>
              </w:rPr>
              <w:t>采购</w:t>
            </w:r>
            <w:r>
              <w:rPr>
                <w:rFonts w:hint="eastAsia" w:hAnsi="宋体"/>
                <w:lang w:val="en-US" w:eastAsia="zh-CN"/>
              </w:rPr>
              <w:t>支付上限</w:t>
            </w:r>
          </w:p>
        </w:tc>
        <w:tc>
          <w:tcPr>
            <w:tcW w:w="5669" w:type="dxa"/>
            <w:vAlign w:val="center"/>
          </w:tcPr>
          <w:p>
            <w:pPr>
              <w:pStyle w:val="10"/>
              <w:spacing w:line="340" w:lineRule="exact"/>
              <w:rPr>
                <w:rFonts w:hAnsi="宋体"/>
                <w:b/>
              </w:rPr>
            </w:pPr>
            <w:r>
              <w:rPr>
                <w:rFonts w:hint="eastAsia" w:hAnsi="宋体"/>
                <w:b/>
                <w:highlight w:val="yellow"/>
              </w:rPr>
              <w:t>人民币</w:t>
            </w:r>
            <w:r>
              <w:rPr>
                <w:rFonts w:hint="eastAsia" w:hAnsi="宋体"/>
                <w:b/>
                <w:highlight w:val="yellow"/>
                <w:lang w:val="en-US" w:eastAsia="zh-CN"/>
              </w:rPr>
              <w:t>336万元</w:t>
            </w:r>
            <w:r>
              <w:rPr>
                <w:rFonts w:hint="eastAsia" w:hAnsi="宋体"/>
                <w:b/>
                <w:highlight w:val="yellow"/>
              </w:rPr>
              <w:t>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0"/>
              <w:spacing w:line="360" w:lineRule="auto"/>
              <w:jc w:val="center"/>
              <w:rPr>
                <w:rFonts w:hint="default" w:hAnsi="宋体" w:eastAsiaTheme="minorEastAsia"/>
                <w:lang w:val="en-US" w:eastAsia="zh-CN"/>
              </w:rPr>
            </w:pPr>
            <w:r>
              <w:rPr>
                <w:rFonts w:hint="eastAsia" w:hAnsi="宋体"/>
                <w:lang w:val="en-US" w:eastAsia="zh-CN"/>
              </w:rPr>
              <w:t>16</w:t>
            </w:r>
          </w:p>
        </w:tc>
        <w:tc>
          <w:tcPr>
            <w:tcW w:w="850" w:type="dxa"/>
            <w:vAlign w:val="center"/>
          </w:tcPr>
          <w:p>
            <w:pPr>
              <w:pStyle w:val="10"/>
              <w:spacing w:line="360" w:lineRule="auto"/>
              <w:jc w:val="center"/>
              <w:rPr>
                <w:rFonts w:hAnsi="宋体"/>
              </w:rPr>
            </w:pPr>
          </w:p>
        </w:tc>
        <w:tc>
          <w:tcPr>
            <w:tcW w:w="1985" w:type="dxa"/>
            <w:vAlign w:val="center"/>
          </w:tcPr>
          <w:p>
            <w:pPr>
              <w:pStyle w:val="10"/>
              <w:spacing w:line="340" w:lineRule="exact"/>
              <w:jc w:val="center"/>
              <w:rPr>
                <w:rFonts w:hint="default" w:hAnsi="宋体" w:eastAsiaTheme="minorEastAsia"/>
                <w:lang w:val="en-US" w:eastAsia="zh-CN"/>
              </w:rPr>
            </w:pPr>
            <w:r>
              <w:rPr>
                <w:rFonts w:hint="eastAsia" w:hAnsi="宋体"/>
                <w:lang w:val="en-US" w:eastAsia="zh-CN"/>
              </w:rPr>
              <w:t>采购单价上限</w:t>
            </w:r>
          </w:p>
        </w:tc>
        <w:tc>
          <w:tcPr>
            <w:tcW w:w="5669" w:type="dxa"/>
            <w:vAlign w:val="center"/>
          </w:tcPr>
          <w:p>
            <w:pPr>
              <w:pStyle w:val="10"/>
              <w:spacing w:line="340" w:lineRule="exact"/>
              <w:rPr>
                <w:rFonts w:hint="eastAsia" w:hAnsi="宋体"/>
                <w:b/>
                <w:highlight w:val="yellow"/>
              </w:rPr>
            </w:pPr>
            <w:r>
              <w:rPr>
                <w:rFonts w:hint="eastAsia" w:hAnsi="宋体"/>
                <w:b/>
                <w:highlight w:val="yellow"/>
                <w:lang w:val="en-US" w:eastAsia="zh-CN"/>
              </w:rPr>
              <w:t>1）单管</w:t>
            </w:r>
            <w:r>
              <w:rPr>
                <w:rFonts w:hint="eastAsia" w:hAnsi="宋体"/>
                <w:b/>
                <w:highlight w:val="yellow"/>
              </w:rPr>
              <w:t>最高投标上限单价为</w:t>
            </w:r>
            <w:r>
              <w:rPr>
                <w:rFonts w:hint="eastAsia" w:hAnsi="宋体"/>
                <w:b/>
                <w:highlight w:val="yellow"/>
                <w:lang w:val="en-US" w:eastAsia="zh-CN"/>
              </w:rPr>
              <w:t>40</w:t>
            </w:r>
            <w:r>
              <w:rPr>
                <w:rFonts w:hint="eastAsia" w:hAnsi="宋体"/>
                <w:b/>
                <w:highlight w:val="yellow"/>
              </w:rPr>
              <w:t>元</w:t>
            </w:r>
            <w:r>
              <w:rPr>
                <w:rFonts w:hint="eastAsia" w:hAnsi="宋体"/>
                <w:b/>
                <w:highlight w:val="yellow"/>
                <w:lang w:val="en-US" w:eastAsia="zh-CN"/>
              </w:rPr>
              <w:t>/人</w:t>
            </w:r>
            <w:r>
              <w:rPr>
                <w:rFonts w:hint="eastAsia" w:hAnsi="宋体"/>
                <w:b/>
                <w:highlight w:val="yellow"/>
              </w:rPr>
              <w:t>次</w:t>
            </w:r>
          </w:p>
          <w:p>
            <w:pPr>
              <w:pStyle w:val="10"/>
              <w:spacing w:line="340" w:lineRule="exact"/>
              <w:rPr>
                <w:rFonts w:hint="eastAsia" w:hAnsi="宋体"/>
                <w:b/>
                <w:highlight w:val="yellow"/>
              </w:rPr>
            </w:pPr>
            <w:r>
              <w:rPr>
                <w:rFonts w:hint="eastAsia" w:hAnsi="宋体"/>
                <w:b/>
                <w:highlight w:val="yellow"/>
                <w:lang w:val="en-US" w:eastAsia="zh-CN"/>
              </w:rPr>
              <w:t>2）混采</w:t>
            </w:r>
            <w:r>
              <w:rPr>
                <w:rFonts w:hint="eastAsia" w:hAnsi="宋体"/>
                <w:b/>
                <w:highlight w:val="yellow"/>
              </w:rPr>
              <w:t>最高投标上限单价为</w:t>
            </w:r>
            <w:r>
              <w:rPr>
                <w:rFonts w:hint="eastAsia" w:hAnsi="宋体"/>
                <w:b/>
                <w:highlight w:val="yellow"/>
                <w:lang w:val="en-US" w:eastAsia="zh-CN"/>
              </w:rPr>
              <w:t>10</w:t>
            </w:r>
            <w:r>
              <w:rPr>
                <w:rFonts w:hint="eastAsia" w:hAnsi="宋体"/>
                <w:b/>
                <w:highlight w:val="yellow"/>
              </w:rPr>
              <w:t>元</w:t>
            </w:r>
            <w:r>
              <w:rPr>
                <w:rFonts w:hint="eastAsia" w:hAnsi="宋体"/>
                <w:b/>
                <w:highlight w:val="yellow"/>
                <w:lang w:val="en-US" w:eastAsia="zh-CN"/>
              </w:rPr>
              <w:t>/人</w:t>
            </w:r>
            <w:r>
              <w:rPr>
                <w:rFonts w:hint="eastAsia" w:hAnsi="宋体"/>
                <w:b/>
                <w:highlight w:val="yellow"/>
              </w:rPr>
              <w:t>次</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综合评分法，是指投标文件满足采购文件全部实质性要求，且按照评审因素的量化指标评审得分最高的投标人为中标候选人的评标方法。</w:t>
      </w:r>
    </w:p>
    <w:tbl>
      <w:tblPr>
        <w:tblStyle w:val="16"/>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169"/>
        <w:gridCol w:w="702"/>
        <w:gridCol w:w="6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29"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类别</w:t>
            </w:r>
          </w:p>
        </w:tc>
        <w:tc>
          <w:tcPr>
            <w:tcW w:w="1169"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评分项目</w:t>
            </w:r>
          </w:p>
        </w:tc>
        <w:tc>
          <w:tcPr>
            <w:tcW w:w="702"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2"/>
              </w:rPr>
            </w:pPr>
            <w:r>
              <w:rPr>
                <w:rFonts w:hint="eastAsia" w:ascii="仿宋" w:hAnsi="仿宋" w:eastAsia="仿宋"/>
                <w:b/>
                <w:bCs/>
                <w:snapToGrid w:val="0"/>
                <w:kern w:val="0"/>
                <w:sz w:val="22"/>
              </w:rPr>
              <w:t>分值</w:t>
            </w:r>
          </w:p>
        </w:tc>
        <w:tc>
          <w:tcPr>
            <w:tcW w:w="6267"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价格标（G）</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w:t>
            </w:r>
            <w:r>
              <w:rPr>
                <w:rFonts w:hint="eastAsia" w:ascii="仿宋" w:hAnsi="仿宋" w:eastAsia="仿宋"/>
                <w:b/>
                <w:bCs/>
                <w:snapToGrid w:val="0"/>
                <w:kern w:val="0"/>
                <w:sz w:val="22"/>
                <w:lang w:val="en-US" w:eastAsia="zh-CN"/>
              </w:rPr>
              <w:t>1</w:t>
            </w:r>
            <w:r>
              <w:rPr>
                <w:rFonts w:hint="eastAsia" w:ascii="仿宋" w:hAnsi="仿宋" w:eastAsia="仿宋"/>
                <w:b/>
                <w:bCs/>
                <w:snapToGrid w:val="0"/>
                <w:kern w:val="0"/>
                <w:sz w:val="22"/>
              </w:rPr>
              <w:t>0分）</w:t>
            </w:r>
          </w:p>
        </w:tc>
        <w:tc>
          <w:tcPr>
            <w:tcW w:w="1169"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投标单价</w:t>
            </w:r>
          </w:p>
        </w:tc>
        <w:tc>
          <w:tcPr>
            <w:tcW w:w="70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lang w:val="en-US" w:eastAsia="zh-CN"/>
              </w:rPr>
              <w:t>1</w:t>
            </w:r>
            <w:r>
              <w:rPr>
                <w:rFonts w:hint="eastAsia" w:ascii="仿宋" w:hAnsi="仿宋" w:eastAsia="仿宋" w:cs="宋体"/>
                <w:kern w:val="0"/>
                <w:sz w:val="22"/>
              </w:rPr>
              <w:t>0</w:t>
            </w:r>
          </w:p>
        </w:tc>
        <w:tc>
          <w:tcPr>
            <w:tcW w:w="6267" w:type="dxa"/>
            <w:tcBorders>
              <w:right w:val="double" w:color="auto" w:sz="4" w:space="0"/>
            </w:tcBorders>
            <w:vAlign w:val="center"/>
          </w:tcPr>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价格分按以下方案计算：</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投标单价得分= Z/Sn×</w:t>
            </w:r>
            <w:r>
              <w:rPr>
                <w:rFonts w:hint="eastAsia" w:ascii="仿宋" w:hAnsi="仿宋" w:eastAsia="仿宋" w:cs="宋体"/>
                <w:kern w:val="0"/>
                <w:sz w:val="22"/>
                <w:lang w:val="en-US" w:eastAsia="zh-CN"/>
              </w:rPr>
              <w:t>1</w:t>
            </w:r>
            <w:r>
              <w:rPr>
                <w:rFonts w:hint="eastAsia" w:ascii="仿宋" w:hAnsi="仿宋" w:eastAsia="仿宋" w:cs="宋体"/>
                <w:kern w:val="0"/>
                <w:sz w:val="22"/>
              </w:rPr>
              <w:t>0</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其中： Z --评标基准价，即通过资格性审查和符合性审查且投标价格最低的投标单价</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ab/>
            </w:r>
            <w:r>
              <w:rPr>
                <w:rFonts w:hint="eastAsia" w:ascii="仿宋" w:hAnsi="仿宋" w:eastAsia="仿宋" w:cs="宋体"/>
                <w:kern w:val="0"/>
                <w:sz w:val="22"/>
              </w:rPr>
              <w:t xml:space="preserve">  Sn ---投标单价，即通过资格性审查和符合性审查的投标单价。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技术标（J）</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w:t>
            </w:r>
            <w:r>
              <w:rPr>
                <w:rFonts w:hint="eastAsia" w:ascii="仿宋" w:hAnsi="仿宋" w:eastAsia="仿宋"/>
                <w:b/>
                <w:bCs/>
                <w:snapToGrid w:val="0"/>
                <w:kern w:val="0"/>
                <w:sz w:val="22"/>
                <w:lang w:val="en-US" w:eastAsia="zh-CN"/>
              </w:rPr>
              <w:t>30</w:t>
            </w:r>
            <w:r>
              <w:rPr>
                <w:rFonts w:hint="eastAsia" w:ascii="仿宋" w:hAnsi="仿宋" w:eastAsia="仿宋"/>
                <w:b/>
                <w:bCs/>
                <w:snapToGrid w:val="0"/>
                <w:kern w:val="0"/>
                <w:sz w:val="22"/>
              </w:rPr>
              <w:t>分）</w:t>
            </w:r>
          </w:p>
        </w:tc>
        <w:tc>
          <w:tcPr>
            <w:tcW w:w="1169" w:type="dxa"/>
            <w:vAlign w:val="center"/>
          </w:tcPr>
          <w:p>
            <w:pPr>
              <w:adjustRightInd w:val="0"/>
              <w:spacing w:line="360" w:lineRule="auto"/>
              <w:jc w:val="center"/>
              <w:rPr>
                <w:rFonts w:ascii="仿宋" w:hAnsi="仿宋" w:eastAsia="仿宋" w:cs="宋体"/>
                <w:kern w:val="0"/>
                <w:sz w:val="22"/>
              </w:rPr>
            </w:pPr>
            <w:r>
              <w:rPr>
                <w:rFonts w:ascii="仿宋" w:hAnsi="仿宋" w:eastAsia="仿宋" w:cs="宋体"/>
                <w:kern w:val="0"/>
                <w:sz w:val="22"/>
              </w:rPr>
              <w:t>实施方案</w:t>
            </w:r>
          </w:p>
        </w:tc>
        <w:tc>
          <w:tcPr>
            <w:tcW w:w="702" w:type="dxa"/>
            <w:vAlign w:val="center"/>
          </w:tcPr>
          <w:p>
            <w:pPr>
              <w:spacing w:line="360" w:lineRule="auto"/>
              <w:jc w:val="center"/>
              <w:rPr>
                <w:rFonts w:hint="eastAsia" w:ascii="仿宋" w:hAnsi="仿宋" w:eastAsia="仿宋" w:cs="宋体"/>
                <w:kern w:val="0"/>
                <w:sz w:val="22"/>
                <w:lang w:eastAsia="zh-CN"/>
              </w:rPr>
            </w:pPr>
            <w:r>
              <w:rPr>
                <w:rFonts w:hint="eastAsia" w:ascii="仿宋" w:hAnsi="仿宋" w:eastAsia="仿宋" w:cs="宋体"/>
                <w:kern w:val="0"/>
                <w:sz w:val="22"/>
                <w:lang w:val="en-US" w:eastAsia="zh-CN"/>
              </w:rPr>
              <w:t>8</w:t>
            </w:r>
          </w:p>
        </w:tc>
        <w:tc>
          <w:tcPr>
            <w:tcW w:w="6267" w:type="dxa"/>
            <w:tcBorders>
              <w:right w:val="double" w:color="auto" w:sz="4" w:space="0"/>
            </w:tcBorders>
            <w:vAlign w:val="center"/>
          </w:tcPr>
          <w:p>
            <w:pPr>
              <w:adjustRightInd w:val="0"/>
              <w:spacing w:line="360" w:lineRule="auto"/>
              <w:rPr>
                <w:rFonts w:ascii="仿宋" w:hAnsi="仿宋" w:eastAsia="仿宋" w:cs="宋体"/>
                <w:kern w:val="0"/>
                <w:sz w:val="22"/>
              </w:rPr>
            </w:pPr>
            <w:r>
              <w:rPr>
                <w:rFonts w:ascii="仿宋" w:hAnsi="仿宋" w:eastAsia="仿宋" w:cs="宋体"/>
                <w:kern w:val="0"/>
                <w:sz w:val="22"/>
              </w:rPr>
              <w:t>评标委员会根据投标人提供的实施方案响应情况进行评审</w:t>
            </w:r>
            <w:r>
              <w:rPr>
                <w:rFonts w:hint="eastAsia" w:ascii="仿宋" w:hAnsi="仿宋" w:eastAsia="仿宋" w:cs="宋体"/>
                <w:kern w:val="0"/>
                <w:sz w:val="22"/>
              </w:rPr>
              <w:t>：</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rPr>
              <w:t>评审细则：</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根据投标人提供的实施方案（应结合其工作经历，具体内容应包含采样方案、检验方案、结果判定原则、结果报送要求、检验过程的质量控制体系及方法、工作纪律、应急预案、后续服务等相关内容）进行评审。</w:t>
            </w:r>
          </w:p>
          <w:p>
            <w:pPr>
              <w:adjustRightInd w:val="0"/>
              <w:spacing w:line="360" w:lineRule="auto"/>
              <w:rPr>
                <w:rFonts w:ascii="仿宋" w:hAnsi="仿宋" w:eastAsia="仿宋"/>
                <w:sz w:val="22"/>
              </w:rPr>
            </w:pPr>
            <w:r>
              <w:rPr>
                <w:rFonts w:hint="eastAsia" w:ascii="仿宋" w:hAnsi="仿宋" w:eastAsia="仿宋"/>
                <w:sz w:val="22"/>
              </w:rPr>
              <w:t xml:space="preserve">（1）实施方案内容全面；（2）实施方案内容具体；（3）实施方案内容针对性强；（4）实施方案内容可操作性强。 </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rPr>
              <w:t>评分细则：</w:t>
            </w:r>
          </w:p>
          <w:p>
            <w:pPr>
              <w:adjustRightInd w:val="0"/>
              <w:spacing w:line="360" w:lineRule="auto"/>
              <w:rPr>
                <w:rFonts w:ascii="仿宋" w:hAnsi="仿宋" w:eastAsia="仿宋" w:cs="宋体"/>
                <w:kern w:val="0"/>
                <w:sz w:val="22"/>
              </w:rPr>
            </w:pPr>
            <w:r>
              <w:rPr>
                <w:rFonts w:hint="eastAsia" w:ascii="仿宋" w:hAnsi="仿宋" w:eastAsia="仿宋"/>
                <w:sz w:val="22"/>
              </w:rPr>
              <w:t>满足以上四项要求得</w:t>
            </w:r>
            <w:r>
              <w:rPr>
                <w:rFonts w:hint="eastAsia" w:ascii="仿宋" w:hAnsi="仿宋" w:eastAsia="仿宋"/>
                <w:sz w:val="22"/>
                <w:lang w:val="en-US" w:eastAsia="zh-CN"/>
              </w:rPr>
              <w:t>8</w:t>
            </w:r>
            <w:r>
              <w:rPr>
                <w:rFonts w:hint="eastAsia" w:ascii="仿宋" w:hAnsi="仿宋" w:eastAsia="仿宋"/>
                <w:sz w:val="22"/>
              </w:rPr>
              <w:t>分；满足以上三项要求为良得</w:t>
            </w:r>
            <w:r>
              <w:rPr>
                <w:rFonts w:hint="eastAsia" w:ascii="仿宋" w:hAnsi="仿宋" w:eastAsia="仿宋"/>
                <w:sz w:val="22"/>
                <w:lang w:val="en-US" w:eastAsia="zh-CN"/>
              </w:rPr>
              <w:t>7.5</w:t>
            </w:r>
            <w:r>
              <w:rPr>
                <w:rFonts w:hint="eastAsia" w:ascii="仿宋" w:hAnsi="仿宋" w:eastAsia="仿宋"/>
                <w:sz w:val="22"/>
              </w:rPr>
              <w:t>分；满足以上两项</w:t>
            </w:r>
            <w:r>
              <w:rPr>
                <w:rFonts w:hint="eastAsia" w:ascii="仿宋" w:hAnsi="仿宋" w:eastAsia="仿宋"/>
                <w:sz w:val="22"/>
                <w:lang w:val="en-US" w:eastAsia="zh-CN"/>
              </w:rPr>
              <w:t>得7分，其他情况不得分</w:t>
            </w:r>
            <w:r>
              <w:rPr>
                <w:rFonts w:hint="eastAsia" w:ascii="仿宋" w:hAnsi="仿宋" w:eastAsia="仿宋"/>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adjustRightInd w:val="0"/>
              <w:spacing w:line="360" w:lineRule="auto"/>
              <w:jc w:val="center"/>
              <w:rPr>
                <w:rFonts w:ascii="仿宋" w:hAnsi="仿宋" w:eastAsia="仿宋" w:cs="宋体"/>
                <w:kern w:val="0"/>
                <w:sz w:val="22"/>
              </w:rPr>
            </w:pPr>
            <w:r>
              <w:rPr>
                <w:rFonts w:ascii="仿宋" w:hAnsi="仿宋" w:eastAsia="仿宋" w:cs="宋体"/>
                <w:kern w:val="0"/>
                <w:sz w:val="22"/>
              </w:rPr>
              <w:t>项目重点难点分析、应对措施及相关的合理化建议</w:t>
            </w:r>
          </w:p>
        </w:tc>
        <w:tc>
          <w:tcPr>
            <w:tcW w:w="702" w:type="dxa"/>
            <w:vAlign w:val="center"/>
          </w:tcPr>
          <w:p>
            <w:pPr>
              <w:spacing w:line="360" w:lineRule="auto"/>
              <w:jc w:val="center"/>
              <w:rPr>
                <w:rFonts w:hint="eastAsia" w:ascii="仿宋" w:hAnsi="仿宋" w:eastAsia="仿宋" w:cs="宋体"/>
                <w:kern w:val="0"/>
                <w:sz w:val="22"/>
                <w:lang w:eastAsia="zh-CN"/>
              </w:rPr>
            </w:pPr>
            <w:r>
              <w:rPr>
                <w:rFonts w:hint="eastAsia" w:ascii="仿宋" w:hAnsi="仿宋" w:eastAsia="仿宋" w:cs="宋体"/>
                <w:kern w:val="0"/>
                <w:sz w:val="22"/>
                <w:lang w:val="en-US" w:eastAsia="zh-CN"/>
              </w:rPr>
              <w:t>8</w:t>
            </w:r>
          </w:p>
        </w:tc>
        <w:tc>
          <w:tcPr>
            <w:tcW w:w="6267" w:type="dxa"/>
            <w:tcBorders>
              <w:right w:val="double" w:color="auto" w:sz="4" w:space="0"/>
            </w:tcBorders>
            <w:vAlign w:val="center"/>
          </w:tcPr>
          <w:p>
            <w:pPr>
              <w:adjustRightInd w:val="0"/>
              <w:spacing w:line="360" w:lineRule="auto"/>
              <w:rPr>
                <w:rFonts w:ascii="仿宋" w:hAnsi="仿宋" w:eastAsia="仿宋" w:cs="宋体"/>
                <w:kern w:val="0"/>
                <w:sz w:val="22"/>
              </w:rPr>
            </w:pPr>
            <w:r>
              <w:rPr>
                <w:rFonts w:ascii="仿宋" w:hAnsi="仿宋" w:eastAsia="仿宋" w:cs="宋体"/>
                <w:kern w:val="0"/>
                <w:sz w:val="22"/>
              </w:rPr>
              <w:t>评标委员会根据投标人提供的</w:t>
            </w:r>
            <w:r>
              <w:rPr>
                <w:rFonts w:hint="eastAsia" w:ascii="仿宋" w:hAnsi="仿宋" w:eastAsia="仿宋" w:cs="宋体"/>
                <w:kern w:val="0"/>
                <w:sz w:val="22"/>
              </w:rPr>
              <w:t>项目重点难点分析、应对措施及相关的合理化建议</w:t>
            </w:r>
            <w:r>
              <w:rPr>
                <w:rFonts w:ascii="仿宋" w:hAnsi="仿宋" w:eastAsia="仿宋" w:cs="宋体"/>
                <w:kern w:val="0"/>
                <w:sz w:val="22"/>
              </w:rPr>
              <w:t>响应情况进行评审</w:t>
            </w:r>
            <w:r>
              <w:rPr>
                <w:rFonts w:hint="eastAsia" w:ascii="仿宋" w:hAnsi="仿宋" w:eastAsia="仿宋" w:cs="宋体"/>
                <w:kern w:val="0"/>
                <w:sz w:val="22"/>
              </w:rPr>
              <w:t>：</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rPr>
              <w:t>评审细则：</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1）项目重点难点分析内全面。2）项目重点难点分析内容具体。3）项目重点难点分析内容科学合理。4）</w:t>
            </w:r>
            <w:r>
              <w:rPr>
                <w:rFonts w:ascii="仿宋" w:hAnsi="仿宋" w:eastAsia="仿宋" w:cs="宋体"/>
                <w:kern w:val="0"/>
                <w:sz w:val="22"/>
              </w:rPr>
              <w:t>应对措施或合理化建议针对性强</w:t>
            </w:r>
            <w:r>
              <w:rPr>
                <w:rFonts w:hint="eastAsia" w:ascii="仿宋" w:hAnsi="仿宋" w:eastAsia="仿宋" w:cs="宋体"/>
                <w:kern w:val="0"/>
                <w:sz w:val="22"/>
              </w:rPr>
              <w:t>。5）</w:t>
            </w:r>
            <w:r>
              <w:rPr>
                <w:rFonts w:ascii="仿宋" w:hAnsi="仿宋" w:eastAsia="仿宋" w:cs="宋体"/>
                <w:kern w:val="0"/>
                <w:sz w:val="22"/>
              </w:rPr>
              <w:t>应对措施或合理化建议</w:t>
            </w:r>
            <w:r>
              <w:rPr>
                <w:rFonts w:hint="eastAsia" w:ascii="仿宋" w:hAnsi="仿宋" w:eastAsia="仿宋" w:cs="宋体"/>
                <w:kern w:val="0"/>
                <w:sz w:val="22"/>
              </w:rPr>
              <w:t>可操作性强。</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rPr>
              <w:t>评分细则：</w:t>
            </w:r>
          </w:p>
          <w:p>
            <w:pPr>
              <w:adjustRightInd w:val="0"/>
              <w:spacing w:line="360" w:lineRule="auto"/>
              <w:rPr>
                <w:rFonts w:ascii="仿宋" w:hAnsi="仿宋" w:eastAsia="仿宋" w:cs="宋体"/>
                <w:kern w:val="0"/>
                <w:sz w:val="22"/>
              </w:rPr>
            </w:pPr>
            <w:r>
              <w:rPr>
                <w:rFonts w:hint="eastAsia" w:ascii="仿宋" w:hAnsi="仿宋" w:eastAsia="仿宋"/>
                <w:sz w:val="22"/>
              </w:rPr>
              <w:t>满足以上四项要求得</w:t>
            </w:r>
            <w:r>
              <w:rPr>
                <w:rFonts w:hint="eastAsia" w:ascii="仿宋" w:hAnsi="仿宋" w:eastAsia="仿宋"/>
                <w:sz w:val="22"/>
                <w:lang w:val="en-US" w:eastAsia="zh-CN"/>
              </w:rPr>
              <w:t>8</w:t>
            </w:r>
            <w:r>
              <w:rPr>
                <w:rFonts w:hint="eastAsia" w:ascii="仿宋" w:hAnsi="仿宋" w:eastAsia="仿宋"/>
                <w:sz w:val="22"/>
              </w:rPr>
              <w:t>分；满足以上三项要求为良得</w:t>
            </w:r>
            <w:r>
              <w:rPr>
                <w:rFonts w:hint="eastAsia" w:ascii="仿宋" w:hAnsi="仿宋" w:eastAsia="仿宋"/>
                <w:sz w:val="22"/>
                <w:lang w:val="en-US" w:eastAsia="zh-CN"/>
              </w:rPr>
              <w:t>7.5</w:t>
            </w:r>
            <w:r>
              <w:rPr>
                <w:rFonts w:hint="eastAsia" w:ascii="仿宋" w:hAnsi="仿宋" w:eastAsia="仿宋"/>
                <w:sz w:val="22"/>
              </w:rPr>
              <w:t>分；满足以上两项</w:t>
            </w:r>
            <w:r>
              <w:rPr>
                <w:rFonts w:hint="eastAsia" w:ascii="仿宋" w:hAnsi="仿宋" w:eastAsia="仿宋"/>
                <w:sz w:val="22"/>
                <w:lang w:val="en-US" w:eastAsia="zh-CN"/>
              </w:rPr>
              <w:t>得7分，其他情况不得分</w:t>
            </w:r>
            <w:r>
              <w:rPr>
                <w:rFonts w:hint="eastAsia" w:ascii="仿宋" w:hAnsi="仿宋" w:eastAsia="仿宋"/>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质量保障措施及方案</w:t>
            </w:r>
          </w:p>
        </w:tc>
        <w:tc>
          <w:tcPr>
            <w:tcW w:w="702" w:type="dxa"/>
            <w:vAlign w:val="center"/>
          </w:tcPr>
          <w:p>
            <w:pPr>
              <w:spacing w:line="360" w:lineRule="auto"/>
              <w:jc w:val="center"/>
              <w:rPr>
                <w:rFonts w:hint="eastAsia" w:ascii="仿宋" w:hAnsi="仿宋" w:eastAsia="仿宋" w:cs="宋体"/>
                <w:kern w:val="0"/>
                <w:sz w:val="22"/>
                <w:lang w:eastAsia="zh-CN"/>
              </w:rPr>
            </w:pPr>
            <w:r>
              <w:rPr>
                <w:rFonts w:hint="eastAsia" w:ascii="仿宋" w:hAnsi="仿宋" w:eastAsia="仿宋" w:cs="宋体"/>
                <w:kern w:val="0"/>
                <w:sz w:val="22"/>
                <w:lang w:val="en-US" w:eastAsia="zh-CN"/>
              </w:rPr>
              <w:t>8</w:t>
            </w:r>
          </w:p>
        </w:tc>
        <w:tc>
          <w:tcPr>
            <w:tcW w:w="6267" w:type="dxa"/>
            <w:tcBorders>
              <w:right w:val="double" w:color="auto" w:sz="4" w:space="0"/>
            </w:tcBorders>
            <w:vAlign w:val="center"/>
          </w:tcPr>
          <w:p>
            <w:pPr>
              <w:adjustRightInd w:val="0"/>
              <w:spacing w:line="360" w:lineRule="auto"/>
              <w:rPr>
                <w:rFonts w:ascii="仿宋" w:hAnsi="仿宋" w:eastAsia="仿宋" w:cs="宋体"/>
                <w:kern w:val="0"/>
                <w:sz w:val="22"/>
              </w:rPr>
            </w:pPr>
            <w:r>
              <w:rPr>
                <w:rFonts w:ascii="仿宋" w:hAnsi="仿宋" w:eastAsia="仿宋" w:cs="宋体"/>
                <w:kern w:val="0"/>
                <w:sz w:val="22"/>
              </w:rPr>
              <w:t>评标委员会根据投标人提供的</w:t>
            </w:r>
            <w:r>
              <w:rPr>
                <w:rFonts w:hint="eastAsia" w:ascii="仿宋" w:hAnsi="仿宋" w:eastAsia="仿宋" w:cs="宋体"/>
                <w:kern w:val="0"/>
                <w:sz w:val="22"/>
              </w:rPr>
              <w:t>质量保障措施及方案</w:t>
            </w:r>
            <w:r>
              <w:rPr>
                <w:rFonts w:ascii="仿宋" w:hAnsi="仿宋" w:eastAsia="仿宋" w:cs="宋体"/>
                <w:kern w:val="0"/>
                <w:sz w:val="22"/>
              </w:rPr>
              <w:t>响应情况进行评审</w:t>
            </w:r>
            <w:r>
              <w:rPr>
                <w:rFonts w:hint="eastAsia" w:ascii="仿宋" w:hAnsi="仿宋" w:eastAsia="仿宋" w:cs="宋体"/>
                <w:kern w:val="0"/>
                <w:sz w:val="22"/>
              </w:rPr>
              <w:t>：</w:t>
            </w:r>
          </w:p>
          <w:p>
            <w:pPr>
              <w:adjustRightInd w:val="0"/>
              <w:spacing w:line="360" w:lineRule="auto"/>
              <w:rPr>
                <w:rFonts w:ascii="仿宋" w:hAnsi="仿宋" w:eastAsia="仿宋" w:cs="宋体"/>
                <w:kern w:val="0"/>
                <w:sz w:val="22"/>
              </w:rPr>
            </w:pPr>
            <w:r>
              <w:rPr>
                <w:rFonts w:hint="eastAsia" w:ascii="仿宋" w:hAnsi="仿宋" w:eastAsia="仿宋" w:cs="宋体"/>
                <w:b/>
                <w:kern w:val="0"/>
                <w:sz w:val="22"/>
              </w:rPr>
              <w:t>评分细则：</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1）质量保障措施及方案内容全面。2）</w:t>
            </w:r>
            <w:r>
              <w:rPr>
                <w:rFonts w:ascii="仿宋" w:hAnsi="仿宋" w:eastAsia="仿宋" w:cs="宋体"/>
                <w:kern w:val="0"/>
                <w:sz w:val="22"/>
              </w:rPr>
              <w:t>质量保障措施及方案内容具体</w:t>
            </w:r>
            <w:r>
              <w:rPr>
                <w:rFonts w:hint="eastAsia" w:ascii="仿宋" w:hAnsi="仿宋" w:eastAsia="仿宋" w:cs="宋体"/>
                <w:kern w:val="0"/>
                <w:sz w:val="22"/>
              </w:rPr>
              <w:t>。3）</w:t>
            </w:r>
            <w:r>
              <w:rPr>
                <w:rFonts w:ascii="仿宋" w:hAnsi="仿宋" w:eastAsia="仿宋" w:cs="宋体"/>
                <w:kern w:val="0"/>
                <w:sz w:val="22"/>
              </w:rPr>
              <w:t>质量保障措施及方案科学合理</w:t>
            </w:r>
            <w:r>
              <w:rPr>
                <w:rFonts w:hint="eastAsia" w:ascii="仿宋" w:hAnsi="仿宋" w:eastAsia="仿宋" w:cs="宋体"/>
                <w:kern w:val="0"/>
                <w:sz w:val="22"/>
              </w:rPr>
              <w:t>。4）</w:t>
            </w:r>
            <w:r>
              <w:rPr>
                <w:rFonts w:ascii="仿宋" w:hAnsi="仿宋" w:eastAsia="仿宋" w:cs="宋体"/>
                <w:kern w:val="0"/>
                <w:sz w:val="22"/>
              </w:rPr>
              <w:t>质量保障措施及方案</w:t>
            </w:r>
            <w:r>
              <w:rPr>
                <w:rFonts w:hint="eastAsia" w:ascii="仿宋" w:hAnsi="仿宋" w:eastAsia="仿宋" w:cs="宋体"/>
                <w:kern w:val="0"/>
                <w:sz w:val="22"/>
              </w:rPr>
              <w:t>针对</w:t>
            </w:r>
            <w:r>
              <w:rPr>
                <w:rFonts w:ascii="仿宋" w:hAnsi="仿宋" w:eastAsia="仿宋" w:cs="宋体"/>
                <w:kern w:val="0"/>
                <w:sz w:val="22"/>
              </w:rPr>
              <w:t>性强</w:t>
            </w:r>
            <w:r>
              <w:rPr>
                <w:rFonts w:hint="eastAsia" w:ascii="仿宋" w:hAnsi="仿宋" w:eastAsia="仿宋" w:cs="宋体"/>
                <w:kern w:val="0"/>
                <w:sz w:val="22"/>
              </w:rPr>
              <w:t>。5）</w:t>
            </w:r>
            <w:r>
              <w:rPr>
                <w:rFonts w:ascii="仿宋" w:hAnsi="仿宋" w:eastAsia="仿宋" w:cs="宋体"/>
                <w:kern w:val="0"/>
                <w:sz w:val="22"/>
              </w:rPr>
              <w:t>质量保障措施及方案可操作性强</w:t>
            </w:r>
            <w:r>
              <w:rPr>
                <w:rFonts w:hint="eastAsia" w:ascii="仿宋" w:hAnsi="仿宋" w:eastAsia="仿宋" w:cs="宋体"/>
                <w:kern w:val="0"/>
                <w:sz w:val="22"/>
              </w:rPr>
              <w:t>。</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rPr>
              <w:t>评审细则：</w:t>
            </w:r>
          </w:p>
          <w:p>
            <w:pPr>
              <w:adjustRightInd w:val="0"/>
              <w:spacing w:line="360" w:lineRule="auto"/>
              <w:rPr>
                <w:rFonts w:ascii="仿宋" w:hAnsi="仿宋" w:eastAsia="仿宋" w:cs="宋体"/>
                <w:kern w:val="0"/>
                <w:sz w:val="22"/>
              </w:rPr>
            </w:pPr>
            <w:r>
              <w:rPr>
                <w:rFonts w:hint="eastAsia" w:ascii="仿宋" w:hAnsi="仿宋" w:eastAsia="仿宋"/>
                <w:sz w:val="22"/>
              </w:rPr>
              <w:t>满足以上四项要求得</w:t>
            </w:r>
            <w:r>
              <w:rPr>
                <w:rFonts w:hint="eastAsia" w:ascii="仿宋" w:hAnsi="仿宋" w:eastAsia="仿宋"/>
                <w:sz w:val="22"/>
                <w:lang w:val="en-US" w:eastAsia="zh-CN"/>
              </w:rPr>
              <w:t>8</w:t>
            </w:r>
            <w:r>
              <w:rPr>
                <w:rFonts w:hint="eastAsia" w:ascii="仿宋" w:hAnsi="仿宋" w:eastAsia="仿宋"/>
                <w:sz w:val="22"/>
              </w:rPr>
              <w:t>分；满足以上三项要求为良得</w:t>
            </w:r>
            <w:r>
              <w:rPr>
                <w:rFonts w:hint="eastAsia" w:ascii="仿宋" w:hAnsi="仿宋" w:eastAsia="仿宋"/>
                <w:sz w:val="22"/>
                <w:lang w:val="en-US" w:eastAsia="zh-CN"/>
              </w:rPr>
              <w:t>7.5</w:t>
            </w:r>
            <w:r>
              <w:rPr>
                <w:rFonts w:hint="eastAsia" w:ascii="仿宋" w:hAnsi="仿宋" w:eastAsia="仿宋"/>
                <w:sz w:val="22"/>
              </w:rPr>
              <w:t>分；满足以上两项</w:t>
            </w:r>
            <w:r>
              <w:rPr>
                <w:rFonts w:hint="eastAsia" w:ascii="仿宋" w:hAnsi="仿宋" w:eastAsia="仿宋"/>
                <w:sz w:val="22"/>
                <w:lang w:val="en-US" w:eastAsia="zh-CN"/>
              </w:rPr>
              <w:t>得7分，其他情况不得分</w:t>
            </w:r>
            <w:r>
              <w:rPr>
                <w:rFonts w:hint="eastAsia" w:ascii="仿宋" w:hAnsi="仿宋" w:eastAsia="仿宋"/>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pStyle w:val="41"/>
              <w:spacing w:before="15" w:line="272" w:lineRule="exact"/>
              <w:ind w:left="100" w:right="97"/>
              <w:jc w:val="center"/>
              <w:rPr>
                <w:rFonts w:ascii="仿宋" w:hAnsi="仿宋" w:eastAsia="仿宋" w:cs="宋体"/>
                <w:kern w:val="0"/>
                <w:sz w:val="22"/>
              </w:rPr>
            </w:pPr>
            <w:r>
              <w:rPr>
                <w:rFonts w:hint="eastAsia" w:ascii="仿宋" w:hAnsi="仿宋" w:eastAsia="仿宋" w:cs="宋体"/>
                <w:kern w:val="0"/>
                <w:sz w:val="22"/>
              </w:rPr>
              <w:t>项目完成（服务期满）后的服务承诺</w:t>
            </w:r>
          </w:p>
        </w:tc>
        <w:tc>
          <w:tcPr>
            <w:tcW w:w="702" w:type="dxa"/>
            <w:vAlign w:val="center"/>
          </w:tcPr>
          <w:p>
            <w:pPr>
              <w:pStyle w:val="41"/>
              <w:spacing w:before="15"/>
              <w:jc w:val="center"/>
              <w:rPr>
                <w:rFonts w:hint="eastAsia" w:ascii="仿宋" w:hAnsi="仿宋" w:eastAsia="仿宋" w:cs="宋体"/>
                <w:kern w:val="0"/>
                <w:sz w:val="22"/>
                <w:lang w:eastAsia="zh-CN"/>
              </w:rPr>
            </w:pPr>
            <w:r>
              <w:rPr>
                <w:rFonts w:hint="eastAsia" w:ascii="仿宋" w:hAnsi="仿宋" w:eastAsia="仿宋" w:cs="宋体"/>
                <w:kern w:val="0"/>
                <w:sz w:val="22"/>
                <w:lang w:val="en-US" w:eastAsia="zh-CN"/>
              </w:rPr>
              <w:t>4</w:t>
            </w:r>
          </w:p>
        </w:tc>
        <w:tc>
          <w:tcPr>
            <w:tcW w:w="6267" w:type="dxa"/>
            <w:tcBorders>
              <w:right w:val="double" w:color="auto" w:sz="4" w:space="0"/>
            </w:tcBorders>
          </w:tcPr>
          <w:p>
            <w:pPr>
              <w:pStyle w:val="41"/>
              <w:spacing w:line="360" w:lineRule="auto"/>
              <w:ind w:right="96"/>
              <w:jc w:val="left"/>
              <w:rPr>
                <w:rFonts w:ascii="仿宋" w:hAnsi="仿宋" w:eastAsia="仿宋" w:cs="宋体"/>
                <w:kern w:val="0"/>
                <w:sz w:val="22"/>
              </w:rPr>
            </w:pPr>
            <w:r>
              <w:rPr>
                <w:rFonts w:ascii="仿宋" w:hAnsi="仿宋" w:eastAsia="仿宋" w:cs="宋体"/>
                <w:kern w:val="0"/>
                <w:sz w:val="22"/>
              </w:rPr>
              <w:t xml:space="preserve">投标人针对本项目的需求制定项目完成（服务期满）后的服务承诺。 </w:t>
            </w:r>
          </w:p>
          <w:p>
            <w:pPr>
              <w:pStyle w:val="41"/>
              <w:spacing w:line="360" w:lineRule="auto"/>
              <w:ind w:right="96"/>
              <w:jc w:val="left"/>
              <w:rPr>
                <w:rFonts w:hint="eastAsia" w:ascii="仿宋" w:hAnsi="仿宋" w:eastAsia="仿宋"/>
                <w:sz w:val="22"/>
              </w:rPr>
            </w:pPr>
            <w:r>
              <w:rPr>
                <w:rFonts w:hint="eastAsia" w:ascii="仿宋" w:hAnsi="仿宋" w:eastAsia="仿宋" w:cs="宋体"/>
                <w:b/>
                <w:kern w:val="0"/>
                <w:sz w:val="22"/>
              </w:rPr>
              <w:t>评审细则</w:t>
            </w:r>
            <w:r>
              <w:rPr>
                <w:rFonts w:hint="eastAsia" w:ascii="仿宋" w:hAnsi="仿宋" w:eastAsia="仿宋"/>
                <w:sz w:val="22"/>
              </w:rPr>
              <w:t>：</w:t>
            </w:r>
          </w:p>
          <w:p>
            <w:pPr>
              <w:pStyle w:val="41"/>
              <w:spacing w:line="360" w:lineRule="auto"/>
              <w:ind w:right="96"/>
              <w:jc w:val="left"/>
              <w:rPr>
                <w:rFonts w:ascii="仿宋" w:hAnsi="仿宋" w:eastAsia="仿宋"/>
                <w:sz w:val="22"/>
              </w:rPr>
            </w:pPr>
            <w:r>
              <w:rPr>
                <w:rFonts w:ascii="仿宋" w:hAnsi="仿宋" w:eastAsia="仿宋"/>
                <w:sz w:val="22"/>
              </w:rPr>
              <w:t>1</w:t>
            </w:r>
            <w:r>
              <w:rPr>
                <w:rFonts w:hint="eastAsia" w:ascii="仿宋" w:hAnsi="仿宋" w:eastAsia="仿宋"/>
                <w:sz w:val="22"/>
              </w:rPr>
              <w:t>）</w:t>
            </w:r>
            <w:r>
              <w:rPr>
                <w:rFonts w:ascii="仿宋" w:hAnsi="仿宋" w:eastAsia="仿宋"/>
                <w:sz w:val="22"/>
              </w:rPr>
              <w:t>服务承诺内容全面、针对性强为优</w:t>
            </w:r>
            <w:r>
              <w:rPr>
                <w:rFonts w:hint="eastAsia" w:ascii="仿宋" w:hAnsi="仿宋" w:eastAsia="仿宋"/>
                <w:sz w:val="22"/>
              </w:rPr>
              <w:t>，得</w:t>
            </w:r>
            <w:r>
              <w:rPr>
                <w:rFonts w:hint="eastAsia" w:ascii="仿宋" w:hAnsi="仿宋" w:eastAsia="仿宋"/>
                <w:sz w:val="22"/>
                <w:lang w:val="en-US" w:eastAsia="zh-CN"/>
              </w:rPr>
              <w:t>4</w:t>
            </w:r>
            <w:r>
              <w:rPr>
                <w:rFonts w:hint="eastAsia" w:ascii="仿宋" w:hAnsi="仿宋" w:eastAsia="仿宋"/>
                <w:sz w:val="22"/>
              </w:rPr>
              <w:t>分</w:t>
            </w:r>
            <w:r>
              <w:rPr>
                <w:rFonts w:ascii="仿宋" w:hAnsi="仿宋" w:eastAsia="仿宋"/>
                <w:sz w:val="22"/>
              </w:rPr>
              <w:t>；</w:t>
            </w:r>
          </w:p>
          <w:p>
            <w:pPr>
              <w:pStyle w:val="41"/>
              <w:widowControl/>
              <w:spacing w:line="360" w:lineRule="auto"/>
              <w:ind w:right="97"/>
              <w:jc w:val="left"/>
              <w:rPr>
                <w:rFonts w:hint="eastAsia" w:ascii="仿宋" w:hAnsi="仿宋" w:eastAsia="仿宋"/>
                <w:sz w:val="22"/>
              </w:rPr>
            </w:pPr>
            <w:r>
              <w:rPr>
                <w:rFonts w:ascii="仿宋" w:hAnsi="仿宋" w:eastAsia="仿宋"/>
                <w:sz w:val="22"/>
              </w:rPr>
              <w:t>2</w:t>
            </w:r>
            <w:r>
              <w:rPr>
                <w:rFonts w:hint="eastAsia" w:ascii="仿宋" w:hAnsi="仿宋" w:eastAsia="仿宋"/>
                <w:sz w:val="22"/>
              </w:rPr>
              <w:t>）</w:t>
            </w:r>
            <w:r>
              <w:rPr>
                <w:rFonts w:ascii="仿宋" w:hAnsi="仿宋" w:eastAsia="仿宋"/>
                <w:sz w:val="22"/>
              </w:rPr>
              <w:t>服务承诺内容较为全面、针对性较强为 良</w:t>
            </w:r>
            <w:r>
              <w:rPr>
                <w:rFonts w:hint="eastAsia" w:ascii="仿宋" w:hAnsi="仿宋" w:eastAsia="仿宋"/>
                <w:sz w:val="22"/>
              </w:rPr>
              <w:t>，得3</w:t>
            </w:r>
            <w:r>
              <w:rPr>
                <w:rFonts w:hint="eastAsia" w:ascii="仿宋" w:hAnsi="仿宋" w:eastAsia="仿宋"/>
                <w:sz w:val="22"/>
                <w:lang w:val="en-US" w:eastAsia="zh-CN"/>
              </w:rPr>
              <w:t>.5</w:t>
            </w:r>
            <w:r>
              <w:rPr>
                <w:rFonts w:hint="eastAsia" w:ascii="仿宋" w:hAnsi="仿宋" w:eastAsia="仿宋"/>
                <w:sz w:val="22"/>
              </w:rPr>
              <w:t>分</w:t>
            </w:r>
            <w:r>
              <w:rPr>
                <w:rFonts w:ascii="仿宋" w:hAnsi="仿宋" w:eastAsia="仿宋"/>
                <w:sz w:val="22"/>
              </w:rPr>
              <w:t>；</w:t>
            </w:r>
          </w:p>
          <w:p>
            <w:pPr>
              <w:pStyle w:val="41"/>
              <w:widowControl/>
              <w:spacing w:line="360" w:lineRule="auto"/>
              <w:ind w:right="97"/>
              <w:jc w:val="left"/>
              <w:rPr>
                <w:rFonts w:hint="eastAsia" w:ascii="仿宋" w:hAnsi="仿宋" w:eastAsia="仿宋"/>
                <w:sz w:val="22"/>
              </w:rPr>
            </w:pPr>
            <w:r>
              <w:rPr>
                <w:rFonts w:ascii="仿宋" w:hAnsi="仿宋" w:eastAsia="仿宋"/>
                <w:sz w:val="22"/>
              </w:rPr>
              <w:t>3</w:t>
            </w:r>
            <w:r>
              <w:rPr>
                <w:rFonts w:hint="eastAsia" w:ascii="仿宋" w:hAnsi="仿宋" w:eastAsia="仿宋"/>
                <w:sz w:val="22"/>
              </w:rPr>
              <w:t>）</w:t>
            </w:r>
            <w:r>
              <w:rPr>
                <w:rFonts w:ascii="仿宋" w:hAnsi="仿宋" w:eastAsia="仿宋"/>
                <w:sz w:val="22"/>
              </w:rPr>
              <w:t>服务承诺内容不够全面、针对性不够强 为中</w:t>
            </w:r>
            <w:r>
              <w:rPr>
                <w:rFonts w:hint="eastAsia" w:ascii="仿宋" w:hAnsi="仿宋" w:eastAsia="仿宋"/>
                <w:sz w:val="22"/>
              </w:rPr>
              <w:t>，得</w:t>
            </w:r>
            <w:r>
              <w:rPr>
                <w:rFonts w:hint="eastAsia" w:ascii="仿宋" w:hAnsi="仿宋" w:eastAsia="仿宋"/>
                <w:sz w:val="22"/>
                <w:lang w:val="en-US" w:eastAsia="zh-CN"/>
              </w:rPr>
              <w:t>3</w:t>
            </w:r>
            <w:r>
              <w:rPr>
                <w:rFonts w:hint="eastAsia" w:ascii="仿宋" w:hAnsi="仿宋" w:eastAsia="仿宋"/>
                <w:sz w:val="22"/>
              </w:rPr>
              <w:t>分</w:t>
            </w:r>
            <w:r>
              <w:rPr>
                <w:rFonts w:ascii="仿宋" w:hAnsi="仿宋" w:eastAsia="仿宋"/>
                <w:sz w:val="22"/>
              </w:rPr>
              <w:t>；</w:t>
            </w:r>
          </w:p>
          <w:p>
            <w:pPr>
              <w:pStyle w:val="41"/>
              <w:widowControl/>
              <w:spacing w:line="360" w:lineRule="auto"/>
              <w:ind w:right="97"/>
              <w:jc w:val="left"/>
              <w:rPr>
                <w:rFonts w:hint="eastAsia" w:ascii="仿宋" w:hAnsi="仿宋" w:eastAsia="仿宋"/>
                <w:sz w:val="22"/>
              </w:rPr>
            </w:pPr>
            <w:r>
              <w:rPr>
                <w:rFonts w:ascii="仿宋" w:hAnsi="仿宋" w:eastAsia="仿宋"/>
                <w:sz w:val="22"/>
              </w:rPr>
              <w:t>4</w:t>
            </w:r>
            <w:r>
              <w:rPr>
                <w:rFonts w:hint="eastAsia" w:ascii="仿宋" w:hAnsi="仿宋" w:eastAsia="仿宋"/>
                <w:sz w:val="22"/>
              </w:rPr>
              <w:t>）</w:t>
            </w:r>
            <w:r>
              <w:rPr>
                <w:rFonts w:ascii="仿宋" w:hAnsi="仿宋" w:eastAsia="仿宋"/>
                <w:sz w:val="22"/>
              </w:rPr>
              <w:t>服务承诺内容不全面、针对性弱为差</w:t>
            </w:r>
            <w:r>
              <w:rPr>
                <w:rFonts w:hint="eastAsia" w:ascii="仿宋" w:hAnsi="仿宋" w:eastAsia="仿宋"/>
                <w:sz w:val="22"/>
              </w:rPr>
              <w:t>，得2</w:t>
            </w:r>
            <w:r>
              <w:rPr>
                <w:rFonts w:hint="eastAsia" w:ascii="仿宋" w:hAnsi="仿宋" w:eastAsia="仿宋"/>
                <w:sz w:val="22"/>
                <w:lang w:val="en-US" w:eastAsia="zh-CN"/>
              </w:rPr>
              <w:t>.5</w:t>
            </w:r>
            <w:r>
              <w:rPr>
                <w:rFonts w:hint="eastAsia" w:ascii="仿宋" w:hAnsi="仿宋" w:eastAsia="仿宋"/>
                <w:sz w:val="22"/>
              </w:rPr>
              <w:t>分</w:t>
            </w:r>
            <w:r>
              <w:rPr>
                <w:rFonts w:ascii="仿宋" w:hAnsi="仿宋" w:eastAsia="仿宋"/>
                <w:sz w:val="22"/>
              </w:rPr>
              <w:t>；</w:t>
            </w:r>
          </w:p>
          <w:p>
            <w:pPr>
              <w:pStyle w:val="41"/>
              <w:widowControl/>
              <w:spacing w:line="360" w:lineRule="auto"/>
              <w:ind w:right="97"/>
              <w:jc w:val="left"/>
              <w:rPr>
                <w:rFonts w:ascii="仿宋" w:hAnsi="仿宋" w:eastAsia="仿宋" w:cs="宋体"/>
                <w:kern w:val="0"/>
                <w:sz w:val="22"/>
              </w:rPr>
            </w:pPr>
            <w:r>
              <w:rPr>
                <w:rFonts w:hint="eastAsia" w:ascii="仿宋" w:hAnsi="仿宋" w:eastAsia="仿宋"/>
                <w:sz w:val="22"/>
              </w:rPr>
              <w:t>5）未提供服务承诺的不得分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adjustRightInd w:val="0"/>
              <w:spacing w:line="360" w:lineRule="auto"/>
              <w:jc w:val="center"/>
              <w:rPr>
                <w:rFonts w:ascii="仿宋" w:hAnsi="仿宋" w:eastAsia="仿宋" w:cs="宋体"/>
                <w:kern w:val="0"/>
                <w:sz w:val="22"/>
              </w:rPr>
            </w:pPr>
            <w:r>
              <w:rPr>
                <w:rFonts w:ascii="仿宋" w:hAnsi="仿宋" w:eastAsia="仿宋" w:cs="宋体"/>
                <w:kern w:val="0"/>
                <w:sz w:val="22"/>
              </w:rPr>
              <w:t>违约承诺</w:t>
            </w:r>
          </w:p>
        </w:tc>
        <w:tc>
          <w:tcPr>
            <w:tcW w:w="702" w:type="dxa"/>
            <w:vAlign w:val="center"/>
          </w:tcPr>
          <w:p>
            <w:pPr>
              <w:spacing w:line="360" w:lineRule="auto"/>
              <w:jc w:val="center"/>
              <w:rPr>
                <w:rFonts w:hint="eastAsia" w:ascii="仿宋" w:hAnsi="仿宋" w:eastAsia="仿宋" w:cs="宋体"/>
                <w:kern w:val="0"/>
                <w:sz w:val="22"/>
                <w:lang w:eastAsia="zh-CN"/>
              </w:rPr>
            </w:pPr>
            <w:r>
              <w:rPr>
                <w:rFonts w:hint="eastAsia" w:ascii="仿宋" w:hAnsi="仿宋" w:eastAsia="仿宋" w:cs="宋体"/>
                <w:kern w:val="0"/>
                <w:sz w:val="22"/>
                <w:lang w:val="en-US" w:eastAsia="zh-CN"/>
              </w:rPr>
              <w:t>2</w:t>
            </w:r>
          </w:p>
        </w:tc>
        <w:tc>
          <w:tcPr>
            <w:tcW w:w="6267" w:type="dxa"/>
            <w:tcBorders>
              <w:right w:val="double" w:color="auto" w:sz="4" w:space="0"/>
            </w:tcBorders>
            <w:vAlign w:val="center"/>
          </w:tcPr>
          <w:p>
            <w:pPr>
              <w:adjustRightInd w:val="0"/>
              <w:snapToGrid w:val="0"/>
              <w:spacing w:line="360" w:lineRule="auto"/>
              <w:rPr>
                <w:rFonts w:ascii="仿宋" w:hAnsi="仿宋" w:eastAsia="仿宋"/>
                <w:sz w:val="22"/>
              </w:rPr>
            </w:pPr>
            <w:r>
              <w:rPr>
                <w:rFonts w:ascii="仿宋" w:hAnsi="仿宋" w:eastAsia="仿宋"/>
                <w:sz w:val="22"/>
              </w:rPr>
              <w:t>投标人自行承诺在履约期间如若违约应履行的义务和赔偿</w:t>
            </w:r>
            <w:r>
              <w:rPr>
                <w:rFonts w:hint="eastAsia" w:ascii="仿宋" w:hAnsi="仿宋" w:eastAsia="仿宋"/>
                <w:sz w:val="22"/>
              </w:rPr>
              <w:t>，</w:t>
            </w:r>
            <w:r>
              <w:rPr>
                <w:rFonts w:ascii="仿宋" w:hAnsi="仿宋" w:eastAsia="仿宋"/>
                <w:sz w:val="22"/>
              </w:rPr>
              <w:t>得</w:t>
            </w:r>
            <w:r>
              <w:rPr>
                <w:rFonts w:hint="eastAsia" w:ascii="仿宋" w:hAnsi="仿宋" w:eastAsia="仿宋"/>
                <w:sz w:val="22"/>
                <w:lang w:val="en-US" w:eastAsia="zh-CN"/>
              </w:rPr>
              <w:t>2</w:t>
            </w:r>
            <w:r>
              <w:rPr>
                <w:rFonts w:hint="eastAsia" w:ascii="仿宋" w:hAnsi="仿宋" w:eastAsia="仿宋"/>
                <w:sz w:val="22"/>
              </w:rPr>
              <w:t>分。提供承诺函，格式自拟。未提供承诺函不得分。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商务标（S）</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w:t>
            </w:r>
            <w:r>
              <w:rPr>
                <w:rFonts w:hint="eastAsia" w:ascii="仿宋" w:hAnsi="仿宋" w:eastAsia="仿宋"/>
                <w:b/>
                <w:bCs/>
                <w:snapToGrid w:val="0"/>
                <w:kern w:val="0"/>
                <w:sz w:val="22"/>
                <w:lang w:val="en-US" w:eastAsia="zh-CN"/>
              </w:rPr>
              <w:t>60</w:t>
            </w:r>
            <w:r>
              <w:rPr>
                <w:rFonts w:hint="eastAsia" w:ascii="仿宋" w:hAnsi="仿宋" w:eastAsia="仿宋"/>
                <w:b/>
                <w:bCs/>
                <w:snapToGrid w:val="0"/>
                <w:kern w:val="0"/>
                <w:sz w:val="22"/>
              </w:rPr>
              <w:t>分）</w:t>
            </w:r>
          </w:p>
        </w:tc>
        <w:tc>
          <w:tcPr>
            <w:tcW w:w="1169" w:type="dxa"/>
            <w:vAlign w:val="center"/>
          </w:tcPr>
          <w:p>
            <w:pPr>
              <w:spacing w:line="360" w:lineRule="auto"/>
              <w:jc w:val="center"/>
              <w:rPr>
                <w:rFonts w:ascii="仿宋" w:hAnsi="仿宋" w:eastAsia="仿宋"/>
                <w:sz w:val="22"/>
              </w:rPr>
            </w:pPr>
            <w:r>
              <w:rPr>
                <w:rFonts w:hint="eastAsia" w:ascii="仿宋" w:hAnsi="仿宋" w:eastAsia="仿宋"/>
                <w:sz w:val="22"/>
              </w:rPr>
              <w:t>投标人通过相关认证情况</w:t>
            </w:r>
          </w:p>
        </w:tc>
        <w:tc>
          <w:tcPr>
            <w:tcW w:w="702" w:type="dxa"/>
            <w:tcBorders>
              <w:right w:val="single" w:color="auto" w:sz="4" w:space="0"/>
            </w:tcBorders>
            <w:vAlign w:val="center"/>
          </w:tcPr>
          <w:p>
            <w:pPr>
              <w:widowControl/>
              <w:adjustRightInd w:val="0"/>
              <w:spacing w:line="360" w:lineRule="auto"/>
              <w:jc w:val="center"/>
              <w:rPr>
                <w:rFonts w:ascii="仿宋" w:hAnsi="仿宋" w:eastAsia="仿宋"/>
                <w:sz w:val="22"/>
              </w:rPr>
            </w:pPr>
            <w:r>
              <w:rPr>
                <w:rFonts w:hint="eastAsia" w:ascii="仿宋" w:hAnsi="仿宋" w:eastAsia="仿宋"/>
                <w:sz w:val="22"/>
              </w:rPr>
              <w:t>12</w:t>
            </w:r>
          </w:p>
        </w:tc>
        <w:tc>
          <w:tcPr>
            <w:tcW w:w="6267"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2"/>
              </w:rPr>
            </w:pPr>
            <w:r>
              <w:rPr>
                <w:rFonts w:hint="eastAsia" w:ascii="仿宋" w:hAnsi="仿宋" w:eastAsia="仿宋"/>
                <w:sz w:val="22"/>
              </w:rPr>
              <w:t>评分标准：</w:t>
            </w:r>
          </w:p>
          <w:p>
            <w:pPr>
              <w:widowControl/>
              <w:spacing w:line="360" w:lineRule="auto"/>
              <w:jc w:val="left"/>
              <w:textAlignment w:val="center"/>
              <w:rPr>
                <w:rFonts w:ascii="仿宋" w:hAnsi="仿宋" w:eastAsia="仿宋"/>
                <w:sz w:val="22"/>
              </w:rPr>
            </w:pPr>
            <w:r>
              <w:rPr>
                <w:rFonts w:hint="eastAsia" w:ascii="仿宋" w:hAnsi="仿宋" w:eastAsia="仿宋"/>
                <w:sz w:val="22"/>
              </w:rPr>
              <w:t>考察投标人医学检验实验室认证情况。投标人在本项目招标公告之日前取得的以下证书并包括相应的许可范围（招标公告之日后获得的证书或新增许可范围或许可范围缺项均不得分）：</w:t>
            </w:r>
          </w:p>
          <w:p>
            <w:pPr>
              <w:pStyle w:val="9"/>
              <w:numPr>
                <w:ilvl w:val="0"/>
                <w:numId w:val="2"/>
              </w:numPr>
              <w:rPr>
                <w:rFonts w:ascii="仿宋" w:hAnsi="仿宋" w:eastAsia="仿宋"/>
                <w:sz w:val="22"/>
              </w:rPr>
            </w:pPr>
            <w:r>
              <w:rPr>
                <w:rFonts w:hint="eastAsia" w:ascii="仿宋" w:hAnsi="仿宋" w:eastAsia="仿宋"/>
                <w:sz w:val="22"/>
              </w:rPr>
              <w:t>投标人</w:t>
            </w:r>
            <w:r>
              <w:rPr>
                <w:rFonts w:ascii="仿宋" w:hAnsi="仿宋" w:eastAsia="仿宋"/>
                <w:bCs/>
                <w:sz w:val="22"/>
              </w:rPr>
              <w:t>在深圳市范围内</w:t>
            </w:r>
            <w:r>
              <w:rPr>
                <w:rFonts w:hint="eastAsia" w:ascii="仿宋" w:hAnsi="仿宋" w:eastAsia="仿宋"/>
                <w:sz w:val="22"/>
              </w:rPr>
              <w:t>设有实验室（自有），得2分；</w:t>
            </w:r>
          </w:p>
          <w:p>
            <w:pPr>
              <w:widowControl/>
              <w:spacing w:line="360" w:lineRule="auto"/>
              <w:jc w:val="left"/>
              <w:textAlignment w:val="center"/>
              <w:rPr>
                <w:rFonts w:ascii="仿宋" w:hAnsi="仿宋" w:eastAsia="仿宋"/>
                <w:sz w:val="22"/>
              </w:rPr>
            </w:pPr>
            <w:r>
              <w:rPr>
                <w:rFonts w:hint="eastAsia" w:ascii="仿宋" w:hAnsi="仿宋" w:eastAsia="仿宋"/>
                <w:sz w:val="22"/>
              </w:rPr>
              <w:t>（2）投标人实验室具备相关资质备案（包括临床基因扩增实验室认证和病原微生物实验室备案），得3分；</w:t>
            </w:r>
          </w:p>
          <w:p>
            <w:pPr>
              <w:widowControl/>
              <w:spacing w:line="360" w:lineRule="auto"/>
              <w:jc w:val="left"/>
              <w:textAlignment w:val="center"/>
              <w:rPr>
                <w:rFonts w:ascii="仿宋" w:hAnsi="仿宋" w:eastAsia="仿宋"/>
                <w:sz w:val="22"/>
              </w:rPr>
            </w:pPr>
            <w:r>
              <w:rPr>
                <w:rFonts w:hint="eastAsia" w:ascii="仿宋" w:hAnsi="仿宋" w:eastAsia="仿宋"/>
                <w:sz w:val="22"/>
              </w:rPr>
              <w:t>（3）投标人获得国家新冠核酸检测室间质评合格证书，得3分。省级新冠核酸检测室间质评合格证书，得2分。（此项不可重复得分）</w:t>
            </w:r>
          </w:p>
          <w:p>
            <w:pPr>
              <w:pStyle w:val="9"/>
              <w:widowControl/>
              <w:spacing w:line="360" w:lineRule="auto"/>
              <w:jc w:val="left"/>
              <w:textAlignment w:val="center"/>
              <w:rPr>
                <w:rFonts w:ascii="仿宋" w:hAnsi="仿宋" w:eastAsia="仿宋"/>
                <w:sz w:val="22"/>
              </w:rPr>
            </w:pPr>
            <w:r>
              <w:rPr>
                <w:rFonts w:hint="eastAsia" w:ascii="仿宋" w:hAnsi="仿宋" w:eastAsia="仿宋"/>
                <w:bCs/>
                <w:sz w:val="22"/>
              </w:rPr>
              <w:t>（4）</w:t>
            </w:r>
            <w:r>
              <w:rPr>
                <w:rFonts w:ascii="仿宋" w:hAnsi="仿宋" w:eastAsia="仿宋"/>
                <w:bCs/>
                <w:sz w:val="22"/>
              </w:rPr>
              <w:t>实验室场地</w:t>
            </w:r>
            <w:r>
              <w:rPr>
                <w:rFonts w:hint="eastAsia" w:ascii="仿宋" w:hAnsi="仿宋" w:eastAsia="仿宋"/>
                <w:bCs/>
                <w:sz w:val="22"/>
              </w:rPr>
              <w:t>面积</w:t>
            </w:r>
            <w:r>
              <w:rPr>
                <w:rFonts w:hint="eastAsia" w:ascii="宋体" w:hAnsi="宋体" w:cs="宋体"/>
                <w:bCs/>
                <w:sz w:val="22"/>
              </w:rPr>
              <w:t>≧</w:t>
            </w:r>
            <w:r>
              <w:rPr>
                <w:rFonts w:ascii="仿宋" w:hAnsi="仿宋" w:eastAsia="仿宋"/>
                <w:bCs/>
                <w:sz w:val="22"/>
              </w:rPr>
              <w:t>300（含）平方米</w:t>
            </w:r>
            <w:r>
              <w:rPr>
                <w:rFonts w:hint="eastAsia" w:ascii="仿宋" w:hAnsi="仿宋" w:eastAsia="仿宋"/>
                <w:bCs/>
                <w:sz w:val="22"/>
              </w:rPr>
              <w:t>，得2分。</w:t>
            </w:r>
          </w:p>
          <w:p>
            <w:pPr>
              <w:widowControl/>
              <w:spacing w:line="360" w:lineRule="auto"/>
              <w:jc w:val="left"/>
              <w:textAlignment w:val="center"/>
              <w:rPr>
                <w:rFonts w:ascii="仿宋" w:hAnsi="仿宋" w:eastAsia="仿宋"/>
                <w:sz w:val="22"/>
              </w:rPr>
            </w:pPr>
            <w:r>
              <w:rPr>
                <w:rFonts w:hint="eastAsia" w:ascii="仿宋" w:hAnsi="仿宋" w:eastAsia="仿宋"/>
                <w:sz w:val="22"/>
              </w:rPr>
              <w:t>（5）依据《信息安全等级保护管理办法》的有关规定，被委托单位的实验室数据管理信息系统应具备等级保护性备案（提供证明），且该系统已通过专业第三方等级保护测评机构的信息系统等保三级认证（国家信息安全等级保护三级认证），并取得认证报告，得2分。</w:t>
            </w:r>
          </w:p>
          <w:p>
            <w:pPr>
              <w:widowControl/>
              <w:spacing w:line="360" w:lineRule="auto"/>
              <w:jc w:val="left"/>
              <w:textAlignment w:val="center"/>
              <w:rPr>
                <w:rFonts w:ascii="仿宋" w:hAnsi="仿宋" w:eastAsia="仿宋"/>
                <w:sz w:val="22"/>
              </w:rPr>
            </w:pPr>
            <w:r>
              <w:rPr>
                <w:rFonts w:hint="eastAsia" w:ascii="仿宋" w:hAnsi="仿宋" w:eastAsia="仿宋"/>
                <w:sz w:val="22"/>
              </w:rPr>
              <w:t>证明文件：</w:t>
            </w:r>
          </w:p>
          <w:p>
            <w:pPr>
              <w:widowControl/>
              <w:spacing w:line="360" w:lineRule="auto"/>
              <w:jc w:val="left"/>
              <w:textAlignment w:val="center"/>
              <w:rPr>
                <w:rFonts w:ascii="仿宋" w:hAnsi="仿宋" w:eastAsia="仿宋"/>
                <w:sz w:val="22"/>
              </w:rPr>
            </w:pPr>
            <w:r>
              <w:rPr>
                <w:rFonts w:hint="eastAsia" w:ascii="仿宋" w:hAnsi="仿宋" w:eastAsia="仿宋"/>
                <w:sz w:val="22"/>
              </w:rPr>
              <w:t>（1）以上资料均要求提供扫描件，原件备查。</w:t>
            </w:r>
          </w:p>
          <w:p>
            <w:pPr>
              <w:widowControl/>
              <w:spacing w:line="360" w:lineRule="auto"/>
              <w:jc w:val="left"/>
              <w:textAlignment w:val="center"/>
              <w:rPr>
                <w:rFonts w:ascii="仿宋" w:hAnsi="仿宋" w:eastAsia="仿宋"/>
                <w:sz w:val="22"/>
              </w:rPr>
            </w:pPr>
            <w:r>
              <w:rPr>
                <w:rFonts w:hint="eastAsia" w:ascii="仿宋" w:hAnsi="仿宋" w:eastAsia="仿宋"/>
                <w:sz w:val="22"/>
              </w:rPr>
              <w:t>（2）评分中出现无证明资料或缺证明资料或专家无法凭所提供资料判断是否得分的情况，一律作不得分处理。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widowControl/>
              <w:spacing w:before="100" w:beforeAutospacing="1" w:line="360" w:lineRule="auto"/>
              <w:jc w:val="center"/>
              <w:textAlignment w:val="center"/>
              <w:rPr>
                <w:rFonts w:ascii="仿宋" w:hAnsi="仿宋" w:eastAsia="仿宋"/>
                <w:sz w:val="22"/>
              </w:rPr>
            </w:pPr>
            <w:r>
              <w:rPr>
                <w:rFonts w:hint="eastAsia" w:ascii="仿宋" w:hAnsi="仿宋" w:eastAsia="仿宋"/>
                <w:sz w:val="22"/>
              </w:rPr>
              <w:t>同类业绩</w:t>
            </w:r>
          </w:p>
        </w:tc>
        <w:tc>
          <w:tcPr>
            <w:tcW w:w="702" w:type="dxa"/>
            <w:tcBorders>
              <w:right w:val="single" w:color="auto" w:sz="4" w:space="0"/>
            </w:tcBorders>
            <w:vAlign w:val="center"/>
          </w:tcPr>
          <w:p>
            <w:pPr>
              <w:widowControl/>
              <w:spacing w:line="360" w:lineRule="auto"/>
              <w:jc w:val="center"/>
              <w:rPr>
                <w:rFonts w:hint="eastAsia" w:ascii="仿宋" w:hAnsi="仿宋" w:eastAsia="仿宋"/>
                <w:sz w:val="22"/>
                <w:lang w:eastAsia="zh-CN"/>
              </w:rPr>
            </w:pPr>
            <w:r>
              <w:rPr>
                <w:rFonts w:hint="eastAsia" w:ascii="仿宋" w:hAnsi="仿宋" w:eastAsia="仿宋"/>
                <w:snapToGrid w:val="0"/>
                <w:kern w:val="0"/>
                <w:sz w:val="22"/>
                <w:lang w:val="en-US" w:eastAsia="zh-CN"/>
              </w:rPr>
              <w:t>4</w:t>
            </w:r>
          </w:p>
        </w:tc>
        <w:tc>
          <w:tcPr>
            <w:tcW w:w="6267" w:type="dxa"/>
            <w:tcBorders>
              <w:left w:val="single" w:color="auto" w:sz="4" w:space="0"/>
              <w:right w:val="double" w:color="auto" w:sz="4" w:space="0"/>
            </w:tcBorders>
            <w:vAlign w:val="center"/>
          </w:tcPr>
          <w:p>
            <w:pPr>
              <w:snapToGrid w:val="0"/>
              <w:spacing w:line="360" w:lineRule="auto"/>
              <w:rPr>
                <w:rFonts w:ascii="仿宋" w:hAnsi="仿宋" w:eastAsia="仿宋" w:cs="宋体"/>
                <w:kern w:val="0"/>
                <w:sz w:val="22"/>
              </w:rPr>
            </w:pPr>
            <w:r>
              <w:rPr>
                <w:rFonts w:hint="eastAsia" w:ascii="仿宋" w:hAnsi="仿宋" w:eastAsia="仿宋" w:cs="宋体"/>
                <w:kern w:val="0"/>
                <w:sz w:val="22"/>
              </w:rPr>
              <w:t>考察投标人自2020年</w:t>
            </w:r>
            <w:r>
              <w:rPr>
                <w:rFonts w:hint="eastAsia" w:ascii="仿宋" w:hAnsi="仿宋" w:eastAsia="仿宋" w:cs="宋体"/>
                <w:kern w:val="0"/>
                <w:sz w:val="22"/>
                <w:lang w:val="en-US" w:eastAsia="zh-CN"/>
              </w:rPr>
              <w:t>1</w:t>
            </w:r>
            <w:r>
              <w:rPr>
                <w:rFonts w:hint="eastAsia" w:ascii="仿宋" w:hAnsi="仿宋" w:eastAsia="仿宋" w:cs="宋体"/>
                <w:kern w:val="0"/>
                <w:sz w:val="22"/>
              </w:rPr>
              <w:t>月1日起至本项目开标之日（以合同签订时间为准）承担核酸检测服务的证明文件，每提供一个核酸检测服务业绩（且合同服务期限超3个月）得 1 分，最高得3分。曾检测出新冠病毒阳性，并经省级疾控部门确认的，得</w:t>
            </w:r>
            <w:r>
              <w:rPr>
                <w:rFonts w:hint="eastAsia" w:ascii="仿宋" w:hAnsi="仿宋" w:eastAsia="仿宋" w:cs="宋体"/>
                <w:kern w:val="0"/>
                <w:sz w:val="22"/>
                <w:lang w:val="en-US" w:eastAsia="zh-CN"/>
              </w:rPr>
              <w:t>1</w:t>
            </w:r>
            <w:r>
              <w:rPr>
                <w:rFonts w:hint="eastAsia" w:ascii="仿宋" w:hAnsi="仿宋" w:eastAsia="仿宋" w:cs="宋体"/>
                <w:kern w:val="0"/>
                <w:sz w:val="22"/>
              </w:rPr>
              <w:t>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证明文件：</w:t>
            </w:r>
          </w:p>
          <w:p>
            <w:pPr>
              <w:snapToGrid w:val="0"/>
              <w:spacing w:line="360" w:lineRule="auto"/>
              <w:rPr>
                <w:rFonts w:ascii="仿宋" w:hAnsi="仿宋" w:eastAsia="仿宋"/>
                <w:sz w:val="22"/>
              </w:rPr>
            </w:pPr>
            <w:r>
              <w:rPr>
                <w:rFonts w:hint="eastAsia" w:ascii="仿宋" w:hAnsi="仿宋" w:eastAsia="仿宋" w:cs="宋体"/>
                <w:kern w:val="0"/>
                <w:sz w:val="22"/>
              </w:rPr>
              <w:t>要求提供合同关键信息(通过合同关键信息无法判断是否得分的，也可以提供能证明得分的其它证明资料，如项目报告或合同甲方出具的证明文件对账账单等)作为得分依据。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spacing w:line="360" w:lineRule="auto"/>
              <w:jc w:val="center"/>
              <w:rPr>
                <w:rFonts w:ascii="仿宋" w:hAnsi="仿宋" w:eastAsia="仿宋"/>
                <w:sz w:val="22"/>
              </w:rPr>
            </w:pPr>
            <w:r>
              <w:rPr>
                <w:rFonts w:ascii="仿宋" w:hAnsi="仿宋" w:eastAsia="仿宋"/>
                <w:sz w:val="22"/>
              </w:rPr>
              <w:t>拟派项目</w:t>
            </w:r>
            <w:r>
              <w:rPr>
                <w:rFonts w:hint="eastAsia" w:ascii="仿宋" w:hAnsi="仿宋" w:eastAsia="仿宋"/>
                <w:sz w:val="22"/>
              </w:rPr>
              <w:t>负责人（仅限一名）</w:t>
            </w:r>
          </w:p>
        </w:tc>
        <w:tc>
          <w:tcPr>
            <w:tcW w:w="702" w:type="dxa"/>
            <w:tcBorders>
              <w:right w:val="single" w:color="auto" w:sz="4" w:space="0"/>
            </w:tcBorders>
            <w:vAlign w:val="center"/>
          </w:tcPr>
          <w:p>
            <w:pPr>
              <w:widowControl/>
              <w:adjustRightInd w:val="0"/>
              <w:spacing w:line="360" w:lineRule="auto"/>
              <w:jc w:val="center"/>
              <w:rPr>
                <w:rFonts w:ascii="仿宋" w:hAnsi="仿宋" w:eastAsia="仿宋"/>
                <w:sz w:val="22"/>
              </w:rPr>
            </w:pPr>
            <w:r>
              <w:rPr>
                <w:rFonts w:hint="eastAsia" w:ascii="仿宋" w:hAnsi="仿宋" w:eastAsia="仿宋"/>
                <w:sz w:val="22"/>
              </w:rPr>
              <w:t>4</w:t>
            </w:r>
          </w:p>
        </w:tc>
        <w:tc>
          <w:tcPr>
            <w:tcW w:w="6267"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2"/>
              </w:rPr>
            </w:pPr>
            <w:r>
              <w:rPr>
                <w:rFonts w:ascii="仿宋" w:hAnsi="仿宋" w:eastAsia="仿宋"/>
                <w:sz w:val="22"/>
              </w:rPr>
              <w:t>拟派项目</w:t>
            </w:r>
            <w:r>
              <w:rPr>
                <w:rFonts w:hint="eastAsia" w:ascii="仿宋" w:hAnsi="仿宋" w:eastAsia="仿宋"/>
                <w:sz w:val="22"/>
              </w:rPr>
              <w:t>负责人（仅限一名）须是投标人在职员工【提供投标单位为其缴纳社保证明（自202</w:t>
            </w:r>
            <w:r>
              <w:rPr>
                <w:rFonts w:hint="eastAsia" w:ascii="仿宋" w:hAnsi="仿宋" w:eastAsia="仿宋"/>
                <w:sz w:val="22"/>
                <w:lang w:val="en-US" w:eastAsia="zh-CN"/>
              </w:rPr>
              <w:t>1</w:t>
            </w:r>
            <w:r>
              <w:rPr>
                <w:rFonts w:hint="eastAsia" w:ascii="仿宋" w:hAnsi="仿宋" w:eastAsia="仿宋"/>
                <w:sz w:val="22"/>
              </w:rPr>
              <w:t>年</w:t>
            </w:r>
            <w:r>
              <w:rPr>
                <w:rFonts w:hint="eastAsia" w:ascii="仿宋" w:hAnsi="仿宋" w:eastAsia="仿宋"/>
                <w:sz w:val="22"/>
                <w:lang w:val="en-US" w:eastAsia="zh-CN"/>
              </w:rPr>
              <w:t>9</w:t>
            </w:r>
            <w:r>
              <w:rPr>
                <w:rFonts w:hint="eastAsia" w:ascii="仿宋" w:hAnsi="仿宋" w:eastAsia="仿宋"/>
                <w:sz w:val="22"/>
              </w:rPr>
              <w:t>月到2021年</w:t>
            </w:r>
            <w:r>
              <w:rPr>
                <w:rFonts w:hint="eastAsia" w:ascii="仿宋" w:hAnsi="仿宋" w:eastAsia="仿宋"/>
                <w:sz w:val="22"/>
                <w:lang w:val="en-US" w:eastAsia="zh-CN"/>
              </w:rPr>
              <w:t>11</w:t>
            </w:r>
            <w:r>
              <w:rPr>
                <w:rFonts w:hint="eastAsia" w:ascii="仿宋" w:hAnsi="仿宋" w:eastAsia="仿宋"/>
                <w:sz w:val="22"/>
              </w:rPr>
              <w:t>月），</w:t>
            </w:r>
            <w:r>
              <w:rPr>
                <w:rFonts w:hint="eastAsia" w:ascii="仿宋" w:hAnsi="仿宋" w:eastAsia="仿宋" w:cs="宋体"/>
                <w:kern w:val="0"/>
                <w:sz w:val="22"/>
              </w:rPr>
              <w:t>如开标日前近一个月的社保证明因社保部门原因暂时无法提供，可往前顺延一个月</w:t>
            </w:r>
            <w:r>
              <w:rPr>
                <w:rFonts w:hint="eastAsia" w:ascii="仿宋" w:hAnsi="仿宋" w:eastAsia="仿宋"/>
                <w:sz w:val="22"/>
              </w:rPr>
              <w:t>），或劳动合同及工资流水（自202</w:t>
            </w:r>
            <w:r>
              <w:rPr>
                <w:rFonts w:hint="eastAsia" w:ascii="仿宋" w:hAnsi="仿宋" w:eastAsia="仿宋"/>
                <w:sz w:val="22"/>
                <w:lang w:val="en-US" w:eastAsia="zh-CN"/>
              </w:rPr>
              <w:t>1</w:t>
            </w:r>
            <w:r>
              <w:rPr>
                <w:rFonts w:hint="eastAsia" w:ascii="仿宋" w:hAnsi="仿宋" w:eastAsia="仿宋"/>
                <w:sz w:val="22"/>
              </w:rPr>
              <w:t>年</w:t>
            </w:r>
            <w:r>
              <w:rPr>
                <w:rFonts w:hint="eastAsia" w:ascii="仿宋" w:hAnsi="仿宋" w:eastAsia="仿宋"/>
                <w:sz w:val="22"/>
                <w:lang w:val="en-US" w:eastAsia="zh-CN"/>
              </w:rPr>
              <w:t>9</w:t>
            </w:r>
            <w:r>
              <w:rPr>
                <w:rFonts w:hint="eastAsia" w:ascii="仿宋" w:hAnsi="仿宋" w:eastAsia="仿宋"/>
                <w:sz w:val="22"/>
              </w:rPr>
              <w:t>月到2021年</w:t>
            </w:r>
            <w:r>
              <w:rPr>
                <w:rFonts w:hint="eastAsia" w:ascii="仿宋" w:hAnsi="仿宋" w:eastAsia="仿宋"/>
                <w:sz w:val="22"/>
                <w:lang w:val="en-US" w:eastAsia="zh-CN"/>
              </w:rPr>
              <w:t>11</w:t>
            </w:r>
            <w:r>
              <w:rPr>
                <w:rFonts w:hint="eastAsia" w:ascii="仿宋" w:hAnsi="仿宋" w:eastAsia="仿宋"/>
                <w:sz w:val="22"/>
              </w:rPr>
              <w:t>月），未提供本项不得分】。在此基础上进行以下评审：</w:t>
            </w:r>
          </w:p>
          <w:p>
            <w:pPr>
              <w:widowControl/>
              <w:spacing w:line="360" w:lineRule="auto"/>
              <w:ind w:left="440" w:hanging="440" w:hangingChars="200"/>
              <w:jc w:val="left"/>
              <w:textAlignment w:val="center"/>
              <w:rPr>
                <w:rFonts w:ascii="仿宋" w:hAnsi="仿宋" w:eastAsia="仿宋"/>
                <w:sz w:val="22"/>
              </w:rPr>
            </w:pPr>
            <w:r>
              <w:rPr>
                <w:rFonts w:hint="eastAsia" w:ascii="仿宋" w:hAnsi="仿宋" w:eastAsia="仿宋"/>
                <w:sz w:val="22"/>
              </w:rPr>
              <w:t>1）具有生物医学或生物技术或医疗检验或医疗检验类专业副高或以上职称，得2分；</w:t>
            </w:r>
          </w:p>
          <w:p>
            <w:pPr>
              <w:pStyle w:val="4"/>
              <w:spacing w:line="360" w:lineRule="auto"/>
              <w:ind w:left="440" w:hanging="440" w:hangingChars="200"/>
              <w:jc w:val="both"/>
              <w:rPr>
                <w:rFonts w:ascii="仿宋" w:hAnsi="仿宋" w:eastAsia="仿宋"/>
                <w:kern w:val="2"/>
                <w:sz w:val="22"/>
              </w:rPr>
            </w:pPr>
            <w:r>
              <w:rPr>
                <w:rFonts w:hint="eastAsia" w:ascii="仿宋" w:hAnsi="仿宋" w:eastAsia="仿宋"/>
                <w:kern w:val="2"/>
                <w:sz w:val="22"/>
              </w:rPr>
              <w:t>2）具有</w:t>
            </w:r>
            <w:r>
              <w:rPr>
                <w:rFonts w:hint="eastAsia" w:ascii="仿宋" w:hAnsi="仿宋" w:eastAsia="仿宋"/>
                <w:sz w:val="22"/>
              </w:rPr>
              <w:t>生物医学或生物技术或临床检验或医疗检验类专业</w:t>
            </w:r>
            <w:r>
              <w:rPr>
                <w:rFonts w:hint="eastAsia" w:ascii="仿宋" w:hAnsi="仿宋" w:eastAsia="仿宋"/>
                <w:kern w:val="2"/>
                <w:sz w:val="22"/>
              </w:rPr>
              <w:t>博士学位的得2分，硕士学位的得1.5分，本科学位的得1分。</w:t>
            </w:r>
            <w:r>
              <w:rPr>
                <w:rFonts w:hint="eastAsia" w:ascii="仿宋" w:hAnsi="仿宋" w:eastAsia="仿宋"/>
                <w:sz w:val="22"/>
              </w:rPr>
              <w:t>（此项不可重复得分）</w:t>
            </w:r>
          </w:p>
          <w:p>
            <w:pPr>
              <w:widowControl/>
              <w:spacing w:line="360" w:lineRule="auto"/>
              <w:jc w:val="left"/>
              <w:textAlignment w:val="center"/>
              <w:rPr>
                <w:rFonts w:ascii="仿宋" w:hAnsi="仿宋" w:eastAsia="仿宋"/>
                <w:sz w:val="22"/>
              </w:rPr>
            </w:pPr>
            <w:r>
              <w:rPr>
                <w:rFonts w:hint="eastAsia" w:ascii="仿宋" w:hAnsi="仿宋" w:eastAsia="仿宋"/>
                <w:sz w:val="22"/>
              </w:rPr>
              <w:t>证明文件：</w:t>
            </w:r>
          </w:p>
          <w:p>
            <w:pPr>
              <w:widowControl/>
              <w:spacing w:line="360" w:lineRule="auto"/>
              <w:jc w:val="left"/>
              <w:textAlignment w:val="center"/>
              <w:rPr>
                <w:rFonts w:ascii="仿宋" w:hAnsi="仿宋" w:eastAsia="仿宋"/>
                <w:sz w:val="22"/>
              </w:rPr>
            </w:pPr>
            <w:r>
              <w:rPr>
                <w:rFonts w:hint="eastAsia" w:ascii="仿宋" w:hAnsi="仿宋" w:eastAsia="仿宋"/>
                <w:sz w:val="22"/>
              </w:rPr>
              <w:t>提供</w:t>
            </w:r>
            <w:r>
              <w:rPr>
                <w:rFonts w:ascii="仿宋" w:hAnsi="仿宋" w:eastAsia="仿宋"/>
                <w:sz w:val="22"/>
              </w:rPr>
              <w:t>项目</w:t>
            </w:r>
            <w:r>
              <w:rPr>
                <w:rFonts w:hint="eastAsia" w:ascii="仿宋" w:hAnsi="仿宋" w:eastAsia="仿宋"/>
                <w:sz w:val="22"/>
              </w:rPr>
              <w:t>负责人相关证明文件的扫描件</w:t>
            </w:r>
            <w:r>
              <w:rPr>
                <w:rFonts w:hint="eastAsia" w:ascii="仿宋" w:hAnsi="仿宋" w:eastAsia="仿宋" w:cs="宋体"/>
                <w:kern w:val="0"/>
                <w:sz w:val="22"/>
              </w:rPr>
              <w:t>并加盖投标人公章，原件备查</w:t>
            </w:r>
            <w:r>
              <w:rPr>
                <w:rFonts w:ascii="仿宋" w:hAnsi="仿宋" w:eastAsia="仿宋" w:cs="宋体"/>
                <w:kern w:val="0"/>
                <w:sz w:val="22"/>
              </w:rPr>
              <w:t>。未按要求提供或提供不清晰导致专家无法有效判断的不得分</w:t>
            </w:r>
            <w:r>
              <w:rPr>
                <w:rFonts w:hint="eastAsia" w:ascii="仿宋" w:hAnsi="仿宋" w:eastAsia="仿宋" w:cs="宋体"/>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spacing w:line="360" w:lineRule="auto"/>
              <w:jc w:val="center"/>
              <w:rPr>
                <w:rFonts w:ascii="仿宋" w:hAnsi="仿宋" w:eastAsia="仿宋"/>
                <w:sz w:val="22"/>
              </w:rPr>
            </w:pPr>
            <w:r>
              <w:rPr>
                <w:rFonts w:ascii="仿宋" w:hAnsi="仿宋" w:eastAsia="仿宋"/>
                <w:sz w:val="22"/>
              </w:rPr>
              <w:t>拟派项目团队</w:t>
            </w:r>
            <w:r>
              <w:rPr>
                <w:rFonts w:hint="eastAsia" w:ascii="仿宋" w:hAnsi="仿宋" w:eastAsia="仿宋"/>
                <w:sz w:val="22"/>
              </w:rPr>
              <w:t xml:space="preserve">（项 目负责人除外） </w:t>
            </w:r>
          </w:p>
        </w:tc>
        <w:tc>
          <w:tcPr>
            <w:tcW w:w="702" w:type="dxa"/>
            <w:tcBorders>
              <w:right w:val="single" w:color="auto" w:sz="4" w:space="0"/>
            </w:tcBorders>
            <w:vAlign w:val="center"/>
          </w:tcPr>
          <w:p>
            <w:pPr>
              <w:widowControl/>
              <w:adjustRightInd w:val="0"/>
              <w:spacing w:line="360" w:lineRule="auto"/>
              <w:jc w:val="center"/>
              <w:rPr>
                <w:rFonts w:hint="default" w:ascii="仿宋" w:hAnsi="仿宋" w:eastAsia="仿宋"/>
                <w:sz w:val="22"/>
                <w:lang w:val="en-US" w:eastAsia="zh-CN"/>
              </w:rPr>
            </w:pPr>
            <w:r>
              <w:rPr>
                <w:rFonts w:hint="eastAsia" w:ascii="仿宋" w:hAnsi="仿宋" w:eastAsia="仿宋"/>
                <w:sz w:val="22"/>
                <w:lang w:val="en-US" w:eastAsia="zh-CN"/>
              </w:rPr>
              <w:t>10</w:t>
            </w:r>
          </w:p>
        </w:tc>
        <w:tc>
          <w:tcPr>
            <w:tcW w:w="6267"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2"/>
              </w:rPr>
            </w:pPr>
            <w:r>
              <w:rPr>
                <w:rFonts w:ascii="仿宋" w:hAnsi="仿宋" w:eastAsia="仿宋"/>
                <w:sz w:val="22"/>
              </w:rPr>
              <w:t>拟派项目团队成员数量不少于</w:t>
            </w:r>
            <w:r>
              <w:rPr>
                <w:rFonts w:hint="eastAsia" w:ascii="仿宋" w:hAnsi="仿宋" w:eastAsia="仿宋"/>
                <w:sz w:val="22"/>
              </w:rPr>
              <w:t>21名，其中1名专职项目后台支持成员，负责后台数据处理以及交接表核对；采样人员不少于10名，均具备中专（或以上）学历且具备新冠理论及实操考核记录和获得由第三方医学检验实验室发放的上岗证；</w:t>
            </w:r>
            <w:r>
              <w:rPr>
                <w:rFonts w:hint="eastAsia" w:ascii="仿宋" w:hAnsi="仿宋" w:eastAsia="仿宋"/>
                <w:bCs/>
                <w:sz w:val="22"/>
                <w:szCs w:val="21"/>
              </w:rPr>
              <w:t>核酸检测人员</w:t>
            </w:r>
            <w:r>
              <w:rPr>
                <w:rFonts w:hint="eastAsia" w:ascii="仿宋" w:hAnsi="仿宋" w:eastAsia="仿宋"/>
                <w:sz w:val="22"/>
              </w:rPr>
              <w:t>不少于10名，均</w:t>
            </w:r>
            <w:r>
              <w:rPr>
                <w:rFonts w:hint="eastAsia" w:ascii="仿宋" w:hAnsi="仿宋" w:eastAsia="仿宋"/>
                <w:bCs/>
                <w:sz w:val="22"/>
                <w:szCs w:val="21"/>
              </w:rPr>
              <w:t>具备本科及以上学历，省级及以上部门认可的PCR证（或基因扩增实验室上岗证），或检验师资格。</w:t>
            </w:r>
            <w:r>
              <w:rPr>
                <w:rFonts w:hint="eastAsia" w:ascii="仿宋" w:hAnsi="仿宋" w:eastAsia="仿宋"/>
                <w:sz w:val="22"/>
              </w:rPr>
              <w:t>须是投标人在职员工【提供投标单位为其缴纳社保证明（自202</w:t>
            </w:r>
            <w:r>
              <w:rPr>
                <w:rFonts w:hint="eastAsia" w:ascii="仿宋" w:hAnsi="仿宋" w:eastAsia="仿宋"/>
                <w:sz w:val="22"/>
                <w:lang w:val="en-US" w:eastAsia="zh-CN"/>
              </w:rPr>
              <w:t>1</w:t>
            </w:r>
            <w:r>
              <w:rPr>
                <w:rFonts w:hint="eastAsia" w:ascii="仿宋" w:hAnsi="仿宋" w:eastAsia="仿宋"/>
                <w:sz w:val="22"/>
              </w:rPr>
              <w:t>年</w:t>
            </w:r>
            <w:r>
              <w:rPr>
                <w:rFonts w:hint="eastAsia" w:ascii="仿宋" w:hAnsi="仿宋" w:eastAsia="仿宋"/>
                <w:sz w:val="22"/>
                <w:lang w:val="en-US" w:eastAsia="zh-CN"/>
              </w:rPr>
              <w:t>9</w:t>
            </w:r>
            <w:r>
              <w:rPr>
                <w:rFonts w:hint="eastAsia" w:ascii="仿宋" w:hAnsi="仿宋" w:eastAsia="仿宋"/>
                <w:sz w:val="22"/>
              </w:rPr>
              <w:t>月到2021年</w:t>
            </w:r>
            <w:r>
              <w:rPr>
                <w:rFonts w:hint="eastAsia" w:ascii="仿宋" w:hAnsi="仿宋" w:eastAsia="仿宋"/>
                <w:sz w:val="22"/>
                <w:lang w:val="en-US" w:eastAsia="zh-CN"/>
              </w:rPr>
              <w:t>11</w:t>
            </w:r>
            <w:r>
              <w:rPr>
                <w:rFonts w:hint="eastAsia" w:ascii="仿宋" w:hAnsi="仿宋" w:eastAsia="仿宋"/>
                <w:sz w:val="22"/>
              </w:rPr>
              <w:t>月），</w:t>
            </w:r>
            <w:r>
              <w:rPr>
                <w:rFonts w:hint="eastAsia" w:ascii="仿宋" w:hAnsi="仿宋" w:eastAsia="仿宋" w:cs="宋体"/>
                <w:kern w:val="0"/>
                <w:sz w:val="22"/>
              </w:rPr>
              <w:t>如开标日前近一个月的社保证明因社保部门原因暂时无法提供，可往前顺延一个月</w:t>
            </w:r>
            <w:r>
              <w:rPr>
                <w:rFonts w:hint="eastAsia" w:ascii="仿宋" w:hAnsi="仿宋" w:eastAsia="仿宋"/>
                <w:sz w:val="22"/>
              </w:rPr>
              <w:t>）</w:t>
            </w:r>
            <w:r>
              <w:rPr>
                <w:rFonts w:hint="eastAsia" w:ascii="仿宋" w:hAnsi="仿宋" w:eastAsia="仿宋"/>
                <w:sz w:val="22"/>
                <w:lang w:eastAsia="zh-CN"/>
              </w:rPr>
              <w:t>，</w:t>
            </w:r>
            <w:r>
              <w:rPr>
                <w:rFonts w:hint="eastAsia" w:ascii="仿宋" w:hAnsi="仿宋" w:eastAsia="仿宋"/>
                <w:sz w:val="22"/>
                <w:lang w:val="en-US" w:eastAsia="zh-CN"/>
              </w:rPr>
              <w:t>未提供本项不得分</w:t>
            </w:r>
            <w:r>
              <w:rPr>
                <w:rFonts w:hint="eastAsia" w:ascii="仿宋" w:hAnsi="仿宋" w:eastAsia="仿宋"/>
                <w:sz w:val="22"/>
              </w:rPr>
              <w:t>】，成员数量不满足本项不得分。在此基础上进行以下评审：</w:t>
            </w:r>
          </w:p>
          <w:p>
            <w:pPr>
              <w:widowControl/>
              <w:spacing w:line="360" w:lineRule="auto"/>
              <w:ind w:left="442" w:hanging="442" w:hangingChars="200"/>
              <w:jc w:val="left"/>
              <w:textAlignment w:val="center"/>
              <w:rPr>
                <w:rFonts w:ascii="仿宋" w:hAnsi="仿宋" w:eastAsia="仿宋"/>
                <w:sz w:val="22"/>
              </w:rPr>
            </w:pPr>
            <w:r>
              <w:rPr>
                <w:rFonts w:hint="eastAsia" w:ascii="仿宋" w:hAnsi="仿宋" w:eastAsia="仿宋"/>
                <w:b/>
                <w:sz w:val="22"/>
              </w:rPr>
              <w:t>一、采样人员【本项最高得</w:t>
            </w:r>
            <w:r>
              <w:rPr>
                <w:rFonts w:hint="eastAsia" w:ascii="仿宋" w:hAnsi="仿宋" w:eastAsia="仿宋"/>
                <w:b/>
                <w:sz w:val="22"/>
                <w:lang w:val="en-US" w:eastAsia="zh-CN"/>
              </w:rPr>
              <w:t>4</w:t>
            </w:r>
            <w:r>
              <w:rPr>
                <w:rFonts w:hint="eastAsia" w:ascii="仿宋" w:hAnsi="仿宋" w:eastAsia="仿宋"/>
                <w:b/>
                <w:sz w:val="22"/>
              </w:rPr>
              <w:t>分】</w:t>
            </w:r>
          </w:p>
          <w:p>
            <w:pPr>
              <w:widowControl/>
              <w:spacing w:line="360" w:lineRule="auto"/>
              <w:ind w:left="420" w:leftChars="200"/>
              <w:jc w:val="left"/>
              <w:textAlignment w:val="center"/>
              <w:rPr>
                <w:rFonts w:ascii="仿宋" w:hAnsi="仿宋" w:eastAsia="仿宋"/>
                <w:sz w:val="22"/>
              </w:rPr>
            </w:pPr>
            <w:r>
              <w:rPr>
                <w:rFonts w:hint="eastAsia" w:ascii="仿宋" w:hAnsi="仿宋" w:eastAsia="仿宋"/>
                <w:sz w:val="22"/>
              </w:rPr>
              <w:t>1）</w:t>
            </w:r>
            <w:r>
              <w:rPr>
                <w:rFonts w:hint="eastAsia" w:ascii="仿宋" w:hAnsi="仿宋" w:eastAsia="仿宋"/>
                <w:bCs/>
                <w:sz w:val="22"/>
                <w:szCs w:val="21"/>
              </w:rPr>
              <w:t>采样人员在原有基础上，</w:t>
            </w:r>
            <w:r>
              <w:rPr>
                <w:rFonts w:hint="eastAsia" w:ascii="仿宋" w:hAnsi="仿宋" w:eastAsia="仿宋"/>
                <w:sz w:val="22"/>
              </w:rPr>
              <w:t>每增加1名符合上述资格的采样人员，得0.</w:t>
            </w:r>
            <w:r>
              <w:rPr>
                <w:rFonts w:hint="eastAsia" w:ascii="仿宋" w:hAnsi="仿宋" w:eastAsia="仿宋"/>
                <w:sz w:val="22"/>
                <w:lang w:val="en-US" w:eastAsia="zh-CN"/>
              </w:rPr>
              <w:t>4</w:t>
            </w:r>
            <w:r>
              <w:rPr>
                <w:rFonts w:hint="eastAsia" w:ascii="仿宋" w:hAnsi="仿宋" w:eastAsia="仿宋"/>
                <w:sz w:val="22"/>
              </w:rPr>
              <w:t>分，最高得</w:t>
            </w:r>
            <w:r>
              <w:rPr>
                <w:rFonts w:hint="eastAsia" w:ascii="仿宋" w:hAnsi="仿宋" w:eastAsia="仿宋"/>
                <w:sz w:val="22"/>
                <w:lang w:val="en-US" w:eastAsia="zh-CN"/>
              </w:rPr>
              <w:t>4</w:t>
            </w:r>
            <w:r>
              <w:rPr>
                <w:rFonts w:hint="eastAsia" w:ascii="仿宋" w:hAnsi="仿宋" w:eastAsia="仿宋"/>
                <w:sz w:val="22"/>
              </w:rPr>
              <w:t>分。</w:t>
            </w:r>
          </w:p>
          <w:p>
            <w:pPr>
              <w:widowControl/>
              <w:spacing w:line="360" w:lineRule="auto"/>
              <w:ind w:left="442" w:hanging="442" w:hangingChars="200"/>
              <w:jc w:val="left"/>
              <w:textAlignment w:val="center"/>
              <w:rPr>
                <w:rFonts w:ascii="仿宋" w:hAnsi="仿宋" w:eastAsia="仿宋"/>
                <w:sz w:val="22"/>
              </w:rPr>
            </w:pPr>
            <w:r>
              <w:rPr>
                <w:rFonts w:hint="eastAsia" w:ascii="仿宋" w:hAnsi="仿宋" w:eastAsia="仿宋"/>
                <w:b/>
                <w:sz w:val="22"/>
              </w:rPr>
              <w:t>二、</w:t>
            </w:r>
            <w:r>
              <w:rPr>
                <w:rFonts w:hint="eastAsia" w:ascii="仿宋" w:hAnsi="仿宋" w:eastAsia="仿宋"/>
                <w:b/>
                <w:bCs/>
                <w:sz w:val="22"/>
                <w:szCs w:val="21"/>
              </w:rPr>
              <w:t>核酸检测人员</w:t>
            </w:r>
            <w:r>
              <w:rPr>
                <w:rFonts w:hint="eastAsia" w:ascii="仿宋" w:hAnsi="仿宋" w:eastAsia="仿宋"/>
                <w:b/>
                <w:sz w:val="22"/>
              </w:rPr>
              <w:t>【本项最高得6分】</w:t>
            </w:r>
          </w:p>
          <w:p>
            <w:pPr>
              <w:widowControl/>
              <w:spacing w:line="360" w:lineRule="auto"/>
              <w:ind w:firstLine="440" w:firstLineChars="200"/>
              <w:jc w:val="left"/>
              <w:textAlignment w:val="center"/>
              <w:rPr>
                <w:rFonts w:ascii="仿宋" w:hAnsi="仿宋" w:eastAsia="仿宋"/>
                <w:sz w:val="22"/>
              </w:rPr>
            </w:pPr>
            <w:r>
              <w:rPr>
                <w:rFonts w:hint="eastAsia" w:ascii="仿宋" w:hAnsi="仿宋" w:eastAsia="仿宋"/>
                <w:sz w:val="22"/>
              </w:rPr>
              <w:t>1）</w:t>
            </w:r>
            <w:r>
              <w:rPr>
                <w:rFonts w:hint="eastAsia" w:ascii="仿宋" w:hAnsi="仿宋" w:eastAsia="仿宋"/>
                <w:bCs/>
                <w:sz w:val="22"/>
                <w:szCs w:val="21"/>
              </w:rPr>
              <w:t>核酸检测人员在原有基础上，</w:t>
            </w:r>
            <w:r>
              <w:rPr>
                <w:rFonts w:hint="eastAsia" w:ascii="仿宋" w:hAnsi="仿宋" w:eastAsia="仿宋"/>
                <w:sz w:val="22"/>
              </w:rPr>
              <w:t>每增加1名符合上述资格的核酸检测人员，得0.3分，最高得3分。</w:t>
            </w:r>
          </w:p>
          <w:p>
            <w:pPr>
              <w:widowControl/>
              <w:spacing w:line="360" w:lineRule="auto"/>
              <w:ind w:firstLine="440" w:firstLineChars="200"/>
              <w:jc w:val="left"/>
              <w:textAlignment w:val="center"/>
              <w:rPr>
                <w:rFonts w:ascii="仿宋" w:hAnsi="仿宋" w:eastAsia="仿宋"/>
                <w:sz w:val="22"/>
              </w:rPr>
            </w:pPr>
            <w:r>
              <w:rPr>
                <w:rFonts w:hint="eastAsia" w:ascii="仿宋" w:hAnsi="仿宋" w:eastAsia="仿宋"/>
                <w:sz w:val="22"/>
              </w:rPr>
              <w:t>2）每有1人具有硕士及以上学历人员，得0.3分，最高得3分；</w:t>
            </w:r>
          </w:p>
          <w:p>
            <w:pPr>
              <w:widowControl/>
              <w:spacing w:line="360" w:lineRule="auto"/>
              <w:jc w:val="left"/>
              <w:textAlignment w:val="center"/>
              <w:rPr>
                <w:rFonts w:ascii="仿宋" w:hAnsi="仿宋" w:eastAsia="仿宋"/>
                <w:sz w:val="22"/>
              </w:rPr>
            </w:pPr>
            <w:r>
              <w:rPr>
                <w:rFonts w:hint="eastAsia" w:ascii="仿宋" w:hAnsi="仿宋" w:eastAsia="仿宋"/>
                <w:sz w:val="22"/>
              </w:rPr>
              <w:t>证明文件：</w:t>
            </w:r>
          </w:p>
          <w:p>
            <w:pPr>
              <w:widowControl/>
              <w:spacing w:line="360" w:lineRule="auto"/>
              <w:jc w:val="left"/>
              <w:textAlignment w:val="center"/>
              <w:rPr>
                <w:rFonts w:ascii="仿宋" w:hAnsi="仿宋" w:eastAsia="仿宋"/>
                <w:sz w:val="22"/>
              </w:rPr>
            </w:pPr>
            <w:r>
              <w:rPr>
                <w:rFonts w:hint="eastAsia" w:ascii="仿宋" w:hAnsi="仿宋" w:eastAsia="仿宋"/>
                <w:sz w:val="22"/>
              </w:rPr>
              <w:t>提供团队成员相关证明文件的扫描件</w:t>
            </w:r>
            <w:r>
              <w:rPr>
                <w:rFonts w:hint="eastAsia" w:ascii="仿宋" w:hAnsi="仿宋" w:eastAsia="仿宋" w:cs="宋体"/>
                <w:kern w:val="0"/>
                <w:sz w:val="22"/>
              </w:rPr>
              <w:t>并加盖投标人公章，原件备查</w:t>
            </w:r>
            <w:r>
              <w:rPr>
                <w:rFonts w:ascii="仿宋" w:hAnsi="仿宋" w:eastAsia="仿宋" w:cs="宋体"/>
                <w:kern w:val="0"/>
                <w:sz w:val="22"/>
              </w:rPr>
              <w:t>。未按要求提供或提供不清晰导致专家无法有效判断的不得分</w:t>
            </w:r>
            <w:r>
              <w:rPr>
                <w:rFonts w:hint="eastAsia" w:ascii="仿宋" w:hAnsi="仿宋" w:eastAsia="仿宋" w:cs="宋体"/>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spacing w:line="360" w:lineRule="auto"/>
              <w:jc w:val="center"/>
              <w:rPr>
                <w:rFonts w:ascii="仿宋" w:hAnsi="仿宋" w:eastAsia="仿宋"/>
                <w:sz w:val="22"/>
              </w:rPr>
            </w:pPr>
            <w:r>
              <w:rPr>
                <w:rFonts w:ascii="仿宋" w:hAnsi="仿宋" w:eastAsia="仿宋"/>
                <w:sz w:val="22"/>
              </w:rPr>
              <w:t>新冠核酸专项检测能力</w:t>
            </w:r>
          </w:p>
        </w:tc>
        <w:tc>
          <w:tcPr>
            <w:tcW w:w="702" w:type="dxa"/>
            <w:tcBorders>
              <w:right w:val="single" w:color="auto" w:sz="4" w:space="0"/>
            </w:tcBorders>
            <w:vAlign w:val="center"/>
          </w:tcPr>
          <w:p>
            <w:pPr>
              <w:widowControl/>
              <w:adjustRightInd w:val="0"/>
              <w:spacing w:line="360" w:lineRule="auto"/>
              <w:jc w:val="center"/>
              <w:rPr>
                <w:rFonts w:hint="eastAsia" w:ascii="仿宋" w:hAnsi="仿宋" w:eastAsia="仿宋"/>
                <w:sz w:val="22"/>
                <w:lang w:eastAsia="zh-CN"/>
              </w:rPr>
            </w:pPr>
            <w:r>
              <w:rPr>
                <w:rFonts w:hint="eastAsia" w:ascii="仿宋" w:hAnsi="仿宋" w:eastAsia="仿宋"/>
                <w:sz w:val="22"/>
                <w:lang w:val="en-US" w:eastAsia="zh-CN"/>
              </w:rPr>
              <w:t>4</w:t>
            </w:r>
          </w:p>
        </w:tc>
        <w:tc>
          <w:tcPr>
            <w:tcW w:w="6267"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2"/>
              </w:rPr>
            </w:pPr>
            <w:r>
              <w:rPr>
                <w:rFonts w:hint="eastAsia" w:ascii="仿宋" w:hAnsi="仿宋" w:eastAsia="仿宋"/>
                <w:sz w:val="22"/>
              </w:rPr>
              <w:t>考察投标人在本地的检测能力、应急响应能力，以及能否应对常规筛查以及大筛查场景。本地自有实验室单日单管检测通量须≥1万。在此基础上进行以下评审：</w:t>
            </w:r>
          </w:p>
          <w:p>
            <w:pPr>
              <w:widowControl/>
              <w:spacing w:line="360" w:lineRule="auto"/>
              <w:jc w:val="left"/>
              <w:textAlignment w:val="center"/>
              <w:rPr>
                <w:rFonts w:ascii="仿宋" w:hAnsi="仿宋" w:eastAsia="仿宋"/>
                <w:sz w:val="22"/>
              </w:rPr>
            </w:pPr>
            <w:r>
              <w:rPr>
                <w:rFonts w:hint="eastAsia" w:ascii="仿宋" w:hAnsi="仿宋" w:eastAsia="仿宋"/>
                <w:sz w:val="22"/>
              </w:rPr>
              <w:t>评分标准：</w:t>
            </w:r>
          </w:p>
          <w:p>
            <w:pPr>
              <w:widowControl/>
              <w:spacing w:line="360" w:lineRule="auto"/>
              <w:ind w:firstLine="440" w:firstLineChars="200"/>
              <w:jc w:val="left"/>
              <w:textAlignment w:val="center"/>
              <w:rPr>
                <w:rFonts w:ascii="仿宋" w:hAnsi="仿宋" w:eastAsia="仿宋"/>
                <w:sz w:val="22"/>
              </w:rPr>
            </w:pPr>
            <w:r>
              <w:rPr>
                <w:rFonts w:hint="eastAsia" w:ascii="仿宋" w:hAnsi="仿宋" w:eastAsia="仿宋"/>
                <w:sz w:val="22"/>
              </w:rPr>
              <w:t>具有移动负压实验室且移动负压实验室单日单管检测通量≥1万，得</w:t>
            </w:r>
            <w:r>
              <w:rPr>
                <w:rFonts w:hint="eastAsia" w:ascii="仿宋" w:hAnsi="仿宋" w:eastAsia="仿宋"/>
                <w:sz w:val="22"/>
                <w:lang w:val="en-US" w:eastAsia="zh-CN"/>
              </w:rPr>
              <w:t>4</w:t>
            </w:r>
            <w:r>
              <w:rPr>
                <w:rFonts w:hint="eastAsia" w:ascii="仿宋" w:hAnsi="仿宋" w:eastAsia="仿宋"/>
                <w:sz w:val="22"/>
              </w:rPr>
              <w:t>分。</w:t>
            </w:r>
          </w:p>
          <w:p>
            <w:pPr>
              <w:widowControl/>
              <w:spacing w:line="360" w:lineRule="auto"/>
              <w:jc w:val="left"/>
              <w:textAlignment w:val="center"/>
              <w:rPr>
                <w:rFonts w:ascii="仿宋" w:hAnsi="仿宋" w:eastAsia="仿宋"/>
                <w:sz w:val="22"/>
              </w:rPr>
            </w:pPr>
            <w:r>
              <w:rPr>
                <w:rFonts w:hint="eastAsia" w:ascii="仿宋" w:hAnsi="仿宋" w:eastAsia="仿宋"/>
                <w:sz w:val="22"/>
              </w:rPr>
              <w:t>证明文件：</w:t>
            </w:r>
          </w:p>
          <w:p>
            <w:pPr>
              <w:widowControl/>
              <w:spacing w:line="360" w:lineRule="auto"/>
              <w:jc w:val="left"/>
              <w:textAlignment w:val="center"/>
              <w:rPr>
                <w:rFonts w:ascii="仿宋" w:hAnsi="仿宋" w:eastAsia="仿宋"/>
                <w:sz w:val="22"/>
              </w:rPr>
            </w:pPr>
            <w:r>
              <w:rPr>
                <w:rFonts w:hint="eastAsia" w:ascii="仿宋" w:hAnsi="仿宋" w:eastAsia="仿宋"/>
                <w:sz w:val="22"/>
              </w:rPr>
              <w:t>单日单管检测通量、移动负压实验室提供书面承诺或证明材料并加盖投标人公章，承诺和书面证明具备此类条件（格式自拟）。</w:t>
            </w:r>
          </w:p>
          <w:p>
            <w:pPr>
              <w:widowControl/>
              <w:spacing w:line="360" w:lineRule="auto"/>
              <w:jc w:val="left"/>
              <w:textAlignment w:val="center"/>
              <w:rPr>
                <w:rFonts w:ascii="仿宋" w:hAnsi="仿宋" w:eastAsia="仿宋"/>
                <w:sz w:val="22"/>
              </w:rPr>
            </w:pPr>
            <w:r>
              <w:rPr>
                <w:rFonts w:hint="eastAsia" w:ascii="仿宋" w:hAnsi="仿宋" w:eastAsia="仿宋"/>
                <w:sz w:val="22"/>
              </w:rPr>
              <w:t>未提供或不清晰的不得分。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tcPr>
          <w:p>
            <w:pPr>
              <w:spacing w:line="360" w:lineRule="auto"/>
              <w:jc w:val="left"/>
              <w:rPr>
                <w:rFonts w:ascii="仿宋" w:hAnsi="仿宋" w:eastAsia="仿宋"/>
                <w:sz w:val="22"/>
              </w:rPr>
            </w:pPr>
            <w:r>
              <w:rPr>
                <w:rFonts w:hint="eastAsia" w:ascii="仿宋" w:hAnsi="仿宋" w:eastAsia="仿宋"/>
                <w:sz w:val="22"/>
              </w:rPr>
              <w:t xml:space="preserve">项目拟使用的设备、场地车辆等情况 </w:t>
            </w:r>
          </w:p>
        </w:tc>
        <w:tc>
          <w:tcPr>
            <w:tcW w:w="702" w:type="dxa"/>
            <w:tcBorders>
              <w:right w:val="single" w:color="auto" w:sz="4" w:space="0"/>
            </w:tcBorders>
            <w:vAlign w:val="center"/>
          </w:tcPr>
          <w:p>
            <w:pPr>
              <w:spacing w:line="360" w:lineRule="auto"/>
              <w:jc w:val="center"/>
              <w:rPr>
                <w:rFonts w:ascii="仿宋" w:hAnsi="仿宋" w:eastAsia="仿宋"/>
                <w:sz w:val="22"/>
              </w:rPr>
            </w:pPr>
            <w:r>
              <w:rPr>
                <w:rFonts w:hint="eastAsia" w:ascii="仿宋" w:hAnsi="仿宋" w:eastAsia="仿宋"/>
                <w:sz w:val="22"/>
              </w:rPr>
              <w:t>18</w:t>
            </w:r>
          </w:p>
        </w:tc>
        <w:tc>
          <w:tcPr>
            <w:tcW w:w="6267" w:type="dxa"/>
            <w:tcBorders>
              <w:left w:val="single" w:color="auto" w:sz="4" w:space="0"/>
              <w:right w:val="double" w:color="auto" w:sz="4" w:space="0"/>
            </w:tcBorders>
          </w:tcPr>
          <w:p>
            <w:pPr>
              <w:widowControl/>
              <w:spacing w:line="360" w:lineRule="auto"/>
              <w:jc w:val="left"/>
              <w:textAlignment w:val="center"/>
              <w:rPr>
                <w:rFonts w:ascii="仿宋" w:hAnsi="仿宋" w:eastAsia="仿宋"/>
                <w:sz w:val="22"/>
              </w:rPr>
            </w:pPr>
            <w:r>
              <w:rPr>
                <w:rFonts w:hint="eastAsia" w:ascii="仿宋" w:hAnsi="仿宋" w:eastAsia="仿宋"/>
                <w:sz w:val="22"/>
              </w:rPr>
              <w:t>考察内容：</w:t>
            </w:r>
          </w:p>
          <w:p>
            <w:pPr>
              <w:widowControl/>
              <w:spacing w:line="360" w:lineRule="auto"/>
              <w:jc w:val="left"/>
              <w:textAlignment w:val="center"/>
              <w:rPr>
                <w:rFonts w:ascii="仿宋" w:hAnsi="仿宋" w:eastAsia="仿宋"/>
                <w:b/>
                <w:bCs/>
                <w:sz w:val="22"/>
              </w:rPr>
            </w:pPr>
            <w:r>
              <w:rPr>
                <w:rFonts w:hint="eastAsia" w:ascii="仿宋" w:hAnsi="仿宋" w:eastAsia="仿宋"/>
                <w:b/>
                <w:bCs/>
                <w:sz w:val="22"/>
              </w:rPr>
              <w:t>一、设备要求【本项最高得15分】</w:t>
            </w:r>
          </w:p>
          <w:p>
            <w:pPr>
              <w:widowControl/>
              <w:spacing w:line="360" w:lineRule="auto"/>
              <w:jc w:val="left"/>
              <w:textAlignment w:val="center"/>
              <w:rPr>
                <w:rFonts w:ascii="仿宋" w:hAnsi="仿宋" w:eastAsia="仿宋"/>
                <w:sz w:val="22"/>
              </w:rPr>
            </w:pPr>
            <w:r>
              <w:rPr>
                <w:rFonts w:hint="eastAsia" w:ascii="仿宋" w:hAnsi="仿宋" w:eastAsia="仿宋"/>
                <w:sz w:val="22"/>
              </w:rPr>
              <w:t xml:space="preserve">评标委员会对投标人为本项目投入使用的设备进行评审： </w:t>
            </w:r>
          </w:p>
          <w:p>
            <w:pPr>
              <w:spacing w:line="360" w:lineRule="auto"/>
              <w:jc w:val="left"/>
              <w:rPr>
                <w:rFonts w:ascii="仿宋" w:hAnsi="仿宋" w:eastAsia="仿宋"/>
                <w:sz w:val="22"/>
              </w:rPr>
            </w:pPr>
            <w:r>
              <w:rPr>
                <w:rFonts w:hint="eastAsia" w:ascii="仿宋" w:hAnsi="仿宋" w:eastAsia="仿宋"/>
                <w:sz w:val="22"/>
              </w:rPr>
              <w:t xml:space="preserve">（1）96通道全自动核酸提取仪 4台套； </w:t>
            </w:r>
          </w:p>
          <w:p>
            <w:pPr>
              <w:spacing w:line="360" w:lineRule="auto"/>
              <w:jc w:val="left"/>
              <w:rPr>
                <w:rFonts w:ascii="仿宋" w:hAnsi="仿宋" w:eastAsia="仿宋"/>
                <w:sz w:val="22"/>
              </w:rPr>
            </w:pPr>
            <w:r>
              <w:rPr>
                <w:rFonts w:hint="eastAsia" w:ascii="仿宋" w:hAnsi="仿宋" w:eastAsia="仿宋"/>
                <w:sz w:val="22"/>
              </w:rPr>
              <w:t>（2）实时荧光定量 PCR 仪 10台套；</w:t>
            </w:r>
          </w:p>
          <w:p>
            <w:pPr>
              <w:spacing w:line="360" w:lineRule="auto"/>
              <w:jc w:val="left"/>
            </w:pPr>
            <w:r>
              <w:rPr>
                <w:rFonts w:ascii="仿宋" w:hAnsi="仿宋" w:eastAsia="仿宋"/>
                <w:sz w:val="22"/>
              </w:rPr>
              <w:t>（3）生物安全柜不得少于2台；</w:t>
            </w:r>
          </w:p>
          <w:p>
            <w:pPr>
              <w:widowControl/>
              <w:spacing w:line="360" w:lineRule="auto"/>
              <w:jc w:val="left"/>
              <w:textAlignment w:val="center"/>
              <w:rPr>
                <w:rFonts w:ascii="仿宋" w:hAnsi="仿宋" w:eastAsia="仿宋"/>
                <w:sz w:val="22"/>
              </w:rPr>
            </w:pPr>
            <w:r>
              <w:rPr>
                <w:rFonts w:hint="eastAsia" w:ascii="仿宋" w:hAnsi="仿宋" w:eastAsia="仿宋"/>
                <w:color w:val="000000"/>
                <w:sz w:val="22"/>
              </w:rPr>
              <w:t>（</w:t>
            </w:r>
            <w:r>
              <w:rPr>
                <w:rFonts w:ascii="仿宋" w:hAnsi="仿宋" w:eastAsia="仿宋"/>
                <w:color w:val="000000"/>
                <w:sz w:val="22"/>
              </w:rPr>
              <w:t>4</w:t>
            </w:r>
            <w:r>
              <w:rPr>
                <w:rFonts w:hint="eastAsia" w:ascii="仿宋" w:hAnsi="仿宋" w:eastAsia="仿宋"/>
                <w:color w:val="000000"/>
                <w:sz w:val="22"/>
              </w:rPr>
              <w:t>）高压灭菌器总容量不得低于200L；</w:t>
            </w:r>
          </w:p>
          <w:p>
            <w:pPr>
              <w:widowControl/>
              <w:spacing w:line="360" w:lineRule="auto"/>
              <w:jc w:val="left"/>
              <w:textAlignment w:val="center"/>
              <w:rPr>
                <w:rFonts w:ascii="仿宋" w:hAnsi="仿宋" w:eastAsia="仿宋"/>
                <w:sz w:val="22"/>
              </w:rPr>
            </w:pPr>
            <w:r>
              <w:rPr>
                <w:rFonts w:hint="eastAsia" w:ascii="仿宋" w:hAnsi="仿宋" w:eastAsia="仿宋"/>
                <w:sz w:val="22"/>
              </w:rPr>
              <w:t>须具有上述共4项设备，不满足本项不得分。在此基础上，第1项每增加1台套，每加0.5分，最高得5分；第2项每增加1台套，每加1分，最高得1</w:t>
            </w:r>
            <w:r>
              <w:rPr>
                <w:rFonts w:hint="eastAsia" w:ascii="仿宋" w:hAnsi="仿宋" w:eastAsia="仿宋"/>
                <w:sz w:val="22"/>
                <w:lang w:val="en-US" w:eastAsia="zh-CN"/>
              </w:rPr>
              <w:t>0</w:t>
            </w:r>
            <w:r>
              <w:rPr>
                <w:rFonts w:hint="eastAsia" w:ascii="仿宋" w:hAnsi="仿宋" w:eastAsia="仿宋"/>
                <w:sz w:val="22"/>
              </w:rPr>
              <w:t>分。</w:t>
            </w:r>
          </w:p>
          <w:p>
            <w:pPr>
              <w:widowControl/>
              <w:spacing w:line="360" w:lineRule="auto"/>
              <w:jc w:val="left"/>
              <w:textAlignment w:val="center"/>
              <w:rPr>
                <w:rFonts w:ascii="仿宋" w:hAnsi="仿宋" w:eastAsia="仿宋"/>
                <w:b/>
                <w:bCs/>
                <w:sz w:val="22"/>
              </w:rPr>
            </w:pPr>
            <w:r>
              <w:rPr>
                <w:rFonts w:hint="eastAsia" w:ascii="仿宋" w:hAnsi="仿宋" w:eastAsia="仿宋"/>
                <w:b/>
                <w:bCs/>
                <w:sz w:val="22"/>
              </w:rPr>
              <w:t>二、车辆要求【本项最高得3分】</w:t>
            </w:r>
          </w:p>
          <w:p>
            <w:pPr>
              <w:widowControl/>
              <w:spacing w:line="360" w:lineRule="auto"/>
              <w:jc w:val="left"/>
              <w:textAlignment w:val="center"/>
              <w:rPr>
                <w:rFonts w:ascii="仿宋" w:hAnsi="仿宋" w:eastAsia="仿宋"/>
                <w:sz w:val="22"/>
              </w:rPr>
            </w:pPr>
            <w:r>
              <w:rPr>
                <w:rFonts w:hint="eastAsia" w:ascii="仿宋" w:hAnsi="仿宋" w:eastAsia="仿宋"/>
                <w:sz w:val="22"/>
              </w:rPr>
              <w:t>自有或租赁的粤 B 牌照冷藏运输车辆（冷藏车或含不小于容量 50L 可插电冰箱的车辆）≥2辆。</w:t>
            </w:r>
          </w:p>
          <w:p>
            <w:pPr>
              <w:widowControl/>
              <w:spacing w:line="360" w:lineRule="auto"/>
              <w:jc w:val="left"/>
              <w:textAlignment w:val="center"/>
              <w:rPr>
                <w:rFonts w:ascii="仿宋" w:hAnsi="仿宋" w:eastAsia="仿宋"/>
                <w:sz w:val="22"/>
              </w:rPr>
            </w:pPr>
            <w:r>
              <w:rPr>
                <w:rFonts w:hint="eastAsia" w:ascii="仿宋" w:hAnsi="仿宋" w:eastAsia="仿宋"/>
                <w:sz w:val="22"/>
              </w:rPr>
              <w:t>（1）在此基础上每增加一辆符合要求的冷藏运输车辆，得1分，最高得2分；</w:t>
            </w:r>
          </w:p>
          <w:p>
            <w:pPr>
              <w:widowControl/>
              <w:spacing w:line="360" w:lineRule="auto"/>
              <w:jc w:val="left"/>
              <w:textAlignment w:val="center"/>
              <w:rPr>
                <w:rFonts w:ascii="仿宋" w:hAnsi="仿宋" w:eastAsia="仿宋"/>
                <w:sz w:val="22"/>
              </w:rPr>
            </w:pPr>
            <w:r>
              <w:rPr>
                <w:rFonts w:hint="eastAsia" w:ascii="仿宋" w:hAnsi="仿宋" w:eastAsia="仿宋"/>
                <w:sz w:val="22"/>
              </w:rPr>
              <w:t>（2）适用于 B 类生物学物质的生物安全运输罐或运输箱≥4 套，得1分；</w:t>
            </w:r>
          </w:p>
          <w:p>
            <w:pPr>
              <w:widowControl/>
              <w:spacing w:line="360" w:lineRule="auto"/>
              <w:jc w:val="left"/>
              <w:textAlignment w:val="center"/>
              <w:rPr>
                <w:rFonts w:ascii="仿宋" w:hAnsi="仿宋" w:eastAsia="仿宋"/>
                <w:sz w:val="22"/>
              </w:rPr>
            </w:pPr>
            <w:r>
              <w:rPr>
                <w:rFonts w:hint="eastAsia" w:ascii="仿宋" w:hAnsi="仿宋" w:eastAsia="仿宋"/>
                <w:sz w:val="22"/>
              </w:rPr>
              <w:t>证明材料：</w:t>
            </w:r>
          </w:p>
          <w:p>
            <w:pPr>
              <w:widowControl/>
              <w:spacing w:line="360" w:lineRule="auto"/>
              <w:jc w:val="left"/>
              <w:textAlignment w:val="center"/>
              <w:rPr>
                <w:rFonts w:ascii="仿宋" w:hAnsi="仿宋" w:eastAsia="仿宋"/>
                <w:sz w:val="22"/>
              </w:rPr>
            </w:pPr>
            <w:r>
              <w:rPr>
                <w:rFonts w:hint="eastAsia" w:ascii="仿宋" w:hAnsi="仿宋" w:eastAsia="仿宋"/>
                <w:sz w:val="22"/>
              </w:rPr>
              <w:t>1、设备发票（须体现投标人名称或证明投标人具有使用权）且提供仪器设备的需要提供采购相关记录及医疗器械证明或校准证明；2.车辆需要提供行驶证或租赁协议等。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tcPr>
          <w:p>
            <w:pPr>
              <w:adjustRightInd w:val="0"/>
              <w:spacing w:line="360" w:lineRule="auto"/>
              <w:jc w:val="center"/>
              <w:rPr>
                <w:rFonts w:ascii="仿宋" w:hAnsi="仿宋" w:eastAsia="仿宋"/>
                <w:b/>
                <w:bCs/>
                <w:snapToGrid w:val="0"/>
                <w:kern w:val="0"/>
                <w:sz w:val="22"/>
              </w:rPr>
            </w:pPr>
          </w:p>
        </w:tc>
        <w:tc>
          <w:tcPr>
            <w:tcW w:w="1169" w:type="dxa"/>
            <w:vAlign w:val="center"/>
          </w:tcPr>
          <w:p>
            <w:pPr>
              <w:spacing w:line="360" w:lineRule="auto"/>
              <w:jc w:val="left"/>
              <w:rPr>
                <w:rFonts w:ascii="仿宋" w:hAnsi="仿宋" w:eastAsia="仿宋"/>
                <w:sz w:val="22"/>
              </w:rPr>
            </w:pPr>
            <w:r>
              <w:rPr>
                <w:rFonts w:hint="eastAsia" w:ascii="仿宋" w:hAnsi="仿宋" w:eastAsia="仿宋"/>
                <w:sz w:val="22"/>
              </w:rPr>
              <w:t>服务网点</w:t>
            </w:r>
          </w:p>
        </w:tc>
        <w:tc>
          <w:tcPr>
            <w:tcW w:w="702" w:type="dxa"/>
            <w:tcBorders>
              <w:right w:val="single" w:color="auto" w:sz="4" w:space="0"/>
            </w:tcBorders>
            <w:vAlign w:val="center"/>
          </w:tcPr>
          <w:p>
            <w:pPr>
              <w:spacing w:line="360" w:lineRule="auto"/>
              <w:jc w:val="center"/>
              <w:rPr>
                <w:rFonts w:hint="eastAsia" w:ascii="仿宋" w:hAnsi="仿宋" w:eastAsia="仿宋"/>
                <w:sz w:val="22"/>
                <w:lang w:eastAsia="zh-CN"/>
              </w:rPr>
            </w:pPr>
            <w:r>
              <w:rPr>
                <w:rFonts w:hint="eastAsia" w:ascii="仿宋" w:hAnsi="仿宋" w:eastAsia="仿宋"/>
                <w:sz w:val="22"/>
                <w:lang w:val="en-US" w:eastAsia="zh-CN"/>
              </w:rPr>
              <w:t>3</w:t>
            </w:r>
          </w:p>
        </w:tc>
        <w:tc>
          <w:tcPr>
            <w:tcW w:w="6267" w:type="dxa"/>
            <w:tcBorders>
              <w:left w:val="single" w:color="auto" w:sz="4" w:space="0"/>
              <w:right w:val="double" w:color="auto" w:sz="4" w:space="0"/>
            </w:tcBorders>
            <w:vAlign w:val="center"/>
          </w:tcPr>
          <w:p>
            <w:pPr>
              <w:spacing w:line="360" w:lineRule="auto"/>
              <w:jc w:val="left"/>
              <w:rPr>
                <w:rFonts w:hint="default" w:ascii="仿宋" w:hAnsi="仿宋" w:eastAsia="仿宋"/>
                <w:sz w:val="22"/>
                <w:lang w:val="en-US" w:eastAsia="zh-CN"/>
              </w:rPr>
            </w:pPr>
            <w:r>
              <w:rPr>
                <w:rFonts w:ascii="仿宋" w:hAnsi="仿宋" w:eastAsia="仿宋"/>
                <w:sz w:val="22"/>
              </w:rPr>
              <w:t>投标人</w:t>
            </w:r>
            <w:r>
              <w:rPr>
                <w:rFonts w:hint="eastAsia" w:ascii="仿宋" w:hAnsi="仿宋" w:eastAsia="仿宋"/>
                <w:sz w:val="22"/>
                <w:lang w:val="en-US" w:eastAsia="zh-CN"/>
              </w:rPr>
              <w:t>检测实验室在深圳市的</w:t>
            </w:r>
            <w:r>
              <w:rPr>
                <w:rFonts w:ascii="仿宋" w:hAnsi="仿宋" w:eastAsia="仿宋"/>
                <w:sz w:val="22"/>
              </w:rPr>
              <w:t>，得</w:t>
            </w:r>
            <w:r>
              <w:rPr>
                <w:rFonts w:hint="eastAsia" w:ascii="仿宋" w:hAnsi="仿宋" w:eastAsia="仿宋"/>
                <w:sz w:val="22"/>
                <w:lang w:val="en-US" w:eastAsia="zh-CN"/>
              </w:rPr>
              <w:t>3</w:t>
            </w:r>
            <w:r>
              <w:rPr>
                <w:rFonts w:ascii="仿宋" w:hAnsi="仿宋" w:eastAsia="仿宋"/>
                <w:sz w:val="22"/>
              </w:rPr>
              <w:t>分</w:t>
            </w:r>
            <w:r>
              <w:rPr>
                <w:rFonts w:hint="eastAsia" w:ascii="仿宋" w:hAnsi="仿宋" w:eastAsia="仿宋"/>
                <w:sz w:val="22"/>
              </w:rPr>
              <w:t>。</w:t>
            </w:r>
          </w:p>
          <w:p>
            <w:pPr>
              <w:spacing w:line="360" w:lineRule="auto"/>
              <w:jc w:val="left"/>
              <w:rPr>
                <w:rFonts w:ascii="仿宋" w:hAnsi="仿宋" w:eastAsia="仿宋"/>
                <w:sz w:val="22"/>
              </w:rPr>
            </w:pPr>
            <w:r>
              <w:rPr>
                <w:rFonts w:hint="eastAsia" w:ascii="仿宋" w:hAnsi="仿宋" w:eastAsia="仿宋"/>
                <w:sz w:val="22"/>
              </w:rPr>
              <w:t>证明文件：</w:t>
            </w:r>
          </w:p>
          <w:p>
            <w:pPr>
              <w:spacing w:line="360" w:lineRule="auto"/>
              <w:jc w:val="left"/>
              <w:rPr>
                <w:rFonts w:hint="default" w:ascii="仿宋" w:hAnsi="仿宋" w:eastAsia="仿宋"/>
                <w:sz w:val="22"/>
                <w:lang w:val="en-US" w:eastAsia="zh-CN"/>
              </w:rPr>
            </w:pPr>
            <w:r>
              <w:rPr>
                <w:rFonts w:hint="eastAsia" w:ascii="仿宋" w:hAnsi="仿宋" w:eastAsia="仿宋"/>
                <w:sz w:val="22"/>
                <w:lang w:val="en-US" w:eastAsia="zh-CN"/>
              </w:rPr>
              <w:t>提供检测实验室的地址相关证明材料或承诺函。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69" w:type="dxa"/>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诚信情况</w:t>
            </w:r>
          </w:p>
        </w:tc>
        <w:tc>
          <w:tcPr>
            <w:tcW w:w="702"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5</w:t>
            </w:r>
          </w:p>
        </w:tc>
        <w:tc>
          <w:tcPr>
            <w:tcW w:w="6267"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2"/>
              </w:rPr>
            </w:pPr>
            <w:r>
              <w:rPr>
                <w:rFonts w:hint="eastAsia" w:ascii="仿宋" w:hAnsi="仿宋" w:eastAsia="仿宋"/>
                <w:snapToGrid w:val="0"/>
                <w:kern w:val="0"/>
                <w:sz w:val="22"/>
              </w:rPr>
              <w:t>投标人参与政府采购活动在诚信管理中受过主管部门通报处理且仍在实施期限内的本项不得分，否则得满分。</w:t>
            </w:r>
          </w:p>
          <w:p>
            <w:pPr>
              <w:adjustRightInd w:val="0"/>
              <w:spacing w:line="300" w:lineRule="auto"/>
              <w:rPr>
                <w:rFonts w:ascii="仿宋" w:hAnsi="仿宋" w:eastAsia="仿宋"/>
                <w:snapToGrid w:val="0"/>
                <w:kern w:val="0"/>
                <w:sz w:val="22"/>
              </w:rPr>
            </w:pPr>
            <w:r>
              <w:rPr>
                <w:rFonts w:hint="eastAsia" w:ascii="仿宋" w:hAnsi="仿宋" w:eastAsia="仿宋"/>
                <w:snapToGrid w:val="0"/>
                <w:kern w:val="0"/>
                <w:sz w:val="22"/>
              </w:rPr>
              <w:t>证明文件：</w:t>
            </w:r>
          </w:p>
          <w:p>
            <w:pPr>
              <w:adjustRightInd w:val="0"/>
              <w:spacing w:line="300" w:lineRule="auto"/>
              <w:rPr>
                <w:rFonts w:ascii="仿宋" w:hAnsi="仿宋" w:eastAsia="仿宋"/>
                <w:sz w:val="22"/>
              </w:rPr>
            </w:pPr>
            <w:r>
              <w:rPr>
                <w:rFonts w:hint="eastAsia" w:ascii="仿宋" w:hAnsi="仿宋" w:eastAsia="仿宋"/>
                <w:snapToGrid w:val="0"/>
                <w:kern w:val="0"/>
                <w:sz w:val="22"/>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9" w:type="dxa"/>
            <w:tcBorders>
              <w:left w:val="double" w:color="auto" w:sz="4" w:space="0"/>
              <w:bottom w:val="double" w:color="auto" w:sz="4" w:space="0"/>
            </w:tcBorders>
            <w:vAlign w:val="center"/>
          </w:tcPr>
          <w:p>
            <w:pPr>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总得分（N）</w:t>
            </w:r>
          </w:p>
          <w:p>
            <w:pPr>
              <w:adjustRightInd w:val="0"/>
              <w:snapToGrid w:val="0"/>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（总分100分）</w:t>
            </w:r>
          </w:p>
        </w:tc>
        <w:tc>
          <w:tcPr>
            <w:tcW w:w="1169"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2"/>
              </w:rPr>
            </w:pPr>
          </w:p>
        </w:tc>
        <w:tc>
          <w:tcPr>
            <w:tcW w:w="702"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2"/>
              </w:rPr>
            </w:pPr>
            <w:r>
              <w:rPr>
                <w:rFonts w:hint="eastAsia" w:ascii="仿宋" w:hAnsi="仿宋" w:eastAsia="仿宋"/>
                <w:snapToGrid w:val="0"/>
                <w:kern w:val="0"/>
                <w:sz w:val="22"/>
              </w:rPr>
              <w:t>100</w:t>
            </w:r>
          </w:p>
        </w:tc>
        <w:tc>
          <w:tcPr>
            <w:tcW w:w="6267"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2"/>
              </w:rPr>
            </w:pPr>
            <w:r>
              <w:rPr>
                <w:rFonts w:hint="eastAsia" w:ascii="仿宋" w:hAnsi="仿宋" w:eastAsia="仿宋"/>
                <w:snapToGrid w:val="0"/>
                <w:kern w:val="0"/>
                <w:sz w:val="22"/>
              </w:rPr>
              <w:t>N=J+G+S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仿宋" w:hAnsi="仿宋" w:eastAsia="仿宋"/>
          <w:b/>
          <w:color w:val="FF0000"/>
          <w:sz w:val="28"/>
          <w:szCs w:val="28"/>
        </w:rPr>
        <w:br w:type="page"/>
      </w:r>
    </w:p>
    <w:p>
      <w:pPr>
        <w:widowControl/>
        <w:jc w:val="left"/>
        <w:rPr>
          <w:rFonts w:ascii="仿宋" w:hAnsi="仿宋" w:eastAsia="仿宋"/>
          <w:b/>
          <w:color w:val="FF0000"/>
          <w:sz w:val="28"/>
          <w:szCs w:val="28"/>
        </w:rPr>
      </w:pP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jc w:val="center"/>
        <w:rPr>
          <w:rFonts w:asciiTheme="minorEastAsia" w:hAnsiTheme="minorEastAsia" w:eastAsiaTheme="minorEastAsia"/>
          <w:b/>
          <w:sz w:val="3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rPr>
          <w:rFonts w:asciiTheme="minorEastAsia" w:hAnsiTheme="minorEastAsia" w:eastAsiaTheme="minorEastAsia"/>
          <w:b/>
          <w:sz w:val="32"/>
        </w:rPr>
      </w:pPr>
      <w:r>
        <w:rPr>
          <w:rFonts w:asciiTheme="minorEastAsia" w:hAnsiTheme="minorEastAsia" w:eastAsiaTheme="minorEastAsia"/>
          <w:b/>
          <w:sz w:val="32"/>
        </w:rP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widowControl/>
        <w:jc w:val="left"/>
      </w:pPr>
      <w:r>
        <w:rPr>
          <w:rFonts w:hint="eastAsia" w:ascii="仿宋" w:hAnsi="仿宋" w:eastAsia="仿宋"/>
          <w:b/>
          <w:bCs/>
          <w:sz w:val="28"/>
          <w:szCs w:val="21"/>
        </w:rPr>
        <w:t>一、采购预算</w:t>
      </w:r>
    </w:p>
    <w:tbl>
      <w:tblPr>
        <w:tblStyle w:val="16"/>
        <w:tblW w:w="903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3402"/>
        <w:gridCol w:w="992"/>
        <w:gridCol w:w="38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788" w:type="dxa"/>
            <w:shd w:val="clear" w:color="auto" w:fill="C6D9F1"/>
            <w:vAlign w:val="center"/>
          </w:tcPr>
          <w:p>
            <w:pPr>
              <w:jc w:val="center"/>
              <w:rPr>
                <w:rFonts w:ascii="仿宋" w:hAnsi="仿宋" w:eastAsia="仿宋"/>
                <w:b/>
                <w:sz w:val="22"/>
              </w:rPr>
            </w:pPr>
            <w:r>
              <w:rPr>
                <w:rFonts w:hint="eastAsia" w:ascii="仿宋" w:hAnsi="仿宋" w:eastAsia="仿宋"/>
                <w:b/>
                <w:sz w:val="22"/>
              </w:rPr>
              <w:t>序号</w:t>
            </w:r>
          </w:p>
        </w:tc>
        <w:tc>
          <w:tcPr>
            <w:tcW w:w="3402" w:type="dxa"/>
            <w:shd w:val="clear" w:color="auto" w:fill="C6D9F1"/>
            <w:vAlign w:val="center"/>
          </w:tcPr>
          <w:p>
            <w:pPr>
              <w:jc w:val="center"/>
              <w:rPr>
                <w:rFonts w:ascii="仿宋" w:hAnsi="仿宋" w:eastAsia="仿宋"/>
                <w:b/>
                <w:sz w:val="22"/>
              </w:rPr>
            </w:pPr>
            <w:r>
              <w:rPr>
                <w:rFonts w:hint="eastAsia" w:ascii="仿宋" w:hAnsi="仿宋" w:eastAsia="仿宋"/>
                <w:b/>
                <w:sz w:val="22"/>
              </w:rPr>
              <w:t>项目名称</w:t>
            </w:r>
          </w:p>
        </w:tc>
        <w:tc>
          <w:tcPr>
            <w:tcW w:w="992" w:type="dxa"/>
            <w:shd w:val="clear" w:color="auto" w:fill="C6D9F1"/>
            <w:vAlign w:val="center"/>
          </w:tcPr>
          <w:p>
            <w:pPr>
              <w:jc w:val="center"/>
              <w:rPr>
                <w:rFonts w:ascii="仿宋" w:hAnsi="仿宋" w:eastAsia="仿宋"/>
                <w:b/>
                <w:sz w:val="22"/>
              </w:rPr>
            </w:pPr>
            <w:r>
              <w:rPr>
                <w:rFonts w:hint="eastAsia" w:ascii="仿宋" w:hAnsi="仿宋" w:eastAsia="仿宋"/>
                <w:b/>
                <w:sz w:val="22"/>
              </w:rPr>
              <w:t>数量</w:t>
            </w:r>
          </w:p>
        </w:tc>
        <w:tc>
          <w:tcPr>
            <w:tcW w:w="3848" w:type="dxa"/>
            <w:shd w:val="clear" w:color="auto" w:fill="C6D9F1"/>
            <w:vAlign w:val="center"/>
          </w:tcPr>
          <w:p>
            <w:pPr>
              <w:jc w:val="center"/>
              <w:rPr>
                <w:rFonts w:ascii="仿宋" w:hAnsi="仿宋" w:eastAsia="仿宋"/>
                <w:b/>
                <w:sz w:val="22"/>
              </w:rPr>
            </w:pPr>
            <w:r>
              <w:rPr>
                <w:rFonts w:hint="eastAsia" w:ascii="仿宋" w:hAnsi="仿宋" w:eastAsia="仿宋"/>
                <w:b/>
                <w:sz w:val="22"/>
              </w:rPr>
              <w:t>采购预算单价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88" w:type="dxa"/>
            <w:vAlign w:val="center"/>
          </w:tcPr>
          <w:p>
            <w:pPr>
              <w:spacing w:line="360" w:lineRule="auto"/>
              <w:jc w:val="center"/>
              <w:rPr>
                <w:rFonts w:ascii="仿宋" w:hAnsi="仿宋" w:eastAsia="仿宋"/>
                <w:sz w:val="22"/>
              </w:rPr>
            </w:pPr>
            <w:r>
              <w:rPr>
                <w:rFonts w:hint="eastAsia" w:ascii="仿宋" w:hAnsi="仿宋" w:eastAsia="仿宋"/>
                <w:sz w:val="22"/>
              </w:rPr>
              <w:t>1</w:t>
            </w:r>
          </w:p>
        </w:tc>
        <w:tc>
          <w:tcPr>
            <w:tcW w:w="3402" w:type="dxa"/>
            <w:vAlign w:val="center"/>
          </w:tcPr>
          <w:p>
            <w:pPr>
              <w:spacing w:line="360" w:lineRule="auto"/>
              <w:jc w:val="center"/>
              <w:rPr>
                <w:rFonts w:ascii="仿宋" w:hAnsi="仿宋" w:eastAsia="仿宋"/>
                <w:sz w:val="22"/>
              </w:rPr>
            </w:pPr>
            <w:r>
              <w:rPr>
                <w:rFonts w:hint="eastAsia" w:ascii="仿宋" w:hAnsi="仿宋" w:eastAsia="仿宋"/>
                <w:sz w:val="22"/>
              </w:rPr>
              <w:t>2022年福田区涉进口冷链食品新冠病毒核酸监测项目</w:t>
            </w:r>
          </w:p>
        </w:tc>
        <w:tc>
          <w:tcPr>
            <w:tcW w:w="992" w:type="dxa"/>
            <w:vAlign w:val="center"/>
          </w:tcPr>
          <w:p>
            <w:pPr>
              <w:spacing w:line="360" w:lineRule="auto"/>
              <w:jc w:val="center"/>
              <w:rPr>
                <w:rFonts w:ascii="仿宋" w:hAnsi="仿宋" w:eastAsia="仿宋"/>
                <w:sz w:val="22"/>
              </w:rPr>
            </w:pPr>
            <w:r>
              <w:rPr>
                <w:rFonts w:hint="eastAsia" w:ascii="仿宋" w:hAnsi="仿宋" w:eastAsia="仿宋"/>
                <w:sz w:val="22"/>
              </w:rPr>
              <w:t>1项</w:t>
            </w:r>
          </w:p>
        </w:tc>
        <w:tc>
          <w:tcPr>
            <w:tcW w:w="3848" w:type="dxa"/>
            <w:vAlign w:val="center"/>
          </w:tcPr>
          <w:p>
            <w:pPr>
              <w:spacing w:line="360" w:lineRule="auto"/>
              <w:jc w:val="both"/>
              <w:rPr>
                <w:rFonts w:hint="default" w:ascii="仿宋" w:hAnsi="仿宋" w:eastAsia="仿宋"/>
                <w:sz w:val="22"/>
                <w:lang w:val="en-US" w:eastAsia="zh-CN"/>
              </w:rPr>
            </w:pPr>
            <w:r>
              <w:rPr>
                <w:rFonts w:hint="eastAsia" w:ascii="仿宋" w:hAnsi="仿宋" w:eastAsia="仿宋"/>
                <w:sz w:val="22"/>
                <w:lang w:val="en-US" w:eastAsia="zh-CN"/>
              </w:rPr>
              <w:t>单管：40</w:t>
            </w:r>
            <w:r>
              <w:rPr>
                <w:rFonts w:hint="default" w:ascii="仿宋" w:hAnsi="仿宋" w:eastAsia="仿宋"/>
                <w:sz w:val="22"/>
              </w:rPr>
              <w:t>元/人次</w:t>
            </w:r>
            <w:r>
              <w:rPr>
                <w:rFonts w:hint="eastAsia" w:ascii="仿宋" w:hAnsi="仿宋" w:eastAsia="仿宋"/>
                <w:sz w:val="22"/>
                <w:lang w:eastAsia="zh-CN"/>
              </w:rPr>
              <w:t>，</w:t>
            </w:r>
            <w:r>
              <w:rPr>
                <w:rFonts w:hint="eastAsia" w:ascii="仿宋" w:hAnsi="仿宋" w:eastAsia="仿宋"/>
                <w:sz w:val="22"/>
                <w:lang w:val="en-US" w:eastAsia="zh-CN"/>
              </w:rPr>
              <w:t>混采10元/人次</w:t>
            </w:r>
            <w:r>
              <w:rPr>
                <w:rFonts w:hint="default" w:ascii="仿宋" w:hAnsi="仿宋" w:eastAsia="仿宋"/>
                <w:sz w:val="22"/>
              </w:rPr>
              <w:t>（含核酸提取、检测试剂、采样费、税费、利润等一切应尽费用）</w:t>
            </w:r>
          </w:p>
        </w:tc>
      </w:tr>
    </w:tbl>
    <w:p>
      <w:pPr>
        <w:widowControl/>
        <w:jc w:val="left"/>
        <w:rPr>
          <w:rFonts w:ascii="仿宋" w:hAnsi="仿宋" w:eastAsia="仿宋"/>
          <w:b/>
          <w:bCs/>
          <w:color w:val="FF0000"/>
          <w:sz w:val="24"/>
          <w:szCs w:val="21"/>
        </w:rPr>
      </w:pPr>
      <w:r>
        <w:rPr>
          <w:rFonts w:hint="eastAsia" w:ascii="仿宋" w:hAnsi="仿宋" w:eastAsia="仿宋"/>
          <w:b/>
          <w:bCs/>
          <w:color w:val="FF0000"/>
          <w:sz w:val="24"/>
          <w:szCs w:val="21"/>
        </w:rPr>
        <w:t>注：</w:t>
      </w:r>
      <w:r>
        <w:rPr>
          <w:rFonts w:hint="eastAsia" w:ascii="仿宋" w:hAnsi="仿宋" w:eastAsia="仿宋"/>
          <w:b/>
          <w:bCs/>
          <w:sz w:val="24"/>
          <w:szCs w:val="21"/>
          <w:highlight w:val="yellow"/>
        </w:rPr>
        <w:t>★</w:t>
      </w:r>
      <w:r>
        <w:rPr>
          <w:rFonts w:hint="eastAsia" w:ascii="仿宋" w:hAnsi="仿宋" w:eastAsia="仿宋"/>
          <w:bCs/>
          <w:sz w:val="24"/>
          <w:szCs w:val="21"/>
          <w:highlight w:val="yellow"/>
        </w:rPr>
        <w:t>投标人的投标报价超过采购控制金额的将导致废标。</w:t>
      </w:r>
    </w:p>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二、项目概况</w:t>
      </w:r>
    </w:p>
    <w:p>
      <w:pPr>
        <w:widowControl/>
        <w:spacing w:line="360" w:lineRule="auto"/>
        <w:ind w:firstLine="480" w:firstLineChars="200"/>
        <w:jc w:val="left"/>
        <w:rPr>
          <w:rFonts w:hint="default" w:ascii="仿宋" w:hAnsi="仿宋" w:eastAsia="仿宋"/>
          <w:bCs/>
          <w:sz w:val="24"/>
          <w:szCs w:val="22"/>
          <w:lang w:val="en-US" w:eastAsia="zh-CN"/>
        </w:rPr>
      </w:pPr>
      <w:r>
        <w:rPr>
          <w:rFonts w:hint="eastAsia" w:ascii="仿宋" w:hAnsi="仿宋" w:eastAsia="仿宋"/>
          <w:bCs/>
          <w:sz w:val="24"/>
          <w:szCs w:val="22"/>
        </w:rPr>
        <w:t>按照疫情防控</w:t>
      </w:r>
      <w:r>
        <w:rPr>
          <w:rFonts w:hint="eastAsia" w:ascii="仿宋" w:hAnsi="仿宋" w:eastAsia="仿宋"/>
          <w:bCs/>
          <w:sz w:val="24"/>
          <w:szCs w:val="22"/>
          <w:lang w:eastAsia="zh-CN"/>
        </w:rPr>
        <w:t>和甲方</w:t>
      </w:r>
      <w:r>
        <w:rPr>
          <w:rFonts w:hint="eastAsia" w:ascii="仿宋" w:hAnsi="仿宋" w:eastAsia="仿宋"/>
          <w:bCs/>
          <w:sz w:val="24"/>
          <w:szCs w:val="22"/>
        </w:rPr>
        <w:t>要求，</w:t>
      </w:r>
      <w:r>
        <w:rPr>
          <w:rFonts w:hint="eastAsia" w:ascii="仿宋" w:hAnsi="仿宋" w:eastAsia="仿宋"/>
          <w:bCs/>
          <w:sz w:val="24"/>
          <w:szCs w:val="22"/>
          <w:lang w:eastAsia="zh-CN"/>
        </w:rPr>
        <w:t>定期上门执行福田区贮藏、加工和销售进口冷链食品的冷库、农贸市场（批发市场）、商场、超市、餐饮等场所产品和环境的新冠病毒核酸监测，以及区农贸市场专班（市市场监督管理局福田监管局）职责范围内的其他核酸监测任务</w:t>
      </w:r>
      <w:r>
        <w:rPr>
          <w:rFonts w:hint="eastAsia" w:ascii="仿宋" w:hAnsi="仿宋" w:eastAsia="仿宋"/>
          <w:bCs/>
          <w:sz w:val="24"/>
          <w:szCs w:val="22"/>
        </w:rPr>
        <w:t>。</w:t>
      </w:r>
      <w:r>
        <w:rPr>
          <w:rFonts w:hint="eastAsia" w:ascii="仿宋" w:hAnsi="仿宋" w:eastAsia="仿宋"/>
          <w:bCs/>
          <w:sz w:val="24"/>
          <w:szCs w:val="22"/>
          <w:lang w:eastAsia="zh-CN"/>
        </w:rPr>
        <w:t>具体的采样地点名单及有关任务要求，任务执行中甲方另行提供。</w:t>
      </w:r>
    </w:p>
    <w:p>
      <w:pPr>
        <w:widowControl/>
        <w:spacing w:line="360" w:lineRule="auto"/>
        <w:ind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本次服务范围共分为两个区域：</w:t>
      </w:r>
    </w:p>
    <w:p>
      <w:pPr>
        <w:widowControl/>
        <w:spacing w:line="360" w:lineRule="auto"/>
        <w:ind w:firstLine="480" w:firstLineChars="200"/>
        <w:jc w:val="left"/>
        <w:rPr>
          <w:rFonts w:hint="default" w:ascii="仿宋" w:hAnsi="仿宋" w:eastAsia="仿宋"/>
          <w:bCs/>
          <w:sz w:val="24"/>
          <w:szCs w:val="22"/>
          <w:lang w:val="en-US" w:eastAsia="zh-CN"/>
        </w:rPr>
      </w:pPr>
      <w:r>
        <w:rPr>
          <w:rFonts w:hint="eastAsia" w:ascii="仿宋" w:hAnsi="仿宋" w:eastAsia="仿宋"/>
          <w:bCs/>
          <w:sz w:val="24"/>
          <w:szCs w:val="22"/>
          <w:lang w:val="en-US" w:eastAsia="zh-CN"/>
        </w:rPr>
        <w:t>第一区域：福田街道、福保街道、园岭街道、华富街道和莲花街道</w:t>
      </w:r>
    </w:p>
    <w:p>
      <w:pPr>
        <w:widowControl/>
        <w:spacing w:line="360" w:lineRule="auto"/>
        <w:ind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第二区域：南园街道、沙头街道、梅林街道、香蜜湖街道和华强北街道</w:t>
      </w:r>
    </w:p>
    <w:p>
      <w:pPr>
        <w:widowControl/>
        <w:spacing w:line="360" w:lineRule="auto"/>
        <w:ind w:firstLine="480" w:firstLineChars="200"/>
        <w:jc w:val="left"/>
        <w:rPr>
          <w:rFonts w:hint="default" w:ascii="仿宋" w:hAnsi="仿宋" w:eastAsia="仿宋"/>
          <w:bCs/>
          <w:sz w:val="24"/>
          <w:szCs w:val="22"/>
          <w:lang w:val="en-US" w:eastAsia="zh-CN"/>
        </w:rPr>
      </w:pPr>
      <w:r>
        <w:rPr>
          <w:rFonts w:hint="eastAsia" w:ascii="仿宋" w:hAnsi="仿宋" w:eastAsia="仿宋"/>
          <w:bCs/>
          <w:sz w:val="24"/>
          <w:szCs w:val="24"/>
          <w:highlight w:val="yellow"/>
        </w:rPr>
        <w:t>★</w:t>
      </w:r>
      <w:r>
        <w:rPr>
          <w:rFonts w:hint="eastAsia" w:ascii="仿宋" w:hAnsi="仿宋" w:eastAsia="仿宋"/>
          <w:b/>
          <w:bCs w:val="0"/>
          <w:sz w:val="24"/>
          <w:szCs w:val="22"/>
          <w:highlight w:val="yellow"/>
          <w:lang w:val="en-US" w:eastAsia="zh-CN"/>
        </w:rPr>
        <w:t>甲方可根据项目具体实际操作情况进行相关调整，中标服务商须无条件配合。【提供承诺函并加盖投标人公章，格式自拟</w:t>
      </w:r>
      <w:r>
        <w:rPr>
          <w:rFonts w:hint="eastAsia" w:ascii="仿宋" w:hAnsi="仿宋" w:eastAsia="仿宋"/>
          <w:bCs/>
          <w:sz w:val="24"/>
          <w:szCs w:val="22"/>
          <w:lang w:val="en-US" w:eastAsia="zh-CN"/>
        </w:rPr>
        <w:t>】</w:t>
      </w:r>
    </w:p>
    <w:p>
      <w:pPr>
        <w:widowControl/>
        <w:spacing w:line="360" w:lineRule="auto"/>
        <w:ind w:firstLine="482" w:firstLineChars="200"/>
        <w:jc w:val="left"/>
        <w:rPr>
          <w:rFonts w:hint="default" w:ascii="仿宋" w:hAnsi="仿宋" w:eastAsia="仿宋"/>
          <w:bCs/>
          <w:sz w:val="24"/>
          <w:szCs w:val="22"/>
          <w:lang w:val="en-US" w:eastAsia="zh-CN"/>
        </w:rPr>
      </w:pPr>
      <w:r>
        <w:rPr>
          <w:rFonts w:hint="eastAsia" w:ascii="仿宋" w:hAnsi="仿宋" w:eastAsia="仿宋"/>
          <w:b/>
          <w:bCs/>
          <w:color w:val="FF0000"/>
          <w:sz w:val="24"/>
          <w:szCs w:val="20"/>
          <w:lang w:val="en-US" w:eastAsia="zh-CN"/>
        </w:rPr>
        <w:t>本项目招2家中标供应商为采购人服务，按综合得分最高前2名为中标供应商，排名第一中标供应商负责第一区域范围服务任务，排名第二中标供应商负责第二区域范围服务任务。</w:t>
      </w:r>
    </w:p>
    <w:p>
      <w:pPr>
        <w:widowControl/>
        <w:spacing w:line="360" w:lineRule="auto"/>
        <w:ind w:firstLine="480" w:firstLineChars="200"/>
        <w:jc w:val="left"/>
        <w:rPr>
          <w:rFonts w:ascii="仿宋" w:hAnsi="仿宋" w:eastAsia="仿宋"/>
          <w:bCs/>
          <w:sz w:val="24"/>
          <w:szCs w:val="22"/>
        </w:rPr>
      </w:pPr>
    </w:p>
    <w:p>
      <w:pPr>
        <w:widowControl/>
        <w:jc w:val="left"/>
        <w:rPr>
          <w:rFonts w:ascii="仿宋" w:hAnsi="仿宋" w:eastAsia="仿宋"/>
          <w:b/>
          <w:bCs/>
          <w:sz w:val="28"/>
          <w:szCs w:val="21"/>
        </w:rPr>
      </w:pPr>
      <w:r>
        <w:rPr>
          <w:rFonts w:hint="eastAsia" w:ascii="仿宋" w:hAnsi="仿宋" w:eastAsia="仿宋"/>
          <w:b/>
          <w:bCs/>
          <w:sz w:val="28"/>
          <w:szCs w:val="21"/>
        </w:rPr>
        <w:t>三、技术需求</w:t>
      </w: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（一）</w:t>
      </w:r>
      <w:r>
        <w:rPr>
          <w:rFonts w:hint="eastAsia" w:ascii="仿宋" w:hAnsi="仿宋" w:eastAsia="仿宋"/>
          <w:b/>
          <w:bCs/>
          <w:sz w:val="24"/>
          <w:szCs w:val="22"/>
          <w:lang w:val="en-US" w:eastAsia="zh-CN"/>
        </w:rPr>
        <w:t>整体要求</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rPr>
        <w:t>1、</w:t>
      </w:r>
      <w:r>
        <w:rPr>
          <w:rFonts w:hint="eastAsia" w:ascii="仿宋" w:hAnsi="仿宋" w:eastAsia="仿宋"/>
          <w:bCs/>
          <w:sz w:val="24"/>
          <w:szCs w:val="22"/>
          <w:lang w:val="en-US" w:eastAsia="zh-CN"/>
        </w:rPr>
        <w:t>投标人需具有医疗机构执业许可证书（含新型冠状病毒核酸检测能力），且应具有人员、物品、环境等不同样本核酸采样、检测资质及能力，并能出具中英文等多语种检测报告。</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2、</w:t>
      </w:r>
      <w:r>
        <w:rPr>
          <w:rFonts w:hint="eastAsia" w:ascii="仿宋" w:hAnsi="仿宋" w:eastAsia="仿宋"/>
          <w:bCs/>
          <w:sz w:val="24"/>
          <w:szCs w:val="22"/>
        </w:rPr>
        <w:t>投标人应根据检测项目提供符合</w:t>
      </w:r>
      <w:r>
        <w:rPr>
          <w:rFonts w:hint="eastAsia" w:ascii="仿宋" w:hAnsi="仿宋" w:eastAsia="仿宋"/>
          <w:bCs/>
          <w:sz w:val="24"/>
          <w:szCs w:val="22"/>
          <w:lang w:eastAsia="zh-CN"/>
        </w:rPr>
        <w:t>国家</w:t>
      </w:r>
      <w:r>
        <w:rPr>
          <w:rFonts w:hint="eastAsia" w:ascii="仿宋" w:hAnsi="仿宋" w:eastAsia="仿宋"/>
          <w:bCs/>
          <w:sz w:val="24"/>
          <w:szCs w:val="22"/>
        </w:rPr>
        <w:t>要求的检测仪器及试剂，并且能够保障满足检测能力要求。</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3、投标人提供的人员（检验员、采样员）应具备开展检测工作所需的采样、检测技术支持能力，能按期按质完成检测任务并上报检测数据。</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4、服务期内，中标单位需与采购单位积极配合，完成以下工作，包括但不限于核酸筛查计划制定、物资准备、车辆调配、样本采集、样本运输以及报告出具，数据统计与核对，应急调度等工作。</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5、投标方需自行及时掌握国家、省、市关于核酸检测有关工作的最新规定，确保提供的核酸监测服务符合有关规定。</w:t>
      </w:r>
    </w:p>
    <w:p>
      <w:pPr>
        <w:widowControl/>
        <w:spacing w:line="360" w:lineRule="auto"/>
        <w:ind w:left="840" w:leftChars="400" w:firstLine="480" w:firstLineChars="200"/>
        <w:jc w:val="left"/>
        <w:rPr>
          <w:rFonts w:hint="eastAsia" w:ascii="仿宋" w:hAnsi="仿宋" w:eastAsia="仿宋"/>
          <w:bCs/>
          <w:sz w:val="24"/>
          <w:szCs w:val="22"/>
          <w:lang w:eastAsia="zh-CN"/>
        </w:rPr>
      </w:pPr>
      <w:r>
        <w:rPr>
          <w:rFonts w:hint="eastAsia" w:ascii="仿宋" w:hAnsi="仿宋" w:eastAsia="仿宋"/>
          <w:bCs/>
          <w:sz w:val="24"/>
          <w:szCs w:val="22"/>
          <w:lang w:val="en-US" w:eastAsia="zh-CN"/>
        </w:rPr>
        <w:t>6、投标人</w:t>
      </w:r>
      <w:r>
        <w:rPr>
          <w:rFonts w:hint="eastAsia" w:ascii="仿宋" w:hAnsi="仿宋" w:eastAsia="仿宋"/>
          <w:bCs/>
          <w:sz w:val="24"/>
          <w:szCs w:val="22"/>
        </w:rPr>
        <w:t>须按照采购单位的要求</w:t>
      </w:r>
      <w:r>
        <w:rPr>
          <w:rFonts w:hint="eastAsia" w:ascii="仿宋" w:hAnsi="仿宋" w:eastAsia="仿宋"/>
          <w:bCs/>
          <w:sz w:val="24"/>
          <w:szCs w:val="22"/>
          <w:lang w:eastAsia="zh-CN"/>
        </w:rPr>
        <w:t>在规定时间内完成核酸监测任务，不得以任何理由延误。</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7、进口冷链食品产品及环境开展核酸监测有关要求需参照《广东省进口冷链食品常态化疫情防控全流程闭环管理工作指引》执行，遇政策文件变化，以最新政策文件为准。</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8、采样人员完成进口冷链食品以及相关环境样本采集，填写《进口冷链食品新冠病毒监测采样登记表》（见附表）。样品采集后应在4℃条件下12小时内运送至检测机构开展检测。所有检测阳性的标本要求在30分钟内报告福田区疾控中心。样品运送与检测须遵守国家生物安全的有关规定。</w:t>
      </w:r>
    </w:p>
    <w:p>
      <w:pPr>
        <w:widowControl/>
        <w:spacing w:line="360" w:lineRule="auto"/>
        <w:ind w:left="840" w:leftChars="400"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9、投标人应</w:t>
      </w:r>
      <w:r>
        <w:rPr>
          <w:rFonts w:hint="eastAsia" w:ascii="仿宋" w:hAnsi="仿宋" w:eastAsia="仿宋"/>
          <w:bCs/>
          <w:sz w:val="24"/>
          <w:szCs w:val="22"/>
        </w:rPr>
        <w:t>建立检测结果上报机制，投标人需在每个工作日通过采购单位指定方式上报当日检测情况。</w:t>
      </w:r>
    </w:p>
    <w:p>
      <w:pPr>
        <w:widowControl/>
        <w:spacing w:line="360" w:lineRule="auto"/>
        <w:ind w:left="840" w:leftChars="400"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10、投标人在对有关产品及环境进行采样时需采取单管方式，按周进行全覆盖采样及检测。如遇上级文件要求或者疫情防控形势变化，需进行混合采样，投标方需承诺无条件配合（混合采样和单管采样按各自价格结算）。甲方有权根据疫情防控形势及政策文件，随时调整监测范围、监测频次</w:t>
      </w:r>
      <w:r>
        <w:rPr>
          <w:rFonts w:hint="eastAsia" w:ascii="仿宋" w:hAnsi="仿宋" w:eastAsia="仿宋"/>
          <w:bCs/>
          <w:sz w:val="24"/>
          <w:szCs w:val="22"/>
        </w:rPr>
        <w:t>。</w:t>
      </w:r>
      <w:r>
        <w:rPr>
          <w:rFonts w:hint="eastAsia" w:ascii="仿宋" w:hAnsi="仿宋" w:eastAsia="仿宋"/>
          <w:bCs/>
          <w:sz w:val="24"/>
          <w:szCs w:val="22"/>
          <w:lang w:eastAsia="zh-CN"/>
        </w:rPr>
        <w:t>如遇政策文件对单管采样、混合采样价格做出规定，则结算价格以政策文件为准。</w:t>
      </w:r>
    </w:p>
    <w:p>
      <w:pPr>
        <w:widowControl/>
        <w:spacing w:line="360" w:lineRule="auto"/>
        <w:ind w:left="840" w:leftChars="400" w:firstLine="480" w:firstLineChars="200"/>
        <w:jc w:val="left"/>
        <w:rPr>
          <w:rFonts w:hint="default" w:eastAsia="仿宋"/>
          <w:lang w:val="en-US" w:eastAsia="zh-CN"/>
        </w:rPr>
      </w:pPr>
      <w:r>
        <w:rPr>
          <w:rFonts w:hint="eastAsia" w:ascii="仿宋" w:hAnsi="仿宋" w:eastAsia="仿宋"/>
          <w:bCs/>
          <w:sz w:val="24"/>
          <w:szCs w:val="22"/>
          <w:lang w:val="en-US" w:eastAsia="zh-CN"/>
        </w:rPr>
        <w:t>11、招标人将委托第三方监理机构对中标人开展核酸监测情况进行监督，中标人需无条件配合。</w:t>
      </w:r>
    </w:p>
    <w:p>
      <w:pPr>
        <w:widowControl/>
        <w:spacing w:line="360" w:lineRule="auto"/>
        <w:ind w:firstLine="482" w:firstLineChars="200"/>
        <w:jc w:val="left"/>
        <w:rPr>
          <w:rFonts w:hint="eastAsia" w:ascii="仿宋" w:hAnsi="仿宋" w:eastAsia="仿宋"/>
          <w:b/>
          <w:bCs w:val="0"/>
          <w:sz w:val="24"/>
          <w:szCs w:val="22"/>
          <w:lang w:eastAsia="zh-CN"/>
        </w:rPr>
      </w:pPr>
    </w:p>
    <w:p>
      <w:pPr>
        <w:widowControl/>
        <w:spacing w:line="360" w:lineRule="auto"/>
        <w:ind w:firstLine="482" w:firstLineChars="200"/>
        <w:jc w:val="left"/>
        <w:rPr>
          <w:rFonts w:hint="eastAsia" w:ascii="仿宋" w:hAnsi="仿宋" w:eastAsia="仿宋"/>
          <w:b/>
          <w:bCs/>
          <w:sz w:val="24"/>
          <w:szCs w:val="22"/>
        </w:rPr>
      </w:pPr>
      <w:r>
        <w:rPr>
          <w:rFonts w:hint="eastAsia" w:ascii="仿宋" w:hAnsi="仿宋" w:eastAsia="仿宋"/>
          <w:b/>
          <w:bCs w:val="0"/>
          <w:sz w:val="24"/>
          <w:szCs w:val="22"/>
          <w:lang w:eastAsia="zh-CN"/>
        </w:rPr>
        <w:t>（</w:t>
      </w:r>
      <w:r>
        <w:rPr>
          <w:rFonts w:hint="eastAsia" w:ascii="仿宋" w:hAnsi="仿宋" w:eastAsia="仿宋"/>
          <w:b/>
          <w:bCs w:val="0"/>
          <w:sz w:val="24"/>
          <w:szCs w:val="22"/>
          <w:lang w:val="en-US" w:eastAsia="zh-CN"/>
        </w:rPr>
        <w:t>二</w:t>
      </w:r>
      <w:r>
        <w:rPr>
          <w:rFonts w:hint="eastAsia" w:ascii="仿宋" w:hAnsi="仿宋" w:eastAsia="仿宋"/>
          <w:b/>
          <w:bCs w:val="0"/>
          <w:sz w:val="24"/>
          <w:szCs w:val="22"/>
          <w:lang w:eastAsia="zh-CN"/>
        </w:rPr>
        <w:t>）</w:t>
      </w:r>
      <w:r>
        <w:rPr>
          <w:rFonts w:hint="eastAsia" w:ascii="仿宋" w:hAnsi="仿宋" w:eastAsia="仿宋"/>
          <w:b/>
          <w:bCs/>
          <w:sz w:val="24"/>
          <w:szCs w:val="22"/>
        </w:rPr>
        <w:t>人员要求：</w:t>
      </w:r>
    </w:p>
    <w:p>
      <w:pPr>
        <w:widowControl/>
        <w:spacing w:line="360" w:lineRule="auto"/>
        <w:ind w:left="479" w:leftChars="228" w:firstLine="480" w:firstLineChars="200"/>
        <w:jc w:val="left"/>
        <w:rPr>
          <w:rFonts w:hint="eastAsia" w:ascii="仿宋" w:hAnsi="仿宋" w:eastAsia="仿宋"/>
          <w:bCs/>
          <w:sz w:val="24"/>
          <w:szCs w:val="22"/>
        </w:rPr>
      </w:pPr>
      <w:r>
        <w:rPr>
          <w:rFonts w:hint="eastAsia" w:ascii="仿宋" w:hAnsi="仿宋" w:eastAsia="仿宋"/>
          <w:b w:val="0"/>
          <w:bCs w:val="0"/>
          <w:sz w:val="24"/>
          <w:szCs w:val="22"/>
          <w:lang w:val="en-US" w:eastAsia="zh-CN"/>
        </w:rPr>
        <w:t>1、</w:t>
      </w:r>
      <w:r>
        <w:rPr>
          <w:rFonts w:hint="eastAsia" w:ascii="仿宋" w:hAnsi="仿宋" w:eastAsia="仿宋"/>
          <w:bCs/>
          <w:sz w:val="24"/>
          <w:szCs w:val="22"/>
        </w:rPr>
        <w:t>投标人需提供两名项目支持人员负责核酸检测工作的安排及协调，并及时处理和解决</w:t>
      </w:r>
      <w:r>
        <w:rPr>
          <w:rFonts w:hint="eastAsia" w:ascii="仿宋" w:hAnsi="仿宋" w:eastAsia="仿宋"/>
          <w:bCs/>
          <w:sz w:val="24"/>
          <w:szCs w:val="22"/>
          <w:lang w:eastAsia="zh-CN"/>
        </w:rPr>
        <w:t>项目中遇到</w:t>
      </w:r>
      <w:r>
        <w:rPr>
          <w:rFonts w:hint="eastAsia" w:ascii="仿宋" w:hAnsi="仿宋" w:eastAsia="仿宋"/>
          <w:bCs/>
          <w:sz w:val="24"/>
          <w:szCs w:val="22"/>
        </w:rPr>
        <w:t>的问题。其中一名人员为中标项目负责人，主要负责采样人员及物资调度以及关键问题的解决，另一名为项目负责人支持人员，主要负责后台数据处理以及交接表核对。</w:t>
      </w:r>
    </w:p>
    <w:p>
      <w:pPr>
        <w:widowControl/>
        <w:spacing w:line="360" w:lineRule="auto"/>
        <w:ind w:left="479" w:leftChars="228" w:firstLine="480" w:firstLineChars="200"/>
        <w:jc w:val="left"/>
        <w:rPr>
          <w:rFonts w:hint="eastAsia" w:ascii="仿宋" w:hAnsi="仿宋" w:eastAsia="仿宋"/>
          <w:bCs/>
          <w:sz w:val="24"/>
          <w:szCs w:val="22"/>
        </w:rPr>
      </w:pPr>
      <w:r>
        <w:rPr>
          <w:rFonts w:hint="eastAsia" w:ascii="仿宋" w:hAnsi="仿宋" w:eastAsia="仿宋"/>
          <w:bCs/>
          <w:sz w:val="24"/>
          <w:szCs w:val="22"/>
        </w:rPr>
        <w:t>2、</w:t>
      </w:r>
      <w:r>
        <w:rPr>
          <w:rFonts w:hint="eastAsia" w:ascii="仿宋" w:hAnsi="仿宋" w:eastAsia="仿宋"/>
          <w:bCs/>
          <w:sz w:val="24"/>
          <w:szCs w:val="22"/>
          <w:lang w:val="en-US" w:eastAsia="zh-CN"/>
        </w:rPr>
        <w:t>投标人需配备</w:t>
      </w:r>
      <w:r>
        <w:rPr>
          <w:rFonts w:hint="eastAsia" w:ascii="仿宋" w:hAnsi="仿宋" w:eastAsia="仿宋"/>
          <w:bCs/>
          <w:sz w:val="24"/>
          <w:szCs w:val="22"/>
        </w:rPr>
        <w:t>采样人员不少于10名，</w:t>
      </w:r>
      <w:r>
        <w:rPr>
          <w:rFonts w:hint="eastAsia" w:ascii="仿宋" w:hAnsi="仿宋" w:eastAsia="仿宋"/>
          <w:bCs/>
          <w:sz w:val="24"/>
          <w:szCs w:val="22"/>
          <w:lang w:eastAsia="zh-CN"/>
        </w:rPr>
        <w:t>采样人员</w:t>
      </w:r>
      <w:r>
        <w:rPr>
          <w:rFonts w:hint="eastAsia" w:ascii="仿宋" w:hAnsi="仿宋" w:eastAsia="仿宋"/>
          <w:bCs/>
          <w:sz w:val="24"/>
          <w:szCs w:val="22"/>
        </w:rPr>
        <w:t>需</w:t>
      </w:r>
      <w:r>
        <w:rPr>
          <w:rFonts w:hint="eastAsia" w:ascii="仿宋" w:hAnsi="仿宋" w:eastAsia="仿宋"/>
          <w:bCs/>
          <w:sz w:val="24"/>
          <w:szCs w:val="22"/>
          <w:lang w:eastAsia="zh-CN"/>
        </w:rPr>
        <w:t>有</w:t>
      </w:r>
      <w:r>
        <w:rPr>
          <w:rFonts w:hint="eastAsia" w:ascii="仿宋" w:hAnsi="仿宋" w:eastAsia="仿宋"/>
          <w:bCs/>
          <w:sz w:val="24"/>
          <w:szCs w:val="22"/>
        </w:rPr>
        <w:t>中专及以上学历，具备新冠理论及实操考核记录以及由第三方医学检验实验室发放的上岗证。</w:t>
      </w:r>
    </w:p>
    <w:p>
      <w:pPr>
        <w:widowControl/>
        <w:spacing w:line="360" w:lineRule="auto"/>
        <w:ind w:left="479" w:leftChars="228" w:firstLine="480" w:firstLineChars="200"/>
        <w:jc w:val="left"/>
        <w:rPr>
          <w:rFonts w:hint="eastAsia" w:ascii="仿宋" w:hAnsi="仿宋" w:eastAsia="仿宋"/>
          <w:bCs/>
          <w:sz w:val="24"/>
          <w:szCs w:val="22"/>
        </w:rPr>
      </w:pPr>
      <w:r>
        <w:rPr>
          <w:rFonts w:hint="eastAsia" w:ascii="仿宋" w:hAnsi="仿宋" w:eastAsia="仿宋"/>
          <w:bCs/>
          <w:sz w:val="24"/>
          <w:szCs w:val="22"/>
        </w:rPr>
        <w:t>3、</w:t>
      </w:r>
      <w:r>
        <w:rPr>
          <w:rFonts w:hint="eastAsia" w:ascii="仿宋" w:hAnsi="仿宋" w:eastAsia="仿宋"/>
          <w:bCs/>
          <w:sz w:val="24"/>
          <w:szCs w:val="22"/>
          <w:lang w:val="en-US" w:eastAsia="zh-CN"/>
        </w:rPr>
        <w:t>投标人需配备</w:t>
      </w:r>
      <w:r>
        <w:rPr>
          <w:rFonts w:hint="eastAsia" w:ascii="仿宋" w:hAnsi="仿宋" w:eastAsia="仿宋"/>
          <w:bCs/>
          <w:sz w:val="24"/>
          <w:szCs w:val="22"/>
        </w:rPr>
        <w:t>可按时完成核酸检测样本目标</w:t>
      </w:r>
      <w:r>
        <w:rPr>
          <w:rFonts w:hint="eastAsia" w:ascii="仿宋" w:hAnsi="仿宋" w:eastAsia="仿宋"/>
          <w:bCs/>
          <w:sz w:val="24"/>
          <w:szCs w:val="22"/>
          <w:lang w:eastAsia="zh-CN"/>
        </w:rPr>
        <w:t>的核酸检测人员</w:t>
      </w:r>
      <w:r>
        <w:rPr>
          <w:rFonts w:hint="eastAsia" w:ascii="仿宋" w:hAnsi="仿宋" w:eastAsia="仿宋"/>
          <w:bCs/>
          <w:sz w:val="24"/>
          <w:szCs w:val="22"/>
        </w:rPr>
        <w:t>。</w:t>
      </w:r>
      <w:r>
        <w:rPr>
          <w:rFonts w:hint="eastAsia" w:ascii="仿宋" w:hAnsi="仿宋" w:eastAsia="仿宋"/>
          <w:bCs/>
          <w:sz w:val="24"/>
          <w:szCs w:val="22"/>
          <w:lang w:eastAsia="zh-CN"/>
        </w:rPr>
        <w:t>核酸检测人员需</w:t>
      </w:r>
      <w:r>
        <w:rPr>
          <w:rFonts w:hint="eastAsia" w:ascii="仿宋" w:hAnsi="仿宋" w:eastAsia="仿宋"/>
          <w:bCs/>
          <w:sz w:val="24"/>
          <w:szCs w:val="22"/>
        </w:rPr>
        <w:t>具备本科及以上学历，省级及以上部门认可的PCR证（或基因扩增实验室上岗证），或检验师资格。</w:t>
      </w:r>
    </w:p>
    <w:p>
      <w:pPr>
        <w:widowControl/>
        <w:spacing w:line="360" w:lineRule="auto"/>
        <w:ind w:left="479" w:leftChars="228" w:firstLine="480" w:firstLineChars="200"/>
        <w:jc w:val="left"/>
        <w:rPr>
          <w:rFonts w:hint="default" w:ascii="仿宋" w:hAnsi="仿宋" w:eastAsia="仿宋"/>
          <w:bCs/>
          <w:sz w:val="24"/>
          <w:szCs w:val="22"/>
          <w:lang w:val="en-US" w:eastAsia="zh-CN"/>
        </w:rPr>
      </w:pPr>
      <w:r>
        <w:rPr>
          <w:rFonts w:hint="eastAsia" w:ascii="仿宋" w:hAnsi="仿宋" w:eastAsia="仿宋"/>
          <w:bCs/>
          <w:sz w:val="24"/>
          <w:szCs w:val="22"/>
          <w:lang w:val="en-US" w:eastAsia="zh-CN"/>
        </w:rPr>
        <w:t>4、投标人所有与本项目有关的工作人员，需按国家、省、市有关规定进行核酸检测，做好预防。</w:t>
      </w:r>
    </w:p>
    <w:p>
      <w:pPr>
        <w:widowControl/>
        <w:spacing w:line="360" w:lineRule="auto"/>
        <w:ind w:left="420" w:leftChars="200" w:firstLine="480" w:firstLineChars="200"/>
        <w:jc w:val="left"/>
        <w:rPr>
          <w:rFonts w:ascii="仿宋" w:hAnsi="仿宋" w:eastAsia="仿宋"/>
          <w:bCs/>
          <w:sz w:val="24"/>
          <w:szCs w:val="22"/>
        </w:rPr>
      </w:pP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w:t>
      </w:r>
      <w:r>
        <w:rPr>
          <w:rFonts w:hint="eastAsia" w:ascii="仿宋" w:hAnsi="仿宋" w:eastAsia="仿宋"/>
          <w:b/>
          <w:bCs/>
          <w:sz w:val="24"/>
          <w:szCs w:val="22"/>
          <w:lang w:val="en-US" w:eastAsia="zh-CN"/>
        </w:rPr>
        <w:t>三</w:t>
      </w:r>
      <w:r>
        <w:rPr>
          <w:rFonts w:hint="eastAsia" w:ascii="仿宋" w:hAnsi="仿宋" w:eastAsia="仿宋"/>
          <w:b/>
          <w:bCs/>
          <w:sz w:val="24"/>
          <w:szCs w:val="22"/>
        </w:rPr>
        <w:t>）检测质量控制</w:t>
      </w:r>
    </w:p>
    <w:p>
      <w:pPr>
        <w:widowControl/>
        <w:spacing w:line="360" w:lineRule="auto"/>
        <w:ind w:left="420" w:leftChars="200" w:firstLine="480" w:firstLineChars="200"/>
        <w:jc w:val="left"/>
        <w:rPr>
          <w:rFonts w:hint="eastAsia" w:ascii="仿宋" w:hAnsi="仿宋" w:eastAsia="仿宋"/>
          <w:bCs/>
          <w:sz w:val="24"/>
          <w:szCs w:val="22"/>
        </w:rPr>
      </w:pPr>
      <w:r>
        <w:rPr>
          <w:rFonts w:hint="eastAsia" w:ascii="仿宋" w:hAnsi="仿宋" w:eastAsia="仿宋"/>
          <w:bCs/>
          <w:sz w:val="24"/>
          <w:szCs w:val="22"/>
        </w:rPr>
        <w:t>1、投标人实验室应该在本市并且是卫建委推荐的新冠检测机构，实验室具备相应新冠检测资质和通过省级或国家新冠室间质评考核，要求具备人员、物品和环境检测的能力和相应经验，具备新型冠状病毒检测的紧急预案以及灰区处理流程方案。</w:t>
      </w:r>
    </w:p>
    <w:p>
      <w:pPr>
        <w:widowControl/>
        <w:spacing w:line="360" w:lineRule="auto"/>
        <w:ind w:left="420" w:leftChars="200"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2、投标方需</w:t>
      </w:r>
      <w:r>
        <w:rPr>
          <w:rFonts w:hint="eastAsia" w:ascii="仿宋" w:hAnsi="仿宋" w:eastAsia="仿宋"/>
          <w:bCs/>
          <w:sz w:val="24"/>
          <w:szCs w:val="22"/>
        </w:rPr>
        <w:t>严格按照有关规定和标准进行采样和检测，按照检测项目常规报告时间（自采样至出报告24小时内完成）及时提供检测结果。</w:t>
      </w:r>
    </w:p>
    <w:p>
      <w:pPr>
        <w:widowControl/>
        <w:spacing w:line="360" w:lineRule="auto"/>
        <w:ind w:left="420" w:leftChars="200"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3、</w:t>
      </w:r>
      <w:r>
        <w:rPr>
          <w:rFonts w:hint="eastAsia" w:ascii="仿宋" w:hAnsi="仿宋" w:eastAsia="仿宋"/>
          <w:bCs/>
          <w:sz w:val="24"/>
          <w:szCs w:val="22"/>
        </w:rPr>
        <w:t>样本检测在投标人自建实验室独立完成，不可以外包或委托其他实验室，实现独立检测全流程一体化。</w:t>
      </w:r>
    </w:p>
    <w:p>
      <w:pPr>
        <w:widowControl/>
        <w:spacing w:line="360" w:lineRule="auto"/>
        <w:ind w:left="420" w:leftChars="200"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4、</w:t>
      </w:r>
      <w:r>
        <w:rPr>
          <w:rFonts w:hint="eastAsia" w:ascii="仿宋" w:hAnsi="仿宋" w:eastAsia="仿宋"/>
          <w:bCs/>
          <w:sz w:val="24"/>
          <w:szCs w:val="22"/>
        </w:rPr>
        <w:t>投标人承担样本采集、包装、运送、检测、分析和出具报告工作，样本的运输、保存、实验操作符合技术规范，保证结果及时、准确。</w:t>
      </w:r>
    </w:p>
    <w:p>
      <w:pPr>
        <w:widowControl/>
        <w:spacing w:line="360" w:lineRule="auto"/>
        <w:ind w:left="420" w:leftChars="200"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5、</w:t>
      </w:r>
      <w:r>
        <w:rPr>
          <w:rFonts w:hint="eastAsia" w:ascii="仿宋" w:hAnsi="仿宋" w:eastAsia="仿宋"/>
          <w:bCs/>
          <w:sz w:val="24"/>
          <w:szCs w:val="22"/>
        </w:rPr>
        <w:t>投标人使用的检测新冠病毒核酸的试剂盒需要覆盖ORF1a/b基因、N基因、E基因中的两个（含）以上待检测基因。所采用的检测试剂盒需取得医疗器械注册证。投标人应使用两种以上检测试剂盒。</w:t>
      </w:r>
    </w:p>
    <w:p>
      <w:pPr>
        <w:widowControl/>
        <w:spacing w:line="360" w:lineRule="auto"/>
        <w:ind w:left="420" w:leftChars="200"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6、</w:t>
      </w:r>
      <w:r>
        <w:rPr>
          <w:rFonts w:hint="eastAsia" w:ascii="仿宋" w:hAnsi="仿宋" w:eastAsia="仿宋"/>
          <w:bCs/>
          <w:sz w:val="24"/>
          <w:szCs w:val="22"/>
        </w:rPr>
        <w:t>投标人质控标准应符合新冠病毒检测体系要求，批次检测设置质控品，一弱阳性质控品（由第三方提供），三阴性质控品。实验室需每月定期开展室内质控回顾。</w:t>
      </w:r>
    </w:p>
    <w:p>
      <w:pPr>
        <w:widowControl/>
        <w:spacing w:line="360" w:lineRule="auto"/>
        <w:ind w:left="420" w:leftChars="200"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7、</w:t>
      </w:r>
      <w:r>
        <w:rPr>
          <w:rFonts w:hint="eastAsia" w:ascii="仿宋" w:hAnsi="仿宋" w:eastAsia="仿宋"/>
          <w:bCs/>
          <w:sz w:val="24"/>
          <w:szCs w:val="22"/>
        </w:rPr>
        <w:t>投标人需要保证样本信息的完整及可追溯。</w:t>
      </w:r>
    </w:p>
    <w:p>
      <w:pPr>
        <w:widowControl/>
        <w:spacing w:line="360" w:lineRule="auto"/>
        <w:ind w:left="420" w:leftChars="200" w:firstLine="480" w:firstLineChars="200"/>
        <w:jc w:val="left"/>
        <w:rPr>
          <w:rFonts w:hint="default" w:eastAsia="仿宋"/>
          <w:lang w:val="en-US" w:eastAsia="zh-CN"/>
        </w:rPr>
      </w:pPr>
      <w:r>
        <w:rPr>
          <w:rFonts w:hint="eastAsia" w:ascii="仿宋" w:hAnsi="仿宋" w:eastAsia="仿宋"/>
          <w:bCs/>
          <w:sz w:val="24"/>
          <w:szCs w:val="22"/>
          <w:lang w:val="en-US" w:eastAsia="zh-CN"/>
        </w:rPr>
        <w:t>8、</w:t>
      </w:r>
      <w:r>
        <w:rPr>
          <w:rFonts w:hint="eastAsia" w:ascii="仿宋" w:hAnsi="仿宋" w:eastAsia="仿宋"/>
          <w:bCs/>
          <w:sz w:val="24"/>
          <w:szCs w:val="22"/>
        </w:rPr>
        <w:t>投标人应进行仪器设备的调试验收、维护保养、检定/校准，并形成相关记录，建立仪器设备档案、仪器设备使用记录等。</w:t>
      </w:r>
    </w:p>
    <w:p>
      <w:pPr>
        <w:widowControl/>
        <w:spacing w:line="360" w:lineRule="auto"/>
        <w:ind w:firstLine="440" w:firstLineChars="20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四、服务期限</w:t>
      </w:r>
    </w:p>
    <w:p>
      <w:pPr>
        <w:widowControl/>
        <w:spacing w:line="360" w:lineRule="auto"/>
        <w:ind w:firstLine="480" w:firstLineChars="200"/>
        <w:jc w:val="left"/>
        <w:rPr>
          <w:rFonts w:ascii="仿宋" w:hAnsi="仿宋" w:eastAsia="仿宋"/>
          <w:bCs/>
          <w:sz w:val="24"/>
          <w:szCs w:val="24"/>
          <w:highlight w:val="none"/>
        </w:rPr>
      </w:pPr>
      <w:r>
        <w:rPr>
          <w:rFonts w:hint="eastAsia" w:ascii="仿宋" w:hAnsi="仿宋" w:eastAsia="仿宋"/>
          <w:bCs/>
          <w:sz w:val="24"/>
          <w:szCs w:val="24"/>
          <w:highlight w:val="yellow"/>
        </w:rPr>
        <w:t>★1、</w:t>
      </w:r>
      <w:r>
        <w:rPr>
          <w:rFonts w:hint="eastAsia" w:ascii="仿宋" w:hAnsi="仿宋" w:eastAsia="仿宋"/>
          <w:b/>
          <w:bCs/>
          <w:sz w:val="24"/>
          <w:szCs w:val="24"/>
          <w:highlight w:val="yellow"/>
        </w:rPr>
        <w:t>服务期限：</w:t>
      </w:r>
      <w:r>
        <w:rPr>
          <w:rFonts w:hint="eastAsia" w:ascii="仿宋" w:hAnsi="仿宋" w:eastAsia="仿宋"/>
          <w:bCs/>
          <w:sz w:val="24"/>
          <w:szCs w:val="24"/>
          <w:highlight w:val="yellow"/>
        </w:rPr>
        <w:t>自</w:t>
      </w:r>
      <w:r>
        <w:rPr>
          <w:rFonts w:hint="eastAsia" w:ascii="仿宋" w:hAnsi="仿宋" w:eastAsia="仿宋"/>
          <w:bCs/>
          <w:sz w:val="24"/>
          <w:szCs w:val="24"/>
          <w:highlight w:val="yellow"/>
          <w:lang w:val="en-US" w:eastAsia="zh-CN"/>
        </w:rPr>
        <w:t>2022年1月1</w:t>
      </w:r>
      <w:r>
        <w:rPr>
          <w:rFonts w:hint="eastAsia" w:ascii="仿宋" w:hAnsi="仿宋" w:eastAsia="仿宋"/>
          <w:bCs/>
          <w:sz w:val="24"/>
          <w:szCs w:val="24"/>
          <w:highlight w:val="yellow"/>
        </w:rPr>
        <w:t>日起至202</w:t>
      </w:r>
      <w:r>
        <w:rPr>
          <w:rFonts w:hint="eastAsia" w:ascii="仿宋" w:hAnsi="仿宋" w:eastAsia="仿宋"/>
          <w:bCs/>
          <w:sz w:val="24"/>
          <w:szCs w:val="24"/>
          <w:highlight w:val="yellow"/>
          <w:lang w:val="en-US" w:eastAsia="zh-CN"/>
        </w:rPr>
        <w:t>2</w:t>
      </w:r>
      <w:r>
        <w:rPr>
          <w:rFonts w:hint="eastAsia" w:ascii="仿宋" w:hAnsi="仿宋" w:eastAsia="仿宋"/>
          <w:bCs/>
          <w:sz w:val="24"/>
          <w:szCs w:val="24"/>
          <w:highlight w:val="yellow"/>
        </w:rPr>
        <w:t>年12月31日止。</w:t>
      </w:r>
      <w:r>
        <w:rPr>
          <w:rFonts w:hint="eastAsia" w:ascii="仿宋" w:hAnsi="仿宋" w:eastAsia="仿宋"/>
          <w:bCs/>
          <w:sz w:val="24"/>
          <w:szCs w:val="24"/>
          <w:highlight w:val="none"/>
          <w:lang w:eastAsia="zh-CN"/>
        </w:rPr>
        <w:t>如遇政策变化或合同执行达到金额上限，甲方可随时要求解除要求</w:t>
      </w:r>
      <w:r>
        <w:rPr>
          <w:rFonts w:hint="eastAsia" w:ascii="仿宋" w:hAnsi="仿宋" w:eastAsia="仿宋"/>
          <w:bCs/>
          <w:sz w:val="24"/>
          <w:szCs w:val="24"/>
          <w:highlight w:val="none"/>
        </w:rPr>
        <w:t>。</w:t>
      </w:r>
    </w:p>
    <w:p>
      <w:pPr>
        <w:widowControl/>
        <w:spacing w:line="360" w:lineRule="auto"/>
        <w:ind w:firstLine="723" w:firstLineChars="300"/>
        <w:jc w:val="left"/>
        <w:rPr>
          <w:rFonts w:ascii="仿宋" w:hAnsi="仿宋" w:eastAsia="仿宋"/>
          <w:b/>
          <w:bCs/>
          <w:sz w:val="24"/>
          <w:szCs w:val="24"/>
        </w:rPr>
      </w:pPr>
      <w:r>
        <w:rPr>
          <w:rFonts w:hint="eastAsia" w:ascii="仿宋" w:hAnsi="仿宋" w:eastAsia="仿宋"/>
          <w:b/>
          <w:bCs/>
          <w:sz w:val="24"/>
          <w:szCs w:val="24"/>
        </w:rPr>
        <w:t>2、验收要求：</w:t>
      </w:r>
    </w:p>
    <w:p>
      <w:pPr>
        <w:widowControl/>
        <w:spacing w:line="360" w:lineRule="auto"/>
        <w:ind w:left="1354" w:leftChars="416" w:hanging="480" w:hangingChars="200"/>
        <w:jc w:val="left"/>
        <w:rPr>
          <w:rFonts w:ascii="仿宋" w:hAnsi="仿宋" w:eastAsia="仿宋"/>
          <w:bCs/>
          <w:sz w:val="24"/>
          <w:szCs w:val="24"/>
        </w:rPr>
      </w:pPr>
      <w:r>
        <w:rPr>
          <w:rFonts w:hint="eastAsia" w:ascii="仿宋" w:hAnsi="仿宋" w:eastAsia="仿宋"/>
          <w:bCs/>
          <w:sz w:val="24"/>
          <w:szCs w:val="24"/>
        </w:rPr>
        <w:t>1）中标单位应向采购单位提交检测数量汇总及明细表、检测结果。提交方式为纸本和相应的电子文档各一套。</w:t>
      </w:r>
    </w:p>
    <w:p>
      <w:pPr>
        <w:widowControl/>
        <w:spacing w:line="360" w:lineRule="auto"/>
        <w:ind w:left="1354" w:leftChars="416" w:hanging="480" w:hangingChars="200"/>
        <w:jc w:val="left"/>
        <w:rPr>
          <w:rFonts w:ascii="仿宋" w:hAnsi="仿宋" w:eastAsia="仿宋"/>
          <w:bCs/>
          <w:sz w:val="24"/>
          <w:szCs w:val="24"/>
        </w:rPr>
      </w:pPr>
      <w:r>
        <w:rPr>
          <w:rFonts w:hint="eastAsia" w:ascii="仿宋" w:hAnsi="仿宋" w:eastAsia="仿宋"/>
          <w:sz w:val="24"/>
          <w:szCs w:val="24"/>
        </w:rPr>
        <w:t>2）服务经过甲方或甲方委托的监理方验收认可后，签署验收报告</w:t>
      </w:r>
      <w:r>
        <w:rPr>
          <w:rFonts w:hint="eastAsia" w:ascii="仿宋" w:hAnsi="仿宋" w:eastAsia="仿宋"/>
          <w:bCs/>
          <w:sz w:val="24"/>
          <w:szCs w:val="24"/>
        </w:rPr>
        <w:t>。</w:t>
      </w:r>
    </w:p>
    <w:p>
      <w:pPr>
        <w:widowControl/>
        <w:spacing w:line="360" w:lineRule="auto"/>
        <w:ind w:firstLine="960" w:firstLineChars="400"/>
        <w:jc w:val="left"/>
        <w:rPr>
          <w:rFonts w:ascii="仿宋" w:hAnsi="仿宋" w:eastAsia="仿宋"/>
          <w:bCs/>
          <w:sz w:val="24"/>
          <w:szCs w:val="24"/>
        </w:rPr>
      </w:pPr>
      <w:r>
        <w:rPr>
          <w:rFonts w:hint="eastAsia" w:ascii="仿宋" w:hAnsi="仿宋" w:eastAsia="仿宋"/>
          <w:bCs/>
          <w:sz w:val="24"/>
          <w:szCs w:val="24"/>
        </w:rPr>
        <w:t>3）当满足以下条件时，采购单位才向中标单位签发验收报告：</w:t>
      </w:r>
    </w:p>
    <w:p>
      <w:pPr>
        <w:widowControl/>
        <w:spacing w:line="360" w:lineRule="auto"/>
        <w:ind w:left="1790" w:leftChars="624" w:hanging="480" w:hangingChars="200"/>
        <w:jc w:val="left"/>
        <w:rPr>
          <w:rFonts w:ascii="仿宋" w:hAnsi="仿宋" w:eastAsia="仿宋"/>
          <w:bCs/>
          <w:sz w:val="24"/>
          <w:szCs w:val="24"/>
        </w:rPr>
      </w:pPr>
      <w:r>
        <w:rPr>
          <w:rFonts w:hint="eastAsia" w:ascii="仿宋" w:hAnsi="仿宋" w:eastAsia="仿宋"/>
          <w:bCs/>
          <w:sz w:val="24"/>
          <w:szCs w:val="24"/>
        </w:rPr>
        <w:t>a、中标单位已按照合同规定提供了全部技术资料。</w:t>
      </w:r>
    </w:p>
    <w:p>
      <w:pPr>
        <w:widowControl/>
        <w:spacing w:line="360" w:lineRule="auto"/>
        <w:ind w:firstLine="1440" w:firstLineChars="600"/>
        <w:jc w:val="left"/>
        <w:rPr>
          <w:rFonts w:ascii="仿宋" w:hAnsi="仿宋" w:eastAsia="仿宋"/>
          <w:bCs/>
          <w:sz w:val="24"/>
          <w:szCs w:val="24"/>
        </w:rPr>
      </w:pPr>
      <w:r>
        <w:rPr>
          <w:rFonts w:hint="eastAsia" w:ascii="仿宋" w:hAnsi="仿宋" w:eastAsia="仿宋"/>
          <w:bCs/>
          <w:sz w:val="24"/>
          <w:szCs w:val="24"/>
        </w:rPr>
        <w:t>b、服务项目符合招标文件的服务要求。</w:t>
      </w:r>
    </w:p>
    <w:p>
      <w:pPr>
        <w:widowControl/>
        <w:spacing w:line="360" w:lineRule="auto"/>
        <w:ind w:firstLine="480" w:firstLineChars="200"/>
        <w:jc w:val="left"/>
        <w:rPr>
          <w:rFonts w:ascii="仿宋" w:hAnsi="仿宋" w:eastAsia="仿宋"/>
          <w:bCs/>
          <w:sz w:val="24"/>
          <w:szCs w:val="24"/>
        </w:rPr>
      </w:pPr>
    </w:p>
    <w:p>
      <w:pPr>
        <w:widowControl/>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3、</w:t>
      </w:r>
      <w:r>
        <w:rPr>
          <w:rFonts w:hint="eastAsia" w:ascii="仿宋" w:hAnsi="仿宋" w:eastAsia="仿宋"/>
          <w:b/>
          <w:bCs/>
          <w:sz w:val="24"/>
          <w:szCs w:val="24"/>
        </w:rPr>
        <w:t>付款方法：</w:t>
      </w:r>
      <w:r>
        <w:rPr>
          <w:rFonts w:hint="eastAsia" w:ascii="仿宋" w:hAnsi="仿宋" w:eastAsia="仿宋"/>
          <w:bCs/>
          <w:sz w:val="24"/>
          <w:szCs w:val="24"/>
        </w:rPr>
        <w:t>本项目费用根据实际检测份数进行结算，实际检测份数以检测结果（清单）数据为准。按</w:t>
      </w:r>
      <w:r>
        <w:rPr>
          <w:rFonts w:hint="eastAsia" w:ascii="仿宋" w:hAnsi="仿宋" w:eastAsia="仿宋"/>
          <w:bCs/>
          <w:sz w:val="24"/>
          <w:szCs w:val="24"/>
          <w:lang w:val="en-US" w:eastAsia="zh-CN"/>
        </w:rPr>
        <w:t>季度</w:t>
      </w:r>
      <w:r>
        <w:rPr>
          <w:rFonts w:hint="eastAsia" w:ascii="仿宋" w:hAnsi="仿宋" w:eastAsia="仿宋"/>
          <w:bCs/>
          <w:sz w:val="24"/>
          <w:szCs w:val="24"/>
        </w:rPr>
        <w:t>验收，合格后支付。</w:t>
      </w:r>
    </w:p>
    <w:p>
      <w:pPr>
        <w:widowControl/>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4、</w:t>
      </w:r>
      <w:r>
        <w:rPr>
          <w:rFonts w:hint="eastAsia" w:ascii="仿宋" w:hAnsi="仿宋" w:eastAsia="仿宋"/>
          <w:b/>
          <w:bCs/>
          <w:sz w:val="24"/>
          <w:szCs w:val="24"/>
        </w:rPr>
        <w:t>报价要求：</w:t>
      </w:r>
    </w:p>
    <w:p>
      <w:pPr>
        <w:widowControl/>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1）本项目采用包干制,包括服务成本、法定税费和服务机构的利润等一切应尽费用。</w:t>
      </w:r>
    </w:p>
    <w:p>
      <w:pPr>
        <w:widowControl/>
        <w:spacing w:line="360" w:lineRule="auto"/>
        <w:ind w:firstLine="480" w:firstLineChars="200"/>
        <w:jc w:val="left"/>
        <w:rPr>
          <w:rFonts w:hint="eastAsia" w:ascii="仿宋" w:hAnsi="仿宋" w:eastAsia="仿宋"/>
          <w:b/>
          <w:bCs/>
          <w:color w:val="FF0000"/>
          <w:sz w:val="24"/>
          <w:szCs w:val="24"/>
        </w:rPr>
      </w:pPr>
      <w:r>
        <w:rPr>
          <w:rFonts w:hint="eastAsia" w:ascii="仿宋" w:hAnsi="仿宋" w:eastAsia="仿宋"/>
          <w:bCs/>
          <w:sz w:val="24"/>
          <w:szCs w:val="24"/>
        </w:rPr>
        <w:t>2）</w:t>
      </w:r>
      <w:r>
        <w:rPr>
          <w:rFonts w:hint="eastAsia" w:ascii="仿宋" w:hAnsi="仿宋" w:eastAsia="仿宋"/>
          <w:b/>
          <w:bCs/>
          <w:color w:val="FF0000"/>
          <w:sz w:val="24"/>
          <w:szCs w:val="24"/>
        </w:rPr>
        <w:t>本项目投标报价为报单价，</w:t>
      </w:r>
      <w:r>
        <w:rPr>
          <w:rFonts w:hint="eastAsia" w:ascii="仿宋" w:hAnsi="仿宋" w:eastAsia="仿宋"/>
          <w:b/>
          <w:bCs/>
          <w:color w:val="FF0000"/>
          <w:sz w:val="24"/>
          <w:szCs w:val="24"/>
          <w:lang w:val="en-US" w:eastAsia="zh-CN"/>
        </w:rPr>
        <w:t>单管</w:t>
      </w:r>
      <w:r>
        <w:rPr>
          <w:rFonts w:hint="eastAsia" w:ascii="仿宋" w:hAnsi="仿宋" w:eastAsia="仿宋"/>
          <w:b/>
          <w:bCs/>
          <w:color w:val="FF0000"/>
          <w:sz w:val="24"/>
          <w:szCs w:val="24"/>
        </w:rPr>
        <w:t>最高投标上限单价为</w:t>
      </w:r>
      <w:r>
        <w:rPr>
          <w:rFonts w:hint="eastAsia" w:ascii="仿宋" w:hAnsi="仿宋" w:eastAsia="仿宋"/>
          <w:b/>
          <w:bCs/>
          <w:color w:val="FF0000"/>
          <w:sz w:val="24"/>
          <w:szCs w:val="24"/>
          <w:lang w:val="en-US" w:eastAsia="zh-CN"/>
        </w:rPr>
        <w:t>40</w:t>
      </w:r>
      <w:r>
        <w:rPr>
          <w:rFonts w:hint="eastAsia" w:ascii="仿宋" w:hAnsi="仿宋" w:eastAsia="仿宋"/>
          <w:b/>
          <w:bCs/>
          <w:color w:val="FF0000"/>
          <w:sz w:val="24"/>
          <w:szCs w:val="24"/>
        </w:rPr>
        <w:t>元次</w:t>
      </w:r>
      <w:r>
        <w:rPr>
          <w:rFonts w:hint="eastAsia" w:ascii="仿宋" w:hAnsi="仿宋" w:eastAsia="仿宋"/>
          <w:b/>
          <w:bCs/>
          <w:color w:val="FF0000"/>
          <w:sz w:val="24"/>
          <w:szCs w:val="24"/>
          <w:lang w:eastAsia="zh-CN"/>
        </w:rPr>
        <w:t>，</w:t>
      </w:r>
      <w:r>
        <w:rPr>
          <w:rFonts w:hint="eastAsia" w:ascii="仿宋" w:hAnsi="仿宋" w:eastAsia="仿宋"/>
          <w:b/>
          <w:bCs/>
          <w:color w:val="FF0000"/>
          <w:sz w:val="24"/>
          <w:szCs w:val="24"/>
          <w:lang w:val="en-US" w:eastAsia="zh-CN"/>
        </w:rPr>
        <w:t>混采</w:t>
      </w:r>
      <w:r>
        <w:rPr>
          <w:rFonts w:hint="eastAsia" w:ascii="仿宋" w:hAnsi="仿宋" w:eastAsia="仿宋"/>
          <w:b/>
          <w:bCs/>
          <w:color w:val="FF0000"/>
          <w:sz w:val="24"/>
          <w:szCs w:val="24"/>
        </w:rPr>
        <w:t>最高投标上限单价为</w:t>
      </w:r>
      <w:r>
        <w:rPr>
          <w:rFonts w:hint="eastAsia" w:ascii="仿宋" w:hAnsi="仿宋" w:eastAsia="仿宋"/>
          <w:b/>
          <w:bCs/>
          <w:color w:val="FF0000"/>
          <w:sz w:val="24"/>
          <w:szCs w:val="24"/>
          <w:lang w:val="en-US" w:eastAsia="zh-CN"/>
        </w:rPr>
        <w:t>10</w:t>
      </w:r>
      <w:r>
        <w:rPr>
          <w:rFonts w:hint="eastAsia" w:ascii="仿宋" w:hAnsi="仿宋" w:eastAsia="仿宋"/>
          <w:b/>
          <w:bCs/>
          <w:color w:val="FF0000"/>
          <w:sz w:val="24"/>
          <w:szCs w:val="24"/>
        </w:rPr>
        <w:t>元次（含核酸提取、检测试剂、采样费、税费、利润等一切应尽费用）。</w:t>
      </w:r>
      <w:r>
        <w:rPr>
          <w:rFonts w:hint="eastAsia" w:ascii="仿宋" w:hAnsi="仿宋" w:eastAsia="仿宋"/>
          <w:b/>
          <w:bCs/>
          <w:color w:val="FF0000"/>
          <w:sz w:val="24"/>
          <w:szCs w:val="24"/>
          <w:lang w:val="en-US" w:eastAsia="zh-CN"/>
        </w:rPr>
        <w:t>中标后，如遇政策对有关核酸检测价格进行调整</w:t>
      </w:r>
      <w:r>
        <w:rPr>
          <w:rFonts w:hint="eastAsia" w:ascii="仿宋" w:hAnsi="仿宋" w:eastAsia="仿宋"/>
          <w:b/>
          <w:bCs/>
          <w:color w:val="FF0000"/>
          <w:sz w:val="24"/>
          <w:szCs w:val="24"/>
        </w:rPr>
        <w:t>，</w:t>
      </w:r>
      <w:r>
        <w:rPr>
          <w:rFonts w:hint="eastAsia" w:ascii="仿宋" w:hAnsi="仿宋" w:eastAsia="仿宋"/>
          <w:b/>
          <w:bCs/>
          <w:color w:val="FF0000"/>
          <w:sz w:val="24"/>
          <w:szCs w:val="24"/>
          <w:lang w:val="en-US" w:eastAsia="zh-CN"/>
        </w:rPr>
        <w:t>则</w:t>
      </w:r>
      <w:r>
        <w:rPr>
          <w:rFonts w:hint="eastAsia" w:ascii="仿宋" w:hAnsi="仿宋" w:eastAsia="仿宋"/>
          <w:b/>
          <w:bCs/>
          <w:color w:val="FF0000"/>
          <w:sz w:val="24"/>
          <w:szCs w:val="24"/>
        </w:rPr>
        <w:t>按照</w:t>
      </w:r>
      <w:r>
        <w:rPr>
          <w:rFonts w:hint="eastAsia" w:ascii="仿宋" w:hAnsi="仿宋" w:eastAsia="仿宋"/>
          <w:b/>
          <w:bCs/>
          <w:color w:val="FF0000"/>
          <w:sz w:val="24"/>
          <w:szCs w:val="24"/>
          <w:lang w:val="en-US" w:eastAsia="zh-CN"/>
        </w:rPr>
        <w:t>政策</w:t>
      </w:r>
      <w:r>
        <w:rPr>
          <w:rFonts w:hint="eastAsia" w:ascii="仿宋" w:hAnsi="仿宋" w:eastAsia="仿宋"/>
          <w:b/>
          <w:bCs/>
          <w:color w:val="FF0000"/>
          <w:sz w:val="24"/>
          <w:szCs w:val="24"/>
        </w:rPr>
        <w:t>文件执行。本项目采购支付上限为</w:t>
      </w:r>
      <w:r>
        <w:rPr>
          <w:rFonts w:hint="eastAsia" w:ascii="仿宋" w:hAnsi="仿宋" w:eastAsia="仿宋"/>
          <w:b/>
          <w:bCs/>
          <w:color w:val="FF0000"/>
          <w:sz w:val="24"/>
          <w:szCs w:val="24"/>
          <w:lang w:val="en-US" w:eastAsia="zh-CN"/>
        </w:rPr>
        <w:t>331.992</w:t>
      </w:r>
      <w:r>
        <w:rPr>
          <w:rFonts w:hint="eastAsia" w:ascii="仿宋" w:hAnsi="仿宋" w:eastAsia="仿宋"/>
          <w:b/>
          <w:bCs/>
          <w:color w:val="FF0000"/>
          <w:sz w:val="24"/>
          <w:szCs w:val="24"/>
        </w:rPr>
        <w:t>万元。</w:t>
      </w:r>
    </w:p>
    <w:p>
      <w:pPr>
        <w:widowControl/>
        <w:spacing w:line="360" w:lineRule="auto"/>
        <w:ind w:firstLine="482" w:firstLineChars="200"/>
        <w:jc w:val="left"/>
      </w:pPr>
      <w:r>
        <w:rPr>
          <w:rFonts w:hint="eastAsia" w:ascii="仿宋" w:hAnsi="仿宋" w:eastAsia="仿宋"/>
          <w:b/>
          <w:bCs w:val="0"/>
          <w:color w:val="FF0000"/>
          <w:sz w:val="24"/>
          <w:szCs w:val="24"/>
        </w:rPr>
        <w:t>3</w:t>
      </w:r>
      <w:r>
        <w:rPr>
          <w:rFonts w:hint="eastAsia" w:ascii="仿宋" w:hAnsi="仿宋" w:eastAsia="仿宋"/>
          <w:b/>
          <w:bCs w:val="0"/>
          <w:color w:val="FF0000"/>
          <w:sz w:val="24"/>
          <w:szCs w:val="24"/>
          <w:lang w:eastAsia="zh-CN"/>
        </w:rPr>
        <w:t>）项目过程中，甲方有权根据政策变化及工作分工调整随时终止项目及合同</w:t>
      </w:r>
      <w:r>
        <w:rPr>
          <w:rFonts w:hint="eastAsia" w:ascii="仿宋" w:hAnsi="仿宋" w:eastAsia="仿宋"/>
          <w:b/>
          <w:bCs w:val="0"/>
          <w:color w:val="FF0000"/>
          <w:sz w:val="24"/>
          <w:szCs w:val="24"/>
        </w:rPr>
        <w:t>。</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rPr>
          <w:snapToGrid w:val="0"/>
          <w:kern w:val="0"/>
        </w:rPr>
      </w:pPr>
      <w:r>
        <w:rPr>
          <w:snapToGrid w:val="0"/>
          <w:kern w:val="0"/>
        </w:rPr>
        <w:br w:type="page"/>
      </w:r>
    </w:p>
    <w:p>
      <w:pPr>
        <w:widowControl/>
        <w:jc w:val="left"/>
      </w:pP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八、服务方案（格式6）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九、差异表（格式7）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（格式8）</w:t>
            </w:r>
          </w:p>
        </w:tc>
      </w:tr>
    </w:tbl>
    <w:p/>
    <w:p>
      <w:pPr>
        <w:jc w:val="left"/>
      </w:pPr>
      <w:r>
        <w:br w:type="page"/>
      </w:r>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2．我方提交的投标文件为：投标书正本一份，副本四份，电子档文件（正本彩色扫描件PDF格式）一份。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6．我方愿按《民法典》履行自己的全部责任。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widowControl/>
        <w:jc w:val="left"/>
        <w:rPr>
          <w:rFonts w:ascii="仿宋" w:hAnsi="仿宋" w:eastAsia="仿宋"/>
          <w:b/>
          <w:sz w:val="32"/>
          <w:szCs w:val="36"/>
        </w:rPr>
      </w:pPr>
      <w:r>
        <w:rPr>
          <w:rFonts w:ascii="仿宋" w:hAnsi="仿宋" w:eastAsia="仿宋"/>
          <w:b/>
          <w:sz w:val="32"/>
          <w:szCs w:val="36"/>
        </w:rPr>
        <w:br w:type="page"/>
      </w: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955" w:firstLineChars="45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955" w:firstLineChars="45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955" w:firstLineChars="45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394" w:leftChars="474" w:hanging="399" w:hangingChars="190"/>
        <w:rPr>
          <w:rFonts w:ascii="仿宋" w:hAnsi="仿宋" w:eastAsia="仿宋"/>
          <w:bCs/>
        </w:rPr>
      </w:pPr>
      <w:r>
        <w:rPr>
          <w:rFonts w:hint="eastAsia" w:ascii="仿宋" w:hAnsi="仿宋" w:eastAsia="仿宋"/>
          <w:bCs/>
        </w:rPr>
        <w:t>4、深圳公共资源交易中心网站注册的供应商【以采购代理机构在深圳公共资源交易中心网站查询结果为准，投标人无需提供证明文件】</w:t>
      </w:r>
    </w:p>
    <w:p>
      <w:pPr>
        <w:spacing w:line="360" w:lineRule="auto"/>
        <w:ind w:left="1394" w:leftChars="474" w:hanging="399" w:hangingChars="190"/>
        <w:rPr>
          <w:rFonts w:hint="eastAsia" w:ascii="仿宋" w:hAnsi="仿宋" w:eastAsia="仿宋"/>
          <w:bCs/>
        </w:rPr>
      </w:pPr>
      <w:r>
        <w:rPr>
          <w:rFonts w:hint="eastAsia" w:ascii="仿宋" w:hAnsi="仿宋" w:eastAsia="仿宋"/>
          <w:bCs/>
        </w:rPr>
        <w:t>5、医疗机构执业许可证书【扫描件或复印件】</w:t>
      </w:r>
    </w:p>
    <w:p>
      <w:pPr>
        <w:spacing w:line="360" w:lineRule="auto"/>
        <w:ind w:left="1394" w:leftChars="474" w:hanging="399" w:hangingChars="190"/>
        <w:rPr>
          <w:rFonts w:ascii="仿宋" w:hAnsi="仿宋" w:eastAsia="仿宋"/>
          <w:bCs/>
        </w:rPr>
      </w:pPr>
      <w:r>
        <w:rPr>
          <w:rFonts w:hint="eastAsia" w:ascii="仿宋" w:hAnsi="仿宋" w:eastAsia="仿宋"/>
          <w:bCs/>
          <w:lang w:val="en-US" w:eastAsia="zh-CN"/>
        </w:rPr>
        <w:t>6、</w:t>
      </w:r>
      <w:r>
        <w:rPr>
          <w:rFonts w:hint="eastAsia" w:ascii="仿宋" w:hAnsi="仿宋" w:eastAsia="仿宋"/>
          <w:bCs/>
        </w:rPr>
        <w:t>政府采购投标及履约承诺函【详见格式《政府采购投标及履约承诺函》】</w:t>
      </w:r>
    </w:p>
    <w:p>
      <w:pPr>
        <w:spacing w:line="360" w:lineRule="auto"/>
        <w:ind w:left="1394" w:leftChars="474" w:hanging="399" w:hangingChars="190"/>
        <w:rPr>
          <w:rFonts w:ascii="仿宋" w:hAnsi="仿宋" w:eastAsia="仿宋"/>
          <w:bCs/>
        </w:rPr>
      </w:pPr>
      <w:r>
        <w:rPr>
          <w:rFonts w:hint="eastAsia" w:ascii="仿宋" w:hAnsi="仿宋" w:eastAsia="仿宋"/>
          <w:bCs/>
          <w:lang w:val="en-US" w:eastAsia="zh-CN"/>
        </w:rPr>
        <w:t>7</w:t>
      </w:r>
      <w:r>
        <w:rPr>
          <w:rFonts w:hint="eastAsia" w:ascii="仿宋" w:hAnsi="仿宋" w:eastAsia="仿宋"/>
          <w:bCs/>
        </w:rPr>
        <w:t>、非联合体投标，不违规分包或转包的承诺函【原件，格式自拟】</w:t>
      </w:r>
    </w:p>
    <w:p>
      <w:pPr>
        <w:spacing w:line="360" w:lineRule="auto"/>
        <w:ind w:left="1394" w:leftChars="474" w:hanging="399" w:hangingChars="190"/>
        <w:rPr>
          <w:rFonts w:hint="default" w:ascii="仿宋" w:hAnsi="仿宋" w:eastAsia="仿宋"/>
          <w:bCs/>
          <w:lang w:val="en-US" w:eastAsia="zh-CN"/>
        </w:rPr>
      </w:pPr>
      <w:r>
        <w:rPr>
          <w:rFonts w:hint="eastAsia" w:ascii="仿宋" w:hAnsi="仿宋" w:eastAsia="仿宋"/>
          <w:bCs/>
          <w:lang w:val="en-US" w:eastAsia="zh-CN"/>
        </w:rPr>
        <w:t>8</w:t>
      </w:r>
      <w:r>
        <w:rPr>
          <w:rFonts w:hint="eastAsia" w:ascii="仿宋" w:hAnsi="仿宋" w:eastAsia="仿宋"/>
          <w:bCs/>
        </w:rPr>
        <w:t>、</w:t>
      </w:r>
      <w:r>
        <w:rPr>
          <w:rFonts w:hint="eastAsia" w:ascii="仿宋" w:hAnsi="仿宋" w:eastAsia="仿宋"/>
          <w:bCs/>
          <w:lang w:val="en-US" w:eastAsia="zh-CN"/>
        </w:rPr>
        <w:t>信用查询截图</w:t>
      </w:r>
    </w:p>
    <w:p>
      <w:pPr>
        <w:spacing w:line="360" w:lineRule="auto"/>
        <w:ind w:left="1394" w:leftChars="474" w:hanging="399" w:hangingChars="190"/>
        <w:rPr>
          <w:rFonts w:ascii="仿宋" w:hAnsi="仿宋" w:eastAsia="仿宋"/>
          <w:bCs/>
        </w:rPr>
      </w:pPr>
      <w:r>
        <w:rPr>
          <w:rFonts w:hint="eastAsia" w:ascii="仿宋" w:hAnsi="仿宋" w:eastAsia="仿宋"/>
          <w:bCs/>
          <w:lang w:val="en-US" w:eastAsia="zh-CN"/>
        </w:rPr>
        <w:t>9、</w:t>
      </w:r>
      <w:r>
        <w:rPr>
          <w:rFonts w:hint="eastAsia" w:ascii="仿宋" w:hAnsi="仿宋" w:eastAsia="仿宋"/>
          <w:bCs/>
        </w:rPr>
        <w:t>投标人认为有必要提供的其他文件</w:t>
      </w: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left="1415" w:leftChars="474" w:hanging="420" w:hangingChars="190"/>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4"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4"/>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）采购活动，服务全部由符合政策要求的中小企业承接。相关企业（含联合体中的中小企业、签订分包意向协议的中小企业）的具体情况如下：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w:t>
      </w:r>
      <w:r>
        <w:rPr>
          <w:rFonts w:ascii="仿宋" w:hAnsi="仿宋" w:eastAsia="仿宋" w:cs="Courier New"/>
          <w:snapToGrid w:val="0"/>
          <w:szCs w:val="18"/>
        </w:rPr>
        <w:t>(</w:t>
      </w:r>
      <w:r>
        <w:rPr>
          <w:rFonts w:hint="eastAsia" w:ascii="仿宋" w:hAnsi="仿宋" w:eastAsia="仿宋" w:cs="Courier New"/>
          <w:snapToGrid w:val="0"/>
          <w:szCs w:val="18"/>
        </w:rPr>
        <w:t>工信部联企业〔</w:t>
      </w:r>
      <w:r>
        <w:rPr>
          <w:rFonts w:ascii="仿宋" w:hAnsi="仿宋" w:eastAsia="仿宋" w:cs="Courier New"/>
          <w:snapToGrid w:val="0"/>
          <w:szCs w:val="18"/>
        </w:rPr>
        <w:t>2011</w:t>
      </w:r>
      <w:r>
        <w:rPr>
          <w:rFonts w:hint="eastAsia" w:ascii="仿宋" w:hAnsi="仿宋" w:eastAsia="仿宋" w:cs="Courier New"/>
          <w:snapToGrid w:val="0"/>
          <w:szCs w:val="18"/>
        </w:rPr>
        <w:t>〕</w:t>
      </w:r>
      <w:r>
        <w:rPr>
          <w:rFonts w:ascii="仿宋" w:hAnsi="仿宋" w:eastAsia="仿宋" w:cs="Courier New"/>
          <w:snapToGrid w:val="0"/>
          <w:szCs w:val="18"/>
        </w:rPr>
        <w:t>300</w:t>
      </w:r>
      <w:r>
        <w:rPr>
          <w:rFonts w:hint="eastAsia" w:ascii="仿宋" w:hAnsi="仿宋" w:eastAsia="仿宋" w:cs="Courier New"/>
          <w:snapToGrid w:val="0"/>
          <w:szCs w:val="18"/>
        </w:rPr>
        <w:t>号</w:t>
      </w:r>
      <w:r>
        <w:rPr>
          <w:rFonts w:ascii="仿宋" w:hAnsi="仿宋" w:eastAsia="仿宋" w:cs="Courier New"/>
          <w:snapToGrid w:val="0"/>
          <w:szCs w:val="18"/>
        </w:rPr>
        <w:t>)</w:t>
      </w:r>
      <w:r>
        <w:rPr>
          <w:rFonts w:hint="eastAsia" w:ascii="仿宋" w:hAnsi="仿宋" w:eastAsia="仿宋" w:cs="Courier New"/>
          <w:snapToGrid w:val="0"/>
          <w:szCs w:val="18"/>
        </w:rPr>
        <w:t>和《财政部 工业和信息化部关于印发《政府采购促进中小企业发展管理办法》的通知》</w:t>
      </w:r>
      <w:r>
        <w:rPr>
          <w:rFonts w:ascii="仿宋" w:hAnsi="仿宋" w:eastAsia="仿宋" w:cs="Courier New"/>
          <w:snapToGrid w:val="0"/>
          <w:szCs w:val="18"/>
        </w:rPr>
        <w:t>(</w:t>
      </w:r>
      <w:r>
        <w:rPr>
          <w:rFonts w:hint="eastAsia" w:ascii="仿宋" w:hAnsi="仿宋" w:eastAsia="仿宋" w:cs="Courier New"/>
          <w:snapToGrid w:val="0"/>
          <w:szCs w:val="18"/>
        </w:rPr>
        <w:t>财库〔2020〕46号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w:t>
      </w:r>
      <w:r>
        <w:rPr>
          <w:rFonts w:hint="eastAsia" w:ascii="仿宋" w:hAnsi="仿宋" w:eastAsia="仿宋" w:cs="Courier New"/>
          <w:b/>
          <w:snapToGrid w:val="0"/>
          <w:szCs w:val="18"/>
        </w:rPr>
        <w:t>小型和微型企业</w:t>
      </w:r>
      <w:r>
        <w:rPr>
          <w:rFonts w:hint="eastAsia" w:ascii="仿宋" w:hAnsi="仿宋" w:eastAsia="仿宋" w:cs="Courier New"/>
          <w:snapToGrid w:val="0"/>
          <w:szCs w:val="18"/>
        </w:rPr>
        <w:t>，则不需要在投标文件中提供本《中小企业声明函》；若符合前述相关规定所确定的小型和微型企业，在投标文件中没有提供本《中小企业声明函》，视为在本项目中放弃政府采购政策扶持，不进行价格扣除。</w:t>
      </w:r>
    </w:p>
    <w:p>
      <w:pPr>
        <w:ind w:firstLine="630" w:firstLineChars="3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widowControl/>
        <w:jc w:val="left"/>
        <w:rPr>
          <w:rFonts w:ascii="仿宋" w:hAnsi="仿宋" w:eastAsia="仿宋"/>
          <w:b/>
          <w:sz w:val="32"/>
          <w:szCs w:val="32"/>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sz w:val="24"/>
                <w:szCs w:val="28"/>
              </w:rPr>
            </w:pPr>
            <w:r>
              <w:rPr>
                <w:rFonts w:hint="eastAsia" w:ascii="仿宋" w:hAnsi="仿宋" w:eastAsia="仿宋"/>
                <w:b/>
                <w:sz w:val="24"/>
                <w:szCs w:val="28"/>
              </w:rPr>
              <w:t>项目名称</w:t>
            </w:r>
          </w:p>
        </w:tc>
        <w:tc>
          <w:tcPr>
            <w:tcW w:w="3119" w:type="dxa"/>
            <w:shd w:val="clear" w:color="auto" w:fill="C6D9F0" w:themeFill="text2" w:themeFillTint="33"/>
            <w:vAlign w:val="center"/>
          </w:tcPr>
          <w:p>
            <w:pPr>
              <w:spacing w:line="360" w:lineRule="auto"/>
              <w:jc w:val="center"/>
              <w:rPr>
                <w:rFonts w:ascii="仿宋" w:hAnsi="仿宋" w:eastAsia="仿宋"/>
                <w:b/>
                <w:sz w:val="24"/>
                <w:szCs w:val="28"/>
              </w:rPr>
            </w:pPr>
            <w:r>
              <w:rPr>
                <w:rFonts w:hint="eastAsia" w:ascii="仿宋" w:hAnsi="仿宋" w:eastAsia="仿宋"/>
                <w:b/>
                <w:sz w:val="24"/>
                <w:szCs w:val="28"/>
              </w:rPr>
              <w:t>投标</w:t>
            </w:r>
            <w:r>
              <w:rPr>
                <w:rFonts w:hint="eastAsia" w:ascii="仿宋" w:hAnsi="仿宋" w:eastAsia="仿宋"/>
                <w:b/>
                <w:sz w:val="24"/>
                <w:szCs w:val="28"/>
                <w:lang w:val="en-US" w:eastAsia="zh-CN"/>
              </w:rPr>
              <w:t>单价（单管）</w:t>
            </w:r>
          </w:p>
        </w:tc>
        <w:tc>
          <w:tcPr>
            <w:tcW w:w="2693" w:type="dxa"/>
            <w:shd w:val="clear" w:color="auto" w:fill="C6D9F0" w:themeFill="text2" w:themeFillTint="33"/>
            <w:vAlign w:val="center"/>
          </w:tcPr>
          <w:p>
            <w:pPr>
              <w:spacing w:line="360" w:lineRule="auto"/>
              <w:jc w:val="center"/>
              <w:rPr>
                <w:rFonts w:ascii="仿宋" w:hAnsi="仿宋" w:eastAsia="仿宋"/>
                <w:b/>
                <w:sz w:val="24"/>
                <w:szCs w:val="28"/>
              </w:rPr>
            </w:pPr>
            <w:r>
              <w:rPr>
                <w:rFonts w:hint="eastAsia" w:ascii="仿宋" w:hAnsi="仿宋" w:eastAsia="仿宋"/>
                <w:b/>
                <w:sz w:val="24"/>
                <w:szCs w:val="28"/>
              </w:rPr>
              <w:t>投标</w:t>
            </w:r>
            <w:r>
              <w:rPr>
                <w:rFonts w:hint="eastAsia" w:ascii="仿宋" w:hAnsi="仿宋" w:eastAsia="仿宋"/>
                <w:b/>
                <w:sz w:val="24"/>
                <w:szCs w:val="28"/>
                <w:lang w:val="en-US" w:eastAsia="zh-CN"/>
              </w:rPr>
              <w:t>单价（混采）</w:t>
            </w:r>
          </w:p>
        </w:tc>
        <w:tc>
          <w:tcPr>
            <w:tcW w:w="1182" w:type="dxa"/>
            <w:shd w:val="clear" w:color="auto" w:fill="C6D9F0" w:themeFill="text2" w:themeFillTint="33"/>
            <w:vAlign w:val="center"/>
          </w:tcPr>
          <w:p>
            <w:pPr>
              <w:spacing w:line="360" w:lineRule="auto"/>
              <w:jc w:val="center"/>
              <w:rPr>
                <w:rFonts w:ascii="仿宋" w:hAnsi="仿宋" w:eastAsia="仿宋"/>
                <w:b/>
                <w:sz w:val="24"/>
                <w:szCs w:val="28"/>
              </w:rPr>
            </w:pPr>
            <w:r>
              <w:rPr>
                <w:rFonts w:hint="eastAsia" w:ascii="仿宋" w:hAnsi="仿宋" w:eastAsia="仿宋"/>
                <w:b/>
                <w:sz w:val="24"/>
                <w:szCs w:val="28"/>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sz w:val="24"/>
                <w:szCs w:val="28"/>
              </w:rPr>
            </w:pPr>
          </w:p>
        </w:tc>
        <w:tc>
          <w:tcPr>
            <w:tcW w:w="3119" w:type="dxa"/>
            <w:vAlign w:val="center"/>
          </w:tcPr>
          <w:p>
            <w:pPr>
              <w:spacing w:line="360" w:lineRule="auto"/>
              <w:jc w:val="center"/>
              <w:rPr>
                <w:rFonts w:hint="eastAsia" w:ascii="仿宋" w:hAnsi="仿宋" w:eastAsia="仿宋" w:cs="仿宋"/>
                <w:sz w:val="24"/>
                <w:szCs w:val="28"/>
              </w:rPr>
            </w:pPr>
            <w:r>
              <w:rPr>
                <w:rFonts w:hint="eastAsia" w:ascii="仿宋" w:hAnsi="仿宋" w:eastAsia="仿宋" w:cs="仿宋"/>
                <w:b w:val="0"/>
                <w:bCs/>
                <w:sz w:val="22"/>
              </w:rPr>
              <w:t>元</w:t>
            </w:r>
            <w:r>
              <w:rPr>
                <w:rFonts w:hint="eastAsia" w:ascii="仿宋" w:hAnsi="仿宋" w:eastAsia="仿宋" w:cs="仿宋"/>
                <w:b w:val="0"/>
                <w:bCs/>
                <w:sz w:val="22"/>
                <w:lang w:val="en-US" w:eastAsia="zh-CN"/>
              </w:rPr>
              <w:t>/人</w:t>
            </w:r>
            <w:r>
              <w:rPr>
                <w:rFonts w:hint="eastAsia" w:ascii="仿宋" w:hAnsi="仿宋" w:eastAsia="仿宋" w:cs="仿宋"/>
                <w:b w:val="0"/>
                <w:bCs/>
                <w:sz w:val="22"/>
              </w:rPr>
              <w:t>次</w:t>
            </w:r>
          </w:p>
        </w:tc>
        <w:tc>
          <w:tcPr>
            <w:tcW w:w="2693" w:type="dxa"/>
            <w:vAlign w:val="center"/>
          </w:tcPr>
          <w:p>
            <w:pPr>
              <w:spacing w:line="360" w:lineRule="auto"/>
              <w:jc w:val="center"/>
              <w:rPr>
                <w:rFonts w:hint="eastAsia" w:ascii="仿宋" w:hAnsi="仿宋" w:eastAsia="仿宋" w:cs="仿宋"/>
                <w:sz w:val="24"/>
                <w:szCs w:val="28"/>
              </w:rPr>
            </w:pPr>
            <w:r>
              <w:rPr>
                <w:rFonts w:hint="eastAsia" w:ascii="仿宋" w:hAnsi="仿宋" w:eastAsia="仿宋" w:cs="仿宋"/>
                <w:b w:val="0"/>
                <w:bCs/>
                <w:sz w:val="22"/>
              </w:rPr>
              <w:t>元</w:t>
            </w:r>
            <w:r>
              <w:rPr>
                <w:rFonts w:hint="eastAsia" w:ascii="仿宋" w:hAnsi="仿宋" w:eastAsia="仿宋" w:cs="仿宋"/>
                <w:b w:val="0"/>
                <w:bCs/>
                <w:sz w:val="22"/>
                <w:lang w:val="en-US" w:eastAsia="zh-CN"/>
              </w:rPr>
              <w:t>/人</w:t>
            </w:r>
            <w:r>
              <w:rPr>
                <w:rFonts w:hint="eastAsia" w:ascii="仿宋" w:hAnsi="仿宋" w:eastAsia="仿宋" w:cs="仿宋"/>
                <w:b w:val="0"/>
                <w:bCs/>
                <w:sz w:val="22"/>
              </w:rPr>
              <w:t>次</w:t>
            </w:r>
          </w:p>
        </w:tc>
        <w:tc>
          <w:tcPr>
            <w:tcW w:w="1182" w:type="dxa"/>
            <w:vAlign w:val="center"/>
          </w:tcPr>
          <w:p>
            <w:pPr>
              <w:spacing w:line="360" w:lineRule="auto"/>
              <w:rPr>
                <w:rFonts w:ascii="仿宋" w:hAnsi="仿宋" w:eastAsia="仿宋"/>
                <w:sz w:val="24"/>
                <w:szCs w:val="28"/>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2、此表应经法定代表人或授权委托人签名，并加盖公章。</w:t>
      </w:r>
    </w:p>
    <w:p>
      <w:pPr>
        <w:spacing w:line="360" w:lineRule="auto"/>
        <w:ind w:firstLine="420" w:firstLineChars="200"/>
        <w:rPr>
          <w:rFonts w:ascii="仿宋" w:hAnsi="仿宋" w:eastAsia="仿宋"/>
        </w:rPr>
      </w:pPr>
      <w:r>
        <w:rPr>
          <w:rFonts w:hint="eastAsia" w:ascii="仿宋" w:hAnsi="仿宋" w:eastAsia="仿宋"/>
        </w:rPr>
        <w:t>3、</w:t>
      </w:r>
      <w:r>
        <w:rPr>
          <w:rFonts w:hint="eastAsia" w:ascii="仿宋" w:hAnsi="仿宋" w:eastAsia="仿宋"/>
          <w:bCs/>
        </w:rPr>
        <w:t>本项目费用应包括但不限于服产品和研发成本、专利申请费用、法定税费和企业的利润</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报价表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7"/>
        <w:tblW w:w="0" w:type="auto"/>
        <w:tblInd w:w="0" w:type="dxa"/>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410"/>
        <w:gridCol w:w="1576"/>
        <w:gridCol w:w="1576"/>
        <w:gridCol w:w="1576"/>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tl2br w:val="nil"/>
              <w:tr2bl w:val="nil"/>
            </w:tcBorders>
            <w:shd w:val="clear" w:color="auto" w:fill="C6D9F0" w:themeFill="text2" w:themeFillTint="33"/>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2410" w:type="dxa"/>
            <w:tcBorders>
              <w:tl2br w:val="nil"/>
              <w:tr2bl w:val="nil"/>
            </w:tcBorders>
            <w:shd w:val="clear" w:color="auto" w:fill="C6D9F0" w:themeFill="text2" w:themeFillTint="33"/>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服务内容</w:t>
            </w:r>
          </w:p>
        </w:tc>
        <w:tc>
          <w:tcPr>
            <w:tcW w:w="1576" w:type="dxa"/>
            <w:tcBorders>
              <w:tl2br w:val="nil"/>
              <w:tr2bl w:val="nil"/>
            </w:tcBorders>
            <w:shd w:val="clear" w:color="auto" w:fill="C6D9F0" w:themeFill="text2" w:themeFillTint="33"/>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1576" w:type="dxa"/>
            <w:tcBorders>
              <w:tl2br w:val="nil"/>
              <w:tr2bl w:val="nil"/>
            </w:tcBorders>
            <w:shd w:val="clear" w:color="auto" w:fill="C6D9F0" w:themeFill="text2" w:themeFillTint="33"/>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单位</w:t>
            </w:r>
          </w:p>
        </w:tc>
        <w:tc>
          <w:tcPr>
            <w:tcW w:w="1576" w:type="dxa"/>
            <w:tcBorders>
              <w:tl2br w:val="nil"/>
              <w:tr2bl w:val="nil"/>
            </w:tcBorders>
            <w:shd w:val="clear" w:color="auto" w:fill="C6D9F0" w:themeFill="text2" w:themeFillTint="33"/>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报价</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tl2br w:val="nil"/>
              <w:tr2bl w:val="nil"/>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410" w:type="dxa"/>
            <w:tcBorders>
              <w:tl2br w:val="nil"/>
              <w:tr2bl w:val="nil"/>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单管</w:t>
            </w:r>
          </w:p>
        </w:tc>
        <w:tc>
          <w:tcPr>
            <w:tcW w:w="1576" w:type="dxa"/>
            <w:tcBorders>
              <w:tl2br w:val="nil"/>
              <w:tr2bl w:val="nil"/>
            </w:tcBorders>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76" w:type="dxa"/>
            <w:tcBorders>
              <w:tl2br w:val="nil"/>
              <w:tr2bl w:val="nil"/>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元</w:t>
            </w:r>
            <w:r>
              <w:rPr>
                <w:rFonts w:hint="eastAsia" w:ascii="仿宋" w:hAnsi="仿宋" w:eastAsia="仿宋" w:cs="仿宋"/>
                <w:sz w:val="24"/>
                <w:szCs w:val="24"/>
                <w:lang w:val="en-US" w:eastAsia="zh-CN"/>
              </w:rPr>
              <w:t>/人</w:t>
            </w:r>
            <w:r>
              <w:rPr>
                <w:rFonts w:hint="eastAsia" w:ascii="仿宋" w:hAnsi="仿宋" w:eastAsia="仿宋" w:cs="仿宋"/>
                <w:sz w:val="24"/>
                <w:szCs w:val="24"/>
              </w:rPr>
              <w:t>次</w:t>
            </w:r>
          </w:p>
        </w:tc>
        <w:tc>
          <w:tcPr>
            <w:tcW w:w="1576" w:type="dxa"/>
            <w:tcBorders>
              <w:tl2br w:val="nil"/>
              <w:tr2bl w:val="nil"/>
            </w:tcBorders>
            <w:vAlign w:val="center"/>
          </w:tcPr>
          <w:p>
            <w:pPr>
              <w:spacing w:line="360" w:lineRule="auto"/>
              <w:jc w:val="center"/>
              <w:rPr>
                <w:rFonts w:hint="eastAsia" w:ascii="仿宋" w:hAnsi="仿宋" w:eastAsia="仿宋" w:cs="仿宋"/>
                <w:sz w:val="24"/>
                <w:szCs w:val="24"/>
              </w:rPr>
            </w:pP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tl2br w:val="nil"/>
              <w:tr2bl w:val="nil"/>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410" w:type="dxa"/>
            <w:tcBorders>
              <w:tl2br w:val="nil"/>
              <w:tr2bl w:val="nil"/>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b w:val="0"/>
                <w:bCs/>
                <w:sz w:val="24"/>
                <w:szCs w:val="24"/>
                <w:lang w:val="en-US" w:eastAsia="zh-CN"/>
              </w:rPr>
              <w:t>混采</w:t>
            </w:r>
          </w:p>
        </w:tc>
        <w:tc>
          <w:tcPr>
            <w:tcW w:w="1576" w:type="dxa"/>
            <w:tcBorders>
              <w:tl2br w:val="nil"/>
              <w:tr2bl w:val="nil"/>
            </w:tcBorders>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76" w:type="dxa"/>
            <w:tcBorders>
              <w:tl2br w:val="nil"/>
              <w:tr2bl w:val="nil"/>
            </w:tcBorders>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元</w:t>
            </w:r>
            <w:r>
              <w:rPr>
                <w:rFonts w:hint="eastAsia" w:ascii="仿宋" w:hAnsi="仿宋" w:eastAsia="仿宋" w:cs="仿宋"/>
                <w:sz w:val="24"/>
                <w:szCs w:val="24"/>
                <w:lang w:val="en-US" w:eastAsia="zh-CN"/>
              </w:rPr>
              <w:t>/人</w:t>
            </w:r>
            <w:r>
              <w:rPr>
                <w:rFonts w:hint="eastAsia" w:ascii="仿宋" w:hAnsi="仿宋" w:eastAsia="仿宋" w:cs="仿宋"/>
                <w:sz w:val="24"/>
                <w:szCs w:val="24"/>
              </w:rPr>
              <w:t>次</w:t>
            </w:r>
          </w:p>
        </w:tc>
        <w:tc>
          <w:tcPr>
            <w:tcW w:w="1576" w:type="dxa"/>
            <w:tcBorders>
              <w:tl2br w:val="nil"/>
              <w:tr2bl w:val="nil"/>
            </w:tcBorders>
            <w:vAlign w:val="center"/>
          </w:tcPr>
          <w:p>
            <w:pPr>
              <w:spacing w:line="360" w:lineRule="auto"/>
              <w:jc w:val="center"/>
              <w:rPr>
                <w:rFonts w:hint="eastAsia" w:ascii="仿宋" w:hAnsi="仿宋" w:eastAsia="仿宋" w:cs="仿宋"/>
                <w:sz w:val="24"/>
                <w:szCs w:val="24"/>
              </w:rPr>
            </w:pPr>
          </w:p>
        </w:tc>
      </w:tr>
    </w:tbl>
    <w:p>
      <w:pPr>
        <w:spacing w:line="360" w:lineRule="auto"/>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服务方案</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1、实施方案</w:t>
      </w:r>
    </w:p>
    <w:p>
      <w:pPr>
        <w:spacing w:line="360" w:lineRule="auto"/>
        <w:rPr>
          <w:rFonts w:ascii="仿宋" w:hAnsi="仿宋" w:eastAsia="仿宋"/>
          <w:sz w:val="24"/>
          <w:szCs w:val="24"/>
        </w:rPr>
      </w:pPr>
      <w:r>
        <w:rPr>
          <w:rFonts w:hint="eastAsia" w:ascii="仿宋" w:hAnsi="仿宋" w:eastAsia="仿宋"/>
          <w:sz w:val="24"/>
          <w:szCs w:val="24"/>
        </w:rPr>
        <w:t>2、项目重点难点分析、应对措施及相关的合理化建议</w:t>
      </w:r>
    </w:p>
    <w:p>
      <w:pPr>
        <w:spacing w:line="360" w:lineRule="auto"/>
        <w:rPr>
          <w:rFonts w:ascii="仿宋" w:hAnsi="仿宋" w:eastAsia="仿宋"/>
          <w:sz w:val="24"/>
          <w:szCs w:val="24"/>
        </w:rPr>
      </w:pPr>
      <w:r>
        <w:rPr>
          <w:rFonts w:hint="eastAsia" w:ascii="仿宋" w:hAnsi="仿宋" w:eastAsia="仿宋"/>
          <w:sz w:val="24"/>
          <w:szCs w:val="24"/>
        </w:rPr>
        <w:t>3、</w:t>
      </w:r>
      <w:r>
        <w:rPr>
          <w:rFonts w:hint="eastAsia" w:ascii="仿宋" w:hAnsi="仿宋" w:eastAsia="仿宋" w:cs="宋体"/>
          <w:kern w:val="0"/>
          <w:sz w:val="24"/>
          <w:szCs w:val="24"/>
        </w:rPr>
        <w:t>质量保障措施及方案</w:t>
      </w:r>
    </w:p>
    <w:p>
      <w:pPr>
        <w:spacing w:line="360" w:lineRule="auto"/>
        <w:rPr>
          <w:rFonts w:ascii="仿宋" w:hAnsi="仿宋" w:eastAsia="仿宋"/>
          <w:sz w:val="24"/>
          <w:szCs w:val="24"/>
        </w:rPr>
      </w:pPr>
      <w:r>
        <w:rPr>
          <w:rFonts w:hint="eastAsia" w:ascii="仿宋" w:hAnsi="仿宋" w:eastAsia="仿宋"/>
          <w:sz w:val="24"/>
          <w:szCs w:val="24"/>
        </w:rPr>
        <w:t>4、项目完成（服务期满）后的服务承诺</w:t>
      </w:r>
    </w:p>
    <w:p>
      <w:pPr>
        <w:spacing w:line="360" w:lineRule="auto"/>
        <w:rPr>
          <w:rFonts w:ascii="仿宋" w:hAnsi="仿宋" w:eastAsia="仿宋"/>
          <w:sz w:val="24"/>
          <w:szCs w:val="24"/>
        </w:rPr>
      </w:pPr>
      <w:r>
        <w:rPr>
          <w:rFonts w:hint="eastAsia" w:ascii="仿宋" w:hAnsi="仿宋" w:eastAsia="仿宋"/>
          <w:sz w:val="24"/>
          <w:szCs w:val="24"/>
        </w:rPr>
        <w:t>5、违约承诺</w:t>
      </w:r>
    </w:p>
    <w:p>
      <w:pPr>
        <w:spacing w:line="360" w:lineRule="auto"/>
        <w:rPr>
          <w:rFonts w:ascii="仿宋" w:hAnsi="仿宋" w:eastAsia="仿宋"/>
          <w:sz w:val="24"/>
          <w:szCs w:val="24"/>
        </w:rPr>
      </w:pPr>
      <w:r>
        <w:rPr>
          <w:rFonts w:hint="eastAsia" w:ascii="仿宋" w:hAnsi="仿宋" w:eastAsia="仿宋"/>
          <w:sz w:val="24"/>
          <w:szCs w:val="24"/>
        </w:rPr>
        <w:t>6、投标人通过相关认证情况</w:t>
      </w:r>
    </w:p>
    <w:p>
      <w:pPr>
        <w:spacing w:line="360" w:lineRule="auto"/>
        <w:rPr>
          <w:rFonts w:ascii="仿宋" w:hAnsi="仿宋" w:eastAsia="仿宋"/>
          <w:sz w:val="24"/>
          <w:szCs w:val="24"/>
        </w:rPr>
      </w:pPr>
      <w:r>
        <w:rPr>
          <w:rFonts w:hint="eastAsia" w:ascii="仿宋" w:hAnsi="仿宋" w:eastAsia="仿宋"/>
          <w:sz w:val="24"/>
          <w:szCs w:val="24"/>
        </w:rPr>
        <w:t>7、同类业绩</w:t>
      </w:r>
    </w:p>
    <w:p>
      <w:pPr>
        <w:spacing w:line="360" w:lineRule="auto"/>
        <w:rPr>
          <w:rFonts w:ascii="仿宋" w:hAnsi="仿宋" w:eastAsia="仿宋"/>
          <w:sz w:val="24"/>
          <w:szCs w:val="24"/>
        </w:rPr>
      </w:pPr>
      <w:r>
        <w:rPr>
          <w:rFonts w:hint="eastAsia" w:ascii="仿宋" w:hAnsi="仿宋" w:eastAsia="仿宋"/>
          <w:sz w:val="24"/>
          <w:szCs w:val="24"/>
        </w:rPr>
        <w:t>8、拟派项目负责人（仅限一名）</w:t>
      </w:r>
    </w:p>
    <w:p>
      <w:pPr>
        <w:spacing w:line="360" w:lineRule="auto"/>
        <w:rPr>
          <w:rFonts w:hint="eastAsia" w:ascii="仿宋" w:hAnsi="仿宋" w:eastAsia="仿宋"/>
          <w:sz w:val="24"/>
          <w:szCs w:val="24"/>
        </w:rPr>
      </w:pPr>
      <w:r>
        <w:rPr>
          <w:rFonts w:hint="eastAsia" w:ascii="仿宋" w:hAnsi="仿宋" w:eastAsia="仿宋"/>
          <w:sz w:val="24"/>
          <w:szCs w:val="24"/>
        </w:rPr>
        <w:t>9、拟派项目团队（项 目负责人除外）</w:t>
      </w:r>
    </w:p>
    <w:p>
      <w:pPr>
        <w:spacing w:line="360" w:lineRule="auto"/>
        <w:rPr>
          <w:rFonts w:hint="eastAsia" w:ascii="仿宋" w:hAnsi="仿宋" w:eastAsia="仿宋"/>
          <w:sz w:val="24"/>
          <w:szCs w:val="24"/>
          <w:lang w:val="en-US" w:eastAsia="zh-CN"/>
        </w:rPr>
      </w:pPr>
      <w:r>
        <w:rPr>
          <w:rFonts w:hint="eastAsia" w:ascii="仿宋" w:hAnsi="仿宋" w:eastAsia="仿宋"/>
          <w:sz w:val="24"/>
          <w:szCs w:val="24"/>
          <w:lang w:val="en-US" w:eastAsia="zh-CN"/>
        </w:rPr>
        <w:t>10、新冠核酸专项检测能力</w:t>
      </w:r>
    </w:p>
    <w:p>
      <w:pPr>
        <w:spacing w:line="360" w:lineRule="auto"/>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11、项目拟使用的设备、场地车辆等情况 </w:t>
      </w:r>
    </w:p>
    <w:p>
      <w:pPr>
        <w:spacing w:line="360" w:lineRule="auto"/>
        <w:rPr>
          <w:rFonts w:hint="eastAsia" w:ascii="仿宋" w:hAnsi="仿宋" w:eastAsia="仿宋"/>
          <w:sz w:val="24"/>
          <w:szCs w:val="24"/>
          <w:lang w:val="en-US" w:eastAsia="zh-CN"/>
        </w:rPr>
      </w:pPr>
      <w:r>
        <w:rPr>
          <w:rFonts w:hint="eastAsia" w:ascii="仿宋" w:hAnsi="仿宋" w:eastAsia="仿宋"/>
          <w:sz w:val="24"/>
          <w:szCs w:val="24"/>
          <w:lang w:val="en-US" w:eastAsia="zh-CN"/>
        </w:rPr>
        <w:t>12、服务网点</w:t>
      </w:r>
    </w:p>
    <w:p>
      <w:pPr>
        <w:spacing w:line="360" w:lineRule="auto"/>
        <w:rPr>
          <w:rFonts w:hint="default" w:ascii="仿宋" w:hAnsi="仿宋" w:eastAsia="仿宋"/>
          <w:lang w:val="en-US"/>
        </w:rPr>
      </w:pPr>
      <w:r>
        <w:rPr>
          <w:rFonts w:hint="eastAsia" w:ascii="仿宋" w:hAnsi="仿宋" w:eastAsia="仿宋"/>
          <w:sz w:val="24"/>
          <w:szCs w:val="24"/>
          <w:lang w:val="en-US" w:eastAsia="zh-CN"/>
        </w:rPr>
        <w:t>13、诚信情况</w:t>
      </w:r>
    </w:p>
    <w:p>
      <w:pPr>
        <w:widowControl/>
        <w:jc w:val="left"/>
        <w:rPr>
          <w:rFonts w:ascii="仿宋" w:hAnsi="仿宋" w:eastAsia="仿宋"/>
        </w:rPr>
      </w:pPr>
      <w:r>
        <w:rPr>
          <w:rFonts w:ascii="仿宋" w:hAnsi="仿宋" w:eastAsia="仿宋"/>
        </w:rPr>
        <w:br w:type="page"/>
      </w:r>
    </w:p>
    <w:p>
      <w:pPr>
        <w:rPr>
          <w:rFonts w:ascii="仿宋" w:hAnsi="仿宋" w:eastAsia="仿宋"/>
        </w:rPr>
      </w:pPr>
      <w:r>
        <w:rPr>
          <w:rFonts w:hint="eastAsia" w:ascii="仿宋" w:hAnsi="仿宋" w:eastAsia="仿宋"/>
        </w:rPr>
        <w:t>附表1</w:t>
      </w:r>
    </w:p>
    <w:p>
      <w:pPr>
        <w:jc w:val="center"/>
        <w:rPr>
          <w:rFonts w:ascii="仿宋" w:hAnsi="仿宋" w:eastAsia="仿宋"/>
          <w:b/>
          <w:sz w:val="32"/>
          <w:szCs w:val="32"/>
        </w:rPr>
      </w:pPr>
      <w:r>
        <w:rPr>
          <w:rFonts w:hint="eastAsia" w:ascii="仿宋" w:hAnsi="仿宋" w:eastAsia="仿宋"/>
          <w:b/>
          <w:sz w:val="32"/>
          <w:szCs w:val="32"/>
        </w:rPr>
        <w:t>项目人员情况一览表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921"/>
        <w:gridCol w:w="922"/>
        <w:gridCol w:w="1417"/>
        <w:gridCol w:w="1276"/>
        <w:gridCol w:w="1134"/>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top w:val="double" w:color="auto" w:sz="4" w:space="0"/>
              <w:lef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序号</w:t>
            </w:r>
          </w:p>
        </w:tc>
        <w:tc>
          <w:tcPr>
            <w:tcW w:w="85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类别</w:t>
            </w:r>
          </w:p>
        </w:tc>
        <w:tc>
          <w:tcPr>
            <w:tcW w:w="92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姓名</w:t>
            </w:r>
          </w:p>
        </w:tc>
        <w:tc>
          <w:tcPr>
            <w:tcW w:w="922"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学历</w:t>
            </w:r>
          </w:p>
        </w:tc>
        <w:tc>
          <w:tcPr>
            <w:tcW w:w="1417"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岗位及职务</w:t>
            </w:r>
          </w:p>
        </w:tc>
        <w:tc>
          <w:tcPr>
            <w:tcW w:w="1276" w:type="dxa"/>
            <w:tcBorders>
              <w:top w:val="double" w:color="auto" w:sz="4" w:space="0"/>
            </w:tcBorders>
            <w:shd w:val="clear" w:color="auto" w:fill="C6D9F0" w:themeFill="text2" w:themeFillTint="33"/>
            <w:vAlign w:val="center"/>
          </w:tcPr>
          <w:p>
            <w:pPr>
              <w:spacing w:line="276" w:lineRule="auto"/>
              <w:ind w:right="-53" w:rightChars="-25"/>
              <w:jc w:val="center"/>
              <w:rPr>
                <w:rFonts w:ascii="仿宋" w:hAnsi="仿宋" w:eastAsia="仿宋"/>
                <w:b/>
              </w:rPr>
            </w:pPr>
            <w:r>
              <w:rPr>
                <w:rFonts w:hint="eastAsia" w:ascii="仿宋" w:hAnsi="仿宋" w:eastAsia="仿宋"/>
                <w:b/>
              </w:rPr>
              <w:t>持何种资格证件</w:t>
            </w:r>
          </w:p>
        </w:tc>
        <w:tc>
          <w:tcPr>
            <w:tcW w:w="1134"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发证时间</w:t>
            </w:r>
          </w:p>
        </w:tc>
        <w:tc>
          <w:tcPr>
            <w:tcW w:w="1326" w:type="dxa"/>
            <w:tcBorders>
              <w:top w:val="double" w:color="auto" w:sz="4" w:space="0"/>
              <w:righ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工作经验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851" w:type="dxa"/>
            <w:vAlign w:val="center"/>
          </w:tcPr>
          <w:p>
            <w:pPr>
              <w:spacing w:line="360" w:lineRule="auto"/>
              <w:jc w:val="center"/>
              <w:rPr>
                <w:rFonts w:ascii="仿宋" w:hAnsi="仿宋" w:eastAsia="仿宋"/>
              </w:rPr>
            </w:pPr>
            <w:r>
              <w:rPr>
                <w:rFonts w:hint="eastAsia" w:ascii="仿宋" w:hAnsi="仿宋" w:eastAsia="仿宋"/>
              </w:rPr>
              <w:t>项目负责人</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851" w:type="dxa"/>
            <w:vMerge w:val="restart"/>
            <w:vAlign w:val="center"/>
          </w:tcPr>
          <w:p>
            <w:pPr>
              <w:spacing w:line="360" w:lineRule="auto"/>
              <w:jc w:val="center"/>
              <w:rPr>
                <w:rFonts w:ascii="仿宋" w:hAnsi="仿宋" w:eastAsia="仿宋"/>
              </w:rPr>
            </w:pPr>
            <w:r>
              <w:rPr>
                <w:rFonts w:hint="eastAsia" w:ascii="仿宋" w:hAnsi="仿宋" w:eastAsia="仿宋"/>
              </w:rPr>
              <w:t>项目团队成员</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851" w:type="dxa"/>
            <w:vMerge w:val="continue"/>
            <w:tcBorders>
              <w:bottom w:val="double" w:color="auto" w:sz="4" w:space="0"/>
            </w:tcBorders>
            <w:vAlign w:val="center"/>
          </w:tcPr>
          <w:p>
            <w:pPr>
              <w:spacing w:line="360" w:lineRule="auto"/>
              <w:jc w:val="center"/>
              <w:rPr>
                <w:rFonts w:ascii="仿宋" w:hAnsi="仿宋" w:eastAsia="仿宋"/>
              </w:rPr>
            </w:pPr>
          </w:p>
        </w:tc>
        <w:tc>
          <w:tcPr>
            <w:tcW w:w="921" w:type="dxa"/>
            <w:tcBorders>
              <w:bottom w:val="double" w:color="auto" w:sz="4" w:space="0"/>
            </w:tcBorders>
            <w:vAlign w:val="center"/>
          </w:tcPr>
          <w:p>
            <w:pPr>
              <w:spacing w:line="360" w:lineRule="auto"/>
              <w:jc w:val="center"/>
              <w:rPr>
                <w:rFonts w:ascii="仿宋" w:hAnsi="仿宋" w:eastAsia="仿宋"/>
              </w:rPr>
            </w:pPr>
          </w:p>
        </w:tc>
        <w:tc>
          <w:tcPr>
            <w:tcW w:w="922" w:type="dxa"/>
            <w:tcBorders>
              <w:bottom w:val="double" w:color="auto" w:sz="4" w:space="0"/>
            </w:tcBorders>
            <w:vAlign w:val="center"/>
          </w:tcPr>
          <w:p>
            <w:pPr>
              <w:spacing w:line="360" w:lineRule="auto"/>
              <w:jc w:val="center"/>
              <w:rPr>
                <w:rFonts w:ascii="仿宋" w:hAnsi="仿宋" w:eastAsia="仿宋"/>
              </w:rPr>
            </w:pPr>
          </w:p>
        </w:tc>
        <w:tc>
          <w:tcPr>
            <w:tcW w:w="1417" w:type="dxa"/>
            <w:tcBorders>
              <w:bottom w:val="double" w:color="auto" w:sz="4" w:space="0"/>
            </w:tcBorders>
            <w:vAlign w:val="center"/>
          </w:tcPr>
          <w:p>
            <w:pPr>
              <w:spacing w:line="360" w:lineRule="auto"/>
              <w:jc w:val="center"/>
              <w:rPr>
                <w:rFonts w:ascii="仿宋" w:hAnsi="仿宋" w:eastAsia="仿宋"/>
              </w:rPr>
            </w:pPr>
          </w:p>
        </w:tc>
        <w:tc>
          <w:tcPr>
            <w:tcW w:w="1276" w:type="dxa"/>
            <w:tcBorders>
              <w:bottom w:val="double" w:color="auto" w:sz="4" w:space="0"/>
            </w:tcBorders>
            <w:vAlign w:val="center"/>
          </w:tcPr>
          <w:p>
            <w:pPr>
              <w:spacing w:line="360" w:lineRule="auto"/>
              <w:jc w:val="center"/>
              <w:rPr>
                <w:rFonts w:ascii="仿宋" w:hAnsi="仿宋" w:eastAsia="仿宋"/>
              </w:rPr>
            </w:pPr>
          </w:p>
        </w:tc>
        <w:tc>
          <w:tcPr>
            <w:tcW w:w="1134" w:type="dxa"/>
            <w:tcBorders>
              <w:bottom w:val="double" w:color="auto" w:sz="4" w:space="0"/>
            </w:tcBorders>
            <w:vAlign w:val="center"/>
          </w:tcPr>
          <w:p>
            <w:pPr>
              <w:spacing w:line="360" w:lineRule="auto"/>
              <w:jc w:val="center"/>
              <w:rPr>
                <w:rFonts w:ascii="仿宋" w:hAnsi="仿宋" w:eastAsia="仿宋"/>
              </w:rPr>
            </w:pPr>
          </w:p>
        </w:tc>
        <w:tc>
          <w:tcPr>
            <w:tcW w:w="1326"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jc w:val="center"/>
        <w:rPr>
          <w:rFonts w:ascii="仿宋" w:hAnsi="仿宋" w:eastAsia="仿宋"/>
          <w:b/>
          <w:sz w:val="32"/>
          <w:szCs w:val="3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autoSpaceDE w:val="0"/>
        <w:autoSpaceDN w:val="0"/>
        <w:adjustRightInd w:val="0"/>
        <w:spacing w:line="360" w:lineRule="auto"/>
        <w:rPr>
          <w:rFonts w:ascii="仿宋" w:hAnsi="仿宋" w:eastAsia="仿宋"/>
          <w:b/>
          <w:color w:val="FF0000"/>
          <w:sz w:val="22"/>
        </w:rPr>
      </w:pPr>
    </w:p>
    <w:p>
      <w:pPr>
        <w:autoSpaceDE w:val="0"/>
        <w:autoSpaceDN w:val="0"/>
        <w:adjustRightInd w:val="0"/>
        <w:spacing w:line="360" w:lineRule="auto"/>
        <w:rPr>
          <w:rFonts w:ascii="仿宋" w:hAnsi="仿宋" w:eastAsia="仿宋"/>
          <w:b/>
          <w:color w:val="FF0000"/>
        </w:rPr>
      </w:pPr>
      <w:r>
        <w:rPr>
          <w:rFonts w:hint="eastAsia" w:ascii="仿宋" w:hAnsi="仿宋" w:eastAsia="仿宋"/>
          <w:b/>
          <w:color w:val="FF0000"/>
          <w:sz w:val="22"/>
        </w:rPr>
        <w:t>注：</w:t>
      </w:r>
      <w:r>
        <w:rPr>
          <w:rFonts w:hint="eastAsia" w:ascii="仿宋" w:hAnsi="仿宋" w:eastAsia="仿宋"/>
          <w:b/>
          <w:color w:val="FF0000"/>
        </w:rPr>
        <w:t xml:space="preserve"> </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2、有关人员简历及身份证、资格证书及其它证明材料（复印件）需附在本表之后。</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3、本表格所要求填写的人员是指投标单位将安排在此项目的具体人员。</w:t>
      </w:r>
    </w:p>
    <w:p>
      <w:pPr>
        <w:tabs>
          <w:tab w:val="left" w:pos="170"/>
        </w:tabs>
        <w:autoSpaceDE w:val="0"/>
        <w:autoSpaceDN w:val="0"/>
        <w:adjustRightInd w:val="0"/>
        <w:spacing w:line="360" w:lineRule="auto"/>
        <w:ind w:firstLine="210" w:firstLineChars="100"/>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差异表</w:t>
      </w:r>
    </w:p>
    <w:p>
      <w:pPr>
        <w:rPr>
          <w:rFonts w:ascii="仿宋" w:hAnsi="仿宋" w:eastAsia="仿宋"/>
        </w:rPr>
      </w:pP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7"/>
        <w:tblW w:w="0" w:type="auto"/>
        <w:tblInd w:w="0" w:type="dxa"/>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2835"/>
        <w:gridCol w:w="2126"/>
        <w:gridCol w:w="260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835"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采购文件条款</w:t>
            </w:r>
          </w:p>
        </w:tc>
        <w:tc>
          <w:tcPr>
            <w:tcW w:w="2126"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投标文件响应情况</w:t>
            </w:r>
          </w:p>
        </w:tc>
        <w:tc>
          <w:tcPr>
            <w:tcW w:w="260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auto"/>
              <w:jc w:val="center"/>
              <w:rPr>
                <w:rFonts w:ascii="仿宋" w:hAnsi="仿宋" w:eastAsia="仿宋"/>
              </w:rPr>
            </w:pPr>
            <w:r>
              <w:rPr>
                <w:rFonts w:hint="eastAsia" w:ascii="仿宋" w:hAnsi="仿宋" w:eastAsia="仿宋"/>
              </w:rPr>
              <w:t>1</w:t>
            </w:r>
          </w:p>
        </w:tc>
        <w:tc>
          <w:tcPr>
            <w:tcW w:w="2835" w:type="dxa"/>
            <w:vAlign w:val="center"/>
          </w:tcPr>
          <w:p>
            <w:pPr>
              <w:spacing w:line="360" w:lineRule="auto"/>
              <w:jc w:val="center"/>
              <w:rPr>
                <w:rFonts w:ascii="仿宋" w:hAnsi="仿宋" w:eastAsia="仿宋"/>
              </w:rPr>
            </w:pPr>
            <w:r>
              <w:rPr>
                <w:rFonts w:hint="eastAsia" w:ascii="仿宋" w:hAnsi="仿宋" w:eastAsia="仿宋"/>
              </w:rPr>
              <w:t xml:space="preserve"> “</w:t>
            </w:r>
            <w:r>
              <w:rPr>
                <w:rFonts w:ascii="仿宋" w:hAnsi="仿宋" w:eastAsia="仿宋"/>
              </w:rPr>
              <w:t>第二部分采购项目需求</w:t>
            </w:r>
            <w:r>
              <w:rPr>
                <w:rFonts w:hint="eastAsia" w:ascii="仿宋" w:hAnsi="仿宋" w:eastAsia="仿宋"/>
              </w:rPr>
              <w:t>”全部采购项目需求条款</w:t>
            </w:r>
          </w:p>
        </w:tc>
        <w:tc>
          <w:tcPr>
            <w:tcW w:w="2126" w:type="dxa"/>
            <w:vAlign w:val="center"/>
          </w:tcPr>
          <w:p>
            <w:pPr>
              <w:spacing w:line="360" w:lineRule="auto"/>
              <w:jc w:val="center"/>
              <w:rPr>
                <w:rFonts w:ascii="仿宋" w:hAnsi="仿宋" w:eastAsia="仿宋"/>
              </w:rPr>
            </w:pPr>
            <w:r>
              <w:rPr>
                <w:rFonts w:ascii="仿宋" w:hAnsi="仿宋" w:eastAsia="仿宋"/>
              </w:rPr>
              <w:t>全部响应</w:t>
            </w:r>
          </w:p>
        </w:tc>
        <w:tc>
          <w:tcPr>
            <w:tcW w:w="2602" w:type="dxa"/>
            <w:vAlign w:val="center"/>
          </w:tcPr>
          <w:p>
            <w:pPr>
              <w:spacing w:line="360" w:lineRule="auto"/>
              <w:jc w:val="center"/>
              <w:rPr>
                <w:rFonts w:ascii="仿宋" w:hAnsi="仿宋" w:eastAsia="仿宋"/>
              </w:rPr>
            </w:pPr>
            <w:r>
              <w:rPr>
                <w:rFonts w:ascii="仿宋" w:hAnsi="仿宋" w:eastAsia="仿宋"/>
              </w:rPr>
              <w:t>如采购需求要求提供证明材料的</w:t>
            </w:r>
            <w:r>
              <w:rPr>
                <w:rFonts w:hint="eastAsia" w:ascii="仿宋" w:hAnsi="仿宋" w:eastAsia="仿宋"/>
              </w:rPr>
              <w:t>，</w:t>
            </w:r>
            <w:r>
              <w:rPr>
                <w:rFonts w:ascii="仿宋" w:hAnsi="仿宋" w:eastAsia="仿宋"/>
              </w:rPr>
              <w:t>请附在</w:t>
            </w:r>
            <w:r>
              <w:rPr>
                <w:rFonts w:hint="eastAsia" w:ascii="仿宋" w:hAnsi="仿宋" w:eastAsia="仿宋"/>
              </w:rPr>
              <w:t>本</w:t>
            </w:r>
            <w:r>
              <w:rPr>
                <w:rFonts w:ascii="仿宋" w:hAnsi="仿宋" w:eastAsia="仿宋"/>
              </w:rPr>
              <w:t>表后面</w:t>
            </w:r>
          </w:p>
        </w:tc>
      </w:tr>
    </w:tbl>
    <w:p>
      <w:pPr>
        <w:rPr>
          <w:rFonts w:ascii="仿宋" w:hAnsi="仿宋" w:eastAsia="仿宋"/>
          <w:bCs/>
        </w:rPr>
      </w:pPr>
      <w:r>
        <w:rPr>
          <w:rFonts w:hint="eastAsia" w:ascii="仿宋" w:hAnsi="仿宋" w:eastAsia="仿宋"/>
          <w:b/>
          <w:bCs/>
          <w:color w:val="FF0000"/>
        </w:rPr>
        <w:t>注：</w:t>
      </w:r>
      <w:r>
        <w:rPr>
          <w:rFonts w:hint="eastAsia" w:ascii="仿宋" w:hAnsi="仿宋" w:eastAsia="仿宋"/>
          <w:bCs/>
        </w:rPr>
        <w:t>投标文件的技术与商务部分与采购文件有偏差（甚至是细微偏差），都需在本表中列出。</w:t>
      </w: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hint="eastAsia"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pStyle w:val="2"/>
        <w:rPr>
          <w:rFonts w:hint="eastAsia" w:ascii="仿宋" w:hAnsi="仿宋" w:eastAsia="仿宋"/>
        </w:rPr>
      </w:pPr>
    </w:p>
    <w:p>
      <w:pPr>
        <w:pStyle w:val="2"/>
        <w:rPr>
          <w:rFonts w:hint="eastAsia" w:ascii="仿宋" w:hAnsi="仿宋" w:eastAsia="仿宋"/>
        </w:rPr>
      </w:pPr>
    </w:p>
    <w:p>
      <w:pPr>
        <w:pStyle w:val="2"/>
        <w:rPr>
          <w:rFonts w:hint="eastAsia" w:ascii="仿宋" w:hAnsi="仿宋" w:eastAsia="仿宋"/>
        </w:rPr>
      </w:pPr>
    </w:p>
    <w:p>
      <w:pPr>
        <w:pStyle w:val="2"/>
        <w:rPr>
          <w:rFonts w:hint="eastAsia" w:ascii="仿宋" w:hAnsi="仿宋" w:eastAsia="仿宋"/>
        </w:rPr>
      </w:pPr>
    </w:p>
    <w:p>
      <w:pPr>
        <w:pStyle w:val="2"/>
        <w:rPr>
          <w:rFonts w:hint="eastAsia" w:ascii="仿宋" w:hAnsi="仿宋" w:eastAsia="仿宋"/>
        </w:rPr>
      </w:pP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rPr>
          <w:rFonts w:ascii="仿宋" w:hAnsi="仿宋" w:eastAsia="仿宋"/>
          <w:bCs/>
        </w:rPr>
      </w:pPr>
    </w:p>
    <w:p>
      <w:pPr>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3"/>
        </w:numPr>
        <w:spacing w:line="360" w:lineRule="auto"/>
      </w:pPr>
      <w:r>
        <w:rPr>
          <w:rFonts w:hint="eastAsia"/>
        </w:rPr>
        <w:t>总则</w:t>
      </w:r>
    </w:p>
    <w:p>
      <w:pPr>
        <w:numPr>
          <w:ilvl w:val="1"/>
          <w:numId w:val="3"/>
        </w:numPr>
        <w:spacing w:line="360" w:lineRule="auto"/>
      </w:pPr>
      <w:r>
        <w:rPr>
          <w:rFonts w:hint="eastAsia"/>
        </w:rPr>
        <w:t>定义：除非上下文另有要求，下列词汇，一旦用在本合同中，具有下列含义</w:t>
      </w:r>
    </w:p>
    <w:p>
      <w:pPr>
        <w:numPr>
          <w:ilvl w:val="2"/>
          <w:numId w:val="4"/>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4"/>
        </w:numPr>
        <w:spacing w:line="360" w:lineRule="auto"/>
      </w:pPr>
      <w:r>
        <w:rPr>
          <w:rFonts w:hint="eastAsia"/>
        </w:rPr>
        <w:t>“服务供应方”根据招标结果确定的中标单位。</w:t>
      </w:r>
    </w:p>
    <w:p>
      <w:pPr>
        <w:numPr>
          <w:ilvl w:val="2"/>
          <w:numId w:val="4"/>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4"/>
        </w:numPr>
        <w:spacing w:line="360" w:lineRule="auto"/>
      </w:pPr>
      <w:r>
        <w:rPr>
          <w:rFonts w:hint="eastAsia"/>
        </w:rPr>
        <w:t>“一方”是指委托方或服务供应方，视情况而定，而“双方”是指他们二者。</w:t>
      </w:r>
    </w:p>
    <w:p>
      <w:pPr>
        <w:numPr>
          <w:ilvl w:val="2"/>
          <w:numId w:val="4"/>
        </w:numPr>
        <w:spacing w:line="360" w:lineRule="auto"/>
      </w:pPr>
      <w:r>
        <w:rPr>
          <w:rFonts w:hint="eastAsia"/>
        </w:rPr>
        <w:t xml:space="preserve">“人员”是指作为雇员由服务供应方所雇用并被分配执行服务或其任何部分的人员• </w:t>
      </w:r>
    </w:p>
    <w:p>
      <w:pPr>
        <w:numPr>
          <w:ilvl w:val="2"/>
          <w:numId w:val="4"/>
        </w:numPr>
        <w:spacing w:line="360" w:lineRule="auto"/>
      </w:pPr>
      <w:r>
        <w:rPr>
          <w:rFonts w:hint="eastAsia"/>
        </w:rPr>
        <w:t>“服务”是指由服务供应方根据合同所实施的工作。</w:t>
      </w:r>
    </w:p>
    <w:p>
      <w:pPr>
        <w:numPr>
          <w:ilvl w:val="0"/>
          <w:numId w:val="3"/>
        </w:numPr>
        <w:spacing w:line="360" w:lineRule="auto"/>
      </w:pPr>
      <w:r>
        <w:rPr>
          <w:rFonts w:hint="eastAsia"/>
        </w:rPr>
        <w:t>服务</w:t>
      </w:r>
    </w:p>
    <w:p>
      <w:pPr>
        <w:numPr>
          <w:ilvl w:val="1"/>
          <w:numId w:val="3"/>
        </w:numPr>
        <w:spacing w:line="360" w:lineRule="auto"/>
      </w:pPr>
      <w:r>
        <w:rPr>
          <w:rFonts w:hint="eastAsia"/>
        </w:rPr>
        <w:t>服务的范围：服务供应方将依据招标结果及相关的补充协议和本合同要求执行服务。</w:t>
      </w:r>
    </w:p>
    <w:p>
      <w:pPr>
        <w:numPr>
          <w:ilvl w:val="1"/>
          <w:numId w:val="3"/>
        </w:numPr>
        <w:spacing w:line="360" w:lineRule="auto"/>
      </w:pPr>
      <w:r>
        <w:rPr>
          <w:rFonts w:hint="eastAsia"/>
        </w:rPr>
        <w:t>服务的标准：服务供应方将依据国家有关规定及采购文件规定的标准提供服务。</w:t>
      </w:r>
    </w:p>
    <w:p>
      <w:pPr>
        <w:numPr>
          <w:ilvl w:val="1"/>
          <w:numId w:val="3"/>
        </w:numPr>
        <w:spacing w:line="360" w:lineRule="auto"/>
      </w:pPr>
      <w:r>
        <w:rPr>
          <w:rFonts w:hint="eastAsia"/>
        </w:rPr>
        <w:t>人员数量：</w:t>
      </w:r>
    </w:p>
    <w:p>
      <w:pPr>
        <w:numPr>
          <w:ilvl w:val="2"/>
          <w:numId w:val="3"/>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3"/>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3"/>
        </w:numPr>
        <w:spacing w:line="360" w:lineRule="auto"/>
      </w:pPr>
      <w:r>
        <w:rPr>
          <w:rFonts w:hint="eastAsia"/>
        </w:rPr>
        <w:t>为了执行他在本合同项下的义务，维护服务供应方将按招标结果提供相应服务。</w:t>
      </w:r>
    </w:p>
    <w:p>
      <w:pPr>
        <w:numPr>
          <w:ilvl w:val="0"/>
          <w:numId w:val="3"/>
        </w:numPr>
        <w:spacing w:line="360" w:lineRule="auto"/>
      </w:pPr>
      <w:r>
        <w:rPr>
          <w:rFonts w:hint="eastAsia"/>
        </w:rPr>
        <w:t>人员</w:t>
      </w:r>
    </w:p>
    <w:p>
      <w:pPr>
        <w:numPr>
          <w:ilvl w:val="1"/>
          <w:numId w:val="3"/>
        </w:numPr>
        <w:spacing w:line="360" w:lineRule="auto"/>
      </w:pPr>
      <w:r>
        <w:rPr>
          <w:rFonts w:hint="eastAsia"/>
        </w:rPr>
        <w:t>关键人员：关键人员包括管理人员及技术负责人。</w:t>
      </w:r>
    </w:p>
    <w:p>
      <w:pPr>
        <w:numPr>
          <w:ilvl w:val="2"/>
          <w:numId w:val="3"/>
        </w:numPr>
        <w:spacing w:line="360" w:lineRule="auto"/>
      </w:pPr>
      <w:r>
        <w:rPr>
          <w:rFonts w:hint="eastAsia"/>
        </w:rPr>
        <w:t>服务将由在附件中所指定的人员并在规定的期限内完成。</w:t>
      </w:r>
    </w:p>
    <w:p>
      <w:pPr>
        <w:numPr>
          <w:ilvl w:val="2"/>
          <w:numId w:val="3"/>
        </w:numPr>
        <w:spacing w:line="360" w:lineRule="auto"/>
      </w:pPr>
      <w:r>
        <w:rPr>
          <w:rFonts w:hint="eastAsia"/>
        </w:rPr>
        <w:t>关键人员的变更：</w:t>
      </w:r>
    </w:p>
    <w:p>
      <w:pPr>
        <w:numPr>
          <w:ilvl w:val="3"/>
          <w:numId w:val="3"/>
        </w:numPr>
        <w:spacing w:line="360" w:lineRule="auto"/>
      </w:pPr>
      <w:r>
        <w:rPr>
          <w:rFonts w:hint="eastAsia"/>
        </w:rPr>
        <w:t>除非服务供应方另行书面同意，关键人员将由在附件中所列那些人组成，而且将不得改变。</w:t>
      </w:r>
    </w:p>
    <w:p>
      <w:pPr>
        <w:numPr>
          <w:ilvl w:val="3"/>
          <w:numId w:val="3"/>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3"/>
        </w:numPr>
        <w:spacing w:line="360" w:lineRule="auto"/>
      </w:pPr>
      <w:r>
        <w:rPr>
          <w:rFonts w:hint="eastAsia"/>
        </w:rPr>
        <w:t>负责人</w:t>
      </w:r>
    </w:p>
    <w:p>
      <w:pPr>
        <w:numPr>
          <w:ilvl w:val="2"/>
          <w:numId w:val="3"/>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3"/>
        </w:numPr>
        <w:spacing w:line="360" w:lineRule="auto"/>
      </w:pPr>
      <w:r>
        <w:rPr>
          <w:rFonts w:hint="eastAsia"/>
        </w:rPr>
        <w:t>身体健康</w:t>
      </w:r>
    </w:p>
    <w:p>
      <w:pPr>
        <w:numPr>
          <w:ilvl w:val="2"/>
          <w:numId w:val="3"/>
        </w:numPr>
        <w:spacing w:line="360" w:lineRule="auto"/>
      </w:pPr>
      <w:r>
        <w:rPr>
          <w:rFonts w:hint="eastAsia"/>
        </w:rPr>
        <w:t>服务供应方负责确保其所有关键人员都身体健康，能够提供在合同项下的服务。</w:t>
      </w:r>
    </w:p>
    <w:p>
      <w:pPr>
        <w:numPr>
          <w:ilvl w:val="0"/>
          <w:numId w:val="3"/>
        </w:numPr>
        <w:spacing w:line="360" w:lineRule="auto"/>
      </w:pPr>
      <w:r>
        <w:rPr>
          <w:rFonts w:hint="eastAsia"/>
        </w:rPr>
        <w:t>付款</w:t>
      </w:r>
    </w:p>
    <w:p>
      <w:pPr>
        <w:numPr>
          <w:ilvl w:val="1"/>
          <w:numId w:val="3"/>
        </w:numPr>
        <w:spacing w:line="360" w:lineRule="auto"/>
      </w:pPr>
      <w:r>
        <w:rPr>
          <w:rFonts w:hint="eastAsia"/>
        </w:rPr>
        <w:t>付款货币：除非另经委托方同意，全部付款都以人民币支付。</w:t>
      </w:r>
    </w:p>
    <w:p>
      <w:pPr>
        <w:numPr>
          <w:ilvl w:val="1"/>
          <w:numId w:val="3"/>
        </w:numPr>
        <w:spacing w:line="360" w:lineRule="auto"/>
      </w:pPr>
      <w:r>
        <w:rPr>
          <w:rFonts w:hint="eastAsia"/>
        </w:rPr>
        <w:t>付款程序：</w:t>
      </w:r>
    </w:p>
    <w:p>
      <w:pPr>
        <w:numPr>
          <w:ilvl w:val="0"/>
          <w:numId w:val="3"/>
        </w:numPr>
        <w:spacing w:line="360" w:lineRule="auto"/>
      </w:pPr>
      <w:r>
        <w:rPr>
          <w:rFonts w:hint="eastAsia"/>
        </w:rPr>
        <w:t>委托方的义务</w:t>
      </w:r>
    </w:p>
    <w:p>
      <w:pPr>
        <w:numPr>
          <w:ilvl w:val="1"/>
          <w:numId w:val="3"/>
        </w:numPr>
        <w:spacing w:line="360" w:lineRule="auto"/>
      </w:pPr>
      <w:r>
        <w:rPr>
          <w:rFonts w:hint="eastAsia"/>
        </w:rPr>
        <w:t>由委托方提供的支持</w:t>
      </w:r>
    </w:p>
    <w:p>
      <w:pPr>
        <w:numPr>
          <w:ilvl w:val="2"/>
          <w:numId w:val="3"/>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3"/>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3"/>
        </w:numPr>
        <w:spacing w:line="360" w:lineRule="auto"/>
      </w:pPr>
      <w:r>
        <w:rPr>
          <w:rFonts w:hint="eastAsia"/>
        </w:rPr>
        <w:t>协助配合供应方进行配合的义务</w:t>
      </w:r>
    </w:p>
    <w:p>
      <w:pPr>
        <w:numPr>
          <w:ilvl w:val="0"/>
          <w:numId w:val="3"/>
        </w:numPr>
        <w:spacing w:line="360" w:lineRule="auto"/>
      </w:pPr>
      <w:r>
        <w:rPr>
          <w:rFonts w:hint="eastAsia"/>
        </w:rPr>
        <w:t>服务供应方的义务</w:t>
      </w:r>
    </w:p>
    <w:p>
      <w:pPr>
        <w:numPr>
          <w:ilvl w:val="1"/>
          <w:numId w:val="3"/>
        </w:numPr>
        <w:spacing w:line="360" w:lineRule="auto"/>
      </w:pPr>
      <w:r>
        <w:rPr>
          <w:rFonts w:hint="eastAsia"/>
        </w:rPr>
        <w:t>服务供应方的责任</w:t>
      </w:r>
    </w:p>
    <w:p>
      <w:pPr>
        <w:numPr>
          <w:ilvl w:val="2"/>
          <w:numId w:val="3"/>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3"/>
        </w:numPr>
        <w:spacing w:line="360" w:lineRule="auto"/>
      </w:pPr>
      <w:r>
        <w:rPr>
          <w:rFonts w:hint="eastAsia"/>
        </w:rPr>
        <w:t>接受对本合同项下要执行服务的全部责任，尤其是服务供应方对委托方的义务；</w:t>
      </w:r>
    </w:p>
    <w:p>
      <w:pPr>
        <w:numPr>
          <w:ilvl w:val="2"/>
          <w:numId w:val="3"/>
        </w:numPr>
        <w:spacing w:line="360" w:lineRule="auto"/>
      </w:pPr>
      <w:r>
        <w:rPr>
          <w:rFonts w:hint="eastAsia"/>
        </w:rPr>
        <w:t>以高效而勤奋的态度进行工作并尽其最大努力将可报销的费用降到最低限度，而不使所提供的服务质量受影响；</w:t>
      </w:r>
    </w:p>
    <w:p>
      <w:pPr>
        <w:numPr>
          <w:ilvl w:val="1"/>
          <w:numId w:val="3"/>
        </w:numPr>
        <w:spacing w:line="360" w:lineRule="auto"/>
      </w:pPr>
      <w:r>
        <w:rPr>
          <w:rFonts w:hint="eastAsia"/>
        </w:rPr>
        <w:t>服务供应方的义务</w:t>
      </w:r>
    </w:p>
    <w:p>
      <w:pPr>
        <w:numPr>
          <w:ilvl w:val="2"/>
          <w:numId w:val="3"/>
        </w:numPr>
        <w:spacing w:line="360" w:lineRule="auto"/>
      </w:pPr>
      <w:r>
        <w:rPr>
          <w:rFonts w:hint="eastAsia"/>
        </w:rPr>
        <w:t>服务供应方应对其所提供的服务质量负责。委托方所进行的任何审查或批准将不能卸去服务供应方的责任。</w:t>
      </w:r>
    </w:p>
    <w:p>
      <w:pPr>
        <w:numPr>
          <w:ilvl w:val="2"/>
          <w:numId w:val="3"/>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3"/>
        </w:numPr>
        <w:spacing w:line="360" w:lineRule="auto"/>
      </w:pPr>
      <w:r>
        <w:t>转让和分包</w:t>
      </w:r>
      <w:r>
        <w:rPr>
          <w:rFonts w:hint="eastAsia"/>
        </w:rPr>
        <w:t>：</w:t>
      </w:r>
      <w:r>
        <w:t>本合同不允许进行转让或分包。</w:t>
      </w:r>
    </w:p>
    <w:p>
      <w:pPr>
        <w:numPr>
          <w:ilvl w:val="0"/>
          <w:numId w:val="3"/>
        </w:numPr>
        <w:spacing w:line="360" w:lineRule="auto"/>
      </w:pPr>
      <w:r>
        <w:rPr>
          <w:rFonts w:hint="eastAsia"/>
        </w:rPr>
        <w:t>适用法律</w:t>
      </w:r>
    </w:p>
    <w:p>
      <w:pPr>
        <w:numPr>
          <w:ilvl w:val="1"/>
          <w:numId w:val="3"/>
        </w:numPr>
        <w:spacing w:line="360" w:lineRule="auto"/>
      </w:pPr>
      <w:r>
        <w:rPr>
          <w:rFonts w:hint="eastAsia"/>
        </w:rPr>
        <w:t>本合同的适用法律将是中华人民共和国的法律及深圳经济特区的有关规定。</w:t>
      </w:r>
    </w:p>
    <w:p>
      <w:pPr>
        <w:numPr>
          <w:ilvl w:val="0"/>
          <w:numId w:val="3"/>
        </w:numPr>
        <w:spacing w:line="360" w:lineRule="auto"/>
      </w:pPr>
      <w:r>
        <w:rPr>
          <w:rFonts w:hint="eastAsia"/>
        </w:rPr>
        <w:t>委托方的财产权</w:t>
      </w:r>
    </w:p>
    <w:p>
      <w:pPr>
        <w:numPr>
          <w:ilvl w:val="1"/>
          <w:numId w:val="3"/>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3"/>
        </w:numPr>
        <w:spacing w:line="360" w:lineRule="auto"/>
      </w:pPr>
      <w:r>
        <w:rPr>
          <w:rFonts w:hint="eastAsia"/>
        </w:rPr>
        <w:t>下列设备将依然是委托方的财产：</w:t>
      </w:r>
    </w:p>
    <w:p>
      <w:pPr>
        <w:numPr>
          <w:ilvl w:val="2"/>
          <w:numId w:val="3"/>
        </w:numPr>
        <w:spacing w:line="360" w:lineRule="auto"/>
      </w:pPr>
      <w:r>
        <w:rPr>
          <w:rFonts w:hint="eastAsia"/>
        </w:rPr>
        <w:t>由委托方为服务供应方实施其服务而提供的；以及</w:t>
      </w:r>
    </w:p>
    <w:p>
      <w:pPr>
        <w:numPr>
          <w:ilvl w:val="2"/>
          <w:numId w:val="3"/>
        </w:numPr>
        <w:spacing w:line="360" w:lineRule="auto"/>
      </w:pPr>
      <w:r>
        <w:rPr>
          <w:rFonts w:hint="eastAsia"/>
        </w:rPr>
        <w:t>为执行本合同项下的服务的目的由委托方购买的或由服务供应方代表委托方所购买的。</w:t>
      </w:r>
    </w:p>
    <w:p>
      <w:pPr>
        <w:numPr>
          <w:ilvl w:val="0"/>
          <w:numId w:val="3"/>
        </w:numPr>
        <w:spacing w:line="360" w:lineRule="auto"/>
      </w:pPr>
      <w:r>
        <w:rPr>
          <w:rFonts w:hint="eastAsia"/>
        </w:rPr>
        <w:t>委托方的控制与批准</w:t>
      </w:r>
    </w:p>
    <w:p>
      <w:pPr>
        <w:numPr>
          <w:ilvl w:val="1"/>
          <w:numId w:val="3"/>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3"/>
        </w:numPr>
        <w:spacing w:line="360" w:lineRule="auto"/>
      </w:pPr>
      <w:r>
        <w:rPr>
          <w:rFonts w:hint="eastAsia"/>
        </w:rPr>
        <w:t>服务范围的变化</w:t>
      </w:r>
    </w:p>
    <w:p>
      <w:pPr>
        <w:numPr>
          <w:ilvl w:val="1"/>
          <w:numId w:val="3"/>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6"/>
        <w:numPr>
          <w:ilvl w:val="0"/>
          <w:numId w:val="3"/>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6"/>
        <w:numPr>
          <w:ilvl w:val="0"/>
          <w:numId w:val="3"/>
        </w:numPr>
        <w:adjustRightInd w:val="0"/>
        <w:snapToGrid w:val="0"/>
        <w:spacing w:line="360" w:lineRule="auto"/>
        <w:rPr>
          <w:rFonts w:ascii="Times New Roman" w:hAnsi="Times New Roman"/>
        </w:rPr>
      </w:pPr>
      <w:r>
        <w:rPr>
          <w:rFonts w:ascii="Times New Roman" w:hAnsi="Times New Roman"/>
        </w:rPr>
        <w:t>不可抗力条件及处理办法：</w:t>
      </w:r>
    </w:p>
    <w:p>
      <w:pPr>
        <w:pStyle w:val="36"/>
        <w:numPr>
          <w:ilvl w:val="1"/>
          <w:numId w:val="3"/>
        </w:numPr>
        <w:adjustRightInd w:val="0"/>
        <w:snapToGrid w:val="0"/>
        <w:spacing w:line="360" w:lineRule="auto"/>
        <w:rPr>
          <w:rFonts w:ascii="Times New Roman" w:hAnsi="Times New Roman"/>
        </w:rPr>
      </w:pPr>
      <w:r>
        <w:rPr>
          <w:rFonts w:ascii="Times New Roman" w:hAnsi="Times New Roman"/>
        </w:rPr>
        <w:t>不可抗力条件：</w:t>
      </w:r>
    </w:p>
    <w:p>
      <w:pPr>
        <w:pStyle w:val="36"/>
        <w:numPr>
          <w:ilvl w:val="2"/>
          <w:numId w:val="3"/>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6"/>
        <w:numPr>
          <w:ilvl w:val="1"/>
          <w:numId w:val="3"/>
        </w:numPr>
        <w:adjustRightInd w:val="0"/>
        <w:snapToGrid w:val="0"/>
        <w:spacing w:line="360" w:lineRule="auto"/>
        <w:rPr>
          <w:rFonts w:ascii="Times New Roman" w:hAnsi="Times New Roman"/>
        </w:rPr>
      </w:pPr>
      <w:r>
        <w:rPr>
          <w:rFonts w:ascii="Times New Roman" w:hAnsi="Times New Roman"/>
        </w:rPr>
        <w:t>不可抗力的处理办法：</w:t>
      </w:r>
    </w:p>
    <w:p>
      <w:pPr>
        <w:pStyle w:val="36"/>
        <w:numPr>
          <w:ilvl w:val="2"/>
          <w:numId w:val="3"/>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6"/>
        <w:numPr>
          <w:ilvl w:val="2"/>
          <w:numId w:val="3"/>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6"/>
        <w:numPr>
          <w:ilvl w:val="2"/>
          <w:numId w:val="3"/>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6"/>
        <w:numPr>
          <w:ilvl w:val="2"/>
          <w:numId w:val="3"/>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6"/>
        <w:numPr>
          <w:ilvl w:val="2"/>
          <w:numId w:val="3"/>
        </w:numPr>
        <w:adjustRightInd w:val="0"/>
        <w:snapToGrid w:val="0"/>
        <w:spacing w:line="360" w:lineRule="auto"/>
      </w:pPr>
      <w:r>
        <w:rPr>
          <w:rFonts w:hint="eastAsia"/>
        </w:rPr>
        <w:t>当事人迟延履行后发生不可抗力的，不能免除责任。</w:t>
      </w:r>
    </w:p>
    <w:p>
      <w:pPr>
        <w:pStyle w:val="36"/>
        <w:numPr>
          <w:ilvl w:val="0"/>
          <w:numId w:val="3"/>
        </w:numPr>
        <w:adjustRightInd w:val="0"/>
        <w:snapToGrid w:val="0"/>
        <w:spacing w:line="360" w:lineRule="auto"/>
        <w:rPr>
          <w:rFonts w:ascii="Times New Roman" w:hAnsi="Times New Roman"/>
        </w:rPr>
      </w:pPr>
      <w:r>
        <w:rPr>
          <w:rFonts w:hint="eastAsia" w:ascii="Times New Roman" w:hAnsi="Times New Roman"/>
        </w:rPr>
        <w:t>通知与地址</w:t>
      </w:r>
    </w:p>
    <w:p>
      <w:pPr>
        <w:pStyle w:val="36"/>
        <w:numPr>
          <w:ilvl w:val="1"/>
          <w:numId w:val="3"/>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6"/>
        <w:numPr>
          <w:ilvl w:val="2"/>
          <w:numId w:val="3"/>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6"/>
        <w:numPr>
          <w:ilvl w:val="2"/>
          <w:numId w:val="3"/>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6"/>
        <w:numPr>
          <w:ilvl w:val="1"/>
          <w:numId w:val="3"/>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6"/>
        <w:numPr>
          <w:ilvl w:val="1"/>
          <w:numId w:val="3"/>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6"/>
        <w:numPr>
          <w:ilvl w:val="0"/>
          <w:numId w:val="3"/>
        </w:numPr>
        <w:adjustRightInd w:val="0"/>
        <w:snapToGrid w:val="0"/>
        <w:spacing w:line="360" w:lineRule="auto"/>
        <w:rPr>
          <w:rFonts w:ascii="Times New Roman" w:hAnsi="Times New Roman"/>
        </w:rPr>
      </w:pPr>
      <w:r>
        <w:rPr>
          <w:rFonts w:ascii="Times New Roman" w:hAnsi="Times New Roman"/>
        </w:rPr>
        <w:t>合同生效要具备下列条件：</w:t>
      </w:r>
    </w:p>
    <w:p>
      <w:pPr>
        <w:pStyle w:val="36"/>
        <w:numPr>
          <w:ilvl w:val="1"/>
          <w:numId w:val="3"/>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6"/>
        <w:numPr>
          <w:ilvl w:val="1"/>
          <w:numId w:val="3"/>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6"/>
        <w:numPr>
          <w:ilvl w:val="1"/>
          <w:numId w:val="3"/>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6"/>
        <w:numPr>
          <w:ilvl w:val="0"/>
          <w:numId w:val="3"/>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6"/>
        <w:numPr>
          <w:ilvl w:val="1"/>
          <w:numId w:val="3"/>
        </w:numPr>
        <w:adjustRightInd w:val="0"/>
        <w:snapToGrid w:val="0"/>
        <w:spacing w:line="360" w:lineRule="auto"/>
        <w:rPr>
          <w:rFonts w:ascii="Times New Roman" w:hAnsi="Times New Roman"/>
        </w:rPr>
      </w:pPr>
      <w:r>
        <w:rPr>
          <w:rFonts w:hint="eastAsia" w:ascii="Times New Roman" w:hAnsi="Times New Roman"/>
        </w:rPr>
        <w:t>中标通知书。</w:t>
      </w:r>
    </w:p>
    <w:p>
      <w:pPr>
        <w:pStyle w:val="36"/>
        <w:numPr>
          <w:ilvl w:val="1"/>
          <w:numId w:val="3"/>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6"/>
        <w:numPr>
          <w:ilvl w:val="1"/>
          <w:numId w:val="3"/>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6"/>
        <w:numPr>
          <w:ilvl w:val="1"/>
          <w:numId w:val="3"/>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6"/>
        <w:numPr>
          <w:ilvl w:val="0"/>
          <w:numId w:val="3"/>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Pr>
        <w:adjustRightInd w:val="0"/>
        <w:spacing w:line="360" w:lineRule="auto"/>
        <w:jc w:val="center"/>
        <w:rPr>
          <w:rFonts w:ascii="仿宋" w:hAnsi="仿宋" w:eastAsia="仿宋"/>
          <w:b/>
          <w:snapToGrid w:val="0"/>
          <w:kern w:val="0"/>
          <w:sz w:val="32"/>
          <w:szCs w:val="32"/>
        </w:rPr>
      </w:pPr>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5" w:name="q5"/>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6" w:name="q6"/>
      <w:bookmarkEnd w:id="6"/>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（8）服务方案（格式6）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（9）差异表（格式7）</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（10）</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（格式8）</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8"/>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7" w:name="q7"/>
      <w:bookmarkEnd w:id="7"/>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8" w:name="_Hlt35050056"/>
      <w:bookmarkEnd w:id="8"/>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9" w:name="q8"/>
      <w:bookmarkEnd w:id="9"/>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10" w:name="q9"/>
      <w:bookmarkEnd w:id="10"/>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26.5.1公开征集采购方式说明：采购项目投标截止时，合格有效的投标人数量在2家（或以上）时按综合评分法进行评审；合格有效的投标人为1家时，则与合格有效的投标人进行单一来源谈判。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bookmarkStart w:id="11" w:name="_GoBack"/>
      <w:bookmarkEnd w:id="11"/>
    </w:p>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docPartObj>
        <w:docPartGallery w:val="autotext"/>
      </w:docPartObj>
    </w:sdtPr>
    <w:sdtContent>
      <w:p>
        <w:pPr>
          <w:pStyle w:val="1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docPartObj>
        <w:docPartGallery w:val="autotext"/>
      </w:docPartObj>
    </w:sdtPr>
    <w:sdtContent>
      <w:p>
        <w:pPr>
          <w:pStyle w:val="13"/>
          <w:jc w:val="center"/>
        </w:pP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firstLineChars="200"/>
      <w:jc w:val="left"/>
    </w:pPr>
    <w:r>
      <w:rPr>
        <w:rFonts w:hint="eastAsia"/>
      </w:rPr>
      <w:t>项目名称：</w:t>
    </w:r>
    <w:r>
      <w:rPr>
        <w:rFonts w:hint="eastAsia" w:ascii="宋体" w:hAnsi="宋体"/>
      </w:rPr>
      <w:t>2022年福田区涉进口冷链食品新冠病毒核酸监测项目</w:t>
    </w:r>
    <w:r>
      <w:rPr>
        <w:rFonts w:hint="eastAsia"/>
      </w:rPr>
      <w:t xml:space="preserve">     项目编号：FTDL2021188053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09064"/>
    <w:multiLevelType w:val="singleLevel"/>
    <w:tmpl w:val="D0109064"/>
    <w:lvl w:ilvl="0" w:tentative="0">
      <w:start w:val="1"/>
      <w:numFmt w:val="decimal"/>
      <w:suff w:val="nothing"/>
      <w:lvlText w:val="（%1）"/>
      <w:lvlJc w:val="left"/>
    </w:lvl>
  </w:abstractNum>
  <w:abstractNum w:abstractNumId="1">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B1"/>
    <w:rsid w:val="00001625"/>
    <w:rsid w:val="000042A9"/>
    <w:rsid w:val="0000490F"/>
    <w:rsid w:val="00007ECB"/>
    <w:rsid w:val="000111D4"/>
    <w:rsid w:val="00014E98"/>
    <w:rsid w:val="000159CF"/>
    <w:rsid w:val="0002500E"/>
    <w:rsid w:val="00027833"/>
    <w:rsid w:val="000309C1"/>
    <w:rsid w:val="00031BF4"/>
    <w:rsid w:val="00032DB0"/>
    <w:rsid w:val="00036165"/>
    <w:rsid w:val="00037412"/>
    <w:rsid w:val="00037D52"/>
    <w:rsid w:val="00042A65"/>
    <w:rsid w:val="00044855"/>
    <w:rsid w:val="00050F57"/>
    <w:rsid w:val="0005394E"/>
    <w:rsid w:val="00053B8A"/>
    <w:rsid w:val="000550D9"/>
    <w:rsid w:val="00055193"/>
    <w:rsid w:val="00056E7C"/>
    <w:rsid w:val="000600D8"/>
    <w:rsid w:val="00060560"/>
    <w:rsid w:val="00060B4F"/>
    <w:rsid w:val="0006220B"/>
    <w:rsid w:val="000679AB"/>
    <w:rsid w:val="00072F2B"/>
    <w:rsid w:val="00075875"/>
    <w:rsid w:val="00076401"/>
    <w:rsid w:val="000771B0"/>
    <w:rsid w:val="00080FB8"/>
    <w:rsid w:val="00081812"/>
    <w:rsid w:val="00081C0F"/>
    <w:rsid w:val="000851F4"/>
    <w:rsid w:val="00090B60"/>
    <w:rsid w:val="00094CF9"/>
    <w:rsid w:val="000A02CF"/>
    <w:rsid w:val="000B12D8"/>
    <w:rsid w:val="000B3159"/>
    <w:rsid w:val="000B44BC"/>
    <w:rsid w:val="000B61F1"/>
    <w:rsid w:val="000B7A52"/>
    <w:rsid w:val="000C05F3"/>
    <w:rsid w:val="000C1AEC"/>
    <w:rsid w:val="000C2FC4"/>
    <w:rsid w:val="000C4E01"/>
    <w:rsid w:val="000C7610"/>
    <w:rsid w:val="000C7E05"/>
    <w:rsid w:val="000D3053"/>
    <w:rsid w:val="000D4339"/>
    <w:rsid w:val="000D4C91"/>
    <w:rsid w:val="000D74FE"/>
    <w:rsid w:val="000E1731"/>
    <w:rsid w:val="000E647C"/>
    <w:rsid w:val="000E6F68"/>
    <w:rsid w:val="000F4536"/>
    <w:rsid w:val="000F47BD"/>
    <w:rsid w:val="000F4EBB"/>
    <w:rsid w:val="000F5214"/>
    <w:rsid w:val="000F5791"/>
    <w:rsid w:val="0010276A"/>
    <w:rsid w:val="001036FB"/>
    <w:rsid w:val="0010378A"/>
    <w:rsid w:val="00103A07"/>
    <w:rsid w:val="00103BD6"/>
    <w:rsid w:val="00103D0B"/>
    <w:rsid w:val="00103E57"/>
    <w:rsid w:val="00105AE0"/>
    <w:rsid w:val="00106334"/>
    <w:rsid w:val="001071FF"/>
    <w:rsid w:val="001075BE"/>
    <w:rsid w:val="0011046C"/>
    <w:rsid w:val="0011120F"/>
    <w:rsid w:val="00112047"/>
    <w:rsid w:val="001120AB"/>
    <w:rsid w:val="00113460"/>
    <w:rsid w:val="00113EC5"/>
    <w:rsid w:val="0011733C"/>
    <w:rsid w:val="001206C4"/>
    <w:rsid w:val="00120905"/>
    <w:rsid w:val="00120DDA"/>
    <w:rsid w:val="001235DF"/>
    <w:rsid w:val="001253C1"/>
    <w:rsid w:val="001300A8"/>
    <w:rsid w:val="001307EF"/>
    <w:rsid w:val="00130FFD"/>
    <w:rsid w:val="00131B9B"/>
    <w:rsid w:val="00132477"/>
    <w:rsid w:val="0013247D"/>
    <w:rsid w:val="0013568E"/>
    <w:rsid w:val="0013577A"/>
    <w:rsid w:val="0013596A"/>
    <w:rsid w:val="001451A4"/>
    <w:rsid w:val="0015310D"/>
    <w:rsid w:val="00155BE9"/>
    <w:rsid w:val="0016076C"/>
    <w:rsid w:val="00161DC5"/>
    <w:rsid w:val="00165708"/>
    <w:rsid w:val="001667AC"/>
    <w:rsid w:val="00166E7A"/>
    <w:rsid w:val="001713CD"/>
    <w:rsid w:val="001746A8"/>
    <w:rsid w:val="00174A8D"/>
    <w:rsid w:val="00180273"/>
    <w:rsid w:val="001807E0"/>
    <w:rsid w:val="00180DC2"/>
    <w:rsid w:val="0018134E"/>
    <w:rsid w:val="00182643"/>
    <w:rsid w:val="001830D7"/>
    <w:rsid w:val="00183156"/>
    <w:rsid w:val="00185010"/>
    <w:rsid w:val="001850C4"/>
    <w:rsid w:val="001906D1"/>
    <w:rsid w:val="0019175D"/>
    <w:rsid w:val="00192E27"/>
    <w:rsid w:val="00194764"/>
    <w:rsid w:val="00194B76"/>
    <w:rsid w:val="00197685"/>
    <w:rsid w:val="0019777D"/>
    <w:rsid w:val="001A0D90"/>
    <w:rsid w:val="001A0EB6"/>
    <w:rsid w:val="001A1302"/>
    <w:rsid w:val="001A4995"/>
    <w:rsid w:val="001A529F"/>
    <w:rsid w:val="001B0736"/>
    <w:rsid w:val="001B14D5"/>
    <w:rsid w:val="001B4B65"/>
    <w:rsid w:val="001B4C23"/>
    <w:rsid w:val="001C0532"/>
    <w:rsid w:val="001C1FFB"/>
    <w:rsid w:val="001D3874"/>
    <w:rsid w:val="001D6198"/>
    <w:rsid w:val="001D6B2F"/>
    <w:rsid w:val="001D7A7C"/>
    <w:rsid w:val="001E1BC7"/>
    <w:rsid w:val="001E1F63"/>
    <w:rsid w:val="001E398A"/>
    <w:rsid w:val="001E3C4F"/>
    <w:rsid w:val="001E4745"/>
    <w:rsid w:val="001E5169"/>
    <w:rsid w:val="001E60D1"/>
    <w:rsid w:val="001E6EA6"/>
    <w:rsid w:val="001E7031"/>
    <w:rsid w:val="001F0977"/>
    <w:rsid w:val="001F2061"/>
    <w:rsid w:val="001F259A"/>
    <w:rsid w:val="001F2D31"/>
    <w:rsid w:val="001F36D4"/>
    <w:rsid w:val="001F3E52"/>
    <w:rsid w:val="001F52C4"/>
    <w:rsid w:val="001F5A31"/>
    <w:rsid w:val="00201055"/>
    <w:rsid w:val="00204553"/>
    <w:rsid w:val="00210328"/>
    <w:rsid w:val="00211E1C"/>
    <w:rsid w:val="002131F0"/>
    <w:rsid w:val="002134C1"/>
    <w:rsid w:val="00213858"/>
    <w:rsid w:val="002140DF"/>
    <w:rsid w:val="002151EE"/>
    <w:rsid w:val="00215F43"/>
    <w:rsid w:val="00216C79"/>
    <w:rsid w:val="002172FA"/>
    <w:rsid w:val="00223218"/>
    <w:rsid w:val="0022493F"/>
    <w:rsid w:val="002259B7"/>
    <w:rsid w:val="00226BD7"/>
    <w:rsid w:val="00230218"/>
    <w:rsid w:val="002304B2"/>
    <w:rsid w:val="00235A7C"/>
    <w:rsid w:val="002366EC"/>
    <w:rsid w:val="00240B70"/>
    <w:rsid w:val="00241247"/>
    <w:rsid w:val="00241A35"/>
    <w:rsid w:val="00244EDA"/>
    <w:rsid w:val="002463C2"/>
    <w:rsid w:val="0024707D"/>
    <w:rsid w:val="00251EE6"/>
    <w:rsid w:val="00252A0E"/>
    <w:rsid w:val="00256F3C"/>
    <w:rsid w:val="0026095A"/>
    <w:rsid w:val="00260974"/>
    <w:rsid w:val="00264F5D"/>
    <w:rsid w:val="00265825"/>
    <w:rsid w:val="002666B6"/>
    <w:rsid w:val="00270AB4"/>
    <w:rsid w:val="0027125F"/>
    <w:rsid w:val="0027386D"/>
    <w:rsid w:val="00273CE7"/>
    <w:rsid w:val="00281900"/>
    <w:rsid w:val="00282D0F"/>
    <w:rsid w:val="00284440"/>
    <w:rsid w:val="00285487"/>
    <w:rsid w:val="00290049"/>
    <w:rsid w:val="0029352A"/>
    <w:rsid w:val="002938FD"/>
    <w:rsid w:val="00293E95"/>
    <w:rsid w:val="00294665"/>
    <w:rsid w:val="002A06F5"/>
    <w:rsid w:val="002A179B"/>
    <w:rsid w:val="002A3990"/>
    <w:rsid w:val="002A78DB"/>
    <w:rsid w:val="002B11F2"/>
    <w:rsid w:val="002C3E2A"/>
    <w:rsid w:val="002C54D8"/>
    <w:rsid w:val="002C5B23"/>
    <w:rsid w:val="002C5F7F"/>
    <w:rsid w:val="002D285F"/>
    <w:rsid w:val="002D4AE6"/>
    <w:rsid w:val="002D51A5"/>
    <w:rsid w:val="002D6413"/>
    <w:rsid w:val="002D78BD"/>
    <w:rsid w:val="002E071E"/>
    <w:rsid w:val="002E6738"/>
    <w:rsid w:val="002F30E6"/>
    <w:rsid w:val="002F49D2"/>
    <w:rsid w:val="002F5D8F"/>
    <w:rsid w:val="002F5DF7"/>
    <w:rsid w:val="003007E9"/>
    <w:rsid w:val="00300F63"/>
    <w:rsid w:val="00302A03"/>
    <w:rsid w:val="00302EF1"/>
    <w:rsid w:val="00303151"/>
    <w:rsid w:val="0030484B"/>
    <w:rsid w:val="00305E56"/>
    <w:rsid w:val="00310D9B"/>
    <w:rsid w:val="00312539"/>
    <w:rsid w:val="00312A7C"/>
    <w:rsid w:val="003165DD"/>
    <w:rsid w:val="003206AD"/>
    <w:rsid w:val="003215BB"/>
    <w:rsid w:val="00321AB6"/>
    <w:rsid w:val="00321C69"/>
    <w:rsid w:val="00324BEB"/>
    <w:rsid w:val="00325DC4"/>
    <w:rsid w:val="0032699D"/>
    <w:rsid w:val="00331CBE"/>
    <w:rsid w:val="00331CEB"/>
    <w:rsid w:val="00331F0C"/>
    <w:rsid w:val="003366C3"/>
    <w:rsid w:val="00341029"/>
    <w:rsid w:val="00341DF6"/>
    <w:rsid w:val="003467AA"/>
    <w:rsid w:val="00347DED"/>
    <w:rsid w:val="0035266A"/>
    <w:rsid w:val="003533CB"/>
    <w:rsid w:val="003566C5"/>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1507"/>
    <w:rsid w:val="00373358"/>
    <w:rsid w:val="003734A9"/>
    <w:rsid w:val="003749D0"/>
    <w:rsid w:val="003817C2"/>
    <w:rsid w:val="003821BD"/>
    <w:rsid w:val="00385F8F"/>
    <w:rsid w:val="00394101"/>
    <w:rsid w:val="003961A8"/>
    <w:rsid w:val="00397B90"/>
    <w:rsid w:val="003A0AF8"/>
    <w:rsid w:val="003A2361"/>
    <w:rsid w:val="003A2D80"/>
    <w:rsid w:val="003A3825"/>
    <w:rsid w:val="003A45DB"/>
    <w:rsid w:val="003A6687"/>
    <w:rsid w:val="003B0701"/>
    <w:rsid w:val="003B09EB"/>
    <w:rsid w:val="003B1F2D"/>
    <w:rsid w:val="003B2517"/>
    <w:rsid w:val="003B3548"/>
    <w:rsid w:val="003B480F"/>
    <w:rsid w:val="003B72A9"/>
    <w:rsid w:val="003B73C7"/>
    <w:rsid w:val="003C007A"/>
    <w:rsid w:val="003C09AC"/>
    <w:rsid w:val="003C5421"/>
    <w:rsid w:val="003C5430"/>
    <w:rsid w:val="003C73B6"/>
    <w:rsid w:val="003D00F6"/>
    <w:rsid w:val="003D4C25"/>
    <w:rsid w:val="003D6A99"/>
    <w:rsid w:val="003D7227"/>
    <w:rsid w:val="003D76AD"/>
    <w:rsid w:val="003E0447"/>
    <w:rsid w:val="003E21AD"/>
    <w:rsid w:val="003E2E33"/>
    <w:rsid w:val="003E7DA3"/>
    <w:rsid w:val="003F2113"/>
    <w:rsid w:val="003F35A5"/>
    <w:rsid w:val="003F5A49"/>
    <w:rsid w:val="00400065"/>
    <w:rsid w:val="00410FE8"/>
    <w:rsid w:val="00414963"/>
    <w:rsid w:val="00415251"/>
    <w:rsid w:val="0041630C"/>
    <w:rsid w:val="004164C2"/>
    <w:rsid w:val="004168DC"/>
    <w:rsid w:val="00417BA6"/>
    <w:rsid w:val="00417C44"/>
    <w:rsid w:val="0042116F"/>
    <w:rsid w:val="00421DAD"/>
    <w:rsid w:val="00422693"/>
    <w:rsid w:val="00422C44"/>
    <w:rsid w:val="0042569B"/>
    <w:rsid w:val="0042757A"/>
    <w:rsid w:val="00427866"/>
    <w:rsid w:val="0043223F"/>
    <w:rsid w:val="004430A5"/>
    <w:rsid w:val="0044367E"/>
    <w:rsid w:val="00446C65"/>
    <w:rsid w:val="004501AD"/>
    <w:rsid w:val="0045273A"/>
    <w:rsid w:val="00453647"/>
    <w:rsid w:val="00454F13"/>
    <w:rsid w:val="00454FF9"/>
    <w:rsid w:val="00460AA2"/>
    <w:rsid w:val="00462399"/>
    <w:rsid w:val="004625C3"/>
    <w:rsid w:val="00465C8A"/>
    <w:rsid w:val="00466085"/>
    <w:rsid w:val="0046668A"/>
    <w:rsid w:val="00466DE8"/>
    <w:rsid w:val="00467D37"/>
    <w:rsid w:val="00475AAD"/>
    <w:rsid w:val="00476772"/>
    <w:rsid w:val="004807D8"/>
    <w:rsid w:val="0048492A"/>
    <w:rsid w:val="00485BF2"/>
    <w:rsid w:val="00486360"/>
    <w:rsid w:val="004870E5"/>
    <w:rsid w:val="00487AC8"/>
    <w:rsid w:val="00490108"/>
    <w:rsid w:val="00492ED3"/>
    <w:rsid w:val="00492EE9"/>
    <w:rsid w:val="00494A35"/>
    <w:rsid w:val="0049518C"/>
    <w:rsid w:val="004A008B"/>
    <w:rsid w:val="004A17F8"/>
    <w:rsid w:val="004A2A14"/>
    <w:rsid w:val="004A3ED8"/>
    <w:rsid w:val="004A44E9"/>
    <w:rsid w:val="004A4D27"/>
    <w:rsid w:val="004B2C1C"/>
    <w:rsid w:val="004B3011"/>
    <w:rsid w:val="004B3E4E"/>
    <w:rsid w:val="004B5B8D"/>
    <w:rsid w:val="004B702D"/>
    <w:rsid w:val="004B7A5D"/>
    <w:rsid w:val="004C01E3"/>
    <w:rsid w:val="004C1824"/>
    <w:rsid w:val="004C1F8C"/>
    <w:rsid w:val="004C267E"/>
    <w:rsid w:val="004C2C97"/>
    <w:rsid w:val="004C3BFC"/>
    <w:rsid w:val="004C4655"/>
    <w:rsid w:val="004C5A96"/>
    <w:rsid w:val="004D1E7C"/>
    <w:rsid w:val="004D21F9"/>
    <w:rsid w:val="004D3C88"/>
    <w:rsid w:val="004D3EFD"/>
    <w:rsid w:val="004D6C39"/>
    <w:rsid w:val="004E30ED"/>
    <w:rsid w:val="004E6514"/>
    <w:rsid w:val="004F0013"/>
    <w:rsid w:val="004F037B"/>
    <w:rsid w:val="004F1964"/>
    <w:rsid w:val="004F2741"/>
    <w:rsid w:val="004F2776"/>
    <w:rsid w:val="004F4A43"/>
    <w:rsid w:val="004F57EA"/>
    <w:rsid w:val="004F5A1F"/>
    <w:rsid w:val="0050673A"/>
    <w:rsid w:val="00507910"/>
    <w:rsid w:val="005101D8"/>
    <w:rsid w:val="005115F1"/>
    <w:rsid w:val="00513405"/>
    <w:rsid w:val="00516927"/>
    <w:rsid w:val="00517508"/>
    <w:rsid w:val="00524AB5"/>
    <w:rsid w:val="0052553C"/>
    <w:rsid w:val="00530955"/>
    <w:rsid w:val="00530EBB"/>
    <w:rsid w:val="00531594"/>
    <w:rsid w:val="005339CE"/>
    <w:rsid w:val="0053608D"/>
    <w:rsid w:val="00536394"/>
    <w:rsid w:val="00536771"/>
    <w:rsid w:val="0054086A"/>
    <w:rsid w:val="00541912"/>
    <w:rsid w:val="00541962"/>
    <w:rsid w:val="00544A1E"/>
    <w:rsid w:val="005454F7"/>
    <w:rsid w:val="00546FF3"/>
    <w:rsid w:val="00552EA1"/>
    <w:rsid w:val="0055372B"/>
    <w:rsid w:val="0055628A"/>
    <w:rsid w:val="00556603"/>
    <w:rsid w:val="00561EBC"/>
    <w:rsid w:val="00562A80"/>
    <w:rsid w:val="005659BA"/>
    <w:rsid w:val="00565F47"/>
    <w:rsid w:val="00571D74"/>
    <w:rsid w:val="00571DC0"/>
    <w:rsid w:val="00574D07"/>
    <w:rsid w:val="00580DD1"/>
    <w:rsid w:val="00581D61"/>
    <w:rsid w:val="0058457D"/>
    <w:rsid w:val="00584C51"/>
    <w:rsid w:val="0059165F"/>
    <w:rsid w:val="00594812"/>
    <w:rsid w:val="00597492"/>
    <w:rsid w:val="005977CD"/>
    <w:rsid w:val="005A198A"/>
    <w:rsid w:val="005A2D99"/>
    <w:rsid w:val="005A556A"/>
    <w:rsid w:val="005A6A03"/>
    <w:rsid w:val="005B1387"/>
    <w:rsid w:val="005B39F5"/>
    <w:rsid w:val="005B3CF3"/>
    <w:rsid w:val="005B4677"/>
    <w:rsid w:val="005B6672"/>
    <w:rsid w:val="005C038C"/>
    <w:rsid w:val="005C1F40"/>
    <w:rsid w:val="005C26E6"/>
    <w:rsid w:val="005C297C"/>
    <w:rsid w:val="005C50DE"/>
    <w:rsid w:val="005C669E"/>
    <w:rsid w:val="005C6BAF"/>
    <w:rsid w:val="005D120E"/>
    <w:rsid w:val="005D2420"/>
    <w:rsid w:val="005E0B51"/>
    <w:rsid w:val="005E18E3"/>
    <w:rsid w:val="005E3AA1"/>
    <w:rsid w:val="005E3DDF"/>
    <w:rsid w:val="005E5481"/>
    <w:rsid w:val="005E5539"/>
    <w:rsid w:val="005F13C2"/>
    <w:rsid w:val="005F37DF"/>
    <w:rsid w:val="005F3B95"/>
    <w:rsid w:val="005F559B"/>
    <w:rsid w:val="006013DE"/>
    <w:rsid w:val="00606E51"/>
    <w:rsid w:val="0061385D"/>
    <w:rsid w:val="00614576"/>
    <w:rsid w:val="00615303"/>
    <w:rsid w:val="006163F2"/>
    <w:rsid w:val="00617AA3"/>
    <w:rsid w:val="006231AA"/>
    <w:rsid w:val="0062393E"/>
    <w:rsid w:val="00624117"/>
    <w:rsid w:val="00624500"/>
    <w:rsid w:val="00626118"/>
    <w:rsid w:val="00626FA9"/>
    <w:rsid w:val="00627FC7"/>
    <w:rsid w:val="00630A1C"/>
    <w:rsid w:val="0063172A"/>
    <w:rsid w:val="00634058"/>
    <w:rsid w:val="00634059"/>
    <w:rsid w:val="006340B5"/>
    <w:rsid w:val="00635984"/>
    <w:rsid w:val="00636C5D"/>
    <w:rsid w:val="00640096"/>
    <w:rsid w:val="00641597"/>
    <w:rsid w:val="00645DC0"/>
    <w:rsid w:val="00660043"/>
    <w:rsid w:val="006658FD"/>
    <w:rsid w:val="0067037C"/>
    <w:rsid w:val="006705E0"/>
    <w:rsid w:val="006724DC"/>
    <w:rsid w:val="0067485A"/>
    <w:rsid w:val="006755C2"/>
    <w:rsid w:val="00680CAD"/>
    <w:rsid w:val="00681F30"/>
    <w:rsid w:val="00682237"/>
    <w:rsid w:val="00682B9C"/>
    <w:rsid w:val="0068357D"/>
    <w:rsid w:val="00683EB7"/>
    <w:rsid w:val="0068713A"/>
    <w:rsid w:val="0069583C"/>
    <w:rsid w:val="006A5038"/>
    <w:rsid w:val="006A535A"/>
    <w:rsid w:val="006A7A1E"/>
    <w:rsid w:val="006B36EE"/>
    <w:rsid w:val="006B752A"/>
    <w:rsid w:val="006B7F97"/>
    <w:rsid w:val="006C29E2"/>
    <w:rsid w:val="006C3937"/>
    <w:rsid w:val="006C57C7"/>
    <w:rsid w:val="006C5E75"/>
    <w:rsid w:val="006C7615"/>
    <w:rsid w:val="006D0A65"/>
    <w:rsid w:val="006D0B4B"/>
    <w:rsid w:val="006D0B9C"/>
    <w:rsid w:val="006D0CD7"/>
    <w:rsid w:val="006D125F"/>
    <w:rsid w:val="006D609F"/>
    <w:rsid w:val="006E0808"/>
    <w:rsid w:val="006E0C83"/>
    <w:rsid w:val="006E0F6E"/>
    <w:rsid w:val="006E26F4"/>
    <w:rsid w:val="006E561B"/>
    <w:rsid w:val="006E6138"/>
    <w:rsid w:val="006E7E40"/>
    <w:rsid w:val="006F0048"/>
    <w:rsid w:val="006F0C30"/>
    <w:rsid w:val="006F1F29"/>
    <w:rsid w:val="006F6DFA"/>
    <w:rsid w:val="007031AC"/>
    <w:rsid w:val="007045A7"/>
    <w:rsid w:val="007056CF"/>
    <w:rsid w:val="00707AC6"/>
    <w:rsid w:val="007101BF"/>
    <w:rsid w:val="00710E18"/>
    <w:rsid w:val="00711D73"/>
    <w:rsid w:val="00712437"/>
    <w:rsid w:val="00712AB9"/>
    <w:rsid w:val="00712FBB"/>
    <w:rsid w:val="007202B8"/>
    <w:rsid w:val="007204CB"/>
    <w:rsid w:val="00725DCC"/>
    <w:rsid w:val="007264E7"/>
    <w:rsid w:val="00731470"/>
    <w:rsid w:val="00731E75"/>
    <w:rsid w:val="0073473A"/>
    <w:rsid w:val="00734C96"/>
    <w:rsid w:val="00734FEE"/>
    <w:rsid w:val="00740C34"/>
    <w:rsid w:val="007421A3"/>
    <w:rsid w:val="007458E4"/>
    <w:rsid w:val="007516CF"/>
    <w:rsid w:val="00752B5B"/>
    <w:rsid w:val="00753B18"/>
    <w:rsid w:val="00761B09"/>
    <w:rsid w:val="00762130"/>
    <w:rsid w:val="0076307E"/>
    <w:rsid w:val="00772F41"/>
    <w:rsid w:val="0077521B"/>
    <w:rsid w:val="00776554"/>
    <w:rsid w:val="007811AB"/>
    <w:rsid w:val="00785E4F"/>
    <w:rsid w:val="0078680E"/>
    <w:rsid w:val="00792109"/>
    <w:rsid w:val="007928C7"/>
    <w:rsid w:val="00793E36"/>
    <w:rsid w:val="00794D26"/>
    <w:rsid w:val="007A0AF9"/>
    <w:rsid w:val="007A1673"/>
    <w:rsid w:val="007A458B"/>
    <w:rsid w:val="007A47AB"/>
    <w:rsid w:val="007A47D0"/>
    <w:rsid w:val="007B00AD"/>
    <w:rsid w:val="007B58FB"/>
    <w:rsid w:val="007B6A98"/>
    <w:rsid w:val="007B7EE3"/>
    <w:rsid w:val="007C035E"/>
    <w:rsid w:val="007C0EC0"/>
    <w:rsid w:val="007C6BBE"/>
    <w:rsid w:val="007C75FA"/>
    <w:rsid w:val="007D0F9A"/>
    <w:rsid w:val="007D4329"/>
    <w:rsid w:val="007D4552"/>
    <w:rsid w:val="007D49B8"/>
    <w:rsid w:val="007D57B6"/>
    <w:rsid w:val="007D6457"/>
    <w:rsid w:val="007D759B"/>
    <w:rsid w:val="007E1CC4"/>
    <w:rsid w:val="007E2D1B"/>
    <w:rsid w:val="007E377A"/>
    <w:rsid w:val="007E422B"/>
    <w:rsid w:val="007E6064"/>
    <w:rsid w:val="007F0A36"/>
    <w:rsid w:val="007F5B57"/>
    <w:rsid w:val="007F707C"/>
    <w:rsid w:val="0080097C"/>
    <w:rsid w:val="00803317"/>
    <w:rsid w:val="008050C5"/>
    <w:rsid w:val="00816305"/>
    <w:rsid w:val="0081690D"/>
    <w:rsid w:val="008227C0"/>
    <w:rsid w:val="00822F18"/>
    <w:rsid w:val="008237AE"/>
    <w:rsid w:val="008245C9"/>
    <w:rsid w:val="00831DA8"/>
    <w:rsid w:val="008338E9"/>
    <w:rsid w:val="0083456A"/>
    <w:rsid w:val="00836C91"/>
    <w:rsid w:val="00837E5D"/>
    <w:rsid w:val="008400A9"/>
    <w:rsid w:val="00844881"/>
    <w:rsid w:val="00851111"/>
    <w:rsid w:val="0085139E"/>
    <w:rsid w:val="00851BAA"/>
    <w:rsid w:val="00854839"/>
    <w:rsid w:val="00855CDD"/>
    <w:rsid w:val="00857895"/>
    <w:rsid w:val="00860209"/>
    <w:rsid w:val="00861447"/>
    <w:rsid w:val="00862F1A"/>
    <w:rsid w:val="00866DC9"/>
    <w:rsid w:val="00867868"/>
    <w:rsid w:val="00867964"/>
    <w:rsid w:val="00867F26"/>
    <w:rsid w:val="00870B1C"/>
    <w:rsid w:val="00871FDA"/>
    <w:rsid w:val="00875E76"/>
    <w:rsid w:val="008760F4"/>
    <w:rsid w:val="00876C9B"/>
    <w:rsid w:val="00880E46"/>
    <w:rsid w:val="00884EE0"/>
    <w:rsid w:val="00885021"/>
    <w:rsid w:val="008857F3"/>
    <w:rsid w:val="0089097C"/>
    <w:rsid w:val="008913F6"/>
    <w:rsid w:val="008978BC"/>
    <w:rsid w:val="00897B8F"/>
    <w:rsid w:val="008A00DE"/>
    <w:rsid w:val="008A1135"/>
    <w:rsid w:val="008A5579"/>
    <w:rsid w:val="008A7105"/>
    <w:rsid w:val="008B23ED"/>
    <w:rsid w:val="008B3CF6"/>
    <w:rsid w:val="008B6E3E"/>
    <w:rsid w:val="008C22C3"/>
    <w:rsid w:val="008C2872"/>
    <w:rsid w:val="008C4E93"/>
    <w:rsid w:val="008C5174"/>
    <w:rsid w:val="008C5331"/>
    <w:rsid w:val="008C7EF1"/>
    <w:rsid w:val="008D1C6E"/>
    <w:rsid w:val="008D589B"/>
    <w:rsid w:val="008D5F36"/>
    <w:rsid w:val="008D6F39"/>
    <w:rsid w:val="008D74D8"/>
    <w:rsid w:val="008E45DD"/>
    <w:rsid w:val="008E5BEA"/>
    <w:rsid w:val="008E61CF"/>
    <w:rsid w:val="008E66A7"/>
    <w:rsid w:val="008F0027"/>
    <w:rsid w:val="008F13F4"/>
    <w:rsid w:val="008F2248"/>
    <w:rsid w:val="008F429A"/>
    <w:rsid w:val="008F4809"/>
    <w:rsid w:val="008F4885"/>
    <w:rsid w:val="008F69B0"/>
    <w:rsid w:val="008F6DFC"/>
    <w:rsid w:val="00900FA9"/>
    <w:rsid w:val="00901C9D"/>
    <w:rsid w:val="0090254E"/>
    <w:rsid w:val="0090397D"/>
    <w:rsid w:val="00903B8A"/>
    <w:rsid w:val="0090531F"/>
    <w:rsid w:val="00907F35"/>
    <w:rsid w:val="0091449C"/>
    <w:rsid w:val="00915C0A"/>
    <w:rsid w:val="00916394"/>
    <w:rsid w:val="00916C61"/>
    <w:rsid w:val="00920BE6"/>
    <w:rsid w:val="00920D54"/>
    <w:rsid w:val="00922E91"/>
    <w:rsid w:val="009253A2"/>
    <w:rsid w:val="009260F9"/>
    <w:rsid w:val="00926811"/>
    <w:rsid w:val="009328BD"/>
    <w:rsid w:val="0093469C"/>
    <w:rsid w:val="00940D53"/>
    <w:rsid w:val="00942081"/>
    <w:rsid w:val="009447BD"/>
    <w:rsid w:val="00950D6C"/>
    <w:rsid w:val="00952B8F"/>
    <w:rsid w:val="00955935"/>
    <w:rsid w:val="00956877"/>
    <w:rsid w:val="009574EE"/>
    <w:rsid w:val="00964F16"/>
    <w:rsid w:val="0096690F"/>
    <w:rsid w:val="0096729D"/>
    <w:rsid w:val="00967A7A"/>
    <w:rsid w:val="00970692"/>
    <w:rsid w:val="00971686"/>
    <w:rsid w:val="00973719"/>
    <w:rsid w:val="00973845"/>
    <w:rsid w:val="009743E5"/>
    <w:rsid w:val="0097647D"/>
    <w:rsid w:val="00983A52"/>
    <w:rsid w:val="00984B13"/>
    <w:rsid w:val="00986AE7"/>
    <w:rsid w:val="00987773"/>
    <w:rsid w:val="00987A32"/>
    <w:rsid w:val="00993600"/>
    <w:rsid w:val="0099428B"/>
    <w:rsid w:val="00997D11"/>
    <w:rsid w:val="009A0A96"/>
    <w:rsid w:val="009A271D"/>
    <w:rsid w:val="009A44F9"/>
    <w:rsid w:val="009A70D5"/>
    <w:rsid w:val="009B2507"/>
    <w:rsid w:val="009B2E8E"/>
    <w:rsid w:val="009B3004"/>
    <w:rsid w:val="009B348C"/>
    <w:rsid w:val="009B7712"/>
    <w:rsid w:val="009B7B83"/>
    <w:rsid w:val="009C0636"/>
    <w:rsid w:val="009C08BA"/>
    <w:rsid w:val="009C6F0A"/>
    <w:rsid w:val="009C6F32"/>
    <w:rsid w:val="009C797B"/>
    <w:rsid w:val="009D02E8"/>
    <w:rsid w:val="009D0C05"/>
    <w:rsid w:val="009D4274"/>
    <w:rsid w:val="009D461F"/>
    <w:rsid w:val="009D5D74"/>
    <w:rsid w:val="009D622C"/>
    <w:rsid w:val="009E1268"/>
    <w:rsid w:val="009E5AB3"/>
    <w:rsid w:val="009E61F7"/>
    <w:rsid w:val="009E7BE7"/>
    <w:rsid w:val="009E7EB2"/>
    <w:rsid w:val="009F145D"/>
    <w:rsid w:val="009F17D1"/>
    <w:rsid w:val="009F7CAB"/>
    <w:rsid w:val="00A011F7"/>
    <w:rsid w:val="00A02E6E"/>
    <w:rsid w:val="00A03F22"/>
    <w:rsid w:val="00A064C9"/>
    <w:rsid w:val="00A0662C"/>
    <w:rsid w:val="00A12624"/>
    <w:rsid w:val="00A1407B"/>
    <w:rsid w:val="00A14B13"/>
    <w:rsid w:val="00A14B40"/>
    <w:rsid w:val="00A15BF3"/>
    <w:rsid w:val="00A17FEB"/>
    <w:rsid w:val="00A20772"/>
    <w:rsid w:val="00A214C8"/>
    <w:rsid w:val="00A21567"/>
    <w:rsid w:val="00A215C7"/>
    <w:rsid w:val="00A22C2D"/>
    <w:rsid w:val="00A24B13"/>
    <w:rsid w:val="00A25794"/>
    <w:rsid w:val="00A30451"/>
    <w:rsid w:val="00A3148A"/>
    <w:rsid w:val="00A324AB"/>
    <w:rsid w:val="00A33C11"/>
    <w:rsid w:val="00A34E09"/>
    <w:rsid w:val="00A35B35"/>
    <w:rsid w:val="00A44A6C"/>
    <w:rsid w:val="00A45819"/>
    <w:rsid w:val="00A4687A"/>
    <w:rsid w:val="00A47350"/>
    <w:rsid w:val="00A47C08"/>
    <w:rsid w:val="00A517BC"/>
    <w:rsid w:val="00A52F47"/>
    <w:rsid w:val="00A54695"/>
    <w:rsid w:val="00A54D83"/>
    <w:rsid w:val="00A61F5C"/>
    <w:rsid w:val="00A63384"/>
    <w:rsid w:val="00A6416E"/>
    <w:rsid w:val="00A71754"/>
    <w:rsid w:val="00A717E7"/>
    <w:rsid w:val="00A71EDB"/>
    <w:rsid w:val="00A74152"/>
    <w:rsid w:val="00A757D1"/>
    <w:rsid w:val="00A76A28"/>
    <w:rsid w:val="00A8284E"/>
    <w:rsid w:val="00A83243"/>
    <w:rsid w:val="00A83CC9"/>
    <w:rsid w:val="00A8789C"/>
    <w:rsid w:val="00A90111"/>
    <w:rsid w:val="00A91528"/>
    <w:rsid w:val="00A95196"/>
    <w:rsid w:val="00A9738A"/>
    <w:rsid w:val="00AA1EFF"/>
    <w:rsid w:val="00AA5115"/>
    <w:rsid w:val="00AB14C7"/>
    <w:rsid w:val="00AB2264"/>
    <w:rsid w:val="00AB4E47"/>
    <w:rsid w:val="00AB67F7"/>
    <w:rsid w:val="00AC0715"/>
    <w:rsid w:val="00AC146C"/>
    <w:rsid w:val="00AC1F76"/>
    <w:rsid w:val="00AC2615"/>
    <w:rsid w:val="00AC5AB5"/>
    <w:rsid w:val="00AC64D8"/>
    <w:rsid w:val="00AD12D2"/>
    <w:rsid w:val="00AD1729"/>
    <w:rsid w:val="00AD2774"/>
    <w:rsid w:val="00AD3941"/>
    <w:rsid w:val="00AD5261"/>
    <w:rsid w:val="00AE0009"/>
    <w:rsid w:val="00AE357A"/>
    <w:rsid w:val="00AE38B2"/>
    <w:rsid w:val="00AE5A4E"/>
    <w:rsid w:val="00AE76F9"/>
    <w:rsid w:val="00AF3694"/>
    <w:rsid w:val="00AF4B9E"/>
    <w:rsid w:val="00AF6636"/>
    <w:rsid w:val="00B11692"/>
    <w:rsid w:val="00B14116"/>
    <w:rsid w:val="00B1486E"/>
    <w:rsid w:val="00B15BDD"/>
    <w:rsid w:val="00B20443"/>
    <w:rsid w:val="00B2550B"/>
    <w:rsid w:val="00B259CE"/>
    <w:rsid w:val="00B25B50"/>
    <w:rsid w:val="00B30680"/>
    <w:rsid w:val="00B31DD7"/>
    <w:rsid w:val="00B32CAF"/>
    <w:rsid w:val="00B33432"/>
    <w:rsid w:val="00B336D5"/>
    <w:rsid w:val="00B35F18"/>
    <w:rsid w:val="00B3657C"/>
    <w:rsid w:val="00B42372"/>
    <w:rsid w:val="00B423A4"/>
    <w:rsid w:val="00B437D6"/>
    <w:rsid w:val="00B43AB0"/>
    <w:rsid w:val="00B4446B"/>
    <w:rsid w:val="00B523FB"/>
    <w:rsid w:val="00B52E8F"/>
    <w:rsid w:val="00B5525E"/>
    <w:rsid w:val="00B57738"/>
    <w:rsid w:val="00B63137"/>
    <w:rsid w:val="00B63604"/>
    <w:rsid w:val="00B63FA9"/>
    <w:rsid w:val="00B650CC"/>
    <w:rsid w:val="00B707BD"/>
    <w:rsid w:val="00B71457"/>
    <w:rsid w:val="00B750BF"/>
    <w:rsid w:val="00B75217"/>
    <w:rsid w:val="00B776B5"/>
    <w:rsid w:val="00B81AFD"/>
    <w:rsid w:val="00B85442"/>
    <w:rsid w:val="00B91090"/>
    <w:rsid w:val="00B926B7"/>
    <w:rsid w:val="00B94A3A"/>
    <w:rsid w:val="00B95094"/>
    <w:rsid w:val="00BA7533"/>
    <w:rsid w:val="00BC4096"/>
    <w:rsid w:val="00BC65BA"/>
    <w:rsid w:val="00BD55FE"/>
    <w:rsid w:val="00BD75D2"/>
    <w:rsid w:val="00BE0383"/>
    <w:rsid w:val="00BE07A0"/>
    <w:rsid w:val="00BE1C3A"/>
    <w:rsid w:val="00BE611C"/>
    <w:rsid w:val="00BE70FF"/>
    <w:rsid w:val="00BF1079"/>
    <w:rsid w:val="00BF2768"/>
    <w:rsid w:val="00BF5859"/>
    <w:rsid w:val="00BF6DFF"/>
    <w:rsid w:val="00C00048"/>
    <w:rsid w:val="00C00239"/>
    <w:rsid w:val="00C068F5"/>
    <w:rsid w:val="00C11842"/>
    <w:rsid w:val="00C12994"/>
    <w:rsid w:val="00C1363B"/>
    <w:rsid w:val="00C14D24"/>
    <w:rsid w:val="00C1538F"/>
    <w:rsid w:val="00C15926"/>
    <w:rsid w:val="00C16139"/>
    <w:rsid w:val="00C17609"/>
    <w:rsid w:val="00C177ED"/>
    <w:rsid w:val="00C2265C"/>
    <w:rsid w:val="00C23420"/>
    <w:rsid w:val="00C30985"/>
    <w:rsid w:val="00C33BB9"/>
    <w:rsid w:val="00C3464B"/>
    <w:rsid w:val="00C35140"/>
    <w:rsid w:val="00C35A34"/>
    <w:rsid w:val="00C3715A"/>
    <w:rsid w:val="00C421FF"/>
    <w:rsid w:val="00C425BE"/>
    <w:rsid w:val="00C44F2B"/>
    <w:rsid w:val="00C545D3"/>
    <w:rsid w:val="00C54A8C"/>
    <w:rsid w:val="00C56388"/>
    <w:rsid w:val="00C5675C"/>
    <w:rsid w:val="00C61233"/>
    <w:rsid w:val="00C61911"/>
    <w:rsid w:val="00C627D8"/>
    <w:rsid w:val="00C62EB5"/>
    <w:rsid w:val="00C65EB9"/>
    <w:rsid w:val="00C718D9"/>
    <w:rsid w:val="00C72850"/>
    <w:rsid w:val="00C73632"/>
    <w:rsid w:val="00C75175"/>
    <w:rsid w:val="00C7543D"/>
    <w:rsid w:val="00C759F9"/>
    <w:rsid w:val="00C777E7"/>
    <w:rsid w:val="00C81E92"/>
    <w:rsid w:val="00C837C1"/>
    <w:rsid w:val="00C91398"/>
    <w:rsid w:val="00C92269"/>
    <w:rsid w:val="00C92ED2"/>
    <w:rsid w:val="00C93239"/>
    <w:rsid w:val="00C94BF8"/>
    <w:rsid w:val="00C94F86"/>
    <w:rsid w:val="00CA180E"/>
    <w:rsid w:val="00CA23F1"/>
    <w:rsid w:val="00CA3D05"/>
    <w:rsid w:val="00CA4DB3"/>
    <w:rsid w:val="00CA574E"/>
    <w:rsid w:val="00CA69FF"/>
    <w:rsid w:val="00CA7FEE"/>
    <w:rsid w:val="00CB0B37"/>
    <w:rsid w:val="00CB0CBA"/>
    <w:rsid w:val="00CB11FA"/>
    <w:rsid w:val="00CC1F38"/>
    <w:rsid w:val="00CC4D3B"/>
    <w:rsid w:val="00CC6328"/>
    <w:rsid w:val="00CC69B1"/>
    <w:rsid w:val="00CC7D94"/>
    <w:rsid w:val="00CD17D9"/>
    <w:rsid w:val="00CD218F"/>
    <w:rsid w:val="00CD417B"/>
    <w:rsid w:val="00CD4EA9"/>
    <w:rsid w:val="00CD6CA5"/>
    <w:rsid w:val="00CE0A40"/>
    <w:rsid w:val="00CE0C33"/>
    <w:rsid w:val="00CE2480"/>
    <w:rsid w:val="00CE3871"/>
    <w:rsid w:val="00CE39D5"/>
    <w:rsid w:val="00CE5C29"/>
    <w:rsid w:val="00CE7671"/>
    <w:rsid w:val="00CF1043"/>
    <w:rsid w:val="00CF1336"/>
    <w:rsid w:val="00CF2265"/>
    <w:rsid w:val="00CF32D4"/>
    <w:rsid w:val="00CF38DA"/>
    <w:rsid w:val="00CF6B12"/>
    <w:rsid w:val="00CF6CA8"/>
    <w:rsid w:val="00CF797E"/>
    <w:rsid w:val="00D01079"/>
    <w:rsid w:val="00D018E6"/>
    <w:rsid w:val="00D02059"/>
    <w:rsid w:val="00D02D89"/>
    <w:rsid w:val="00D03B55"/>
    <w:rsid w:val="00D04D65"/>
    <w:rsid w:val="00D063F2"/>
    <w:rsid w:val="00D06DB2"/>
    <w:rsid w:val="00D10FDF"/>
    <w:rsid w:val="00D15CC8"/>
    <w:rsid w:val="00D20615"/>
    <w:rsid w:val="00D20796"/>
    <w:rsid w:val="00D2538D"/>
    <w:rsid w:val="00D268C9"/>
    <w:rsid w:val="00D301ED"/>
    <w:rsid w:val="00D313B0"/>
    <w:rsid w:val="00D319D4"/>
    <w:rsid w:val="00D32569"/>
    <w:rsid w:val="00D36569"/>
    <w:rsid w:val="00D36FBF"/>
    <w:rsid w:val="00D40062"/>
    <w:rsid w:val="00D405E7"/>
    <w:rsid w:val="00D4133A"/>
    <w:rsid w:val="00D436F6"/>
    <w:rsid w:val="00D440FF"/>
    <w:rsid w:val="00D44DD1"/>
    <w:rsid w:val="00D50BC2"/>
    <w:rsid w:val="00D515C2"/>
    <w:rsid w:val="00D53B9C"/>
    <w:rsid w:val="00D5622E"/>
    <w:rsid w:val="00D570CE"/>
    <w:rsid w:val="00D66F14"/>
    <w:rsid w:val="00D679C1"/>
    <w:rsid w:val="00D67A9D"/>
    <w:rsid w:val="00D7638B"/>
    <w:rsid w:val="00D76DCC"/>
    <w:rsid w:val="00D77D9E"/>
    <w:rsid w:val="00D81C8D"/>
    <w:rsid w:val="00D81D6D"/>
    <w:rsid w:val="00D8340F"/>
    <w:rsid w:val="00D86400"/>
    <w:rsid w:val="00D867D6"/>
    <w:rsid w:val="00D868DE"/>
    <w:rsid w:val="00D90503"/>
    <w:rsid w:val="00D94A33"/>
    <w:rsid w:val="00D97FE0"/>
    <w:rsid w:val="00DA1C78"/>
    <w:rsid w:val="00DA2F03"/>
    <w:rsid w:val="00DA6875"/>
    <w:rsid w:val="00DB0107"/>
    <w:rsid w:val="00DB18E3"/>
    <w:rsid w:val="00DB297D"/>
    <w:rsid w:val="00DB4314"/>
    <w:rsid w:val="00DB6163"/>
    <w:rsid w:val="00DB66A1"/>
    <w:rsid w:val="00DB75D0"/>
    <w:rsid w:val="00DB7C7C"/>
    <w:rsid w:val="00DC04D3"/>
    <w:rsid w:val="00DC0A19"/>
    <w:rsid w:val="00DC0C8E"/>
    <w:rsid w:val="00DC1BE6"/>
    <w:rsid w:val="00DC758E"/>
    <w:rsid w:val="00DD1317"/>
    <w:rsid w:val="00DD2F1D"/>
    <w:rsid w:val="00DD60CF"/>
    <w:rsid w:val="00DE02C0"/>
    <w:rsid w:val="00DE0C01"/>
    <w:rsid w:val="00DE3797"/>
    <w:rsid w:val="00DE5AB2"/>
    <w:rsid w:val="00DE671D"/>
    <w:rsid w:val="00DF4497"/>
    <w:rsid w:val="00DF4D3B"/>
    <w:rsid w:val="00DF4E4D"/>
    <w:rsid w:val="00DF715B"/>
    <w:rsid w:val="00E00C09"/>
    <w:rsid w:val="00E01840"/>
    <w:rsid w:val="00E03760"/>
    <w:rsid w:val="00E03EFD"/>
    <w:rsid w:val="00E0782E"/>
    <w:rsid w:val="00E07EFA"/>
    <w:rsid w:val="00E10D0C"/>
    <w:rsid w:val="00E10E49"/>
    <w:rsid w:val="00E16966"/>
    <w:rsid w:val="00E16B58"/>
    <w:rsid w:val="00E173A4"/>
    <w:rsid w:val="00E1777D"/>
    <w:rsid w:val="00E20B76"/>
    <w:rsid w:val="00E21B6D"/>
    <w:rsid w:val="00E22996"/>
    <w:rsid w:val="00E319E4"/>
    <w:rsid w:val="00E34FE8"/>
    <w:rsid w:val="00E368CB"/>
    <w:rsid w:val="00E377D4"/>
    <w:rsid w:val="00E406E1"/>
    <w:rsid w:val="00E4111A"/>
    <w:rsid w:val="00E418B7"/>
    <w:rsid w:val="00E419D1"/>
    <w:rsid w:val="00E41A8F"/>
    <w:rsid w:val="00E41A9E"/>
    <w:rsid w:val="00E425CE"/>
    <w:rsid w:val="00E47A9E"/>
    <w:rsid w:val="00E52810"/>
    <w:rsid w:val="00E57D01"/>
    <w:rsid w:val="00E61E2A"/>
    <w:rsid w:val="00E62870"/>
    <w:rsid w:val="00E63015"/>
    <w:rsid w:val="00E70E68"/>
    <w:rsid w:val="00E7106D"/>
    <w:rsid w:val="00E718C8"/>
    <w:rsid w:val="00E7401E"/>
    <w:rsid w:val="00E762FB"/>
    <w:rsid w:val="00E81DDF"/>
    <w:rsid w:val="00E82791"/>
    <w:rsid w:val="00E8332D"/>
    <w:rsid w:val="00E85DFB"/>
    <w:rsid w:val="00E85F74"/>
    <w:rsid w:val="00E865C1"/>
    <w:rsid w:val="00E87CCD"/>
    <w:rsid w:val="00E92C08"/>
    <w:rsid w:val="00E94054"/>
    <w:rsid w:val="00E94B32"/>
    <w:rsid w:val="00E94F48"/>
    <w:rsid w:val="00E95A5B"/>
    <w:rsid w:val="00EA02B6"/>
    <w:rsid w:val="00EA1009"/>
    <w:rsid w:val="00EA39E3"/>
    <w:rsid w:val="00EA50FC"/>
    <w:rsid w:val="00EA6123"/>
    <w:rsid w:val="00EB170B"/>
    <w:rsid w:val="00EB290D"/>
    <w:rsid w:val="00EB632A"/>
    <w:rsid w:val="00EC36BC"/>
    <w:rsid w:val="00ED2203"/>
    <w:rsid w:val="00ED2569"/>
    <w:rsid w:val="00ED25B1"/>
    <w:rsid w:val="00ED7FAF"/>
    <w:rsid w:val="00EE0104"/>
    <w:rsid w:val="00EE07DA"/>
    <w:rsid w:val="00EE2AD2"/>
    <w:rsid w:val="00EE324B"/>
    <w:rsid w:val="00EE56CB"/>
    <w:rsid w:val="00EE6C48"/>
    <w:rsid w:val="00EF0079"/>
    <w:rsid w:val="00EF3E79"/>
    <w:rsid w:val="00EF4E25"/>
    <w:rsid w:val="00EF771A"/>
    <w:rsid w:val="00F03DD9"/>
    <w:rsid w:val="00F06A8A"/>
    <w:rsid w:val="00F0761C"/>
    <w:rsid w:val="00F1054C"/>
    <w:rsid w:val="00F11975"/>
    <w:rsid w:val="00F1246B"/>
    <w:rsid w:val="00F243C8"/>
    <w:rsid w:val="00F26D6A"/>
    <w:rsid w:val="00F304A9"/>
    <w:rsid w:val="00F30C1A"/>
    <w:rsid w:val="00F33F84"/>
    <w:rsid w:val="00F3568E"/>
    <w:rsid w:val="00F35A11"/>
    <w:rsid w:val="00F400ED"/>
    <w:rsid w:val="00F420CC"/>
    <w:rsid w:val="00F43840"/>
    <w:rsid w:val="00F43BBA"/>
    <w:rsid w:val="00F46253"/>
    <w:rsid w:val="00F50479"/>
    <w:rsid w:val="00F507CD"/>
    <w:rsid w:val="00F52083"/>
    <w:rsid w:val="00F53C91"/>
    <w:rsid w:val="00F56191"/>
    <w:rsid w:val="00F6000A"/>
    <w:rsid w:val="00F64BB0"/>
    <w:rsid w:val="00F709AA"/>
    <w:rsid w:val="00F72CCB"/>
    <w:rsid w:val="00F75244"/>
    <w:rsid w:val="00F801B9"/>
    <w:rsid w:val="00F8304C"/>
    <w:rsid w:val="00F85A8C"/>
    <w:rsid w:val="00F903F4"/>
    <w:rsid w:val="00F915F1"/>
    <w:rsid w:val="00F91721"/>
    <w:rsid w:val="00F920ED"/>
    <w:rsid w:val="00F95601"/>
    <w:rsid w:val="00FA07E3"/>
    <w:rsid w:val="00FA5879"/>
    <w:rsid w:val="00FA5CFA"/>
    <w:rsid w:val="00FB04D2"/>
    <w:rsid w:val="00FD0B60"/>
    <w:rsid w:val="00FD2335"/>
    <w:rsid w:val="00FD29BA"/>
    <w:rsid w:val="00FD2AED"/>
    <w:rsid w:val="00FD739B"/>
    <w:rsid w:val="00FE0E36"/>
    <w:rsid w:val="00FE268E"/>
    <w:rsid w:val="00FE2790"/>
    <w:rsid w:val="00FE639A"/>
    <w:rsid w:val="00FE6EA5"/>
    <w:rsid w:val="00FE76EB"/>
    <w:rsid w:val="00FE7BE9"/>
    <w:rsid w:val="00FF344D"/>
    <w:rsid w:val="00FF39E5"/>
    <w:rsid w:val="00FF3C6E"/>
    <w:rsid w:val="00FF401B"/>
    <w:rsid w:val="00FF463F"/>
    <w:rsid w:val="00FF7F98"/>
    <w:rsid w:val="013C716E"/>
    <w:rsid w:val="016531D1"/>
    <w:rsid w:val="02815105"/>
    <w:rsid w:val="04B553E9"/>
    <w:rsid w:val="054364BD"/>
    <w:rsid w:val="06124B79"/>
    <w:rsid w:val="06444866"/>
    <w:rsid w:val="098D7D07"/>
    <w:rsid w:val="09A81FC0"/>
    <w:rsid w:val="0D00167E"/>
    <w:rsid w:val="0D4F1B22"/>
    <w:rsid w:val="0D5B2689"/>
    <w:rsid w:val="0D6573C2"/>
    <w:rsid w:val="0E5B754A"/>
    <w:rsid w:val="0EAE2BD9"/>
    <w:rsid w:val="0FAD2FF6"/>
    <w:rsid w:val="10DB1C9F"/>
    <w:rsid w:val="12A56C4A"/>
    <w:rsid w:val="12AF6F40"/>
    <w:rsid w:val="12E3308D"/>
    <w:rsid w:val="1312127D"/>
    <w:rsid w:val="144F5E53"/>
    <w:rsid w:val="15475B55"/>
    <w:rsid w:val="155D7127"/>
    <w:rsid w:val="15D67299"/>
    <w:rsid w:val="160F7CF5"/>
    <w:rsid w:val="173F0F72"/>
    <w:rsid w:val="185760F5"/>
    <w:rsid w:val="191373BD"/>
    <w:rsid w:val="1BE35C1B"/>
    <w:rsid w:val="1F010B23"/>
    <w:rsid w:val="20E95D13"/>
    <w:rsid w:val="24CA2AC2"/>
    <w:rsid w:val="256A67A4"/>
    <w:rsid w:val="26887D7C"/>
    <w:rsid w:val="2AEC3A3B"/>
    <w:rsid w:val="2C29627A"/>
    <w:rsid w:val="2E0C3040"/>
    <w:rsid w:val="2EDB044D"/>
    <w:rsid w:val="2F041F69"/>
    <w:rsid w:val="2FAF45CB"/>
    <w:rsid w:val="30080B31"/>
    <w:rsid w:val="328E14B9"/>
    <w:rsid w:val="329477FB"/>
    <w:rsid w:val="335D1C8B"/>
    <w:rsid w:val="336D4EC5"/>
    <w:rsid w:val="33E5680D"/>
    <w:rsid w:val="34D83C7C"/>
    <w:rsid w:val="359A5773"/>
    <w:rsid w:val="35C3492C"/>
    <w:rsid w:val="36BB24F6"/>
    <w:rsid w:val="36C27277"/>
    <w:rsid w:val="36CF10AF"/>
    <w:rsid w:val="380145D2"/>
    <w:rsid w:val="38EA0CA8"/>
    <w:rsid w:val="3AA12D62"/>
    <w:rsid w:val="3B1D585A"/>
    <w:rsid w:val="3C1110A5"/>
    <w:rsid w:val="3C461E13"/>
    <w:rsid w:val="3C903F51"/>
    <w:rsid w:val="3E510064"/>
    <w:rsid w:val="3E9E213C"/>
    <w:rsid w:val="436B0FC0"/>
    <w:rsid w:val="438A31BB"/>
    <w:rsid w:val="43D617A7"/>
    <w:rsid w:val="4413597E"/>
    <w:rsid w:val="441C0974"/>
    <w:rsid w:val="446E75ED"/>
    <w:rsid w:val="4B4D4234"/>
    <w:rsid w:val="4B9825BC"/>
    <w:rsid w:val="4CB614C5"/>
    <w:rsid w:val="4DB200A1"/>
    <w:rsid w:val="4EBC51AA"/>
    <w:rsid w:val="4F7B372A"/>
    <w:rsid w:val="500B3467"/>
    <w:rsid w:val="50181F31"/>
    <w:rsid w:val="507C608D"/>
    <w:rsid w:val="51B6571C"/>
    <w:rsid w:val="535112B4"/>
    <w:rsid w:val="53D05DA1"/>
    <w:rsid w:val="55F66200"/>
    <w:rsid w:val="56694C24"/>
    <w:rsid w:val="589635DD"/>
    <w:rsid w:val="59442A7C"/>
    <w:rsid w:val="5A3C5143"/>
    <w:rsid w:val="5B734C0E"/>
    <w:rsid w:val="5C0B4CC7"/>
    <w:rsid w:val="5C335AB8"/>
    <w:rsid w:val="5C553A5A"/>
    <w:rsid w:val="5E7B5DB2"/>
    <w:rsid w:val="5F7379FE"/>
    <w:rsid w:val="60EB1A51"/>
    <w:rsid w:val="613758C8"/>
    <w:rsid w:val="61903065"/>
    <w:rsid w:val="61DA69D6"/>
    <w:rsid w:val="623C7608"/>
    <w:rsid w:val="62E16025"/>
    <w:rsid w:val="62E449A8"/>
    <w:rsid w:val="63C7091D"/>
    <w:rsid w:val="64084829"/>
    <w:rsid w:val="64253959"/>
    <w:rsid w:val="65674A25"/>
    <w:rsid w:val="67B63E1E"/>
    <w:rsid w:val="68224C33"/>
    <w:rsid w:val="6A3E4E30"/>
    <w:rsid w:val="6A8E75E3"/>
    <w:rsid w:val="6B282ABF"/>
    <w:rsid w:val="6BB30BF1"/>
    <w:rsid w:val="6D535C20"/>
    <w:rsid w:val="6D7274D0"/>
    <w:rsid w:val="6F1E12D7"/>
    <w:rsid w:val="6FA34825"/>
    <w:rsid w:val="70497201"/>
    <w:rsid w:val="70827D7E"/>
    <w:rsid w:val="711315BD"/>
    <w:rsid w:val="723F2158"/>
    <w:rsid w:val="74D75F95"/>
    <w:rsid w:val="75734D20"/>
    <w:rsid w:val="76300779"/>
    <w:rsid w:val="770F2826"/>
    <w:rsid w:val="77E15F71"/>
    <w:rsid w:val="7CF207F4"/>
    <w:rsid w:val="7DC964F0"/>
    <w:rsid w:val="7F9A38E2"/>
    <w:rsid w:val="7FE3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5">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6">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Cs w:val="24"/>
    </w:rPr>
  </w:style>
  <w:style w:type="paragraph" w:styleId="3">
    <w:name w:val="Body Text Indent"/>
    <w:basedOn w:val="1"/>
    <w:unhideWhenUsed/>
    <w:qFormat/>
    <w:uiPriority w:val="99"/>
    <w:pPr>
      <w:spacing w:after="120"/>
      <w:ind w:left="420" w:leftChars="200"/>
    </w:pPr>
  </w:style>
  <w:style w:type="paragraph" w:styleId="8">
    <w:name w:val="annotation text"/>
    <w:basedOn w:val="1"/>
    <w:link w:val="27"/>
    <w:unhideWhenUsed/>
    <w:qFormat/>
    <w:uiPriority w:val="99"/>
    <w:pPr>
      <w:jc w:val="left"/>
    </w:pPr>
  </w:style>
  <w:style w:type="paragraph" w:styleId="9">
    <w:name w:val="Body Text"/>
    <w:basedOn w:val="1"/>
    <w:qFormat/>
    <w:uiPriority w:val="0"/>
  </w:style>
  <w:style w:type="paragraph" w:styleId="10">
    <w:name w:val="Plain Text"/>
    <w:basedOn w:val="1"/>
    <w:link w:val="30"/>
    <w:qFormat/>
    <w:uiPriority w:val="0"/>
    <w:rPr>
      <w:rFonts w:ascii="宋体" w:hAnsi="Courier New" w:eastAsiaTheme="minorEastAsia" w:cstheme="minorBidi"/>
    </w:rPr>
  </w:style>
  <w:style w:type="paragraph" w:styleId="11">
    <w:name w:val="Date"/>
    <w:basedOn w:val="1"/>
    <w:next w:val="1"/>
    <w:link w:val="22"/>
    <w:qFormat/>
    <w:uiPriority w:val="0"/>
    <w:rPr>
      <w:rFonts w:ascii="宋体" w:hAnsi="Courier New"/>
      <w:kern w:val="0"/>
      <w:sz w:val="32"/>
      <w:szCs w:val="20"/>
    </w:rPr>
  </w:style>
  <w:style w:type="paragraph" w:styleId="12">
    <w:name w:val="Balloon Text"/>
    <w:basedOn w:val="1"/>
    <w:link w:val="23"/>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sz w:val="18"/>
      <w:szCs w:val="18"/>
    </w:rPr>
  </w:style>
  <w:style w:type="paragraph" w:styleId="14">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28"/>
    <w:semiHidden/>
    <w:unhideWhenUsed/>
    <w:qFormat/>
    <w:uiPriority w:val="99"/>
    <w:rPr>
      <w:b/>
      <w:bCs/>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1"/>
    <w:qFormat/>
    <w:uiPriority w:val="0"/>
    <w:rPr>
      <w:rFonts w:ascii="宋体" w:hAnsi="Courier New" w:eastAsia="宋体" w:cs="Times New Roman"/>
      <w:kern w:val="0"/>
      <w:sz w:val="32"/>
      <w:szCs w:val="20"/>
    </w:rPr>
  </w:style>
  <w:style w:type="character" w:customStyle="1" w:styleId="22">
    <w:name w:val="日期 Char1"/>
    <w:basedOn w:val="18"/>
    <w:link w:val="11"/>
    <w:semiHidden/>
    <w:qFormat/>
    <w:uiPriority w:val="99"/>
    <w:rPr>
      <w:rFonts w:ascii="Calibri" w:hAnsi="Calibri" w:eastAsia="宋体" w:cs="Times New Roman"/>
    </w:rPr>
  </w:style>
  <w:style w:type="character" w:customStyle="1" w:styleId="23">
    <w:name w:val="批注框文本 Char"/>
    <w:basedOn w:val="18"/>
    <w:link w:val="12"/>
    <w:semiHidden/>
    <w:qFormat/>
    <w:uiPriority w:val="99"/>
    <w:rPr>
      <w:rFonts w:ascii="Calibri" w:hAnsi="Calibri" w:eastAsia="宋体" w:cs="Times New Roman"/>
      <w:sz w:val="18"/>
      <w:szCs w:val="18"/>
    </w:rPr>
  </w:style>
  <w:style w:type="character" w:customStyle="1" w:styleId="24">
    <w:name w:val="页眉 Char"/>
    <w:basedOn w:val="18"/>
    <w:link w:val="14"/>
    <w:semiHidden/>
    <w:qFormat/>
    <w:uiPriority w:val="99"/>
    <w:rPr>
      <w:rFonts w:ascii="Calibri" w:hAnsi="Calibri" w:eastAsia="宋体" w:cs="Times New Roman"/>
      <w:sz w:val="18"/>
      <w:szCs w:val="18"/>
    </w:rPr>
  </w:style>
  <w:style w:type="character" w:customStyle="1" w:styleId="25">
    <w:name w:val="页脚 Char"/>
    <w:basedOn w:val="18"/>
    <w:link w:val="13"/>
    <w:qFormat/>
    <w:uiPriority w:val="99"/>
    <w:rPr>
      <w:rFonts w:ascii="Calibri" w:hAnsi="Calibri" w:eastAsia="宋体" w:cs="Times New Roman"/>
      <w:sz w:val="18"/>
      <w:szCs w:val="18"/>
    </w:rPr>
  </w:style>
  <w:style w:type="character" w:customStyle="1" w:styleId="26">
    <w:name w:val="标题 1 Char"/>
    <w:basedOn w:val="18"/>
    <w:link w:val="4"/>
    <w:qFormat/>
    <w:uiPriority w:val="0"/>
    <w:rPr>
      <w:rFonts w:ascii="宋体" w:hAnsi="Calibri" w:eastAsia="宋体" w:cs="Times New Roman"/>
      <w:color w:val="000000"/>
      <w:sz w:val="28"/>
      <w:szCs w:val="20"/>
    </w:rPr>
  </w:style>
  <w:style w:type="character" w:customStyle="1" w:styleId="27">
    <w:name w:val="批注文字 Char"/>
    <w:basedOn w:val="18"/>
    <w:link w:val="8"/>
    <w:qFormat/>
    <w:uiPriority w:val="99"/>
    <w:rPr>
      <w:rFonts w:ascii="Calibri" w:hAnsi="Calibri" w:eastAsia="宋体" w:cs="Times New Roman"/>
    </w:rPr>
  </w:style>
  <w:style w:type="character" w:customStyle="1" w:styleId="28">
    <w:name w:val="批注主题 Char"/>
    <w:basedOn w:val="27"/>
    <w:link w:val="15"/>
    <w:semiHidden/>
    <w:qFormat/>
    <w:uiPriority w:val="99"/>
    <w:rPr>
      <w:b/>
      <w:bCs/>
    </w:rPr>
  </w:style>
  <w:style w:type="character" w:customStyle="1" w:styleId="29">
    <w:name w:val="纯文本 Char"/>
    <w:link w:val="10"/>
    <w:qFormat/>
    <w:uiPriority w:val="0"/>
    <w:rPr>
      <w:rFonts w:ascii="宋体" w:hAnsi="Courier New"/>
    </w:rPr>
  </w:style>
  <w:style w:type="character" w:customStyle="1" w:styleId="30">
    <w:name w:val="纯文本 Char1"/>
    <w:basedOn w:val="18"/>
    <w:link w:val="10"/>
    <w:semiHidden/>
    <w:qFormat/>
    <w:uiPriority w:val="99"/>
    <w:rPr>
      <w:rFonts w:ascii="宋体" w:hAnsi="Courier New" w:eastAsia="宋体" w:cs="Courier New"/>
      <w:szCs w:val="21"/>
    </w:rPr>
  </w:style>
  <w:style w:type="character" w:customStyle="1" w:styleId="31">
    <w:name w:val="标题 2 Char"/>
    <w:basedOn w:val="18"/>
    <w:link w:val="5"/>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6"/>
    <w:semiHidden/>
    <w:qFormat/>
    <w:uiPriority w:val="9"/>
    <w:rPr>
      <w:rFonts w:ascii="Calibri" w:hAnsi="Calibri" w:eastAsia="宋体" w:cs="Times New Roman"/>
      <w:b/>
      <w:bCs/>
      <w:sz w:val="32"/>
      <w:szCs w:val="32"/>
    </w:rPr>
  </w:style>
  <w:style w:type="character" w:customStyle="1" w:styleId="34">
    <w:name w:val="标题 4 Char"/>
    <w:basedOn w:val="18"/>
    <w:link w:val="7"/>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10"/>
    <w:qFormat/>
    <w:uiPriority w:val="0"/>
    <w:rPr>
      <w:rFonts w:ascii="宋体" w:hAnsi="Courier New"/>
      <w:szCs w:val="20"/>
    </w:rPr>
  </w:style>
  <w:style w:type="paragraph" w:customStyle="1" w:styleId="37">
    <w:name w:val="8"/>
    <w:basedOn w:val="1"/>
    <w:next w:val="10"/>
    <w:qFormat/>
    <w:uiPriority w:val="0"/>
    <w:rPr>
      <w:rFonts w:ascii="宋体" w:hAnsi="Courier New"/>
      <w:szCs w:val="20"/>
    </w:rPr>
  </w:style>
  <w:style w:type="paragraph" w:customStyle="1" w:styleId="38">
    <w:name w:val="_Style 55"/>
    <w:basedOn w:val="1"/>
    <w:next w:val="10"/>
    <w:qFormat/>
    <w:uiPriority w:val="0"/>
    <w:rPr>
      <w:rFonts w:ascii="宋体" w:hAnsi="Courier New"/>
      <w:szCs w:val="20"/>
    </w:rPr>
  </w:style>
  <w:style w:type="paragraph" w:customStyle="1" w:styleId="39">
    <w:name w:val="7"/>
    <w:basedOn w:val="1"/>
    <w:next w:val="10"/>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 w:type="paragraph" w:customStyle="1" w:styleId="4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1E865A-9D65-4179-BE6F-8CF7787241E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60</Pages>
  <Words>4391</Words>
  <Characters>25033</Characters>
  <Lines>208</Lines>
  <Paragraphs>58</Paragraphs>
  <TotalTime>0</TotalTime>
  <ScaleCrop>false</ScaleCrop>
  <LinksUpToDate>false</LinksUpToDate>
  <CharactersWithSpaces>29366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2021-12-12T11:41:22Z</dcterms:modified>
  <cp:revision>1486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13DCDC481FE24253A6C891A16E6BAC23</vt:lpwstr>
  </property>
</Properties>
</file>