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8890" t="5715" r="9525" b="9525"/>
                <wp:wrapNone/>
                <wp:docPr id="47" name="文本框 299"/>
                <wp:cNvGraphicFramePr/>
                <a:graphic xmlns:a="http://schemas.openxmlformats.org/drawingml/2006/main">
                  <a:graphicData uri="http://schemas.microsoft.com/office/word/2010/wordprocessingShape">
                    <wps:wsp>
                      <wps:cNvSpPr txBox="1">
                        <a:spLocks noChangeArrowheads="1"/>
                      </wps:cNvSpPr>
                      <wps:spPr bwMode="auto">
                        <a:xfrm>
                          <a:off x="0" y="0"/>
                          <a:ext cx="3743960" cy="594360"/>
                        </a:xfrm>
                        <a:prstGeom prst="rect">
                          <a:avLst/>
                        </a:prstGeom>
                        <a:solidFill>
                          <a:srgbClr val="FFFFFF"/>
                        </a:solidFill>
                        <a:ln w="9525">
                          <a:solidFill>
                            <a:srgbClr val="FFFFFF"/>
                          </a:solidFill>
                          <a:miter lim="800000"/>
                        </a:ln>
                      </wps:spPr>
                      <wps:txb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wps:txbx>
                      <wps:bodyPr rot="0" vert="horz" wrap="square" lIns="91440" tIns="45720" rIns="91440" bIns="45720" anchor="t" anchorCtr="0" upright="1">
                        <a:noAutofit/>
                      </wps:bodyPr>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&#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Nt8zXHXAAAACAEAAA8AAAAAAAAAAQAgAAAAIgAAAGRy&#10;cy9kb3ducmV2LnhtbFBLAQIUABQAAAAIAIdO4kAHO1ALPwIAAIoEAAAOAAAAAAAAAAEAIAAAACYB&#10;AABkcnMvZTJvRG9jLnhtbFBLBQYAAAAABgAGAFkBAADXBQAAAAA=&#10;">
                <v:fill on="t" focussize="0,0"/>
                <v:stroke color="#FFFFFF" miterlimit="8" joinstyle="miter"/>
                <v:imagedata o:title=""/>
                <o:lock v:ext="edit" aspectratio="f"/>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mc:Fallback>
        </mc:AlternateConten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eastAsia" w:ascii="仿宋" w:hAnsi="仿宋" w:eastAsia="仿宋"/>
          <w:b/>
          <w:bCs/>
          <w:snapToGrid w:val="0"/>
          <w:kern w:val="0"/>
          <w:sz w:val="72"/>
          <w:szCs w:val="70"/>
        </w:rPr>
      </w:pPr>
      <w:r>
        <w:rPr>
          <w:rFonts w:hint="eastAsia" w:ascii="仿宋" w:hAnsi="仿宋" w:eastAsia="仿宋"/>
          <w:b/>
          <w:bCs/>
          <w:snapToGrid w:val="0"/>
          <w:kern w:val="0"/>
          <w:sz w:val="72"/>
          <w:szCs w:val="70"/>
        </w:rPr>
        <w:t>深圳湾实验室</w:t>
      </w:r>
    </w:p>
    <w:p>
      <w:pPr>
        <w:adjustRightInd w:val="0"/>
        <w:snapToGrid w:val="0"/>
        <w:spacing w:line="300" w:lineRule="auto"/>
        <w:jc w:val="center"/>
        <w:rPr>
          <w:rFonts w:ascii="仿宋" w:hAnsi="仿宋" w:eastAsia="仿宋"/>
          <w:b/>
          <w:snapToGrid w:val="0"/>
          <w:kern w:val="0"/>
          <w:sz w:val="72"/>
          <w:szCs w:val="70"/>
        </w:rPr>
      </w:pPr>
      <w:r>
        <w:rPr>
          <w:rFonts w:hint="eastAsia" w:ascii="仿宋" w:hAnsi="仿宋" w:eastAsia="仿宋"/>
          <w:b/>
          <w:bCs/>
          <w:snapToGrid w:val="0"/>
          <w:kern w:val="0"/>
          <w:sz w:val="72"/>
          <w:szCs w:val="70"/>
        </w:rPr>
        <w:t>计算平台扩容项目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ZZZ2021-QA01</w:t>
      </w:r>
      <w:r>
        <w:rPr>
          <w:rFonts w:hint="eastAsia" w:ascii="仿宋" w:hAnsi="仿宋" w:eastAsia="仿宋"/>
          <w:b/>
          <w:snapToGrid w:val="0"/>
          <w:kern w:val="0"/>
          <w:sz w:val="32"/>
          <w:lang w:val="en-US" w:eastAsia="zh-CN"/>
        </w:rPr>
        <w:t>67</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3"/>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二〇二一年</w:t>
      </w:r>
      <w:r>
        <w:rPr>
          <w:rFonts w:hint="eastAsia" w:ascii="仿宋" w:hAnsi="仿宋" w:eastAsia="仿宋"/>
          <w:b/>
          <w:snapToGrid w:val="0"/>
          <w:sz w:val="30"/>
          <w:lang w:val="en-US" w:eastAsia="zh-CN"/>
        </w:rPr>
        <w:t>九</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20"/>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rPr>
              <w:t>深圳湾实验室计算平台扩容项目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SZZZ2021-QA01</w:t>
            </w:r>
            <w:r>
              <w:rPr>
                <w:rFonts w:hint="eastAsia" w:ascii="仿宋" w:hAnsi="仿宋" w:eastAsia="仿宋" w:cs="Arial Unicode MS"/>
                <w:sz w:val="24"/>
                <w:lang w:val="en-US" w:eastAsia="zh-CN"/>
              </w:rPr>
              <w:t>67</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公开招标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rPr>
        <w:t>深圳湾实验室计算平台扩容项目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b/>
          <w:sz w:val="24"/>
          <w:szCs w:val="24"/>
        </w:rPr>
      </w:pPr>
      <w:r>
        <w:rPr>
          <w:rFonts w:hint="eastAsia"/>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rPr>
        <w:t>深圳湾实验室计算平台扩容项目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2021</w:t>
      </w:r>
      <w:r>
        <w:rPr>
          <w:rFonts w:hint="eastAsia" w:ascii="仿宋" w:hAnsi="仿宋" w:eastAsia="仿宋"/>
          <w:bCs/>
          <w:sz w:val="24"/>
          <w:szCs w:val="24"/>
        </w:rPr>
        <w:t>年</w:t>
      </w:r>
      <w:r>
        <w:rPr>
          <w:rFonts w:hint="eastAsia" w:ascii="仿宋" w:hAnsi="仿宋" w:eastAsia="仿宋"/>
          <w:bCs/>
          <w:sz w:val="24"/>
          <w:szCs w:val="24"/>
          <w:u w:val="single"/>
        </w:rPr>
        <w:t>0</w:t>
      </w:r>
      <w:r>
        <w:rPr>
          <w:rFonts w:hint="eastAsia" w:ascii="仿宋" w:hAnsi="仿宋" w:eastAsia="仿宋"/>
          <w:bCs/>
          <w:sz w:val="24"/>
          <w:szCs w:val="24"/>
          <w:u w:val="single"/>
          <w:lang w:val="en-US" w:eastAsia="zh-CN"/>
        </w:rPr>
        <w:t>9</w:t>
      </w:r>
      <w:r>
        <w:rPr>
          <w:rFonts w:hint="eastAsia" w:ascii="仿宋" w:hAnsi="仿宋" w:eastAsia="仿宋"/>
          <w:bCs/>
          <w:sz w:val="24"/>
          <w:szCs w:val="24"/>
        </w:rPr>
        <w:t>月</w:t>
      </w:r>
      <w:r>
        <w:rPr>
          <w:rFonts w:hint="eastAsia" w:ascii="仿宋" w:hAnsi="仿宋" w:eastAsia="仿宋"/>
          <w:bCs/>
          <w:sz w:val="24"/>
          <w:szCs w:val="24"/>
          <w:u w:val="single"/>
          <w:lang w:val="en-US" w:eastAsia="zh-CN"/>
        </w:rPr>
        <w:t>18</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5</w:t>
      </w:r>
      <w:r>
        <w:rPr>
          <w:rFonts w:hint="eastAsia" w:ascii="仿宋" w:hAnsi="仿宋" w:eastAsia="仿宋"/>
          <w:bCs/>
          <w:sz w:val="24"/>
          <w:szCs w:val="24"/>
        </w:rPr>
        <w:t>点</w:t>
      </w:r>
      <w:r>
        <w:rPr>
          <w:rFonts w:hint="eastAsia" w:ascii="仿宋" w:hAnsi="仿宋" w:eastAsia="仿宋"/>
          <w:bCs/>
          <w:sz w:val="24"/>
          <w:szCs w:val="24"/>
          <w:u w:val="single"/>
        </w:rPr>
        <w:t>00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rPr>
        <w:t>1</w:t>
      </w:r>
      <w:r>
        <w:rPr>
          <w:rFonts w:ascii="仿宋" w:hAnsi="仿宋" w:eastAsia="仿宋"/>
          <w:bCs/>
          <w:sz w:val="24"/>
          <w:szCs w:val="24"/>
        </w:rPr>
        <w:t>-Q</w:t>
      </w:r>
      <w:r>
        <w:rPr>
          <w:rFonts w:hint="eastAsia" w:ascii="仿宋" w:hAnsi="仿宋" w:eastAsia="仿宋"/>
          <w:bCs/>
          <w:sz w:val="24"/>
          <w:szCs w:val="24"/>
        </w:rPr>
        <w:t>A</w:t>
      </w:r>
      <w:r>
        <w:rPr>
          <w:rFonts w:ascii="仿宋" w:hAnsi="仿宋" w:eastAsia="仿宋"/>
          <w:bCs/>
          <w:sz w:val="24"/>
          <w:szCs w:val="24"/>
        </w:rPr>
        <w:t>0</w:t>
      </w:r>
      <w:r>
        <w:rPr>
          <w:rFonts w:hint="eastAsia" w:ascii="仿宋" w:hAnsi="仿宋" w:eastAsia="仿宋"/>
          <w:bCs/>
          <w:sz w:val="24"/>
          <w:szCs w:val="24"/>
        </w:rPr>
        <w:t>1</w:t>
      </w:r>
      <w:r>
        <w:rPr>
          <w:rFonts w:hint="eastAsia" w:ascii="仿宋" w:hAnsi="仿宋" w:eastAsia="仿宋"/>
          <w:bCs/>
          <w:sz w:val="24"/>
          <w:szCs w:val="24"/>
          <w:lang w:val="en-US" w:eastAsia="zh-CN"/>
        </w:rPr>
        <w:t>67</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2、项目名称：深圳湾实验室计算平台扩容项目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900</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900</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5、采购方式：公开招标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9"/>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深圳湾实验室计算平台扩容项目</w:t>
            </w:r>
          </w:p>
        </w:tc>
        <w:tc>
          <w:tcPr>
            <w:tcW w:w="992" w:type="dxa"/>
            <w:vAlign w:val="center"/>
          </w:tcPr>
          <w:p>
            <w:pPr>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rPr>
              <w:t>1</w:t>
            </w:r>
            <w:r>
              <w:rPr>
                <w:rFonts w:hint="eastAsia" w:ascii="仿宋" w:hAnsi="仿宋" w:eastAsia="仿宋"/>
                <w:bCs/>
                <w:sz w:val="24"/>
                <w:szCs w:val="24"/>
                <w:lang w:val="en-US" w:eastAsia="zh-CN"/>
              </w:rPr>
              <w:t>批</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7、合同履行期限：签订合同后</w:t>
      </w:r>
      <w:r>
        <w:rPr>
          <w:rFonts w:hint="eastAsia" w:ascii="仿宋" w:hAnsi="仿宋" w:eastAsia="仿宋"/>
          <w:bCs/>
          <w:sz w:val="24"/>
          <w:szCs w:val="24"/>
          <w:lang w:val="en-US" w:eastAsia="zh-CN"/>
        </w:rPr>
        <w:t>60</w:t>
      </w:r>
      <w:r>
        <w:rPr>
          <w:rFonts w:hint="eastAsia" w:ascii="仿宋" w:hAnsi="仿宋" w:eastAsia="仿宋"/>
          <w:bCs/>
          <w:sz w:val="24"/>
          <w:szCs w:val="24"/>
        </w:rPr>
        <w:t>天（日历日）内。</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1、须是在中华人民共和国境内注册的法人，不接受分公司或者分支机构参与投标。【须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3、参与本项目的供应商</w:t>
      </w:r>
      <w:r>
        <w:rPr>
          <w:rFonts w:ascii="仿宋" w:hAnsi="仿宋" w:eastAsia="仿宋"/>
          <w:bCs/>
          <w:sz w:val="24"/>
          <w:szCs w:val="24"/>
        </w:rPr>
        <w:t>未被列入失信被执行人、重大税收违法案件当事人名单</w:t>
      </w:r>
      <w:r>
        <w:rPr>
          <w:rFonts w:hint="eastAsia" w:ascii="仿宋" w:hAnsi="仿宋" w:eastAsia="仿宋"/>
          <w:bCs/>
          <w:sz w:val="24"/>
          <w:szCs w:val="24"/>
        </w:rPr>
        <w:t>和</w:t>
      </w:r>
      <w:r>
        <w:rPr>
          <w:rFonts w:ascii="仿宋" w:hAnsi="仿宋" w:eastAsia="仿宋"/>
          <w:bCs/>
          <w:sz w:val="24"/>
          <w:szCs w:val="24"/>
        </w:rPr>
        <w:t>政府采购严重违法失信行为记录名单</w:t>
      </w:r>
      <w:r>
        <w:rPr>
          <w:rFonts w:hint="eastAsia" w:ascii="仿宋" w:hAnsi="仿宋" w:eastAsia="仿宋"/>
          <w:bCs/>
          <w:sz w:val="24"/>
          <w:szCs w:val="24"/>
        </w:rPr>
        <w:t>。【</w:t>
      </w:r>
      <w:r>
        <w:rPr>
          <w:rFonts w:ascii="仿宋" w:hAnsi="仿宋" w:eastAsia="仿宋"/>
          <w:bCs/>
          <w:sz w:val="24"/>
          <w:szCs w:val="24"/>
        </w:rPr>
        <w:t>通过</w:t>
      </w:r>
      <w:r>
        <w:rPr>
          <w:rFonts w:hint="eastAsia" w:ascii="仿宋" w:hAnsi="仿宋" w:eastAsia="仿宋"/>
          <w:bCs/>
          <w:sz w:val="24"/>
          <w:szCs w:val="24"/>
        </w:rPr>
        <w:t>“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ascii="仿宋" w:hAnsi="仿宋" w:eastAsia="仿宋"/>
          <w:bCs/>
          <w:sz w:val="24"/>
          <w:szCs w:val="24"/>
        </w:rPr>
        <w:t>截止时间</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4、本项目允许进口产品参与投标，但不排斥国产产品参与竞争</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5、</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07</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网上报名响应：发送报名资料至我司邮箱进行报名登记及获取采购文件，邮箱地址：ztzszzzt@163.com。报名响应邮件需附以下资料: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2021</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u w:val="single"/>
          <w:lang w:val="en-US" w:eastAsia="zh-CN"/>
        </w:rPr>
        <w:t>9</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18</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5</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Cs/>
          <w:sz w:val="24"/>
          <w:szCs w:val="24"/>
        </w:rPr>
      </w:pPr>
      <w:r>
        <w:rPr>
          <w:rFonts w:hint="eastAsia" w:ascii="仿宋" w:hAnsi="仿宋" w:eastAsia="仿宋"/>
          <w:b/>
          <w:bCs/>
          <w:color w:val="FF0000"/>
          <w:sz w:val="24"/>
          <w:szCs w:val="24"/>
        </w:rPr>
        <w:t>备注：</w:t>
      </w:r>
      <w:r>
        <w:rPr>
          <w:rFonts w:ascii="仿宋" w:hAnsi="仿宋" w:eastAsia="仿宋"/>
          <w:bCs/>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Cs/>
          <w:sz w:val="24"/>
          <w:szCs w:val="24"/>
        </w:rPr>
        <w:t>投标人</w:t>
      </w:r>
      <w:r>
        <w:rPr>
          <w:rFonts w:ascii="仿宋" w:hAnsi="仿宋" w:eastAsia="仿宋"/>
          <w:bCs/>
          <w:sz w:val="24"/>
          <w:szCs w:val="24"/>
        </w:rPr>
        <w:t>未参加现场开标的，视同认可开标结果</w:t>
      </w:r>
      <w:r>
        <w:rPr>
          <w:rFonts w:hint="eastAsia" w:ascii="仿宋" w:hAnsi="仿宋" w:eastAsia="仿宋"/>
          <w:bCs/>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名　    称：</w:t>
      </w:r>
      <w:r>
        <w:rPr>
          <w:rFonts w:hint="eastAsia" w:ascii="仿宋" w:hAnsi="仿宋" w:eastAsia="仿宋"/>
          <w:bCs/>
          <w:sz w:val="24"/>
          <w:szCs w:val="24"/>
          <w:u w:val="single"/>
        </w:rPr>
        <w:t>深圳湾实验室</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联系方式：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rPr>
        <w:t>1</w:t>
      </w:r>
      <w:r>
        <w:rPr>
          <w:rFonts w:ascii="仿宋" w:hAnsi="仿宋" w:eastAsia="仿宋"/>
          <w:bCs/>
          <w:sz w:val="24"/>
          <w:szCs w:val="24"/>
        </w:rPr>
        <w:t>年</w:t>
      </w:r>
      <w:r>
        <w:rPr>
          <w:rFonts w:hint="eastAsia" w:ascii="仿宋" w:hAnsi="仿宋" w:eastAsia="仿宋"/>
          <w:bCs/>
          <w:sz w:val="24"/>
          <w:szCs w:val="24"/>
        </w:rPr>
        <w:t>0</w:t>
      </w:r>
      <w:r>
        <w:rPr>
          <w:rFonts w:hint="eastAsia" w:ascii="仿宋" w:hAnsi="仿宋" w:eastAsia="仿宋"/>
          <w:bCs/>
          <w:sz w:val="24"/>
          <w:szCs w:val="24"/>
          <w:lang w:val="en-US" w:eastAsia="zh-CN"/>
        </w:rPr>
        <w:t>9</w:t>
      </w:r>
      <w:r>
        <w:rPr>
          <w:rFonts w:ascii="仿宋" w:hAnsi="仿宋" w:eastAsia="仿宋"/>
          <w:bCs/>
          <w:sz w:val="24"/>
          <w:szCs w:val="24"/>
        </w:rPr>
        <w:t>月</w:t>
      </w:r>
      <w:r>
        <w:rPr>
          <w:rFonts w:hint="eastAsia" w:ascii="仿宋" w:hAnsi="仿宋" w:eastAsia="仿宋"/>
          <w:bCs/>
          <w:sz w:val="24"/>
          <w:szCs w:val="24"/>
          <w:lang w:val="en-US" w:eastAsia="zh-CN"/>
        </w:rPr>
        <w:t>07</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9"/>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hAnsi="宋体"/>
                <w:b/>
              </w:rPr>
            </w:pPr>
            <w:r>
              <w:rPr>
                <w:rFonts w:hint="eastAsia" w:hAnsi="宋体"/>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hAnsi="宋体"/>
                <w:b/>
              </w:rPr>
            </w:pPr>
            <w:r>
              <w:rPr>
                <w:rFonts w:hint="eastAsia" w:hAnsi="宋体"/>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hAnsi="宋体"/>
                <w:b/>
              </w:rPr>
            </w:pPr>
            <w:r>
              <w:rPr>
                <w:rFonts w:hint="eastAsia" w:hAnsi="宋体"/>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12"/>
              <w:spacing w:line="360" w:lineRule="auto"/>
              <w:jc w:val="center"/>
              <w:rPr>
                <w:rFonts w:hAnsi="宋体"/>
                <w:b/>
              </w:rPr>
            </w:pPr>
            <w:r>
              <w:rPr>
                <w:rFonts w:hint="eastAsia" w:hAnsi="宋体"/>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12"/>
              <w:spacing w:line="360" w:lineRule="auto"/>
              <w:jc w:val="center"/>
              <w:rPr>
                <w:rFonts w:hAnsi="宋体"/>
              </w:rPr>
            </w:pPr>
            <w:r>
              <w:rPr>
                <w:rFonts w:hAnsi="宋体"/>
              </w:rPr>
              <w:t>1</w:t>
            </w:r>
          </w:p>
        </w:tc>
        <w:tc>
          <w:tcPr>
            <w:tcW w:w="850" w:type="dxa"/>
            <w:tcBorders>
              <w:top w:val="single" w:color="auto" w:sz="4" w:space="0"/>
            </w:tcBorders>
            <w:vAlign w:val="center"/>
          </w:tcPr>
          <w:p>
            <w:pPr>
              <w:pStyle w:val="12"/>
              <w:spacing w:line="360" w:lineRule="auto"/>
              <w:jc w:val="center"/>
              <w:rPr>
                <w:rFonts w:hAnsi="宋体"/>
              </w:rPr>
            </w:pPr>
            <w:r>
              <w:rPr>
                <w:rFonts w:hAnsi="宋体"/>
              </w:rPr>
              <w:t>1.1</w:t>
            </w:r>
          </w:p>
        </w:tc>
        <w:tc>
          <w:tcPr>
            <w:tcW w:w="1985" w:type="dxa"/>
            <w:tcBorders>
              <w:top w:val="single" w:color="auto" w:sz="4" w:space="0"/>
            </w:tcBorders>
            <w:vAlign w:val="center"/>
          </w:tcPr>
          <w:p>
            <w:pPr>
              <w:pStyle w:val="12"/>
              <w:spacing w:line="360" w:lineRule="auto"/>
              <w:jc w:val="center"/>
            </w:pPr>
            <w:r>
              <w:rPr>
                <w:rFonts w:hint="eastAsia"/>
              </w:rPr>
              <w:t>项目名称</w:t>
            </w:r>
          </w:p>
        </w:tc>
        <w:tc>
          <w:tcPr>
            <w:tcW w:w="5669" w:type="dxa"/>
            <w:tcBorders>
              <w:top w:val="single" w:color="auto" w:sz="4" w:space="0"/>
            </w:tcBorders>
            <w:vAlign w:val="center"/>
          </w:tcPr>
          <w:p>
            <w:pPr>
              <w:pStyle w:val="12"/>
              <w:spacing w:line="360" w:lineRule="auto"/>
            </w:pPr>
            <w:r>
              <w:rPr>
                <w:rFonts w:hint="eastAsia"/>
              </w:rPr>
              <w:t>深圳湾实验室计算平台扩容项目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2</w:t>
            </w:r>
          </w:p>
        </w:tc>
        <w:tc>
          <w:tcPr>
            <w:tcW w:w="850" w:type="dxa"/>
            <w:vAlign w:val="center"/>
          </w:tcPr>
          <w:p>
            <w:pPr>
              <w:pStyle w:val="12"/>
              <w:spacing w:line="360" w:lineRule="auto"/>
              <w:jc w:val="center"/>
              <w:rPr>
                <w:rFonts w:hAnsi="宋体"/>
              </w:rPr>
            </w:pPr>
            <w:r>
              <w:rPr>
                <w:rFonts w:hAnsi="宋体"/>
              </w:rPr>
              <w:t>2.1</w:t>
            </w:r>
          </w:p>
        </w:tc>
        <w:tc>
          <w:tcPr>
            <w:tcW w:w="1985" w:type="dxa"/>
            <w:vAlign w:val="center"/>
          </w:tcPr>
          <w:p>
            <w:pPr>
              <w:pStyle w:val="12"/>
              <w:spacing w:line="360" w:lineRule="auto"/>
              <w:jc w:val="center"/>
              <w:rPr>
                <w:rFonts w:hAnsi="宋体"/>
              </w:rPr>
            </w:pPr>
            <w:r>
              <w:rPr>
                <w:rFonts w:hint="eastAsia" w:hAnsi="宋体"/>
                <w:bCs/>
              </w:rPr>
              <w:t>采购人</w:t>
            </w:r>
            <w:r>
              <w:rPr>
                <w:rFonts w:hint="eastAsia" w:hAnsi="宋体"/>
              </w:rPr>
              <w:t>名称</w:t>
            </w:r>
          </w:p>
        </w:tc>
        <w:tc>
          <w:tcPr>
            <w:tcW w:w="5669" w:type="dxa"/>
            <w:vAlign w:val="center"/>
          </w:tcPr>
          <w:p>
            <w:r>
              <w:rPr>
                <w:rFonts w:hint="eastAsia" w:ascii="宋体" w:hAnsi="宋体" w:eastAsiaTheme="minorEastAsia" w:cstheme="minorBidi"/>
              </w:rPr>
              <w:t>深圳湾实验室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3</w:t>
            </w:r>
          </w:p>
        </w:tc>
        <w:tc>
          <w:tcPr>
            <w:tcW w:w="850" w:type="dxa"/>
            <w:vAlign w:val="center"/>
          </w:tcPr>
          <w:p>
            <w:pPr>
              <w:pStyle w:val="12"/>
              <w:spacing w:line="360" w:lineRule="auto"/>
              <w:jc w:val="center"/>
              <w:rPr>
                <w:rFonts w:hAnsi="宋体"/>
              </w:rPr>
            </w:pPr>
            <w:r>
              <w:rPr>
                <w:rFonts w:hAnsi="宋体"/>
              </w:rPr>
              <w:t>2.2</w:t>
            </w:r>
          </w:p>
        </w:tc>
        <w:tc>
          <w:tcPr>
            <w:tcW w:w="1985" w:type="dxa"/>
            <w:vAlign w:val="center"/>
          </w:tcPr>
          <w:p>
            <w:pPr>
              <w:pStyle w:val="12"/>
              <w:spacing w:line="360" w:lineRule="auto"/>
              <w:jc w:val="center"/>
              <w:rPr>
                <w:rFonts w:hAnsi="宋体"/>
                <w:bCs/>
              </w:rPr>
            </w:pPr>
            <w:r>
              <w:rPr>
                <w:rFonts w:hint="eastAsia" w:hAnsi="宋体"/>
                <w:bCs/>
              </w:rPr>
              <w:t>采购代理机构</w:t>
            </w:r>
          </w:p>
        </w:tc>
        <w:tc>
          <w:tcPr>
            <w:tcW w:w="5669" w:type="dxa"/>
            <w:vAlign w:val="center"/>
          </w:tcPr>
          <w:p>
            <w:pPr>
              <w:pStyle w:val="12"/>
              <w:spacing w:line="360" w:lineRule="auto"/>
              <w:rPr>
                <w:rFonts w:hAnsi="宋体"/>
              </w:rPr>
            </w:pPr>
            <w:r>
              <w:rPr>
                <w:rFonts w:hint="eastAsia"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4</w:t>
            </w:r>
          </w:p>
        </w:tc>
        <w:tc>
          <w:tcPr>
            <w:tcW w:w="850" w:type="dxa"/>
            <w:vAlign w:val="center"/>
          </w:tcPr>
          <w:p>
            <w:pPr>
              <w:pStyle w:val="12"/>
              <w:spacing w:line="360" w:lineRule="auto"/>
              <w:jc w:val="center"/>
              <w:rPr>
                <w:rFonts w:hAnsi="宋体"/>
              </w:rPr>
            </w:pPr>
            <w:r>
              <w:rPr>
                <w:rFonts w:hint="eastAsia" w:hAnsi="宋体"/>
              </w:rPr>
              <w:t>3.1</w:t>
            </w:r>
          </w:p>
        </w:tc>
        <w:tc>
          <w:tcPr>
            <w:tcW w:w="1985" w:type="dxa"/>
            <w:vAlign w:val="center"/>
          </w:tcPr>
          <w:p>
            <w:pPr>
              <w:pStyle w:val="12"/>
              <w:spacing w:line="360" w:lineRule="auto"/>
              <w:jc w:val="center"/>
              <w:rPr>
                <w:rFonts w:hAnsi="宋体"/>
              </w:rPr>
            </w:pPr>
            <w:r>
              <w:rPr>
                <w:rFonts w:hint="eastAsia" w:hAnsi="宋体"/>
              </w:rPr>
              <w:t>资金来源</w:t>
            </w:r>
          </w:p>
        </w:tc>
        <w:tc>
          <w:tcPr>
            <w:tcW w:w="5669" w:type="dxa"/>
            <w:vAlign w:val="center"/>
          </w:tcPr>
          <w:p>
            <w:pPr>
              <w:pStyle w:val="12"/>
              <w:spacing w:line="360" w:lineRule="auto"/>
              <w:rPr>
                <w:rFonts w:hAnsi="宋体"/>
              </w:rPr>
            </w:pPr>
            <w:r>
              <w:rPr>
                <w:rFonts w:hint="eastAsia" w:hAnsi="宋体"/>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5</w:t>
            </w:r>
          </w:p>
        </w:tc>
        <w:tc>
          <w:tcPr>
            <w:tcW w:w="850" w:type="dxa"/>
            <w:vAlign w:val="center"/>
          </w:tcPr>
          <w:p>
            <w:pPr>
              <w:pStyle w:val="12"/>
              <w:spacing w:line="360" w:lineRule="auto"/>
              <w:jc w:val="center"/>
              <w:rPr>
                <w:rFonts w:hAnsi="宋体"/>
              </w:rPr>
            </w:pPr>
            <w:r>
              <w:rPr>
                <w:rFonts w:hint="eastAsia" w:hAnsi="宋体"/>
              </w:rPr>
              <w:t>4.7</w:t>
            </w:r>
          </w:p>
        </w:tc>
        <w:tc>
          <w:tcPr>
            <w:tcW w:w="1985" w:type="dxa"/>
            <w:vAlign w:val="center"/>
          </w:tcPr>
          <w:p>
            <w:pPr>
              <w:pStyle w:val="12"/>
              <w:spacing w:line="360" w:lineRule="auto"/>
              <w:jc w:val="center"/>
              <w:rPr>
                <w:rFonts w:hAnsi="宋体"/>
              </w:rPr>
            </w:pPr>
            <w:r>
              <w:rPr>
                <w:rFonts w:hint="eastAsia" w:hAnsi="宋体"/>
              </w:rPr>
              <w:t>供应商资格要求</w:t>
            </w:r>
          </w:p>
        </w:tc>
        <w:tc>
          <w:tcPr>
            <w:tcW w:w="5669" w:type="dxa"/>
            <w:vAlign w:val="center"/>
          </w:tcPr>
          <w:p>
            <w:pPr>
              <w:pStyle w:val="12"/>
              <w:spacing w:line="360" w:lineRule="auto"/>
              <w:ind w:left="378" w:hanging="378" w:hangingChars="180"/>
              <w:rPr>
                <w:rFonts w:hAnsi="宋体"/>
                <w:szCs w:val="21"/>
              </w:rPr>
            </w:pPr>
            <w:r>
              <w:rPr>
                <w:rFonts w:hint="eastAsia" w:hAnsi="宋体"/>
                <w:szCs w:val="21"/>
              </w:rPr>
              <w:t>1、须是在中华人民共和国境内注册的法人，不接受分公司或者分支机构参与投标</w:t>
            </w:r>
            <w:r>
              <w:rPr>
                <w:rFonts w:hint="eastAsia" w:hAnsi="宋体"/>
                <w:bCs/>
                <w:szCs w:val="21"/>
              </w:rPr>
              <w:t>。【须</w:t>
            </w:r>
            <w:r>
              <w:rPr>
                <w:rFonts w:hAnsi="宋体"/>
                <w:bCs/>
                <w:szCs w:val="21"/>
              </w:rPr>
              <w:t>提供合法有效的营业执照</w:t>
            </w:r>
            <w:r>
              <w:rPr>
                <w:rFonts w:hint="eastAsia" w:hAnsi="宋体"/>
                <w:bCs/>
                <w:szCs w:val="21"/>
              </w:rPr>
              <w:t>或法人证书等证明材料的</w:t>
            </w:r>
            <w:r>
              <w:rPr>
                <w:rFonts w:hAnsi="宋体"/>
                <w:bCs/>
                <w:szCs w:val="21"/>
              </w:rPr>
              <w:t>扫描件</w:t>
            </w:r>
            <w:r>
              <w:rPr>
                <w:rFonts w:hint="eastAsia" w:hAnsi="宋体"/>
                <w:bCs/>
                <w:szCs w:val="21"/>
              </w:rPr>
              <w:t>或复印件加盖投标人公章</w:t>
            </w:r>
            <w:r>
              <w:rPr>
                <w:rFonts w:hAnsi="宋体"/>
                <w:bCs/>
                <w:szCs w:val="21"/>
              </w:rPr>
              <w:t>，原件备查</w:t>
            </w:r>
            <w:r>
              <w:rPr>
                <w:rFonts w:hint="eastAsia" w:hAnsi="宋体"/>
                <w:bCs/>
                <w:szCs w:val="21"/>
              </w:rPr>
              <w:t>】</w:t>
            </w:r>
          </w:p>
          <w:p>
            <w:pPr>
              <w:pStyle w:val="12"/>
              <w:spacing w:line="360" w:lineRule="auto"/>
              <w:ind w:left="378" w:hanging="378" w:hangingChars="180"/>
              <w:rPr>
                <w:rFonts w:hAnsi="宋体"/>
                <w:szCs w:val="21"/>
              </w:rPr>
            </w:pPr>
            <w:r>
              <w:rPr>
                <w:rFonts w:hint="eastAsia" w:hAnsi="宋体"/>
                <w:szCs w:val="21"/>
              </w:rPr>
              <w:t>2、参与本项目投标前三年内，在经营活动中没有重大违法记录。【由投标人按采购文件规定的格式在《政府采购投标及履约承诺函》中作出声明】</w:t>
            </w:r>
          </w:p>
          <w:p>
            <w:pPr>
              <w:pStyle w:val="12"/>
              <w:spacing w:line="360" w:lineRule="auto"/>
              <w:ind w:left="378" w:hanging="378" w:hangingChars="180"/>
              <w:rPr>
                <w:rFonts w:hAnsi="宋体"/>
                <w:szCs w:val="21"/>
              </w:rPr>
            </w:pPr>
            <w:r>
              <w:rPr>
                <w:rFonts w:hint="eastAsia" w:hAnsi="宋体"/>
                <w:szCs w:val="21"/>
              </w:rPr>
              <w:t>3、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hAnsi="宋体"/>
                <w:szCs w:val="21"/>
                <w:lang w:eastAsia="zh-CN"/>
              </w:rPr>
              <w:t>。</w:t>
            </w:r>
            <w:r>
              <w:rPr>
                <w:rFonts w:hint="eastAsia" w:hAnsi="宋体"/>
                <w:szCs w:val="21"/>
                <w:lang w:val="en-US" w:eastAsia="zh-CN"/>
              </w:rPr>
              <w:t>投标人自行查询并提供查询</w:t>
            </w:r>
            <w:r>
              <w:rPr>
                <w:rFonts w:hint="eastAsia" w:hAnsi="宋体"/>
                <w:szCs w:val="21"/>
              </w:rPr>
              <w:t>结果</w:t>
            </w:r>
            <w:r>
              <w:rPr>
                <w:rFonts w:hint="eastAsia" w:hAnsi="宋体"/>
                <w:szCs w:val="21"/>
                <w:lang w:val="en-US" w:eastAsia="zh-CN"/>
              </w:rPr>
              <w:t>截图，查询时间以项目采购公告开始时间至投标</w:t>
            </w:r>
            <w:r>
              <w:rPr>
                <w:rFonts w:hint="eastAsia" w:hAnsi="宋体"/>
                <w:szCs w:val="21"/>
              </w:rPr>
              <w:t>截止时间】</w:t>
            </w:r>
          </w:p>
          <w:p>
            <w:pPr>
              <w:pStyle w:val="12"/>
              <w:spacing w:line="360" w:lineRule="auto"/>
              <w:ind w:left="378" w:hanging="378" w:hangingChars="180"/>
              <w:rPr>
                <w:rFonts w:hAnsi="宋体"/>
                <w:szCs w:val="21"/>
              </w:rPr>
            </w:pPr>
            <w:r>
              <w:rPr>
                <w:rFonts w:hint="eastAsia" w:hAnsi="宋体"/>
                <w:szCs w:val="21"/>
              </w:rPr>
              <w:t>4、</w:t>
            </w:r>
            <w:r>
              <w:rPr>
                <w:rFonts w:hint="eastAsia" w:hAnsi="宋体"/>
                <w:bCs/>
                <w:szCs w:val="21"/>
              </w:rPr>
              <w:t>本项目允许进口产品参与投标，但不排斥国产产品参与竞争</w:t>
            </w:r>
          </w:p>
          <w:p>
            <w:pPr>
              <w:pStyle w:val="12"/>
              <w:spacing w:line="360" w:lineRule="auto"/>
              <w:ind w:left="378" w:hanging="378" w:hangingChars="180"/>
              <w:rPr>
                <w:rFonts w:hAnsi="宋体"/>
                <w:szCs w:val="21"/>
              </w:rPr>
            </w:pPr>
            <w:r>
              <w:rPr>
                <w:rFonts w:hint="eastAsia" w:hAnsi="宋体"/>
                <w:szCs w:val="21"/>
              </w:rPr>
              <w:t>5、本项目不接受联合体投标，不允许分包或转包。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6</w:t>
            </w:r>
          </w:p>
        </w:tc>
        <w:tc>
          <w:tcPr>
            <w:tcW w:w="850" w:type="dxa"/>
            <w:vAlign w:val="center"/>
          </w:tcPr>
          <w:p>
            <w:pPr>
              <w:pStyle w:val="12"/>
              <w:spacing w:line="360" w:lineRule="auto"/>
              <w:jc w:val="center"/>
              <w:rPr>
                <w:rFonts w:hAnsi="宋体"/>
              </w:rPr>
            </w:pPr>
            <w:r>
              <w:rPr>
                <w:rFonts w:hint="eastAsia" w:hAnsi="宋体"/>
              </w:rPr>
              <w:t>6.1</w:t>
            </w:r>
          </w:p>
        </w:tc>
        <w:tc>
          <w:tcPr>
            <w:tcW w:w="1985" w:type="dxa"/>
            <w:vAlign w:val="center"/>
          </w:tcPr>
          <w:p>
            <w:pPr>
              <w:pStyle w:val="12"/>
              <w:spacing w:line="360" w:lineRule="auto"/>
              <w:jc w:val="center"/>
              <w:rPr>
                <w:rFonts w:hAnsi="宋体"/>
              </w:rPr>
            </w:pPr>
            <w:r>
              <w:rPr>
                <w:rFonts w:hint="eastAsia" w:hAnsi="宋体"/>
              </w:rPr>
              <w:t>踏勘现场</w:t>
            </w:r>
          </w:p>
        </w:tc>
        <w:tc>
          <w:tcPr>
            <w:tcW w:w="5669" w:type="dxa"/>
            <w:vAlign w:val="center"/>
          </w:tcPr>
          <w:p>
            <w:pPr>
              <w:pStyle w:val="12"/>
              <w:spacing w:line="360" w:lineRule="auto"/>
              <w:rPr>
                <w:rFonts w:hAnsi="宋体"/>
              </w:rPr>
            </w:pPr>
            <w:r>
              <w:rPr>
                <w:rFonts w:hint="eastAsia" w:hAnsi="宋体"/>
                <w:bCs/>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7</w:t>
            </w:r>
          </w:p>
        </w:tc>
        <w:tc>
          <w:tcPr>
            <w:tcW w:w="850" w:type="dxa"/>
            <w:vAlign w:val="center"/>
          </w:tcPr>
          <w:p>
            <w:pPr>
              <w:pStyle w:val="12"/>
              <w:spacing w:line="360" w:lineRule="auto"/>
              <w:jc w:val="center"/>
              <w:rPr>
                <w:rFonts w:hAnsi="宋体"/>
              </w:rPr>
            </w:pPr>
            <w:r>
              <w:rPr>
                <w:rFonts w:hAnsi="宋体"/>
              </w:rPr>
              <w:t>1</w:t>
            </w:r>
            <w:r>
              <w:rPr>
                <w:rFonts w:hint="eastAsia" w:hAnsi="宋体"/>
              </w:rPr>
              <w:t>4</w:t>
            </w:r>
            <w:r>
              <w:rPr>
                <w:rFonts w:hAnsi="宋体"/>
              </w:rPr>
              <w:t>.1</w:t>
            </w:r>
          </w:p>
        </w:tc>
        <w:tc>
          <w:tcPr>
            <w:tcW w:w="1985" w:type="dxa"/>
            <w:vAlign w:val="center"/>
          </w:tcPr>
          <w:p>
            <w:pPr>
              <w:pStyle w:val="12"/>
              <w:spacing w:line="360" w:lineRule="auto"/>
              <w:jc w:val="center"/>
              <w:rPr>
                <w:rFonts w:hAnsi="宋体"/>
              </w:rPr>
            </w:pPr>
            <w:r>
              <w:rPr>
                <w:rFonts w:hint="eastAsia" w:hAnsi="宋体"/>
                <w:bCs/>
              </w:rPr>
              <w:t>投标文件</w:t>
            </w:r>
            <w:r>
              <w:rPr>
                <w:rFonts w:hint="eastAsia" w:hAnsi="宋体"/>
              </w:rPr>
              <w:t>有效期</w:t>
            </w:r>
          </w:p>
        </w:tc>
        <w:tc>
          <w:tcPr>
            <w:tcW w:w="5669" w:type="dxa"/>
            <w:vAlign w:val="center"/>
          </w:tcPr>
          <w:p>
            <w:pPr>
              <w:pStyle w:val="12"/>
              <w:spacing w:line="360" w:lineRule="auto"/>
              <w:rPr>
                <w:rFonts w:hAnsi="宋体"/>
              </w:rPr>
            </w:pPr>
            <w:r>
              <w:rPr>
                <w:rFonts w:hint="eastAsia" w:hAnsi="宋体"/>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8</w:t>
            </w:r>
          </w:p>
        </w:tc>
        <w:tc>
          <w:tcPr>
            <w:tcW w:w="850" w:type="dxa"/>
            <w:vAlign w:val="center"/>
          </w:tcPr>
          <w:p>
            <w:pPr>
              <w:pStyle w:val="12"/>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985" w:type="dxa"/>
            <w:vAlign w:val="center"/>
          </w:tcPr>
          <w:p>
            <w:pPr>
              <w:pStyle w:val="12"/>
              <w:spacing w:line="360" w:lineRule="auto"/>
              <w:jc w:val="center"/>
              <w:rPr>
                <w:rFonts w:hAnsi="宋体"/>
              </w:rPr>
            </w:pPr>
            <w:r>
              <w:rPr>
                <w:rFonts w:hint="eastAsia" w:hAnsi="宋体"/>
              </w:rPr>
              <w:t>项目保证金</w:t>
            </w:r>
          </w:p>
        </w:tc>
        <w:tc>
          <w:tcPr>
            <w:tcW w:w="5669" w:type="dxa"/>
            <w:vAlign w:val="center"/>
          </w:tcPr>
          <w:p>
            <w:pPr>
              <w:pStyle w:val="12"/>
              <w:spacing w:line="360" w:lineRule="auto"/>
              <w:rPr>
                <w:rFonts w:hAnsi="宋体"/>
              </w:rPr>
            </w:pPr>
            <w:r>
              <w:rPr>
                <w:rFonts w:hint="eastAsia" w:hAnsi="宋体"/>
                <w:szCs w:val="21"/>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10</w:t>
            </w:r>
          </w:p>
        </w:tc>
        <w:tc>
          <w:tcPr>
            <w:tcW w:w="850" w:type="dxa"/>
            <w:vAlign w:val="center"/>
          </w:tcPr>
          <w:p>
            <w:pPr>
              <w:pStyle w:val="12"/>
              <w:spacing w:line="360" w:lineRule="auto"/>
              <w:jc w:val="center"/>
              <w:rPr>
                <w:rFonts w:hAnsi="宋体"/>
              </w:rPr>
            </w:pPr>
            <w:r>
              <w:rPr>
                <w:rFonts w:hAnsi="宋体"/>
              </w:rPr>
              <w:t>1</w:t>
            </w:r>
            <w:r>
              <w:rPr>
                <w:rFonts w:hint="eastAsia" w:hAnsi="宋体"/>
              </w:rPr>
              <w:t>7</w:t>
            </w:r>
            <w:r>
              <w:rPr>
                <w:rFonts w:hAnsi="宋体"/>
              </w:rPr>
              <w:t>.1</w:t>
            </w:r>
          </w:p>
        </w:tc>
        <w:tc>
          <w:tcPr>
            <w:tcW w:w="1985" w:type="dxa"/>
            <w:vAlign w:val="center"/>
          </w:tcPr>
          <w:p>
            <w:pPr>
              <w:pStyle w:val="12"/>
              <w:spacing w:line="360" w:lineRule="auto"/>
              <w:jc w:val="center"/>
              <w:rPr>
                <w:rFonts w:hAnsi="宋体"/>
              </w:rPr>
            </w:pPr>
            <w:r>
              <w:rPr>
                <w:rFonts w:hint="eastAsia" w:hAnsi="宋体"/>
                <w:bCs/>
              </w:rPr>
              <w:t>投标文件</w:t>
            </w:r>
            <w:r>
              <w:rPr>
                <w:rFonts w:hint="eastAsia" w:hAnsi="宋体"/>
              </w:rPr>
              <w:t>份数</w:t>
            </w:r>
          </w:p>
        </w:tc>
        <w:tc>
          <w:tcPr>
            <w:tcW w:w="5669" w:type="dxa"/>
            <w:vAlign w:val="center"/>
          </w:tcPr>
          <w:p>
            <w:pPr>
              <w:pStyle w:val="12"/>
              <w:rPr>
                <w:rFonts w:hAnsi="宋体"/>
              </w:rPr>
            </w:pPr>
            <w:r>
              <w:rPr>
                <w:rFonts w:hint="eastAsia" w:hAnsi="宋体"/>
              </w:rPr>
              <w:t>正本1份，副本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11</w:t>
            </w:r>
          </w:p>
        </w:tc>
        <w:tc>
          <w:tcPr>
            <w:tcW w:w="850" w:type="dxa"/>
            <w:vAlign w:val="center"/>
          </w:tcPr>
          <w:p>
            <w:pPr>
              <w:pStyle w:val="12"/>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985" w:type="dxa"/>
            <w:vAlign w:val="center"/>
          </w:tcPr>
          <w:p>
            <w:pPr>
              <w:pStyle w:val="12"/>
              <w:spacing w:line="360" w:lineRule="auto"/>
              <w:jc w:val="center"/>
              <w:rPr>
                <w:rFonts w:hAnsi="宋体"/>
              </w:rPr>
            </w:pPr>
            <w:r>
              <w:rPr>
                <w:rFonts w:hint="eastAsia" w:hAnsi="宋体"/>
              </w:rPr>
              <w:t>开标</w:t>
            </w:r>
          </w:p>
        </w:tc>
        <w:tc>
          <w:tcPr>
            <w:tcW w:w="5669" w:type="dxa"/>
            <w:vAlign w:val="center"/>
          </w:tcPr>
          <w:p>
            <w:pPr>
              <w:pStyle w:val="12"/>
              <w:rPr>
                <w:rFonts w:hAnsi="宋体"/>
              </w:rPr>
            </w:pPr>
            <w:r>
              <w:rPr>
                <w:rFonts w:hint="eastAsia" w:hAnsi="宋体"/>
              </w:rPr>
              <w:t>时间：</w:t>
            </w: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9</w:t>
            </w:r>
            <w:r>
              <w:rPr>
                <w:rFonts w:ascii="Times New Roman" w:hAnsi="Times New Roman"/>
                <w:b/>
                <w:snapToGrid w:val="0"/>
                <w:highlight w:val="yellow"/>
              </w:rPr>
              <w:t>月</w:t>
            </w:r>
            <w:r>
              <w:rPr>
                <w:rFonts w:hint="eastAsia" w:ascii="Times New Roman" w:hAnsi="Times New Roman"/>
                <w:b/>
                <w:snapToGrid w:val="0"/>
                <w:highlight w:val="yellow"/>
                <w:lang w:val="en-US" w:eastAsia="zh-CN"/>
              </w:rPr>
              <w:t>18</w:t>
            </w:r>
            <w:bookmarkStart w:id="35" w:name="_GoBack"/>
            <w:bookmarkEnd w:id="35"/>
            <w:r>
              <w:rPr>
                <w:rFonts w:ascii="Times New Roman" w:hAnsi="Times New Roman"/>
                <w:b/>
                <w:snapToGrid w:val="0"/>
                <w:highlight w:val="yellow"/>
              </w:rPr>
              <w:t>日</w:t>
            </w:r>
            <w:r>
              <w:rPr>
                <w:rFonts w:hint="eastAsia" w:ascii="Times New Roman" w:hAnsi="Times New Roman"/>
                <w:b/>
                <w:snapToGrid w:val="0"/>
                <w:highlight w:val="yellow"/>
                <w:lang w:val="en-US" w:eastAsia="zh-CN"/>
              </w:rPr>
              <w:t>15</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p>
            <w:pPr>
              <w:pStyle w:val="12"/>
              <w:spacing w:line="360" w:lineRule="auto"/>
              <w:ind w:left="735" w:hanging="735" w:hangingChars="350"/>
              <w:rPr>
                <w:rFonts w:hAnsi="宋体"/>
              </w:rPr>
            </w:pPr>
            <w:r>
              <w:rPr>
                <w:rFonts w:hint="eastAsia" w:hAnsi="宋体"/>
              </w:rPr>
              <w:t>地点：</w:t>
            </w:r>
            <w:r>
              <w:rPr>
                <w:rFonts w:hAnsi="宋体"/>
              </w:rPr>
              <w:t>深圳市福田区民田路</w:t>
            </w:r>
            <w:r>
              <w:rPr>
                <w:rFonts w:hint="eastAsia" w:hAnsi="宋体"/>
              </w:rPr>
              <w:t>171号</w:t>
            </w:r>
            <w:r>
              <w:rPr>
                <w:rFonts w:hAnsi="宋体"/>
              </w:rPr>
              <w:t>新华保险大厦</w:t>
            </w:r>
            <w:r>
              <w:rPr>
                <w:rFonts w:hint="eastAsia" w:hAnsi="宋体"/>
              </w:rPr>
              <w:t>903</w:t>
            </w:r>
            <w:r>
              <w:rPr>
                <w:rFonts w:hAnsi="宋体"/>
              </w:rPr>
              <w:t>中正招标</w:t>
            </w:r>
            <w:r>
              <w:rPr>
                <w:rFonts w:hint="eastAsia" w:hAnsi="宋体"/>
              </w:rPr>
              <w:t>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12</w:t>
            </w:r>
          </w:p>
        </w:tc>
        <w:tc>
          <w:tcPr>
            <w:tcW w:w="850" w:type="dxa"/>
            <w:vAlign w:val="center"/>
          </w:tcPr>
          <w:p>
            <w:pPr>
              <w:pStyle w:val="12"/>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985" w:type="dxa"/>
            <w:vAlign w:val="center"/>
          </w:tcPr>
          <w:p>
            <w:pPr>
              <w:pStyle w:val="12"/>
              <w:spacing w:line="360" w:lineRule="auto"/>
              <w:jc w:val="center"/>
              <w:rPr>
                <w:rFonts w:hAnsi="宋体"/>
              </w:rPr>
            </w:pPr>
            <w:r>
              <w:rPr>
                <w:rFonts w:hint="eastAsia" w:hAnsi="宋体"/>
                <w:bCs/>
              </w:rPr>
              <w:t>投标文件</w:t>
            </w:r>
            <w:r>
              <w:rPr>
                <w:rFonts w:hint="eastAsia" w:hAnsi="宋体"/>
              </w:rPr>
              <w:t>截止时间</w:t>
            </w:r>
          </w:p>
        </w:tc>
        <w:tc>
          <w:tcPr>
            <w:tcW w:w="5669" w:type="dxa"/>
            <w:vAlign w:val="center"/>
          </w:tcPr>
          <w:p>
            <w:pPr>
              <w:pStyle w:val="12"/>
              <w:spacing w:line="360" w:lineRule="auto"/>
              <w:rPr>
                <w:rFonts w:hAnsi="宋体"/>
                <w:b/>
              </w:rPr>
            </w:pPr>
            <w:r>
              <w:rPr>
                <w:rFonts w:ascii="Times New Roman" w:hAnsi="Times New Roman"/>
                <w:b/>
                <w:snapToGrid w:val="0"/>
                <w:highlight w:val="yellow"/>
              </w:rPr>
              <w:t>20</w:t>
            </w:r>
            <w:r>
              <w:rPr>
                <w:rFonts w:hint="eastAsia" w:ascii="Times New Roman" w:hAnsi="Times New Roman"/>
                <w:b/>
                <w:snapToGrid w:val="0"/>
                <w:highlight w:val="yellow"/>
              </w:rPr>
              <w:t>21</w:t>
            </w:r>
            <w:r>
              <w:rPr>
                <w:rFonts w:ascii="Times New Roman" w:hAnsi="Times New Roman"/>
                <w:b/>
                <w:snapToGrid w:val="0"/>
                <w:highlight w:val="yellow"/>
              </w:rPr>
              <w:t>年</w:t>
            </w:r>
            <w:r>
              <w:rPr>
                <w:rFonts w:hint="eastAsia" w:ascii="Times New Roman" w:hAnsi="Times New Roman"/>
                <w:b/>
                <w:snapToGrid w:val="0"/>
                <w:highlight w:val="yellow"/>
              </w:rPr>
              <w:t>0</w:t>
            </w:r>
            <w:r>
              <w:rPr>
                <w:rFonts w:hint="eastAsia" w:ascii="Times New Roman" w:hAnsi="Times New Roman"/>
                <w:b/>
                <w:snapToGrid w:val="0"/>
                <w:highlight w:val="yellow"/>
                <w:lang w:val="en-US" w:eastAsia="zh-CN"/>
              </w:rPr>
              <w:t>9</w:t>
            </w:r>
            <w:r>
              <w:rPr>
                <w:rFonts w:ascii="Times New Roman" w:hAnsi="Times New Roman"/>
                <w:b/>
                <w:snapToGrid w:val="0"/>
                <w:highlight w:val="yellow"/>
              </w:rPr>
              <w:t>月</w:t>
            </w:r>
            <w:r>
              <w:rPr>
                <w:rFonts w:hint="eastAsia" w:ascii="Times New Roman" w:hAnsi="Times New Roman"/>
                <w:b/>
                <w:snapToGrid w:val="0"/>
                <w:highlight w:val="yellow"/>
                <w:lang w:val="en-US" w:eastAsia="zh-CN"/>
              </w:rPr>
              <w:t>18</w:t>
            </w:r>
            <w:r>
              <w:rPr>
                <w:rFonts w:ascii="Times New Roman" w:hAnsi="Times New Roman"/>
                <w:b/>
                <w:snapToGrid w:val="0"/>
                <w:highlight w:val="yellow"/>
              </w:rPr>
              <w:t>日</w:t>
            </w:r>
            <w:r>
              <w:rPr>
                <w:rFonts w:hint="eastAsia" w:ascii="Times New Roman" w:hAnsi="Times New Roman"/>
                <w:b/>
                <w:snapToGrid w:val="0"/>
                <w:highlight w:val="yellow"/>
                <w:lang w:val="en-US" w:eastAsia="zh-CN"/>
              </w:rPr>
              <w:t>15</w:t>
            </w:r>
            <w:r>
              <w:rPr>
                <w:rFonts w:ascii="Times New Roman" w:hAnsi="Times New Roman"/>
                <w:b/>
                <w:snapToGrid w:val="0"/>
                <w:highlight w:val="yellow"/>
              </w:rPr>
              <w:t>：</w:t>
            </w:r>
            <w:r>
              <w:rPr>
                <w:rFonts w:hint="eastAsia" w:ascii="Times New Roman" w:hAnsi="Times New Roman"/>
                <w:b/>
                <w:snapToGrid w:val="0"/>
                <w:highlight w:val="yellow"/>
              </w:rPr>
              <w:t>0</w:t>
            </w:r>
            <w:r>
              <w:rPr>
                <w:rFonts w:ascii="Times New Roman" w:hAnsi="Times New Roman"/>
                <w:b/>
                <w:snapToGrid w:val="0"/>
                <w:highlight w:val="yellow"/>
              </w:rPr>
              <w:t>0时（北京时间）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12"/>
              <w:spacing w:line="360" w:lineRule="auto"/>
              <w:jc w:val="center"/>
              <w:rPr>
                <w:rFonts w:hAnsi="宋体"/>
              </w:rPr>
            </w:pPr>
            <w:r>
              <w:rPr>
                <w:rFonts w:hint="eastAsia" w:hAnsi="宋体"/>
              </w:rPr>
              <w:t>13</w:t>
            </w:r>
          </w:p>
        </w:tc>
        <w:tc>
          <w:tcPr>
            <w:tcW w:w="850" w:type="dxa"/>
            <w:vAlign w:val="center"/>
          </w:tcPr>
          <w:p>
            <w:pPr>
              <w:pStyle w:val="12"/>
              <w:spacing w:line="360" w:lineRule="auto"/>
              <w:jc w:val="center"/>
              <w:rPr>
                <w:rFonts w:hAnsi="宋体"/>
              </w:rPr>
            </w:pPr>
            <w:r>
              <w:rPr>
                <w:rFonts w:hint="eastAsia" w:hAnsi="宋体"/>
              </w:rPr>
              <w:t>26</w:t>
            </w:r>
            <w:r>
              <w:rPr>
                <w:rFonts w:hAnsi="宋体"/>
              </w:rPr>
              <w:t>.</w:t>
            </w:r>
            <w:r>
              <w:rPr>
                <w:rFonts w:hint="eastAsia" w:hAnsi="宋体"/>
              </w:rPr>
              <w:t>5</w:t>
            </w:r>
          </w:p>
        </w:tc>
        <w:tc>
          <w:tcPr>
            <w:tcW w:w="1985" w:type="dxa"/>
            <w:vAlign w:val="center"/>
          </w:tcPr>
          <w:p>
            <w:pPr>
              <w:pStyle w:val="12"/>
              <w:spacing w:line="360" w:lineRule="auto"/>
              <w:jc w:val="center"/>
              <w:rPr>
                <w:rFonts w:hAnsi="宋体"/>
              </w:rPr>
            </w:pPr>
            <w:r>
              <w:rPr>
                <w:rFonts w:hint="eastAsia" w:hAnsi="宋体"/>
              </w:rPr>
              <w:t>评标办法</w:t>
            </w:r>
          </w:p>
        </w:tc>
        <w:tc>
          <w:tcPr>
            <w:tcW w:w="5669" w:type="dxa"/>
            <w:vAlign w:val="center"/>
          </w:tcPr>
          <w:p>
            <w:pPr>
              <w:pStyle w:val="12"/>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2"/>
              <w:spacing w:line="360" w:lineRule="auto"/>
              <w:jc w:val="center"/>
              <w:rPr>
                <w:rFonts w:hAnsi="宋体"/>
              </w:rPr>
            </w:pPr>
            <w:r>
              <w:rPr>
                <w:rFonts w:hint="eastAsia" w:hAnsi="宋体"/>
              </w:rPr>
              <w:t>14</w:t>
            </w:r>
          </w:p>
        </w:tc>
        <w:tc>
          <w:tcPr>
            <w:tcW w:w="850" w:type="dxa"/>
            <w:vAlign w:val="center"/>
          </w:tcPr>
          <w:p>
            <w:pPr>
              <w:pStyle w:val="12"/>
              <w:spacing w:line="360" w:lineRule="auto"/>
              <w:jc w:val="center"/>
              <w:rPr>
                <w:rFonts w:hAnsi="宋体"/>
              </w:rPr>
            </w:pPr>
            <w:r>
              <w:rPr>
                <w:rFonts w:hint="eastAsia" w:hAnsi="宋体"/>
              </w:rPr>
              <w:t>33.1</w:t>
            </w:r>
          </w:p>
        </w:tc>
        <w:tc>
          <w:tcPr>
            <w:tcW w:w="1985" w:type="dxa"/>
            <w:vAlign w:val="center"/>
          </w:tcPr>
          <w:p>
            <w:pPr>
              <w:pStyle w:val="12"/>
              <w:spacing w:line="340" w:lineRule="exact"/>
              <w:jc w:val="center"/>
              <w:rPr>
                <w:rFonts w:hAnsi="宋体"/>
              </w:rPr>
            </w:pPr>
            <w:r>
              <w:rPr>
                <w:rFonts w:hint="eastAsia" w:hAnsi="宋体"/>
              </w:rPr>
              <w:t>采购代理服务费</w:t>
            </w:r>
          </w:p>
        </w:tc>
        <w:tc>
          <w:tcPr>
            <w:tcW w:w="5669" w:type="dxa"/>
            <w:vAlign w:val="center"/>
          </w:tcPr>
          <w:p>
            <w:pPr>
              <w:pStyle w:val="12"/>
              <w:spacing w:line="340" w:lineRule="exact"/>
              <w:rPr>
                <w:rFonts w:hAnsi="宋体"/>
              </w:rPr>
            </w:pPr>
            <w:r>
              <w:rPr>
                <w:rFonts w:hint="eastAsia" w:hAnsi="宋体"/>
              </w:rPr>
              <w:t>采购代理机构按中标金额的一定比例向中标人收取。</w:t>
            </w:r>
          </w:p>
          <w:p>
            <w:pPr>
              <w:pStyle w:val="12"/>
              <w:spacing w:line="340" w:lineRule="exact"/>
              <w:rPr>
                <w:rFonts w:hAnsi="宋体"/>
              </w:rPr>
            </w:pPr>
            <w:r>
              <w:rPr>
                <w:rFonts w:hint="eastAsia" w:hAnsi="宋体"/>
              </w:rPr>
              <w:t>（详见“第五部分-通用条款（供应商须知）第33小条”）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12"/>
              <w:spacing w:line="360" w:lineRule="auto"/>
              <w:jc w:val="center"/>
              <w:rPr>
                <w:rFonts w:hAnsi="宋体"/>
              </w:rPr>
            </w:pPr>
            <w:r>
              <w:rPr>
                <w:rFonts w:hint="eastAsia" w:hAnsi="宋体"/>
              </w:rPr>
              <w:t>15</w:t>
            </w:r>
          </w:p>
        </w:tc>
        <w:tc>
          <w:tcPr>
            <w:tcW w:w="850" w:type="dxa"/>
            <w:vAlign w:val="center"/>
          </w:tcPr>
          <w:p>
            <w:pPr>
              <w:pStyle w:val="12"/>
              <w:spacing w:line="360" w:lineRule="auto"/>
              <w:jc w:val="center"/>
              <w:rPr>
                <w:rFonts w:hAnsi="宋体"/>
              </w:rPr>
            </w:pPr>
          </w:p>
        </w:tc>
        <w:tc>
          <w:tcPr>
            <w:tcW w:w="1985" w:type="dxa"/>
            <w:vAlign w:val="center"/>
          </w:tcPr>
          <w:p>
            <w:pPr>
              <w:pStyle w:val="12"/>
              <w:spacing w:line="340" w:lineRule="exact"/>
              <w:jc w:val="center"/>
              <w:rPr>
                <w:rFonts w:hAnsi="宋体"/>
              </w:rPr>
            </w:pPr>
            <w:r>
              <w:rPr>
                <w:rFonts w:hint="eastAsia" w:hAnsi="宋体"/>
              </w:rPr>
              <w:t>采购控制金额</w:t>
            </w:r>
          </w:p>
          <w:p>
            <w:pPr>
              <w:pStyle w:val="12"/>
              <w:spacing w:line="340" w:lineRule="exact"/>
              <w:jc w:val="center"/>
              <w:rPr>
                <w:rFonts w:hAnsi="宋体"/>
              </w:rPr>
            </w:pPr>
            <w:r>
              <w:rPr>
                <w:rFonts w:hint="eastAsia" w:hAnsi="宋体"/>
              </w:rPr>
              <w:t>（最高投标限价）</w:t>
            </w:r>
          </w:p>
        </w:tc>
        <w:tc>
          <w:tcPr>
            <w:tcW w:w="5669" w:type="dxa"/>
            <w:vAlign w:val="center"/>
          </w:tcPr>
          <w:p>
            <w:pPr>
              <w:pStyle w:val="12"/>
              <w:spacing w:line="340" w:lineRule="exact"/>
              <w:rPr>
                <w:rFonts w:hAnsi="宋体"/>
                <w:b/>
              </w:rPr>
            </w:pPr>
            <w:r>
              <w:rPr>
                <w:rFonts w:hint="eastAsia" w:hAnsi="宋体"/>
                <w:b/>
                <w:highlight w:val="yellow"/>
              </w:rPr>
              <w:t>人民币</w:t>
            </w:r>
            <w:r>
              <w:rPr>
                <w:rFonts w:hint="eastAsia" w:hAnsi="宋体"/>
                <w:b/>
                <w:highlight w:val="yellow"/>
                <w:lang w:val="en-US" w:eastAsia="zh-CN"/>
              </w:rPr>
              <w:t>玖佰万</w:t>
            </w:r>
            <w:r>
              <w:rPr>
                <w:rFonts w:hint="eastAsia" w:hAnsi="宋体"/>
                <w:b/>
                <w:highlight w:val="yellow"/>
              </w:rPr>
              <w:t>元整（￥</w:t>
            </w:r>
            <w:r>
              <w:rPr>
                <w:rFonts w:hint="eastAsia" w:hAnsi="宋体"/>
                <w:b/>
                <w:highlight w:val="yellow"/>
                <w:u w:val="single"/>
                <w:lang w:val="en-US" w:eastAsia="zh-CN"/>
              </w:rPr>
              <w:t>9</w:t>
            </w:r>
            <w:r>
              <w:rPr>
                <w:rFonts w:hint="eastAsia" w:hAnsi="宋体"/>
                <w:b/>
                <w:highlight w:val="yellow"/>
                <w:u w:val="single"/>
              </w:rPr>
              <w:t>,</w:t>
            </w:r>
            <w:r>
              <w:rPr>
                <w:rFonts w:hint="eastAsia" w:hAnsi="宋体"/>
                <w:b/>
                <w:highlight w:val="yellow"/>
                <w:u w:val="single"/>
                <w:lang w:val="en-US" w:eastAsia="zh-CN"/>
              </w:rPr>
              <w:t>0</w:t>
            </w:r>
            <w:r>
              <w:rPr>
                <w:rFonts w:hint="eastAsia" w:hAnsi="宋体"/>
                <w:b/>
                <w:highlight w:val="yellow"/>
                <w:u w:val="single"/>
              </w:rPr>
              <w:t>00</w:t>
            </w:r>
            <w:r>
              <w:rPr>
                <w:rFonts w:hAnsi="宋体"/>
                <w:b/>
                <w:highlight w:val="yellow"/>
                <w:u w:val="single"/>
              </w:rPr>
              <w:t>,</w:t>
            </w:r>
            <w:r>
              <w:rPr>
                <w:rFonts w:hint="eastAsia" w:hAnsi="宋体"/>
                <w:b/>
                <w:highlight w:val="yellow"/>
                <w:u w:val="single"/>
              </w:rPr>
              <w:t>0</w:t>
            </w:r>
            <w:r>
              <w:rPr>
                <w:rFonts w:hAnsi="宋体"/>
                <w:b/>
                <w:highlight w:val="yellow"/>
                <w:u w:val="single"/>
              </w:rPr>
              <w:t>00.00</w:t>
            </w:r>
            <w:r>
              <w:rPr>
                <w:rFonts w:hint="eastAsia" w:hAnsi="宋体"/>
                <w:b/>
                <w:highlight w:val="yellow"/>
              </w:rPr>
              <w:t>）</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9"/>
        <w:tblW w:w="9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cs="仿宋"/>
                <w:snapToGrid w:val="0"/>
                <w:kern w:val="0"/>
                <w:sz w:val="22"/>
              </w:rPr>
            </w:pPr>
            <w:r>
              <w:rPr>
                <w:rFonts w:hint="eastAsia" w:ascii="仿宋" w:hAnsi="仿宋" w:eastAsia="仿宋" w:cs="仿宋"/>
                <w:b/>
                <w:bCs/>
                <w:snapToGrid w:val="0"/>
                <w:kern w:val="0"/>
                <w:sz w:val="22"/>
              </w:rPr>
              <w:t>分值</w:t>
            </w:r>
          </w:p>
        </w:tc>
        <w:tc>
          <w:tcPr>
            <w:tcW w:w="6520"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价格标（G）</w:t>
            </w:r>
          </w:p>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（总分30分）</w:t>
            </w:r>
          </w:p>
        </w:tc>
        <w:tc>
          <w:tcPr>
            <w:tcW w:w="1182" w:type="dxa"/>
            <w:vAlign w:val="center"/>
          </w:tcPr>
          <w:p>
            <w:pPr>
              <w:adjustRightInd w:val="0"/>
              <w:spacing w:line="360" w:lineRule="auto"/>
              <w:jc w:val="center"/>
              <w:rPr>
                <w:rFonts w:ascii="仿宋" w:hAnsi="仿宋" w:eastAsia="仿宋" w:cs="仿宋"/>
                <w:kern w:val="0"/>
                <w:sz w:val="22"/>
              </w:rPr>
            </w:pPr>
            <w:r>
              <w:rPr>
                <w:rFonts w:hint="eastAsia" w:ascii="仿宋" w:hAnsi="仿宋" w:eastAsia="仿宋" w:cs="仿宋"/>
                <w:kern w:val="0"/>
                <w:sz w:val="22"/>
              </w:rPr>
              <w:t>投标总价</w:t>
            </w:r>
          </w:p>
        </w:tc>
        <w:tc>
          <w:tcPr>
            <w:tcW w:w="709" w:type="dxa"/>
            <w:vAlign w:val="center"/>
          </w:tcPr>
          <w:p>
            <w:pPr>
              <w:adjustRightInd w:val="0"/>
              <w:spacing w:line="360" w:lineRule="auto"/>
              <w:jc w:val="center"/>
              <w:rPr>
                <w:rFonts w:ascii="仿宋" w:hAnsi="仿宋" w:eastAsia="仿宋" w:cs="仿宋"/>
                <w:kern w:val="0"/>
                <w:sz w:val="22"/>
              </w:rPr>
            </w:pPr>
            <w:r>
              <w:rPr>
                <w:rFonts w:hint="eastAsia" w:ascii="仿宋" w:hAnsi="仿宋" w:eastAsia="仿宋" w:cs="仿宋"/>
                <w:kern w:val="0"/>
                <w:sz w:val="22"/>
              </w:rPr>
              <w:t>30</w:t>
            </w:r>
          </w:p>
        </w:tc>
        <w:tc>
          <w:tcPr>
            <w:tcW w:w="6520" w:type="dxa"/>
            <w:tcBorders>
              <w:right w:val="double" w:color="auto" w:sz="4" w:space="0"/>
            </w:tcBorders>
            <w:vAlign w:val="center"/>
          </w:tcPr>
          <w:p>
            <w:pPr>
              <w:adjustRightInd w:val="0"/>
              <w:spacing w:line="360" w:lineRule="auto"/>
              <w:jc w:val="left"/>
              <w:rPr>
                <w:rFonts w:ascii="仿宋" w:hAnsi="仿宋" w:eastAsia="仿宋" w:cs="仿宋"/>
                <w:kern w:val="0"/>
                <w:sz w:val="22"/>
              </w:rPr>
            </w:pPr>
            <w:r>
              <w:rPr>
                <w:rFonts w:hint="eastAsia" w:ascii="仿宋" w:hAnsi="仿宋" w:eastAsia="仿宋" w:cs="仿宋"/>
                <w:kern w:val="0"/>
                <w:sz w:val="22"/>
              </w:rPr>
              <w:t>价格分按以下方案计算：</w:t>
            </w:r>
          </w:p>
          <w:p>
            <w:pPr>
              <w:adjustRightInd w:val="0"/>
              <w:spacing w:line="360" w:lineRule="auto"/>
              <w:jc w:val="left"/>
              <w:rPr>
                <w:rFonts w:ascii="仿宋" w:hAnsi="仿宋" w:eastAsia="仿宋" w:cs="仿宋"/>
                <w:kern w:val="0"/>
                <w:sz w:val="22"/>
              </w:rPr>
            </w:pPr>
            <w:r>
              <w:rPr>
                <w:rFonts w:hint="eastAsia" w:ascii="仿宋" w:hAnsi="仿宋" w:eastAsia="仿宋" w:cs="仿宋"/>
                <w:kern w:val="0"/>
                <w:sz w:val="22"/>
              </w:rPr>
              <w:t>投标报价得分= Z/Sn×30</w:t>
            </w:r>
          </w:p>
          <w:p>
            <w:pPr>
              <w:adjustRightInd w:val="0"/>
              <w:spacing w:line="360" w:lineRule="auto"/>
              <w:jc w:val="left"/>
              <w:rPr>
                <w:rFonts w:ascii="仿宋" w:hAnsi="仿宋" w:eastAsia="仿宋" w:cs="仿宋"/>
                <w:kern w:val="0"/>
                <w:sz w:val="22"/>
              </w:rPr>
            </w:pPr>
            <w:r>
              <w:rPr>
                <w:rFonts w:hint="eastAsia" w:ascii="仿宋" w:hAnsi="仿宋" w:eastAsia="仿宋" w:cs="仿宋"/>
                <w:kern w:val="0"/>
                <w:sz w:val="22"/>
              </w:rPr>
              <w:t>其中： Z --评标基准价，即通过资格性审查和符合性审查且投标价格最低的投标报价</w:t>
            </w:r>
          </w:p>
          <w:p>
            <w:pPr>
              <w:adjustRightInd w:val="0"/>
              <w:spacing w:line="360" w:lineRule="auto"/>
              <w:rPr>
                <w:rFonts w:ascii="仿宋" w:hAnsi="仿宋" w:eastAsia="仿宋" w:cs="仿宋"/>
                <w:kern w:val="0"/>
                <w:sz w:val="22"/>
              </w:rPr>
            </w:pPr>
            <w:r>
              <w:rPr>
                <w:rFonts w:hint="eastAsia" w:ascii="仿宋" w:hAnsi="仿宋" w:eastAsia="仿宋" w:cs="仿宋"/>
                <w:kern w:val="0"/>
                <w:sz w:val="22"/>
              </w:rPr>
              <w:tab/>
            </w:r>
            <w:r>
              <w:rPr>
                <w:rFonts w:hint="eastAsia" w:ascii="仿宋" w:hAnsi="仿宋" w:eastAsia="仿宋" w:cs="仿宋"/>
                <w:kern w:val="0"/>
                <w:sz w:val="22"/>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技术标（J）</w:t>
            </w:r>
          </w:p>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（总分</w:t>
            </w:r>
            <w:r>
              <w:rPr>
                <w:rFonts w:hint="eastAsia" w:ascii="仿宋" w:hAnsi="仿宋" w:eastAsia="仿宋" w:cs="仿宋"/>
                <w:b/>
                <w:bCs/>
                <w:snapToGrid w:val="0"/>
                <w:kern w:val="0"/>
                <w:sz w:val="22"/>
                <w:lang w:val="en-US" w:eastAsia="zh-CN"/>
              </w:rPr>
              <w:t>50</w:t>
            </w:r>
            <w:r>
              <w:rPr>
                <w:rFonts w:hint="eastAsia" w:ascii="仿宋" w:hAnsi="仿宋" w:eastAsia="仿宋" w:cs="仿宋"/>
                <w:b/>
                <w:bCs/>
                <w:snapToGrid w:val="0"/>
                <w:kern w:val="0"/>
                <w:sz w:val="22"/>
              </w:rPr>
              <w:t>分）</w:t>
            </w:r>
          </w:p>
        </w:tc>
        <w:tc>
          <w:tcPr>
            <w:tcW w:w="1182" w:type="dxa"/>
            <w:vAlign w:val="center"/>
          </w:tcPr>
          <w:p>
            <w:pPr>
              <w:adjustRightInd w:val="0"/>
              <w:spacing w:line="360" w:lineRule="auto"/>
              <w:jc w:val="center"/>
              <w:rPr>
                <w:rFonts w:ascii="仿宋" w:hAnsi="仿宋" w:eastAsia="仿宋" w:cs="仿宋"/>
                <w:kern w:val="0"/>
                <w:sz w:val="22"/>
              </w:rPr>
            </w:pPr>
            <w:r>
              <w:rPr>
                <w:rFonts w:hint="eastAsia" w:ascii="仿宋" w:hAnsi="仿宋" w:eastAsia="仿宋" w:cs="仿宋"/>
                <w:kern w:val="0"/>
                <w:sz w:val="22"/>
              </w:rPr>
              <w:t>技术规格偏离情况</w:t>
            </w:r>
          </w:p>
        </w:tc>
        <w:tc>
          <w:tcPr>
            <w:tcW w:w="709" w:type="dxa"/>
            <w:vAlign w:val="center"/>
          </w:tcPr>
          <w:p>
            <w:pPr>
              <w:spacing w:line="360" w:lineRule="auto"/>
              <w:jc w:val="center"/>
              <w:rPr>
                <w:rFonts w:hint="eastAsia" w:ascii="仿宋" w:hAnsi="仿宋" w:eastAsia="仿宋" w:cs="仿宋"/>
                <w:kern w:val="0"/>
                <w:sz w:val="22"/>
                <w:lang w:eastAsia="zh-CN"/>
              </w:rPr>
            </w:pPr>
            <w:r>
              <w:rPr>
                <w:rFonts w:hint="eastAsia" w:ascii="仿宋" w:hAnsi="仿宋" w:eastAsia="仿宋" w:cs="仿宋"/>
                <w:kern w:val="0"/>
                <w:sz w:val="22"/>
              </w:rPr>
              <w:t>4</w:t>
            </w:r>
            <w:r>
              <w:rPr>
                <w:rFonts w:hint="default" w:ascii="仿宋" w:hAnsi="仿宋" w:eastAsia="仿宋" w:cs="仿宋"/>
                <w:kern w:val="0"/>
                <w:sz w:val="22"/>
              </w:rPr>
              <w:t>0</w:t>
            </w:r>
          </w:p>
        </w:tc>
        <w:tc>
          <w:tcPr>
            <w:tcW w:w="6520" w:type="dxa"/>
            <w:tcBorders>
              <w:right w:val="double" w:color="auto" w:sz="4" w:space="0"/>
            </w:tcBorders>
            <w:vAlign w:val="center"/>
          </w:tcPr>
          <w:p>
            <w:pPr>
              <w:adjustRightInd w:val="0"/>
              <w:snapToGrid w:val="0"/>
              <w:spacing w:line="360" w:lineRule="auto"/>
              <w:rPr>
                <w:rFonts w:ascii="仿宋" w:hAnsi="仿宋" w:eastAsia="仿宋" w:cs="仿宋"/>
                <w:sz w:val="22"/>
              </w:rPr>
            </w:pPr>
            <w:r>
              <w:rPr>
                <w:rFonts w:hint="eastAsia" w:ascii="仿宋" w:hAnsi="仿宋" w:eastAsia="仿宋" w:cs="仿宋"/>
                <w:sz w:val="22"/>
              </w:rPr>
              <w:t>投标人应如实填写《技术规格偏离表》，评审委员会根据技术参数响应情况进行打分，各项技术参数指标及要求全部满足的得满分4</w:t>
            </w:r>
            <w:r>
              <w:rPr>
                <w:rFonts w:hint="eastAsia" w:ascii="仿宋" w:hAnsi="仿宋" w:eastAsia="仿宋" w:cs="仿宋"/>
                <w:sz w:val="22"/>
                <w:lang w:val="en-US" w:eastAsia="zh-CN"/>
              </w:rPr>
              <w:t>0</w:t>
            </w:r>
            <w:r>
              <w:rPr>
                <w:rFonts w:hint="eastAsia" w:ascii="仿宋" w:hAnsi="仿宋" w:eastAsia="仿宋" w:cs="仿宋"/>
                <w:sz w:val="22"/>
              </w:rPr>
              <w:t>分，未响应的参数按负偏离扣分。带</w:t>
            </w:r>
            <w:r>
              <w:rPr>
                <w:rFonts w:hint="eastAsia" w:ascii="仿宋" w:hAnsi="仿宋" w:eastAsia="仿宋" w:cs="仿宋"/>
                <w:kern w:val="0"/>
                <w:sz w:val="22"/>
              </w:rPr>
              <w:t>▲</w:t>
            </w:r>
            <w:r>
              <w:rPr>
                <w:rFonts w:hint="eastAsia" w:ascii="仿宋" w:hAnsi="仿宋" w:eastAsia="仿宋" w:cs="仿宋"/>
                <w:sz w:val="22"/>
              </w:rPr>
              <w:t>的重要参数每负偏离一项扣</w:t>
            </w:r>
            <w:r>
              <w:rPr>
                <w:rFonts w:hint="eastAsia" w:ascii="仿宋" w:hAnsi="仿宋" w:eastAsia="仿宋" w:cs="仿宋"/>
                <w:sz w:val="22"/>
                <w:lang w:val="en-US" w:eastAsia="zh-CN"/>
              </w:rPr>
              <w:t>5</w:t>
            </w:r>
            <w:r>
              <w:rPr>
                <w:rFonts w:hint="eastAsia" w:ascii="仿宋" w:hAnsi="仿宋" w:eastAsia="仿宋" w:cs="仿宋"/>
                <w:sz w:val="22"/>
              </w:rPr>
              <w:t>分，其他一般参数每负偏离一项扣</w:t>
            </w:r>
            <w:r>
              <w:rPr>
                <w:rFonts w:hint="eastAsia" w:ascii="仿宋" w:hAnsi="仿宋" w:eastAsia="仿宋" w:cs="仿宋"/>
                <w:sz w:val="22"/>
                <w:lang w:val="en-US" w:eastAsia="zh-CN"/>
              </w:rPr>
              <w:t>3</w:t>
            </w:r>
            <w:r>
              <w:rPr>
                <w:rFonts w:hint="eastAsia" w:ascii="仿宋" w:hAnsi="仿宋" w:eastAsia="仿宋" w:cs="仿宋"/>
                <w:sz w:val="22"/>
              </w:rPr>
              <w:t>分。扣完为止，最低得0分。</w:t>
            </w:r>
          </w:p>
          <w:p>
            <w:pPr>
              <w:adjustRightInd w:val="0"/>
              <w:spacing w:line="360" w:lineRule="auto"/>
              <w:rPr>
                <w:rFonts w:ascii="仿宋" w:hAnsi="仿宋" w:eastAsia="仿宋" w:cs="仿宋"/>
                <w:kern w:val="0"/>
                <w:sz w:val="22"/>
              </w:rPr>
            </w:pPr>
            <w:r>
              <w:rPr>
                <w:rFonts w:hint="eastAsia" w:ascii="仿宋" w:hAnsi="仿宋" w:eastAsia="仿宋" w:cs="仿宋"/>
                <w:sz w:val="22"/>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line="360" w:lineRule="auto"/>
              <w:jc w:val="center"/>
              <w:textAlignment w:val="center"/>
              <w:rPr>
                <w:rFonts w:ascii="仿宋" w:hAnsi="仿宋" w:eastAsia="仿宋" w:cs="仿宋"/>
                <w:kern w:val="0"/>
                <w:sz w:val="22"/>
              </w:rPr>
            </w:pPr>
            <w:r>
              <w:rPr>
                <w:rFonts w:hint="eastAsia" w:ascii="仿宋" w:hAnsi="仿宋" w:eastAsia="仿宋" w:cs="仿宋"/>
                <w:kern w:val="0"/>
                <w:sz w:val="22"/>
              </w:rPr>
              <w:t>项目质量、保障措施及方案</w:t>
            </w:r>
          </w:p>
        </w:tc>
        <w:tc>
          <w:tcPr>
            <w:tcW w:w="709" w:type="dxa"/>
            <w:vAlign w:val="center"/>
          </w:tcPr>
          <w:p>
            <w:pPr>
              <w:widowControl/>
              <w:spacing w:line="360" w:lineRule="auto"/>
              <w:jc w:val="center"/>
              <w:rPr>
                <w:rFonts w:hint="eastAsia" w:ascii="仿宋" w:hAnsi="仿宋" w:eastAsia="仿宋" w:cs="仿宋"/>
                <w:kern w:val="0"/>
                <w:sz w:val="22"/>
                <w:lang w:eastAsia="zh-CN"/>
              </w:rPr>
            </w:pPr>
            <w:r>
              <w:rPr>
                <w:rFonts w:hint="eastAsia" w:ascii="仿宋" w:hAnsi="仿宋" w:eastAsia="仿宋" w:cs="仿宋"/>
                <w:snapToGrid w:val="0"/>
                <w:kern w:val="0"/>
                <w:sz w:val="22"/>
                <w:lang w:val="en-US" w:eastAsia="zh-CN"/>
              </w:rPr>
              <w:t>3</w:t>
            </w:r>
          </w:p>
        </w:tc>
        <w:tc>
          <w:tcPr>
            <w:tcW w:w="6520" w:type="dxa"/>
            <w:tcBorders>
              <w:right w:val="double" w:color="auto" w:sz="4" w:space="0"/>
            </w:tcBorders>
            <w:vAlign w:val="center"/>
          </w:tcPr>
          <w:p>
            <w:pPr>
              <w:adjustRightInd w:val="0"/>
              <w:spacing w:line="360" w:lineRule="auto"/>
              <w:ind w:left="2"/>
              <w:rPr>
                <w:rFonts w:ascii="仿宋" w:hAnsi="仿宋" w:eastAsia="仿宋" w:cs="仿宋"/>
                <w:kern w:val="0"/>
                <w:sz w:val="22"/>
              </w:rPr>
            </w:pPr>
            <w:r>
              <w:rPr>
                <w:rFonts w:ascii="仿宋" w:hAnsi="仿宋" w:eastAsia="仿宋" w:cs="仿宋"/>
                <w:kern w:val="0"/>
                <w:sz w:val="22"/>
              </w:rPr>
              <w:t>评标委员会根据投标人</w:t>
            </w:r>
            <w:r>
              <w:rPr>
                <w:rFonts w:hint="eastAsia" w:ascii="仿宋" w:hAnsi="仿宋" w:eastAsia="仿宋" w:cs="仿宋"/>
                <w:kern w:val="0"/>
                <w:sz w:val="22"/>
              </w:rPr>
              <w:t>针对本项目提供的项目质量、保障措施及方案</w:t>
            </w:r>
            <w:r>
              <w:rPr>
                <w:rFonts w:hint="eastAsia" w:ascii="仿宋" w:hAnsi="仿宋" w:eastAsia="仿宋" w:cs="仿宋"/>
                <w:kern w:val="0"/>
                <w:sz w:val="22"/>
                <w:lang w:eastAsia="zh-CN"/>
              </w:rPr>
              <w:t>（</w:t>
            </w:r>
            <w:r>
              <w:rPr>
                <w:rFonts w:hint="eastAsia" w:ascii="仿宋" w:hAnsi="仿宋" w:eastAsia="仿宋" w:cs="仿宋"/>
                <w:b/>
                <w:bCs/>
                <w:kern w:val="0"/>
                <w:sz w:val="22"/>
                <w:lang w:val="en-US" w:eastAsia="zh-CN"/>
              </w:rPr>
              <w:t>包含但不限于项目进度控制和完成时间安排是否合理、项目开展涉及的安全和环保问题是否考虑周全、项目实施涉及的保障措施安排是否全面、项目整体质量控制是否有完整方案等</w:t>
            </w:r>
            <w:r>
              <w:rPr>
                <w:rFonts w:hint="eastAsia" w:ascii="仿宋" w:hAnsi="仿宋" w:eastAsia="仿宋" w:cs="仿宋"/>
                <w:kern w:val="0"/>
                <w:sz w:val="22"/>
                <w:lang w:eastAsia="zh-CN"/>
              </w:rPr>
              <w:t>）</w:t>
            </w:r>
            <w:r>
              <w:rPr>
                <w:rFonts w:ascii="仿宋" w:hAnsi="仿宋" w:eastAsia="仿宋" w:cs="仿宋"/>
                <w:kern w:val="0"/>
                <w:sz w:val="22"/>
              </w:rPr>
              <w:t>进行评审</w:t>
            </w:r>
            <w:r>
              <w:rPr>
                <w:rFonts w:hint="eastAsia" w:ascii="仿宋" w:hAnsi="仿宋" w:eastAsia="仿宋" w:cs="仿宋"/>
                <w:kern w:val="0"/>
                <w:sz w:val="22"/>
              </w:rPr>
              <w:t>：</w:t>
            </w:r>
          </w:p>
          <w:p>
            <w:pPr>
              <w:pStyle w:val="18"/>
              <w:spacing w:after="0" w:line="360" w:lineRule="auto"/>
              <w:ind w:left="0" w:leftChars="0" w:firstLine="0" w:firstLineChars="0"/>
              <w:rPr>
                <w:rFonts w:ascii="仿宋" w:hAnsi="仿宋" w:eastAsia="仿宋" w:cs="仿宋"/>
                <w:b/>
                <w:kern w:val="0"/>
                <w:sz w:val="22"/>
                <w:szCs w:val="22"/>
              </w:rPr>
            </w:pPr>
            <w:r>
              <w:rPr>
                <w:rFonts w:hint="eastAsia" w:ascii="仿宋" w:hAnsi="仿宋" w:eastAsia="仿宋" w:cs="仿宋"/>
                <w:b/>
                <w:kern w:val="0"/>
                <w:sz w:val="22"/>
                <w:szCs w:val="22"/>
                <w:highlight w:val="yellow"/>
              </w:rPr>
              <w:t>评审细则：</w:t>
            </w:r>
          </w:p>
          <w:p>
            <w:pPr>
              <w:pStyle w:val="18"/>
              <w:spacing w:after="0" w:line="360" w:lineRule="auto"/>
              <w:ind w:left="0" w:leftChars="0" w:firstLine="0" w:firstLineChars="0"/>
              <w:rPr>
                <w:rFonts w:ascii="仿宋" w:hAnsi="仿宋" w:eastAsia="仿宋" w:cs="仿宋"/>
                <w:kern w:val="0"/>
                <w:sz w:val="22"/>
                <w:szCs w:val="22"/>
              </w:rPr>
            </w:pPr>
            <w:r>
              <w:rPr>
                <w:rFonts w:hint="eastAsia" w:ascii="仿宋" w:hAnsi="仿宋" w:eastAsia="仿宋" w:cs="仿宋"/>
                <w:kern w:val="0"/>
                <w:sz w:val="22"/>
                <w:szCs w:val="22"/>
              </w:rPr>
              <w:t>1）方案内容全面完善。2）方案内容科学合理。</w:t>
            </w:r>
          </w:p>
          <w:p>
            <w:pPr>
              <w:pStyle w:val="18"/>
              <w:spacing w:after="0" w:line="360" w:lineRule="auto"/>
              <w:ind w:left="0" w:leftChars="0" w:firstLine="0" w:firstLineChars="0"/>
              <w:rPr>
                <w:rFonts w:ascii="仿宋" w:hAnsi="仿宋" w:eastAsia="仿宋" w:cs="仿宋"/>
                <w:kern w:val="0"/>
                <w:sz w:val="22"/>
                <w:szCs w:val="22"/>
              </w:rPr>
            </w:pPr>
            <w:r>
              <w:rPr>
                <w:rFonts w:hint="eastAsia" w:ascii="仿宋" w:hAnsi="仿宋" w:eastAsia="仿宋" w:cs="仿宋"/>
                <w:kern w:val="0"/>
                <w:sz w:val="22"/>
                <w:szCs w:val="22"/>
              </w:rPr>
              <w:t>3）方案内容可操作性强。4）方案内容针对性强。</w:t>
            </w:r>
          </w:p>
          <w:p>
            <w:pPr>
              <w:pStyle w:val="18"/>
              <w:spacing w:after="0" w:line="360" w:lineRule="auto"/>
              <w:ind w:left="0" w:leftChars="0" w:firstLine="0" w:firstLineChars="0"/>
              <w:rPr>
                <w:rFonts w:ascii="仿宋" w:hAnsi="仿宋" w:eastAsia="仿宋" w:cs="仿宋"/>
                <w:b/>
                <w:kern w:val="0"/>
                <w:sz w:val="22"/>
                <w:szCs w:val="22"/>
              </w:rPr>
            </w:pPr>
            <w:r>
              <w:rPr>
                <w:rFonts w:hint="eastAsia" w:ascii="仿宋" w:hAnsi="仿宋" w:eastAsia="仿宋" w:cs="仿宋"/>
                <w:b/>
                <w:kern w:val="0"/>
                <w:sz w:val="22"/>
                <w:szCs w:val="22"/>
                <w:highlight w:val="yellow"/>
              </w:rPr>
              <w:t>评分细则：</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1）响应方案满足但不限于以上4项，得</w:t>
            </w:r>
            <w:r>
              <w:rPr>
                <w:rFonts w:hint="eastAsia" w:ascii="仿宋" w:hAnsi="仿宋" w:eastAsia="仿宋" w:cs="宋体"/>
                <w:kern w:val="0"/>
                <w:sz w:val="22"/>
                <w:lang w:val="en-US" w:eastAsia="zh-CN"/>
              </w:rPr>
              <w:t>3</w:t>
            </w:r>
            <w:r>
              <w:rPr>
                <w:rFonts w:hint="eastAsia" w:ascii="仿宋" w:hAnsi="仿宋" w:eastAsia="仿宋" w:cs="宋体"/>
                <w:kern w:val="0"/>
                <w:sz w:val="22"/>
              </w:rPr>
              <w:t>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2）响应方案满足以上其中3项，得</w:t>
            </w:r>
            <w:r>
              <w:rPr>
                <w:rFonts w:hint="eastAsia" w:ascii="仿宋" w:hAnsi="仿宋" w:eastAsia="仿宋" w:cs="宋体"/>
                <w:kern w:val="0"/>
                <w:sz w:val="22"/>
                <w:lang w:val="en-US" w:eastAsia="zh-CN"/>
              </w:rPr>
              <w:t>2</w:t>
            </w:r>
            <w:r>
              <w:rPr>
                <w:rFonts w:hint="eastAsia" w:ascii="仿宋" w:hAnsi="仿宋" w:eastAsia="仿宋" w:cs="宋体"/>
                <w:kern w:val="0"/>
                <w:sz w:val="22"/>
              </w:rPr>
              <w:t>分。</w:t>
            </w:r>
          </w:p>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3）响应方案满足以上其中2项，得1分。</w:t>
            </w:r>
          </w:p>
          <w:p>
            <w:pPr>
              <w:snapToGrid w:val="0"/>
              <w:spacing w:line="360" w:lineRule="auto"/>
              <w:jc w:val="left"/>
              <w:rPr>
                <w:rFonts w:ascii="仿宋" w:hAnsi="仿宋" w:eastAsia="仿宋" w:cs="仿宋"/>
                <w:sz w:val="22"/>
              </w:rPr>
            </w:pPr>
            <w:r>
              <w:rPr>
                <w:rFonts w:hint="eastAsia" w:ascii="仿宋" w:hAnsi="仿宋" w:eastAsia="仿宋" w:cs="宋体"/>
                <w:kern w:val="0"/>
                <w:sz w:val="22"/>
              </w:rPr>
              <w:t>4）其他情况不得分。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line="360" w:lineRule="auto"/>
              <w:jc w:val="center"/>
              <w:textAlignment w:val="center"/>
              <w:rPr>
                <w:rFonts w:hint="eastAsia" w:ascii="仿宋" w:hAnsi="仿宋" w:eastAsia="仿宋" w:cs="仿宋"/>
                <w:kern w:val="0"/>
                <w:sz w:val="22"/>
              </w:rPr>
            </w:pPr>
            <w:r>
              <w:rPr>
                <w:rFonts w:hint="eastAsia" w:ascii="仿宋" w:hAnsi="仿宋" w:eastAsia="仿宋" w:cs="仿宋"/>
                <w:kern w:val="0"/>
                <w:sz w:val="22"/>
              </w:rPr>
              <w:t>软件开发服务</w:t>
            </w:r>
          </w:p>
        </w:tc>
        <w:tc>
          <w:tcPr>
            <w:tcW w:w="709" w:type="dxa"/>
            <w:vAlign w:val="center"/>
          </w:tcPr>
          <w:p>
            <w:pPr>
              <w:widowControl/>
              <w:spacing w:line="360" w:lineRule="auto"/>
              <w:jc w:val="center"/>
              <w:rPr>
                <w:rFonts w:hint="default" w:ascii="仿宋" w:hAnsi="仿宋" w:eastAsia="仿宋" w:cs="仿宋"/>
                <w:snapToGrid w:val="0"/>
                <w:kern w:val="0"/>
                <w:sz w:val="22"/>
                <w:lang w:val="en-US" w:eastAsia="zh-CN"/>
              </w:rPr>
            </w:pPr>
            <w:r>
              <w:rPr>
                <w:rFonts w:hint="default" w:ascii="仿宋" w:hAnsi="仿宋" w:eastAsia="仿宋" w:cs="仿宋"/>
                <w:snapToGrid w:val="0"/>
                <w:kern w:val="0"/>
                <w:sz w:val="22"/>
                <w:lang w:eastAsia="zh-CN"/>
              </w:rPr>
              <w:t>4</w:t>
            </w:r>
          </w:p>
        </w:tc>
        <w:tc>
          <w:tcPr>
            <w:tcW w:w="6520" w:type="dxa"/>
            <w:tcBorders>
              <w:right w:val="double" w:color="auto" w:sz="4" w:space="0"/>
            </w:tcBorders>
            <w:vAlign w:val="center"/>
          </w:tcPr>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rPr>
              <w:t>所有提供的HPC及AI软件接口直接向用户开放，用户可以非常方便的要求定制或进行二次开发。厂商承诺提供免费软件的二次开发服务，提供二次开发服务承诺函</w:t>
            </w:r>
            <w:r>
              <w:rPr>
                <w:rFonts w:hint="eastAsia" w:ascii="仿宋" w:hAnsi="仿宋" w:eastAsia="仿宋" w:cs="宋体"/>
                <w:kern w:val="0"/>
                <w:sz w:val="22"/>
                <w:lang w:val="en-US" w:eastAsia="zh-CN"/>
              </w:rPr>
              <w:t>得</w:t>
            </w:r>
            <w:r>
              <w:rPr>
                <w:rFonts w:hint="default" w:ascii="仿宋" w:hAnsi="仿宋" w:eastAsia="仿宋" w:cs="宋体"/>
                <w:kern w:val="0"/>
                <w:sz w:val="22"/>
                <w:lang w:eastAsia="zh-CN"/>
              </w:rPr>
              <w:t>4</w:t>
            </w:r>
            <w:r>
              <w:rPr>
                <w:rFonts w:hint="eastAsia" w:ascii="仿宋" w:hAnsi="仿宋" w:eastAsia="仿宋" w:cs="宋体"/>
                <w:kern w:val="0"/>
                <w:sz w:val="22"/>
                <w:lang w:val="en-US" w:eastAsia="zh-CN"/>
              </w:rPr>
              <w:t>分。</w:t>
            </w:r>
          </w:p>
          <w:p>
            <w:pPr>
              <w:snapToGrid w:val="0"/>
              <w:spacing w:line="360" w:lineRule="auto"/>
              <w:jc w:val="lef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w:t>
            </w:r>
            <w:r>
              <w:rPr>
                <w:rFonts w:hint="eastAsia" w:ascii="仿宋" w:hAnsi="仿宋" w:eastAsia="仿宋" w:cs="宋体"/>
                <w:b w:val="0"/>
                <w:bCs w:val="0"/>
                <w:kern w:val="0"/>
                <w:sz w:val="22"/>
                <w:lang w:val="en-US" w:eastAsia="zh-CN"/>
              </w:rPr>
              <w:t>提供承诺函并加盖</w:t>
            </w:r>
            <w:r>
              <w:rPr>
                <w:rFonts w:hint="eastAsia" w:ascii="仿宋" w:hAnsi="仿宋" w:eastAsia="仿宋" w:cs="宋体"/>
                <w:b w:val="0"/>
                <w:bCs w:val="0"/>
                <w:kern w:val="0"/>
                <w:sz w:val="22"/>
              </w:rPr>
              <w:t>厂商</w:t>
            </w:r>
            <w:r>
              <w:rPr>
                <w:rFonts w:hint="eastAsia" w:ascii="仿宋" w:hAnsi="仿宋" w:eastAsia="仿宋" w:cs="宋体"/>
                <w:b w:val="0"/>
                <w:bCs w:val="0"/>
                <w:kern w:val="0"/>
                <w:sz w:val="22"/>
                <w:lang w:val="en-US" w:eastAsia="zh-CN"/>
              </w:rPr>
              <w:t>公章，格式自拟</w:t>
            </w:r>
            <w:r>
              <w:rPr>
                <w:rFonts w:hint="eastAsia" w:ascii="仿宋" w:hAnsi="仿宋" w:eastAsia="仿宋" w:cs="宋体"/>
                <w:kern w:val="0"/>
                <w:sz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line="360" w:lineRule="auto"/>
              <w:jc w:val="center"/>
              <w:textAlignment w:val="center"/>
              <w:rPr>
                <w:rFonts w:ascii="仿宋" w:hAnsi="仿宋" w:eastAsia="仿宋" w:cs="仿宋"/>
                <w:kern w:val="0"/>
                <w:sz w:val="22"/>
              </w:rPr>
            </w:pPr>
            <w:r>
              <w:rPr>
                <w:rFonts w:hint="eastAsia" w:ascii="仿宋" w:hAnsi="仿宋" w:eastAsia="仿宋" w:cs="仿宋"/>
                <w:kern w:val="0"/>
                <w:sz w:val="22"/>
              </w:rPr>
              <w:t>CPU计算节点数量</w:t>
            </w:r>
          </w:p>
        </w:tc>
        <w:tc>
          <w:tcPr>
            <w:tcW w:w="709" w:type="dxa"/>
            <w:vAlign w:val="center"/>
          </w:tcPr>
          <w:p>
            <w:pPr>
              <w:widowControl/>
              <w:spacing w:line="360" w:lineRule="auto"/>
              <w:jc w:val="center"/>
              <w:rPr>
                <w:rFonts w:ascii="仿宋" w:hAnsi="仿宋" w:eastAsia="仿宋" w:cs="仿宋"/>
                <w:kern w:val="0"/>
                <w:sz w:val="22"/>
              </w:rPr>
            </w:pPr>
            <w:r>
              <w:rPr>
                <w:rFonts w:hint="eastAsia" w:ascii="仿宋" w:hAnsi="仿宋" w:eastAsia="仿宋" w:cs="仿宋"/>
                <w:snapToGrid w:val="0"/>
                <w:kern w:val="0"/>
                <w:sz w:val="22"/>
              </w:rPr>
              <w:t>3</w:t>
            </w:r>
          </w:p>
        </w:tc>
        <w:tc>
          <w:tcPr>
            <w:tcW w:w="6520" w:type="dxa"/>
            <w:tcBorders>
              <w:right w:val="double" w:color="auto" w:sz="4" w:space="0"/>
            </w:tcBorders>
            <w:vAlign w:val="center"/>
          </w:tcPr>
          <w:p>
            <w:pPr>
              <w:snapToGrid w:val="0"/>
              <w:spacing w:line="360" w:lineRule="auto"/>
              <w:jc w:val="left"/>
              <w:rPr>
                <w:rFonts w:hint="eastAsia" w:ascii="仿宋" w:hAnsi="仿宋" w:eastAsia="仿宋" w:cs="仿宋"/>
                <w:sz w:val="22"/>
                <w:lang w:eastAsia="zh-CN"/>
              </w:rPr>
            </w:pPr>
            <w:r>
              <w:rPr>
                <w:rFonts w:hint="eastAsia" w:ascii="仿宋" w:hAnsi="仿宋" w:eastAsia="仿宋" w:cs="仿宋"/>
                <w:sz w:val="22"/>
              </w:rPr>
              <w:t>在</w:t>
            </w:r>
            <w:r>
              <w:rPr>
                <w:rFonts w:hint="eastAsia" w:ascii="仿宋" w:hAnsi="仿宋" w:eastAsia="仿宋" w:cs="仿宋"/>
                <w:sz w:val="22"/>
                <w:lang w:val="en-US" w:eastAsia="zh-CN"/>
              </w:rPr>
              <w:t>满足本项目需求的</w:t>
            </w:r>
            <w:r>
              <w:rPr>
                <w:rFonts w:hint="eastAsia" w:ascii="仿宋" w:hAnsi="仿宋" w:eastAsia="仿宋" w:cs="仿宋"/>
                <w:sz w:val="22"/>
              </w:rPr>
              <w:t>62台CPU计算节点基础上，每增加4台CPU计算节点（配置满足技术参数中CPU节点配置要求）得0.5分，最多得3分。</w:t>
            </w:r>
            <w:r>
              <w:rPr>
                <w:rFonts w:hint="eastAsia" w:ascii="仿宋" w:hAnsi="仿宋" w:eastAsia="仿宋" w:cs="仿宋"/>
                <w:sz w:val="22"/>
                <w:lang w:eastAsia="zh-CN"/>
              </w:rPr>
              <w:t>【</w:t>
            </w:r>
            <w:r>
              <w:rPr>
                <w:rFonts w:hint="eastAsia" w:ascii="仿宋" w:hAnsi="仿宋" w:eastAsia="仿宋" w:cs="仿宋"/>
                <w:sz w:val="22"/>
                <w:lang w:val="en-US" w:eastAsia="zh-CN"/>
              </w:rPr>
              <w:t>提供承诺函并加盖投标人公章，格式自拟</w:t>
            </w:r>
            <w:r>
              <w:rPr>
                <w:rFonts w:hint="eastAsia" w:ascii="仿宋" w:hAnsi="仿宋" w:eastAsia="仿宋" w:cs="仿宋"/>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商务标（S）</w:t>
            </w:r>
          </w:p>
          <w:p>
            <w:pPr>
              <w:adjustRightInd w:val="0"/>
              <w:spacing w:line="360" w:lineRule="auto"/>
              <w:jc w:val="center"/>
              <w:rPr>
                <w:rFonts w:ascii="仿宋" w:hAnsi="仿宋" w:eastAsia="仿宋" w:cs="仿宋"/>
                <w:b/>
                <w:bCs/>
                <w:snapToGrid w:val="0"/>
                <w:kern w:val="0"/>
                <w:sz w:val="22"/>
              </w:rPr>
            </w:pPr>
            <w:r>
              <w:rPr>
                <w:rFonts w:hint="eastAsia" w:ascii="仿宋" w:hAnsi="仿宋" w:eastAsia="仿宋" w:cs="仿宋"/>
                <w:b/>
                <w:bCs/>
                <w:snapToGrid w:val="0"/>
                <w:kern w:val="0"/>
                <w:sz w:val="22"/>
              </w:rPr>
              <w:t>（总分</w:t>
            </w:r>
            <w:r>
              <w:rPr>
                <w:rFonts w:hint="eastAsia" w:ascii="仿宋" w:hAnsi="仿宋" w:eastAsia="仿宋" w:cs="仿宋"/>
                <w:b/>
                <w:bCs/>
                <w:snapToGrid w:val="0"/>
                <w:kern w:val="0"/>
                <w:sz w:val="22"/>
                <w:lang w:val="en-US" w:eastAsia="zh-CN"/>
              </w:rPr>
              <w:t>20</w:t>
            </w:r>
            <w:r>
              <w:rPr>
                <w:rFonts w:hint="eastAsia" w:ascii="仿宋" w:hAnsi="仿宋" w:eastAsia="仿宋" w:cs="仿宋"/>
                <w:b/>
                <w:bCs/>
                <w:snapToGrid w:val="0"/>
                <w:kern w:val="0"/>
                <w:sz w:val="22"/>
              </w:rPr>
              <w:t>分）</w:t>
            </w:r>
          </w:p>
        </w:tc>
        <w:tc>
          <w:tcPr>
            <w:tcW w:w="1182" w:type="dxa"/>
            <w:vAlign w:val="center"/>
          </w:tcPr>
          <w:p>
            <w:pPr>
              <w:spacing w:line="360" w:lineRule="auto"/>
              <w:jc w:val="center"/>
              <w:rPr>
                <w:rFonts w:ascii="仿宋" w:hAnsi="仿宋" w:eastAsia="仿宋" w:cs="仿宋"/>
                <w:sz w:val="22"/>
              </w:rPr>
            </w:pPr>
            <w:r>
              <w:rPr>
                <w:rFonts w:hint="eastAsia" w:ascii="仿宋" w:hAnsi="仿宋" w:eastAsia="仿宋" w:cs="仿宋"/>
                <w:color w:val="000000"/>
                <w:kern w:val="0"/>
                <w:sz w:val="22"/>
              </w:rPr>
              <w:t>商务款偏离情况</w:t>
            </w:r>
          </w:p>
        </w:tc>
        <w:tc>
          <w:tcPr>
            <w:tcW w:w="709" w:type="dxa"/>
            <w:tcBorders>
              <w:right w:val="single" w:color="auto" w:sz="4" w:space="0"/>
            </w:tcBorders>
            <w:vAlign w:val="center"/>
          </w:tcPr>
          <w:p>
            <w:pPr>
              <w:widowControl/>
              <w:adjustRightInd w:val="0"/>
              <w:spacing w:line="360" w:lineRule="auto"/>
              <w:jc w:val="center"/>
              <w:rPr>
                <w:rFonts w:hint="eastAsia" w:ascii="仿宋" w:hAnsi="仿宋" w:eastAsia="仿宋" w:cs="仿宋"/>
                <w:sz w:val="22"/>
                <w:lang w:eastAsia="zh-CN"/>
              </w:rPr>
            </w:pPr>
            <w:r>
              <w:rPr>
                <w:rFonts w:hint="eastAsia" w:ascii="仿宋" w:hAnsi="仿宋" w:eastAsia="仿宋" w:cs="仿宋"/>
                <w:sz w:val="22"/>
                <w:lang w:val="en-US" w:eastAsia="zh-CN"/>
              </w:rPr>
              <w:t>5</w:t>
            </w:r>
          </w:p>
        </w:tc>
        <w:tc>
          <w:tcPr>
            <w:tcW w:w="6520" w:type="dxa"/>
            <w:tcBorders>
              <w:left w:val="single" w:color="auto" w:sz="4" w:space="0"/>
              <w:right w:val="double" w:color="auto" w:sz="4" w:space="0"/>
            </w:tcBorders>
            <w:vAlign w:val="center"/>
          </w:tcPr>
          <w:p>
            <w:pPr>
              <w:widowControl/>
              <w:spacing w:line="360" w:lineRule="auto"/>
              <w:jc w:val="left"/>
              <w:textAlignment w:val="center"/>
              <w:rPr>
                <w:rFonts w:hint="eastAsia" w:ascii="仿宋" w:hAnsi="仿宋" w:eastAsia="仿宋" w:cs="仿宋"/>
                <w:sz w:val="22"/>
              </w:rPr>
            </w:pPr>
            <w:r>
              <w:rPr>
                <w:rFonts w:hint="eastAsia" w:ascii="仿宋" w:hAnsi="仿宋" w:eastAsia="仿宋" w:cs="仿宋"/>
                <w:sz w:val="22"/>
              </w:rPr>
              <w:t>投标人应如实填写《商务条款偏离表》，评审委员会根据响应情况进行评审:</w:t>
            </w:r>
          </w:p>
          <w:p>
            <w:pPr>
              <w:widowControl/>
              <w:spacing w:line="360" w:lineRule="auto"/>
              <w:ind w:left="440" w:hanging="440" w:hangingChars="200"/>
              <w:jc w:val="left"/>
              <w:textAlignment w:val="center"/>
              <w:rPr>
                <w:rFonts w:hint="default" w:ascii="仿宋" w:hAnsi="仿宋" w:eastAsia="仿宋" w:cs="仿宋"/>
                <w:sz w:val="22"/>
                <w:lang w:val="en-US" w:eastAsia="zh-CN"/>
              </w:rPr>
            </w:pPr>
            <w:r>
              <w:rPr>
                <w:rFonts w:hint="eastAsia" w:ascii="仿宋" w:hAnsi="仿宋" w:eastAsia="仿宋" w:cs="仿宋"/>
                <w:sz w:val="22"/>
                <w:lang w:val="en-US" w:eastAsia="zh-CN"/>
              </w:rPr>
              <w:t>1）在满足项目需求质量保证期的前提下，每延长一年得0.5分。本小项最高得1分。</w:t>
            </w:r>
          </w:p>
          <w:p>
            <w:pPr>
              <w:widowControl/>
              <w:spacing w:line="360" w:lineRule="auto"/>
              <w:jc w:val="left"/>
              <w:textAlignment w:val="center"/>
              <w:rPr>
                <w:rFonts w:ascii="仿宋" w:hAnsi="仿宋" w:eastAsia="仿宋" w:cs="仿宋"/>
                <w:sz w:val="22"/>
              </w:rPr>
            </w:pPr>
            <w:r>
              <w:rPr>
                <w:rFonts w:hint="eastAsia" w:ascii="仿宋" w:hAnsi="仿宋" w:eastAsia="仿宋" w:cs="仿宋"/>
                <w:sz w:val="22"/>
                <w:lang w:val="en-US" w:eastAsia="zh-CN"/>
              </w:rPr>
              <w:t>2）</w:t>
            </w:r>
            <w:r>
              <w:rPr>
                <w:rFonts w:hint="eastAsia" w:ascii="仿宋" w:hAnsi="仿宋" w:eastAsia="仿宋" w:cs="仿宋"/>
                <w:color w:val="000000"/>
                <w:kern w:val="0"/>
                <w:sz w:val="22"/>
              </w:rPr>
              <w:t>全部满足得</w:t>
            </w:r>
            <w:r>
              <w:rPr>
                <w:rFonts w:hint="eastAsia" w:ascii="仿宋" w:hAnsi="仿宋" w:eastAsia="仿宋" w:cs="仿宋"/>
                <w:color w:val="000000"/>
                <w:kern w:val="0"/>
                <w:sz w:val="22"/>
                <w:lang w:val="en-US" w:eastAsia="zh-CN"/>
              </w:rPr>
              <w:t>4</w:t>
            </w:r>
            <w:r>
              <w:rPr>
                <w:rFonts w:hint="eastAsia" w:ascii="仿宋" w:hAnsi="仿宋" w:eastAsia="仿宋" w:cs="仿宋"/>
                <w:color w:val="000000"/>
                <w:kern w:val="0"/>
                <w:sz w:val="22"/>
              </w:rPr>
              <w:t>分，每负偏离一项扣</w:t>
            </w:r>
            <w:r>
              <w:rPr>
                <w:rFonts w:hint="eastAsia" w:ascii="仿宋" w:hAnsi="仿宋" w:eastAsia="仿宋" w:cs="仿宋"/>
                <w:color w:val="000000"/>
                <w:kern w:val="0"/>
                <w:sz w:val="22"/>
                <w:lang w:val="en-US" w:eastAsia="zh-CN"/>
              </w:rPr>
              <w:t>1</w:t>
            </w:r>
            <w:r>
              <w:rPr>
                <w:rFonts w:hint="eastAsia" w:ascii="仿宋" w:hAnsi="仿宋" w:eastAsia="仿宋" w:cs="仿宋"/>
                <w:color w:val="000000"/>
                <w:kern w:val="0"/>
                <w:sz w:val="22"/>
              </w:rPr>
              <w:t>分</w:t>
            </w:r>
            <w:r>
              <w:rPr>
                <w:rFonts w:hint="eastAsia" w:ascii="仿宋" w:hAnsi="仿宋" w:eastAsia="仿宋" w:cs="仿宋"/>
                <w:sz w:val="22"/>
              </w:rPr>
              <w:t>，扣完为止。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before="100" w:beforeAutospacing="1" w:line="360" w:lineRule="auto"/>
              <w:jc w:val="center"/>
              <w:textAlignment w:val="center"/>
              <w:rPr>
                <w:rFonts w:ascii="仿宋" w:hAnsi="仿宋" w:eastAsia="仿宋" w:cs="仿宋"/>
                <w:kern w:val="0"/>
                <w:sz w:val="22"/>
              </w:rPr>
            </w:pPr>
            <w:r>
              <w:rPr>
                <w:rFonts w:hint="eastAsia" w:ascii="仿宋" w:hAnsi="仿宋" w:eastAsia="仿宋"/>
                <w:sz w:val="22"/>
              </w:rPr>
              <w:t>同类业绩</w:t>
            </w:r>
          </w:p>
        </w:tc>
        <w:tc>
          <w:tcPr>
            <w:tcW w:w="709" w:type="dxa"/>
            <w:tcBorders>
              <w:right w:val="single" w:color="auto" w:sz="4" w:space="0"/>
            </w:tcBorders>
            <w:vAlign w:val="center"/>
          </w:tcPr>
          <w:p>
            <w:pPr>
              <w:widowControl/>
              <w:spacing w:line="360" w:lineRule="auto"/>
              <w:jc w:val="center"/>
              <w:rPr>
                <w:rFonts w:ascii="仿宋" w:hAnsi="仿宋" w:eastAsia="仿宋" w:cs="仿宋"/>
                <w:kern w:val="0"/>
                <w:sz w:val="22"/>
              </w:rPr>
            </w:pPr>
            <w:r>
              <w:rPr>
                <w:rFonts w:hint="eastAsia" w:ascii="仿宋" w:hAnsi="仿宋" w:eastAsia="仿宋"/>
                <w:snapToGrid w:val="0"/>
                <w:kern w:val="0"/>
                <w:sz w:val="22"/>
              </w:rPr>
              <w:t>3</w:t>
            </w:r>
          </w:p>
        </w:tc>
        <w:tc>
          <w:tcPr>
            <w:tcW w:w="6520"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2"/>
              </w:rPr>
            </w:pPr>
            <w:r>
              <w:rPr>
                <w:rFonts w:hint="eastAsia" w:ascii="仿宋" w:hAnsi="仿宋" w:eastAsia="仿宋" w:cs="宋体"/>
                <w:kern w:val="0"/>
                <w:sz w:val="22"/>
              </w:rPr>
              <w:t>CPU计算节点及GPU计算节点设备制造厂商(2020年1月1日至今）在国内完成的100计算节点（CPU、GPU都可，单一合同内可汇总计数）以上的教育和科研行业高性能计算业绩，100节点以下的案例不得分，100-500节点的案例每个得0.5分，501-1000节点每个案例得1分，1001节点以上案例，每个得1.5分，最多得3分</w:t>
            </w:r>
            <w:r>
              <w:rPr>
                <w:rFonts w:ascii="仿宋" w:hAnsi="仿宋" w:eastAsia="仿宋" w:cs="宋体"/>
                <w:kern w:val="0"/>
                <w:sz w:val="22"/>
              </w:rPr>
              <w:t>。</w:t>
            </w:r>
          </w:p>
          <w:p>
            <w:pPr>
              <w:snapToGrid w:val="0"/>
              <w:spacing w:line="360" w:lineRule="auto"/>
              <w:jc w:val="left"/>
              <w:rPr>
                <w:rFonts w:ascii="仿宋" w:hAnsi="仿宋" w:eastAsia="仿宋" w:cs="仿宋"/>
                <w:snapToGrid w:val="0"/>
                <w:kern w:val="0"/>
                <w:sz w:val="22"/>
              </w:rPr>
            </w:pPr>
            <w:r>
              <w:rPr>
                <w:rFonts w:ascii="仿宋" w:hAnsi="仿宋" w:eastAsia="仿宋" w:cs="宋体"/>
                <w:kern w:val="0"/>
                <w:sz w:val="22"/>
              </w:rPr>
              <w:t>【提供签订合同</w:t>
            </w:r>
            <w:r>
              <w:rPr>
                <w:rFonts w:hint="eastAsia" w:ascii="仿宋" w:hAnsi="仿宋" w:eastAsia="仿宋" w:cs="宋体"/>
                <w:kern w:val="0"/>
                <w:sz w:val="22"/>
              </w:rPr>
              <w:t>的</w:t>
            </w:r>
            <w:r>
              <w:rPr>
                <w:rFonts w:ascii="仿宋" w:hAnsi="仿宋" w:eastAsia="仿宋" w:cs="宋体"/>
                <w:kern w:val="0"/>
                <w:sz w:val="22"/>
              </w:rPr>
              <w:t>扫描件</w:t>
            </w:r>
            <w:r>
              <w:rPr>
                <w:rFonts w:hint="eastAsia" w:ascii="仿宋" w:hAnsi="仿宋" w:eastAsia="仿宋" w:cs="宋体"/>
                <w:kern w:val="0"/>
                <w:sz w:val="22"/>
              </w:rPr>
              <w:t>并加盖投标人公章，原件备查</w:t>
            </w:r>
            <w:r>
              <w:rPr>
                <w:rFonts w:ascii="仿宋" w:hAnsi="仿宋" w:eastAsia="仿宋" w:cs="宋体"/>
                <w:kern w:val="0"/>
                <w:sz w:val="22"/>
              </w:rPr>
              <w:t>。合同须表明关键信息(通过合同关键信息无法判断是否得分的)，未按要求提供或提供不清晰导致专家无法有效判断的不得分】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before="100" w:beforeAutospacing="1" w:line="360" w:lineRule="auto"/>
              <w:jc w:val="center"/>
              <w:textAlignment w:val="center"/>
              <w:rPr>
                <w:rFonts w:hint="default" w:ascii="仿宋" w:hAnsi="仿宋" w:eastAsia="仿宋"/>
                <w:sz w:val="22"/>
                <w:lang w:val="en-US" w:eastAsia="zh-CN"/>
              </w:rPr>
            </w:pPr>
            <w:r>
              <w:rPr>
                <w:rFonts w:hint="eastAsia" w:ascii="仿宋" w:hAnsi="仿宋" w:eastAsia="仿宋"/>
                <w:sz w:val="22"/>
                <w:lang w:val="en-US" w:eastAsia="zh-CN"/>
              </w:rPr>
              <w:t>认证情况</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2"/>
                <w:lang w:val="en-US" w:eastAsia="zh-CN"/>
              </w:rPr>
            </w:pPr>
            <w:r>
              <w:rPr>
                <w:rFonts w:hint="eastAsia" w:ascii="仿宋" w:hAnsi="仿宋" w:eastAsia="仿宋"/>
                <w:snapToGrid w:val="0"/>
                <w:kern w:val="0"/>
                <w:sz w:val="22"/>
                <w:lang w:val="en-US" w:eastAsia="zh-CN"/>
              </w:rPr>
              <w:t>4</w:t>
            </w:r>
          </w:p>
        </w:tc>
        <w:tc>
          <w:tcPr>
            <w:tcW w:w="6520" w:type="dxa"/>
            <w:tcBorders>
              <w:left w:val="single" w:color="auto" w:sz="4" w:space="0"/>
              <w:right w:val="double" w:color="auto" w:sz="4" w:space="0"/>
            </w:tcBorders>
            <w:vAlign w:val="center"/>
          </w:tcPr>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所投</w:t>
            </w:r>
            <w:r>
              <w:rPr>
                <w:rFonts w:hint="eastAsia" w:ascii="仿宋" w:hAnsi="仿宋" w:eastAsia="仿宋" w:cs="宋体"/>
                <w:color w:val="FF0000"/>
                <w:kern w:val="0"/>
                <w:sz w:val="22"/>
                <w:lang w:eastAsia="zh-CN"/>
              </w:rPr>
              <w:t>“</w:t>
            </w:r>
            <w:r>
              <w:rPr>
                <w:rFonts w:hint="eastAsia" w:ascii="仿宋" w:hAnsi="仿宋" w:eastAsia="仿宋" w:cs="宋体"/>
                <w:b/>
                <w:bCs/>
                <w:color w:val="FF0000"/>
                <w:kern w:val="0"/>
                <w:sz w:val="22"/>
                <w:lang w:val="en-US" w:eastAsia="zh-Hans"/>
              </w:rPr>
              <w:t>CPU</w:t>
            </w:r>
            <w:r>
              <w:rPr>
                <w:rFonts w:hint="eastAsia" w:ascii="仿宋" w:hAnsi="仿宋" w:eastAsia="仿宋" w:cs="仿宋"/>
                <w:b/>
                <w:bCs/>
                <w:color w:val="FF0000"/>
                <w:sz w:val="22"/>
              </w:rPr>
              <w:t>计算节点</w:t>
            </w:r>
            <w:r>
              <w:rPr>
                <w:rFonts w:hint="eastAsia" w:ascii="仿宋" w:hAnsi="仿宋" w:eastAsia="仿宋" w:cs="仿宋"/>
                <w:b/>
                <w:bCs/>
                <w:color w:val="FF0000"/>
                <w:sz w:val="22"/>
                <w:lang w:val="en-US" w:eastAsia="zh-Hans"/>
              </w:rPr>
              <w:t>与GPU计算节点</w:t>
            </w:r>
            <w:r>
              <w:rPr>
                <w:rFonts w:hint="eastAsia" w:ascii="仿宋" w:hAnsi="仿宋" w:eastAsia="仿宋" w:cs="宋体"/>
                <w:color w:val="FF0000"/>
                <w:kern w:val="0"/>
                <w:sz w:val="22"/>
                <w:lang w:eastAsia="zh-CN"/>
              </w:rPr>
              <w:t>”</w:t>
            </w:r>
            <w:r>
              <w:rPr>
                <w:rFonts w:hint="eastAsia" w:ascii="仿宋" w:hAnsi="仿宋" w:eastAsia="仿宋" w:cs="宋体"/>
                <w:kern w:val="0"/>
                <w:sz w:val="22"/>
                <w:lang w:val="en-US" w:eastAsia="zh-CN"/>
              </w:rPr>
              <w:t>设备产商通过</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1）质量管理体系认证IS09001</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2）环境管理体系认证ISO14001</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3）IT服务管理体系认证ISO20000</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4）信息安全管理体系认证ISO27001认证</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5）隐私信息管理体系认证ISO27701</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6）IECQ静电防护认证</w:t>
            </w:r>
          </w:p>
          <w:p>
            <w:pPr>
              <w:snapToGrid w:val="0"/>
              <w:spacing w:line="360" w:lineRule="auto"/>
              <w:jc w:val="left"/>
              <w:rPr>
                <w:rFonts w:hint="eastAsia" w:ascii="仿宋" w:hAnsi="仿宋" w:eastAsia="仿宋" w:cs="宋体"/>
                <w:kern w:val="0"/>
                <w:sz w:val="22"/>
                <w:lang w:val="en-US" w:eastAsia="zh-CN"/>
              </w:rPr>
            </w:pPr>
            <w:r>
              <w:rPr>
                <w:rFonts w:hint="eastAsia" w:ascii="仿宋" w:hAnsi="仿宋" w:eastAsia="仿宋" w:cs="宋体"/>
                <w:kern w:val="0"/>
                <w:sz w:val="22"/>
                <w:lang w:val="en-US" w:eastAsia="zh-CN"/>
              </w:rPr>
              <w:t>全部满足得4分，缺漏一项扣1分，扣完为止。</w:t>
            </w:r>
          </w:p>
          <w:p>
            <w:pPr>
              <w:snapToGrid w:val="0"/>
              <w:spacing w:line="360" w:lineRule="auto"/>
              <w:jc w:val="lef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【提供相关认证证书的扫描件和全国认证认可信息公共服务平台网站查询截图，原件备查。</w:t>
            </w:r>
            <w:r>
              <w:rPr>
                <w:rFonts w:ascii="仿宋" w:hAnsi="仿宋" w:eastAsia="仿宋" w:cs="宋体"/>
                <w:kern w:val="0"/>
                <w:sz w:val="22"/>
              </w:rPr>
              <w:t>未按要求提供或提供不清晰导致专家无法有效判断的不得分</w:t>
            </w:r>
            <w:r>
              <w:rPr>
                <w:rFonts w:hint="eastAsia" w:ascii="仿宋" w:hAnsi="仿宋" w:eastAsia="仿宋" w:cs="宋体"/>
                <w:kern w:val="0"/>
                <w:sz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before="100" w:beforeAutospacing="1" w:line="360" w:lineRule="auto"/>
              <w:jc w:val="center"/>
              <w:textAlignment w:val="center"/>
              <w:rPr>
                <w:rFonts w:hint="eastAsia" w:ascii="仿宋" w:hAnsi="仿宋" w:eastAsia="仿宋"/>
                <w:sz w:val="22"/>
              </w:rPr>
            </w:pPr>
            <w:r>
              <w:rPr>
                <w:rFonts w:hint="eastAsia" w:ascii="仿宋" w:hAnsi="仿宋" w:eastAsia="仿宋"/>
                <w:sz w:val="22"/>
              </w:rPr>
              <w:t>大型集群调试能力</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2"/>
                <w:lang w:val="en-US" w:eastAsia="zh-CN"/>
              </w:rPr>
            </w:pPr>
            <w:r>
              <w:rPr>
                <w:rFonts w:hint="eastAsia" w:ascii="仿宋" w:hAnsi="仿宋" w:eastAsia="仿宋"/>
                <w:snapToGrid w:val="0"/>
                <w:kern w:val="0"/>
                <w:sz w:val="22"/>
                <w:lang w:val="en-US" w:eastAsia="zh-CN"/>
              </w:rPr>
              <w:t>3</w:t>
            </w:r>
          </w:p>
        </w:tc>
        <w:tc>
          <w:tcPr>
            <w:tcW w:w="6520" w:type="dxa"/>
            <w:tcBorders>
              <w:left w:val="single" w:color="auto" w:sz="4" w:space="0"/>
              <w:right w:val="double" w:color="auto" w:sz="4" w:space="0"/>
            </w:tcBorders>
            <w:vAlign w:val="center"/>
          </w:tcPr>
          <w:p>
            <w:pPr>
              <w:snapToGrid w:val="0"/>
              <w:spacing w:line="360" w:lineRule="auto"/>
              <w:jc w:val="left"/>
              <w:rPr>
                <w:rFonts w:hint="eastAsia" w:ascii="仿宋" w:hAnsi="仿宋" w:eastAsia="仿宋" w:cs="宋体"/>
                <w:kern w:val="0"/>
                <w:sz w:val="22"/>
                <w:lang w:eastAsia="zh-CN"/>
              </w:rPr>
            </w:pPr>
            <w:r>
              <w:rPr>
                <w:rFonts w:hint="eastAsia" w:ascii="仿宋" w:hAnsi="仿宋" w:eastAsia="仿宋" w:cs="宋体"/>
                <w:kern w:val="0"/>
                <w:sz w:val="22"/>
                <w:lang w:val="en-US" w:eastAsia="zh-CN"/>
              </w:rPr>
              <w:t>所投设备</w:t>
            </w:r>
            <w:r>
              <w:rPr>
                <w:rFonts w:hint="eastAsia" w:ascii="仿宋" w:hAnsi="仿宋" w:eastAsia="仿宋" w:cs="宋体"/>
                <w:color w:val="FF0000"/>
                <w:kern w:val="0"/>
                <w:sz w:val="22"/>
                <w:lang w:eastAsia="zh-CN"/>
              </w:rPr>
              <w:t>“</w:t>
            </w:r>
            <w:r>
              <w:rPr>
                <w:rFonts w:hint="eastAsia" w:ascii="仿宋" w:hAnsi="仿宋" w:eastAsia="仿宋" w:cs="宋体"/>
                <w:b/>
                <w:bCs/>
                <w:color w:val="FF0000"/>
                <w:kern w:val="0"/>
                <w:sz w:val="22"/>
                <w:lang w:val="en-US" w:eastAsia="zh-Hans"/>
              </w:rPr>
              <w:t>CPU</w:t>
            </w:r>
            <w:r>
              <w:rPr>
                <w:rFonts w:hint="eastAsia" w:ascii="仿宋" w:hAnsi="仿宋" w:eastAsia="仿宋" w:cs="仿宋"/>
                <w:b/>
                <w:bCs/>
                <w:color w:val="FF0000"/>
                <w:sz w:val="22"/>
              </w:rPr>
              <w:t>计算节点</w:t>
            </w:r>
            <w:r>
              <w:rPr>
                <w:rFonts w:hint="eastAsia" w:ascii="仿宋" w:hAnsi="仿宋" w:eastAsia="仿宋" w:cs="仿宋"/>
                <w:b/>
                <w:bCs/>
                <w:color w:val="FF0000"/>
                <w:sz w:val="22"/>
                <w:lang w:val="en-US" w:eastAsia="zh-Hans"/>
              </w:rPr>
              <w:t>与GPU计算节点</w:t>
            </w:r>
            <w:r>
              <w:rPr>
                <w:rFonts w:hint="eastAsia" w:ascii="仿宋" w:hAnsi="仿宋" w:eastAsia="仿宋" w:cs="宋体"/>
                <w:color w:val="FF0000"/>
                <w:kern w:val="0"/>
                <w:sz w:val="22"/>
                <w:lang w:eastAsia="zh-CN"/>
              </w:rPr>
              <w:t>”</w:t>
            </w:r>
            <w:r>
              <w:rPr>
                <w:rFonts w:hint="eastAsia" w:ascii="仿宋" w:hAnsi="仿宋" w:eastAsia="仿宋" w:cs="宋体"/>
                <w:kern w:val="0"/>
                <w:sz w:val="22"/>
                <w:lang w:eastAsia="zh-CN"/>
              </w:rPr>
              <w:t>制造厂家在中国大陆拥有入围2019-2021年HPC TOP500榜单任意一期即可（每年有2期）大型超算集群，超算集群采用Intel处理器，高速计算网络采用HDR100 或HDR InfiniBand，且Linpack效率超过50%，得</w:t>
            </w:r>
            <w:r>
              <w:rPr>
                <w:rFonts w:hint="eastAsia" w:ascii="仿宋" w:hAnsi="仿宋" w:eastAsia="仿宋" w:cs="宋体"/>
                <w:kern w:val="0"/>
                <w:sz w:val="22"/>
                <w:lang w:val="en-US" w:eastAsia="zh-CN"/>
              </w:rPr>
              <w:t>3</w:t>
            </w:r>
            <w:r>
              <w:rPr>
                <w:rFonts w:hint="eastAsia" w:ascii="仿宋" w:hAnsi="仿宋" w:eastAsia="仿宋" w:cs="宋体"/>
                <w:kern w:val="0"/>
                <w:sz w:val="22"/>
                <w:lang w:eastAsia="zh-CN"/>
              </w:rPr>
              <w:t>分，</w:t>
            </w:r>
            <w:r>
              <w:rPr>
                <w:rFonts w:hint="eastAsia" w:ascii="仿宋" w:hAnsi="仿宋" w:eastAsia="仿宋" w:cs="宋体"/>
                <w:kern w:val="0"/>
                <w:sz w:val="22"/>
                <w:lang w:val="en-US" w:eastAsia="zh-CN"/>
              </w:rPr>
              <w:t>其他情况不得分</w:t>
            </w:r>
            <w:r>
              <w:rPr>
                <w:rFonts w:hint="eastAsia" w:ascii="仿宋" w:hAnsi="仿宋" w:eastAsia="仿宋" w:cs="宋体"/>
                <w:kern w:val="0"/>
                <w:sz w:val="22"/>
                <w:lang w:eastAsia="zh-CN"/>
              </w:rPr>
              <w:t>。【提供世界HPC TOP500官网截图证明材料</w:t>
            </w:r>
            <w:r>
              <w:rPr>
                <w:rFonts w:hint="eastAsia" w:ascii="仿宋" w:hAnsi="仿宋" w:eastAsia="仿宋" w:cs="宋体"/>
                <w:kern w:val="0"/>
                <w:sz w:val="22"/>
                <w:lang w:val="en-US" w:eastAsia="zh-CN"/>
              </w:rPr>
              <w:t>并加盖投标人公章，</w:t>
            </w:r>
            <w:r>
              <w:rPr>
                <w:rFonts w:ascii="仿宋" w:hAnsi="仿宋" w:eastAsia="仿宋" w:cs="宋体"/>
                <w:kern w:val="0"/>
                <w:sz w:val="22"/>
              </w:rPr>
              <w:t>未按要求提供或提供不清晰导致专家无法有效判断的不得分</w:t>
            </w:r>
            <w:r>
              <w:rPr>
                <w:rFonts w:hint="eastAsia" w:ascii="仿宋" w:hAnsi="仿宋" w:eastAsia="仿宋" w:cs="宋体"/>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cs="仿宋"/>
                <w:b/>
                <w:bCs/>
                <w:snapToGrid w:val="0"/>
                <w:kern w:val="0"/>
                <w:sz w:val="22"/>
              </w:rPr>
            </w:pPr>
          </w:p>
        </w:tc>
        <w:tc>
          <w:tcPr>
            <w:tcW w:w="1182" w:type="dxa"/>
            <w:vAlign w:val="center"/>
          </w:tcPr>
          <w:p>
            <w:pPr>
              <w:widowControl/>
              <w:spacing w:before="100" w:beforeAutospacing="1" w:after="100" w:afterAutospacing="1" w:line="20" w:lineRule="atLeast"/>
              <w:jc w:val="center"/>
              <w:rPr>
                <w:rFonts w:hint="eastAsia" w:ascii="仿宋" w:hAnsi="仿宋" w:eastAsia="仿宋" w:cs="仿宋"/>
                <w:kern w:val="0"/>
                <w:sz w:val="22"/>
              </w:rPr>
            </w:pPr>
            <w:r>
              <w:rPr>
                <w:rFonts w:hint="eastAsia" w:ascii="仿宋" w:hAnsi="仿宋" w:eastAsia="仿宋" w:cs="仿宋"/>
                <w:kern w:val="0"/>
                <w:sz w:val="22"/>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hint="eastAsia" w:ascii="仿宋" w:hAnsi="仿宋" w:eastAsia="仿宋" w:cs="仿宋"/>
                <w:kern w:val="0"/>
                <w:sz w:val="22"/>
              </w:rPr>
            </w:pPr>
            <w:r>
              <w:rPr>
                <w:rFonts w:hint="eastAsia" w:ascii="仿宋" w:hAnsi="仿宋" w:eastAsia="仿宋" w:cs="仿宋"/>
                <w:kern w:val="0"/>
                <w:sz w:val="22"/>
              </w:rPr>
              <w:t>5</w:t>
            </w:r>
          </w:p>
        </w:tc>
        <w:tc>
          <w:tcPr>
            <w:tcW w:w="6520" w:type="dxa"/>
            <w:tcBorders>
              <w:left w:val="single" w:color="auto" w:sz="4" w:space="0"/>
              <w:right w:val="double" w:color="auto" w:sz="4" w:space="0"/>
            </w:tcBorders>
            <w:vAlign w:val="center"/>
          </w:tcPr>
          <w:p>
            <w:pPr>
              <w:widowControl/>
              <w:spacing w:line="288" w:lineRule="auto"/>
              <w:rPr>
                <w:rFonts w:ascii="仿宋" w:hAnsi="仿宋" w:eastAsia="仿宋" w:cs="仿宋"/>
                <w:snapToGrid w:val="0"/>
                <w:kern w:val="0"/>
                <w:sz w:val="22"/>
              </w:rPr>
            </w:pPr>
            <w:r>
              <w:rPr>
                <w:rFonts w:hint="eastAsia" w:ascii="仿宋" w:hAnsi="仿宋" w:eastAsia="仿宋" w:cs="仿宋"/>
                <w:snapToGrid w:val="0"/>
                <w:kern w:val="0"/>
                <w:sz w:val="22"/>
              </w:rPr>
              <w:t>投标人参与政府采购活动在诚信管理中受过主管部门通报处理且仍在实施期限内的本项不得分，否则得满分。</w:t>
            </w:r>
          </w:p>
          <w:p>
            <w:pPr>
              <w:adjustRightInd w:val="0"/>
              <w:spacing w:line="300" w:lineRule="auto"/>
              <w:rPr>
                <w:rFonts w:hint="eastAsia" w:ascii="仿宋" w:hAnsi="仿宋" w:eastAsia="仿宋" w:cs="仿宋"/>
                <w:snapToGrid w:val="0"/>
                <w:kern w:val="0"/>
                <w:sz w:val="22"/>
              </w:rPr>
            </w:pPr>
            <w:r>
              <w:rPr>
                <w:rFonts w:hint="eastAsia" w:ascii="仿宋" w:hAnsi="仿宋" w:eastAsia="仿宋" w:cs="仿宋"/>
                <w:snapToGrid w:val="0"/>
                <w:kern w:val="0"/>
                <w:sz w:val="22"/>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spacing w:line="360" w:lineRule="auto"/>
              <w:jc w:val="center"/>
              <w:rPr>
                <w:rFonts w:ascii="仿宋" w:hAnsi="仿宋" w:eastAsia="仿宋" w:cs="仿宋"/>
                <w:b/>
                <w:snapToGrid w:val="0"/>
                <w:kern w:val="0"/>
                <w:sz w:val="22"/>
              </w:rPr>
            </w:pPr>
            <w:r>
              <w:rPr>
                <w:rFonts w:hint="eastAsia" w:ascii="仿宋" w:hAnsi="仿宋" w:eastAsia="仿宋" w:cs="仿宋"/>
                <w:b/>
                <w:snapToGrid w:val="0"/>
                <w:kern w:val="0"/>
                <w:sz w:val="22"/>
              </w:rPr>
              <w:t>总得分（N）</w:t>
            </w:r>
          </w:p>
          <w:p>
            <w:pPr>
              <w:adjustRightInd w:val="0"/>
              <w:snapToGrid w:val="0"/>
              <w:spacing w:line="360" w:lineRule="auto"/>
              <w:jc w:val="center"/>
              <w:rPr>
                <w:rFonts w:ascii="仿宋" w:hAnsi="仿宋" w:eastAsia="仿宋" w:cs="仿宋"/>
                <w:b/>
                <w:snapToGrid w:val="0"/>
                <w:kern w:val="0"/>
                <w:sz w:val="22"/>
              </w:rPr>
            </w:pPr>
            <w:r>
              <w:rPr>
                <w:rFonts w:hint="eastAsia" w:ascii="仿宋" w:hAnsi="仿宋" w:eastAsia="仿宋" w:cs="仿宋"/>
                <w:b/>
                <w:snapToGrid w:val="0"/>
                <w:kern w:val="0"/>
                <w:sz w:val="22"/>
              </w:rPr>
              <w:t>（总分100分）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cs="仿宋"/>
                <w:b/>
                <w:snapToGrid w:val="0"/>
                <w:kern w:val="0"/>
                <w:sz w:val="22"/>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cs="仿宋"/>
                <w:snapToGrid w:val="0"/>
                <w:kern w:val="0"/>
                <w:sz w:val="22"/>
              </w:rPr>
            </w:pPr>
            <w:r>
              <w:rPr>
                <w:rFonts w:hint="eastAsia" w:ascii="仿宋" w:hAnsi="仿宋" w:eastAsia="仿宋" w:cs="仿宋"/>
                <w:snapToGrid w:val="0"/>
                <w:kern w:val="0"/>
                <w:sz w:val="22"/>
              </w:rPr>
              <w:t>100</w:t>
            </w:r>
          </w:p>
        </w:tc>
        <w:tc>
          <w:tcPr>
            <w:tcW w:w="6520" w:type="dxa"/>
            <w:tcBorders>
              <w:bottom w:val="double" w:color="auto" w:sz="4" w:space="0"/>
              <w:right w:val="double" w:color="auto" w:sz="4" w:space="0"/>
            </w:tcBorders>
            <w:vAlign w:val="center"/>
          </w:tcPr>
          <w:p>
            <w:pPr>
              <w:spacing w:line="360" w:lineRule="auto"/>
              <w:jc w:val="center"/>
              <w:rPr>
                <w:rFonts w:ascii="仿宋" w:hAnsi="仿宋" w:eastAsia="仿宋" w:cs="仿宋"/>
                <w:snapToGrid w:val="0"/>
                <w:kern w:val="0"/>
                <w:sz w:val="22"/>
              </w:rPr>
            </w:pPr>
            <w:r>
              <w:rPr>
                <w:rFonts w:hint="eastAsia" w:ascii="仿宋" w:hAnsi="仿宋" w:eastAsia="仿宋" w:cs="仿宋"/>
                <w:snapToGrid w:val="0"/>
                <w:kern w:val="0"/>
                <w:sz w:val="22"/>
              </w:rPr>
              <w:t>N= G +J+S</w:t>
            </w: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rPr>
          <w:rFonts w:ascii="仿宋" w:hAnsi="仿宋" w:eastAsia="仿宋"/>
          <w:b/>
          <w:bCs/>
          <w:sz w:val="28"/>
          <w:szCs w:val="21"/>
        </w:rPr>
      </w:pPr>
      <w:r>
        <w:rPr>
          <w:rFonts w:hint="eastAsia" w:ascii="仿宋" w:hAnsi="仿宋" w:eastAsia="仿宋"/>
          <w:b/>
          <w:bCs/>
          <w:sz w:val="28"/>
          <w:szCs w:val="21"/>
        </w:rPr>
        <w:t>一、采购预算</w:t>
      </w:r>
    </w:p>
    <w:tbl>
      <w:tblPr>
        <w:tblStyle w:val="19"/>
        <w:tblW w:w="890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3887"/>
        <w:gridCol w:w="944"/>
        <w:gridCol w:w="1701"/>
        <w:gridCol w:w="137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7" w:type="dxa"/>
            <w:shd w:val="clear" w:color="auto" w:fill="C6D9F1"/>
            <w:vAlign w:val="center"/>
          </w:tcPr>
          <w:p>
            <w:pPr>
              <w:jc w:val="center"/>
              <w:rPr>
                <w:rFonts w:ascii="仿宋" w:hAnsi="仿宋" w:eastAsia="仿宋" w:cs="仿宋"/>
                <w:b/>
                <w:sz w:val="22"/>
              </w:rPr>
            </w:pPr>
            <w:r>
              <w:rPr>
                <w:rFonts w:hint="eastAsia" w:ascii="仿宋" w:hAnsi="仿宋" w:eastAsia="仿宋" w:cs="仿宋"/>
                <w:b/>
                <w:sz w:val="22"/>
              </w:rPr>
              <w:t>序号</w:t>
            </w:r>
          </w:p>
        </w:tc>
        <w:tc>
          <w:tcPr>
            <w:tcW w:w="3887" w:type="dxa"/>
            <w:shd w:val="clear" w:color="auto" w:fill="C6D9F1"/>
            <w:vAlign w:val="center"/>
          </w:tcPr>
          <w:p>
            <w:pPr>
              <w:jc w:val="center"/>
              <w:rPr>
                <w:rFonts w:ascii="仿宋" w:hAnsi="仿宋" w:eastAsia="仿宋" w:cs="仿宋"/>
                <w:b/>
                <w:sz w:val="22"/>
              </w:rPr>
            </w:pPr>
            <w:r>
              <w:rPr>
                <w:rFonts w:hint="eastAsia" w:ascii="仿宋" w:hAnsi="仿宋" w:eastAsia="仿宋" w:cs="仿宋"/>
                <w:b/>
                <w:sz w:val="22"/>
              </w:rPr>
              <w:t>项目名称</w:t>
            </w:r>
          </w:p>
        </w:tc>
        <w:tc>
          <w:tcPr>
            <w:tcW w:w="944" w:type="dxa"/>
            <w:shd w:val="clear" w:color="auto" w:fill="C6D9F1"/>
            <w:vAlign w:val="center"/>
          </w:tcPr>
          <w:p>
            <w:pPr>
              <w:jc w:val="center"/>
              <w:rPr>
                <w:rFonts w:ascii="仿宋" w:hAnsi="仿宋" w:eastAsia="仿宋" w:cs="仿宋"/>
                <w:b/>
                <w:sz w:val="22"/>
              </w:rPr>
            </w:pPr>
            <w:r>
              <w:rPr>
                <w:rFonts w:hint="eastAsia" w:ascii="仿宋" w:hAnsi="仿宋" w:eastAsia="仿宋" w:cs="仿宋"/>
                <w:b/>
                <w:sz w:val="22"/>
              </w:rPr>
              <w:t>数量</w:t>
            </w:r>
          </w:p>
        </w:tc>
        <w:tc>
          <w:tcPr>
            <w:tcW w:w="1701" w:type="dxa"/>
            <w:shd w:val="clear" w:color="auto" w:fill="C6D9F1"/>
            <w:vAlign w:val="center"/>
          </w:tcPr>
          <w:p>
            <w:pPr>
              <w:jc w:val="center"/>
              <w:rPr>
                <w:rFonts w:ascii="仿宋" w:hAnsi="仿宋" w:eastAsia="仿宋" w:cs="仿宋"/>
                <w:b/>
                <w:sz w:val="22"/>
              </w:rPr>
            </w:pPr>
            <w:r>
              <w:rPr>
                <w:rFonts w:hint="eastAsia" w:ascii="仿宋" w:hAnsi="仿宋" w:eastAsia="仿宋" w:cs="仿宋"/>
                <w:b/>
                <w:sz w:val="22"/>
              </w:rPr>
              <w:t>采购控制金额</w:t>
            </w:r>
          </w:p>
        </w:tc>
        <w:tc>
          <w:tcPr>
            <w:tcW w:w="1374" w:type="dxa"/>
            <w:shd w:val="clear" w:color="auto" w:fill="C6D9F1"/>
            <w:vAlign w:val="center"/>
          </w:tcPr>
          <w:p>
            <w:pPr>
              <w:jc w:val="center"/>
              <w:rPr>
                <w:rFonts w:ascii="仿宋" w:hAnsi="仿宋" w:eastAsia="仿宋" w:cs="仿宋"/>
                <w:b/>
                <w:sz w:val="22"/>
              </w:rPr>
            </w:pPr>
            <w:r>
              <w:rPr>
                <w:rFonts w:hint="eastAsia" w:ascii="仿宋" w:hAnsi="仿宋" w:eastAsia="仿宋" w:cs="仿宋"/>
                <w:b/>
                <w:sz w:val="22"/>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97" w:type="dxa"/>
            <w:vAlign w:val="center"/>
          </w:tcPr>
          <w:p>
            <w:pPr>
              <w:spacing w:line="360" w:lineRule="auto"/>
              <w:jc w:val="center"/>
              <w:rPr>
                <w:rFonts w:ascii="仿宋" w:hAnsi="仿宋" w:eastAsia="仿宋" w:cs="仿宋"/>
                <w:sz w:val="22"/>
              </w:rPr>
            </w:pPr>
            <w:r>
              <w:rPr>
                <w:rFonts w:hint="eastAsia" w:ascii="仿宋" w:hAnsi="仿宋" w:eastAsia="仿宋" w:cs="仿宋"/>
                <w:sz w:val="22"/>
              </w:rPr>
              <w:t>1</w:t>
            </w:r>
          </w:p>
        </w:tc>
        <w:tc>
          <w:tcPr>
            <w:tcW w:w="3887" w:type="dxa"/>
            <w:vAlign w:val="center"/>
          </w:tcPr>
          <w:p>
            <w:pPr>
              <w:spacing w:line="360" w:lineRule="auto"/>
              <w:jc w:val="center"/>
              <w:rPr>
                <w:rFonts w:ascii="仿宋" w:hAnsi="仿宋" w:eastAsia="仿宋" w:cs="仿宋"/>
                <w:sz w:val="22"/>
              </w:rPr>
            </w:pPr>
            <w:r>
              <w:rPr>
                <w:rFonts w:hint="eastAsia" w:ascii="仿宋" w:hAnsi="仿宋" w:eastAsia="仿宋" w:cs="仿宋"/>
                <w:sz w:val="22"/>
              </w:rPr>
              <w:t>深圳湾实验室计算平台扩容项目</w:t>
            </w:r>
          </w:p>
        </w:tc>
        <w:tc>
          <w:tcPr>
            <w:tcW w:w="944" w:type="dxa"/>
            <w:vAlign w:val="center"/>
          </w:tcPr>
          <w:p>
            <w:pPr>
              <w:spacing w:line="360" w:lineRule="auto"/>
              <w:jc w:val="center"/>
              <w:rPr>
                <w:rFonts w:ascii="仿宋" w:hAnsi="仿宋" w:eastAsia="仿宋" w:cs="仿宋"/>
                <w:sz w:val="22"/>
              </w:rPr>
            </w:pPr>
            <w:r>
              <w:rPr>
                <w:rFonts w:hint="eastAsia" w:ascii="仿宋" w:hAnsi="仿宋" w:eastAsia="仿宋" w:cs="仿宋"/>
                <w:sz w:val="22"/>
              </w:rPr>
              <w:t>1批</w:t>
            </w:r>
          </w:p>
        </w:tc>
        <w:tc>
          <w:tcPr>
            <w:tcW w:w="1701" w:type="dxa"/>
            <w:vAlign w:val="center"/>
          </w:tcPr>
          <w:p>
            <w:pPr>
              <w:spacing w:line="360" w:lineRule="auto"/>
              <w:jc w:val="center"/>
              <w:rPr>
                <w:rFonts w:ascii="仿宋" w:hAnsi="仿宋" w:eastAsia="仿宋" w:cs="仿宋"/>
                <w:sz w:val="22"/>
              </w:rPr>
            </w:pPr>
            <w:r>
              <w:rPr>
                <w:rFonts w:hint="eastAsia" w:ascii="仿宋" w:hAnsi="仿宋" w:eastAsia="仿宋" w:cs="仿宋"/>
                <w:sz w:val="22"/>
                <w:lang w:val="en-US" w:eastAsia="zh-CN"/>
              </w:rPr>
              <w:t>900</w:t>
            </w:r>
            <w:r>
              <w:rPr>
                <w:rFonts w:hint="eastAsia" w:ascii="仿宋" w:hAnsi="仿宋" w:eastAsia="仿宋" w:cs="仿宋"/>
                <w:sz w:val="22"/>
              </w:rPr>
              <w:t>万元</w:t>
            </w:r>
          </w:p>
        </w:tc>
        <w:tc>
          <w:tcPr>
            <w:tcW w:w="1374" w:type="dxa"/>
            <w:vAlign w:val="center"/>
          </w:tcPr>
          <w:p>
            <w:pPr>
              <w:spacing w:line="360" w:lineRule="auto"/>
              <w:jc w:val="center"/>
              <w:rPr>
                <w:rFonts w:ascii="仿宋" w:hAnsi="仿宋" w:eastAsia="仿宋" w:cs="仿宋"/>
                <w:sz w:val="22"/>
              </w:rPr>
            </w:pPr>
            <w:r>
              <w:rPr>
                <w:rFonts w:hint="eastAsia" w:ascii="仿宋" w:hAnsi="仿宋" w:eastAsia="仿宋" w:cs="仿宋"/>
                <w:sz w:val="22"/>
              </w:rPr>
              <w:t>接受进口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1、投标人的投标报价超过采购控制金额的将导致废标。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ascii="仿宋" w:hAnsi="仿宋" w:eastAsia="仿宋"/>
          <w:b/>
          <w:bCs/>
          <w:sz w:val="28"/>
          <w:szCs w:val="21"/>
        </w:rPr>
      </w:pPr>
      <w:r>
        <w:rPr>
          <w:rFonts w:hint="eastAsia" w:ascii="仿宋" w:hAnsi="仿宋" w:eastAsia="仿宋"/>
          <w:b/>
          <w:bCs/>
          <w:sz w:val="28"/>
          <w:szCs w:val="21"/>
        </w:rPr>
        <w:t>二、采购明细清单</w:t>
      </w:r>
    </w:p>
    <w:tbl>
      <w:tblPr>
        <w:tblStyle w:val="20"/>
        <w:tblW w:w="898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4"/>
        <w:gridCol w:w="3538"/>
        <w:gridCol w:w="2137"/>
        <w:gridCol w:w="21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74" w:type="dxa"/>
            <w:shd w:val="clear" w:color="auto" w:fill="C6D9F0"/>
            <w:vAlign w:val="center"/>
          </w:tcPr>
          <w:p>
            <w:pPr>
              <w:widowControl/>
              <w:spacing w:line="360" w:lineRule="auto"/>
              <w:jc w:val="center"/>
              <w:rPr>
                <w:rFonts w:ascii="仿宋" w:hAnsi="仿宋" w:eastAsia="仿宋" w:cs="仿宋"/>
                <w:b/>
                <w:bCs/>
                <w:sz w:val="22"/>
                <w:szCs w:val="21"/>
              </w:rPr>
            </w:pPr>
            <w:r>
              <w:rPr>
                <w:rFonts w:hint="eastAsia" w:ascii="仿宋" w:hAnsi="仿宋" w:eastAsia="仿宋" w:cs="仿宋"/>
                <w:b/>
                <w:bCs/>
                <w:sz w:val="22"/>
                <w:szCs w:val="21"/>
              </w:rPr>
              <w:t>序号</w:t>
            </w:r>
          </w:p>
        </w:tc>
        <w:tc>
          <w:tcPr>
            <w:tcW w:w="3538" w:type="dxa"/>
            <w:shd w:val="clear" w:color="auto" w:fill="C6D9F0"/>
            <w:vAlign w:val="center"/>
          </w:tcPr>
          <w:p>
            <w:pPr>
              <w:widowControl/>
              <w:spacing w:line="360" w:lineRule="auto"/>
              <w:jc w:val="center"/>
              <w:rPr>
                <w:rFonts w:ascii="仿宋" w:hAnsi="仿宋" w:eastAsia="仿宋" w:cs="仿宋"/>
                <w:b/>
                <w:bCs/>
                <w:sz w:val="22"/>
                <w:szCs w:val="21"/>
              </w:rPr>
            </w:pPr>
            <w:r>
              <w:rPr>
                <w:rFonts w:hint="eastAsia" w:ascii="仿宋" w:hAnsi="仿宋" w:eastAsia="仿宋" w:cs="仿宋"/>
                <w:b/>
                <w:bCs/>
                <w:sz w:val="22"/>
                <w:szCs w:val="21"/>
              </w:rPr>
              <w:t>货物名称</w:t>
            </w:r>
          </w:p>
        </w:tc>
        <w:tc>
          <w:tcPr>
            <w:tcW w:w="2137" w:type="dxa"/>
            <w:shd w:val="clear" w:color="auto" w:fill="C6D9F0"/>
            <w:vAlign w:val="center"/>
          </w:tcPr>
          <w:p>
            <w:pPr>
              <w:widowControl/>
              <w:spacing w:line="360" w:lineRule="auto"/>
              <w:jc w:val="center"/>
              <w:rPr>
                <w:rFonts w:ascii="仿宋" w:hAnsi="仿宋" w:eastAsia="仿宋" w:cs="仿宋"/>
                <w:b/>
                <w:bCs/>
                <w:sz w:val="22"/>
                <w:szCs w:val="21"/>
              </w:rPr>
            </w:pPr>
            <w:r>
              <w:rPr>
                <w:rFonts w:hint="eastAsia" w:ascii="仿宋" w:hAnsi="仿宋" w:eastAsia="仿宋" w:cs="仿宋"/>
                <w:b/>
                <w:bCs/>
                <w:sz w:val="22"/>
                <w:szCs w:val="21"/>
              </w:rPr>
              <w:t>数量</w:t>
            </w:r>
          </w:p>
        </w:tc>
        <w:tc>
          <w:tcPr>
            <w:tcW w:w="2137" w:type="dxa"/>
            <w:tcBorders>
              <w:left w:val="single" w:color="auto" w:sz="4" w:space="0"/>
            </w:tcBorders>
            <w:shd w:val="clear" w:color="auto" w:fill="C6D9F0"/>
            <w:vAlign w:val="center"/>
          </w:tcPr>
          <w:p>
            <w:pPr>
              <w:spacing w:line="360" w:lineRule="auto"/>
              <w:jc w:val="center"/>
              <w:rPr>
                <w:rFonts w:ascii="仿宋" w:hAnsi="仿宋" w:eastAsia="仿宋" w:cs="仿宋"/>
                <w:b/>
                <w:bCs/>
                <w:sz w:val="22"/>
                <w:szCs w:val="21"/>
              </w:rPr>
            </w:pPr>
            <w:r>
              <w:rPr>
                <w:rFonts w:hint="eastAsia" w:ascii="仿宋" w:hAnsi="仿宋" w:eastAsia="仿宋" w:cs="仿宋"/>
                <w:b/>
                <w:bCs/>
                <w:sz w:val="22"/>
                <w:szCs w:val="2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1</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登陆节点</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2</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2</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管理节点</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2</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3</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CPU计算节点</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62</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4</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GPU计算节点</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4</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5</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集群管理服务平台软件</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1</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6</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操作系统</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1</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7</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IB线缆</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1</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8</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管理网络交换机</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3</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9</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IPMI监控网络交换机</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2</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74" w:type="dxa"/>
          </w:tcPr>
          <w:p>
            <w:pPr>
              <w:jc w:val="center"/>
              <w:rPr>
                <w:rFonts w:ascii="仿宋" w:hAnsi="仿宋" w:eastAsia="仿宋" w:cs="仿宋"/>
                <w:sz w:val="22"/>
              </w:rPr>
            </w:pPr>
            <w:r>
              <w:rPr>
                <w:rFonts w:hint="eastAsia" w:ascii="仿宋" w:hAnsi="仿宋" w:eastAsia="仿宋" w:cs="仿宋"/>
                <w:sz w:val="22"/>
              </w:rPr>
              <w:t>10</w:t>
            </w:r>
          </w:p>
        </w:tc>
        <w:tc>
          <w:tcPr>
            <w:tcW w:w="3538" w:type="dxa"/>
            <w:vAlign w:val="center"/>
          </w:tcPr>
          <w:p>
            <w:pPr>
              <w:jc w:val="center"/>
              <w:rPr>
                <w:rFonts w:hint="eastAsia" w:ascii="仿宋" w:hAnsi="仿宋" w:eastAsia="仿宋" w:cs="仿宋"/>
                <w:sz w:val="22"/>
              </w:rPr>
            </w:pPr>
            <w:r>
              <w:rPr>
                <w:rFonts w:hint="eastAsia" w:ascii="仿宋" w:hAnsi="仿宋" w:eastAsia="仿宋" w:cs="仿宋"/>
                <w:sz w:val="22"/>
              </w:rPr>
              <w:t>并行编译环境</w:t>
            </w:r>
          </w:p>
        </w:tc>
        <w:tc>
          <w:tcPr>
            <w:tcW w:w="2137" w:type="dxa"/>
            <w:vAlign w:val="center"/>
          </w:tcPr>
          <w:p>
            <w:pPr>
              <w:jc w:val="center"/>
              <w:rPr>
                <w:rFonts w:hint="eastAsia" w:ascii="仿宋" w:hAnsi="仿宋" w:eastAsia="仿宋" w:cs="仿宋"/>
                <w:sz w:val="22"/>
              </w:rPr>
            </w:pPr>
            <w:r>
              <w:rPr>
                <w:rFonts w:hint="eastAsia" w:ascii="仿宋" w:hAnsi="仿宋" w:eastAsia="仿宋" w:cs="仿宋"/>
                <w:sz w:val="22"/>
              </w:rPr>
              <w:t>1</w:t>
            </w:r>
          </w:p>
        </w:tc>
        <w:tc>
          <w:tcPr>
            <w:tcW w:w="2137" w:type="dxa"/>
            <w:tcBorders>
              <w:left w:val="single" w:color="auto" w:sz="4" w:space="0"/>
            </w:tcBorders>
            <w:vAlign w:val="center"/>
          </w:tcPr>
          <w:p>
            <w:pPr>
              <w:jc w:val="center"/>
              <w:rPr>
                <w:rFonts w:hint="eastAsia" w:ascii="仿宋" w:hAnsi="仿宋" w:eastAsia="仿宋" w:cs="仿宋"/>
                <w:sz w:val="22"/>
              </w:rPr>
            </w:pPr>
            <w:r>
              <w:rPr>
                <w:rFonts w:hint="eastAsia" w:ascii="仿宋" w:hAnsi="仿宋" w:eastAsia="仿宋" w:cs="仿宋"/>
                <w:sz w:val="22"/>
              </w:rPr>
              <w:t>套</w:t>
            </w:r>
          </w:p>
        </w:tc>
      </w:tr>
    </w:tbl>
    <w:p>
      <w:pPr>
        <w:widowControl/>
        <w:jc w:val="left"/>
        <w:rPr>
          <w:rFonts w:ascii="仿宋" w:hAnsi="仿宋" w:eastAsia="仿宋"/>
          <w:sz w:val="22"/>
          <w:szCs w:val="18"/>
        </w:rPr>
      </w:pPr>
    </w:p>
    <w:p>
      <w:pPr>
        <w:widowControl/>
        <w:jc w:val="left"/>
        <w:rPr>
          <w:rFonts w:ascii="仿宋" w:hAnsi="仿宋" w:eastAsia="仿宋"/>
          <w:b/>
          <w:bCs/>
          <w:sz w:val="28"/>
          <w:szCs w:val="21"/>
        </w:rPr>
      </w:pPr>
      <w:r>
        <w:rPr>
          <w:rFonts w:hint="eastAsia" w:ascii="仿宋" w:hAnsi="仿宋" w:eastAsia="仿宋"/>
          <w:b/>
          <w:bCs/>
          <w:sz w:val="28"/>
          <w:szCs w:val="21"/>
        </w:rPr>
        <w:t>三、技术需求</w:t>
      </w:r>
    </w:p>
    <w:tbl>
      <w:tblPr>
        <w:tblStyle w:val="20"/>
        <w:tblW w:w="90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15"/>
        <w:gridCol w:w="1671"/>
        <w:gridCol w:w="66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15" w:type="dxa"/>
            <w:shd w:val="clear" w:color="auto" w:fill="C6D9F0"/>
            <w:vAlign w:val="center"/>
          </w:tcPr>
          <w:p>
            <w:pPr>
              <w:widowControl/>
              <w:spacing w:line="360" w:lineRule="auto"/>
              <w:jc w:val="center"/>
              <w:rPr>
                <w:rFonts w:ascii="仿宋" w:hAnsi="仿宋" w:eastAsia="仿宋" w:cs="仿宋"/>
                <w:b/>
                <w:bCs/>
                <w:sz w:val="22"/>
                <w:szCs w:val="21"/>
              </w:rPr>
            </w:pPr>
            <w:r>
              <w:rPr>
                <w:rFonts w:hint="eastAsia" w:ascii="仿宋" w:hAnsi="仿宋" w:eastAsia="仿宋" w:cs="仿宋"/>
                <w:b/>
                <w:bCs/>
                <w:sz w:val="22"/>
                <w:szCs w:val="21"/>
              </w:rPr>
              <w:t>序号</w:t>
            </w:r>
          </w:p>
        </w:tc>
        <w:tc>
          <w:tcPr>
            <w:tcW w:w="1671" w:type="dxa"/>
            <w:shd w:val="clear" w:color="auto" w:fill="C6D9F0"/>
            <w:vAlign w:val="center"/>
          </w:tcPr>
          <w:p>
            <w:pPr>
              <w:widowControl/>
              <w:spacing w:line="360" w:lineRule="auto"/>
              <w:jc w:val="center"/>
              <w:rPr>
                <w:rFonts w:ascii="仿宋" w:hAnsi="仿宋" w:eastAsia="仿宋" w:cs="仿宋"/>
                <w:b/>
                <w:bCs/>
                <w:sz w:val="22"/>
                <w:szCs w:val="21"/>
              </w:rPr>
            </w:pPr>
            <w:r>
              <w:rPr>
                <w:rFonts w:hint="eastAsia" w:ascii="仿宋" w:hAnsi="仿宋" w:eastAsia="仿宋" w:cs="仿宋"/>
                <w:b/>
                <w:bCs/>
                <w:sz w:val="22"/>
                <w:szCs w:val="21"/>
              </w:rPr>
              <w:t>货物名称</w:t>
            </w:r>
          </w:p>
        </w:tc>
        <w:tc>
          <w:tcPr>
            <w:tcW w:w="6623" w:type="dxa"/>
            <w:tcBorders>
              <w:left w:val="single" w:color="auto" w:sz="4" w:space="0"/>
            </w:tcBorders>
            <w:shd w:val="clear" w:color="auto" w:fill="C6D9F0"/>
            <w:vAlign w:val="center"/>
          </w:tcPr>
          <w:p>
            <w:pPr>
              <w:spacing w:line="360" w:lineRule="auto"/>
              <w:jc w:val="center"/>
              <w:rPr>
                <w:rFonts w:hint="default" w:ascii="仿宋" w:hAnsi="仿宋" w:eastAsia="仿宋" w:cs="仿宋"/>
                <w:b/>
                <w:bCs/>
                <w:sz w:val="22"/>
                <w:szCs w:val="21"/>
                <w:lang w:val="en-US" w:eastAsia="zh-CN"/>
              </w:rPr>
            </w:pPr>
            <w:r>
              <w:rPr>
                <w:rFonts w:hint="eastAsia" w:ascii="仿宋" w:hAnsi="仿宋" w:eastAsia="仿宋" w:cs="仿宋"/>
                <w:b/>
                <w:bCs/>
                <w:sz w:val="22"/>
                <w:szCs w:val="21"/>
                <w:lang w:val="en-US" w:eastAsia="zh-CN"/>
              </w:rPr>
              <w:t>技术参数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1</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登陆节点</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《一》架构</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1）≤2U机架式服务器, 非刀片或高密度服务器产品。【</w:t>
            </w:r>
            <w:r>
              <w:rPr>
                <w:rFonts w:hint="eastAsia" w:ascii="仿宋" w:hAnsi="仿宋" w:eastAsia="仿宋" w:cs="仿宋"/>
                <w:b/>
                <w:bCs/>
                <w:color w:val="FF0000"/>
                <w:sz w:val="24"/>
                <w:szCs w:val="24"/>
                <w:lang w:val="en-US" w:eastAsia="zh-CN"/>
              </w:rPr>
              <w:t>提供官网截图证明材料并加盖原厂公章</w:t>
            </w:r>
            <w:r>
              <w:rPr>
                <w:rFonts w:hint="eastAsia" w:ascii="仿宋" w:hAnsi="仿宋" w:eastAsia="仿宋" w:cs="仿宋"/>
                <w:sz w:val="24"/>
                <w:szCs w:val="24"/>
                <w:lang w:val="en-US" w:eastAsia="zh-CN"/>
              </w:rPr>
              <w:t>】</w:t>
            </w:r>
          </w:p>
          <w:p>
            <w:pPr>
              <w:jc w:val="both"/>
              <w:rPr>
                <w:rFonts w:hint="eastAsia" w:ascii="仿宋" w:hAnsi="仿宋" w:eastAsia="仿宋" w:cs="仿宋"/>
                <w:b/>
                <w:bCs/>
                <w:sz w:val="24"/>
                <w:szCs w:val="24"/>
                <w:highlight w:val="yellow"/>
                <w:lang w:val="en-US" w:eastAsia="zh-CN"/>
              </w:rPr>
            </w:pPr>
          </w:p>
          <w:p>
            <w:pPr>
              <w:jc w:val="both"/>
              <w:rPr>
                <w:rFonts w:hint="eastAsia" w:ascii="仿宋" w:hAnsi="仿宋" w:eastAsia="仿宋" w:cs="仿宋"/>
                <w:b/>
                <w:bCs/>
                <w:sz w:val="24"/>
                <w:szCs w:val="24"/>
                <w:highlight w:val="yellow"/>
                <w:lang w:val="en-US" w:eastAsia="zh-CN"/>
              </w:rPr>
            </w:pPr>
            <w:r>
              <w:rPr>
                <w:rFonts w:hint="eastAsia" w:ascii="仿宋" w:hAnsi="仿宋" w:eastAsia="仿宋" w:cs="仿宋"/>
                <w:b/>
                <w:bCs/>
                <w:sz w:val="24"/>
                <w:szCs w:val="24"/>
                <w:highlight w:val="yellow"/>
                <w:lang w:val="en-US" w:eastAsia="zh-CN"/>
              </w:rPr>
              <w:t>★《二》核心配置</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1）配置2颗Intel Xeon Platinum 8358处理器，单颗CPU核数≥32，主频≥2.6GHz</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2）配置≥256GB DDR4 ECC REG 3200MHz内存，单条内存≥16GB</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3）配置≥1块单端口200Gb/s HDR InfiniBand高速网卡</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4）配置≥4块480GB企业级SSD硬盘</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5）配置≥1块4GB Cache Raid卡</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6）配置≥2个万兆网口（含SFP+光模块）</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《三》扩展性</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1）最大支持≥13个PCIe插槽。</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《四》管理安全</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1）集成BMC管理模块，支持IPMI、KVM over IP、虚拟媒体等功能</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《五》电源</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1）满配冗余电源模块。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2</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管理节点</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《一》架构</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1）≤2U机架式服务器, 非刀片或高密度服务器产品。【</w:t>
            </w:r>
            <w:r>
              <w:rPr>
                <w:rFonts w:hint="eastAsia" w:ascii="仿宋" w:hAnsi="仿宋" w:eastAsia="仿宋" w:cs="仿宋"/>
                <w:b/>
                <w:bCs/>
                <w:color w:val="FF0000"/>
                <w:sz w:val="24"/>
                <w:szCs w:val="24"/>
                <w:lang w:val="en-US" w:eastAsia="zh-CN"/>
              </w:rPr>
              <w:t>提供官网截图证明材料并加盖原厂公章</w:t>
            </w:r>
            <w:r>
              <w:rPr>
                <w:rFonts w:hint="eastAsia" w:ascii="仿宋" w:hAnsi="仿宋" w:eastAsia="仿宋" w:cs="仿宋"/>
                <w:sz w:val="24"/>
                <w:szCs w:val="24"/>
                <w:lang w:val="en-US" w:eastAsia="zh-CN"/>
              </w:rPr>
              <w:t>】</w:t>
            </w:r>
          </w:p>
          <w:p>
            <w:pPr>
              <w:jc w:val="both"/>
              <w:rPr>
                <w:rFonts w:hint="eastAsia" w:ascii="仿宋" w:hAnsi="仿宋" w:eastAsia="仿宋" w:cs="仿宋"/>
                <w:b/>
                <w:bCs/>
                <w:sz w:val="24"/>
                <w:szCs w:val="24"/>
                <w:highlight w:val="yellow"/>
                <w:lang w:val="en-US" w:eastAsia="zh-CN"/>
              </w:rPr>
            </w:pPr>
          </w:p>
          <w:p>
            <w:pPr>
              <w:jc w:val="both"/>
              <w:rPr>
                <w:rFonts w:hint="eastAsia" w:ascii="仿宋" w:hAnsi="仿宋" w:eastAsia="仿宋" w:cs="仿宋"/>
                <w:b/>
                <w:bCs/>
                <w:sz w:val="24"/>
                <w:szCs w:val="24"/>
                <w:highlight w:val="yellow"/>
                <w:lang w:val="en-US" w:eastAsia="zh-CN"/>
              </w:rPr>
            </w:pPr>
            <w:r>
              <w:rPr>
                <w:rFonts w:hint="eastAsia" w:ascii="仿宋" w:hAnsi="仿宋" w:eastAsia="仿宋" w:cs="仿宋"/>
                <w:b/>
                <w:bCs/>
                <w:sz w:val="24"/>
                <w:szCs w:val="24"/>
                <w:highlight w:val="yellow"/>
                <w:lang w:val="en-US" w:eastAsia="zh-CN"/>
              </w:rPr>
              <w:t>★《二》核心配置</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1）配置≥2颗Intel Xeon Gold 6300系列CPU，单颗CPU核数≥16，主频≥2.9GHz</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2）配置≥256GB DDR4 ECC REG 3200MHz内存，单条内存≥16GB</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3）配置≥1块单端口200Gb/s HDR InfiniBand高速网卡</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4）配置≥4块480GB企业级SSD硬盘</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5）配置≥1块4GB Cache Raid卡</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6）配置≥2个万兆网口（含SFP+光模块）</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《三》扩展性</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1）最大支持≥13个PCIe插槽。</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《四》管理安全</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1）集成BMC管理模块，支持IPMI、KVM over IP、虚拟媒体等功能</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《五》电源</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1）满配冗余电源模块。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3</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CPU计算节点</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yellow"/>
                <w:lang w:val="en-US" w:eastAsia="zh-CN"/>
              </w:rPr>
              <w:t>★《一》架构</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1）计算密度≥1节点/U，与GPU计算节点同一品牌。【</w:t>
            </w:r>
            <w:r>
              <w:rPr>
                <w:rFonts w:hint="eastAsia" w:ascii="仿宋" w:hAnsi="仿宋" w:eastAsia="仿宋" w:cs="仿宋"/>
                <w:b/>
                <w:bCs/>
                <w:color w:val="FF0000"/>
                <w:sz w:val="24"/>
                <w:szCs w:val="24"/>
                <w:lang w:val="en-US" w:eastAsia="zh-CN"/>
              </w:rPr>
              <w:t>提供官网截图证明材料并加盖原厂公章</w:t>
            </w:r>
            <w:r>
              <w:rPr>
                <w:rFonts w:hint="eastAsia" w:ascii="仿宋" w:hAnsi="仿宋" w:eastAsia="仿宋" w:cs="仿宋"/>
                <w:sz w:val="24"/>
                <w:szCs w:val="24"/>
                <w:lang w:val="en-US" w:eastAsia="zh-CN"/>
              </w:rPr>
              <w:t>】</w:t>
            </w:r>
          </w:p>
          <w:p>
            <w:pPr>
              <w:jc w:val="both"/>
              <w:rPr>
                <w:rFonts w:hint="eastAsia" w:ascii="仿宋" w:hAnsi="仿宋" w:eastAsia="仿宋" w:cs="仿宋"/>
                <w:b/>
                <w:bCs/>
                <w:sz w:val="24"/>
                <w:szCs w:val="24"/>
                <w:highlight w:val="yellow"/>
                <w:lang w:val="en-US" w:eastAsia="zh-CN"/>
              </w:rPr>
            </w:pPr>
          </w:p>
          <w:p>
            <w:pPr>
              <w:jc w:val="both"/>
              <w:rPr>
                <w:rFonts w:hint="eastAsia" w:ascii="仿宋" w:hAnsi="仿宋" w:eastAsia="仿宋" w:cs="仿宋"/>
                <w:b/>
                <w:bCs/>
                <w:sz w:val="24"/>
                <w:szCs w:val="24"/>
                <w:highlight w:val="yellow"/>
                <w:lang w:val="en-US" w:eastAsia="zh-CN"/>
              </w:rPr>
            </w:pPr>
            <w:r>
              <w:rPr>
                <w:rFonts w:hint="eastAsia" w:ascii="仿宋" w:hAnsi="仿宋" w:eastAsia="仿宋" w:cs="仿宋"/>
                <w:b/>
                <w:bCs/>
                <w:sz w:val="24"/>
                <w:szCs w:val="24"/>
                <w:highlight w:val="yellow"/>
                <w:lang w:val="en-US" w:eastAsia="zh-CN"/>
              </w:rPr>
              <w:t>★《二》核心配置</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1）配置≥2颗Intel Xeon Platinum 8358处理器，单颗CPU核数≥32，主频≥2.6GHz</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2）配置≥256GB DDR4 ECC REG 3200MHz内存，单条内存≥16GB，满配内存通道</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3）配置≥1块单端口200Gb/s HDR InfiniBand高速网卡，节点独享200Gb/s的网络</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4）配置≥1块480GB 企业级SSD硬盘</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5）每节点提供≥2个万兆网络接口（含SFP+光模块）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4</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GPU计算节点</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《一》架构</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1）≤6U机架式服务器</w:t>
            </w:r>
          </w:p>
          <w:p>
            <w:pPr>
              <w:jc w:val="both"/>
              <w:rPr>
                <w:rFonts w:hint="eastAsia" w:ascii="仿宋" w:hAnsi="仿宋" w:eastAsia="仿宋" w:cs="仿宋"/>
                <w:b/>
                <w:bCs/>
                <w:sz w:val="24"/>
                <w:szCs w:val="24"/>
                <w:highlight w:val="yellow"/>
                <w:lang w:val="en-US" w:eastAsia="zh-CN"/>
              </w:rPr>
            </w:pPr>
          </w:p>
          <w:p>
            <w:pPr>
              <w:jc w:val="both"/>
              <w:rPr>
                <w:rFonts w:hint="eastAsia" w:ascii="仿宋" w:hAnsi="仿宋" w:eastAsia="仿宋" w:cs="仿宋"/>
                <w:b/>
                <w:bCs/>
                <w:sz w:val="24"/>
                <w:szCs w:val="24"/>
                <w:highlight w:val="yellow"/>
                <w:lang w:val="en-US" w:eastAsia="zh-CN"/>
              </w:rPr>
            </w:pPr>
            <w:r>
              <w:rPr>
                <w:rFonts w:hint="eastAsia" w:ascii="仿宋" w:hAnsi="仿宋" w:eastAsia="仿宋" w:cs="仿宋"/>
                <w:b/>
                <w:bCs/>
                <w:sz w:val="24"/>
                <w:szCs w:val="24"/>
                <w:highlight w:val="yellow"/>
                <w:lang w:val="en-US" w:eastAsia="zh-CN"/>
              </w:rPr>
              <w:t>★《二》核心配置</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1）配置≥2颗Intel Xeon Platinum 8358处理器，单颗CPU核数≥32，主频≥2.6GHz</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2）配置≥2TB DDR4 ECC REG 3200MHz内存，单条内存≥128GB</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3）配置≥2块单端口200Gb/s HDR InfiniBand高速网卡</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4）配置≥8块NVIDIA SXM4 A100 80GB显存GPU加速卡，通过6个NVSWITCH实现600GB/s的全互联</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5）配置≥4块960GB 企业级SSD硬盘</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6）配置≥1块2GB Cache Raid卡</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7）配置≥2个万兆网口（含SFP+光模块）</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《三》扩展性</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1）支持≥12个PCIe卡用于未来扩展。</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2）支持2*SATA/NVMe M.2硬盘。</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《四》电源</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1）满配电源，实现N+N冗余电源配置。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5</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集群管理服务平台软件</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w:t>
            </w:r>
            <w:r>
              <w:rPr>
                <w:rFonts w:hint="eastAsia" w:ascii="仿宋" w:hAnsi="仿宋" w:eastAsia="仿宋" w:cs="仿宋"/>
                <w:b/>
                <w:bCs/>
                <w:sz w:val="24"/>
                <w:szCs w:val="24"/>
                <w:lang w:val="en-US" w:eastAsia="zh-CN"/>
              </w:rPr>
              <w:t>《一》授权</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1）此次项目为二期扩容，集群管理服务平台软件需实现一、二期的统一管理和调度，投标人需提供满足一、二期所有节点的软件授权及实施服务、售后服务和商业版软件，并提供软件著作权证书。【</w:t>
            </w:r>
            <w:r>
              <w:rPr>
                <w:rFonts w:hint="eastAsia" w:ascii="仿宋" w:hAnsi="仿宋" w:eastAsia="仿宋" w:cs="仿宋"/>
                <w:b/>
                <w:bCs/>
                <w:color w:val="FF0000"/>
                <w:sz w:val="24"/>
                <w:szCs w:val="24"/>
                <w:lang w:val="en-US" w:eastAsia="zh-CN"/>
              </w:rPr>
              <w:t>提供一、二期所有节点的软件授权和软件著作权证书复印件并加盖原厂公章</w:t>
            </w:r>
            <w:r>
              <w:rPr>
                <w:rFonts w:hint="eastAsia" w:ascii="仿宋" w:hAnsi="仿宋" w:eastAsia="仿宋" w:cs="仿宋"/>
                <w:sz w:val="24"/>
                <w:szCs w:val="24"/>
                <w:lang w:val="en-US" w:eastAsia="zh-CN"/>
              </w:rPr>
              <w:t>】</w:t>
            </w:r>
          </w:p>
          <w:p>
            <w:pPr>
              <w:jc w:val="both"/>
              <w:rPr>
                <w:rFonts w:hint="eastAsia" w:ascii="仿宋" w:hAnsi="仿宋" w:eastAsia="仿宋" w:cs="仿宋"/>
                <w:b/>
                <w:bCs/>
                <w:sz w:val="24"/>
                <w:szCs w:val="24"/>
                <w:highlight w:val="none"/>
                <w:lang w:val="en-US" w:eastAsia="zh-CN"/>
              </w:rPr>
            </w:pPr>
          </w:p>
          <w:p>
            <w:pPr>
              <w:jc w:val="both"/>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《二》计费管理</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1）支持增删改查组织、用户。</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2）支持对组织、用户充值、计费。</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3）可设置CPU、GPU计费费率，设置阈值。</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4）支持组织余额查询及查看。</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5）支持充值记录查看及查询和充值总额查看及查询。</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6）支持计费设置查看：包括CPU单价、GPU单价、计费周期、余额提醒阈值。</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7）支持余额提醒阈值设置。</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8）支持月/周账单消费总额查询，支持月/周账单查询及查看，支持月/周账单趋势图查询，支持月/周账单列表详情查询。</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《三》集群管理</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1）支持查看集群中节点，包括主机名、节点类型（主控节点或计算节点）、系统IP、管理IP、CPU核数、GPU卡数、内存容量（GB）、分区、运行状态、作业列表。</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2）支持精确或模糊搜索节点，对远程节点管理。</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3）支持查看分区名称、当前作业数、节点数、CPU核数、GPU数和描述信息。</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4）支持添加、编辑、删除分区，包括分区名称、描述、节点列表和组织限制。</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5）统计整个集群的CPU核使用率、内存利用率、GPU利用率等。</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6）实时监控集群接的的CPU利用率、内存利用率、GPU利用率、GPU功耗、GPU温度、微架构、网络流量等。</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7）实时监控模块，提供直观的物理视图，显示节点状态信息指示，包括负载、是否在线等信息。</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《四》作业管理</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1）支持脚本/模板方式创建作业，支持容器化，只有用户和组管理具备创建作业的权限。</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2）支持查看、挂起、恢复、停止实时作业，可查看作业名称、用户、组织、作业运行时长、所属分区等。</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3）支持查看详细信息，包括作业状态、作业输入路径、输出路径、错误路径、错误原因、QOS等作业详情。</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4）支持查看集群的历史作业，包括作业名称、所属用户、作业状态、运行节点等信息。</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5）支持查看作业详情，包括作业开始时间、结束时间、运行时长、输出路径等信息。</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6）可查看周期一年的历史作业。</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7）支持作业精确、模糊搜素。</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8）支持增删改查作业模板。</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9）持查看集群中的文件目录及其文件，执行新建、复制/粘贴、压缩/解压、下载文件、删除文件、文件重命名等操作。</w:t>
            </w:r>
          </w:p>
          <w:p>
            <w:pPr>
              <w:jc w:val="both"/>
              <w:rPr>
                <w:rFonts w:hint="eastAsia" w:ascii="仿宋" w:hAnsi="仿宋" w:eastAsia="仿宋" w:cs="仿宋"/>
                <w:b/>
                <w:bCs/>
                <w:sz w:val="24"/>
                <w:szCs w:val="24"/>
                <w:lang w:val="en-US" w:eastAsia="zh-CN"/>
              </w:rPr>
            </w:pPr>
          </w:p>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《五》信息展示</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可展示集群节点的开机/关机情况、当前集群资源（CPU/内存/GPU）的使用情况、集群分区节点直方图、实时作业状态统计饼状图、CPU资源使用率、内存利用率、存储利用率变化趋势图以及作业提交趋势图等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6</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操作系统</w:t>
            </w:r>
          </w:p>
        </w:tc>
        <w:tc>
          <w:tcPr>
            <w:tcW w:w="6623" w:type="dxa"/>
            <w:tcBorders>
              <w:left w:val="single" w:color="auto" w:sz="4" w:space="0"/>
            </w:tcBorders>
            <w:vAlign w:val="center"/>
          </w:tcPr>
          <w:p>
            <w:p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规格</w:t>
            </w:r>
          </w:p>
          <w:p>
            <w:pPr>
              <w:ind w:firstLine="240" w:firstLineChars="1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1）提供CentOS 64位操作系统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7</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IB线缆</w:t>
            </w:r>
          </w:p>
        </w:tc>
        <w:tc>
          <w:tcPr>
            <w:tcW w:w="6623" w:type="dxa"/>
            <w:tcBorders>
              <w:left w:val="single" w:color="auto" w:sz="4" w:space="0"/>
            </w:tcBorders>
            <w:vAlign w:val="center"/>
          </w:tcPr>
          <w:p>
            <w:pPr>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要求</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1）满足全部节点接入现有Mellanox EDR交换机的线缆需求。（根据机房环境，要求10米光缆≤40条，其余选用15米光缆）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8</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管理网络</w:t>
            </w:r>
          </w:p>
          <w:p>
            <w:pPr>
              <w:jc w:val="center"/>
              <w:rPr>
                <w:rFonts w:hint="eastAsia" w:ascii="仿宋" w:hAnsi="仿宋" w:eastAsia="仿宋" w:cs="仿宋"/>
                <w:sz w:val="24"/>
                <w:szCs w:val="24"/>
              </w:rPr>
            </w:pPr>
            <w:r>
              <w:rPr>
                <w:rFonts w:hint="eastAsia" w:ascii="仿宋" w:hAnsi="仿宋" w:eastAsia="仿宋" w:cs="仿宋"/>
                <w:sz w:val="24"/>
                <w:szCs w:val="24"/>
              </w:rPr>
              <w:t>交换机</w:t>
            </w:r>
          </w:p>
        </w:tc>
        <w:tc>
          <w:tcPr>
            <w:tcW w:w="6623" w:type="dxa"/>
            <w:tcBorders>
              <w:left w:val="single" w:color="auto" w:sz="4" w:space="0"/>
            </w:tcBorders>
            <w:vAlign w:val="center"/>
          </w:tcPr>
          <w:p>
            <w:pPr>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具体配置</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1）48口万兆光纤交换机，固化48个10G SFP+光端口，6个40G QSFP+端口，交换容量≥2.8Tbps，包转发率≥1200Mpps，转发延迟≤800ns。配置2个电源模块冗余和2+2冗余散热风扇，支持VXLAN，支持SDN，配置48个10Gb SFP+，配置1个40Gb QSFP+，配置2条40G线缆；满足全部节点管理网络连接，配置10G光纤线缆数量满足方案需求，并额外提供总线缆数量的10%作为冗余。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9</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IPMI监控</w:t>
            </w:r>
          </w:p>
          <w:p>
            <w:pPr>
              <w:jc w:val="center"/>
              <w:rPr>
                <w:rFonts w:hint="eastAsia" w:ascii="仿宋" w:hAnsi="仿宋" w:eastAsia="仿宋" w:cs="仿宋"/>
                <w:sz w:val="24"/>
                <w:szCs w:val="24"/>
              </w:rPr>
            </w:pPr>
            <w:r>
              <w:rPr>
                <w:rFonts w:hint="eastAsia" w:ascii="仿宋" w:hAnsi="仿宋" w:eastAsia="仿宋" w:cs="仿宋"/>
                <w:sz w:val="24"/>
                <w:szCs w:val="24"/>
              </w:rPr>
              <w:t>网络交换机</w:t>
            </w:r>
          </w:p>
        </w:tc>
        <w:tc>
          <w:tcPr>
            <w:tcW w:w="6623" w:type="dxa"/>
            <w:tcBorders>
              <w:left w:val="single" w:color="auto" w:sz="4" w:space="0"/>
            </w:tcBorders>
            <w:vAlign w:val="center"/>
          </w:tcPr>
          <w:p>
            <w:pPr>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具体配置</w:t>
            </w:r>
          </w:p>
          <w:p>
            <w:pPr>
              <w:ind w:firstLine="240" w:firstLineChars="100"/>
              <w:jc w:val="both"/>
              <w:rPr>
                <w:rFonts w:hint="eastAsia" w:ascii="仿宋" w:hAnsi="仿宋" w:eastAsia="仿宋" w:cs="仿宋"/>
                <w:sz w:val="24"/>
                <w:szCs w:val="24"/>
              </w:rPr>
            </w:pPr>
            <w:r>
              <w:rPr>
                <w:rFonts w:hint="eastAsia" w:ascii="仿宋" w:hAnsi="仿宋" w:eastAsia="仿宋" w:cs="仿宋"/>
                <w:sz w:val="24"/>
                <w:szCs w:val="24"/>
                <w:lang w:val="en-US" w:eastAsia="zh-CN"/>
              </w:rPr>
              <w:t>1）48口千兆交换机，交换容量≥598Gbps，包转发率≥ 166Mpps，满配冗余电源模块和散热模块，满足全部节点IPMI监控网络连接，支持≥4个10G SFP+端口，配置1个10Gb SFP+；支持M-LAG 跨设备链路聚合技术。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15" w:type="dxa"/>
            <w:vAlign w:val="center"/>
          </w:tcPr>
          <w:p>
            <w:pPr>
              <w:jc w:val="center"/>
              <w:rPr>
                <w:rFonts w:ascii="仿宋" w:hAnsi="仿宋" w:eastAsia="仿宋" w:cs="仿宋"/>
                <w:sz w:val="24"/>
                <w:szCs w:val="24"/>
              </w:rPr>
            </w:pPr>
            <w:r>
              <w:rPr>
                <w:rFonts w:hint="eastAsia" w:ascii="仿宋" w:hAnsi="仿宋" w:eastAsia="仿宋" w:cs="仿宋"/>
                <w:sz w:val="24"/>
                <w:szCs w:val="24"/>
              </w:rPr>
              <w:t>10</w:t>
            </w:r>
          </w:p>
        </w:tc>
        <w:tc>
          <w:tcPr>
            <w:tcW w:w="1671" w:type="dxa"/>
            <w:vAlign w:val="center"/>
          </w:tcPr>
          <w:p>
            <w:pPr>
              <w:jc w:val="center"/>
              <w:rPr>
                <w:rFonts w:hint="eastAsia" w:ascii="仿宋" w:hAnsi="仿宋" w:eastAsia="仿宋" w:cs="仿宋"/>
                <w:sz w:val="24"/>
                <w:szCs w:val="24"/>
              </w:rPr>
            </w:pPr>
            <w:r>
              <w:rPr>
                <w:rFonts w:hint="eastAsia" w:ascii="仿宋" w:hAnsi="仿宋" w:eastAsia="仿宋" w:cs="仿宋"/>
                <w:sz w:val="24"/>
                <w:szCs w:val="24"/>
              </w:rPr>
              <w:t>并行编译环境</w:t>
            </w:r>
          </w:p>
        </w:tc>
        <w:tc>
          <w:tcPr>
            <w:tcW w:w="6623" w:type="dxa"/>
            <w:tcBorders>
              <w:left w:val="single" w:color="auto" w:sz="4" w:space="0"/>
            </w:tcBorders>
            <w:vAlign w:val="center"/>
          </w:tcPr>
          <w:p>
            <w:pPr>
              <w:jc w:val="both"/>
              <w:rPr>
                <w:rFonts w:hint="default" w:ascii="仿宋" w:hAnsi="仿宋" w:eastAsia="仿宋" w:cs="仿宋"/>
                <w:b/>
                <w:bCs/>
                <w:sz w:val="24"/>
                <w:szCs w:val="24"/>
                <w:lang w:val="en-US"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相关要求</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1）编译器：提供基于64操作系统并兼容32位系统的Intel 并行Fortran、C、C++编译器；提供GNU系列开发工具，含GNU Fortran、C、C++、Python等编译系统。</w:t>
            </w:r>
          </w:p>
          <w:p>
            <w:pPr>
              <w:ind w:firstLine="240" w:firstLineChars="1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2）并行环境：提供MPICH2、OpenMPI、Mvapich2等MPI环境，提供OpenMP并行环境。</w:t>
            </w:r>
          </w:p>
          <w:p>
            <w:pPr>
              <w:ind w:firstLine="240" w:firstLineChars="100"/>
              <w:jc w:val="both"/>
              <w:rPr>
                <w:rFonts w:hint="default" w:ascii="仿宋" w:hAnsi="仿宋" w:eastAsia="仿宋" w:cs="仿宋"/>
                <w:sz w:val="24"/>
                <w:szCs w:val="24"/>
                <w:lang w:val="en-US"/>
              </w:rPr>
            </w:pPr>
            <w:r>
              <w:rPr>
                <w:rFonts w:hint="eastAsia" w:ascii="仿宋" w:hAnsi="仿宋" w:eastAsia="仿宋" w:cs="仿宋"/>
                <w:sz w:val="24"/>
                <w:szCs w:val="24"/>
                <w:lang w:val="en-US" w:eastAsia="zh-CN"/>
              </w:rPr>
              <w:t>3）数学库：提供MKL、ACML、BLAS、LAPACK、ScaLAPACK、FFTW等函数库。</w:t>
            </w:r>
          </w:p>
        </w:tc>
      </w:tr>
    </w:tbl>
    <w:p>
      <w:pPr>
        <w:widowControl/>
        <w:jc w:val="left"/>
        <w:rPr>
          <w:rFonts w:ascii="仿宋" w:hAnsi="仿宋" w:eastAsia="仿宋" w:cs="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w:t>
      </w:r>
      <w:r>
        <w:rPr>
          <w:rFonts w:hint="eastAsia" w:ascii="仿宋" w:hAnsi="仿宋" w:eastAsia="仿宋" w:cs="仿宋"/>
          <w:bCs/>
          <w:sz w:val="22"/>
          <w:szCs w:val="21"/>
        </w:rPr>
        <w:t>一条参数如有细分项，扣分按细分项条数算。</w:t>
      </w:r>
    </w:p>
    <w:p>
      <w:pPr>
        <w:widowControl/>
        <w:ind w:left="218" w:leftChars="104" w:firstLine="550" w:firstLineChars="250"/>
        <w:jc w:val="left"/>
        <w:rPr>
          <w:rFonts w:ascii="仿宋" w:hAnsi="仿宋" w:eastAsia="仿宋" w:cs="仿宋"/>
          <w:bCs/>
          <w:sz w:val="22"/>
          <w:szCs w:val="21"/>
        </w:rPr>
      </w:pPr>
      <w:r>
        <w:rPr>
          <w:rFonts w:hint="eastAsia" w:ascii="仿宋" w:hAnsi="仿宋" w:eastAsia="仿宋" w:cs="仿宋"/>
          <w:bCs/>
          <w:sz w:val="22"/>
          <w:szCs w:val="21"/>
        </w:rPr>
        <w:t>2、</w:t>
      </w:r>
      <w:r>
        <w:rPr>
          <w:rFonts w:hint="eastAsia" w:ascii="仿宋" w:hAnsi="仿宋" w:eastAsia="仿宋" w:cs="仿宋"/>
          <w:b/>
          <w:color w:val="FF0000"/>
          <w:sz w:val="22"/>
          <w:szCs w:val="21"/>
        </w:rPr>
        <w:t>加注“▲”的条款要求为重要技术参数，须提供相关证明材料进行佐证，</w:t>
      </w:r>
      <w:r>
        <w:rPr>
          <w:rFonts w:hint="eastAsia" w:ascii="仿宋" w:hAnsi="仿宋" w:eastAsia="仿宋" w:cs="仿宋"/>
          <w:bCs/>
          <w:sz w:val="22"/>
          <w:szCs w:val="21"/>
        </w:rPr>
        <w:t>如</w:t>
      </w:r>
      <w:r>
        <w:rPr>
          <w:rFonts w:hint="eastAsia" w:ascii="仿宋" w:hAnsi="仿宋" w:eastAsia="仿宋" w:cs="仿宋"/>
          <w:bCs/>
          <w:sz w:val="22"/>
          <w:szCs w:val="21"/>
          <w:lang w:val="en-US" w:eastAsia="zh-CN"/>
        </w:rPr>
        <w:t xml:space="preserve"> </w:t>
      </w:r>
      <w:r>
        <w:rPr>
          <w:rFonts w:hint="eastAsia" w:ascii="仿宋" w:hAnsi="仿宋" w:eastAsia="仿宋" w:cs="仿宋"/>
          <w:bCs/>
          <w:sz w:val="22"/>
          <w:szCs w:val="21"/>
        </w:rPr>
        <w:t>不满足或负偏离将按评标信息进行扣分。</w:t>
      </w:r>
    </w:p>
    <w:p>
      <w:pPr>
        <w:widowControl/>
        <w:ind w:firstLine="770" w:firstLineChars="350"/>
        <w:jc w:val="left"/>
        <w:rPr>
          <w:rFonts w:hint="eastAsia" w:ascii="仿宋" w:hAnsi="仿宋" w:eastAsia="仿宋" w:cs="仿宋"/>
          <w:bCs/>
          <w:sz w:val="22"/>
          <w:szCs w:val="21"/>
        </w:rPr>
      </w:pPr>
      <w:r>
        <w:rPr>
          <w:rFonts w:hint="eastAsia" w:ascii="仿宋" w:hAnsi="仿宋" w:eastAsia="仿宋" w:cs="仿宋"/>
          <w:bCs/>
          <w:sz w:val="22"/>
          <w:szCs w:val="21"/>
        </w:rPr>
        <w:t>3、加注“★”的条款要求为不可偏离项，如不满足或负偏离将导致其投标无效。</w:t>
      </w:r>
    </w:p>
    <w:p>
      <w:pPr>
        <w:widowControl/>
        <w:ind w:left="218" w:leftChars="104" w:firstLine="552" w:firstLineChars="250"/>
        <w:jc w:val="left"/>
      </w:pPr>
      <w:r>
        <w:rPr>
          <w:rFonts w:hint="eastAsia" w:ascii="仿宋" w:hAnsi="仿宋" w:eastAsia="仿宋" w:cs="仿宋"/>
          <w:b/>
          <w:bCs w:val="0"/>
          <w:color w:val="FF0000"/>
          <w:sz w:val="22"/>
          <w:szCs w:val="21"/>
          <w:lang w:val="en-US" w:eastAsia="zh-CN"/>
        </w:rPr>
        <w:t>4、原有集群设备共有435台服务器（968颗CPU，</w:t>
      </w:r>
      <w:r>
        <w:rPr>
          <w:rFonts w:hint="default" w:ascii="仿宋" w:hAnsi="仿宋" w:eastAsia="仿宋" w:cs="仿宋"/>
          <w:b/>
          <w:bCs w:val="0"/>
          <w:color w:val="FF0000"/>
          <w:sz w:val="22"/>
          <w:szCs w:val="21"/>
          <w:lang w:eastAsia="zh-CN"/>
        </w:rPr>
        <w:t>16544</w:t>
      </w:r>
      <w:r>
        <w:rPr>
          <w:rFonts w:hint="eastAsia" w:ascii="仿宋" w:hAnsi="仿宋" w:eastAsia="仿宋" w:cs="仿宋"/>
          <w:b/>
          <w:bCs w:val="0"/>
          <w:color w:val="FF0000"/>
          <w:sz w:val="22"/>
          <w:szCs w:val="21"/>
          <w:lang w:val="en-US" w:eastAsia="zh-Hans"/>
        </w:rPr>
        <w:t>个CPU核心</w:t>
      </w:r>
      <w:r>
        <w:rPr>
          <w:rFonts w:hint="default" w:ascii="仿宋" w:hAnsi="仿宋" w:eastAsia="仿宋" w:cs="仿宋"/>
          <w:b/>
          <w:bCs w:val="0"/>
          <w:color w:val="FF0000"/>
          <w:sz w:val="22"/>
          <w:szCs w:val="21"/>
          <w:lang w:eastAsia="zh-Hans"/>
        </w:rPr>
        <w:t>，</w:t>
      </w:r>
      <w:r>
        <w:rPr>
          <w:rFonts w:hint="eastAsia" w:ascii="仿宋" w:hAnsi="仿宋" w:eastAsia="仿宋" w:cs="仿宋"/>
          <w:b/>
          <w:bCs w:val="0"/>
          <w:color w:val="FF0000"/>
          <w:sz w:val="22"/>
          <w:szCs w:val="21"/>
          <w:lang w:val="en-US" w:eastAsia="zh-CN"/>
        </w:rPr>
        <w:t>42块GPU 卡）</w:t>
      </w:r>
    </w:p>
    <w:p>
      <w:pPr>
        <w:widowControl/>
        <w:ind w:left="437" w:leftChars="208" w:firstLine="331" w:firstLineChars="150"/>
        <w:jc w:val="left"/>
        <w:rPr>
          <w:rFonts w:hint="eastAsia" w:ascii="仿宋" w:hAnsi="仿宋" w:eastAsia="仿宋"/>
          <w:bCs/>
          <w:sz w:val="22"/>
          <w:szCs w:val="21"/>
          <w:lang w:val="en-US" w:eastAsia="zh-CN"/>
        </w:rPr>
      </w:pPr>
      <w:r>
        <w:rPr>
          <w:rFonts w:hint="eastAsia" w:ascii="仿宋" w:hAnsi="仿宋" w:eastAsia="仿宋" w:cs="仿宋"/>
          <w:b/>
          <w:color w:val="FF0000"/>
          <w:kern w:val="2"/>
          <w:sz w:val="22"/>
          <w:szCs w:val="21"/>
          <w:lang w:val="en-US" w:eastAsia="zh-CN"/>
        </w:rPr>
        <w:t>5</w:t>
      </w:r>
      <w:r>
        <w:rPr>
          <w:rFonts w:hint="eastAsia" w:ascii="仿宋" w:hAnsi="仿宋" w:eastAsia="仿宋" w:cs="仿宋"/>
          <w:b/>
          <w:bCs w:val="0"/>
          <w:color w:val="FF0000"/>
          <w:sz w:val="22"/>
          <w:szCs w:val="21"/>
          <w:lang w:val="en-US" w:eastAsia="zh-CN"/>
        </w:rPr>
        <w:t>、所投设备提供原厂产品彩页证明</w:t>
      </w:r>
      <w:r>
        <w:rPr>
          <w:rFonts w:hint="default" w:ascii="仿宋" w:hAnsi="仿宋" w:eastAsia="仿宋" w:cs="仿宋"/>
          <w:b/>
          <w:bCs w:val="0"/>
          <w:color w:val="FF0000"/>
          <w:sz w:val="22"/>
          <w:szCs w:val="21"/>
          <w:lang w:val="en-US" w:eastAsia="zh-CN"/>
        </w:rPr>
        <w:t>，</w:t>
      </w:r>
      <w:r>
        <w:rPr>
          <w:rFonts w:hint="eastAsia" w:ascii="仿宋" w:hAnsi="仿宋" w:eastAsia="仿宋" w:cs="仿宋"/>
          <w:b/>
          <w:bCs w:val="0"/>
          <w:color w:val="FF0000"/>
          <w:sz w:val="22"/>
          <w:szCs w:val="21"/>
          <w:lang w:val="en-US" w:eastAsia="zh-CN"/>
        </w:rPr>
        <w:t>佐证各项参数要求是否满足</w:t>
      </w:r>
      <w:r>
        <w:rPr>
          <w:rFonts w:hint="default" w:ascii="仿宋" w:hAnsi="仿宋" w:eastAsia="仿宋" w:cs="仿宋"/>
          <w:b/>
          <w:bCs w:val="0"/>
          <w:color w:val="FF0000"/>
          <w:sz w:val="22"/>
          <w:szCs w:val="21"/>
          <w:lang w:val="en-US" w:eastAsia="zh-CN"/>
        </w:rPr>
        <w:t>,</w:t>
      </w:r>
      <w:r>
        <w:rPr>
          <w:rFonts w:hint="eastAsia" w:ascii="仿宋" w:hAnsi="仿宋" w:eastAsia="仿宋" w:cs="仿宋"/>
          <w:b/>
          <w:bCs w:val="0"/>
          <w:color w:val="FF0000"/>
          <w:sz w:val="22"/>
          <w:szCs w:val="21"/>
          <w:lang w:val="en-US" w:eastAsia="zh-Hans"/>
        </w:rPr>
        <w:t>方便</w:t>
      </w:r>
      <w:r>
        <w:rPr>
          <w:rFonts w:hint="eastAsia" w:ascii="仿宋" w:hAnsi="仿宋" w:eastAsia="仿宋" w:cs="仿宋"/>
          <w:b/>
          <w:color w:val="FF0000"/>
          <w:kern w:val="2"/>
          <w:sz w:val="22"/>
          <w:szCs w:val="21"/>
          <w:lang w:val="en-US" w:eastAsia="zh-Hans"/>
        </w:rPr>
        <w:t>专家比对</w:t>
      </w:r>
      <w:r>
        <w:rPr>
          <w:rFonts w:hint="eastAsia"/>
          <w:lang w:eastAsia="zh-CN"/>
        </w:rPr>
        <w:t>。</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rPr>
        <w:t>四、商务需求</w:t>
      </w:r>
    </w:p>
    <w:tbl>
      <w:tblPr>
        <w:tblStyle w:val="19"/>
        <w:tblW w:w="10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84"/>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59" w:type="dxa"/>
            <w:tcBorders>
              <w:top w:val="double" w:color="auto" w:sz="4" w:space="0"/>
              <w:left w:val="double" w:color="auto" w:sz="4" w:space="0"/>
            </w:tcBorders>
            <w:shd w:val="clear" w:color="auto" w:fill="C6D9F1"/>
          </w:tcPr>
          <w:p>
            <w:pPr>
              <w:widowControl/>
              <w:spacing w:line="360" w:lineRule="auto"/>
              <w:jc w:val="center"/>
              <w:rPr>
                <w:rFonts w:ascii="仿宋" w:hAnsi="仿宋" w:eastAsia="仿宋" w:cs="仿宋"/>
                <w:b/>
                <w:kern w:val="0"/>
                <w:szCs w:val="21"/>
              </w:rPr>
            </w:pPr>
            <w:r>
              <w:rPr>
                <w:rFonts w:hint="eastAsia" w:ascii="仿宋" w:hAnsi="仿宋" w:eastAsia="仿宋" w:cs="仿宋"/>
                <w:b/>
                <w:kern w:val="0"/>
                <w:szCs w:val="21"/>
              </w:rPr>
              <w:t>序号</w:t>
            </w:r>
          </w:p>
        </w:tc>
        <w:tc>
          <w:tcPr>
            <w:tcW w:w="1984" w:type="dxa"/>
            <w:tcBorders>
              <w:top w:val="double" w:color="auto" w:sz="4" w:space="0"/>
            </w:tcBorders>
            <w:shd w:val="clear" w:color="auto" w:fill="C6D9F1"/>
          </w:tcPr>
          <w:p>
            <w:pPr>
              <w:widowControl/>
              <w:spacing w:line="360" w:lineRule="auto"/>
              <w:jc w:val="center"/>
              <w:rPr>
                <w:rFonts w:ascii="仿宋" w:hAnsi="仿宋" w:eastAsia="仿宋" w:cs="仿宋"/>
                <w:b/>
                <w:kern w:val="0"/>
                <w:szCs w:val="21"/>
              </w:rPr>
            </w:pPr>
            <w:r>
              <w:rPr>
                <w:rFonts w:hint="eastAsia" w:ascii="仿宋" w:hAnsi="仿宋" w:eastAsia="仿宋" w:cs="仿宋"/>
                <w:b/>
                <w:kern w:val="0"/>
                <w:szCs w:val="21"/>
              </w:rPr>
              <w:t>类别</w:t>
            </w:r>
          </w:p>
        </w:tc>
        <w:tc>
          <w:tcPr>
            <w:tcW w:w="7371" w:type="dxa"/>
            <w:tcBorders>
              <w:top w:val="double" w:color="auto" w:sz="4" w:space="0"/>
              <w:right w:val="double" w:color="auto" w:sz="4" w:space="0"/>
            </w:tcBorders>
            <w:shd w:val="clear" w:color="auto" w:fill="C6D9F1"/>
          </w:tcPr>
          <w:p>
            <w:pPr>
              <w:widowControl/>
              <w:spacing w:line="360" w:lineRule="auto"/>
              <w:jc w:val="center"/>
              <w:rPr>
                <w:rFonts w:ascii="仿宋" w:hAnsi="仿宋" w:eastAsia="仿宋" w:cs="仿宋"/>
                <w:b/>
                <w:kern w:val="0"/>
                <w:szCs w:val="21"/>
              </w:rPr>
            </w:pPr>
            <w:r>
              <w:rPr>
                <w:rFonts w:hint="eastAsia" w:ascii="仿宋" w:hAnsi="仿宋" w:eastAsia="仿宋" w:cs="仿宋"/>
                <w:b/>
                <w:kern w:val="0"/>
                <w:szCs w:val="21"/>
              </w:rPr>
              <w:t>具体商务要求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59" w:type="dxa"/>
            <w:vMerge w:val="restart"/>
            <w:tcBorders>
              <w:left w:val="double" w:color="auto" w:sz="4" w:space="0"/>
            </w:tcBorders>
            <w:vAlign w:val="center"/>
          </w:tcPr>
          <w:p>
            <w:pPr>
              <w:widowControl/>
              <w:spacing w:line="360" w:lineRule="auto"/>
              <w:jc w:val="center"/>
              <w:rPr>
                <w:rFonts w:ascii="仿宋" w:hAnsi="仿宋" w:eastAsia="仿宋" w:cs="仿宋"/>
                <w:kern w:val="0"/>
                <w:szCs w:val="21"/>
              </w:rPr>
            </w:pPr>
            <w:r>
              <w:rPr>
                <w:rFonts w:hint="eastAsia" w:ascii="仿宋" w:hAnsi="仿宋" w:eastAsia="仿宋" w:cs="仿宋"/>
                <w:kern w:val="0"/>
                <w:szCs w:val="21"/>
              </w:rPr>
              <w:t>1</w:t>
            </w:r>
          </w:p>
        </w:tc>
        <w:tc>
          <w:tcPr>
            <w:tcW w:w="1984" w:type="dxa"/>
            <w:vMerge w:val="restart"/>
            <w:vAlign w:val="center"/>
          </w:tcPr>
          <w:p>
            <w:pPr>
              <w:widowControl/>
              <w:spacing w:line="360" w:lineRule="auto"/>
              <w:jc w:val="center"/>
              <w:rPr>
                <w:rFonts w:ascii="仿宋" w:hAnsi="仿宋" w:eastAsia="仿宋" w:cs="仿宋"/>
                <w:kern w:val="0"/>
                <w:szCs w:val="21"/>
              </w:rPr>
            </w:pPr>
            <w:r>
              <w:rPr>
                <w:rFonts w:hint="eastAsia" w:ascii="仿宋" w:hAnsi="仿宋" w:eastAsia="仿宋" w:cs="仿宋"/>
                <w:bCs/>
                <w:kern w:val="0"/>
                <w:szCs w:val="21"/>
              </w:rPr>
              <w:t>交货要求</w:t>
            </w: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24"/>
                <w:szCs w:val="21"/>
                <w:highlight w:val="yellow"/>
              </w:rPr>
              <w:t>★</w:t>
            </w:r>
            <w:r>
              <w:rPr>
                <w:rFonts w:hint="eastAsia" w:ascii="仿宋" w:hAnsi="仿宋" w:eastAsia="仿宋" w:cs="仿宋"/>
                <w:b/>
                <w:kern w:val="0"/>
                <w:szCs w:val="21"/>
                <w:highlight w:val="yellow"/>
              </w:rPr>
              <w:t>1.1、交货期：签订合同后</w:t>
            </w:r>
            <w:r>
              <w:rPr>
                <w:rFonts w:hint="eastAsia" w:ascii="仿宋" w:hAnsi="仿宋" w:eastAsia="仿宋" w:cs="仿宋"/>
                <w:b/>
                <w:kern w:val="0"/>
                <w:szCs w:val="21"/>
                <w:highlight w:val="yellow"/>
                <w:u w:val="single"/>
              </w:rPr>
              <w:t>60</w:t>
            </w:r>
            <w:r>
              <w:rPr>
                <w:rFonts w:hint="eastAsia" w:ascii="仿宋" w:hAnsi="仿宋" w:eastAsia="仿宋" w:cs="仿宋"/>
                <w:b/>
                <w:kern w:val="0"/>
                <w:szCs w:val="21"/>
                <w:highlight w:val="yellow"/>
              </w:rPr>
              <w:t>天（日历日）内。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959" w:type="dxa"/>
            <w:vMerge w:val="continue"/>
            <w:tcBorders>
              <w:left w:val="double" w:color="auto" w:sz="4" w:space="0"/>
            </w:tcBorders>
            <w:vAlign w:val="center"/>
          </w:tcPr>
          <w:p>
            <w:pPr>
              <w:widowControl/>
              <w:spacing w:line="360" w:lineRule="auto"/>
              <w:jc w:val="center"/>
              <w:rPr>
                <w:rFonts w:ascii="仿宋" w:hAnsi="仿宋" w:eastAsia="仿宋" w:cs="仿宋"/>
                <w:kern w:val="0"/>
                <w:szCs w:val="21"/>
              </w:rPr>
            </w:pPr>
          </w:p>
        </w:tc>
        <w:tc>
          <w:tcPr>
            <w:tcW w:w="1984" w:type="dxa"/>
            <w:vMerge w:val="continue"/>
            <w:vAlign w:val="center"/>
          </w:tcPr>
          <w:p>
            <w:pPr>
              <w:widowControl/>
              <w:spacing w:line="360" w:lineRule="auto"/>
              <w:jc w:val="center"/>
              <w:rPr>
                <w:rFonts w:ascii="仿宋" w:hAnsi="仿宋" w:eastAsia="仿宋" w:cs="仿宋"/>
                <w:bCs/>
                <w:kern w:val="0"/>
                <w:szCs w:val="21"/>
              </w:rPr>
            </w:pP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0"/>
                <w:szCs w:val="21"/>
              </w:rPr>
              <w:t>1.2、</w:t>
            </w:r>
            <w:r>
              <w:rPr>
                <w:rFonts w:hint="eastAsia" w:ascii="仿宋" w:hAnsi="仿宋" w:eastAsia="仿宋" w:cs="仿宋"/>
                <w:b/>
                <w:kern w:val="0"/>
                <w:szCs w:val="21"/>
              </w:rPr>
              <w:t>交货地点</w:t>
            </w:r>
            <w:r>
              <w:rPr>
                <w:rFonts w:hint="eastAsia" w:ascii="仿宋" w:hAnsi="仿宋" w:eastAsia="仿宋" w:cs="仿宋"/>
                <w:kern w:val="0"/>
                <w:szCs w:val="21"/>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6" w:hRule="atLeast"/>
          <w:jc w:val="center"/>
        </w:trPr>
        <w:tc>
          <w:tcPr>
            <w:tcW w:w="959" w:type="dxa"/>
            <w:vMerge w:val="continue"/>
            <w:tcBorders>
              <w:left w:val="double" w:color="auto" w:sz="4" w:space="0"/>
            </w:tcBorders>
            <w:vAlign w:val="center"/>
          </w:tcPr>
          <w:p>
            <w:pPr>
              <w:widowControl/>
              <w:spacing w:line="360" w:lineRule="auto"/>
              <w:jc w:val="center"/>
              <w:rPr>
                <w:rFonts w:ascii="仿宋" w:hAnsi="仿宋" w:eastAsia="仿宋" w:cs="仿宋"/>
                <w:kern w:val="0"/>
                <w:szCs w:val="21"/>
              </w:rPr>
            </w:pPr>
          </w:p>
        </w:tc>
        <w:tc>
          <w:tcPr>
            <w:tcW w:w="1984" w:type="dxa"/>
            <w:vMerge w:val="continue"/>
            <w:vAlign w:val="center"/>
          </w:tcPr>
          <w:p>
            <w:pPr>
              <w:widowControl/>
              <w:spacing w:line="360" w:lineRule="auto"/>
              <w:jc w:val="center"/>
              <w:rPr>
                <w:rFonts w:ascii="仿宋" w:hAnsi="仿宋" w:eastAsia="仿宋" w:cs="仿宋"/>
                <w:bCs/>
                <w:kern w:val="0"/>
                <w:szCs w:val="21"/>
              </w:rPr>
            </w:pPr>
          </w:p>
        </w:tc>
        <w:tc>
          <w:tcPr>
            <w:tcW w:w="7371" w:type="dxa"/>
            <w:tcBorders>
              <w:right w:val="double" w:color="auto" w:sz="4" w:space="0"/>
            </w:tcBorders>
            <w:vAlign w:val="center"/>
          </w:tcPr>
          <w:p>
            <w:pPr>
              <w:widowControl/>
              <w:spacing w:line="360" w:lineRule="auto"/>
              <w:ind w:left="420" w:hanging="420" w:hangingChars="200"/>
              <w:rPr>
                <w:rFonts w:ascii="仿宋" w:hAnsi="仿宋" w:eastAsia="仿宋" w:cs="仿宋"/>
                <w:kern w:val="0"/>
                <w:szCs w:val="21"/>
              </w:rPr>
            </w:pPr>
            <w:r>
              <w:rPr>
                <w:rFonts w:hint="eastAsia" w:ascii="仿宋" w:hAnsi="仿宋" w:eastAsia="仿宋" w:cs="仿宋"/>
                <w:kern w:val="0"/>
                <w:szCs w:val="21"/>
              </w:rPr>
              <w:t>1.3、投标人必须承担设备运输、安装调试、验收检测和提供设备操作说明书、图纸等其他类似的义务。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959" w:type="dxa"/>
            <w:vMerge w:val="continue"/>
            <w:tcBorders>
              <w:left w:val="double" w:color="auto" w:sz="4" w:space="0"/>
            </w:tcBorders>
            <w:vAlign w:val="center"/>
          </w:tcPr>
          <w:p>
            <w:pPr>
              <w:widowControl/>
              <w:spacing w:line="360" w:lineRule="auto"/>
              <w:jc w:val="center"/>
              <w:rPr>
                <w:rFonts w:ascii="仿宋" w:hAnsi="仿宋" w:eastAsia="仿宋" w:cs="仿宋"/>
                <w:kern w:val="0"/>
                <w:szCs w:val="21"/>
              </w:rPr>
            </w:pPr>
          </w:p>
        </w:tc>
        <w:tc>
          <w:tcPr>
            <w:tcW w:w="1984" w:type="dxa"/>
            <w:vMerge w:val="continue"/>
            <w:vAlign w:val="center"/>
          </w:tcPr>
          <w:p>
            <w:pPr>
              <w:widowControl/>
              <w:spacing w:line="360" w:lineRule="auto"/>
              <w:jc w:val="center"/>
              <w:rPr>
                <w:rFonts w:ascii="仿宋" w:hAnsi="仿宋" w:eastAsia="仿宋" w:cs="仿宋"/>
                <w:bCs/>
                <w:kern w:val="0"/>
                <w:szCs w:val="21"/>
              </w:rPr>
            </w:pP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0"/>
                <w:szCs w:val="21"/>
              </w:rPr>
              <w:t>1.4、</w:t>
            </w:r>
            <w:r>
              <w:rPr>
                <w:rFonts w:hint="eastAsia" w:ascii="仿宋" w:hAnsi="仿宋" w:eastAsia="仿宋" w:cs="仿宋"/>
                <w:b/>
                <w:kern w:val="0"/>
                <w:szCs w:val="21"/>
              </w:rPr>
              <w:t>验收要求</w:t>
            </w:r>
            <w:r>
              <w:rPr>
                <w:rFonts w:hint="eastAsia" w:ascii="仿宋" w:hAnsi="仿宋" w:eastAsia="仿宋" w:cs="仿宋"/>
                <w:kern w:val="0"/>
                <w:szCs w:val="21"/>
              </w:rPr>
              <w:t>：</w:t>
            </w:r>
          </w:p>
          <w:p>
            <w:pPr>
              <w:widowControl/>
              <w:spacing w:line="360" w:lineRule="auto"/>
              <w:ind w:left="315" w:hanging="315" w:hangingChars="150"/>
              <w:rPr>
                <w:rFonts w:hint="eastAsia" w:ascii="仿宋" w:hAnsi="仿宋" w:eastAsia="仿宋" w:cs="仿宋"/>
                <w:kern w:val="0"/>
                <w:szCs w:val="21"/>
              </w:rPr>
            </w:pPr>
            <w:r>
              <w:rPr>
                <w:rFonts w:hint="eastAsia" w:ascii="仿宋" w:hAnsi="仿宋" w:eastAsia="仿宋" w:cs="仿宋"/>
                <w:kern w:val="0"/>
                <w:szCs w:val="21"/>
              </w:rPr>
              <w:t>1）设备运抵安装现场后，投标人、原厂工程师需在场一同开箱验收；若无人到场, 则验收结果应以用户及当地商检人员的验收报告视作最终验收结果。验收时发现短缺、破损, 用户有权要求投标人立即补发或更换。</w:t>
            </w:r>
          </w:p>
          <w:p>
            <w:pPr>
              <w:widowControl/>
              <w:spacing w:line="360" w:lineRule="auto"/>
              <w:ind w:left="315" w:hanging="315" w:hangingChars="15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2）需同时提供两名以上的设备制造厂商的技术工程师负责现场的免费安装、调试直至验收合格。</w:t>
            </w:r>
          </w:p>
          <w:p>
            <w:pPr>
              <w:widowControl/>
              <w:spacing w:line="360" w:lineRule="auto"/>
              <w:ind w:left="315" w:hanging="315" w:hangingChars="15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3）投标人应提供设备测试的完整方案，包括：测试内容、项目、指标和方法,且有责任对用户的技术人员提出的问题作出解答。测试应进行详细记录, 设备测试结束后, 由制造厂商技术人员签字后交给用户验收。</w:t>
            </w:r>
          </w:p>
          <w:p>
            <w:pPr>
              <w:widowControl/>
              <w:spacing w:line="360" w:lineRule="auto"/>
              <w:ind w:left="315" w:hanging="315" w:hangingChars="15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4）投标人货物经过双方检验认可后，签署验收报告，产品保修期自验收合格之日起算，可通过制造厂商的官网或微信查询到货物质保期。</w:t>
            </w:r>
          </w:p>
          <w:p>
            <w:pPr>
              <w:widowControl/>
              <w:spacing w:line="360" w:lineRule="auto"/>
              <w:ind w:left="315" w:hanging="315" w:hangingChars="150"/>
              <w:rPr>
                <w:rFonts w:ascii="仿宋" w:hAnsi="仿宋" w:eastAsia="仿宋" w:cs="仿宋"/>
                <w:kern w:val="0"/>
                <w:szCs w:val="21"/>
              </w:rPr>
            </w:pPr>
            <w:r>
              <w:rPr>
                <w:rFonts w:hint="eastAsia" w:ascii="仿宋" w:hAnsi="仿宋" w:eastAsia="仿宋" w:cs="仿宋"/>
                <w:kern w:val="0"/>
                <w:szCs w:val="21"/>
                <w:lang w:val="en-US" w:eastAsia="zh-CN"/>
              </w:rPr>
              <w:t>5</w:t>
            </w:r>
            <w:r>
              <w:rPr>
                <w:rFonts w:hint="eastAsia" w:ascii="仿宋" w:hAnsi="仿宋" w:eastAsia="仿宋" w:cs="仿宋"/>
                <w:kern w:val="0"/>
                <w:szCs w:val="21"/>
              </w:rPr>
              <w:t>）当满足以下条件时，采购单位才向中标人签发货物验收报告：</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A、中标人已按照合同规定提供了全部产品及完整的技术资料</w:t>
            </w:r>
            <w:r>
              <w:rPr>
                <w:rFonts w:hint="eastAsia" w:ascii="仿宋" w:hAnsi="仿宋" w:eastAsia="仿宋" w:cs="仿宋"/>
                <w:kern w:val="0"/>
                <w:szCs w:val="21"/>
                <w:lang w:eastAsia="zh-CN"/>
              </w:rPr>
              <w:t>。技术资料需包含：全部产品的资料、项目实施文档（可复现项目实施的完整过程）、用户使用手册</w:t>
            </w:r>
            <w:r>
              <w:rPr>
                <w:rFonts w:hint="eastAsia" w:ascii="仿宋" w:hAnsi="仿宋" w:eastAsia="仿宋" w:cs="仿宋"/>
                <w:kern w:val="0"/>
                <w:szCs w:val="21"/>
              </w:rPr>
              <w:t>。</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B、货物符合招标文件技术规格书的要求，性能满足要求。</w:t>
            </w:r>
          </w:p>
          <w:p>
            <w:pPr>
              <w:widowControl/>
              <w:spacing w:line="360" w:lineRule="auto"/>
              <w:ind w:firstLine="317" w:firstLineChars="151"/>
              <w:rPr>
                <w:rFonts w:hint="eastAsia" w:ascii="仿宋" w:hAnsi="仿宋" w:eastAsia="仿宋" w:cs="仿宋"/>
                <w:kern w:val="0"/>
                <w:szCs w:val="21"/>
              </w:rPr>
            </w:pPr>
            <w:r>
              <w:rPr>
                <w:rFonts w:hint="eastAsia" w:ascii="仿宋" w:hAnsi="仿宋" w:eastAsia="仿宋" w:cs="仿宋"/>
                <w:kern w:val="0"/>
                <w:szCs w:val="21"/>
              </w:rPr>
              <w:t>C、货物具备产品合格证。</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6）保修期内，如果设备发生故障，投标人要免费调查故障原因并修复直至满足最终验收指标和性能的要求。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9" w:type="dxa"/>
            <w:vMerge w:val="restart"/>
            <w:tcBorders>
              <w:left w:val="double" w:color="auto" w:sz="4" w:space="0"/>
            </w:tcBorders>
            <w:vAlign w:val="center"/>
          </w:tcPr>
          <w:p>
            <w:pPr>
              <w:widowControl/>
              <w:spacing w:line="360" w:lineRule="auto"/>
              <w:jc w:val="center"/>
              <w:rPr>
                <w:rFonts w:ascii="仿宋" w:hAnsi="仿宋" w:eastAsia="仿宋" w:cs="仿宋"/>
                <w:kern w:val="0"/>
                <w:szCs w:val="21"/>
              </w:rPr>
            </w:pPr>
            <w:r>
              <w:rPr>
                <w:rFonts w:hint="eastAsia" w:ascii="仿宋" w:hAnsi="仿宋" w:eastAsia="仿宋" w:cs="仿宋"/>
                <w:kern w:val="0"/>
                <w:szCs w:val="21"/>
              </w:rPr>
              <w:t>2</w:t>
            </w:r>
          </w:p>
        </w:tc>
        <w:tc>
          <w:tcPr>
            <w:tcW w:w="1984" w:type="dxa"/>
            <w:vMerge w:val="restart"/>
            <w:vAlign w:val="center"/>
          </w:tcPr>
          <w:p>
            <w:pPr>
              <w:widowControl/>
              <w:spacing w:line="360" w:lineRule="auto"/>
              <w:jc w:val="center"/>
              <w:rPr>
                <w:rFonts w:ascii="仿宋" w:hAnsi="仿宋" w:eastAsia="仿宋" w:cs="仿宋"/>
                <w:kern w:val="0"/>
                <w:szCs w:val="21"/>
              </w:rPr>
            </w:pPr>
            <w:r>
              <w:rPr>
                <w:rFonts w:hint="eastAsia" w:ascii="仿宋" w:hAnsi="仿宋" w:eastAsia="仿宋" w:cs="仿宋"/>
                <w:kern w:val="0"/>
                <w:szCs w:val="21"/>
              </w:rPr>
              <w:t>报价要求及</w:t>
            </w:r>
          </w:p>
          <w:p>
            <w:pPr>
              <w:widowControl/>
              <w:spacing w:line="360" w:lineRule="auto"/>
              <w:jc w:val="center"/>
              <w:rPr>
                <w:rFonts w:ascii="仿宋" w:hAnsi="仿宋" w:eastAsia="仿宋" w:cs="仿宋"/>
                <w:kern w:val="0"/>
                <w:szCs w:val="21"/>
              </w:rPr>
            </w:pPr>
            <w:r>
              <w:rPr>
                <w:rFonts w:hint="eastAsia" w:ascii="仿宋" w:hAnsi="仿宋" w:eastAsia="仿宋" w:cs="仿宋"/>
                <w:kern w:val="0"/>
                <w:szCs w:val="21"/>
              </w:rPr>
              <w:t>付款方式</w:t>
            </w: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0"/>
                <w:szCs w:val="21"/>
              </w:rPr>
              <w:t>2.1、</w:t>
            </w:r>
            <w:r>
              <w:rPr>
                <w:rFonts w:hint="eastAsia" w:ascii="仿宋" w:hAnsi="仿宋" w:eastAsia="仿宋" w:cs="仿宋"/>
                <w:b/>
                <w:kern w:val="0"/>
                <w:szCs w:val="21"/>
              </w:rPr>
              <w:t>报价要求：</w:t>
            </w:r>
          </w:p>
          <w:p>
            <w:pPr>
              <w:widowControl/>
              <w:spacing w:line="360" w:lineRule="auto"/>
              <w:ind w:left="420" w:hanging="420" w:hangingChars="200"/>
              <w:rPr>
                <w:rFonts w:ascii="仿宋" w:hAnsi="仿宋" w:eastAsia="仿宋" w:cs="仿宋"/>
                <w:kern w:val="0"/>
                <w:szCs w:val="21"/>
              </w:rPr>
            </w:pPr>
            <w:r>
              <w:rPr>
                <w:rFonts w:hint="eastAsia" w:ascii="仿宋" w:hAnsi="仿宋" w:eastAsia="仿宋" w:cs="仿宋"/>
                <w:kern w:val="0"/>
                <w:szCs w:val="21"/>
              </w:rPr>
              <w:t>1）本项目预算金额为</w:t>
            </w:r>
            <w:r>
              <w:rPr>
                <w:rFonts w:hint="eastAsia" w:ascii="仿宋" w:hAnsi="仿宋" w:eastAsia="仿宋" w:cs="仿宋"/>
                <w:b/>
                <w:kern w:val="0"/>
                <w:szCs w:val="21"/>
              </w:rPr>
              <w:t>人民币</w:t>
            </w:r>
            <w:r>
              <w:rPr>
                <w:rFonts w:hint="eastAsia" w:ascii="仿宋" w:hAnsi="仿宋" w:eastAsia="仿宋" w:cs="仿宋"/>
                <w:b/>
                <w:kern w:val="0"/>
                <w:szCs w:val="21"/>
                <w:lang w:val="en-US" w:eastAsia="zh-CN"/>
              </w:rPr>
              <w:t>玖佰万</w:t>
            </w:r>
            <w:r>
              <w:rPr>
                <w:rFonts w:hint="eastAsia" w:ascii="仿宋" w:hAnsi="仿宋" w:eastAsia="仿宋" w:cs="仿宋"/>
                <w:b/>
                <w:kern w:val="0"/>
                <w:szCs w:val="21"/>
              </w:rPr>
              <w:t xml:space="preserve">元整（¥ </w:t>
            </w:r>
            <w:r>
              <w:rPr>
                <w:rFonts w:hint="eastAsia" w:ascii="仿宋" w:hAnsi="仿宋" w:eastAsia="仿宋" w:cs="仿宋"/>
                <w:b/>
                <w:kern w:val="0"/>
                <w:szCs w:val="21"/>
                <w:lang w:val="en-US" w:eastAsia="zh-CN"/>
              </w:rPr>
              <w:t>9</w:t>
            </w:r>
            <w:r>
              <w:rPr>
                <w:rFonts w:hint="eastAsia" w:ascii="仿宋" w:hAnsi="仿宋" w:eastAsia="仿宋" w:cs="仿宋"/>
                <w:b/>
                <w:kern w:val="0"/>
                <w:szCs w:val="21"/>
              </w:rPr>
              <w:t>,</w:t>
            </w:r>
            <w:r>
              <w:rPr>
                <w:rFonts w:hint="eastAsia" w:ascii="仿宋" w:hAnsi="仿宋" w:eastAsia="仿宋" w:cs="仿宋"/>
                <w:b/>
                <w:kern w:val="0"/>
                <w:szCs w:val="21"/>
                <w:lang w:val="en-US" w:eastAsia="zh-CN"/>
              </w:rPr>
              <w:t>0</w:t>
            </w:r>
            <w:r>
              <w:rPr>
                <w:rFonts w:hint="eastAsia" w:ascii="仿宋" w:hAnsi="仿宋" w:eastAsia="仿宋" w:cs="仿宋"/>
                <w:b/>
                <w:kern w:val="0"/>
                <w:szCs w:val="21"/>
              </w:rPr>
              <w:t>00,000.00）</w:t>
            </w:r>
            <w:r>
              <w:rPr>
                <w:rFonts w:hint="eastAsia" w:ascii="仿宋" w:hAnsi="仿宋" w:eastAsia="仿宋" w:cs="仿宋"/>
                <w:kern w:val="0"/>
                <w:szCs w:val="21"/>
              </w:rPr>
              <w:t>。</w:t>
            </w:r>
          </w:p>
          <w:p>
            <w:pPr>
              <w:widowControl/>
              <w:spacing w:line="360" w:lineRule="auto"/>
              <w:ind w:left="349" w:leftChars="16" w:hanging="315" w:hangingChars="150"/>
              <w:rPr>
                <w:rFonts w:ascii="仿宋" w:hAnsi="仿宋" w:eastAsia="仿宋" w:cs="仿宋"/>
                <w:kern w:val="0"/>
                <w:szCs w:val="21"/>
              </w:rPr>
            </w:pPr>
            <w:r>
              <w:rPr>
                <w:rFonts w:hint="eastAsia" w:ascii="仿宋" w:hAnsi="仿宋" w:eastAsia="仿宋" w:cs="仿宋"/>
                <w:kern w:val="0"/>
                <w:szCs w:val="21"/>
              </w:rPr>
              <w:t>2）</w:t>
            </w:r>
            <w:r>
              <w:rPr>
                <w:rFonts w:hint="eastAsia" w:ascii="仿宋" w:hAnsi="仿宋" w:eastAsia="仿宋" w:cs="仿宋"/>
                <w:color w:val="000000"/>
              </w:rPr>
              <w:t>采购人深圳湾实验室享受海关的进口设备免税优惠政策，进口设备投标人报免税价（以DDP价格结算，不含13%增值税）；国产设备投标人报含税价。</w:t>
            </w:r>
            <w:r>
              <w:rPr>
                <w:rFonts w:hint="eastAsia" w:ascii="仿宋" w:hAnsi="仿宋" w:eastAsia="仿宋" w:cs="仿宋"/>
                <w:kern w:val="0"/>
                <w:szCs w:val="21"/>
              </w:rPr>
              <w:t>投标总价必须是完成该项目的一切费用总和，包括设备费、运输费、装卸费、安装费、调试费、保险费、技术培训费、售后服务费、国家规定的各项税费等全部费用。</w:t>
            </w:r>
          </w:p>
          <w:p>
            <w:pPr>
              <w:widowControl/>
              <w:spacing w:line="360" w:lineRule="auto"/>
              <w:ind w:left="349" w:hanging="348" w:hangingChars="166"/>
              <w:rPr>
                <w:rFonts w:ascii="仿宋" w:hAnsi="仿宋" w:eastAsia="仿宋" w:cs="仿宋"/>
                <w:kern w:val="0"/>
                <w:szCs w:val="21"/>
              </w:rPr>
            </w:pPr>
            <w:r>
              <w:rPr>
                <w:rFonts w:hint="eastAsia" w:ascii="仿宋" w:hAnsi="仿宋" w:eastAsia="仿宋" w:cs="仿宋"/>
                <w:kern w:val="0"/>
                <w:szCs w:val="21"/>
              </w:rPr>
              <w:t>3）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9" w:type="dxa"/>
            <w:vMerge w:val="continue"/>
            <w:tcBorders>
              <w:left w:val="double" w:color="auto" w:sz="4" w:space="0"/>
            </w:tcBorders>
            <w:vAlign w:val="center"/>
          </w:tcPr>
          <w:p>
            <w:pPr>
              <w:widowControl/>
              <w:spacing w:line="360" w:lineRule="auto"/>
              <w:jc w:val="center"/>
              <w:rPr>
                <w:rFonts w:ascii="仿宋" w:hAnsi="仿宋" w:eastAsia="仿宋" w:cs="仿宋"/>
                <w:kern w:val="0"/>
                <w:szCs w:val="21"/>
              </w:rPr>
            </w:pPr>
          </w:p>
        </w:tc>
        <w:tc>
          <w:tcPr>
            <w:tcW w:w="1984" w:type="dxa"/>
            <w:vMerge w:val="continue"/>
          </w:tcPr>
          <w:p>
            <w:pPr>
              <w:widowControl/>
              <w:spacing w:line="360" w:lineRule="auto"/>
              <w:jc w:val="center"/>
              <w:rPr>
                <w:rFonts w:ascii="仿宋" w:hAnsi="仿宋" w:eastAsia="仿宋" w:cs="仿宋"/>
                <w:kern w:val="0"/>
                <w:szCs w:val="21"/>
              </w:rPr>
            </w:pP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0"/>
                <w:szCs w:val="21"/>
              </w:rPr>
              <w:t>2.2、</w:t>
            </w:r>
            <w:r>
              <w:rPr>
                <w:rFonts w:hint="eastAsia" w:ascii="仿宋" w:hAnsi="仿宋" w:eastAsia="仿宋" w:cs="仿宋"/>
                <w:b/>
                <w:kern w:val="0"/>
                <w:szCs w:val="21"/>
              </w:rPr>
              <w:t>付款方式：</w:t>
            </w:r>
            <w:r>
              <w:rPr>
                <w:rFonts w:hint="eastAsia" w:ascii="仿宋" w:hAnsi="仿宋" w:eastAsia="仿宋" w:cs="仿宋"/>
                <w:kern w:val="0"/>
                <w:szCs w:val="21"/>
              </w:rPr>
              <w:t>分三期支付</w:t>
            </w:r>
          </w:p>
          <w:p>
            <w:pPr>
              <w:widowControl/>
              <w:spacing w:line="360" w:lineRule="auto"/>
              <w:rPr>
                <w:rFonts w:ascii="仿宋" w:hAnsi="仿宋" w:eastAsia="仿宋" w:cs="仿宋"/>
                <w:kern w:val="0"/>
                <w:szCs w:val="21"/>
              </w:rPr>
            </w:pPr>
            <w:r>
              <w:rPr>
                <w:rFonts w:hint="eastAsia" w:ascii="仿宋" w:hAnsi="仿宋" w:eastAsia="仿宋" w:cs="仿宋"/>
                <w:kern w:val="0"/>
                <w:szCs w:val="21"/>
              </w:rPr>
              <w:t>1）第一期：甲方在合同签订后【10】工作日内支付【30%】的货款。</w:t>
            </w:r>
          </w:p>
          <w:p>
            <w:pPr>
              <w:widowControl/>
              <w:spacing w:line="360" w:lineRule="auto"/>
              <w:ind w:left="315" w:hanging="315" w:hangingChars="150"/>
              <w:rPr>
                <w:rFonts w:ascii="仿宋" w:hAnsi="仿宋" w:eastAsia="仿宋" w:cs="仿宋"/>
                <w:kern w:val="0"/>
                <w:szCs w:val="21"/>
              </w:rPr>
            </w:pPr>
            <w:r>
              <w:rPr>
                <w:rFonts w:hint="eastAsia" w:ascii="仿宋" w:hAnsi="仿宋" w:eastAsia="仿宋" w:cs="仿宋"/>
                <w:kern w:val="0"/>
                <w:szCs w:val="21"/>
              </w:rPr>
              <w:t>2）第二期：货到指定项目现场、安装调试后【10】工作日内，甲方支付【60%】的货款。</w:t>
            </w:r>
          </w:p>
          <w:p>
            <w:pPr>
              <w:widowControl/>
              <w:spacing w:line="360" w:lineRule="auto"/>
              <w:ind w:left="315" w:hanging="315" w:hangingChars="150"/>
              <w:rPr>
                <w:rFonts w:ascii="仿宋" w:hAnsi="仿宋" w:eastAsia="仿宋" w:cs="仿宋"/>
                <w:kern w:val="0"/>
                <w:szCs w:val="21"/>
              </w:rPr>
            </w:pPr>
            <w:r>
              <w:rPr>
                <w:rFonts w:hint="eastAsia" w:ascii="仿宋" w:hAnsi="仿宋" w:eastAsia="仿宋" w:cs="仿宋"/>
                <w:kern w:val="0"/>
                <w:szCs w:val="21"/>
              </w:rPr>
              <w:t>3）第三期：货物试运行并经甲方验收合格后【</w:t>
            </w:r>
            <w:r>
              <w:rPr>
                <w:rFonts w:hint="eastAsia" w:ascii="仿宋" w:hAnsi="仿宋" w:eastAsia="仿宋" w:cs="仿宋"/>
                <w:kern w:val="0"/>
                <w:szCs w:val="21"/>
                <w:lang w:val="en-US" w:eastAsia="zh-CN"/>
              </w:rPr>
              <w:t>30</w:t>
            </w:r>
            <w:r>
              <w:rPr>
                <w:rFonts w:hint="eastAsia" w:ascii="仿宋" w:hAnsi="仿宋" w:eastAsia="仿宋" w:cs="仿宋"/>
                <w:kern w:val="0"/>
                <w:szCs w:val="21"/>
              </w:rPr>
              <w:t>】工作日内，甲方支付【10%】的货款。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3" w:hRule="atLeast"/>
          <w:jc w:val="center"/>
        </w:trPr>
        <w:tc>
          <w:tcPr>
            <w:tcW w:w="959" w:type="dxa"/>
            <w:vMerge w:val="restart"/>
            <w:tcBorders>
              <w:left w:val="double" w:color="auto" w:sz="4" w:space="0"/>
            </w:tcBorders>
            <w:vAlign w:val="center"/>
          </w:tcPr>
          <w:p>
            <w:pPr>
              <w:widowControl/>
              <w:spacing w:line="360" w:lineRule="auto"/>
              <w:jc w:val="center"/>
              <w:rPr>
                <w:rFonts w:ascii="仿宋" w:hAnsi="仿宋" w:eastAsia="仿宋" w:cs="仿宋"/>
                <w:kern w:val="0"/>
                <w:szCs w:val="21"/>
              </w:rPr>
            </w:pPr>
            <w:r>
              <w:rPr>
                <w:rFonts w:hint="eastAsia" w:ascii="仿宋" w:hAnsi="仿宋" w:eastAsia="仿宋" w:cs="仿宋"/>
                <w:kern w:val="0"/>
                <w:szCs w:val="21"/>
              </w:rPr>
              <w:t>3</w:t>
            </w:r>
          </w:p>
        </w:tc>
        <w:tc>
          <w:tcPr>
            <w:tcW w:w="1984" w:type="dxa"/>
            <w:vMerge w:val="restart"/>
            <w:vAlign w:val="center"/>
          </w:tcPr>
          <w:p>
            <w:pPr>
              <w:widowControl/>
              <w:spacing w:line="360" w:lineRule="auto"/>
              <w:jc w:val="center"/>
              <w:rPr>
                <w:rFonts w:ascii="仿宋" w:hAnsi="仿宋" w:eastAsia="仿宋" w:cs="仿宋"/>
                <w:kern w:val="0"/>
                <w:szCs w:val="21"/>
              </w:rPr>
            </w:pPr>
            <w:r>
              <w:rPr>
                <w:rFonts w:hint="eastAsia" w:ascii="仿宋" w:hAnsi="仿宋" w:eastAsia="仿宋" w:cs="仿宋"/>
                <w:bCs/>
                <w:kern w:val="0"/>
                <w:szCs w:val="21"/>
              </w:rPr>
              <w:t>售后服务要求</w:t>
            </w:r>
          </w:p>
        </w:tc>
        <w:tc>
          <w:tcPr>
            <w:tcW w:w="7371" w:type="dxa"/>
            <w:tcBorders>
              <w:right w:val="double" w:color="auto" w:sz="4" w:space="0"/>
            </w:tcBorders>
            <w:vAlign w:val="center"/>
          </w:tcPr>
          <w:p>
            <w:pPr>
              <w:widowControl/>
              <w:spacing w:line="360" w:lineRule="auto"/>
              <w:rPr>
                <w:rFonts w:ascii="仿宋" w:hAnsi="仿宋" w:eastAsia="仿宋" w:cs="仿宋"/>
                <w:kern w:val="0"/>
                <w:szCs w:val="21"/>
              </w:rPr>
            </w:pPr>
            <w:r>
              <w:rPr>
                <w:rFonts w:hint="eastAsia" w:ascii="仿宋" w:hAnsi="仿宋" w:eastAsia="仿宋" w:cs="仿宋"/>
                <w:kern w:val="0"/>
                <w:szCs w:val="21"/>
              </w:rPr>
              <w:t>3.1、</w:t>
            </w:r>
            <w:r>
              <w:rPr>
                <w:rFonts w:hint="eastAsia" w:ascii="仿宋" w:hAnsi="仿宋" w:eastAsia="仿宋" w:cs="仿宋"/>
                <w:b/>
                <w:kern w:val="0"/>
                <w:szCs w:val="21"/>
              </w:rPr>
              <w:t>质量保证期内售后服务要求：</w:t>
            </w:r>
          </w:p>
          <w:p>
            <w:pPr>
              <w:widowControl/>
              <w:spacing w:line="360" w:lineRule="auto"/>
              <w:ind w:left="315" w:hanging="315" w:hangingChars="150"/>
              <w:rPr>
                <w:rFonts w:ascii="仿宋" w:hAnsi="仿宋" w:eastAsia="仿宋" w:cs="仿宋"/>
                <w:kern w:val="0"/>
                <w:szCs w:val="21"/>
              </w:rPr>
            </w:pPr>
            <w:r>
              <w:rPr>
                <w:rFonts w:hint="eastAsia" w:ascii="仿宋" w:hAnsi="仿宋" w:eastAsia="仿宋" w:cs="仿宋"/>
                <w:kern w:val="24"/>
                <w:szCs w:val="21"/>
                <w:highlight w:val="yellow"/>
              </w:rPr>
              <w:t>★</w:t>
            </w:r>
            <w:r>
              <w:rPr>
                <w:rFonts w:hint="eastAsia" w:ascii="仿宋" w:hAnsi="仿宋" w:eastAsia="仿宋" w:cs="仿宋"/>
                <w:b/>
                <w:kern w:val="0"/>
                <w:szCs w:val="21"/>
                <w:highlight w:val="yellow"/>
              </w:rPr>
              <w:t>1）质量保证期：所有货物（含软件及硬件）免费原厂保修期5年，时间自最终验收合格并交付使用之日起计算</w:t>
            </w:r>
            <w:r>
              <w:rPr>
                <w:rFonts w:hint="eastAsia" w:ascii="仿宋" w:hAnsi="仿宋" w:eastAsia="仿宋" w:cs="仿宋"/>
                <w:kern w:val="0"/>
                <w:szCs w:val="21"/>
              </w:rPr>
              <w:t>（若国家和/或制造商对本项目所涉及货物的质量保证期的规定高于本项目的要求，应按国家和/或制造商的规定执行）。质量保证期内免费上门保修，零配件免费更换。在保修期内，一旦发生质量问题，投标人保证在接到通知24小时内赶到现场进行修理或更换。</w:t>
            </w:r>
          </w:p>
          <w:p>
            <w:pPr>
              <w:widowControl/>
              <w:spacing w:line="360" w:lineRule="auto"/>
              <w:rPr>
                <w:rFonts w:ascii="仿宋" w:hAnsi="仿宋" w:eastAsia="仿宋" w:cs="仿宋"/>
                <w:kern w:val="0"/>
                <w:szCs w:val="21"/>
              </w:rPr>
            </w:pPr>
            <w:r>
              <w:rPr>
                <w:rFonts w:hint="eastAsia" w:ascii="仿宋" w:hAnsi="仿宋" w:eastAsia="仿宋" w:cs="仿宋"/>
                <w:kern w:val="0"/>
                <w:szCs w:val="21"/>
              </w:rPr>
              <w:t>2）投标人应按其投标文件中的承诺，进行其他售后服务工作:</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A、负责设备、软件的安装、调试，使整个系统达到技术要求。</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B、培训：免费培训实验人员学会使用所有设备和软件的操作、配置与维护。</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C、投标人应具有提供日常维护和技术支持的能力；投标人必须广东省内设有常驻售后服务机构，能提供正常的技术、备品条件服务等。</w:t>
            </w:r>
          </w:p>
          <w:p>
            <w:pPr>
              <w:widowControl/>
              <w:spacing w:line="360" w:lineRule="auto"/>
              <w:ind w:firstLine="317" w:firstLineChars="151"/>
              <w:rPr>
                <w:rFonts w:ascii="仿宋" w:hAnsi="仿宋" w:eastAsia="仿宋" w:cs="仿宋"/>
                <w:kern w:val="0"/>
                <w:szCs w:val="21"/>
              </w:rPr>
            </w:pPr>
            <w:r>
              <w:rPr>
                <w:rFonts w:hint="eastAsia" w:ascii="仿宋" w:hAnsi="仿宋" w:eastAsia="仿宋" w:cs="仿宋"/>
                <w:kern w:val="0"/>
                <w:szCs w:val="21"/>
              </w:rPr>
              <w:t>D、投标人履约、对用户培训和售后服务无不良记录。</w:t>
            </w:r>
          </w:p>
          <w:p>
            <w:pPr>
              <w:widowControl/>
              <w:spacing w:line="360" w:lineRule="auto"/>
              <w:ind w:left="422" w:hanging="422" w:hangingChars="200"/>
              <w:rPr>
                <w:rFonts w:ascii="仿宋" w:hAnsi="仿宋" w:eastAsia="仿宋" w:cs="仿宋"/>
                <w:kern w:val="0"/>
                <w:szCs w:val="21"/>
              </w:rPr>
            </w:pPr>
            <w:r>
              <w:rPr>
                <w:rFonts w:hint="eastAsia" w:ascii="仿宋" w:hAnsi="仿宋" w:eastAsia="仿宋" w:cs="仿宋"/>
                <w:b/>
                <w:bCs/>
                <w:kern w:val="24"/>
                <w:szCs w:val="21"/>
                <w:highlight w:val="yellow"/>
              </w:rPr>
              <w:t>★</w:t>
            </w:r>
            <w:r>
              <w:rPr>
                <w:rFonts w:hint="eastAsia" w:ascii="仿宋" w:hAnsi="仿宋" w:eastAsia="仿宋" w:cs="仿宋"/>
                <w:b/>
                <w:bCs/>
                <w:kern w:val="0"/>
                <w:szCs w:val="21"/>
                <w:highlight w:val="yellow"/>
              </w:rPr>
              <w:t>3）考虑到甲方的特殊性，乙方同意给予甲方所购仪器免费搬迁</w:t>
            </w:r>
            <w:r>
              <w:rPr>
                <w:rFonts w:hint="eastAsia" w:ascii="仿宋" w:hAnsi="仿宋" w:eastAsia="仿宋" w:cs="仿宋"/>
                <w:b/>
                <w:bCs/>
                <w:kern w:val="0"/>
                <w:szCs w:val="21"/>
                <w:highlight w:val="yellow"/>
                <w:lang w:val="en-US" w:eastAsia="zh-CN"/>
              </w:rPr>
              <w:t>1</w:t>
            </w:r>
            <w:r>
              <w:rPr>
                <w:rFonts w:hint="eastAsia" w:ascii="仿宋" w:hAnsi="仿宋" w:eastAsia="仿宋" w:cs="仿宋"/>
                <w:b/>
                <w:bCs/>
                <w:kern w:val="0"/>
                <w:szCs w:val="21"/>
                <w:highlight w:val="yellow"/>
              </w:rPr>
              <w:t>次，由此发生的仪器的拆装、调试、培训服务均由乙方免费提供。</w:t>
            </w:r>
            <w:r>
              <w:rPr>
                <w:rFonts w:hint="eastAsia" w:ascii="仿宋" w:hAnsi="仿宋" w:eastAsia="仿宋" w:cs="仿宋"/>
                <w:b/>
                <w:bCs/>
                <w:kern w:val="0"/>
                <w:szCs w:val="21"/>
              </w:rPr>
              <w:t>【</w:t>
            </w:r>
            <w:r>
              <w:rPr>
                <w:rFonts w:hint="eastAsia" w:ascii="仿宋" w:hAnsi="仿宋" w:eastAsia="仿宋" w:cs="仿宋"/>
                <w:b/>
                <w:bCs/>
                <w:color w:val="FF0000"/>
                <w:kern w:val="0"/>
                <w:szCs w:val="21"/>
              </w:rPr>
              <w:t>提供承诺函并加盖投标人公章，格式自拟</w:t>
            </w:r>
            <w:r>
              <w:rPr>
                <w:rFonts w:hint="eastAsia" w:ascii="仿宋" w:hAnsi="仿宋" w:eastAsia="仿宋" w:cs="仿宋"/>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59" w:type="dxa"/>
            <w:vMerge w:val="continue"/>
            <w:tcBorders>
              <w:left w:val="double" w:color="auto" w:sz="4" w:space="0"/>
            </w:tcBorders>
            <w:vAlign w:val="center"/>
          </w:tcPr>
          <w:p>
            <w:pPr>
              <w:widowControl/>
              <w:spacing w:line="360" w:lineRule="auto"/>
              <w:jc w:val="center"/>
              <w:rPr>
                <w:rFonts w:hint="eastAsia" w:ascii="仿宋" w:hAnsi="仿宋" w:eastAsia="仿宋" w:cs="仿宋"/>
                <w:kern w:val="0"/>
                <w:szCs w:val="21"/>
              </w:rPr>
            </w:pPr>
          </w:p>
        </w:tc>
        <w:tc>
          <w:tcPr>
            <w:tcW w:w="1984" w:type="dxa"/>
            <w:vMerge w:val="continue"/>
            <w:vAlign w:val="center"/>
          </w:tcPr>
          <w:p>
            <w:pPr>
              <w:widowControl/>
              <w:spacing w:line="360" w:lineRule="auto"/>
              <w:jc w:val="center"/>
              <w:rPr>
                <w:rFonts w:hint="eastAsia" w:ascii="仿宋" w:hAnsi="仿宋" w:eastAsia="仿宋" w:cs="仿宋"/>
                <w:bCs/>
                <w:kern w:val="0"/>
                <w:szCs w:val="21"/>
              </w:rPr>
            </w:pPr>
          </w:p>
        </w:tc>
        <w:tc>
          <w:tcPr>
            <w:tcW w:w="7371" w:type="dxa"/>
            <w:tcBorders>
              <w:right w:val="double" w:color="auto" w:sz="4" w:space="0"/>
            </w:tcBorders>
            <w:vAlign w:val="center"/>
          </w:tcPr>
          <w:p>
            <w:pPr>
              <w:widowControl/>
              <w:spacing w:line="360" w:lineRule="auto"/>
              <w:rPr>
                <w:rFonts w:ascii="仿宋" w:hAnsi="仿宋" w:eastAsia="仿宋" w:cs="仿宋"/>
                <w:b/>
                <w:bCs/>
                <w:kern w:val="0"/>
                <w:szCs w:val="21"/>
              </w:rPr>
            </w:pPr>
            <w:r>
              <w:rPr>
                <w:rFonts w:hint="eastAsia" w:ascii="仿宋" w:hAnsi="仿宋" w:eastAsia="仿宋" w:cs="仿宋"/>
                <w:b/>
                <w:bCs/>
                <w:kern w:val="0"/>
                <w:szCs w:val="21"/>
              </w:rPr>
              <w:t>3.</w:t>
            </w:r>
            <w:r>
              <w:rPr>
                <w:rFonts w:hint="eastAsia" w:ascii="仿宋" w:hAnsi="仿宋" w:eastAsia="仿宋" w:cs="仿宋"/>
                <w:b/>
                <w:bCs/>
                <w:kern w:val="0"/>
                <w:szCs w:val="21"/>
                <w:lang w:val="en-US" w:eastAsia="zh-CN"/>
              </w:rPr>
              <w:t>2</w:t>
            </w:r>
            <w:r>
              <w:rPr>
                <w:rFonts w:hint="eastAsia" w:ascii="仿宋" w:hAnsi="仿宋" w:eastAsia="仿宋" w:cs="仿宋"/>
                <w:b/>
                <w:bCs/>
                <w:kern w:val="0"/>
                <w:szCs w:val="21"/>
              </w:rPr>
              <w:t>、质保内容：</w:t>
            </w:r>
          </w:p>
          <w:p>
            <w:pPr>
              <w:widowControl/>
              <w:spacing w:line="360" w:lineRule="auto"/>
              <w:ind w:left="420" w:hanging="420" w:hangingChars="200"/>
              <w:rPr>
                <w:rFonts w:hint="eastAsia" w:ascii="仿宋" w:hAnsi="仿宋" w:eastAsia="仿宋" w:cs="仿宋"/>
                <w:kern w:val="0"/>
                <w:szCs w:val="21"/>
                <w:lang w:eastAsia="zh-CN"/>
              </w:rPr>
            </w:pPr>
            <w:r>
              <w:rPr>
                <w:rFonts w:hint="eastAsia" w:ascii="仿宋" w:hAnsi="仿宋" w:eastAsia="仿宋" w:cs="仿宋"/>
                <w:kern w:val="0"/>
                <w:szCs w:val="21"/>
              </w:rPr>
              <w:t>1）硬件维修与更换：要求原厂7×24小时服务，当设备发生故障或损坏而影响系统正常运行，要求30分钟之内响应，定位故障部件后免费上门并更换故障硬件</w:t>
            </w:r>
            <w:r>
              <w:rPr>
                <w:rFonts w:hint="eastAsia" w:ascii="仿宋" w:hAnsi="仿宋" w:eastAsia="仿宋" w:cs="仿宋"/>
                <w:kern w:val="0"/>
                <w:szCs w:val="21"/>
                <w:lang w:eastAsia="zh-CN"/>
              </w:rPr>
              <w:t>。</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软件维护及升级：要求原厂7×24小时服务，在合同规定的技术服务支持期内，用户遇到集群管理软件、操作系统、常用应用软件等问题，可通过远程（电话、网络）处理方式为主，在远程支持无法解决的情况下需安排工程师上门服务；提供质保期内的软件更新、迭代版本，及免费升级服务。</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3）制造厂家需免费提供技术支持热线电话；免费提供email技术支持，并且在24小时内回复。</w:t>
            </w:r>
          </w:p>
          <w:p>
            <w:pPr>
              <w:widowControl/>
              <w:spacing w:line="360" w:lineRule="auto"/>
              <w:ind w:left="420" w:hanging="420" w:hangingChars="200"/>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4）服务保障：制造厂商须在深圳市设立本地化服务机构，在用户现场建立备品备件库（备件库包括CPU、内存、硬盘，备件数量为投标总数量的1%,向上进位取整，即：1.1件需提供2件），需提供本地服务机构的营业执照或其他证明文件复印件加盖投标人公章； 合同签订时要求提供生产厂家盖章的售后服务承诺函（进口设备适用）。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59" w:type="dxa"/>
            <w:vMerge w:val="continue"/>
            <w:tcBorders>
              <w:left w:val="double" w:color="auto" w:sz="4" w:space="0"/>
            </w:tcBorders>
            <w:vAlign w:val="center"/>
          </w:tcPr>
          <w:p>
            <w:pPr>
              <w:widowControl/>
              <w:spacing w:line="360" w:lineRule="auto"/>
              <w:jc w:val="center"/>
              <w:rPr>
                <w:rFonts w:ascii="仿宋" w:hAnsi="仿宋" w:eastAsia="仿宋" w:cs="仿宋"/>
                <w:kern w:val="0"/>
                <w:szCs w:val="21"/>
              </w:rPr>
            </w:pPr>
          </w:p>
        </w:tc>
        <w:tc>
          <w:tcPr>
            <w:tcW w:w="1984" w:type="dxa"/>
            <w:vMerge w:val="continue"/>
          </w:tcPr>
          <w:p>
            <w:pPr>
              <w:widowControl/>
              <w:spacing w:line="360" w:lineRule="auto"/>
              <w:jc w:val="center"/>
              <w:rPr>
                <w:rFonts w:ascii="仿宋" w:hAnsi="仿宋" w:eastAsia="仿宋" w:cs="仿宋"/>
                <w:bCs/>
                <w:kern w:val="0"/>
                <w:szCs w:val="21"/>
              </w:rPr>
            </w:pPr>
          </w:p>
        </w:tc>
        <w:tc>
          <w:tcPr>
            <w:tcW w:w="7371" w:type="dxa"/>
            <w:tcBorders>
              <w:right w:val="double" w:color="auto" w:sz="4" w:space="0"/>
            </w:tcBorders>
            <w:vAlign w:val="center"/>
          </w:tcPr>
          <w:p>
            <w:pPr>
              <w:widowControl/>
              <w:spacing w:line="360" w:lineRule="auto"/>
              <w:rPr>
                <w:rFonts w:ascii="仿宋" w:hAnsi="仿宋" w:eastAsia="仿宋" w:cs="仿宋"/>
                <w:b/>
                <w:bCs/>
                <w:kern w:val="0"/>
                <w:szCs w:val="21"/>
              </w:rPr>
            </w:pPr>
            <w:r>
              <w:rPr>
                <w:rFonts w:hint="eastAsia" w:ascii="仿宋" w:hAnsi="仿宋" w:eastAsia="仿宋" w:cs="仿宋"/>
                <w:b/>
                <w:bCs/>
                <w:kern w:val="0"/>
                <w:szCs w:val="21"/>
              </w:rPr>
              <w:t>3.</w:t>
            </w:r>
            <w:r>
              <w:rPr>
                <w:rFonts w:hint="eastAsia" w:ascii="仿宋" w:hAnsi="仿宋" w:eastAsia="仿宋" w:cs="仿宋"/>
                <w:b/>
                <w:bCs/>
                <w:kern w:val="0"/>
                <w:szCs w:val="21"/>
                <w:lang w:val="en-US" w:eastAsia="zh-CN"/>
              </w:rPr>
              <w:t>3</w:t>
            </w:r>
            <w:r>
              <w:rPr>
                <w:rFonts w:hint="eastAsia" w:ascii="仿宋" w:hAnsi="仿宋" w:eastAsia="仿宋" w:cs="仿宋"/>
                <w:b/>
                <w:bCs/>
                <w:kern w:val="0"/>
                <w:szCs w:val="21"/>
              </w:rPr>
              <w:t>、维修响应及故障解决时间：</w:t>
            </w:r>
          </w:p>
          <w:p>
            <w:pPr>
              <w:widowControl/>
              <w:spacing w:line="360" w:lineRule="auto"/>
              <w:ind w:left="315" w:hanging="315" w:hangingChars="150"/>
              <w:rPr>
                <w:rFonts w:ascii="仿宋" w:hAnsi="仿宋" w:eastAsia="仿宋" w:cs="仿宋"/>
                <w:kern w:val="0"/>
                <w:szCs w:val="21"/>
              </w:rPr>
            </w:pPr>
            <w:r>
              <w:rPr>
                <w:rFonts w:hint="eastAsia" w:ascii="仿宋" w:hAnsi="仿宋" w:eastAsia="仿宋" w:cs="仿宋"/>
                <w:kern w:val="0"/>
                <w:szCs w:val="21"/>
              </w:rPr>
              <w:t>1）远程服务响应时间及时效：一旦发生质量问题，可通过微信、热线、邮件保修，制造厂商需在30分钟内响应。</w:t>
            </w:r>
          </w:p>
          <w:p>
            <w:pPr>
              <w:widowControl/>
              <w:spacing w:line="360" w:lineRule="auto"/>
              <w:ind w:left="420" w:hanging="420" w:hangingChars="200"/>
              <w:rPr>
                <w:rFonts w:hint="eastAsia" w:ascii="仿宋" w:hAnsi="仿宋" w:eastAsia="仿宋" w:cs="仿宋"/>
                <w:kern w:val="0"/>
                <w:szCs w:val="21"/>
                <w:lang w:eastAsia="zh-CN"/>
              </w:rPr>
            </w:pPr>
            <w:r>
              <w:rPr>
                <w:rFonts w:hint="eastAsia" w:ascii="仿宋" w:hAnsi="仿宋" w:eastAsia="仿宋" w:cs="仿宋"/>
                <w:kern w:val="0"/>
                <w:szCs w:val="21"/>
              </w:rPr>
              <w:t>2）现场服务响应时间及时效：在保修期内，一旦发生质量问题，在远程支持无法解决的情况下，制造厂商要在接到通知后4小时内到达现场进行调试、维修或更换，响应级别为7×24小时</w:t>
            </w:r>
            <w:r>
              <w:rPr>
                <w:rFonts w:hint="eastAsia" w:ascii="仿宋" w:hAnsi="仿宋" w:eastAsia="仿宋" w:cs="仿宋"/>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59" w:type="dxa"/>
            <w:vMerge w:val="restart"/>
            <w:tcBorders>
              <w:left w:val="double" w:color="auto" w:sz="4" w:space="0"/>
            </w:tcBorders>
            <w:vAlign w:val="center"/>
          </w:tcPr>
          <w:p>
            <w:pPr>
              <w:widowControl/>
              <w:spacing w:line="36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1984" w:type="dxa"/>
            <w:vMerge w:val="restart"/>
            <w:vAlign w:val="center"/>
          </w:tcPr>
          <w:p>
            <w:pPr>
              <w:widowControl/>
              <w:spacing w:line="360" w:lineRule="auto"/>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培训</w:t>
            </w:r>
          </w:p>
        </w:tc>
        <w:tc>
          <w:tcPr>
            <w:tcW w:w="7371" w:type="dxa"/>
            <w:tcBorders>
              <w:right w:val="double" w:color="auto" w:sz="4" w:space="0"/>
            </w:tcBorders>
            <w:vAlign w:val="center"/>
          </w:tcPr>
          <w:p>
            <w:pPr>
              <w:widowControl/>
              <w:spacing w:line="360" w:lineRule="auto"/>
              <w:ind w:left="420" w:hanging="422" w:hangingChars="200"/>
              <w:rPr>
                <w:rFonts w:hint="eastAsia" w:ascii="仿宋" w:hAnsi="仿宋" w:eastAsia="仿宋" w:cs="仿宋"/>
                <w:b/>
                <w:bCs/>
                <w:kern w:val="0"/>
                <w:szCs w:val="21"/>
                <w:lang w:val="en-US" w:eastAsia="zh-CN"/>
              </w:rPr>
            </w:pPr>
            <w:r>
              <w:rPr>
                <w:rFonts w:hint="eastAsia" w:ascii="仿宋" w:hAnsi="仿宋" w:eastAsia="仿宋" w:cs="仿宋"/>
                <w:b/>
                <w:bCs/>
                <w:kern w:val="0"/>
                <w:szCs w:val="21"/>
                <w:lang w:val="en-US" w:eastAsia="zh-CN"/>
              </w:rPr>
              <w:t>4.1、培训方式：</w:t>
            </w:r>
          </w:p>
          <w:p>
            <w:pPr>
              <w:widowControl/>
              <w:spacing w:line="360" w:lineRule="auto"/>
              <w:ind w:left="0" w:leftChars="0" w:firstLine="0" w:firstLineChars="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为了保证较好的培训效果，要求采用理论和实践相结合的方式，具体形式包括用集中的基础理论培训和现场的实践技能培训两种，并提供中文的培训教材。详细如下：</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集中授课培训：采用课堂授课方式，通过集中授课培训，使用户初步掌握服务器的架构、原理，服务器平台技术、服务器数据安全维护、集群管理软件、集群应用特征分析、集群编译环境等内容，以及常见故障的判断分析。</w:t>
            </w:r>
          </w:p>
          <w:p>
            <w:pPr>
              <w:widowControl/>
              <w:spacing w:line="360" w:lineRule="auto"/>
              <w:ind w:left="420" w:hanging="420" w:hangingChars="200"/>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2）实物操作培训：通过服务器实物的演示，让用户对服务器有一个直观的认识，并能够对集群设备进行一般的操作、维护和常见故障的判断分析。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959" w:type="dxa"/>
            <w:vMerge w:val="continue"/>
            <w:tcBorders>
              <w:left w:val="double" w:color="auto" w:sz="4" w:space="0"/>
            </w:tcBorders>
            <w:vAlign w:val="center"/>
          </w:tcPr>
          <w:p>
            <w:pPr>
              <w:widowControl/>
              <w:spacing w:line="360" w:lineRule="auto"/>
              <w:jc w:val="center"/>
              <w:rPr>
                <w:rFonts w:hint="eastAsia" w:ascii="仿宋" w:hAnsi="仿宋" w:eastAsia="仿宋" w:cs="仿宋"/>
                <w:kern w:val="0"/>
                <w:szCs w:val="21"/>
                <w:lang w:val="en-US" w:eastAsia="zh-CN"/>
              </w:rPr>
            </w:pPr>
          </w:p>
        </w:tc>
        <w:tc>
          <w:tcPr>
            <w:tcW w:w="1984" w:type="dxa"/>
            <w:vMerge w:val="continue"/>
          </w:tcPr>
          <w:p>
            <w:pPr>
              <w:widowControl/>
              <w:spacing w:line="360" w:lineRule="auto"/>
              <w:jc w:val="center"/>
              <w:rPr>
                <w:rFonts w:hint="eastAsia" w:ascii="仿宋" w:hAnsi="仿宋" w:eastAsia="仿宋" w:cs="仿宋"/>
                <w:bCs/>
                <w:kern w:val="0"/>
                <w:szCs w:val="21"/>
                <w:lang w:val="en-US" w:eastAsia="zh-CN"/>
              </w:rPr>
            </w:pPr>
          </w:p>
        </w:tc>
        <w:tc>
          <w:tcPr>
            <w:tcW w:w="7371" w:type="dxa"/>
            <w:tcBorders>
              <w:bottom w:val="double" w:color="auto" w:sz="4" w:space="0"/>
              <w:right w:val="double" w:color="auto" w:sz="4" w:space="0"/>
            </w:tcBorders>
            <w:vAlign w:val="center"/>
          </w:tcPr>
          <w:p>
            <w:pPr>
              <w:widowControl/>
              <w:spacing w:line="360" w:lineRule="auto"/>
              <w:ind w:left="420" w:hanging="422" w:hangingChars="200"/>
              <w:rPr>
                <w:rFonts w:hint="eastAsia" w:ascii="仿宋" w:hAnsi="仿宋" w:eastAsia="仿宋" w:cs="仿宋"/>
                <w:b/>
                <w:bCs/>
                <w:kern w:val="0"/>
                <w:szCs w:val="21"/>
                <w:lang w:val="en-US" w:eastAsia="zh-CN"/>
              </w:rPr>
            </w:pPr>
            <w:r>
              <w:rPr>
                <w:rFonts w:hint="eastAsia" w:ascii="仿宋" w:hAnsi="仿宋" w:eastAsia="仿宋" w:cs="仿宋"/>
                <w:b/>
                <w:bCs/>
                <w:kern w:val="0"/>
                <w:szCs w:val="21"/>
                <w:lang w:val="en-US" w:eastAsia="zh-CN"/>
              </w:rPr>
              <w:t>4.2、培训内容：</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1）集群系统基础及运维管理：集群系统的组成和工作原理，集群系统安装、调试、配置，并行环境及数学库安装、调试、配置，常见的问题分析及故障判断。</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2）服务器硬件知识：服务器基础知识、服务器基本故障判断、处理。</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3）MPI并行程序的编译运行：MPI简介、程序的编译运行。</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4）操作系统：Linux操作系统介绍，Linux操作系统调优。</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5）程序编译优化：Intel编译、调试软件，Intel C++/Fortran 编译器，Intel MKL数学核心库GCC编译器。</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6）并行环境开发：MPICH：千兆消息传递并行库，MVAPICH2：万兆/IB消息传递并行库，OpenMPI：高性能消息传递库。</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7）高性能优化工具库：Vtune软件简介及性能分析。</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8）GPU高性能计算编程：GPU技术及CUDA介绍、 GPU硬件及软件架构、CUDA编程模型、CUDA优化技术与示例精讲、多GPU卡编程、GPU集群计算及案例分析。</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9）应用特征分析：掌握应用特征分析软件的配置及操作。</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10）IB交换机培训：1、交换机配置；2、交换机网络管理；3、交换机MPI优化。</w:t>
            </w:r>
          </w:p>
          <w:p>
            <w:pPr>
              <w:widowControl/>
              <w:spacing w:line="360" w:lineRule="auto"/>
              <w:ind w:left="420" w:hanging="420" w:hanging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11）培训地点及时间需由用户确认。</w:t>
            </w:r>
          </w:p>
          <w:p>
            <w:pPr>
              <w:widowControl/>
              <w:spacing w:line="360" w:lineRule="auto"/>
              <w:ind w:left="420" w:hanging="420" w:hangingChars="200"/>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12）每年培训不少于一次，每次不少于10个学时。</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2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：深圳湾实验室计算平台扩容项目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：SZZZ2021-QA01</w:t>
      </w:r>
      <w:r>
        <w:rPr>
          <w:rFonts w:hint="eastAsia" w:ascii="仿宋" w:hAnsi="仿宋" w:eastAsia="仿宋"/>
          <w:u w:val="single"/>
          <w:lang w:val="en-US" w:eastAsia="zh-CN"/>
        </w:rPr>
        <w:t>67</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2．我方提交的投标文件为：投标书正本一份，副本四份，电子档文件（正文彩色扫描件PDF格式）一份。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firstLine="850" w:firstLineChars="405"/>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rPr>
        <w:t>5、非联合体投标，不违规分包或转包的承诺函【原件，格式自拟】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6</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7、</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mc:AlternateContent>
          <mc:Choice Requires="wps">
            <w:drawing>
              <wp:anchor distT="0" distB="0" distL="114300" distR="114300" simplePos="0" relativeHeight="251661312" behindDoc="0" locked="0" layoutInCell="1" allowOverlap="1">
                <wp:simplePos x="0" y="0"/>
                <wp:positionH relativeFrom="column">
                  <wp:posOffset>2840355</wp:posOffset>
                </wp:positionH>
                <wp:positionV relativeFrom="paragraph">
                  <wp:posOffset>136525</wp:posOffset>
                </wp:positionV>
                <wp:extent cx="2705100" cy="1981200"/>
                <wp:effectExtent l="11430" t="12700" r="7620" b="6350"/>
                <wp:wrapNone/>
                <wp:docPr id="46" name="Rectangle 5"/>
                <wp:cNvGraphicFramePr/>
                <a:graphic xmlns:a="http://schemas.openxmlformats.org/drawingml/2006/main">
                  <a:graphicData uri="http://schemas.microsoft.com/office/word/2010/wordprocessingShape">
                    <wps:wsp>
                      <wps:cNvSpPr>
                        <a:spLocks noChangeArrowheads="1"/>
                      </wps:cNvSpPr>
                      <wps:spPr bwMode="auto">
                        <a:xfrm>
                          <a:off x="0" y="0"/>
                          <a:ext cx="2705100" cy="1981200"/>
                        </a:xfrm>
                        <a:prstGeom prst="rect">
                          <a:avLst/>
                        </a:prstGeom>
                        <a:solidFill>
                          <a:srgbClr val="FFFFFF"/>
                        </a:solidFill>
                        <a:ln w="9525">
                          <a:solidFill>
                            <a:srgbClr val="000000"/>
                          </a:solidFill>
                          <a:miter lim="800000"/>
                        </a:ln>
                      </wps:spPr>
                      <wps:txb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23.65pt;margin-top:10.75pt;height:156pt;width:213pt;z-index:251661312;mso-width-relative:page;mso-height-relative:page;" fillcolor="#FFFFFF" filled="t" stroked="t" coordsize="21600,21600" o:gfxdata="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3E9Db2QAAAAoBAAAPAAAAAAAAAAEAIAAAACIAAABkcnMvZG93bnJldi54bWxQ&#10;SwECFAAUAAAACACHTuJATnZRdi8CAAB/BAAADgAAAAAAAAABACAAAAAoAQAAZHJzL2Uyb0RvYy54&#10;bWxQSwUGAAAAAAYABgBZAQAAyQUAAAAA&#10;">
                <v:fill on="t" focussize="0,0"/>
                <v:stroke color="#000000" miterlimit="8" joinstyle="miter"/>
                <v:imagedata o:title=""/>
                <o:lock v:ext="edit" aspectratio="f"/>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mc:Fallback>
        </mc:AlternateContent>
      </w:r>
      <w:r>
        <w:rPr>
          <w:rFonts w:ascii="宋体"/>
          <w:b/>
          <w:bCs/>
        </w:rPr>
        <mc:AlternateContent>
          <mc:Choice Requires="wps">
            <w:drawing>
              <wp:anchor distT="0" distB="0" distL="114300" distR="114300" simplePos="0" relativeHeight="251660288" behindDoc="0" locked="0" layoutInCell="1" allowOverlap="1">
                <wp:simplePos x="0" y="0"/>
                <wp:positionH relativeFrom="column">
                  <wp:posOffset>-112395</wp:posOffset>
                </wp:positionH>
                <wp:positionV relativeFrom="paragraph">
                  <wp:posOffset>136525</wp:posOffset>
                </wp:positionV>
                <wp:extent cx="2705100" cy="1981200"/>
                <wp:effectExtent l="11430" t="12700" r="7620" b="6350"/>
                <wp:wrapNone/>
                <wp:docPr id="45" name="Rectangle 4"/>
                <wp:cNvGraphicFramePr/>
                <a:graphic xmlns:a="http://schemas.openxmlformats.org/drawingml/2006/main">
                  <a:graphicData uri="http://schemas.microsoft.com/office/word/2010/wordprocessingShape">
                    <wps:wsp>
                      <wps:cNvSpPr>
                        <a:spLocks noChangeArrowheads="1"/>
                      </wps:cNvSpPr>
                      <wps:spPr bwMode="auto">
                        <a:xfrm>
                          <a:off x="0" y="0"/>
                          <a:ext cx="2705100" cy="1981200"/>
                        </a:xfrm>
                        <a:prstGeom prst="rect">
                          <a:avLst/>
                        </a:prstGeom>
                        <a:solidFill>
                          <a:srgbClr val="FFFFFF"/>
                        </a:solidFill>
                        <a:ln w="9525">
                          <a:solidFill>
                            <a:srgbClr val="000000"/>
                          </a:solidFill>
                          <a:miter lim="800000"/>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8.85pt;margin-top:10.75pt;height:156pt;width:213pt;z-index:251660288;mso-width-relative:page;mso-height-relative:page;" fillcolor="#FFFFFF" filled="t" stroked="t" coordsize="21600,21600" o:gfxdata="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E3ErvZAAAACgEAAA8AAAAAAAAAAQAgAAAAIgAAAGRycy9kb3ducmV2LnhtbFBL&#10;AQIUABQAAAAIAIdO4kBeTIcNLgIAAH8EAAAOAAAAAAAAAAEAIAAAACgBAABkcnMvZTJvRG9jLnht&#10;bFBLBQYAAAAABgAGAFkBAADIBQAAAAA=&#10;">
                <v:fill on="t" focussize="0,0"/>
                <v:stroke color="#000000" miterlimit="8"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mc:AlternateContent>
          <mc:Choice Requires="wps">
            <w:drawing>
              <wp:anchor distT="0" distB="0" distL="114300" distR="114300" simplePos="0" relativeHeight="251662336" behindDoc="0" locked="0" layoutInCell="1" allowOverlap="1">
                <wp:simplePos x="0" y="0"/>
                <wp:positionH relativeFrom="column">
                  <wp:posOffset>-17145</wp:posOffset>
                </wp:positionH>
                <wp:positionV relativeFrom="paragraph">
                  <wp:posOffset>71120</wp:posOffset>
                </wp:positionV>
                <wp:extent cx="2619375" cy="1722755"/>
                <wp:effectExtent l="11430" t="13970" r="7620" b="6350"/>
                <wp:wrapNone/>
                <wp:docPr id="44" name="Rectangle 2"/>
                <wp:cNvGraphicFramePr/>
                <a:graphic xmlns:a="http://schemas.openxmlformats.org/drawingml/2006/main">
                  <a:graphicData uri="http://schemas.microsoft.com/office/word/2010/wordprocessingShape">
                    <wps:wsp>
                      <wps:cNvSpPr>
                        <a:spLocks noChangeArrowheads="1"/>
                      </wps:cNvSpPr>
                      <wps:spPr bwMode="auto">
                        <a:xfrm>
                          <a:off x="0" y="0"/>
                          <a:ext cx="2619375" cy="1722755"/>
                        </a:xfrm>
                        <a:prstGeom prst="rect">
                          <a:avLst/>
                        </a:prstGeom>
                        <a:solidFill>
                          <a:srgbClr val="FFFFFF"/>
                        </a:solidFill>
                        <a:ln w="9525">
                          <a:solidFill>
                            <a:srgbClr val="000000"/>
                          </a:solidFill>
                          <a:miter lim="800000"/>
                        </a:ln>
                      </wps:spPr>
                      <wps:txb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1.35pt;margin-top:5.6pt;height:135.65pt;width:206.25pt;z-index:251662336;mso-width-relative:page;mso-height-relative:page;" fillcolor="#FFFFFF" filled="t" stroked="t" coordsize="21600,21600" o:gfxdata="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x3kFbXAAAACQEAAA8AAAAAAAAAAQAgAAAAIgAAAGRycy9kb3ducmV2LnhtbFBL&#10;AQIUABQAAAAIAIdO4kDTR/tnMAIAAH8EAAAOAAAAAAAAAAEAIAAAACYBAABkcnMvZTJvRG9jLnht&#10;bFBLBQYAAAAABgAGAFkBAADIBQAAAAA=&#10;">
                <v:fill on="t" focussize="0,0"/>
                <v:stroke color="#000000" miterlimit="8" joinstyle="miter"/>
                <v:imagedata o:title=""/>
                <o:lock v:ext="edit" aspectratio="f"/>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mc:Fallback>
        </mc:AlternateContent>
      </w:r>
      <w:r>
        <w:rPr>
          <w:rFonts w:ascii="黑体" w:eastAsia="黑体"/>
        </w:rPr>
        <mc:AlternateContent>
          <mc:Choice Requires="wps">
            <w:drawing>
              <wp:anchor distT="0" distB="0" distL="114300" distR="114300" simplePos="0" relativeHeight="251663360" behindDoc="0" locked="0" layoutInCell="1" allowOverlap="1">
                <wp:simplePos x="0" y="0"/>
                <wp:positionH relativeFrom="column">
                  <wp:posOffset>2821305</wp:posOffset>
                </wp:positionH>
                <wp:positionV relativeFrom="paragraph">
                  <wp:posOffset>71120</wp:posOffset>
                </wp:positionV>
                <wp:extent cx="2533650" cy="1722755"/>
                <wp:effectExtent l="11430" t="13970" r="7620" b="6350"/>
                <wp:wrapNone/>
                <wp:docPr id="43" name="Rectangle 3"/>
                <wp:cNvGraphicFramePr/>
                <a:graphic xmlns:a="http://schemas.openxmlformats.org/drawingml/2006/main">
                  <a:graphicData uri="http://schemas.microsoft.com/office/word/2010/wordprocessingShape">
                    <wps:wsp>
                      <wps:cNvSpPr>
                        <a:spLocks noChangeArrowheads="1"/>
                      </wps:cNvSpPr>
                      <wps:spPr bwMode="auto">
                        <a:xfrm>
                          <a:off x="0" y="0"/>
                          <a:ext cx="2533650" cy="1722755"/>
                        </a:xfrm>
                        <a:prstGeom prst="rect">
                          <a:avLst/>
                        </a:prstGeom>
                        <a:solidFill>
                          <a:srgbClr val="FFFFFF"/>
                        </a:solidFill>
                        <a:ln w="9525">
                          <a:solidFill>
                            <a:srgbClr val="000000"/>
                          </a:solidFill>
                          <a:miter lim="800000"/>
                        </a:ln>
                      </wps:spPr>
                      <wps:txb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wps:txbx>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222.15pt;margin-top:5.6pt;height:135.65pt;width:199.5pt;z-index:251663360;mso-width-relative:page;mso-height-relative:page;" fillcolor="#FFFFFF" filled="t" stroked="t" coordsize="21600,21600" o:gfxdata="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07IdTXAAAACgEAAA8AAAAAAAAAAQAgAAAAIgAAAGRycy9kb3ducmV2LnhtbFBL&#10;AQIUABQAAAAIAIdO4kA01+A7MAIAAH8EAAAOAAAAAAAAAAEAIAAAACYBAABkcnMvZTJvRG9jLnht&#10;bFBLBQYAAAAABgAGAFkBAADIBQAAAAA=&#10;">
                <v:fill on="t" focussize="0,0"/>
                <v:stroke color="#000000" miterlimit="8" joinstyle="miter"/>
                <v:imagedata o:title=""/>
                <o:lock v:ext="edit" aspectratio="f"/>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mc:Fallback>
        </mc:AlternateConten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2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深圳湾实验室计算平台扩容项目</w:t>
      </w:r>
    </w:p>
    <w:p>
      <w:pPr>
        <w:spacing w:line="360" w:lineRule="auto"/>
        <w:jc w:val="left"/>
        <w:rPr>
          <w:rFonts w:hint="default" w:ascii="仿宋" w:hAnsi="仿宋" w:eastAsia="仿宋"/>
          <w:lang w:val="en-US" w:eastAsia="zh-CN"/>
        </w:rPr>
      </w:pPr>
      <w:r>
        <w:rPr>
          <w:rFonts w:hint="eastAsia" w:ascii="仿宋" w:hAnsi="仿宋" w:eastAsia="仿宋"/>
        </w:rPr>
        <w:t>项目编号：</w:t>
      </w:r>
      <w:r>
        <w:rPr>
          <w:rFonts w:hint="eastAsia" w:ascii="仿宋" w:hAnsi="仿宋" w:eastAsia="仿宋"/>
          <w:u w:val="single"/>
        </w:rPr>
        <w:t>SZZZ2021-QA01</w:t>
      </w:r>
      <w:r>
        <w:rPr>
          <w:rFonts w:hint="eastAsia" w:ascii="仿宋" w:hAnsi="仿宋" w:eastAsia="仿宋"/>
          <w:u w:val="single"/>
          <w:lang w:val="en-US" w:eastAsia="zh-CN"/>
        </w:rPr>
        <w:t>67</w:t>
      </w:r>
    </w:p>
    <w:tbl>
      <w:tblPr>
        <w:tblStyle w:val="20"/>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3113"/>
        <w:gridCol w:w="76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311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76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r>
              <w:rPr>
                <w:rFonts w:hint="eastAsia" w:ascii="仿宋" w:hAnsi="仿宋" w:eastAsia="仿宋" w:cs="仿宋"/>
              </w:rPr>
              <w:t>深圳湾实验室计算平台扩容项目</w:t>
            </w: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3113" w:type="dxa"/>
            <w:vAlign w:val="center"/>
          </w:tcPr>
          <w:p>
            <w:pPr>
              <w:spacing w:line="360" w:lineRule="auto"/>
              <w:rPr>
                <w:rFonts w:ascii="仿宋" w:hAnsi="仿宋" w:eastAsia="仿宋"/>
              </w:rPr>
            </w:pPr>
            <w:r>
              <w:rPr>
                <w:rFonts w:hint="eastAsia" w:ascii="仿宋" w:hAnsi="仿宋" w:eastAsia="仿宋"/>
              </w:rPr>
              <w:t>签订合同后</w:t>
            </w:r>
            <w:r>
              <w:rPr>
                <w:rFonts w:hint="eastAsia" w:ascii="仿宋" w:hAnsi="仿宋" w:eastAsia="仿宋"/>
                <w:u w:val="single"/>
              </w:rPr>
              <w:t xml:space="preserve">    </w:t>
            </w:r>
            <w:r>
              <w:rPr>
                <w:rFonts w:hint="eastAsia" w:ascii="仿宋" w:hAnsi="仿宋" w:eastAsia="仿宋"/>
              </w:rPr>
              <w:t>天（日历日）内</w:t>
            </w:r>
          </w:p>
        </w:tc>
        <w:tc>
          <w:tcPr>
            <w:tcW w:w="762" w:type="dxa"/>
            <w:vAlign w:val="center"/>
          </w:tcPr>
          <w:p>
            <w:pPr>
              <w:spacing w:line="360" w:lineRule="auto"/>
              <w:rPr>
                <w:rFonts w:ascii="仿宋" w:hAnsi="仿宋" w:eastAsia="仿宋"/>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深圳湾实验室计算平台扩容项目</w:t>
      </w:r>
    </w:p>
    <w:p>
      <w:pPr>
        <w:spacing w:line="360" w:lineRule="auto"/>
        <w:rPr>
          <w:rFonts w:hint="default" w:eastAsia="仿宋"/>
          <w:lang w:val="en-US" w:eastAsia="zh-CN"/>
        </w:rPr>
      </w:pPr>
      <w:r>
        <w:rPr>
          <w:rFonts w:hint="eastAsia" w:ascii="仿宋" w:hAnsi="仿宋" w:eastAsia="仿宋"/>
        </w:rPr>
        <w:t>项目编号：</w:t>
      </w:r>
      <w:r>
        <w:rPr>
          <w:rFonts w:hint="eastAsia" w:ascii="仿宋" w:hAnsi="仿宋" w:eastAsia="仿宋"/>
          <w:u w:val="single"/>
        </w:rPr>
        <w:t>SZZZ2021-QA01</w:t>
      </w:r>
      <w:r>
        <w:rPr>
          <w:rFonts w:hint="eastAsia" w:ascii="仿宋" w:hAnsi="仿宋" w:eastAsia="仿宋"/>
          <w:u w:val="single"/>
          <w:lang w:val="en-US" w:eastAsia="zh-CN"/>
        </w:rPr>
        <w:t>67</w:t>
      </w:r>
    </w:p>
    <w:tbl>
      <w:tblPr>
        <w:tblStyle w:val="2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深圳湾实验室计算平台扩容项目</w:t>
      </w:r>
    </w:p>
    <w:p>
      <w:pPr>
        <w:spacing w:line="360" w:lineRule="auto"/>
        <w:rPr>
          <w:rFonts w:hint="default" w:ascii="仿宋" w:hAnsi="仿宋" w:eastAsia="仿宋"/>
          <w:u w:val="single"/>
          <w:lang w:val="en-US" w:eastAsia="zh-CN"/>
        </w:rPr>
      </w:pPr>
      <w:r>
        <w:rPr>
          <w:rFonts w:hint="eastAsia" w:ascii="仿宋" w:hAnsi="仿宋" w:eastAsia="仿宋"/>
        </w:rPr>
        <w:t>项目编号：</w:t>
      </w:r>
      <w:r>
        <w:rPr>
          <w:rFonts w:hint="eastAsia" w:ascii="仿宋" w:hAnsi="仿宋" w:eastAsia="仿宋"/>
          <w:u w:val="single"/>
        </w:rPr>
        <w:t>SZZZ2021-QA01</w:t>
      </w:r>
      <w:r>
        <w:rPr>
          <w:rFonts w:hint="eastAsia" w:ascii="仿宋" w:hAnsi="仿宋" w:eastAsia="仿宋"/>
          <w:u w:val="single"/>
          <w:lang w:val="en-US" w:eastAsia="zh-CN"/>
        </w:rPr>
        <w:t>67</w:t>
      </w:r>
    </w:p>
    <w:tbl>
      <w:tblPr>
        <w:tblStyle w:val="20"/>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2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20"/>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2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2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20"/>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rPr>
        <w:t>三、技术需求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20"/>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rPr>
        <w:t>四、商务需求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8"/>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pStyle w:val="3"/>
        <w:tabs>
          <w:tab w:val="left" w:pos="180"/>
          <w:tab w:val="left" w:pos="448"/>
        </w:tabs>
        <w:adjustRightInd w:val="0"/>
        <w:snapToGrid w:val="0"/>
        <w:spacing w:line="240" w:lineRule="auto"/>
        <w:rPr>
          <w:rFonts w:ascii="仿宋" w:hAnsi="仿宋" w:eastAsia="仿宋" w:cs="仿宋"/>
          <w:b/>
          <w:szCs w:val="36"/>
        </w:rPr>
      </w:pPr>
      <w:r>
        <w:rPr>
          <w:rFonts w:hint="eastAsia" w:ascii="仿宋" w:hAnsi="仿宋" w:eastAsia="仿宋" w:cs="仿宋"/>
          <w:b/>
          <w:szCs w:val="36"/>
        </w:rPr>
        <w:t>深圳湾实验室货物类采购</w:t>
      </w:r>
    </w:p>
    <w:p>
      <w:pPr>
        <w:jc w:val="center"/>
        <w:rPr>
          <w:rFonts w:ascii="仿宋" w:hAnsi="仿宋" w:eastAsia="仿宋" w:cs="仿宋"/>
          <w:b/>
          <w:sz w:val="36"/>
          <w:szCs w:val="36"/>
        </w:rPr>
      </w:pPr>
      <w:r>
        <w:rPr>
          <w:rFonts w:hint="eastAsia" w:ascii="仿宋" w:hAnsi="仿宋" w:eastAsia="仿宋" w:cs="仿宋"/>
          <w:b/>
          <w:sz w:val="36"/>
          <w:szCs w:val="36"/>
        </w:rPr>
        <w:t>合同书</w:t>
      </w:r>
    </w:p>
    <w:p>
      <w:pPr>
        <w:pStyle w:val="7"/>
        <w:spacing w:line="320" w:lineRule="atLeast"/>
        <w:ind w:firstLine="359"/>
        <w:rPr>
          <w:rFonts w:ascii="仿宋" w:hAnsi="仿宋" w:eastAsia="仿宋" w:cs="仿宋"/>
          <w:b/>
          <w:sz w:val="36"/>
          <w:szCs w:val="36"/>
        </w:rPr>
      </w:pPr>
    </w:p>
    <w:p>
      <w:pPr>
        <w:pStyle w:val="7"/>
        <w:spacing w:line="320" w:lineRule="atLeast"/>
        <w:ind w:firstLine="359"/>
        <w:rPr>
          <w:rFonts w:ascii="仿宋" w:hAnsi="仿宋" w:eastAsia="仿宋" w:cs="仿宋"/>
          <w:b/>
          <w:sz w:val="36"/>
          <w:szCs w:val="36"/>
        </w:rPr>
      </w:pPr>
    </w:p>
    <w:p>
      <w:pPr>
        <w:pStyle w:val="7"/>
        <w:spacing w:line="320" w:lineRule="atLeast"/>
        <w:ind w:firstLine="359"/>
        <w:rPr>
          <w:rFonts w:ascii="仿宋" w:hAnsi="仿宋" w:eastAsia="仿宋" w:cs="仿宋"/>
          <w:b/>
          <w:sz w:val="36"/>
          <w:szCs w:val="36"/>
        </w:rPr>
      </w:pPr>
      <w:r>
        <w:rPr>
          <w:rFonts w:hint="eastAsia" w:ascii="仿宋" w:hAnsi="仿宋" w:eastAsia="仿宋" w:cs="仿宋"/>
          <w:b/>
          <w:sz w:val="36"/>
          <w:szCs w:val="36"/>
        </w:rPr>
        <w:t>合同编号：</w:t>
      </w:r>
    </w:p>
    <w:p>
      <w:pPr>
        <w:pStyle w:val="7"/>
        <w:spacing w:line="320" w:lineRule="atLeast"/>
        <w:ind w:left="359" w:leftChars="171" w:firstLine="0"/>
        <w:rPr>
          <w:rFonts w:ascii="仿宋" w:hAnsi="仿宋" w:eastAsia="仿宋" w:cs="仿宋"/>
          <w:b/>
          <w:sz w:val="36"/>
          <w:szCs w:val="36"/>
        </w:rPr>
      </w:pPr>
    </w:p>
    <w:p>
      <w:pPr>
        <w:pStyle w:val="7"/>
        <w:spacing w:line="320" w:lineRule="atLeast"/>
        <w:ind w:left="359" w:leftChars="171" w:firstLine="0"/>
        <w:rPr>
          <w:rFonts w:ascii="仿宋" w:hAnsi="仿宋" w:eastAsia="仿宋" w:cs="仿宋"/>
          <w:b/>
          <w:sz w:val="36"/>
          <w:szCs w:val="36"/>
        </w:rPr>
      </w:pPr>
    </w:p>
    <w:p>
      <w:pPr>
        <w:spacing w:line="320" w:lineRule="atLeast"/>
        <w:ind w:left="359" w:leftChars="171"/>
        <w:rPr>
          <w:rFonts w:ascii="仿宋" w:hAnsi="仿宋" w:eastAsia="仿宋" w:cs="仿宋"/>
          <w:b/>
          <w:sz w:val="24"/>
          <w:szCs w:val="24"/>
        </w:rPr>
      </w:pPr>
      <w:r>
        <w:rPr>
          <w:rFonts w:hint="eastAsia" w:ascii="仿宋" w:hAnsi="仿宋" w:eastAsia="仿宋" w:cs="仿宋"/>
          <w:b/>
          <w:sz w:val="36"/>
          <w:szCs w:val="36"/>
        </w:rPr>
        <w:t>项目名称：</w:t>
      </w:r>
    </w:p>
    <w:p>
      <w:pPr>
        <w:spacing w:line="320" w:lineRule="atLeast"/>
        <w:ind w:left="359" w:leftChars="171"/>
        <w:rPr>
          <w:rFonts w:ascii="仿宋" w:hAnsi="仿宋" w:eastAsia="仿宋" w:cs="仿宋"/>
          <w:b/>
          <w:sz w:val="36"/>
          <w:szCs w:val="36"/>
          <w:u w:val="single"/>
        </w:rPr>
      </w:pPr>
      <w:r>
        <w:rPr>
          <w:rFonts w:hint="eastAsia" w:ascii="仿宋" w:hAnsi="仿宋" w:eastAsia="仿宋" w:cs="仿宋"/>
          <w:b/>
          <w:sz w:val="36"/>
          <w:szCs w:val="36"/>
        </w:rPr>
        <w:t xml:space="preserve"> </w:t>
      </w:r>
    </w:p>
    <w:p>
      <w:pPr>
        <w:spacing w:line="320" w:lineRule="atLeast"/>
        <w:ind w:left="359" w:leftChars="171"/>
        <w:rPr>
          <w:rFonts w:ascii="仿宋" w:hAnsi="仿宋" w:eastAsia="仿宋" w:cs="仿宋"/>
          <w:b/>
          <w:sz w:val="36"/>
          <w:szCs w:val="36"/>
        </w:rPr>
      </w:pPr>
    </w:p>
    <w:p>
      <w:pPr>
        <w:spacing w:line="320" w:lineRule="atLeast"/>
        <w:ind w:left="359" w:leftChars="171"/>
        <w:rPr>
          <w:rFonts w:ascii="仿宋" w:hAnsi="仿宋" w:eastAsia="仿宋" w:cs="仿宋"/>
          <w:b/>
          <w:sz w:val="36"/>
          <w:szCs w:val="36"/>
        </w:rPr>
      </w:pPr>
      <w:r>
        <w:rPr>
          <w:rFonts w:hint="eastAsia" w:ascii="仿宋" w:hAnsi="仿宋" w:eastAsia="仿宋" w:cs="仿宋"/>
          <w:b/>
          <w:sz w:val="36"/>
          <w:szCs w:val="36"/>
        </w:rPr>
        <w:t>合同金额（人民币大写）：</w:t>
      </w:r>
    </w:p>
    <w:p>
      <w:pPr>
        <w:spacing w:line="320" w:lineRule="atLeast"/>
        <w:ind w:left="359" w:leftChars="171"/>
        <w:rPr>
          <w:rFonts w:ascii="仿宋" w:hAnsi="仿宋" w:eastAsia="仿宋" w:cs="仿宋"/>
          <w:b/>
          <w:sz w:val="36"/>
          <w:szCs w:val="36"/>
        </w:rPr>
      </w:pPr>
    </w:p>
    <w:p>
      <w:pPr>
        <w:spacing w:line="320" w:lineRule="atLeast"/>
        <w:ind w:left="359" w:leftChars="171"/>
        <w:rPr>
          <w:rFonts w:ascii="仿宋" w:hAnsi="仿宋" w:eastAsia="仿宋" w:cs="仿宋"/>
          <w:b/>
          <w:sz w:val="36"/>
          <w:szCs w:val="36"/>
        </w:rPr>
      </w:pPr>
    </w:p>
    <w:p>
      <w:pPr>
        <w:spacing w:line="320" w:lineRule="atLeast"/>
        <w:ind w:left="359" w:leftChars="171"/>
        <w:rPr>
          <w:rFonts w:ascii="仿宋" w:hAnsi="仿宋" w:eastAsia="仿宋" w:cs="仿宋"/>
          <w:b/>
          <w:sz w:val="36"/>
          <w:szCs w:val="36"/>
          <w:u w:val="single"/>
        </w:rPr>
      </w:pPr>
      <w:r>
        <w:rPr>
          <w:rFonts w:hint="eastAsia" w:ascii="仿宋" w:hAnsi="仿宋" w:eastAsia="仿宋" w:cs="仿宋"/>
          <w:b/>
          <w:sz w:val="36"/>
          <w:szCs w:val="36"/>
        </w:rPr>
        <w:t>签署地点：深圳</w:t>
      </w: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36"/>
          <w:szCs w:val="36"/>
        </w:rPr>
      </w:pPr>
    </w:p>
    <w:p>
      <w:pPr>
        <w:spacing w:line="320" w:lineRule="atLeast"/>
        <w:ind w:left="359" w:leftChars="171"/>
        <w:rPr>
          <w:rFonts w:ascii="仿宋" w:hAnsi="仿宋" w:eastAsia="仿宋" w:cs="仿宋"/>
          <w:sz w:val="28"/>
          <w:szCs w:val="28"/>
        </w:rPr>
      </w:pPr>
    </w:p>
    <w:p>
      <w:pPr>
        <w:spacing w:before="156" w:beforeLines="50" w:after="156" w:afterLines="50" w:line="360" w:lineRule="auto"/>
        <w:ind w:firstLine="560" w:firstLineChars="200"/>
        <w:rPr>
          <w:rFonts w:ascii="仿宋" w:hAnsi="仿宋" w:eastAsia="仿宋" w:cs="仿宋"/>
          <w:sz w:val="28"/>
          <w:szCs w:val="28"/>
        </w:rPr>
      </w:pPr>
      <w:r>
        <w:rPr>
          <w:rFonts w:hint="eastAsia" w:ascii="仿宋" w:hAnsi="仿宋" w:eastAsia="仿宋" w:cs="仿宋"/>
          <w:sz w:val="28"/>
          <w:szCs w:val="28"/>
        </w:rPr>
        <w:t>甲方（买方）：深圳湾实验室</w:t>
      </w:r>
    </w:p>
    <w:p>
      <w:pPr>
        <w:spacing w:before="156" w:beforeLines="50"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地址：深圳市光明区玉塘街道田寮社区光侨路高科创新中心 一层 102、二层 202、三层 304</w:t>
      </w:r>
    </w:p>
    <w:p>
      <w:pPr>
        <w:spacing w:before="156" w:beforeLines="50"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p>
    <w:p>
      <w:pPr>
        <w:spacing w:before="156" w:beforeLines="50" w:after="156" w:afterLines="50" w:line="360" w:lineRule="auto"/>
        <w:ind w:firstLine="560" w:firstLineChars="200"/>
        <w:rPr>
          <w:rFonts w:ascii="仿宋" w:hAnsi="仿宋" w:eastAsia="仿宋" w:cs="仿宋"/>
          <w:sz w:val="28"/>
          <w:szCs w:val="28"/>
        </w:rPr>
      </w:pPr>
      <w:r>
        <w:rPr>
          <w:rFonts w:hint="eastAsia" w:ascii="仿宋" w:hAnsi="仿宋" w:eastAsia="仿宋" w:cs="仿宋"/>
          <w:sz w:val="28"/>
          <w:szCs w:val="28"/>
        </w:rPr>
        <w:t>乙方（卖方）：</w:t>
      </w:r>
    </w:p>
    <w:p>
      <w:pPr>
        <w:spacing w:before="156" w:beforeLines="50"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地址：</w:t>
      </w:r>
    </w:p>
    <w:p>
      <w:pPr>
        <w:spacing w:before="156" w:beforeLines="50"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深圳湾实验室</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（简称项目），通过</w:t>
      </w:r>
      <w:r>
        <w:rPr>
          <w:rFonts w:hint="eastAsia" w:ascii="仿宋" w:hAnsi="仿宋" w:eastAsia="仿宋" w:cs="仿宋"/>
          <w:sz w:val="24"/>
          <w:szCs w:val="24"/>
          <w:u w:val="single"/>
          <w:lang w:val="en-US" w:eastAsia="zh-CN"/>
        </w:rPr>
        <w:t>招标/竞价/竞争性谈判/单一来源采购</w:t>
      </w:r>
      <w:r>
        <w:rPr>
          <w:rFonts w:hint="eastAsia" w:ascii="仿宋" w:hAnsi="仿宋" w:eastAsia="仿宋" w:cs="仿宋"/>
          <w:sz w:val="24"/>
          <w:szCs w:val="24"/>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）方式选定，乙方中标。甲乙双方本着诚实信用、平等互利原则，根据法律法规的相关规定，以及</w:t>
      </w:r>
      <w:r>
        <w:rPr>
          <w:rFonts w:hint="eastAsia" w:ascii="仿宋" w:hAnsi="仿宋" w:eastAsia="仿宋" w:cs="仿宋"/>
          <w:sz w:val="24"/>
          <w:szCs w:val="24"/>
          <w:u w:val="single"/>
          <w:lang w:val="en-US" w:eastAsia="zh-CN"/>
        </w:rPr>
        <w:t>招标/竞价/竞争性谈判/单一来源采购</w:t>
      </w:r>
      <w:r>
        <w:rPr>
          <w:rFonts w:hint="eastAsia" w:ascii="仿宋" w:hAnsi="仿宋" w:eastAsia="仿宋" w:cs="仿宋"/>
          <w:sz w:val="24"/>
          <w:szCs w:val="24"/>
        </w:rPr>
        <w:t>文件的要求、乙方在</w:t>
      </w:r>
      <w:r>
        <w:rPr>
          <w:rFonts w:hint="eastAsia" w:ascii="仿宋" w:hAnsi="仿宋" w:eastAsia="仿宋" w:cs="仿宋"/>
          <w:sz w:val="24"/>
          <w:szCs w:val="24"/>
          <w:lang w:val="en-US" w:eastAsia="zh-CN"/>
        </w:rPr>
        <w:t>投标</w:t>
      </w:r>
      <w:r>
        <w:rPr>
          <w:rFonts w:hint="eastAsia" w:ascii="仿宋" w:hAnsi="仿宋" w:eastAsia="仿宋" w:cs="仿宋"/>
          <w:sz w:val="24"/>
          <w:szCs w:val="24"/>
        </w:rPr>
        <w:t>文件中所作的陈述和承诺，就</w:t>
      </w:r>
      <w:r>
        <w:rPr>
          <w:rFonts w:hint="eastAsia" w:ascii="仿宋" w:hAnsi="仿宋" w:eastAsia="仿宋" w:cs="仿宋"/>
          <w:sz w:val="24"/>
          <w:szCs w:val="24"/>
          <w:lang w:val="en-US" w:eastAsia="zh-CN"/>
        </w:rPr>
        <w:t>甲方向乙方购买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之相关事宜</w:t>
      </w:r>
      <w:r>
        <w:rPr>
          <w:rFonts w:hint="eastAsia" w:ascii="仿宋" w:hAnsi="仿宋" w:eastAsia="仿宋" w:cs="仿宋"/>
          <w:sz w:val="24"/>
          <w:szCs w:val="24"/>
        </w:rPr>
        <w:t>达成一致，签订本合同。</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一、乙方向甲方供货的名称及内容</w:t>
      </w:r>
    </w:p>
    <w:tbl>
      <w:tblPr>
        <w:tblStyle w:val="19"/>
        <w:tblW w:w="8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458"/>
        <w:gridCol w:w="1623"/>
        <w:gridCol w:w="969"/>
        <w:gridCol w:w="949"/>
        <w:gridCol w:w="828"/>
        <w:gridCol w:w="992"/>
        <w:gridCol w:w="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585" w:type="dxa"/>
            <w:noWrap w:val="0"/>
            <w:vAlign w:val="top"/>
          </w:tcPr>
          <w:p>
            <w:pPr>
              <w:spacing w:before="156" w:beforeLines="50" w:after="156" w:afterLines="50" w:line="360" w:lineRule="auto"/>
              <w:rPr>
                <w:rFonts w:ascii="仿宋" w:hAnsi="仿宋" w:eastAsia="仿宋" w:cs="仿宋"/>
              </w:rPr>
            </w:pPr>
            <w:r>
              <w:rPr>
                <w:rFonts w:hint="eastAsia" w:ascii="仿宋" w:hAnsi="仿宋" w:eastAsia="仿宋" w:cs="仿宋"/>
                <w:lang w:val="en-US"/>
              </w:rPr>
              <w:t>序号</w:t>
            </w:r>
          </w:p>
        </w:tc>
        <w:tc>
          <w:tcPr>
            <w:tcW w:w="1458" w:type="dxa"/>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货物名称</w:t>
            </w:r>
          </w:p>
        </w:tc>
        <w:tc>
          <w:tcPr>
            <w:tcW w:w="1623" w:type="dxa"/>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规格及型号</w:t>
            </w:r>
          </w:p>
        </w:tc>
        <w:tc>
          <w:tcPr>
            <w:tcW w:w="969" w:type="dxa"/>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原产地</w:t>
            </w:r>
          </w:p>
        </w:tc>
        <w:tc>
          <w:tcPr>
            <w:tcW w:w="949" w:type="dxa"/>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品牌</w:t>
            </w:r>
          </w:p>
        </w:tc>
        <w:tc>
          <w:tcPr>
            <w:tcW w:w="828" w:type="dxa"/>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数量/单位</w:t>
            </w:r>
          </w:p>
        </w:tc>
        <w:tc>
          <w:tcPr>
            <w:tcW w:w="992" w:type="dxa"/>
            <w:tcBorders>
              <w:bottom w:val="single" w:color="auto" w:sz="4" w:space="0"/>
            </w:tcBorders>
            <w:noWrap w:val="0"/>
            <w:vAlign w:val="center"/>
          </w:tcPr>
          <w:p>
            <w:pPr>
              <w:spacing w:before="156" w:beforeLines="50" w:after="156" w:afterLines="50" w:line="360" w:lineRule="auto"/>
              <w:ind w:left="229" w:leftChars="109"/>
              <w:rPr>
                <w:rFonts w:ascii="仿宋" w:hAnsi="仿宋" w:eastAsia="仿宋" w:cs="仿宋"/>
              </w:rPr>
            </w:pPr>
            <w:r>
              <w:rPr>
                <w:rFonts w:hint="eastAsia" w:ascii="仿宋" w:hAnsi="仿宋" w:eastAsia="仿宋" w:cs="仿宋"/>
              </w:rPr>
              <w:t>单价(元)</w:t>
            </w:r>
          </w:p>
        </w:tc>
        <w:tc>
          <w:tcPr>
            <w:tcW w:w="757" w:type="dxa"/>
            <w:tcBorders>
              <w:bottom w:val="single" w:color="auto" w:sz="4" w:space="0"/>
            </w:tcBorders>
            <w:noWrap w:val="0"/>
            <w:vAlign w:val="center"/>
          </w:tcPr>
          <w:p>
            <w:pPr>
              <w:spacing w:before="156" w:beforeLines="50" w:after="156" w:afterLines="50" w:line="360" w:lineRule="auto"/>
              <w:rPr>
                <w:rFonts w:ascii="仿宋" w:hAnsi="仿宋" w:eastAsia="仿宋" w:cs="仿宋"/>
              </w:rPr>
            </w:pPr>
            <w:r>
              <w:rPr>
                <w:rFonts w:hint="eastAsia" w:ascii="仿宋" w:hAnsi="仿宋" w:eastAsia="仿宋" w:cs="仿宋"/>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585" w:type="dxa"/>
            <w:noWrap w:val="0"/>
            <w:vAlign w:val="top"/>
          </w:tcPr>
          <w:p>
            <w:pPr>
              <w:spacing w:before="156" w:beforeLines="50" w:after="156" w:afterLines="50" w:line="360" w:lineRule="auto"/>
              <w:rPr>
                <w:rFonts w:ascii="仿宋" w:hAnsi="仿宋" w:eastAsia="仿宋" w:cs="仿宋"/>
                <w:sz w:val="28"/>
                <w:szCs w:val="28"/>
              </w:rPr>
            </w:pPr>
            <w:r>
              <w:rPr>
                <w:rFonts w:hint="eastAsia" w:ascii="仿宋" w:hAnsi="仿宋" w:eastAsia="仿宋" w:cs="仿宋"/>
                <w:sz w:val="28"/>
                <w:szCs w:val="28"/>
                <w:lang w:val="en-US"/>
              </w:rPr>
              <w:t>1</w:t>
            </w:r>
          </w:p>
        </w:tc>
        <w:tc>
          <w:tcPr>
            <w:tcW w:w="1458" w:type="dxa"/>
            <w:noWrap w:val="0"/>
            <w:vAlign w:val="center"/>
          </w:tcPr>
          <w:p>
            <w:pPr>
              <w:spacing w:before="156" w:beforeLines="50" w:after="156" w:afterLines="50" w:line="360" w:lineRule="auto"/>
              <w:ind w:firstLine="560" w:firstLineChars="200"/>
              <w:rPr>
                <w:rFonts w:ascii="仿宋" w:hAnsi="仿宋" w:eastAsia="仿宋" w:cs="仿宋"/>
                <w:sz w:val="28"/>
                <w:szCs w:val="28"/>
              </w:rPr>
            </w:pPr>
          </w:p>
        </w:tc>
        <w:tc>
          <w:tcPr>
            <w:tcW w:w="1623" w:type="dxa"/>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360" w:lineRule="auto"/>
              <w:ind w:firstLine="560" w:firstLineChars="200"/>
              <w:rPr>
                <w:rFonts w:ascii="仿宋" w:hAnsi="仿宋" w:eastAsia="仿宋" w:cs="仿宋"/>
                <w:sz w:val="28"/>
                <w:szCs w:val="28"/>
              </w:rPr>
            </w:pPr>
          </w:p>
        </w:tc>
        <w:tc>
          <w:tcPr>
            <w:tcW w:w="969" w:type="dxa"/>
            <w:noWrap w:val="0"/>
            <w:vAlign w:val="center"/>
          </w:tcPr>
          <w:p>
            <w:pPr>
              <w:spacing w:before="156" w:beforeLines="50" w:after="156" w:afterLines="50" w:line="360" w:lineRule="auto"/>
              <w:ind w:firstLine="560" w:firstLineChars="200"/>
              <w:rPr>
                <w:rFonts w:ascii="仿宋" w:hAnsi="仿宋" w:eastAsia="仿宋" w:cs="仿宋"/>
                <w:sz w:val="28"/>
                <w:szCs w:val="28"/>
              </w:rPr>
            </w:pPr>
          </w:p>
        </w:tc>
        <w:tc>
          <w:tcPr>
            <w:tcW w:w="949" w:type="dxa"/>
            <w:noWrap w:val="0"/>
            <w:vAlign w:val="top"/>
          </w:tcPr>
          <w:p>
            <w:pPr>
              <w:spacing w:before="156" w:beforeLines="50" w:after="156" w:afterLines="50" w:line="360" w:lineRule="auto"/>
              <w:ind w:firstLine="560" w:firstLineChars="200"/>
              <w:rPr>
                <w:rFonts w:ascii="仿宋" w:hAnsi="仿宋" w:eastAsia="仿宋" w:cs="仿宋"/>
                <w:sz w:val="28"/>
                <w:szCs w:val="28"/>
              </w:rPr>
            </w:pPr>
          </w:p>
        </w:tc>
        <w:tc>
          <w:tcPr>
            <w:tcW w:w="828" w:type="dxa"/>
            <w:noWrap w:val="0"/>
            <w:vAlign w:val="center"/>
          </w:tcPr>
          <w:p>
            <w:pPr>
              <w:spacing w:before="156" w:beforeLines="50" w:after="156" w:afterLines="50" w:line="360" w:lineRule="auto"/>
              <w:ind w:firstLine="560" w:firstLineChars="200"/>
              <w:rPr>
                <w:rFonts w:ascii="仿宋" w:hAnsi="仿宋" w:eastAsia="仿宋" w:cs="仿宋"/>
                <w:sz w:val="28"/>
                <w:szCs w:val="28"/>
              </w:rPr>
            </w:pPr>
          </w:p>
        </w:tc>
        <w:tc>
          <w:tcPr>
            <w:tcW w:w="992" w:type="dxa"/>
            <w:noWrap w:val="0"/>
            <w:vAlign w:val="center"/>
          </w:tcPr>
          <w:p>
            <w:pPr>
              <w:spacing w:before="156" w:beforeLines="50" w:after="156" w:afterLines="50" w:line="360" w:lineRule="auto"/>
              <w:ind w:firstLine="560" w:firstLineChars="200"/>
              <w:rPr>
                <w:rFonts w:ascii="仿宋" w:hAnsi="仿宋" w:eastAsia="仿宋" w:cs="仿宋"/>
                <w:sz w:val="28"/>
                <w:szCs w:val="28"/>
              </w:rPr>
            </w:pPr>
          </w:p>
        </w:tc>
        <w:tc>
          <w:tcPr>
            <w:tcW w:w="757" w:type="dxa"/>
            <w:tcBorders>
              <w:top w:val="single" w:color="auto" w:sz="4" w:space="0"/>
              <w:left w:val="nil"/>
              <w:bottom w:val="single" w:color="auto" w:sz="4" w:space="0"/>
              <w:right w:val="single" w:color="auto" w:sz="4" w:space="0"/>
            </w:tcBorders>
            <w:noWrap w:val="0"/>
            <w:vAlign w:val="center"/>
          </w:tcPr>
          <w:p>
            <w:pPr>
              <w:spacing w:before="156" w:beforeLines="50" w:after="156" w:afterLines="50" w:line="360" w:lineRule="auto"/>
              <w:ind w:firstLine="560" w:firstLineChars="200"/>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1" w:type="dxa"/>
            <w:gridSpan w:val="8"/>
            <w:noWrap w:val="0"/>
            <w:vAlign w:val="top"/>
          </w:tcPr>
          <w:p>
            <w:pPr>
              <w:spacing w:before="156" w:beforeLines="50" w:after="156" w:afterLines="50" w:line="360" w:lineRule="auto"/>
              <w:ind w:firstLine="560" w:firstLineChars="200"/>
              <w:rPr>
                <w:rFonts w:ascii="仿宋" w:hAnsi="仿宋" w:eastAsia="仿宋" w:cs="仿宋"/>
                <w:sz w:val="28"/>
                <w:szCs w:val="28"/>
              </w:rPr>
            </w:pPr>
            <w:r>
              <w:rPr>
                <w:rFonts w:hint="eastAsia" w:ascii="仿宋" w:hAnsi="仿宋" w:eastAsia="仿宋" w:cs="仿宋"/>
                <w:sz w:val="28"/>
                <w:szCs w:val="28"/>
              </w:rPr>
              <w:t>总计：￥.00（大写：人民币佰拾万仟圆整）</w:t>
            </w:r>
          </w:p>
        </w:tc>
      </w:tr>
    </w:tbl>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甲乙双方一致确认，上述合同总价为甲方向乙方采购货物包含的全部费用，包括但不限于本合同项下采购仪器设备（以下称“货物”或“采购物品”）的价款、包装、运输、装卸、安装、调试、技术指导、培训、咨询、服务、保险、检测、由法定资质的检测部门出具计量合格证书、验收合格交付使用之前以及质保期内的技术和售后服务等所有有关费用，合同总价包含采购物品的各项税费。甲方无须向乙方另外支付本合同第一条规定总价款之外的任何费用。</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二、本合同项下的货物交货方式及时间</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 自本合同签订之日起</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日内，乙方应将甲方采购的所有货物送至</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，货物在交付给甲方之前的一切费用、风险和责任由乙方承担。</w:t>
      </w:r>
    </w:p>
    <w:p>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 乙方应至少在送货前提前【10】日，以传真或电子邮件方式向甲方提供交货计划（内容包括合同号、设备名称、数量、重量和体积的约数、交货时间、地点、运输安排）和设备安装单（包括安装设备所要求的水、电、气等安装环境）。甲方应通过传真或电子邮件确认交货计划和设备安装单，若甲方对于乙方发送的交货计划有不同意见，甲方应在收到乙方发送的交货计划之日起</w:t>
      </w:r>
      <w:r>
        <w:rPr>
          <w:rFonts w:ascii="仿宋" w:hAnsi="仿宋" w:eastAsia="仿宋" w:cs="仿宋"/>
          <w:sz w:val="24"/>
          <w:szCs w:val="24"/>
          <w:u w:val="single"/>
        </w:rPr>
        <w:t xml:space="preserve"> 7  </w:t>
      </w:r>
      <w:r>
        <w:rPr>
          <w:rFonts w:ascii="仿宋" w:hAnsi="仿宋" w:eastAsia="仿宋" w:cs="仿宋"/>
          <w:sz w:val="24"/>
          <w:szCs w:val="24"/>
        </w:rPr>
        <w:t>日内提出，乙方收到甲方关于变更交货计划的要求后，乙方应按照甲方的要求变更交货计划。若甲方确认了乙方的交货计划或甲方未在上述时间内提出异议，甲方应及时作好准备，办妥一切接货手续，在收到乙方关于货物到达的通知后四十八小时或甲乙双方另行协商确定的时间内提运完毕。</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3. 本合同所有采购物品运抵甲方指定地点后，【10】日内双方代表共同开箱检验货物的数量及外观，经甲乙双方共同确认货物数量及外观无误后，视为乙方完成货物交付。前述检验仅是对乙方交付货物数量、外观的初步确认，不视为甲方对货物质量的确认。如货物存在短缺或损伤，应由乙方于开箱日起【</w:t>
      </w:r>
      <w:r>
        <w:rPr>
          <w:rFonts w:ascii="仿宋" w:hAnsi="仿宋" w:eastAsia="仿宋" w:cs="仿宋"/>
          <w:sz w:val="24"/>
          <w:szCs w:val="24"/>
        </w:rPr>
        <w:t>10</w:t>
      </w:r>
      <w:r>
        <w:rPr>
          <w:rFonts w:hint="eastAsia" w:ascii="仿宋" w:hAnsi="仿宋" w:eastAsia="仿宋" w:cs="仿宋"/>
          <w:sz w:val="24"/>
          <w:szCs w:val="24"/>
        </w:rPr>
        <w:t>】 日内负责补足或更换，其相关费用由乙方负担。若乙方未在规定的时间内补足或更换的，甲方有权自行向第三方另行购买，因向第三方另行采购产生的一切风险及费用，由乙方承担。</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4. 如果乙方迟延交货，乙方须按本合同第六条的规定向甲方支付违约金。在履行合同过程中，如果乙方遇到不能按时交货和提供服务的情况，应及时以书面形式将不能按时交货的理由、预期延误时间告知甲方。甲方收到乙方的书面告知后，认为其理由正当的，甲方可以酌情延长乙方的交货时间，乙方应在甲方的宽限期内完成交货。若乙方宽限期内仍无法交货的，甲方有权单方解除合同。</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三、付款方式和条件</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w:t>
      </w:r>
      <w:r>
        <w:rPr>
          <w:rFonts w:ascii="仿宋" w:hAnsi="仿宋" w:eastAsia="仿宋" w:cs="仿宋"/>
          <w:sz w:val="24"/>
          <w:szCs w:val="24"/>
        </w:rPr>
        <w:t xml:space="preserve">.  </w:t>
      </w:r>
      <w:r>
        <w:rPr>
          <w:rFonts w:hint="eastAsia" w:ascii="仿宋" w:hAnsi="仿宋" w:eastAsia="仿宋" w:cs="仿宋"/>
          <w:sz w:val="24"/>
          <w:szCs w:val="24"/>
        </w:rPr>
        <w:t>甲乙双方一致同意按以下第</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种方式支付货款：</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（1）货款分【三】期支付：第一期：甲方在合同签订后【1</w:t>
      </w:r>
      <w:r>
        <w:rPr>
          <w:rFonts w:hint="eastAsia" w:ascii="仿宋" w:hAnsi="仿宋" w:eastAsia="仿宋" w:cs="仿宋"/>
          <w:sz w:val="24"/>
          <w:szCs w:val="24"/>
          <w:lang w:val="en-US"/>
        </w:rPr>
        <w:t>4</w:t>
      </w:r>
      <w:r>
        <w:rPr>
          <w:rFonts w:hint="eastAsia" w:ascii="仿宋" w:hAnsi="仿宋" w:eastAsia="仿宋" w:cs="仿宋"/>
          <w:sz w:val="24"/>
          <w:szCs w:val="24"/>
        </w:rPr>
        <w:t>】日内支付【  %】的货款，即人民币</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元；第二期：货到指定项目现场、安装调试完毕之日起</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日内，甲方支付【  %】的货款，即人民币</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 xml:space="preserve">元；第三期：货物试运行并经甲方验收合格后【30】日内，甲方支付【 </w:t>
      </w:r>
      <w:r>
        <w:rPr>
          <w:rFonts w:ascii="仿宋" w:hAnsi="仿宋" w:eastAsia="仿宋" w:cs="仿宋"/>
          <w:sz w:val="24"/>
          <w:szCs w:val="24"/>
        </w:rPr>
        <w:t xml:space="preserve"> </w:t>
      </w:r>
      <w:r>
        <w:rPr>
          <w:rFonts w:hint="eastAsia" w:ascii="仿宋" w:hAnsi="仿宋" w:eastAsia="仿宋" w:cs="仿宋"/>
          <w:sz w:val="24"/>
          <w:szCs w:val="24"/>
        </w:rPr>
        <w:t>%】的货款，即人民币</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元。</w:t>
      </w:r>
    </w:p>
    <w:p>
      <w:pPr>
        <w:spacing w:line="360" w:lineRule="auto"/>
        <w:ind w:firstLine="480" w:firstLineChars="200"/>
        <w:jc w:val="both"/>
        <w:rPr>
          <w:rFonts w:ascii="仿宋" w:hAnsi="仿宋" w:eastAsia="仿宋" w:cs="仿宋"/>
          <w:sz w:val="24"/>
          <w:szCs w:val="24"/>
          <w:u w:val="single"/>
        </w:rPr>
      </w:pPr>
      <w:r>
        <w:rPr>
          <w:rFonts w:hint="eastAsia" w:ascii="仿宋" w:hAnsi="仿宋" w:eastAsia="仿宋" w:cs="仿宋"/>
          <w:sz w:val="24"/>
          <w:szCs w:val="24"/>
        </w:rPr>
        <w:t>（2）货款由甲方一次性支付，当</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时，甲方向乙方一次性支付本合同全部货款，人民币</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元。</w:t>
      </w:r>
    </w:p>
    <w:p>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w:t>
      </w:r>
      <w:r>
        <w:rPr>
          <w:rFonts w:hint="eastAsia" w:ascii="仿宋" w:hAnsi="仿宋" w:eastAsia="仿宋" w:cs="仿宋"/>
          <w:sz w:val="24"/>
          <w:szCs w:val="24"/>
        </w:rPr>
        <w:t>若甲乙双方约定了其他付款方式的，按照双方约定的其他付款方式履行。</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.甲方向乙方支付货款之前【10】日内，乙方应当按国家有关财税规定以及甲方财务要求提供等额正式发票(免税设备提供外商形式发票)</w:t>
      </w:r>
      <w:r>
        <w:rPr>
          <w:rFonts w:hint="eastAsia"/>
        </w:rPr>
        <w:t xml:space="preserve"> </w:t>
      </w:r>
      <w:bookmarkStart w:id="1" w:name="_Hlk47552566"/>
      <w:r>
        <w:rPr>
          <w:rFonts w:hint="eastAsia" w:ascii="仿宋" w:hAnsi="仿宋" w:eastAsia="仿宋" w:cs="仿宋"/>
          <w:sz w:val="24"/>
          <w:szCs w:val="24"/>
        </w:rPr>
        <w:t>，否则甲方有权拒绝付款</w:t>
      </w:r>
      <w:bookmarkEnd w:id="1"/>
      <w:r>
        <w:rPr>
          <w:rFonts w:hint="eastAsia" w:ascii="仿宋" w:hAnsi="仿宋" w:eastAsia="仿宋" w:cs="仿宋"/>
          <w:sz w:val="24"/>
          <w:szCs w:val="24"/>
        </w:rPr>
        <w:t>。若甲乙双方就发票的提供另有约定的，按双方的约定执行。</w:t>
      </w:r>
    </w:p>
    <w:p>
      <w:pPr>
        <w:spacing w:line="360" w:lineRule="auto"/>
        <w:ind w:firstLine="480" w:firstLineChars="200"/>
        <w:jc w:val="both"/>
        <w:rPr>
          <w:rFonts w:ascii="仿宋" w:hAnsi="仿宋" w:eastAsia="仿宋" w:cs="仿宋"/>
          <w:sz w:val="24"/>
          <w:szCs w:val="24"/>
          <w:u w:val="single"/>
          <w:lang w:val="en-US"/>
        </w:rPr>
      </w:pPr>
      <w:r>
        <w:rPr>
          <w:rFonts w:ascii="仿宋" w:hAnsi="仿宋" w:eastAsia="仿宋" w:cs="仿宋"/>
          <w:sz w:val="24"/>
          <w:szCs w:val="24"/>
        </w:rPr>
        <w:t>4</w:t>
      </w:r>
      <w:r>
        <w:rPr>
          <w:rFonts w:hint="eastAsia" w:ascii="仿宋" w:hAnsi="仿宋" w:eastAsia="仿宋" w:cs="仿宋"/>
          <w:sz w:val="24"/>
          <w:szCs w:val="24"/>
        </w:rPr>
        <w:t>. 双方一致确认，本合同项下的合同总价包含甲方根据国家相关法律法规所能享受的税务减免之优惠，甲方可委托乙方或自行办理前述之进口减免税优惠。为办理进口及减免税优惠手续之目的，乙方将指派其境外供货商</w:t>
      </w:r>
      <w:r>
        <w:rPr>
          <w:rFonts w:ascii="仿宋" w:hAnsi="仿宋" w:eastAsia="仿宋" w:cs="仿宋"/>
          <w:sz w:val="24"/>
          <w:szCs w:val="24"/>
          <w:u w:val="single"/>
        </w:rPr>
        <w:t xml:space="preserve">      </w:t>
      </w:r>
      <w:r>
        <w:rPr>
          <w:rFonts w:hint="eastAsia" w:ascii="仿宋" w:hAnsi="仿宋" w:eastAsia="仿宋" w:cs="仿宋"/>
          <w:sz w:val="24"/>
          <w:szCs w:val="24"/>
          <w:u w:val="single"/>
        </w:rPr>
        <w:t xml:space="preserve">公司 </w:t>
      </w:r>
      <w:r>
        <w:rPr>
          <w:rFonts w:ascii="仿宋" w:hAnsi="仿宋" w:eastAsia="仿宋" w:cs="仿宋"/>
          <w:sz w:val="24"/>
          <w:szCs w:val="24"/>
          <w:u w:val="single"/>
        </w:rPr>
        <w:t xml:space="preserve">  </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与甲方、甲方选定的进口代理公司</w:t>
      </w:r>
      <w:r>
        <w:rPr>
          <w:rFonts w:hint="eastAsia" w:ascii="仿宋" w:hAnsi="仿宋" w:eastAsia="仿宋" w:cs="仿宋"/>
          <w:sz w:val="24"/>
          <w:szCs w:val="24"/>
          <w:u w:val="single"/>
        </w:rPr>
        <w:t xml:space="preserve"> </w:t>
      </w:r>
      <w:r>
        <w:rPr>
          <w:rFonts w:ascii="仿宋" w:hAnsi="仿宋" w:eastAsia="仿宋" w:cs="仿宋"/>
          <w:sz w:val="24"/>
          <w:szCs w:val="24"/>
          <w:u w:val="single"/>
        </w:rPr>
        <w:t xml:space="preserve">           </w:t>
      </w:r>
      <w:r>
        <w:rPr>
          <w:rFonts w:hint="eastAsia" w:ascii="仿宋" w:hAnsi="仿宋" w:eastAsia="仿宋" w:cs="仿宋"/>
          <w:sz w:val="24"/>
          <w:szCs w:val="24"/>
        </w:rPr>
        <w:t>另行签订四方采购合同（下称“四方合同”）。各方一致确认，前述四方合同的签订仅为办理进口手续及减免税优惠之目的，在任何情况下不得影响甲乙双方在本合同项下的权利和义务，也不为此导致甲方需向乙方的境外供货商</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承担任何的义务或责任。就乙方境外供货商在四方合同项下的所有合同义务，乙方将无条件地向甲方承担连带责任。甲方在四方合同项下对乙方境外供货商的任何付款，均视为甲方履行本合同项下相应的付款义务。同时，乙方承诺，其将确保其境外供货商</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不会以四方合同为依据向甲方主张任何权利，</w:t>
      </w:r>
      <w:bookmarkStart w:id="2" w:name="_Hlk47620701"/>
      <w:r>
        <w:rPr>
          <w:rFonts w:hint="eastAsia" w:ascii="仿宋" w:hAnsi="仿宋" w:eastAsia="仿宋" w:cs="仿宋"/>
          <w:sz w:val="24"/>
          <w:szCs w:val="24"/>
        </w:rPr>
        <w:t>若乙方境外供应商依据四方合同向甲方主张任何权利的，乙方应主动说明情况并承担责任。</w:t>
      </w:r>
      <w:bookmarkEnd w:id="2"/>
      <w:r>
        <w:rPr>
          <w:rFonts w:hint="eastAsia" w:ascii="仿宋" w:hAnsi="仿宋" w:eastAsia="仿宋" w:cs="仿宋"/>
          <w:sz w:val="24"/>
          <w:szCs w:val="24"/>
        </w:rPr>
        <w:t>否则，就乙方境外供货商向甲方的任何主张，甲方皆有权向乙方索赔。乙方确保甲方不会因四方合同而遭受任何损失</w:t>
      </w:r>
      <w:bookmarkStart w:id="3" w:name="_Hlk47620732"/>
      <w:r>
        <w:rPr>
          <w:rFonts w:hint="eastAsia" w:ascii="仿宋" w:hAnsi="仿宋" w:eastAsia="仿宋" w:cs="仿宋"/>
          <w:sz w:val="24"/>
          <w:szCs w:val="24"/>
        </w:rPr>
        <w:t>，若甲方因四方方合同产生损失的，甲方有权要求乙方承担全部赔偿责任</w:t>
      </w:r>
      <w:bookmarkEnd w:id="3"/>
      <w:r>
        <w:rPr>
          <w:rFonts w:hint="eastAsia" w:ascii="仿宋" w:hAnsi="仿宋" w:eastAsia="仿宋" w:cs="仿宋"/>
          <w:sz w:val="24"/>
          <w:szCs w:val="24"/>
        </w:rPr>
        <w:t>。四方合同项下的价格条款并不会影响本合同项下甲方应向乙方支付的合同总价。</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四、质量保证</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 乙方须保证货物是原厂全新、完好无损且未使用过的，并完全符合强制性的国家技术质量规范和本合同规定的质量、规格、性能和技术规范等的要求。</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 乙方须保证所提供的货物经正确安装、正常运转和保养，符合产品说明书载明的性能</w:t>
      </w:r>
      <w:r>
        <w:rPr>
          <w:rFonts w:hint="eastAsia" w:ascii="仿宋" w:hAnsi="仿宋" w:eastAsia="仿宋" w:cs="仿宋"/>
          <w:sz w:val="24"/>
          <w:szCs w:val="24"/>
          <w:lang w:val="en-US"/>
        </w:rPr>
        <w:t>以及质量要求</w:t>
      </w:r>
      <w:r>
        <w:rPr>
          <w:rFonts w:hint="eastAsia" w:ascii="仿宋" w:hAnsi="仿宋" w:eastAsia="仿宋" w:cs="仿宋"/>
          <w:sz w:val="24"/>
          <w:szCs w:val="24"/>
        </w:rPr>
        <w:t>。若乙方提供的货物无法安装、或安装后无法正常运转、或安装调试过程中出现问题导致货物无法正常使用的，乙方应根据甲方的要求更换货物或退货。乙方在接到甲方更换货物的要求后，应在甲方指定的时间内进行货物更换，由此产生的全部费用均由乙方承担。若乙方未在指定期限内予以更换的，甲方有权要求乙方按照本合同第六条第</w:t>
      </w:r>
      <w:r>
        <w:rPr>
          <w:rFonts w:ascii="仿宋" w:hAnsi="仿宋" w:eastAsia="仿宋" w:cs="仿宋"/>
          <w:sz w:val="24"/>
          <w:szCs w:val="24"/>
        </w:rPr>
        <w:t>2.3项的标准支付违约金，同时甲方有权单方面解除合同，要求乙方退还已收到的全部货款，乙方由此产生的损失由乙方自行承担。</w:t>
      </w:r>
      <w:r>
        <w:rPr>
          <w:rFonts w:hint="eastAsia" w:ascii="仿宋" w:hAnsi="仿宋" w:eastAsia="仿宋" w:cs="仿宋"/>
          <w:sz w:val="24"/>
          <w:szCs w:val="24"/>
        </w:rPr>
        <w:t>在货物质量保证期之内，乙方须对由于设计、工艺或材料的缺陷而发生的任何不足或故障负责，但由于甲方不当使用所导致机器故障的除外。</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3.乙方保证合同项下提供的货物不侵犯任何第三方的专利权、商标权或其它知识产权。否则，乙方须承担对第三方的专利权、商标权或其它知识产权的侵权责任并承担因此而发生的所有费用及给甲方造成的所有损失。</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4.若本合同项下货物提供随机专用软件，则乙方保证</w:t>
      </w:r>
      <w:r>
        <w:rPr>
          <w:rFonts w:hint="eastAsia" w:ascii="仿宋" w:hAnsi="仿宋" w:eastAsia="仿宋" w:cs="仿宋"/>
          <w:sz w:val="24"/>
          <w:szCs w:val="24"/>
        </w:rPr>
        <w:t>合法</w:t>
      </w:r>
      <w:r>
        <w:rPr>
          <w:rFonts w:ascii="仿宋" w:hAnsi="仿宋" w:eastAsia="仿宋" w:cs="仿宋"/>
          <w:sz w:val="24"/>
          <w:szCs w:val="24"/>
        </w:rPr>
        <w:t>拥有该随机专用软件的自主知识产权（或随机专用软件产品厂商的使用授权书）。同时，乙方应保证甲方</w:t>
      </w:r>
      <w:r>
        <w:rPr>
          <w:rFonts w:hint="eastAsia" w:ascii="仿宋" w:hAnsi="仿宋" w:eastAsia="仿宋" w:cs="仿宋"/>
          <w:sz w:val="24"/>
          <w:szCs w:val="24"/>
        </w:rPr>
        <w:t>合法</w:t>
      </w:r>
      <w:r>
        <w:rPr>
          <w:rFonts w:ascii="仿宋" w:hAnsi="仿宋" w:eastAsia="仿宋" w:cs="仿宋"/>
          <w:sz w:val="24"/>
          <w:szCs w:val="24"/>
        </w:rPr>
        <w:t>享有该随机专用软件的终生免费使用权。并且在甲方使用期间，若该随机软件有升级、更新的，乙方保证甲方</w:t>
      </w:r>
      <w:r>
        <w:rPr>
          <w:rFonts w:hint="eastAsia" w:ascii="仿宋" w:hAnsi="仿宋" w:eastAsia="仿宋" w:cs="仿宋"/>
          <w:sz w:val="24"/>
          <w:szCs w:val="24"/>
        </w:rPr>
        <w:t>享有</w:t>
      </w:r>
      <w:r>
        <w:rPr>
          <w:rFonts w:ascii="仿宋" w:hAnsi="仿宋" w:eastAsia="仿宋" w:cs="仿宋"/>
          <w:sz w:val="24"/>
          <w:szCs w:val="24"/>
        </w:rPr>
        <w:t>免费的软件升级服务。若乙方未取得随机专用软件的自主知识产权或合法使用权，导致甲方无法终生免费使用该软件，或导致甲方因软件使用与第三人产生纠纷的，乙方应赔偿给甲方造成的直接以及间接损失。</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5</w:t>
      </w:r>
      <w:r>
        <w:rPr>
          <w:rFonts w:hint="eastAsia" w:ascii="仿宋" w:hAnsi="仿宋" w:eastAsia="仿宋" w:cs="仿宋"/>
          <w:sz w:val="24"/>
          <w:szCs w:val="24"/>
        </w:rPr>
        <w:t>. 如甲方自己检验或委托有资质的相关质检机构检验，发现货物的数量、质量、规格与合同不符；或者在质量保证期内，证实货物存在缺陷，包括潜在的缺陷或使用不符合要求的材料等，或货物无法满足甲方使用需求，甲方应尽快以书面形式通知乙方。乙方在收到甲方通知后3个工作日内应根据甲方的要求免费上门维修或上门更换有缺陷的货物或部件。</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6</w:t>
      </w:r>
      <w:r>
        <w:rPr>
          <w:rFonts w:hint="eastAsia" w:ascii="仿宋" w:hAnsi="仿宋" w:eastAsia="仿宋" w:cs="仿宋"/>
          <w:sz w:val="24"/>
          <w:szCs w:val="24"/>
        </w:rPr>
        <w:t>. 如果乙方在收到通知后10个工作日内没有弥补缺陷，甲方可采取必要的补救措施</w:t>
      </w:r>
      <w:bookmarkStart w:id="4" w:name="_Hlk47620789"/>
      <w:r>
        <w:rPr>
          <w:rFonts w:hint="eastAsia" w:ascii="仿宋" w:hAnsi="仿宋" w:eastAsia="仿宋" w:cs="仿宋"/>
          <w:sz w:val="24"/>
          <w:szCs w:val="24"/>
        </w:rPr>
        <w:t>（包括但不限于委托第三方维修或另行采购替代的产品）</w:t>
      </w:r>
      <w:bookmarkEnd w:id="4"/>
      <w:r>
        <w:rPr>
          <w:rFonts w:hint="eastAsia" w:ascii="仿宋" w:hAnsi="仿宋" w:eastAsia="仿宋" w:cs="仿宋"/>
          <w:sz w:val="24"/>
          <w:szCs w:val="24"/>
        </w:rPr>
        <w:t>，由此引发的风险和费用均由乙方承担。</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7</w:t>
      </w:r>
      <w:r>
        <w:rPr>
          <w:rFonts w:hint="eastAsia" w:ascii="仿宋" w:hAnsi="仿宋" w:eastAsia="仿宋" w:cs="仿宋"/>
          <w:sz w:val="24"/>
          <w:szCs w:val="24"/>
        </w:rPr>
        <w:t xml:space="preserve">. </w:t>
      </w:r>
      <w:r>
        <w:rPr>
          <w:rFonts w:ascii="仿宋" w:hAnsi="仿宋" w:eastAsia="仿宋" w:cs="仿宋"/>
          <w:sz w:val="24"/>
          <w:szCs w:val="24"/>
        </w:rPr>
        <w:t>在乙方交付货物后至货物通过甲方验收之前，甲方发现货物存在质量问题或质量瑕疵的，甲方有权要求乙方更换货物，乙方应在接到甲方更换货物的通知后，将已交付给甲方的货物搬走，同时在甲方要求的时间内将更换的全新的货物送至甲方的指定地点，相关的费用均由乙方承担。若乙方未按照甲方的要求更换货物的，甲方有权单方面解除合同，由此给甲方造成损失的，甲方有权要求乙方承担赔偿责任。</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8.</w:t>
      </w:r>
      <w:r>
        <w:rPr>
          <w:rFonts w:hint="eastAsia" w:ascii="仿宋" w:hAnsi="仿宋" w:eastAsia="仿宋" w:cs="仿宋"/>
          <w:sz w:val="24"/>
          <w:szCs w:val="24"/>
        </w:rPr>
        <w:t>对本合同项下的货物及其随机配件，乙方提供【3】年的质量保证期，自甲方验收通过之日起计算，包括免费维护和修理，以及终身维修。</w:t>
      </w:r>
      <w:bookmarkStart w:id="5" w:name="_Hlk47620807"/>
      <w:r>
        <w:rPr>
          <w:rFonts w:hint="eastAsia" w:ascii="仿宋" w:hAnsi="仿宋" w:eastAsia="仿宋" w:cs="仿宋"/>
          <w:sz w:val="24"/>
          <w:szCs w:val="24"/>
        </w:rPr>
        <w:t>乙方确认本合同项下</w:t>
      </w:r>
      <w:bookmarkEnd w:id="5"/>
      <w:r>
        <w:rPr>
          <w:rFonts w:hint="eastAsia" w:ascii="仿宋" w:hAnsi="仿宋" w:eastAsia="仿宋" w:cs="仿宋"/>
          <w:sz w:val="24"/>
          <w:szCs w:val="24"/>
        </w:rPr>
        <w:t>维护和修理服务由</w:t>
      </w:r>
      <w:r>
        <w:rPr>
          <w:rFonts w:hint="eastAsia" w:ascii="仿宋" w:hAnsi="仿宋" w:eastAsia="仿宋" w:cs="仿宋"/>
          <w:sz w:val="24"/>
          <w:szCs w:val="24"/>
          <w:u w:val="single"/>
          <w:lang w:val="en-US"/>
        </w:rPr>
        <w:t xml:space="preserve">           </w:t>
      </w:r>
      <w:r>
        <w:rPr>
          <w:rFonts w:hint="eastAsia" w:ascii="仿宋" w:hAnsi="仿宋" w:eastAsia="仿宋" w:cs="仿宋"/>
          <w:sz w:val="24"/>
          <w:szCs w:val="24"/>
        </w:rPr>
        <w:t>提供，质保期间，服务提供方每年进行三次回访。</w:t>
      </w:r>
      <w:bookmarkStart w:id="6" w:name="_Hlk47620821"/>
      <w:r>
        <w:rPr>
          <w:rFonts w:hint="eastAsia" w:ascii="仿宋" w:hAnsi="仿宋" w:eastAsia="仿宋" w:cs="仿宋"/>
          <w:sz w:val="24"/>
          <w:szCs w:val="24"/>
        </w:rPr>
        <w:t>若未按照本合同约定提供维护和修理服务的，</w:t>
      </w:r>
      <w:bookmarkStart w:id="7" w:name="_Hlk47543990"/>
      <w:r>
        <w:rPr>
          <w:rFonts w:hint="eastAsia" w:ascii="仿宋" w:hAnsi="仿宋" w:eastAsia="仿宋" w:cs="仿宋"/>
          <w:sz w:val="24"/>
          <w:szCs w:val="24"/>
        </w:rPr>
        <w:t>甲方有权自行委托第三方进行维护和修理，由此产生的一切风险和费用，由乙方全部承担。</w:t>
      </w:r>
      <w:bookmarkEnd w:id="6"/>
      <w:bookmarkEnd w:id="7"/>
      <w:r>
        <w:rPr>
          <w:rFonts w:hint="eastAsia" w:ascii="仿宋" w:hAnsi="仿宋" w:eastAsia="仿宋" w:cs="仿宋"/>
          <w:sz w:val="24"/>
          <w:szCs w:val="24"/>
        </w:rPr>
        <w:t>保修期届满后，如需要更换零部件，乙方只收取零部件的工本费不收人工服务费</w:t>
      </w:r>
      <w:bookmarkStart w:id="8" w:name="_Hlk49274253"/>
      <w:r>
        <w:rPr>
          <w:rFonts w:hint="eastAsia" w:ascii="仿宋" w:hAnsi="仿宋" w:eastAsia="仿宋" w:cs="仿宋"/>
          <w:sz w:val="24"/>
          <w:szCs w:val="24"/>
        </w:rPr>
        <w:t>用</w:t>
      </w:r>
      <w:bookmarkStart w:id="9" w:name="_Hlk47620835"/>
      <w:r>
        <w:rPr>
          <w:rFonts w:hint="eastAsia" w:ascii="仿宋" w:hAnsi="仿宋" w:eastAsia="仿宋" w:cs="仿宋"/>
          <w:sz w:val="24"/>
          <w:szCs w:val="24"/>
        </w:rPr>
        <w:t>，若更换的费用超出前述约定的，由乙方承担额外的费用</w:t>
      </w:r>
      <w:bookmarkEnd w:id="8"/>
      <w:bookmarkEnd w:id="9"/>
      <w:r>
        <w:rPr>
          <w:rFonts w:hint="eastAsia" w:ascii="仿宋" w:hAnsi="仿宋" w:eastAsia="仿宋" w:cs="仿宋"/>
          <w:sz w:val="24"/>
          <w:szCs w:val="24"/>
        </w:rPr>
        <w:t>。在质保期内，仪器设备在正常使用情况下出现损坏和故障，乙方应保证在接到甲方通知后【2】小时响应,【24】小时内赶到现场根据甲方的要求免费予以维修或调换所需的零部件</w:t>
      </w:r>
      <w:bookmarkStart w:id="10" w:name="_Hlk49274274"/>
      <w:r>
        <w:rPr>
          <w:rFonts w:hint="eastAsia" w:ascii="仿宋" w:hAnsi="仿宋" w:eastAsia="仿宋" w:cs="仿宋"/>
          <w:sz w:val="24"/>
          <w:szCs w:val="24"/>
        </w:rPr>
        <w:t>，</w:t>
      </w:r>
      <w:bookmarkStart w:id="11" w:name="_Hlk47620872"/>
      <w:r>
        <w:rPr>
          <w:rFonts w:hint="eastAsia" w:ascii="仿宋" w:hAnsi="仿宋" w:eastAsia="仿宋" w:cs="仿宋"/>
          <w:sz w:val="24"/>
          <w:szCs w:val="24"/>
        </w:rPr>
        <w:t>若未在约定的时间内响应的，甲方有权自行委托第三方进行维护和修理，由此产生的一切风险和费用，由乙方全部承担。</w:t>
      </w:r>
      <w:bookmarkEnd w:id="10"/>
      <w:bookmarkEnd w:id="11"/>
      <w:r>
        <w:rPr>
          <w:rFonts w:hint="eastAsia" w:ascii="仿宋" w:hAnsi="仿宋" w:eastAsia="仿宋" w:cs="仿宋"/>
          <w:sz w:val="24"/>
          <w:szCs w:val="24"/>
        </w:rPr>
        <w:t>维修项目或者部件或调换部分的保修期从维修完成之日起顺延【3】年。在质保期内,如非因甲方过错而出现质量问题,由乙方负责包修、包换或者包退，并承担修理、调换或退货所发生运费、维修人员交通差旅费用等实际费用。</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9</w:t>
      </w:r>
      <w:r>
        <w:rPr>
          <w:rFonts w:hint="eastAsia" w:ascii="仿宋" w:hAnsi="仿宋" w:eastAsia="仿宋" w:cs="仿宋"/>
          <w:sz w:val="24"/>
          <w:szCs w:val="24"/>
        </w:rPr>
        <w:t>. 乙方提供的仪器设备的维修、保养、培训等相关服务，乙方保证由乙方负责安排设备生产的原厂和其授权代理商提供。</w:t>
      </w:r>
    </w:p>
    <w:p>
      <w:pPr>
        <w:spacing w:line="360" w:lineRule="auto"/>
        <w:ind w:firstLine="480" w:firstLineChars="200"/>
        <w:jc w:val="both"/>
        <w:rPr>
          <w:rFonts w:ascii="仿宋" w:hAnsi="仿宋" w:eastAsia="仿宋" w:cs="仿宋"/>
          <w:sz w:val="24"/>
          <w:szCs w:val="24"/>
        </w:rPr>
      </w:pPr>
      <w:r>
        <w:rPr>
          <w:rFonts w:ascii="仿宋" w:hAnsi="仿宋" w:eastAsia="仿宋" w:cs="仿宋"/>
          <w:sz w:val="24"/>
          <w:szCs w:val="24"/>
        </w:rPr>
        <w:t xml:space="preserve">10. </w:t>
      </w:r>
      <w:r>
        <w:rPr>
          <w:rFonts w:hint="eastAsia" w:ascii="仿宋" w:hAnsi="仿宋" w:eastAsia="仿宋" w:cs="仿宋"/>
          <w:sz w:val="24"/>
          <w:szCs w:val="24"/>
        </w:rPr>
        <w:t>考虑到甲方的特殊性，乙方同意给予甲方所购仪器免费搬迁一次，仪器的拆装、调试、培训服务均由乙方免费提供。</w:t>
      </w:r>
      <w:r>
        <w:rPr>
          <w:rFonts w:hint="eastAsia" w:ascii="仿宋" w:hAnsi="仿宋" w:eastAsia="仿宋" w:cs="仿宋"/>
          <w:sz w:val="24"/>
          <w:szCs w:val="24"/>
        </w:rPr>
        <w:tab/>
      </w:r>
      <w:r>
        <w:rPr>
          <w:rFonts w:hint="eastAsia" w:ascii="仿宋" w:hAnsi="仿宋" w:eastAsia="仿宋" w:cs="仿宋"/>
          <w:sz w:val="24"/>
          <w:szCs w:val="24"/>
        </w:rPr>
        <w:tab/>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五、安装、调试、培训与验收</w:t>
      </w:r>
    </w:p>
    <w:p>
      <w:pPr>
        <w:spacing w:line="360" w:lineRule="auto"/>
        <w:ind w:firstLine="480" w:firstLineChars="200"/>
        <w:jc w:val="both"/>
        <w:rPr>
          <w:rFonts w:ascii="仿宋" w:hAnsi="仿宋" w:eastAsia="仿宋" w:cs="仿宋"/>
          <w:sz w:val="24"/>
          <w:szCs w:val="24"/>
        </w:rPr>
      </w:pPr>
      <w:bookmarkStart w:id="12" w:name="_Toc487900361"/>
      <w:bookmarkStart w:id="13" w:name="_Toc135539110"/>
      <w:r>
        <w:rPr>
          <w:rFonts w:hint="eastAsia" w:ascii="仿宋" w:hAnsi="仿宋" w:eastAsia="仿宋" w:cs="仿宋"/>
          <w:sz w:val="24"/>
          <w:szCs w:val="24"/>
        </w:rPr>
        <w:t xml:space="preserve">1. 乙方应派遣技术人员在货物交付后【7】个工作日内完成本合同项下采购物品的安装和调试工作，并对甲方人员进行技术指导，保证使采购物品达到国家技术质量规范和本合同规定的性能指标。乙方人员在安装和调试期内的费用开支由乙方自行承担。 </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 在安装调试过程中，甲方应提供各种配合条件和所需称职的技术人员和辅助人员，在乙方技术人员的指导下配合乙方进行安装、调试和其他辅助工作。</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3. 乙方安装调试完毕，经【10】个工作日试运行后，由甲方组织人员对采购物品进行验收测试，将验收测试情况记录在《深圳湾实验室货物、服务类验收报告》中。如验收合格，甲方将签署无保留意见的《深圳湾实验室货物、服务类验收报告》。如果采购物品存在缺陷，则该次验收不通过，乙方应当根据甲方的要求采取纠正缺陷的措施，双方协商第二次验收的时间，且乙方应当赔偿给甲方造成的损失。</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4. 甲方有在采购物品制造过程中派员监造的权利,乙方有义务为甲方监造人员行使该权利提供方便。</w:t>
      </w:r>
      <w:bookmarkStart w:id="14" w:name="_Toc345422866"/>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六、违约与索赔</w:t>
      </w:r>
      <w:bookmarkEnd w:id="12"/>
      <w:bookmarkEnd w:id="13"/>
      <w:r>
        <w:rPr>
          <w:rFonts w:hint="eastAsia" w:ascii="仿宋" w:hAnsi="仿宋" w:eastAsia="仿宋" w:cs="仿宋"/>
          <w:sz w:val="24"/>
          <w:szCs w:val="24"/>
        </w:rPr>
        <w:t>及解除合同</w:t>
      </w:r>
      <w:bookmarkEnd w:id="14"/>
      <w:bookmarkStart w:id="15" w:name="_Toc135539113"/>
      <w:bookmarkStart w:id="16" w:name="_Toc487900364"/>
      <w:bookmarkStart w:id="17" w:name="_Ref467378121"/>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 如果货物的质量、规格、数量、重量等与本合同约定不符或质量保证期内证实货物存有缺陷，包括潜在的缺陷或使用不符合要求的材料等，构成乙方违约的，甲方有权</w:t>
      </w:r>
      <w:bookmarkStart w:id="18" w:name="_Hlk47620937"/>
      <w:r>
        <w:rPr>
          <w:rFonts w:hint="eastAsia" w:ascii="仿宋" w:hAnsi="仿宋" w:eastAsia="仿宋" w:cs="仿宋"/>
          <w:sz w:val="24"/>
          <w:szCs w:val="24"/>
        </w:rPr>
        <w:t>选择退回货物要求乙方在指定的时间内更换合格的货物，或退回货物单方面与乙方解除合同。无论甲方选择何种方式，甲方均有权就乙方的行为给其造成的直接或间接损失，</w:t>
      </w:r>
      <w:bookmarkEnd w:id="18"/>
      <w:r>
        <w:rPr>
          <w:rFonts w:hint="eastAsia" w:ascii="仿宋" w:hAnsi="仿宋" w:eastAsia="仿宋" w:cs="仿宋"/>
          <w:sz w:val="24"/>
          <w:szCs w:val="24"/>
        </w:rPr>
        <w:t>向乙方提出索赔。</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w:t>
      </w:r>
      <w:bookmarkStart w:id="19" w:name="_Ref467378076"/>
      <w:r>
        <w:rPr>
          <w:rFonts w:hint="eastAsia" w:ascii="仿宋" w:hAnsi="仿宋" w:eastAsia="仿宋" w:cs="仿宋"/>
          <w:sz w:val="24"/>
          <w:szCs w:val="24"/>
        </w:rPr>
        <w:t>. 如乙方不履行或瑕疵履行本合同项下的义务，均构成违约，乙方应按照甲方要求的下列一种或多种方式解决索赔事宜：</w:t>
      </w:r>
      <w:bookmarkEnd w:id="19"/>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2.1根据货物瑕疵程度、损坏程度以及甲方所遭受损失的数额，经甲乙双方商定降低货物的价格，或由有权的部门评估，然后以降低后的价格或评估价格为准计算甲方在本合同项下应支付的货款或乙方应返还的款项（在甲方已支付货款的情况下）。</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2.2用符合规格、质量和性能要求的新零件、部件或货物来更换有缺陷的部分或修补缺陷部分，具体的补救方式由甲方选择。乙方应承担一切有关的费用和风险，并负担甲方所发生的一切直接费用。</w:t>
      </w:r>
    </w:p>
    <w:p>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2.3除本合同第七条规定外，如果乙方没有按照本合同规定的时间交货，甲方可要求乙方支付违约金。迟延交货的，违约金按每日迟交货物价格的</w:t>
      </w:r>
      <w:r>
        <w:rPr>
          <w:rFonts w:hint="eastAsia" w:ascii="仿宋" w:hAnsi="仿宋" w:eastAsia="仿宋" w:cs="仿宋"/>
          <w:sz w:val="24"/>
          <w:szCs w:val="24"/>
          <w:lang w:val="en-US"/>
        </w:rPr>
        <w:t>千</w:t>
      </w:r>
      <w:r>
        <w:rPr>
          <w:rFonts w:hint="eastAsia" w:ascii="仿宋" w:hAnsi="仿宋" w:eastAsia="仿宋" w:cs="仿宋"/>
          <w:sz w:val="24"/>
          <w:szCs w:val="24"/>
        </w:rPr>
        <w:t>分之五计收，最高不超过合同总金额的百分之十，超过【</w:t>
      </w:r>
      <w:r>
        <w:rPr>
          <w:rFonts w:hint="eastAsia" w:ascii="仿宋" w:hAnsi="仿宋" w:eastAsia="仿宋" w:cs="仿宋"/>
          <w:sz w:val="24"/>
          <w:szCs w:val="24"/>
          <w:lang w:val="en-US"/>
        </w:rPr>
        <w:t>3</w:t>
      </w:r>
      <w:r>
        <w:rPr>
          <w:rFonts w:hint="eastAsia" w:ascii="仿宋" w:hAnsi="仿宋" w:eastAsia="仿宋" w:cs="仿宋"/>
          <w:sz w:val="24"/>
          <w:szCs w:val="24"/>
        </w:rPr>
        <w:t>0】天延迟交货的，甲方有权解除本合同</w:t>
      </w:r>
      <w:bookmarkStart w:id="20" w:name="_Hlk47621031"/>
      <w:r>
        <w:rPr>
          <w:rFonts w:hint="eastAsia" w:ascii="仿宋" w:hAnsi="仿宋" w:eastAsia="仿宋" w:cs="仿宋"/>
          <w:sz w:val="24"/>
          <w:szCs w:val="24"/>
        </w:rPr>
        <w:t>，并要求乙方向甲方返还甲方已支付的货款</w:t>
      </w:r>
      <w:bookmarkEnd w:id="20"/>
      <w:r>
        <w:rPr>
          <w:rFonts w:hint="eastAsia" w:ascii="仿宋" w:hAnsi="仿宋" w:eastAsia="仿宋" w:cs="仿宋"/>
          <w:sz w:val="24"/>
          <w:szCs w:val="24"/>
        </w:rPr>
        <w:t>。</w:t>
      </w:r>
    </w:p>
    <w:p>
      <w:pPr>
        <w:spacing w:line="360" w:lineRule="auto"/>
        <w:ind w:firstLine="480" w:firstLineChars="200"/>
        <w:jc w:val="both"/>
        <w:rPr>
          <w:rFonts w:ascii="仿宋" w:hAnsi="仿宋" w:eastAsia="仿宋" w:cs="仿宋"/>
          <w:sz w:val="24"/>
          <w:szCs w:val="24"/>
        </w:rPr>
      </w:pPr>
      <w:bookmarkStart w:id="21" w:name="_Ref467378234"/>
      <w:r>
        <w:rPr>
          <w:rFonts w:hint="eastAsia" w:ascii="仿宋" w:hAnsi="仿宋" w:eastAsia="仿宋" w:cs="仿宋"/>
          <w:sz w:val="24"/>
          <w:szCs w:val="24"/>
        </w:rPr>
        <w:t>2.4 在乙方违约的情况下，甲方除有权根据本合同第六条的规定要求乙方承担违约责任外，还可向乙方发出书面通知，限期要求其纠正违约行为。</w:t>
      </w:r>
      <w:bookmarkEnd w:id="21"/>
      <w:r>
        <w:rPr>
          <w:rFonts w:hint="eastAsia" w:ascii="仿宋" w:hAnsi="仿宋" w:eastAsia="仿宋" w:cs="仿宋"/>
          <w:sz w:val="24"/>
          <w:szCs w:val="24"/>
        </w:rPr>
        <w:t>如乙方未能在合同规定的限期或甲方同意延长的限期内，提供全部或部分货物/服务,则甲方有权解除本合同，且甲方在本合同项下追究乙方违约责任的权利不受影响。</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3. 在甲方根据本合同的规定，全部或部分解除合同之后，另行全部或部分购买乙方未交付的类似的货物或服务，乙方应承担甲方购买类似货物或服务而产生的额外支出。部分解除合同的，乙方应继续履行合同中未解除的部分。</w:t>
      </w:r>
      <w:bookmarkStart w:id="22" w:name="_Toc345422867"/>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七、不可抗力</w:t>
      </w:r>
      <w:bookmarkEnd w:id="15"/>
      <w:bookmarkEnd w:id="16"/>
      <w:bookmarkEnd w:id="17"/>
      <w:r>
        <w:rPr>
          <w:rFonts w:hint="eastAsia" w:ascii="仿宋" w:hAnsi="仿宋" w:eastAsia="仿宋" w:cs="仿宋"/>
          <w:sz w:val="24"/>
          <w:szCs w:val="24"/>
        </w:rPr>
        <w:t>造成后果的处理</w:t>
      </w:r>
      <w:bookmarkEnd w:id="22"/>
      <w:r>
        <w:rPr>
          <w:rFonts w:hint="eastAsia" w:ascii="仿宋" w:hAnsi="仿宋" w:eastAsia="仿宋" w:cs="仿宋"/>
          <w:sz w:val="24"/>
          <w:szCs w:val="24"/>
        </w:rPr>
        <w:tab/>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 如果甲乙双方中任何一方遭遇法律规定的不可抗力致使合同履行受阻，履行合同的期限应予延长，延长期限应相当于不可抗力所影响的时间。</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 受事故影响的一方应在不可抗力的事故发生后尽快以书面形式通知另一方，并在事故发生 10 个工作日内，将有关部门出具的证明文件送达另一方。</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3. 不可抗力使合同的某些内容有变更必要的，双方应通过协商在 5 个工作日内达成进一步履行合同的协议，因不可抗力致使合同不能履行的，合同终止。</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八、保密条款</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 xml:space="preserve">1. 本合同项下一方提供给另一方的技术资料、信息、计算机软件、专有技术、设计方案等知识产权及价格条款等商业秘密和技术秘密，接收方应采取保密措施，予以严密保守。 </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 除为了履行本合同项下义务而需接触另一方有关技术资料等商业秘密和技术秘密的有关员工外，任何一方皆同意不向其他人员泄露另一方的任何保密信息，也不向任何第三方转让、交换或泄漏另一方提供的上述商业秘密和技术秘密等，或擅自出版以上保密信息。如违反本条规定致使另一方遭受损失，该违约方应负法律责任，并赔偿守约方由此遭受的直接经济损失。</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 xml:space="preserve">3. 本合同项下的保密义务期限为永久，不因合同终止而结束。 </w:t>
      </w:r>
      <w:bookmarkStart w:id="23" w:name="_Hlt487900425"/>
      <w:bookmarkEnd w:id="23"/>
      <w:bookmarkStart w:id="24" w:name="_Toc487900366"/>
      <w:bookmarkStart w:id="25" w:name="_Toc345422868"/>
      <w:bookmarkStart w:id="26" w:name="_Toc135539115"/>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九</w:t>
      </w:r>
      <w:bookmarkEnd w:id="24"/>
      <w:r>
        <w:rPr>
          <w:rFonts w:hint="eastAsia" w:ascii="仿宋" w:hAnsi="仿宋" w:eastAsia="仿宋" w:cs="仿宋"/>
          <w:sz w:val="24"/>
          <w:szCs w:val="24"/>
        </w:rPr>
        <w:t>、合同争议的解决</w:t>
      </w:r>
      <w:bookmarkEnd w:id="25"/>
      <w:bookmarkEnd w:id="26"/>
    </w:p>
    <w:p>
      <w:p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凡有关本合同或执行本合同而发生的一切争执，应通过友好协商解决</w:t>
      </w:r>
      <w:bookmarkStart w:id="27" w:name="_Hlk49274376"/>
      <w:r>
        <w:rPr>
          <w:rFonts w:hint="eastAsia" w:ascii="仿宋" w:hAnsi="仿宋" w:eastAsia="仿宋" w:cs="仿宋"/>
          <w:sz w:val="24"/>
          <w:szCs w:val="24"/>
        </w:rPr>
        <w:t>。</w:t>
      </w:r>
      <w:bookmarkStart w:id="28" w:name="_Hlk47621177"/>
      <w:r>
        <w:rPr>
          <w:rFonts w:hint="eastAsia" w:ascii="仿宋" w:hAnsi="仿宋" w:eastAsia="仿宋" w:cs="仿宋"/>
          <w:sz w:val="24"/>
          <w:szCs w:val="24"/>
        </w:rPr>
        <w:t>协商不成的，可提请甲方所在地有管辖权的人民法院诉讼。</w:t>
      </w:r>
      <w:bookmarkEnd w:id="27"/>
      <w:bookmarkEnd w:id="28"/>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十、合同修改</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甲方和乙方都不得单方变更本合同。如须对本合同条款进行变更，当事人双方须共同签署书面文件，作为本合同的补充，与本合同具有同等法律效力。</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十一、合同生效及其他</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cs/>
        </w:rPr>
        <w:t>.</w:t>
      </w:r>
      <w:r>
        <w:rPr>
          <w:rFonts w:hint="eastAsia" w:ascii="仿宋" w:hAnsi="仿宋" w:eastAsia="仿宋" w:cs="仿宋"/>
          <w:sz w:val="24"/>
          <w:szCs w:val="24"/>
        </w:rPr>
        <w:t xml:space="preserve"> 本合同自甲、乙双方授权代表签字并加盖双方印章后即刻生效。本合同一式（6）份，甲方执（4）份，乙方执（2）份，每份具有相同的法律效力。</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2. 为本合同的顺利执行完成，甲、乙双方指定以下人员为各自联系人：</w:t>
      </w:r>
    </w:p>
    <w:p>
      <w:pPr>
        <w:spacing w:line="360" w:lineRule="auto"/>
        <w:ind w:firstLine="480" w:firstLineChars="200"/>
        <w:jc w:val="both"/>
        <w:rPr>
          <w:rFonts w:ascii="仿宋" w:hAnsi="仿宋" w:eastAsia="仿宋" w:cs="仿宋"/>
          <w:sz w:val="24"/>
          <w:szCs w:val="24"/>
        </w:rPr>
      </w:pP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甲方联系人：                 电话：</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传真：</w:t>
      </w:r>
    </w:p>
    <w:p>
      <w:pPr>
        <w:spacing w:line="360" w:lineRule="auto"/>
        <w:ind w:firstLine="480" w:firstLineChars="200"/>
        <w:jc w:val="both"/>
        <w:rPr>
          <w:rFonts w:ascii="仿宋" w:hAnsi="仿宋" w:eastAsia="仿宋" w:cs="仿宋"/>
          <w:sz w:val="24"/>
          <w:szCs w:val="24"/>
        </w:rPr>
      </w:pP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乙方联系人：                 电话：</w:t>
      </w: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传真：</w:t>
      </w:r>
    </w:p>
    <w:p>
      <w:pPr>
        <w:spacing w:line="360" w:lineRule="auto"/>
        <w:ind w:firstLine="480" w:firstLineChars="200"/>
        <w:jc w:val="both"/>
        <w:rPr>
          <w:rFonts w:ascii="仿宋" w:hAnsi="仿宋" w:eastAsia="仿宋" w:cs="仿宋"/>
          <w:sz w:val="24"/>
          <w:szCs w:val="24"/>
        </w:rPr>
      </w:pPr>
    </w:p>
    <w:p>
      <w:pPr>
        <w:numPr>
          <w:ilvl w:val="0"/>
          <w:numId w:val="2"/>
        </w:numPr>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本合同附件《配置清单》</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项目编号：</w:t>
      </w:r>
      <w:r>
        <w:rPr>
          <w:rFonts w:hint="eastAsia" w:ascii="仿宋" w:hAnsi="仿宋" w:eastAsia="仿宋" w:cs="仿宋"/>
          <w:sz w:val="24"/>
          <w:szCs w:val="24"/>
          <w:u w:val="single"/>
          <w:lang w:val="en-US" w:eastAsia="zh-CN"/>
        </w:rPr>
        <w:t xml:space="preserve">              招标/竞价/竞争性谈判/单一来源采购</w:t>
      </w:r>
      <w:r>
        <w:rPr>
          <w:rFonts w:hint="eastAsia" w:ascii="仿宋" w:hAnsi="仿宋" w:eastAsia="仿宋" w:cs="仿宋"/>
          <w:sz w:val="24"/>
          <w:szCs w:val="24"/>
          <w:u w:val="none"/>
          <w:lang w:val="en-US" w:eastAsia="zh-CN"/>
        </w:rPr>
        <w:t>文件及乙方的投标文件</w:t>
      </w:r>
      <w:r>
        <w:rPr>
          <w:rFonts w:hint="eastAsia" w:ascii="仿宋" w:hAnsi="仿宋" w:eastAsia="仿宋" w:cs="仿宋"/>
          <w:sz w:val="24"/>
          <w:szCs w:val="24"/>
        </w:rPr>
        <w:t>为本合同不可分割的组成部分，与本合同具有相同的法律效力。</w:t>
      </w:r>
    </w:p>
    <w:p>
      <w:pPr>
        <w:spacing w:line="360" w:lineRule="auto"/>
        <w:ind w:firstLine="480" w:firstLineChars="200"/>
        <w:jc w:val="both"/>
        <w:rPr>
          <w:rFonts w:hint="eastAsia" w:ascii="仿宋" w:hAnsi="仿宋" w:eastAsia="仿宋" w:cs="仿宋"/>
          <w:sz w:val="24"/>
          <w:szCs w:val="24"/>
        </w:rPr>
      </w:pP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 xml:space="preserve">甲方：深圳湾实验室      </w:t>
      </w:r>
      <w:r>
        <w:rPr>
          <w:rFonts w:hint="eastAsia" w:ascii="仿宋" w:hAnsi="仿宋" w:eastAsia="仿宋" w:cs="仿宋"/>
          <w:sz w:val="24"/>
          <w:szCs w:val="24"/>
          <w:lang w:val="en-US"/>
        </w:rPr>
        <w:t xml:space="preserve">       </w:t>
      </w:r>
      <w:r>
        <w:rPr>
          <w:rFonts w:hint="eastAsia" w:ascii="仿宋" w:hAnsi="仿宋" w:eastAsia="仿宋" w:cs="仿宋"/>
          <w:sz w:val="24"/>
          <w:szCs w:val="24"/>
        </w:rPr>
        <w:t xml:space="preserve">乙方(公章)： </w:t>
      </w:r>
    </w:p>
    <w:p>
      <w:pPr>
        <w:spacing w:line="360" w:lineRule="auto"/>
        <w:ind w:firstLine="480" w:firstLineChars="200"/>
        <w:jc w:val="both"/>
        <w:rPr>
          <w:rFonts w:ascii="仿宋" w:hAnsi="仿宋" w:eastAsia="仿宋" w:cs="仿宋"/>
          <w:sz w:val="24"/>
          <w:szCs w:val="24"/>
        </w:rPr>
      </w:pP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 xml:space="preserve">授权代表(签字)：       </w:t>
      </w:r>
      <w:r>
        <w:rPr>
          <w:rFonts w:hint="eastAsia" w:ascii="仿宋" w:hAnsi="仿宋" w:eastAsia="仿宋" w:cs="仿宋"/>
          <w:sz w:val="24"/>
          <w:szCs w:val="24"/>
          <w:lang w:val="en-US"/>
        </w:rPr>
        <w:t xml:space="preserve">       </w:t>
      </w:r>
      <w:r>
        <w:rPr>
          <w:rFonts w:hint="eastAsia" w:ascii="仿宋" w:hAnsi="仿宋" w:eastAsia="仿宋" w:cs="仿宋"/>
          <w:sz w:val="24"/>
          <w:szCs w:val="24"/>
        </w:rPr>
        <w:t xml:space="preserve"> 授权代表(签字)：              </w:t>
      </w:r>
    </w:p>
    <w:p>
      <w:pPr>
        <w:spacing w:line="360" w:lineRule="auto"/>
        <w:ind w:firstLine="480" w:firstLineChars="200"/>
        <w:jc w:val="both"/>
        <w:rPr>
          <w:rFonts w:ascii="仿宋" w:hAnsi="仿宋" w:eastAsia="仿宋" w:cs="仿宋"/>
          <w:sz w:val="24"/>
          <w:szCs w:val="24"/>
        </w:rPr>
      </w:pPr>
    </w:p>
    <w:p>
      <w:pPr>
        <w:spacing w:line="360" w:lineRule="auto"/>
        <w:ind w:firstLine="480" w:firstLineChars="200"/>
        <w:jc w:val="both"/>
        <w:rPr>
          <w:rFonts w:ascii="仿宋" w:hAnsi="仿宋" w:eastAsia="仿宋" w:cs="仿宋"/>
          <w:sz w:val="24"/>
          <w:szCs w:val="24"/>
        </w:rPr>
      </w:pPr>
      <w:r>
        <w:rPr>
          <w:rFonts w:hint="eastAsia" w:ascii="仿宋" w:hAnsi="仿宋" w:eastAsia="仿宋" w:cs="仿宋"/>
          <w:sz w:val="24"/>
          <w:szCs w:val="24"/>
        </w:rPr>
        <w:t xml:space="preserve">日期：    年    月    日   </w:t>
      </w:r>
      <w:r>
        <w:rPr>
          <w:rFonts w:hint="eastAsia" w:ascii="仿宋" w:hAnsi="仿宋" w:eastAsia="仿宋" w:cs="仿宋"/>
          <w:sz w:val="24"/>
          <w:szCs w:val="24"/>
          <w:lang w:val="en-US"/>
        </w:rPr>
        <w:t xml:space="preserve">   </w:t>
      </w:r>
      <w:r>
        <w:rPr>
          <w:rFonts w:hint="eastAsia" w:ascii="仿宋" w:hAnsi="仿宋" w:eastAsia="仿宋" w:cs="仿宋"/>
          <w:sz w:val="24"/>
          <w:szCs w:val="24"/>
        </w:rPr>
        <w:t xml:space="preserve"> 日期：    年    月    日</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29" w:name="q5"/>
      <w:bookmarkEnd w:id="29"/>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30" w:name="q6"/>
      <w:bookmarkEnd w:id="30"/>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8"/>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1" w:name="q7"/>
      <w:bookmarkEnd w:id="31"/>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32" w:name="_Hlt35050056"/>
      <w:bookmarkEnd w:id="32"/>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33" w:name="q8"/>
      <w:bookmarkEnd w:id="33"/>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34" w:name="q9"/>
      <w:bookmarkEnd w:id="34"/>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9"/>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492"/>
        <w:gridCol w:w="24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mc:AlternateContent>
                <mc:Choice Requires="wps">
                  <w:drawing>
                    <wp:anchor distT="0" distB="0" distL="114300" distR="114300" simplePos="0" relativeHeight="251678720" behindDoc="0" locked="0" layoutInCell="1" allowOverlap="1">
                      <wp:simplePos x="0" y="0"/>
                      <wp:positionH relativeFrom="column">
                        <wp:posOffset>716280</wp:posOffset>
                      </wp:positionH>
                      <wp:positionV relativeFrom="paragraph">
                        <wp:posOffset>552450</wp:posOffset>
                      </wp:positionV>
                      <wp:extent cx="54610" cy="119380"/>
                      <wp:effectExtent l="1905" t="0" r="635" b="4445"/>
                      <wp:wrapNone/>
                      <wp:docPr id="42" name="__TH_B3733"/>
                      <wp:cNvGraphicFramePr/>
                      <a:graphic xmlns:a="http://schemas.openxmlformats.org/drawingml/2006/main">
                        <a:graphicData uri="http://schemas.microsoft.com/office/word/2010/wordprocessingShape">
                          <wps:wsp>
                            <wps:cNvSpPr txBox="1">
                              <a:spLocks noChangeArrowheads="1"/>
                            </wps:cNvSpPr>
                            <wps:spPr bwMode="auto">
                              <a:xfrm>
                                <a:off x="0" y="0"/>
                                <a:ext cx="54610" cy="119380"/>
                              </a:xfrm>
                              <a:prstGeom prst="rect">
                                <a:avLst/>
                              </a:prstGeom>
                              <a:noFill/>
                              <a:ln>
                                <a:noFill/>
                              </a:ln>
                            </wps:spPr>
                            <wps:txbx>
                              <w:txbxContent>
                                <w:p>
                                  <w:pPr>
                                    <w:snapToGrid w:val="0"/>
                                    <w:rPr>
                                      <w:sz w:val="15"/>
                                    </w:rPr>
                                  </w:pPr>
                                  <w:r>
                                    <w:rPr>
                                      <w:rFonts w:hint="eastAsia"/>
                                      <w:sz w:val="15"/>
                                    </w:rPr>
                                    <w:t>元</w:t>
                                  </w:r>
                                </w:p>
                              </w:txbxContent>
                            </wps:txbx>
                            <wps:bodyPr rot="0" vert="horz" wrap="square" lIns="0" tIns="0" rIns="0" bIns="0" anchor="t" anchorCtr="0" upright="1">
                              <a:noAutofit/>
                            </wps:bodyPr>
                          </wps:wsp>
                        </a:graphicData>
                      </a:graphic>
                    </wp:anchor>
                  </w:drawing>
                </mc:Choice>
                <mc:Fallback>
                  <w:pict>
                    <v:shape id="__TH_B3733" o:spid="_x0000_s1026" o:spt="202" type="#_x0000_t202" style="position:absolute;left:0pt;margin-left:56.4pt;margin-top:43.5pt;height:9.4pt;width:4.3pt;z-index:251678720;mso-width-relative:page;mso-height-relative:page;" filled="f" stroked="f" coordsize="21600,21600" o:gfxdata="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MCE0vYAAAACgEAAA8AAAAAAAAAAQAgAAAAIgAAAGRycy9k&#10;b3ducmV2LnhtbFBLAQIUABQAAAAIAIdO4kCTi6jBAgIAAAMEAAAOAAAAAAAAAAEAIAAAACcBAABk&#10;cnMvZTJvRG9jLnhtbFBLBQYAAAAABgAGAFkBAACbBQAAAAA=&#10;">
                      <v:fill on="f" focussize="0,0"/>
                      <v:stroke on="f"/>
                      <v:imagedata o:title=""/>
                      <o:lock v:ext="edit" aspectratio="f"/>
                      <v:textbox inset="0mm,0mm,0mm,0mm">
                        <w:txbxContent>
                          <w:p>
                            <w:pPr>
                              <w:snapToGrid w:val="0"/>
                              <w:rPr>
                                <w:sz w:val="15"/>
                              </w:rPr>
                            </w:pPr>
                            <w:r>
                              <w:rPr>
                                <w:rFonts w:hint="eastAsia"/>
                                <w:sz w:val="15"/>
                              </w:rPr>
                              <w:t>元</w:t>
                            </w:r>
                          </w:p>
                        </w:txbxContent>
                      </v:textbox>
                    </v:shape>
                  </w:pict>
                </mc:Fallback>
              </mc:AlternateContent>
            </w:r>
            <w:r>
              <w:rPr>
                <w:rFonts w:ascii="仿宋" w:hAnsi="仿宋" w:eastAsia="仿宋"/>
                <w:szCs w:val="21"/>
              </w:rPr>
              <mc:AlternateContent>
                <mc:Choice Requires="wps">
                  <w:drawing>
                    <wp:anchor distT="0" distB="0" distL="114300" distR="114300" simplePos="0" relativeHeight="251677696" behindDoc="0" locked="0" layoutInCell="1" allowOverlap="1">
                      <wp:simplePos x="0" y="0"/>
                      <wp:positionH relativeFrom="column">
                        <wp:posOffset>565785</wp:posOffset>
                      </wp:positionH>
                      <wp:positionV relativeFrom="paragraph">
                        <wp:posOffset>537845</wp:posOffset>
                      </wp:positionV>
                      <wp:extent cx="125095" cy="119380"/>
                      <wp:effectExtent l="3810" t="4445" r="4445" b="0"/>
                      <wp:wrapNone/>
                      <wp:docPr id="41" name="__TH_B3632"/>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万</w:t>
                                  </w:r>
                                </w:p>
                              </w:txbxContent>
                            </wps:txbx>
                            <wps:bodyPr rot="0" vert="horz" wrap="square" lIns="0" tIns="0" rIns="0" bIns="0" anchor="t" anchorCtr="0" upright="1">
                              <a:noAutofit/>
                            </wps:bodyPr>
                          </wps:wsp>
                        </a:graphicData>
                      </a:graphic>
                    </wp:anchor>
                  </w:drawing>
                </mc:Choice>
                <mc:Fallback>
                  <w:pict>
                    <v:shape id="__TH_B3632" o:spid="_x0000_s1026" o:spt="202" type="#_x0000_t202" style="position:absolute;left:0pt;margin-left:44.55pt;margin-top:42.35pt;height:9.4pt;width:9.85pt;z-index:251677696;mso-width-relative:page;mso-height-relative:page;" filled="f" stroked="f" coordsize="21600,21600" o:gfxdata="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aAzudcAAAAJAQAADwAAAAAAAAABACAAAAAiAAAAZHJzL2Rv&#10;d25yZXYueG1sUEsBAhQAFAAAAAgAh07iQCr5FzMCAgAABAQAAA4AAAAAAAAAAQAgAAAAJgEAAGRy&#10;cy9lMm9Eb2MueG1sUEsFBgAAAAAGAAYAWQEAAJoFAAAAAA==&#10;">
                      <v:fill on="f" focussize="0,0"/>
                      <v:stroke on="f"/>
                      <v:imagedata o:title=""/>
                      <o:lock v:ext="edit" aspectratio="f"/>
                      <v:textbox inset="0mm,0mm,0mm,0mm">
                        <w:txbxContent>
                          <w:p>
                            <w:pPr>
                              <w:snapToGrid w:val="0"/>
                              <w:rPr>
                                <w:sz w:val="15"/>
                              </w:rPr>
                            </w:pPr>
                            <w:r>
                              <w:rPr>
                                <w:rFonts w:hint="eastAsia"/>
                                <w:sz w:val="15"/>
                              </w:rPr>
                              <w:t>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6672" behindDoc="0" locked="0" layoutInCell="1" allowOverlap="1">
                      <wp:simplePos x="0" y="0"/>
                      <wp:positionH relativeFrom="column">
                        <wp:posOffset>488315</wp:posOffset>
                      </wp:positionH>
                      <wp:positionV relativeFrom="paragraph">
                        <wp:posOffset>523240</wp:posOffset>
                      </wp:positionV>
                      <wp:extent cx="49530" cy="119380"/>
                      <wp:effectExtent l="2540" t="0" r="0" b="0"/>
                      <wp:wrapNone/>
                      <wp:docPr id="40" name="__TH_B3531"/>
                      <wp:cNvGraphicFramePr/>
                      <a:graphic xmlns:a="http://schemas.openxmlformats.org/drawingml/2006/main">
                        <a:graphicData uri="http://schemas.microsoft.com/office/word/2010/wordprocessingShape">
                          <wps:wsp>
                            <wps:cNvSpPr txBox="1">
                              <a:spLocks noChangeArrowheads="1"/>
                            </wps:cNvSpPr>
                            <wps:spPr bwMode="auto">
                              <a:xfrm>
                                <a:off x="0" y="0"/>
                                <a:ext cx="49530" cy="119380"/>
                              </a:xfrm>
                              <a:prstGeom prst="rect">
                                <a:avLst/>
                              </a:prstGeom>
                              <a:noFill/>
                              <a:ln>
                                <a:noFill/>
                              </a:ln>
                            </wps:spPr>
                            <wps:txbx>
                              <w:txbxContent>
                                <w:p>
                                  <w:pPr>
                                    <w:snapToGrid w:val="0"/>
                                    <w:rPr>
                                      <w:sz w:val="15"/>
                                    </w:rPr>
                                  </w:pPr>
                                  <w:r>
                                    <w:rPr>
                                      <w:sz w:val="15"/>
                                    </w:rPr>
                                    <w:t>(</w:t>
                                  </w:r>
                                </w:p>
                              </w:txbxContent>
                            </wps:txbx>
                            <wps:bodyPr rot="0" vert="horz" wrap="square" lIns="0" tIns="0" rIns="0" bIns="0" anchor="t" anchorCtr="0" upright="1">
                              <a:noAutofit/>
                            </wps:bodyPr>
                          </wps:wsp>
                        </a:graphicData>
                      </a:graphic>
                    </wp:anchor>
                  </w:drawing>
                </mc:Choice>
                <mc:Fallback>
                  <w:pict>
                    <v:shape id="__TH_B3531" o:spid="_x0000_s1026" o:spt="202" type="#_x0000_t202" style="position:absolute;left:0pt;margin-left:38.45pt;margin-top:41.2pt;height:9.4pt;width:3.9pt;z-index:251676672;mso-width-relative:page;mso-height-relative:page;" filled="f" stroked="f" coordsize="21600,21600" o:gfxdata="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mV162AAAAAgBAAAPAAAAAAAAAAEAIAAAACIAAABkcnMvZG93&#10;bnJldi54bWxQSwECFAAUAAAACACHTuJAgm8aIwACAAADBAAADgAAAAAAAAABACAAAAAnAQAAZHJz&#10;L2Uyb0RvYy54bWxQSwUGAAAAAAYABgBZAQAAmQUAAAAA&#10;">
                      <v:fill on="f" focussize="0,0"/>
                      <v:stroke on="f"/>
                      <v:imagedata o:title=""/>
                      <o:lock v:ext="edit" aspectratio="f"/>
                      <v:textbox inset="0mm,0mm,0mm,0mm">
                        <w:txbxContent>
                          <w:p>
                            <w:pPr>
                              <w:snapToGrid w:val="0"/>
                              <w:rPr>
                                <w:sz w:val="15"/>
                              </w:rPr>
                            </w:pPr>
                            <w:r>
                              <w:rPr>
                                <w:sz w:val="15"/>
                              </w:rPr>
                              <w:t>(</w:t>
                            </w:r>
                          </w:p>
                        </w:txbxContent>
                      </v:textbox>
                    </v:shape>
                  </w:pict>
                </mc:Fallback>
              </mc:AlternateContent>
            </w:r>
            <w:r>
              <w:rPr>
                <w:rFonts w:ascii="仿宋" w:hAnsi="仿宋" w:eastAsia="仿宋"/>
                <w:szCs w:val="21"/>
              </w:rPr>
              <mc:AlternateContent>
                <mc:Choice Requires="wps">
                  <w:drawing>
                    <wp:anchor distT="0" distB="0" distL="114300" distR="114300" simplePos="0" relativeHeight="251675648" behindDoc="0" locked="0" layoutInCell="1" allowOverlap="1">
                      <wp:simplePos x="0" y="0"/>
                      <wp:positionH relativeFrom="column">
                        <wp:posOffset>334645</wp:posOffset>
                      </wp:positionH>
                      <wp:positionV relativeFrom="paragraph">
                        <wp:posOffset>508635</wp:posOffset>
                      </wp:positionV>
                      <wp:extent cx="125730" cy="119380"/>
                      <wp:effectExtent l="1270" t="3810" r="0" b="635"/>
                      <wp:wrapNone/>
                      <wp:docPr id="39" name="__TH_B3430"/>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额</w:t>
                                  </w:r>
                                </w:p>
                              </w:txbxContent>
                            </wps:txbx>
                            <wps:bodyPr rot="0" vert="horz" wrap="square" lIns="0" tIns="0" rIns="0" bIns="0" anchor="t" anchorCtr="0" upright="1">
                              <a:noAutofit/>
                            </wps:bodyPr>
                          </wps:wsp>
                        </a:graphicData>
                      </a:graphic>
                    </wp:anchor>
                  </w:drawing>
                </mc:Choice>
                <mc:Fallback>
                  <w:pict>
                    <v:shape id="__TH_B3430" o:spid="_x0000_s1026" o:spt="202" type="#_x0000_t202" style="position:absolute;left:0pt;margin-left:26.35pt;margin-top:40.05pt;height:9.4pt;width:9.9pt;z-index:251675648;mso-width-relative:page;mso-height-relative:page;" filled="f" stroked="f" coordsize="21600,21600" o:gfxdata="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akhx1wAAAAcBAAAPAAAAAAAAAAEAIAAAACIAAABkcnMvZG93&#10;bnJldi54bWxQSwECFAAUAAAACACHTuJASIQZjgECAAAE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额</w:t>
                            </w:r>
                          </w:p>
                        </w:txbxContent>
                      </v:textbox>
                    </v:shape>
                  </w:pict>
                </mc:Fallback>
              </mc:AlternateContent>
            </w:r>
            <w:r>
              <w:rPr>
                <w:rFonts w:ascii="仿宋" w:hAnsi="仿宋" w:eastAsia="仿宋"/>
                <w:szCs w:val="21"/>
              </w:rPr>
              <mc:AlternateContent>
                <mc:Choice Requires="wps">
                  <w:drawing>
                    <wp:anchor distT="0" distB="0" distL="114300" distR="114300" simplePos="0" relativeHeight="251674624" behindDoc="0" locked="0" layoutInCell="1" allowOverlap="1">
                      <wp:simplePos x="0" y="0"/>
                      <wp:positionH relativeFrom="column">
                        <wp:posOffset>219710</wp:posOffset>
                      </wp:positionH>
                      <wp:positionV relativeFrom="paragraph">
                        <wp:posOffset>494030</wp:posOffset>
                      </wp:positionV>
                      <wp:extent cx="125095" cy="119380"/>
                      <wp:effectExtent l="635" t="0" r="0" b="0"/>
                      <wp:wrapNone/>
                      <wp:docPr id="38" name="__TH_B3329"/>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金</w:t>
                                  </w:r>
                                </w:p>
                              </w:txbxContent>
                            </wps:txbx>
                            <wps:bodyPr rot="0" vert="horz" wrap="square" lIns="0" tIns="0" rIns="0" bIns="0" anchor="t" anchorCtr="0" upright="1">
                              <a:noAutofit/>
                            </wps:bodyPr>
                          </wps:wsp>
                        </a:graphicData>
                      </a:graphic>
                    </wp:anchor>
                  </w:drawing>
                </mc:Choice>
                <mc:Fallback>
                  <w:pict>
                    <v:shape id="__TH_B3329" o:spid="_x0000_s1026" o:spt="202" type="#_x0000_t202" style="position:absolute;left:0pt;margin-left:17.3pt;margin-top:38.9pt;height:9.4pt;width:9.85pt;z-index:251674624;mso-width-relative:page;mso-height-relative:page;" filled="f" stroked="f" coordsize="21600,21600" o:gfxdata="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Z1PIdcAAAAHAQAADwAAAAAAAAABACAAAAAiAAAAZHJzL2Rv&#10;d25yZXYueG1sUEsBAhQAFAAAAAgAh07iQDNWqvQCAgAABAQAAA4AAAAAAAAAAQAgAAAAJgEAAGRy&#10;cy9lMm9Eb2MueG1sUEsFBgAAAAAGAAYAWQEAAJoFAAAAAA==&#10;">
                      <v:fill on="f" focussize="0,0"/>
                      <v:stroke on="f"/>
                      <v:imagedata o:title=""/>
                      <o:lock v:ext="edit" aspectratio="f"/>
                      <v:textbox inset="0mm,0mm,0mm,0mm">
                        <w:txbxContent>
                          <w:p>
                            <w:pPr>
                              <w:snapToGrid w:val="0"/>
                              <w:rPr>
                                <w:sz w:val="15"/>
                              </w:rPr>
                            </w:pPr>
                            <w:r>
                              <w:rPr>
                                <w:rFonts w:hint="eastAsia"/>
                                <w:sz w:val="15"/>
                              </w:rPr>
                              <w:t>金</w:t>
                            </w:r>
                          </w:p>
                        </w:txbxContent>
                      </v:textbox>
                    </v:shape>
                  </w:pict>
                </mc:Fallback>
              </mc:AlternateContent>
            </w:r>
            <w:r>
              <w:rPr>
                <w:rFonts w:ascii="仿宋" w:hAnsi="仿宋" w:eastAsia="仿宋"/>
                <w:szCs w:val="21"/>
              </w:rPr>
              <mc:AlternateContent>
                <mc:Choice Requires="wps">
                  <w:drawing>
                    <wp:anchor distT="0" distB="0" distL="114300" distR="114300" simplePos="0" relativeHeight="251673600" behindDoc="0" locked="0" layoutInCell="1" allowOverlap="1">
                      <wp:simplePos x="0" y="0"/>
                      <wp:positionH relativeFrom="column">
                        <wp:posOffset>104140</wp:posOffset>
                      </wp:positionH>
                      <wp:positionV relativeFrom="paragraph">
                        <wp:posOffset>479425</wp:posOffset>
                      </wp:positionV>
                      <wp:extent cx="125730" cy="119380"/>
                      <wp:effectExtent l="0" t="3175" r="0" b="1270"/>
                      <wp:wrapNone/>
                      <wp:docPr id="36" name="__TH_B3228"/>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标</w:t>
                                  </w:r>
                                </w:p>
                              </w:txbxContent>
                            </wps:txbx>
                            <wps:bodyPr rot="0" vert="horz" wrap="square" lIns="0" tIns="0" rIns="0" bIns="0" anchor="t" anchorCtr="0" upright="1">
                              <a:noAutofit/>
                            </wps:bodyPr>
                          </wps:wsp>
                        </a:graphicData>
                      </a:graphic>
                    </wp:anchor>
                  </w:drawing>
                </mc:Choice>
                <mc:Fallback>
                  <w:pict>
                    <v:shape id="__TH_B3228" o:spid="_x0000_s1026" o:spt="202" type="#_x0000_t202" style="position:absolute;left:0pt;margin-left:8.2pt;margin-top:37.75pt;height:9.4pt;width:9.9pt;z-index:251673600;mso-width-relative:page;mso-height-relative:page;" filled="f" stroked="f" coordsize="21600,21600" o:gfxdata="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W1nYT1gAAAAcBAAAPAAAAAAAAAAEAIAAAACIAAABkcnMvZG93&#10;bnJldi54bWxQSwECFAAUAAAACACHTuJAHJ8VEgICAAAEBAAADgAAAAAAAAABACAAAAAlAQAAZHJz&#10;L2Uyb0RvYy54bWxQSwUGAAAAAAYABgBZAQAAmQUAAAAA&#10;">
                      <v:fill on="f" focussize="0,0"/>
                      <v:stroke on="f"/>
                      <v:imagedata o:title=""/>
                      <o:lock v:ext="edit" aspectratio="f"/>
                      <v:textbox inset="0mm,0mm,0mm,0mm">
                        <w:txbxContent>
                          <w:p>
                            <w:pPr>
                              <w:snapToGrid w:val="0"/>
                              <w:rPr>
                                <w:sz w:val="15"/>
                              </w:rPr>
                            </w:pPr>
                            <w:r>
                              <w:rPr>
                                <w:rFonts w:hint="eastAsia"/>
                                <w:sz w:val="15"/>
                              </w:rPr>
                              <w:t>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2576" behindDoc="0" locked="0" layoutInCell="1" allowOverlap="1">
                      <wp:simplePos x="0" y="0"/>
                      <wp:positionH relativeFrom="column">
                        <wp:posOffset>-10795</wp:posOffset>
                      </wp:positionH>
                      <wp:positionV relativeFrom="paragraph">
                        <wp:posOffset>464820</wp:posOffset>
                      </wp:positionV>
                      <wp:extent cx="125095" cy="119380"/>
                      <wp:effectExtent l="0" t="0" r="0" b="0"/>
                      <wp:wrapNone/>
                      <wp:docPr id="35" name="__TH_B3127"/>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中</w:t>
                                  </w:r>
                                </w:p>
                              </w:txbxContent>
                            </wps:txbx>
                            <wps:bodyPr rot="0" vert="horz" wrap="square" lIns="0" tIns="0" rIns="0" bIns="0" anchor="t" anchorCtr="0" upright="1">
                              <a:noAutofit/>
                            </wps:bodyPr>
                          </wps:wsp>
                        </a:graphicData>
                      </a:graphic>
                    </wp:anchor>
                  </w:drawing>
                </mc:Choice>
                <mc:Fallback>
                  <w:pict>
                    <v:shape id="__TH_B3127" o:spid="_x0000_s1026" o:spt="202" type="#_x0000_t202" style="position:absolute;left:0pt;margin-left:-0.85pt;margin-top:36.6pt;height:9.4pt;width:9.85pt;z-index:251672576;mso-width-relative:page;mso-height-relative:page;" filled="f" stroked="f" coordsize="21600,21600" o:gfxdata="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43oM01gAAAAcBAAAPAAAAAAAAAAEAIAAAACIAAABkcnMvZG93&#10;bnJldi54bWxQSwECFAAUAAAACACHTuJALiPoowICAAAEBAAADgAAAAAAAAABACAAAAAlAQAAZHJz&#10;L2Uyb0RvYy54bWxQSwUGAAAAAAYABgBZAQAAmQUAAAAA&#10;">
                      <v:fill on="f" focussize="0,0"/>
                      <v:stroke on="f"/>
                      <v:imagedata o:title=""/>
                      <o:lock v:ext="edit" aspectratio="f"/>
                      <v:textbox inset="0mm,0mm,0mm,0mm">
                        <w:txbxContent>
                          <w:p>
                            <w:pPr>
                              <w:snapToGrid w:val="0"/>
                              <w:rPr>
                                <w:sz w:val="15"/>
                              </w:rPr>
                            </w:pPr>
                            <w:r>
                              <w:rPr>
                                <w:rFonts w:hint="eastAsia"/>
                                <w:sz w:val="15"/>
                              </w:rPr>
                              <w:t>中</w:t>
                            </w:r>
                          </w:p>
                        </w:txbxContent>
                      </v:textbox>
                    </v:shape>
                  </w:pict>
                </mc:Fallback>
              </mc:AlternateContent>
            </w:r>
            <w:r>
              <w:rPr>
                <w:rFonts w:ascii="仿宋" w:hAnsi="仿宋" w:eastAsia="仿宋"/>
                <w:szCs w:val="21"/>
              </w:rPr>
              <mc:AlternateContent>
                <mc:Choice Requires="wps">
                  <w:drawing>
                    <wp:anchor distT="0" distB="0" distL="114300" distR="114300" simplePos="0" relativeHeight="251671552" behindDoc="0" locked="0" layoutInCell="1" allowOverlap="1">
                      <wp:simplePos x="0" y="0"/>
                      <wp:positionH relativeFrom="column">
                        <wp:posOffset>805180</wp:posOffset>
                      </wp:positionH>
                      <wp:positionV relativeFrom="paragraph">
                        <wp:posOffset>407035</wp:posOffset>
                      </wp:positionV>
                      <wp:extent cx="125095" cy="118745"/>
                      <wp:effectExtent l="0" t="0" r="3175" b="0"/>
                      <wp:wrapNone/>
                      <wp:docPr id="33" name="__TH_B2226"/>
                      <wp:cNvGraphicFramePr/>
                      <a:graphic xmlns:a="http://schemas.openxmlformats.org/drawingml/2006/main">
                        <a:graphicData uri="http://schemas.microsoft.com/office/word/2010/wordprocessingShape">
                          <wps:wsp>
                            <wps:cNvSpPr txBox="1">
                              <a:spLocks noChangeArrowheads="1"/>
                            </wps:cNvSpPr>
                            <wps:spPr bwMode="auto">
                              <a:xfrm>
                                <a:off x="0" y="0"/>
                                <a:ext cx="125095" cy="118745"/>
                              </a:xfrm>
                              <a:prstGeom prst="rect">
                                <a:avLst/>
                              </a:prstGeom>
                              <a:noFill/>
                              <a:ln>
                                <a:noFill/>
                              </a:ln>
                            </wps:spPr>
                            <wps:txbx>
                              <w:txbxContent>
                                <w:p>
                                  <w:pPr>
                                    <w:snapToGrid w:val="0"/>
                                    <w:rPr>
                                      <w:sz w:val="15"/>
                                    </w:rPr>
                                  </w:pPr>
                                  <w:r>
                                    <w:rPr>
                                      <w:rFonts w:hint="eastAsia"/>
                                      <w:sz w:val="15"/>
                                    </w:rPr>
                                    <w:t>率</w:t>
                                  </w:r>
                                </w:p>
                              </w:txbxContent>
                            </wps:txbx>
                            <wps:bodyPr rot="0" vert="horz" wrap="square" lIns="0" tIns="0" rIns="0" bIns="0" anchor="t" anchorCtr="0" upright="1">
                              <a:noAutofit/>
                            </wps:bodyPr>
                          </wps:wsp>
                        </a:graphicData>
                      </a:graphic>
                    </wp:anchor>
                  </w:drawing>
                </mc:Choice>
                <mc:Fallback>
                  <w:pict>
                    <v:shape id="__TH_B2226" o:spid="_x0000_s1026" o:spt="202" type="#_x0000_t202" style="position:absolute;left:0pt;margin-left:63.4pt;margin-top:32.05pt;height:9.35pt;width:9.85pt;z-index:251671552;mso-width-relative:page;mso-height-relative:page;" filled="f" stroked="f" coordsize="21600,21600" o:gfxdata="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WtKtTXAAAACQEAAA8AAAAAAAAAAQAgAAAAIgAAAGRycy9k&#10;b3ducmV2LnhtbFBLAQIUABQAAAAIAIdO4kDsh9wFAwIAAAQEAAAOAAAAAAAAAAEAIAAAACYBAABk&#10;cnMvZTJvRG9jLnhtbFBLBQYAAAAABgAGAFkBAACbBQAAAAA=&#10;">
                      <v:fill on="f" focussize="0,0"/>
                      <v:stroke on="f"/>
                      <v:imagedata o:title=""/>
                      <o:lock v:ext="edit" aspectratio="f"/>
                      <v:textbox inset="0mm,0mm,0mm,0mm">
                        <w:txbxContent>
                          <w:p>
                            <w:pPr>
                              <w:snapToGrid w:val="0"/>
                              <w:rPr>
                                <w:sz w:val="15"/>
                              </w:rPr>
                            </w:pPr>
                            <w:r>
                              <w:rPr>
                                <w:rFonts w:hint="eastAsia"/>
                                <w:sz w:val="15"/>
                              </w:rPr>
                              <w:t>率</w:t>
                            </w:r>
                          </w:p>
                        </w:txbxContent>
                      </v:textbox>
                    </v:shape>
                  </w:pict>
                </mc:Fallback>
              </mc:AlternateContent>
            </w:r>
            <w:r>
              <w:rPr>
                <w:rFonts w:ascii="仿宋" w:hAnsi="仿宋" w:eastAsia="仿宋"/>
                <w:szCs w:val="21"/>
              </w:rPr>
              <mc:AlternateContent>
                <mc:Choice Requires="wps">
                  <w:drawing>
                    <wp:anchor distT="0" distB="0" distL="114300" distR="114300" simplePos="0" relativeHeight="251670528" behindDoc="0" locked="0" layoutInCell="1" allowOverlap="1">
                      <wp:simplePos x="0" y="0"/>
                      <wp:positionH relativeFrom="column">
                        <wp:posOffset>253365</wp:posOffset>
                      </wp:positionH>
                      <wp:positionV relativeFrom="paragraph">
                        <wp:posOffset>127635</wp:posOffset>
                      </wp:positionV>
                      <wp:extent cx="125730" cy="119380"/>
                      <wp:effectExtent l="0" t="3810" r="1905" b="635"/>
                      <wp:wrapNone/>
                      <wp:docPr id="32" name="__TH_B2125"/>
                      <wp:cNvGraphicFramePr/>
                      <a:graphic xmlns:a="http://schemas.openxmlformats.org/drawingml/2006/main">
                        <a:graphicData uri="http://schemas.microsoft.com/office/word/2010/wordprocessingShape">
                          <wps:wsp>
                            <wps:cNvSpPr txBox="1">
                              <a:spLocks noChangeArrowheads="1"/>
                            </wps:cNvSpPr>
                            <wps:spPr bwMode="auto">
                              <a:xfrm>
                                <a:off x="0" y="0"/>
                                <a:ext cx="125730" cy="119380"/>
                              </a:xfrm>
                              <a:prstGeom prst="rect">
                                <a:avLst/>
                              </a:prstGeom>
                              <a:noFill/>
                              <a:ln>
                                <a:noFill/>
                              </a:ln>
                            </wps:spPr>
                            <wps:txbx>
                              <w:txbxContent>
                                <w:p>
                                  <w:pPr>
                                    <w:snapToGrid w:val="0"/>
                                    <w:rPr>
                                      <w:sz w:val="15"/>
                                    </w:rPr>
                                  </w:pPr>
                                  <w:r>
                                    <w:rPr>
                                      <w:rFonts w:hint="eastAsia"/>
                                      <w:sz w:val="15"/>
                                    </w:rPr>
                                    <w:t>费</w:t>
                                  </w:r>
                                </w:p>
                              </w:txbxContent>
                            </wps:txbx>
                            <wps:bodyPr rot="0" vert="horz" wrap="square" lIns="0" tIns="0" rIns="0" bIns="0" anchor="t" anchorCtr="0" upright="1">
                              <a:noAutofit/>
                            </wps:bodyPr>
                          </wps:wsp>
                        </a:graphicData>
                      </a:graphic>
                    </wp:anchor>
                  </w:drawing>
                </mc:Choice>
                <mc:Fallback>
                  <w:pict>
                    <v:shape id="__TH_B2125" o:spid="_x0000_s1026" o:spt="202" type="#_x0000_t202" style="position:absolute;left:0pt;margin-left:19.95pt;margin-top:10.05pt;height:9.4pt;width:9.9pt;z-index:251670528;mso-width-relative:page;mso-height-relative:page;" filled="f" stroked="f" coordsize="21600,21600" o:gfxdata="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3HkNdUAAAAHAQAADwAAAAAAAAABACAAAAAiAAAAZHJzL2Rvd25y&#10;ZXYueG1sUEsBAhQAFAAAAAgAh07iQDOx8acBAgAABAQAAA4AAAAAAAAAAQAgAAAAJAEAAGRycy9l&#10;Mm9Eb2MueG1sUEsFBgAAAAAGAAYAWQEAAJcFAAAAAA==&#10;">
                      <v:fill on="f" focussize="0,0"/>
                      <v:stroke on="f"/>
                      <v:imagedata o:title=""/>
                      <o:lock v:ext="edit" aspectratio="f"/>
                      <v:textbox inset="0mm,0mm,0mm,0mm">
                        <w:txbxContent>
                          <w:p>
                            <w:pPr>
                              <w:snapToGrid w:val="0"/>
                              <w:rPr>
                                <w:sz w:val="15"/>
                              </w:rPr>
                            </w:pPr>
                            <w:r>
                              <w:rPr>
                                <w:rFonts w:hint="eastAsia"/>
                                <w:sz w:val="15"/>
                              </w:rPr>
                              <w:t>费</w:t>
                            </w:r>
                          </w:p>
                        </w:txbxContent>
                      </v:textbox>
                    </v:shape>
                  </w:pict>
                </mc:Fallback>
              </mc:AlternateContent>
            </w:r>
            <w:r>
              <w:rPr>
                <w:rFonts w:ascii="仿宋" w:hAnsi="仿宋" w:eastAsia="仿宋"/>
                <w:szCs w:val="21"/>
              </w:rPr>
              <mc:AlternateContent>
                <mc:Choice Requires="wps">
                  <w:drawing>
                    <wp:anchor distT="0" distB="0" distL="114300" distR="114300" simplePos="0" relativeHeight="251669504" behindDoc="0" locked="0" layoutInCell="1" allowOverlap="1">
                      <wp:simplePos x="0" y="0"/>
                      <wp:positionH relativeFrom="column">
                        <wp:posOffset>1125855</wp:posOffset>
                      </wp:positionH>
                      <wp:positionV relativeFrom="paragraph">
                        <wp:posOffset>410845</wp:posOffset>
                      </wp:positionV>
                      <wp:extent cx="125095" cy="118745"/>
                      <wp:effectExtent l="1905" t="1270" r="0" b="3810"/>
                      <wp:wrapNone/>
                      <wp:docPr id="30" name="__TH_B1424"/>
                      <wp:cNvGraphicFramePr/>
                      <a:graphic xmlns:a="http://schemas.openxmlformats.org/drawingml/2006/main">
                        <a:graphicData uri="http://schemas.microsoft.com/office/word/2010/wordprocessingShape">
                          <wps:wsp>
                            <wps:cNvSpPr txBox="1">
                              <a:spLocks noChangeArrowheads="1"/>
                            </wps:cNvSpPr>
                            <wps:spPr bwMode="auto">
                              <a:xfrm>
                                <a:off x="0" y="0"/>
                                <a:ext cx="125095" cy="118745"/>
                              </a:xfrm>
                              <a:prstGeom prst="rect">
                                <a:avLst/>
                              </a:prstGeom>
                              <a:noFill/>
                              <a:ln>
                                <a:noFill/>
                              </a:ln>
                            </wps:spPr>
                            <wps:txbx>
                              <w:txbxContent>
                                <w:p>
                                  <w:pPr>
                                    <w:snapToGrid w:val="0"/>
                                    <w:rPr>
                                      <w:sz w:val="15"/>
                                    </w:rPr>
                                  </w:pPr>
                                  <w:r>
                                    <w:rPr>
                                      <w:rFonts w:hint="eastAsia"/>
                                      <w:sz w:val="15"/>
                                    </w:rPr>
                                    <w:t>型</w:t>
                                  </w:r>
                                </w:p>
                              </w:txbxContent>
                            </wps:txbx>
                            <wps:bodyPr rot="0" vert="horz" wrap="square" lIns="0" tIns="0" rIns="0" bIns="0" anchor="t" anchorCtr="0" upright="1">
                              <a:noAutofit/>
                            </wps:bodyPr>
                          </wps:wsp>
                        </a:graphicData>
                      </a:graphic>
                    </wp:anchor>
                  </w:drawing>
                </mc:Choice>
                <mc:Fallback>
                  <w:pict>
                    <v:shape id="__TH_B1424" o:spid="_x0000_s1026" o:spt="202" type="#_x0000_t202" style="position:absolute;left:0pt;margin-left:88.65pt;margin-top:32.35pt;height:9.35pt;width:9.85pt;z-index:251669504;mso-width-relative:page;mso-height-relative:page;" filled="f" stroked="f" coordsize="21600,21600" o:gfxdata="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PUyQDYAAAACQEAAA8AAAAAAAAAAQAgAAAAIgAAAGRycy9k&#10;b3ducmV2LnhtbFBLAQIUABQAAAAIAIdO4kD2rphbAgIAAAQEAAAOAAAAAAAAAAEAIAAAACcBAABk&#10;cnMvZTJvRG9jLnhtbFBLBQYAAAAABgAGAFkBAACbBQAAAAA=&#10;">
                      <v:fill on="f" focussize="0,0"/>
                      <v:stroke on="f"/>
                      <v:imagedata o:title=""/>
                      <o:lock v:ext="edit" aspectratio="f"/>
                      <v:textbox inset="0mm,0mm,0mm,0mm">
                        <w:txbxContent>
                          <w:p>
                            <w:pPr>
                              <w:snapToGrid w:val="0"/>
                              <w:rPr>
                                <w:sz w:val="15"/>
                              </w:rPr>
                            </w:pPr>
                            <w:r>
                              <w:rPr>
                                <w:rFonts w:hint="eastAsia"/>
                                <w:sz w:val="15"/>
                              </w:rPr>
                              <w:t>型</w:t>
                            </w:r>
                          </w:p>
                        </w:txbxContent>
                      </v:textbox>
                    </v:shape>
                  </w:pict>
                </mc:Fallback>
              </mc:AlternateContent>
            </w:r>
            <w:r>
              <w:rPr>
                <w:rFonts w:ascii="仿宋" w:hAnsi="仿宋" w:eastAsia="仿宋"/>
                <w:szCs w:val="21"/>
              </w:rPr>
              <mc:AlternateContent>
                <mc:Choice Requires="wps">
                  <w:drawing>
                    <wp:anchor distT="0" distB="0" distL="114300" distR="114300" simplePos="0" relativeHeight="251668480" behindDoc="0" locked="0" layoutInCell="1" allowOverlap="1">
                      <wp:simplePos x="0" y="0"/>
                      <wp:positionH relativeFrom="column">
                        <wp:posOffset>1066165</wp:posOffset>
                      </wp:positionH>
                      <wp:positionV relativeFrom="paragraph">
                        <wp:posOffset>289560</wp:posOffset>
                      </wp:positionV>
                      <wp:extent cx="125095" cy="119380"/>
                      <wp:effectExtent l="0" t="3810" r="0" b="635"/>
                      <wp:wrapNone/>
                      <wp:docPr id="29" name="__TH_B1323"/>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类</w:t>
                                  </w:r>
                                </w:p>
                              </w:txbxContent>
                            </wps:txbx>
                            <wps:bodyPr rot="0" vert="horz" wrap="square" lIns="0" tIns="0" rIns="0" bIns="0" anchor="t" anchorCtr="0" upright="1">
                              <a:noAutofit/>
                            </wps:bodyPr>
                          </wps:wsp>
                        </a:graphicData>
                      </a:graphic>
                    </wp:anchor>
                  </w:drawing>
                </mc:Choice>
                <mc:Fallback>
                  <w:pict>
                    <v:shape id="__TH_B1323" o:spid="_x0000_s1026" o:spt="202" type="#_x0000_t202" style="position:absolute;left:0pt;margin-left:83.95pt;margin-top:22.8pt;height:9.4pt;width:9.85pt;z-index:251668480;mso-width-relative:page;mso-height-relative:page;" filled="f" stroked="f" coordsize="21600,21600" o:gfxdata="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rqVZnYAAAACQEAAA8AAAAAAAAAAQAgAAAAIgAAAGRycy9k&#10;b3ducmV2LnhtbFBLAQIUABQAAAAIAIdO4kB7/uPEAgIAAAQEAAAOAAAAAAAAAAEAIAAAACcBAABk&#10;cnMvZTJvRG9jLnhtbFBLBQYAAAAABgAGAFkBAACbBQAAAAA=&#10;">
                      <v:fill on="f" focussize="0,0"/>
                      <v:stroke on="f"/>
                      <v:imagedata o:title=""/>
                      <o:lock v:ext="edit" aspectratio="f"/>
                      <v:textbox inset="0mm,0mm,0mm,0mm">
                        <w:txbxContent>
                          <w:p>
                            <w:pPr>
                              <w:snapToGrid w:val="0"/>
                              <w:rPr>
                                <w:sz w:val="15"/>
                              </w:rPr>
                            </w:pPr>
                            <w:r>
                              <w:rPr>
                                <w:rFonts w:hint="eastAsia"/>
                                <w:sz w:val="15"/>
                              </w:rPr>
                              <w:t>类</w:t>
                            </w:r>
                          </w:p>
                        </w:txbxContent>
                      </v:textbox>
                    </v:shape>
                  </w:pict>
                </mc:Fallback>
              </mc:AlternateContent>
            </w:r>
            <w:r>
              <w:rPr>
                <w:rFonts w:ascii="仿宋" w:hAnsi="仿宋" w:eastAsia="仿宋"/>
                <w:szCs w:val="21"/>
              </w:rPr>
              <mc:AlternateContent>
                <mc:Choice Requires="wps">
                  <w:drawing>
                    <wp:anchor distT="0" distB="0" distL="114300" distR="114300" simplePos="0" relativeHeight="251667456" behindDoc="0" locked="0" layoutInCell="1" allowOverlap="1">
                      <wp:simplePos x="0" y="0"/>
                      <wp:positionH relativeFrom="column">
                        <wp:posOffset>1006475</wp:posOffset>
                      </wp:positionH>
                      <wp:positionV relativeFrom="paragraph">
                        <wp:posOffset>168910</wp:posOffset>
                      </wp:positionV>
                      <wp:extent cx="125095" cy="119380"/>
                      <wp:effectExtent l="0" t="0" r="1905" b="0"/>
                      <wp:wrapNone/>
                      <wp:docPr id="27" name="__TH_B1222"/>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务</w:t>
                                  </w:r>
                                </w:p>
                              </w:txbxContent>
                            </wps:txbx>
                            <wps:bodyPr rot="0" vert="horz" wrap="square" lIns="0" tIns="0" rIns="0" bIns="0" anchor="t" anchorCtr="0" upright="1">
                              <a:noAutofit/>
                            </wps:bodyPr>
                          </wps:wsp>
                        </a:graphicData>
                      </a:graphic>
                    </wp:anchor>
                  </w:drawing>
                </mc:Choice>
                <mc:Fallback>
                  <w:pict>
                    <v:shape id="__TH_B1222" o:spid="_x0000_s1026" o:spt="202" type="#_x0000_t202" style="position:absolute;left:0pt;margin-left:79.25pt;margin-top:13.3pt;height:9.4pt;width:9.85pt;z-index:251667456;mso-width-relative:page;mso-height-relative:page;" filled="f" stroked="f" coordsize="21600,21600" o:gfxdata="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NfNo/YAAAACQEAAA8AAAAAAAAAAQAgAAAAIgAAAGRycy9k&#10;b3ducmV2LnhtbFBLAQIUABQAAAAIAIdO4kAa9uzLAgIAAAQEAAAOAAAAAAAAAAEAIAAAACcBAABk&#10;cnMvZTJvRG9jLnhtbFBLBQYAAAAABgAGAFkBAACbBQAAAAA=&#10;">
                      <v:fill on="f" focussize="0,0"/>
                      <v:stroke on="f"/>
                      <v:imagedata o:title=""/>
                      <o:lock v:ext="edit" aspectratio="f"/>
                      <v:textbox inset="0mm,0mm,0mm,0mm">
                        <w:txbxContent>
                          <w:p>
                            <w:pPr>
                              <w:snapToGrid w:val="0"/>
                              <w:rPr>
                                <w:sz w:val="15"/>
                              </w:rPr>
                            </w:pPr>
                            <w:r>
                              <w:rPr>
                                <w:rFonts w:hint="eastAsia"/>
                                <w:sz w:val="15"/>
                              </w:rPr>
                              <w:t>务</w:t>
                            </w:r>
                          </w:p>
                        </w:txbxContent>
                      </v:textbox>
                    </v:shape>
                  </w:pict>
                </mc:Fallback>
              </mc:AlternateContent>
            </w:r>
            <w:r>
              <w:rPr>
                <w:rFonts w:ascii="仿宋" w:hAnsi="仿宋" w:eastAsia="仿宋"/>
                <w:szCs w:val="21"/>
              </w:rPr>
              <mc:AlternateContent>
                <mc:Choice Requires="wps">
                  <w:drawing>
                    <wp:anchor distT="0" distB="0" distL="114300" distR="114300" simplePos="0" relativeHeight="251666432" behindDoc="0" locked="0" layoutInCell="1" allowOverlap="1">
                      <wp:simplePos x="0" y="0"/>
                      <wp:positionH relativeFrom="column">
                        <wp:posOffset>946785</wp:posOffset>
                      </wp:positionH>
                      <wp:positionV relativeFrom="paragraph">
                        <wp:posOffset>48260</wp:posOffset>
                      </wp:positionV>
                      <wp:extent cx="125095" cy="119380"/>
                      <wp:effectExtent l="3810" t="635" r="4445" b="3810"/>
                      <wp:wrapNone/>
                      <wp:docPr id="26" name="__TH_B1121"/>
                      <wp:cNvGraphicFramePr/>
                      <a:graphic xmlns:a="http://schemas.openxmlformats.org/drawingml/2006/main">
                        <a:graphicData uri="http://schemas.microsoft.com/office/word/2010/wordprocessingShape">
                          <wps:wsp>
                            <wps:cNvSpPr txBox="1">
                              <a:spLocks noChangeArrowheads="1"/>
                            </wps:cNvSpPr>
                            <wps:spPr bwMode="auto">
                              <a:xfrm>
                                <a:off x="0" y="0"/>
                                <a:ext cx="125095" cy="119380"/>
                              </a:xfrm>
                              <a:prstGeom prst="rect">
                                <a:avLst/>
                              </a:prstGeom>
                              <a:noFill/>
                              <a:ln>
                                <a:noFill/>
                              </a:ln>
                            </wps:spPr>
                            <wps:txbx>
                              <w:txbxContent>
                                <w:p>
                                  <w:pPr>
                                    <w:snapToGrid w:val="0"/>
                                    <w:rPr>
                                      <w:sz w:val="15"/>
                                    </w:rPr>
                                  </w:pPr>
                                  <w:r>
                                    <w:rPr>
                                      <w:rFonts w:hint="eastAsia"/>
                                      <w:sz w:val="15"/>
                                    </w:rPr>
                                    <w:t>服</w:t>
                                  </w:r>
                                </w:p>
                              </w:txbxContent>
                            </wps:txbx>
                            <wps:bodyPr rot="0" vert="horz" wrap="square" lIns="0" tIns="0" rIns="0" bIns="0" anchor="t" anchorCtr="0" upright="1">
                              <a:noAutofit/>
                            </wps:bodyPr>
                          </wps:wsp>
                        </a:graphicData>
                      </a:graphic>
                    </wp:anchor>
                  </w:drawing>
                </mc:Choice>
                <mc:Fallback>
                  <w:pict>
                    <v:shape id="__TH_B1121" o:spid="_x0000_s1026" o:spt="202" type="#_x0000_t202" style="position:absolute;left:0pt;margin-left:74.55pt;margin-top:3.8pt;height:9.4pt;width:9.85pt;z-index:251666432;mso-width-relative:page;mso-height-relative:page;" filled="f" stroked="f" coordsize="21600,21600" o:gfxdata="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2So/1wAAAAgBAAAPAAAAAAAAAAEAIAAAACIAAABkcnMvZG93&#10;bnJldi54bWxQSwECFAAUAAAACACHTuJAdjyNygECAAAEBAAADgAAAAAAAAABACAAAAAmAQAAZHJz&#10;L2Uyb0RvYy54bWxQSwUGAAAAAAYABgBZAQAAmQUAAAAA&#10;">
                      <v:fill on="f" focussize="0,0"/>
                      <v:stroke on="f"/>
                      <v:imagedata o:title=""/>
                      <o:lock v:ext="edit" aspectratio="f"/>
                      <v:textbox inset="0mm,0mm,0mm,0mm">
                        <w:txbxContent>
                          <w:p>
                            <w:pPr>
                              <w:snapToGrid w:val="0"/>
                              <w:rPr>
                                <w:sz w:val="15"/>
                              </w:rPr>
                            </w:pPr>
                            <w:r>
                              <w:rPr>
                                <w:rFonts w:hint="eastAsia"/>
                                <w:sz w:val="15"/>
                              </w:rPr>
                              <w:t>服</w:t>
                            </w:r>
                          </w:p>
                        </w:txbxContent>
                      </v:textbox>
                    </v:shape>
                  </w:pict>
                </mc:Fallback>
              </mc:AlternateContent>
            </w:r>
            <w:r>
              <w:rPr>
                <w:rFonts w:ascii="仿宋" w:hAnsi="仿宋" w:eastAsia="仿宋"/>
                <w:szCs w:val="21"/>
              </w:rPr>
              <mc:AlternateContent>
                <mc:Choice Requires="wps">
                  <w:drawing>
                    <wp:anchor distT="0" distB="0" distL="114300" distR="114300" simplePos="0" relativeHeight="251665408" behindDoc="0" locked="0" layoutInCell="1" allowOverlap="1">
                      <wp:simplePos x="0" y="0"/>
                      <wp:positionH relativeFrom="column">
                        <wp:posOffset>-65405</wp:posOffset>
                      </wp:positionH>
                      <wp:positionV relativeFrom="paragraph">
                        <wp:posOffset>340995</wp:posOffset>
                      </wp:positionV>
                      <wp:extent cx="1346200" cy="340360"/>
                      <wp:effectExtent l="10795" t="7620" r="5080" b="13970"/>
                      <wp:wrapNone/>
                      <wp:docPr id="24" name="__TH_L20"/>
                      <wp:cNvGraphicFramePr/>
                      <a:graphic xmlns:a="http://schemas.openxmlformats.org/drawingml/2006/main">
                        <a:graphicData uri="http://schemas.microsoft.com/office/word/2010/wordprocessingShape">
                          <wps:wsp>
                            <wps:cNvCnPr>
                              <a:cxnSpLocks noChangeShapeType="1"/>
                            </wps:cNvCnPr>
                            <wps:spPr bwMode="auto">
                              <a:xfrm>
                                <a:off x="0" y="0"/>
                                <a:ext cx="1346200" cy="340360"/>
                              </a:xfrm>
                              <a:prstGeom prst="line">
                                <a:avLst/>
                              </a:prstGeom>
                              <a:noFill/>
                              <a:ln w="6350">
                                <a:solidFill>
                                  <a:srgbClr val="000000"/>
                                </a:solidFill>
                                <a:round/>
                              </a:ln>
                            </wps:spPr>
                            <wps:bodyPr/>
                          </wps:wsp>
                        </a:graphicData>
                      </a:graphic>
                    </wp:anchor>
                  </w:drawing>
                </mc:Choice>
                <mc:Fallback>
                  <w:pict>
                    <v:line id="__TH_L20" o:spid="_x0000_s1026" o:spt="20" style="position:absolute;left:0pt;margin-left:-5.15pt;margin-top:26.85pt;height:26.8pt;width:106pt;z-index:251665408;mso-width-relative:page;mso-height-relative:page;" filled="f" stroked="t" coordsize="21600,21600" o:gfxdata="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m6gAC1gAAAAoBAAAPAAAAAAAAAAEAIAAA&#10;ACIAAABkcnMvZG93bnJldi54bWxQSwECFAAUAAAACACHTuJAl0KkCNUBAACnAwAADgAAAAAAAAAB&#10;ACAAAAAlAQAAZHJzL2Uyb0RvYy54bWxQSwUGAAAAAAYABgBZAQAAbAUAAAAA&#10;">
                      <v:fill on="f" focussize="0,0"/>
                      <v:stroke weight="0.5pt" color="#000000" joinstyle="round"/>
                      <v:imagedata o:title=""/>
                      <o:lock v:ext="edit" aspectratio="f"/>
                    </v:line>
                  </w:pict>
                </mc:Fallback>
              </mc:AlternateContent>
            </w:r>
            <w:r>
              <w:rPr>
                <w:rFonts w:ascii="仿宋" w:hAnsi="仿宋" w:eastAsia="仿宋"/>
                <w:szCs w:val="21"/>
              </w:rPr>
              <mc:AlternateContent>
                <mc:Choice Requires="wps">
                  <w:drawing>
                    <wp:anchor distT="0" distB="0" distL="114300" distR="114300" simplePos="0" relativeHeight="251664384" behindDoc="0" locked="0" layoutInCell="1" allowOverlap="1">
                      <wp:simplePos x="0" y="0"/>
                      <wp:positionH relativeFrom="column">
                        <wp:posOffset>607695</wp:posOffset>
                      </wp:positionH>
                      <wp:positionV relativeFrom="paragraph">
                        <wp:posOffset>0</wp:posOffset>
                      </wp:positionV>
                      <wp:extent cx="673100" cy="681355"/>
                      <wp:effectExtent l="7620" t="9525" r="5080" b="13970"/>
                      <wp:wrapNone/>
                      <wp:docPr id="23" name="__TH_L19"/>
                      <wp:cNvGraphicFramePr/>
                      <a:graphic xmlns:a="http://schemas.openxmlformats.org/drawingml/2006/main">
                        <a:graphicData uri="http://schemas.microsoft.com/office/word/2010/wordprocessingShape">
                          <wps:wsp>
                            <wps:cNvCnPr>
                              <a:cxnSpLocks noChangeShapeType="1"/>
                            </wps:cNvCnPr>
                            <wps:spPr bwMode="auto">
                              <a:xfrm>
                                <a:off x="0" y="0"/>
                                <a:ext cx="673100" cy="681355"/>
                              </a:xfrm>
                              <a:prstGeom prst="line">
                                <a:avLst/>
                              </a:prstGeom>
                              <a:noFill/>
                              <a:ln w="6350">
                                <a:solidFill>
                                  <a:srgbClr val="000000"/>
                                </a:solidFill>
                                <a:round/>
                              </a:ln>
                            </wps:spPr>
                            <wps:bodyPr/>
                          </wps:wsp>
                        </a:graphicData>
                      </a:graphic>
                    </wp:anchor>
                  </w:drawing>
                </mc:Choice>
                <mc:Fallback>
                  <w:pict>
                    <v:line id="__TH_L19" o:spid="_x0000_s1026" o:spt="20" style="position:absolute;left:0pt;margin-left:47.85pt;margin-top:0pt;height:53.65pt;width:53pt;z-index:251664384;mso-width-relative:page;mso-height-relative:page;" filled="f" stroked="t" coordsize="21600,21600" o:gfxdata="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3G1tN0wAAAAcBAAAPAAAAAAAAAAEAIAAAACIAAABk&#10;cnMvZG93bnJldi54bWxQSwECFAAUAAAACACHTuJAFuosWNIBAACmAwAADgAAAAAAAAABACAAAAAi&#10;AQAAZHJzL2Uyb0RvYy54bWxQSwUGAAAAAAYABgBZAQAAZgUAAAAA&#10;">
                      <v:fill on="f" focussize="0,0"/>
                      <v:stroke weight="0.5pt" color="#000000" joinstyle="round"/>
                      <v:imagedata o:title=""/>
                      <o:lock v:ext="edit" aspectratio="f"/>
                    </v:line>
                  </w:pict>
                </mc:Fallback>
              </mc:AlternateContent>
            </w:r>
          </w:p>
        </w:tc>
        <w:tc>
          <w:tcPr>
            <w:tcW w:w="249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492" w:type="dxa"/>
            <w:tcBorders>
              <w:left w:val="single" w:color="auto" w:sz="4" w:space="0"/>
            </w:tcBorders>
            <w:vAlign w:val="center"/>
          </w:tcPr>
          <w:p>
            <w:pPr>
              <w:spacing w:line="360" w:lineRule="auto"/>
              <w:jc w:val="center"/>
              <w:rPr>
                <w:rFonts w:hint="default" w:ascii="仿宋" w:hAnsi="仿宋" w:eastAsia="仿宋"/>
                <w:szCs w:val="21"/>
                <w:lang w:val="en-US" w:eastAsia="zh-CN"/>
              </w:rPr>
            </w:pPr>
            <w:r>
              <w:rPr>
                <w:rFonts w:hint="eastAsia" w:ascii="仿宋" w:hAnsi="仿宋" w:eastAsia="仿宋"/>
                <w:szCs w:val="21"/>
                <w:lang w:val="en-US" w:eastAsia="zh-CN"/>
              </w:rPr>
              <w:t>货物招标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49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1.50%</w:t>
            </w:r>
          </w:p>
        </w:tc>
        <w:tc>
          <w:tcPr>
            <w:tcW w:w="249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49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0.8%</w:t>
            </w:r>
          </w:p>
        </w:tc>
        <w:tc>
          <w:tcPr>
            <w:tcW w:w="249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1</w:t>
            </w:r>
            <w:r>
              <w:rPr>
                <w:rFonts w:hint="eastAsia" w:ascii="仿宋" w:hAnsi="仿宋" w:eastAsia="仿宋"/>
                <w:szCs w:val="21"/>
              </w:rPr>
              <w:t>0%</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注：1、采购代理服务费按差额定率累进法计算。例如：某货物类项目中标金额为200万元，计算采购代理服务费额如下：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100万元×1.5%=1.5万元</w:t>
      </w:r>
    </w:p>
    <w:p>
      <w:pPr>
        <w:spacing w:line="360" w:lineRule="auto"/>
        <w:ind w:firstLine="420" w:firstLineChars="200"/>
        <w:rPr>
          <w:rFonts w:ascii="仿宋" w:hAnsi="仿宋" w:eastAsia="仿宋"/>
          <w:szCs w:val="21"/>
        </w:rPr>
      </w:pPr>
      <w:r>
        <w:rPr>
          <w:rFonts w:hint="eastAsia" w:ascii="仿宋" w:hAnsi="仿宋" w:eastAsia="仿宋"/>
          <w:szCs w:val="21"/>
        </w:rPr>
        <w:t>（200-100）万元×0.8%=0.8万元</w:t>
      </w:r>
    </w:p>
    <w:p>
      <w:pPr>
        <w:rPr>
          <w:rFonts w:ascii="仿宋" w:hAnsi="仿宋" w:eastAsia="仿宋"/>
          <w:szCs w:val="21"/>
        </w:rPr>
      </w:pPr>
      <w:r>
        <w:rPr>
          <w:rFonts w:hint="eastAsia" w:ascii="仿宋" w:hAnsi="仿宋" w:eastAsia="仿宋"/>
          <w:szCs w:val="21"/>
        </w:rPr>
        <w:t xml:space="preserve">    合计收费=1.5+0.8＝2.3（万元）</w:t>
      </w:r>
    </w:p>
    <w:p>
      <w:pPr>
        <w:rPr>
          <w:rFonts w:ascii="仿宋" w:hAnsi="仿宋" w:eastAsia="仿宋"/>
          <w:szCs w:val="21"/>
        </w:rPr>
      </w:pPr>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sdtPr>
    <w:sdtContent>
      <w:p>
        <w:pPr>
          <w:pStyle w:val="15"/>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sdtPr>
    <w:sdtContent>
      <w:p>
        <w:pPr>
          <w:pStyle w:val="15"/>
          <w:jc w:val="center"/>
        </w:pPr>
      </w:p>
    </w:sdtContent>
  </w:sdt>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450" w:firstLineChars="250"/>
      <w:jc w:val="left"/>
      <w:rPr>
        <w:rFonts w:hint="default" w:ascii="仿宋" w:hAnsi="仿宋" w:eastAsia="仿宋" w:cs="仿宋"/>
        <w:lang w:val="en-US" w:eastAsia="zh-CN"/>
      </w:rPr>
    </w:pPr>
    <w:r>
      <w:rPr>
        <w:rFonts w:hint="eastAsia" w:ascii="仿宋" w:hAnsi="仿宋" w:eastAsia="仿宋" w:cs="仿宋"/>
      </w:rPr>
      <w:t xml:space="preserve">项目名称：深圳湾实验室计算平台扩容项目        </w:t>
    </w:r>
    <w:r>
      <w:rPr>
        <w:rFonts w:hint="eastAsia" w:ascii="仿宋" w:hAnsi="仿宋" w:eastAsia="仿宋" w:cs="仿宋"/>
        <w:lang w:val="en-US" w:eastAsia="zh-CN"/>
      </w:rPr>
      <w:t xml:space="preserve">      </w:t>
    </w:r>
    <w:r>
      <w:rPr>
        <w:rFonts w:hint="eastAsia" w:ascii="仿宋" w:hAnsi="仿宋" w:eastAsia="仿宋" w:cs="仿宋"/>
      </w:rPr>
      <w:t xml:space="preserve">   项目编号：SZZZ2021-QA01</w:t>
    </w:r>
    <w:r>
      <w:rPr>
        <w:rFonts w:hint="eastAsia" w:ascii="仿宋" w:hAnsi="仿宋" w:eastAsia="仿宋" w:cs="仿宋"/>
        <w:lang w:val="en-US" w:eastAsia="zh-CN"/>
      </w:rPr>
      <w:t>67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B3FA5C"/>
    <w:multiLevelType w:val="singleLevel"/>
    <w:tmpl w:val="1CB3FA5C"/>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7E7"/>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A7D28"/>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5F7D"/>
    <w:rsid w:val="004C71FD"/>
    <w:rsid w:val="004D10E5"/>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9165F"/>
    <w:rsid w:val="00594812"/>
    <w:rsid w:val="00597492"/>
    <w:rsid w:val="005977CD"/>
    <w:rsid w:val="005A12E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6E51"/>
    <w:rsid w:val="006110AC"/>
    <w:rsid w:val="0061385D"/>
    <w:rsid w:val="00614ECA"/>
    <w:rsid w:val="00615303"/>
    <w:rsid w:val="006163F2"/>
    <w:rsid w:val="00622721"/>
    <w:rsid w:val="0062393E"/>
    <w:rsid w:val="00624117"/>
    <w:rsid w:val="00624500"/>
    <w:rsid w:val="00624683"/>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277"/>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8F75F7"/>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97D7C"/>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093F"/>
    <w:rsid w:val="00A12624"/>
    <w:rsid w:val="00A1407B"/>
    <w:rsid w:val="00A14B13"/>
    <w:rsid w:val="00A14B40"/>
    <w:rsid w:val="00A15BF3"/>
    <w:rsid w:val="00A17FEB"/>
    <w:rsid w:val="00A20772"/>
    <w:rsid w:val="00A214C8"/>
    <w:rsid w:val="00A21567"/>
    <w:rsid w:val="00A215C7"/>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3A10"/>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078"/>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13B8"/>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572B8D"/>
    <w:rsid w:val="015B3911"/>
    <w:rsid w:val="01867FA4"/>
    <w:rsid w:val="01B0126C"/>
    <w:rsid w:val="01CF0C34"/>
    <w:rsid w:val="0231242F"/>
    <w:rsid w:val="026454A7"/>
    <w:rsid w:val="026565FC"/>
    <w:rsid w:val="02D241A1"/>
    <w:rsid w:val="03925FB7"/>
    <w:rsid w:val="03D4397B"/>
    <w:rsid w:val="040C71F4"/>
    <w:rsid w:val="042D4FD4"/>
    <w:rsid w:val="043B70B7"/>
    <w:rsid w:val="04C97B6A"/>
    <w:rsid w:val="05323D90"/>
    <w:rsid w:val="05B5293C"/>
    <w:rsid w:val="05DE439F"/>
    <w:rsid w:val="06716AC5"/>
    <w:rsid w:val="07000BF0"/>
    <w:rsid w:val="080116B7"/>
    <w:rsid w:val="088732EB"/>
    <w:rsid w:val="093A5070"/>
    <w:rsid w:val="0A103BB8"/>
    <w:rsid w:val="0A643ABD"/>
    <w:rsid w:val="0A877AA4"/>
    <w:rsid w:val="0ACE52AA"/>
    <w:rsid w:val="0B1B295D"/>
    <w:rsid w:val="0B2A64A3"/>
    <w:rsid w:val="0B864A3C"/>
    <w:rsid w:val="0C3E0E1D"/>
    <w:rsid w:val="0CC8184D"/>
    <w:rsid w:val="0E930980"/>
    <w:rsid w:val="0E9F0987"/>
    <w:rsid w:val="0F574C9E"/>
    <w:rsid w:val="0FDC6DEA"/>
    <w:rsid w:val="112B2CAC"/>
    <w:rsid w:val="11443A36"/>
    <w:rsid w:val="11461C9A"/>
    <w:rsid w:val="11FA2B4B"/>
    <w:rsid w:val="120100DB"/>
    <w:rsid w:val="12310463"/>
    <w:rsid w:val="12CC7C35"/>
    <w:rsid w:val="131315D0"/>
    <w:rsid w:val="13B93FFD"/>
    <w:rsid w:val="149A51C0"/>
    <w:rsid w:val="14B45A49"/>
    <w:rsid w:val="152152CF"/>
    <w:rsid w:val="153437F8"/>
    <w:rsid w:val="1561650A"/>
    <w:rsid w:val="15F738EA"/>
    <w:rsid w:val="16135159"/>
    <w:rsid w:val="16447025"/>
    <w:rsid w:val="164D0395"/>
    <w:rsid w:val="164E1219"/>
    <w:rsid w:val="165751AC"/>
    <w:rsid w:val="16B524B4"/>
    <w:rsid w:val="16F95640"/>
    <w:rsid w:val="17025D8D"/>
    <w:rsid w:val="1730256B"/>
    <w:rsid w:val="17FF08CD"/>
    <w:rsid w:val="17FF129F"/>
    <w:rsid w:val="183D1844"/>
    <w:rsid w:val="1849520B"/>
    <w:rsid w:val="189E1BFB"/>
    <w:rsid w:val="19F53930"/>
    <w:rsid w:val="1A306552"/>
    <w:rsid w:val="1A484420"/>
    <w:rsid w:val="1B1F34BB"/>
    <w:rsid w:val="1C676E8F"/>
    <w:rsid w:val="1C6C62BB"/>
    <w:rsid w:val="1CCA0D42"/>
    <w:rsid w:val="1D604F71"/>
    <w:rsid w:val="1E570411"/>
    <w:rsid w:val="1E5C59D3"/>
    <w:rsid w:val="1F1047F8"/>
    <w:rsid w:val="1F2526DB"/>
    <w:rsid w:val="1F667C18"/>
    <w:rsid w:val="1F76329F"/>
    <w:rsid w:val="1FEC000E"/>
    <w:rsid w:val="200B7198"/>
    <w:rsid w:val="20896735"/>
    <w:rsid w:val="209D23A8"/>
    <w:rsid w:val="211D1B49"/>
    <w:rsid w:val="212A7ACE"/>
    <w:rsid w:val="2161430C"/>
    <w:rsid w:val="217A764D"/>
    <w:rsid w:val="21C16B83"/>
    <w:rsid w:val="22AB354B"/>
    <w:rsid w:val="22F35978"/>
    <w:rsid w:val="234B6A47"/>
    <w:rsid w:val="235A495E"/>
    <w:rsid w:val="23A25917"/>
    <w:rsid w:val="246123F0"/>
    <w:rsid w:val="265FC12F"/>
    <w:rsid w:val="26681C32"/>
    <w:rsid w:val="267A70FF"/>
    <w:rsid w:val="26844D97"/>
    <w:rsid w:val="2748396B"/>
    <w:rsid w:val="275829B9"/>
    <w:rsid w:val="275F3C66"/>
    <w:rsid w:val="28C0723F"/>
    <w:rsid w:val="29D43DC9"/>
    <w:rsid w:val="2A043CB3"/>
    <w:rsid w:val="2AA2335F"/>
    <w:rsid w:val="2BAE23F0"/>
    <w:rsid w:val="2BB17BEF"/>
    <w:rsid w:val="2BB63D27"/>
    <w:rsid w:val="2BD834A8"/>
    <w:rsid w:val="2C674A5D"/>
    <w:rsid w:val="2C7878FF"/>
    <w:rsid w:val="2E2507D6"/>
    <w:rsid w:val="2FAF543B"/>
    <w:rsid w:val="2FB37286"/>
    <w:rsid w:val="301B4091"/>
    <w:rsid w:val="30913539"/>
    <w:rsid w:val="309A520D"/>
    <w:rsid w:val="30F840D9"/>
    <w:rsid w:val="3170620E"/>
    <w:rsid w:val="32180670"/>
    <w:rsid w:val="3427155C"/>
    <w:rsid w:val="34867582"/>
    <w:rsid w:val="34FE4739"/>
    <w:rsid w:val="35775CC0"/>
    <w:rsid w:val="35C84F68"/>
    <w:rsid w:val="369340D4"/>
    <w:rsid w:val="36B02078"/>
    <w:rsid w:val="37242401"/>
    <w:rsid w:val="374733FD"/>
    <w:rsid w:val="37922EB7"/>
    <w:rsid w:val="37C933F7"/>
    <w:rsid w:val="37CD06C5"/>
    <w:rsid w:val="37FF2D0D"/>
    <w:rsid w:val="3841527D"/>
    <w:rsid w:val="39622F66"/>
    <w:rsid w:val="397A3B4B"/>
    <w:rsid w:val="3A1850FE"/>
    <w:rsid w:val="3AA76823"/>
    <w:rsid w:val="3ACD02F3"/>
    <w:rsid w:val="3AF778BB"/>
    <w:rsid w:val="3B2816C0"/>
    <w:rsid w:val="3BB1B362"/>
    <w:rsid w:val="3BB27C20"/>
    <w:rsid w:val="3C113796"/>
    <w:rsid w:val="3DA31178"/>
    <w:rsid w:val="3DF31C44"/>
    <w:rsid w:val="3E430486"/>
    <w:rsid w:val="3EA74A96"/>
    <w:rsid w:val="3F0114BB"/>
    <w:rsid w:val="3F350222"/>
    <w:rsid w:val="406E292E"/>
    <w:rsid w:val="4292728C"/>
    <w:rsid w:val="429A7238"/>
    <w:rsid w:val="432610B9"/>
    <w:rsid w:val="4373422F"/>
    <w:rsid w:val="43A35AA8"/>
    <w:rsid w:val="44862BDC"/>
    <w:rsid w:val="451D6F5E"/>
    <w:rsid w:val="455531EE"/>
    <w:rsid w:val="4555560E"/>
    <w:rsid w:val="45817AB7"/>
    <w:rsid w:val="45D30EDF"/>
    <w:rsid w:val="462656F6"/>
    <w:rsid w:val="46B03588"/>
    <w:rsid w:val="46C74DD2"/>
    <w:rsid w:val="46F40B9C"/>
    <w:rsid w:val="48973565"/>
    <w:rsid w:val="493B421C"/>
    <w:rsid w:val="494C439B"/>
    <w:rsid w:val="49E004EC"/>
    <w:rsid w:val="4B3F6D9E"/>
    <w:rsid w:val="4CA0465E"/>
    <w:rsid w:val="4CFC26C7"/>
    <w:rsid w:val="4DBB53D4"/>
    <w:rsid w:val="4DCA270F"/>
    <w:rsid w:val="4DE9557E"/>
    <w:rsid w:val="4E3B475E"/>
    <w:rsid w:val="4EEB374E"/>
    <w:rsid w:val="4F386F65"/>
    <w:rsid w:val="4F527600"/>
    <w:rsid w:val="50B7486E"/>
    <w:rsid w:val="50CC1EA2"/>
    <w:rsid w:val="51175404"/>
    <w:rsid w:val="51186513"/>
    <w:rsid w:val="51EA2872"/>
    <w:rsid w:val="525E56F8"/>
    <w:rsid w:val="52EA4589"/>
    <w:rsid w:val="531D1E59"/>
    <w:rsid w:val="535A00F4"/>
    <w:rsid w:val="53AF3D2F"/>
    <w:rsid w:val="53D00DF1"/>
    <w:rsid w:val="53E71418"/>
    <w:rsid w:val="54075408"/>
    <w:rsid w:val="544C336A"/>
    <w:rsid w:val="5461280F"/>
    <w:rsid w:val="54A44128"/>
    <w:rsid w:val="55A23140"/>
    <w:rsid w:val="55B41412"/>
    <w:rsid w:val="55C70098"/>
    <w:rsid w:val="55E93200"/>
    <w:rsid w:val="56876299"/>
    <w:rsid w:val="5714131D"/>
    <w:rsid w:val="572B2A45"/>
    <w:rsid w:val="57551778"/>
    <w:rsid w:val="584D32CD"/>
    <w:rsid w:val="58C739B4"/>
    <w:rsid w:val="58CF71D9"/>
    <w:rsid w:val="59614930"/>
    <w:rsid w:val="597177CE"/>
    <w:rsid w:val="59874AF7"/>
    <w:rsid w:val="59DA334C"/>
    <w:rsid w:val="59DC65C5"/>
    <w:rsid w:val="5AF200C8"/>
    <w:rsid w:val="5AF86511"/>
    <w:rsid w:val="5B2E6F71"/>
    <w:rsid w:val="5BDF311A"/>
    <w:rsid w:val="5C2E6D3E"/>
    <w:rsid w:val="5C703735"/>
    <w:rsid w:val="5CFC3213"/>
    <w:rsid w:val="5CFD5F44"/>
    <w:rsid w:val="5D6227DF"/>
    <w:rsid w:val="5DA55A9C"/>
    <w:rsid w:val="5DE31E88"/>
    <w:rsid w:val="5E08240A"/>
    <w:rsid w:val="5E331095"/>
    <w:rsid w:val="5E695B43"/>
    <w:rsid w:val="5EA27BAC"/>
    <w:rsid w:val="5ECA0563"/>
    <w:rsid w:val="5F0D3ED6"/>
    <w:rsid w:val="5F404180"/>
    <w:rsid w:val="5FA628FC"/>
    <w:rsid w:val="5FED17AE"/>
    <w:rsid w:val="60755F3B"/>
    <w:rsid w:val="60BB1C9F"/>
    <w:rsid w:val="60D53D47"/>
    <w:rsid w:val="615B4479"/>
    <w:rsid w:val="61D77AC1"/>
    <w:rsid w:val="61FE2F1D"/>
    <w:rsid w:val="62C34F24"/>
    <w:rsid w:val="62F25320"/>
    <w:rsid w:val="631B3C55"/>
    <w:rsid w:val="63510BCE"/>
    <w:rsid w:val="644D590E"/>
    <w:rsid w:val="64E029CC"/>
    <w:rsid w:val="653C097F"/>
    <w:rsid w:val="66026FB2"/>
    <w:rsid w:val="665117B7"/>
    <w:rsid w:val="665E1466"/>
    <w:rsid w:val="66C81BA0"/>
    <w:rsid w:val="67CB2F92"/>
    <w:rsid w:val="67D348B2"/>
    <w:rsid w:val="67D63122"/>
    <w:rsid w:val="688E1A66"/>
    <w:rsid w:val="68936E66"/>
    <w:rsid w:val="69721BC1"/>
    <w:rsid w:val="69CE41B6"/>
    <w:rsid w:val="6A087A2A"/>
    <w:rsid w:val="6A607DCD"/>
    <w:rsid w:val="6A65379C"/>
    <w:rsid w:val="6B0F7C7D"/>
    <w:rsid w:val="6B585B5D"/>
    <w:rsid w:val="6BDB728F"/>
    <w:rsid w:val="6C2B226E"/>
    <w:rsid w:val="6C8E68DF"/>
    <w:rsid w:val="6C9868C9"/>
    <w:rsid w:val="6CD521BC"/>
    <w:rsid w:val="6CE24F3F"/>
    <w:rsid w:val="6DA35434"/>
    <w:rsid w:val="6DE04E69"/>
    <w:rsid w:val="6DF345E8"/>
    <w:rsid w:val="6E487A4D"/>
    <w:rsid w:val="6E4F2530"/>
    <w:rsid w:val="6E822475"/>
    <w:rsid w:val="6EDF1EAF"/>
    <w:rsid w:val="6F17618C"/>
    <w:rsid w:val="6F6D7BEA"/>
    <w:rsid w:val="6FB33115"/>
    <w:rsid w:val="70224516"/>
    <w:rsid w:val="70504962"/>
    <w:rsid w:val="708E152A"/>
    <w:rsid w:val="70C86F60"/>
    <w:rsid w:val="714C463B"/>
    <w:rsid w:val="71803A81"/>
    <w:rsid w:val="719D12B6"/>
    <w:rsid w:val="71D16756"/>
    <w:rsid w:val="72030328"/>
    <w:rsid w:val="72590F7A"/>
    <w:rsid w:val="72650E38"/>
    <w:rsid w:val="727C347E"/>
    <w:rsid w:val="72F7329A"/>
    <w:rsid w:val="730659BA"/>
    <w:rsid w:val="7317572B"/>
    <w:rsid w:val="73623B2B"/>
    <w:rsid w:val="739C4EF7"/>
    <w:rsid w:val="73DD5E40"/>
    <w:rsid w:val="74827F6E"/>
    <w:rsid w:val="74FD4C6D"/>
    <w:rsid w:val="75F7315C"/>
    <w:rsid w:val="760F0E78"/>
    <w:rsid w:val="76455567"/>
    <w:rsid w:val="765B42CB"/>
    <w:rsid w:val="76A519BD"/>
    <w:rsid w:val="76D55C73"/>
    <w:rsid w:val="76DD103D"/>
    <w:rsid w:val="77D42B1F"/>
    <w:rsid w:val="78320FDB"/>
    <w:rsid w:val="783741AE"/>
    <w:rsid w:val="78BE27DD"/>
    <w:rsid w:val="7A426959"/>
    <w:rsid w:val="7A616DF6"/>
    <w:rsid w:val="7A7D395A"/>
    <w:rsid w:val="7B230361"/>
    <w:rsid w:val="7B9F2F43"/>
    <w:rsid w:val="7C785EFA"/>
    <w:rsid w:val="7D545872"/>
    <w:rsid w:val="7D5F2527"/>
    <w:rsid w:val="7ED4172C"/>
    <w:rsid w:val="7EE34A7F"/>
    <w:rsid w:val="7EFC46C3"/>
    <w:rsid w:val="7F251DBB"/>
    <w:rsid w:val="7F3B1D82"/>
    <w:rsid w:val="7F3E655F"/>
    <w:rsid w:val="7FD30945"/>
    <w:rsid w:val="F9596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9"/>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4"/>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6"/>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7"/>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customStyle="1" w:styleId="2">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styleId="7">
    <w:name w:val="Normal Indent"/>
    <w:basedOn w:val="1"/>
    <w:qFormat/>
    <w:uiPriority w:val="0"/>
    <w:pPr>
      <w:autoSpaceDE/>
      <w:autoSpaceDN/>
      <w:adjustRightInd w:val="0"/>
      <w:spacing w:line="312" w:lineRule="atLeast"/>
      <w:ind w:firstLine="420"/>
      <w:jc w:val="both"/>
    </w:pPr>
    <w:rPr>
      <w:rFonts w:ascii="Times New Roman" w:hAnsi="Times New Roman" w:cs="Times New Roman"/>
      <w:sz w:val="32"/>
      <w:szCs w:val="20"/>
      <w:lang w:val="en-US" w:bidi="ar-SA"/>
    </w:rPr>
  </w:style>
  <w:style w:type="paragraph" w:styleId="8">
    <w:name w:val="annotation text"/>
    <w:basedOn w:val="1"/>
    <w:link w:val="30"/>
    <w:unhideWhenUsed/>
    <w:qFormat/>
    <w:uiPriority w:val="99"/>
    <w:pPr>
      <w:jc w:val="left"/>
    </w:pPr>
  </w:style>
  <w:style w:type="paragraph" w:styleId="9">
    <w:name w:val="Body Text"/>
    <w:basedOn w:val="1"/>
    <w:qFormat/>
    <w:uiPriority w:val="0"/>
    <w:pPr>
      <w:spacing w:after="120"/>
    </w:pPr>
    <w:rPr>
      <w:rFonts w:ascii="Times New Roman" w:hAnsi="Times New Roman" w:eastAsiaTheme="minorEastAsia" w:cstheme="minorBidi"/>
      <w:szCs w:val="24"/>
    </w:rPr>
  </w:style>
  <w:style w:type="paragraph" w:styleId="10">
    <w:name w:val="Body Text Indent"/>
    <w:basedOn w:val="1"/>
    <w:next w:val="11"/>
    <w:qFormat/>
    <w:uiPriority w:val="0"/>
    <w:pPr>
      <w:spacing w:line="360" w:lineRule="auto"/>
      <w:ind w:firstLine="420" w:firstLineChars="200"/>
    </w:pPr>
    <w:rPr>
      <w:rFonts w:ascii="Times New Roman" w:hAnsi="Times New Roman"/>
      <w:szCs w:val="24"/>
    </w:rPr>
  </w:style>
  <w:style w:type="paragraph" w:styleId="11">
    <w:name w:val="envelope return"/>
    <w:basedOn w:val="1"/>
    <w:qFormat/>
    <w:uiPriority w:val="99"/>
    <w:pPr>
      <w:snapToGrid w:val="0"/>
    </w:pPr>
    <w:rPr>
      <w:rFonts w:ascii="Arial" w:hAnsi="Arial" w:cs="Arial"/>
    </w:rPr>
  </w:style>
  <w:style w:type="paragraph" w:styleId="12">
    <w:name w:val="Plain Text"/>
    <w:basedOn w:val="1"/>
    <w:link w:val="33"/>
    <w:qFormat/>
    <w:uiPriority w:val="0"/>
    <w:rPr>
      <w:rFonts w:ascii="宋体" w:hAnsi="Courier New" w:eastAsiaTheme="minorEastAsia" w:cstheme="minorBidi"/>
    </w:rPr>
  </w:style>
  <w:style w:type="paragraph" w:styleId="13">
    <w:name w:val="Date"/>
    <w:basedOn w:val="1"/>
    <w:next w:val="1"/>
    <w:link w:val="25"/>
    <w:qFormat/>
    <w:uiPriority w:val="0"/>
    <w:rPr>
      <w:rFonts w:ascii="宋体" w:hAnsi="Courier New"/>
      <w:kern w:val="0"/>
      <w:sz w:val="32"/>
      <w:szCs w:val="20"/>
    </w:rPr>
  </w:style>
  <w:style w:type="paragraph" w:styleId="14">
    <w:name w:val="Balloon Text"/>
    <w:basedOn w:val="1"/>
    <w:link w:val="26"/>
    <w:unhideWhenUsed/>
    <w:qFormat/>
    <w:uiPriority w:val="99"/>
    <w:rPr>
      <w:sz w:val="18"/>
      <w:szCs w:val="18"/>
    </w:rPr>
  </w:style>
  <w:style w:type="paragraph" w:styleId="15">
    <w:name w:val="footer"/>
    <w:basedOn w:val="1"/>
    <w:link w:val="28"/>
    <w:unhideWhenUsed/>
    <w:qFormat/>
    <w:uiPriority w:val="99"/>
    <w:pPr>
      <w:tabs>
        <w:tab w:val="center" w:pos="4153"/>
        <w:tab w:val="right" w:pos="8306"/>
      </w:tabs>
      <w:snapToGrid w:val="0"/>
      <w:jc w:val="left"/>
    </w:pPr>
    <w:rPr>
      <w:sz w:val="18"/>
      <w:szCs w:val="18"/>
    </w:rPr>
  </w:style>
  <w:style w:type="paragraph" w:styleId="16">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annotation subject"/>
    <w:basedOn w:val="8"/>
    <w:next w:val="8"/>
    <w:link w:val="31"/>
    <w:unhideWhenUsed/>
    <w:qFormat/>
    <w:uiPriority w:val="99"/>
    <w:rPr>
      <w:b/>
      <w:bCs/>
    </w:rPr>
  </w:style>
  <w:style w:type="paragraph" w:styleId="18">
    <w:name w:val="Body Text First Indent 2"/>
    <w:basedOn w:val="10"/>
    <w:qFormat/>
    <w:uiPriority w:val="0"/>
    <w:pPr>
      <w:spacing w:after="120" w:line="240" w:lineRule="auto"/>
      <w:ind w:left="420" w:leftChars="200"/>
    </w:pPr>
    <w:rPr>
      <w:rFonts w:ascii="Calibri" w:hAnsi="Calibri"/>
    </w:rPr>
  </w:style>
  <w:style w:type="table" w:styleId="20">
    <w:name w:val="Table Grid"/>
    <w:basedOn w:val="1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2">
    <w:name w:val="Hyperlink"/>
    <w:qFormat/>
    <w:uiPriority w:val="99"/>
    <w:rPr>
      <w:color w:val="0000FF"/>
      <w:u w:val="single"/>
    </w:rPr>
  </w:style>
  <w:style w:type="character" w:styleId="23">
    <w:name w:val="annotation reference"/>
    <w:basedOn w:val="21"/>
    <w:unhideWhenUsed/>
    <w:qFormat/>
    <w:uiPriority w:val="99"/>
    <w:rPr>
      <w:sz w:val="21"/>
      <w:szCs w:val="21"/>
    </w:rPr>
  </w:style>
  <w:style w:type="character" w:customStyle="1" w:styleId="24">
    <w:name w:val="日期 Char"/>
    <w:basedOn w:val="21"/>
    <w:qFormat/>
    <w:uiPriority w:val="0"/>
    <w:rPr>
      <w:rFonts w:ascii="宋体" w:hAnsi="Courier New" w:eastAsia="宋体" w:cs="Times New Roman"/>
      <w:kern w:val="0"/>
      <w:sz w:val="32"/>
      <w:szCs w:val="20"/>
    </w:rPr>
  </w:style>
  <w:style w:type="character" w:customStyle="1" w:styleId="25">
    <w:name w:val="日期 字符"/>
    <w:basedOn w:val="21"/>
    <w:link w:val="13"/>
    <w:semiHidden/>
    <w:qFormat/>
    <w:uiPriority w:val="99"/>
    <w:rPr>
      <w:rFonts w:ascii="Calibri" w:hAnsi="Calibri" w:eastAsia="宋体" w:cs="Times New Roman"/>
    </w:rPr>
  </w:style>
  <w:style w:type="character" w:customStyle="1" w:styleId="26">
    <w:name w:val="批注框文本 字符"/>
    <w:basedOn w:val="21"/>
    <w:link w:val="14"/>
    <w:semiHidden/>
    <w:qFormat/>
    <w:uiPriority w:val="99"/>
    <w:rPr>
      <w:rFonts w:ascii="Calibri" w:hAnsi="Calibri" w:eastAsia="宋体" w:cs="Times New Roman"/>
      <w:sz w:val="18"/>
      <w:szCs w:val="18"/>
    </w:rPr>
  </w:style>
  <w:style w:type="character" w:customStyle="1" w:styleId="27">
    <w:name w:val="页眉 字符"/>
    <w:basedOn w:val="21"/>
    <w:link w:val="16"/>
    <w:qFormat/>
    <w:uiPriority w:val="99"/>
    <w:rPr>
      <w:rFonts w:ascii="Calibri" w:hAnsi="Calibri" w:eastAsia="宋体" w:cs="Times New Roman"/>
      <w:sz w:val="18"/>
      <w:szCs w:val="18"/>
    </w:rPr>
  </w:style>
  <w:style w:type="character" w:customStyle="1" w:styleId="28">
    <w:name w:val="页脚 字符"/>
    <w:basedOn w:val="21"/>
    <w:link w:val="15"/>
    <w:qFormat/>
    <w:uiPriority w:val="99"/>
    <w:rPr>
      <w:rFonts w:ascii="Calibri" w:hAnsi="Calibri" w:eastAsia="宋体" w:cs="Times New Roman"/>
      <w:sz w:val="18"/>
      <w:szCs w:val="18"/>
    </w:rPr>
  </w:style>
  <w:style w:type="character" w:customStyle="1" w:styleId="29">
    <w:name w:val="标题 1 字符"/>
    <w:basedOn w:val="21"/>
    <w:link w:val="3"/>
    <w:qFormat/>
    <w:uiPriority w:val="0"/>
    <w:rPr>
      <w:rFonts w:ascii="宋体" w:hAnsi="Calibri" w:eastAsia="宋体" w:cs="Times New Roman"/>
      <w:color w:val="000000"/>
      <w:sz w:val="28"/>
      <w:szCs w:val="20"/>
    </w:rPr>
  </w:style>
  <w:style w:type="character" w:customStyle="1" w:styleId="30">
    <w:name w:val="批注文字 字符"/>
    <w:basedOn w:val="21"/>
    <w:link w:val="8"/>
    <w:qFormat/>
    <w:uiPriority w:val="99"/>
    <w:rPr>
      <w:rFonts w:ascii="Calibri" w:hAnsi="Calibri" w:eastAsia="宋体" w:cs="Times New Roman"/>
    </w:rPr>
  </w:style>
  <w:style w:type="character" w:customStyle="1" w:styleId="31">
    <w:name w:val="批注主题 字符"/>
    <w:basedOn w:val="30"/>
    <w:link w:val="17"/>
    <w:semiHidden/>
    <w:qFormat/>
    <w:uiPriority w:val="99"/>
    <w:rPr>
      <w:rFonts w:ascii="Calibri" w:hAnsi="Calibri" w:eastAsia="宋体" w:cs="Times New Roman"/>
      <w:b/>
      <w:bCs/>
    </w:rPr>
  </w:style>
  <w:style w:type="character" w:customStyle="1" w:styleId="32">
    <w:name w:val="纯文本 Char"/>
    <w:qFormat/>
    <w:uiPriority w:val="0"/>
    <w:rPr>
      <w:rFonts w:ascii="宋体" w:hAnsi="Courier New"/>
    </w:rPr>
  </w:style>
  <w:style w:type="character" w:customStyle="1" w:styleId="33">
    <w:name w:val="纯文本 字符"/>
    <w:basedOn w:val="21"/>
    <w:link w:val="12"/>
    <w:semiHidden/>
    <w:qFormat/>
    <w:uiPriority w:val="99"/>
    <w:rPr>
      <w:rFonts w:ascii="宋体" w:hAnsi="Courier New" w:eastAsia="宋体" w:cs="Courier New"/>
      <w:szCs w:val="21"/>
    </w:rPr>
  </w:style>
  <w:style w:type="character" w:customStyle="1" w:styleId="34">
    <w:name w:val="标题 2 字符"/>
    <w:basedOn w:val="21"/>
    <w:link w:val="4"/>
    <w:qFormat/>
    <w:uiPriority w:val="0"/>
    <w:rPr>
      <w:rFonts w:ascii="Arial" w:hAnsi="Arial" w:eastAsia="宋体" w:cs="Times New Roman"/>
      <w:b/>
      <w:bCs/>
      <w:sz w:val="32"/>
      <w:szCs w:val="32"/>
    </w:rPr>
  </w:style>
  <w:style w:type="paragraph" w:customStyle="1" w:styleId="35">
    <w:name w:val="List Paragraph"/>
    <w:basedOn w:val="1"/>
    <w:qFormat/>
    <w:uiPriority w:val="34"/>
    <w:pPr>
      <w:ind w:firstLine="420" w:firstLineChars="200"/>
    </w:pPr>
  </w:style>
  <w:style w:type="character" w:customStyle="1" w:styleId="36">
    <w:name w:val="标题 3 字符"/>
    <w:basedOn w:val="21"/>
    <w:link w:val="5"/>
    <w:semiHidden/>
    <w:qFormat/>
    <w:uiPriority w:val="9"/>
    <w:rPr>
      <w:rFonts w:ascii="Calibri" w:hAnsi="Calibri" w:eastAsia="宋体" w:cs="Times New Roman"/>
      <w:b/>
      <w:bCs/>
      <w:sz w:val="32"/>
      <w:szCs w:val="32"/>
    </w:rPr>
  </w:style>
  <w:style w:type="character" w:customStyle="1" w:styleId="37">
    <w:name w:val="标题 4 字符"/>
    <w:basedOn w:val="21"/>
    <w:link w:val="6"/>
    <w:qFormat/>
    <w:uiPriority w:val="0"/>
    <w:rPr>
      <w:rFonts w:ascii="Cambria" w:hAnsi="Cambria" w:eastAsia="宋体" w:cs="Times New Roman"/>
      <w:b/>
      <w:bCs/>
      <w:sz w:val="28"/>
      <w:szCs w:val="28"/>
    </w:rPr>
  </w:style>
  <w:style w:type="paragraph" w:customStyle="1" w:styleId="38">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9">
    <w:name w:val="1"/>
    <w:basedOn w:val="1"/>
    <w:next w:val="12"/>
    <w:qFormat/>
    <w:uiPriority w:val="0"/>
    <w:rPr>
      <w:rFonts w:ascii="宋体" w:hAnsi="Courier New"/>
      <w:szCs w:val="20"/>
    </w:rPr>
  </w:style>
  <w:style w:type="paragraph" w:customStyle="1" w:styleId="40">
    <w:name w:val="8"/>
    <w:basedOn w:val="1"/>
    <w:next w:val="12"/>
    <w:qFormat/>
    <w:uiPriority w:val="0"/>
    <w:rPr>
      <w:rFonts w:ascii="宋体" w:hAnsi="Courier New"/>
      <w:szCs w:val="20"/>
    </w:rPr>
  </w:style>
  <w:style w:type="paragraph" w:customStyle="1" w:styleId="41">
    <w:name w:val="_Style 55"/>
    <w:basedOn w:val="1"/>
    <w:next w:val="12"/>
    <w:qFormat/>
    <w:uiPriority w:val="0"/>
    <w:rPr>
      <w:rFonts w:ascii="宋体" w:hAnsi="Courier New"/>
      <w:szCs w:val="20"/>
    </w:rPr>
  </w:style>
  <w:style w:type="paragraph" w:customStyle="1" w:styleId="42">
    <w:name w:val="7"/>
    <w:basedOn w:val="1"/>
    <w:next w:val="12"/>
    <w:link w:val="43"/>
    <w:qFormat/>
    <w:uiPriority w:val="0"/>
    <w:rPr>
      <w:rFonts w:ascii="宋体" w:hAnsi="Courier New"/>
      <w:szCs w:val="20"/>
    </w:rPr>
  </w:style>
  <w:style w:type="character" w:customStyle="1" w:styleId="43">
    <w:name w:val="Char1"/>
    <w:link w:val="4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107</Pages>
  <Words>11308</Words>
  <Characters>64461</Characters>
  <Lines>537</Lines>
  <Paragraphs>151</Paragraphs>
  <TotalTime>4</TotalTime>
  <ScaleCrop>false</ScaleCrop>
  <LinksUpToDate>false</LinksUpToDate>
  <CharactersWithSpaces>75618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2021-06-26T05:16:00Z</dcterms:created>
  <dc:creator>User</dc:creator>
  <cp:lastModifiedBy>CHJ-嘉</cp:lastModifiedBy>
  <cp:lastPrinted>2021-06-28T17:30:00Z</cp:lastPrinted>
  <dcterms:modified xsi:type="dcterms:W3CDTF">2021-09-07T02:06:16Z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B946BEF99C8F409FBFCFBF89E6EAF5A4</vt:lpwstr>
  </property>
</Properties>
</file>