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8890" t="5715" r="9525" b="9525"/>
                <wp:wrapNone/>
                <wp:docPr id="21" name="文本框 299"/>
                <wp:cNvGraphicFramePr/>
                <a:graphic xmlns:a="http://schemas.openxmlformats.org/drawingml/2006/main">
                  <a:graphicData uri="http://schemas.microsoft.com/office/word/2010/wordprocessingShape">
                    <wps:wsp>
                      <wps:cNvSpPr txBox="1">
                        <a:spLocks noChangeArrowheads="1"/>
                      </wps:cNvSpPr>
                      <wps:spPr bwMode="auto">
                        <a:xfrm>
                          <a:off x="0" y="0"/>
                          <a:ext cx="3743960" cy="594360"/>
                        </a:xfrm>
                        <a:prstGeom prst="rect">
                          <a:avLst/>
                        </a:prstGeom>
                        <a:solidFill>
                          <a:srgbClr val="FFFFFF"/>
                        </a:solidFill>
                        <a:ln w="9525">
                          <a:solidFill>
                            <a:srgbClr val="FFFFFF"/>
                          </a:solidFill>
                          <a:miter lim="800000"/>
                        </a:ln>
                      </wps:spPr>
                      <wps:txb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rot="0" vert="horz" wrap="square" lIns="91440" tIns="45720" rIns="91440" bIns="45720" anchor="t" anchorCtr="0" upright="1">
                        <a:noAutofit/>
                      </wps:bodyPr>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t8zXHXAAAACAEAAA8AAAAAAAAAAQAgAAAAIgAAAGRy&#10;cy9kb3ducmV2LnhtbFBLAQIUABQAAAAIAIdO4kBHSZbnPwIAAIoEAAAOAAAAAAAAAAEAIAAAACYB&#10;AABkcnMvZTJvRG9jLnhtbFBLBQYAAAAABgAGAFkBAADXBQAAAAA=&#10;">
                <v:fill on="t" focussize="0,0"/>
                <v:stroke color="#FFFFFF" miterlimit="8" joinstyle="miter"/>
                <v:imagedata o:title=""/>
                <o:lock v:ext="edit" aspectratio="f"/>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56"/>
          <w:szCs w:val="56"/>
        </w:rPr>
      </w:pPr>
      <w:r>
        <w:rPr>
          <w:rFonts w:hint="eastAsia" w:ascii="仿宋" w:hAnsi="仿宋" w:eastAsia="仿宋"/>
          <w:b/>
          <w:bCs/>
          <w:snapToGrid w:val="0"/>
          <w:kern w:val="0"/>
          <w:sz w:val="56"/>
          <w:szCs w:val="56"/>
        </w:rPr>
        <w:t>分局指挥中心大楼5楼机房及档案室配套办公家具采购项目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ascii="仿宋" w:hAnsi="仿宋" w:eastAsia="仿宋"/>
          <w:b/>
          <w:snapToGrid w:val="0"/>
          <w:kern w:val="0"/>
          <w:sz w:val="44"/>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ZZZ2021-QA0168</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二〇二一年九月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分局指挥中心大楼5楼机房及档案室配套办公家具采购项目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SZZZ2021-QA0168</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公开征集</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hint="eastAsia" w:ascii="仿宋" w:hAnsi="仿宋" w:eastAsia="仿宋"/>
          <w:b/>
          <w:bCs/>
          <w:snapToGrid w:val="0"/>
          <w:kern w:val="0"/>
          <w:sz w:val="36"/>
        </w:rPr>
      </w:pPr>
      <w:r>
        <w:rPr>
          <w:rFonts w:hint="eastAsia" w:ascii="仿宋" w:hAnsi="仿宋" w:eastAsia="仿宋"/>
          <w:b/>
          <w:bCs/>
          <w:snapToGrid w:val="0"/>
          <w:kern w:val="0"/>
          <w:sz w:val="36"/>
        </w:rPr>
        <w:t>分局指挥中心大楼5楼机房及档案室配套办公家具</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采购项目采购公告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分局指挥中心大楼5楼机房及档案室配套办公家具采购项目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rPr>
        <w:t>09</w:t>
      </w:r>
      <w:r>
        <w:rPr>
          <w:rFonts w:hint="eastAsia" w:ascii="仿宋" w:hAnsi="仿宋" w:eastAsia="仿宋"/>
          <w:bCs/>
          <w:sz w:val="24"/>
          <w:szCs w:val="24"/>
        </w:rPr>
        <w:t>月</w:t>
      </w:r>
      <w:r>
        <w:rPr>
          <w:rFonts w:hint="eastAsia" w:ascii="仿宋" w:hAnsi="仿宋" w:eastAsia="仿宋"/>
          <w:bCs/>
          <w:sz w:val="24"/>
          <w:szCs w:val="24"/>
          <w:u w:val="single"/>
          <w:lang w:val="en-US" w:eastAsia="zh-CN"/>
        </w:rPr>
        <w:t>15</w:t>
      </w:r>
      <w:r>
        <w:rPr>
          <w:rFonts w:hint="eastAsia" w:ascii="仿宋" w:hAnsi="仿宋" w:eastAsia="仿宋"/>
          <w:bCs/>
          <w:sz w:val="24"/>
          <w:szCs w:val="24"/>
        </w:rPr>
        <w:t>日</w:t>
      </w:r>
      <w:r>
        <w:rPr>
          <w:rFonts w:hint="eastAsia" w:ascii="仿宋" w:hAnsi="仿宋" w:eastAsia="仿宋"/>
          <w:bCs/>
          <w:sz w:val="24"/>
          <w:szCs w:val="24"/>
          <w:u w:val="single"/>
        </w:rPr>
        <w:t>15</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1</w:t>
      </w:r>
      <w:r>
        <w:rPr>
          <w:rFonts w:ascii="仿宋" w:hAnsi="仿宋" w:eastAsia="仿宋"/>
          <w:bCs/>
          <w:sz w:val="24"/>
          <w:szCs w:val="24"/>
        </w:rPr>
        <w:t>-Q</w:t>
      </w:r>
      <w:r>
        <w:rPr>
          <w:rFonts w:hint="eastAsia" w:ascii="仿宋" w:hAnsi="仿宋" w:eastAsia="仿宋"/>
          <w:bCs/>
          <w:sz w:val="24"/>
          <w:szCs w:val="24"/>
        </w:rPr>
        <w:t>A</w:t>
      </w:r>
      <w:r>
        <w:rPr>
          <w:rFonts w:ascii="仿宋" w:hAnsi="仿宋" w:eastAsia="仿宋"/>
          <w:bCs/>
          <w:sz w:val="24"/>
          <w:szCs w:val="24"/>
        </w:rPr>
        <w:t>0</w:t>
      </w:r>
      <w:r>
        <w:rPr>
          <w:rFonts w:hint="eastAsia" w:ascii="仿宋" w:hAnsi="仿宋" w:eastAsia="仿宋"/>
          <w:bCs/>
          <w:sz w:val="24"/>
          <w:szCs w:val="24"/>
        </w:rPr>
        <w:t>168</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2、项目名称：分局指挥中心大楼5楼机房及档案室配套办公家具采购项目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3、预算金额：人民币15.4万元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4、最高限价：人民币15.4万元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5、采购方式：公开征集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分局指挥中心大楼5楼机房及档案室</w:t>
            </w:r>
          </w:p>
          <w:p>
            <w:pPr>
              <w:spacing w:line="360" w:lineRule="auto"/>
              <w:jc w:val="center"/>
              <w:rPr>
                <w:rFonts w:ascii="仿宋" w:hAnsi="仿宋" w:eastAsia="仿宋"/>
                <w:bCs/>
                <w:sz w:val="24"/>
                <w:szCs w:val="24"/>
              </w:rPr>
            </w:pPr>
            <w:r>
              <w:rPr>
                <w:rFonts w:hint="eastAsia" w:ascii="仿宋" w:hAnsi="仿宋" w:eastAsia="仿宋"/>
                <w:bCs/>
                <w:sz w:val="24"/>
                <w:szCs w:val="24"/>
              </w:rPr>
              <w:t>配套办公家具采购项目</w:t>
            </w:r>
          </w:p>
        </w:tc>
        <w:tc>
          <w:tcPr>
            <w:tcW w:w="99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1批</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7、合同履行期限：签订合同后15天（日历日）内。</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6、本项目不接受进口产品参与投标。【进口产品是指通过中国海关报关验放进入中国境内且产自关境外的产品。相关内容以“财库【2007】119号文”和“财办库【2008】248号文”的相关规定为准】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09</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09</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13</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09</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15</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15</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自本公告发布之日起3个日历日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名　  称：</w:t>
      </w:r>
      <w:r>
        <w:rPr>
          <w:rFonts w:hint="eastAsia" w:ascii="仿宋" w:hAnsi="仿宋" w:eastAsia="仿宋"/>
          <w:bCs/>
          <w:sz w:val="24"/>
          <w:szCs w:val="24"/>
          <w:u w:val="single"/>
        </w:rPr>
        <w:t>深圳市公安局罗湖分局警务保障科</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联系方式：</w:t>
      </w:r>
      <w:r>
        <w:rPr>
          <w:rFonts w:hint="eastAsia" w:ascii="仿宋" w:hAnsi="仿宋" w:eastAsia="仿宋"/>
          <w:bCs/>
          <w:sz w:val="24"/>
          <w:szCs w:val="24"/>
          <w:u w:val="single"/>
        </w:rPr>
        <w:t>陈工，0755-83026699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lang w:val="en-US" w:eastAsia="zh-CN"/>
        </w:rPr>
        <w:t>09</w:t>
      </w:r>
      <w:r>
        <w:rPr>
          <w:rFonts w:ascii="仿宋" w:hAnsi="仿宋" w:eastAsia="仿宋"/>
          <w:bCs/>
          <w:sz w:val="24"/>
          <w:szCs w:val="24"/>
        </w:rPr>
        <w:t>月</w:t>
      </w:r>
      <w:r>
        <w:rPr>
          <w:rFonts w:hint="eastAsia" w:ascii="仿宋" w:hAnsi="仿宋" w:eastAsia="仿宋"/>
          <w:bCs/>
          <w:sz w:val="24"/>
          <w:szCs w:val="24"/>
          <w:lang w:val="en-US" w:eastAsia="zh-CN"/>
        </w:rPr>
        <w:t>06</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1985" w:type="dxa"/>
            <w:tcBorders>
              <w:top w:val="single" w:color="auto" w:sz="4" w:space="0"/>
            </w:tcBorders>
            <w:vAlign w:val="center"/>
          </w:tcPr>
          <w:p>
            <w:pPr>
              <w:pStyle w:val="9"/>
              <w:spacing w:line="360" w:lineRule="auto"/>
              <w:jc w:val="center"/>
            </w:pPr>
            <w:r>
              <w:rPr>
                <w:rFonts w:hint="eastAsia"/>
              </w:rPr>
              <w:t>项目名称</w:t>
            </w:r>
          </w:p>
        </w:tc>
        <w:tc>
          <w:tcPr>
            <w:tcW w:w="5669" w:type="dxa"/>
            <w:tcBorders>
              <w:top w:val="single" w:color="auto" w:sz="4" w:space="0"/>
            </w:tcBorders>
            <w:vAlign w:val="center"/>
          </w:tcPr>
          <w:p>
            <w:pPr>
              <w:pStyle w:val="9"/>
              <w:spacing w:line="360" w:lineRule="auto"/>
            </w:pPr>
            <w:r>
              <w:rPr>
                <w:rFonts w:hint="eastAsia" w:hAnsi="宋体"/>
              </w:rPr>
              <w:t>分局指挥中心大楼5楼机房及档案室配套办公家具采购项目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Ansi="宋体"/>
              </w:rPr>
              <w:t>2.1</w:t>
            </w:r>
          </w:p>
        </w:tc>
        <w:tc>
          <w:tcPr>
            <w:tcW w:w="1985"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r>
              <w:rPr>
                <w:rFonts w:hint="eastAsia"/>
              </w:rPr>
              <w:t>深圳市公安局罗湖分局警务保障科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r>
              <w:rPr>
                <w:rFonts w:hAnsi="宋体"/>
              </w:rPr>
              <w:t>2.2</w:t>
            </w:r>
          </w:p>
        </w:tc>
        <w:tc>
          <w:tcPr>
            <w:tcW w:w="1985" w:type="dxa"/>
            <w:vAlign w:val="center"/>
          </w:tcPr>
          <w:p>
            <w:pPr>
              <w:pStyle w:val="9"/>
              <w:spacing w:line="360" w:lineRule="auto"/>
              <w:jc w:val="center"/>
              <w:rPr>
                <w:rFonts w:hAnsi="宋体"/>
                <w:bCs/>
              </w:rPr>
            </w:pPr>
            <w:r>
              <w:rPr>
                <w:rFonts w:hint="eastAsia" w:hAnsi="宋体"/>
                <w:bCs/>
              </w:rPr>
              <w:t>采购代理机构</w:t>
            </w:r>
          </w:p>
        </w:tc>
        <w:tc>
          <w:tcPr>
            <w:tcW w:w="5669" w:type="dxa"/>
            <w:vAlign w:val="center"/>
          </w:tcPr>
          <w:p>
            <w:pPr>
              <w:pStyle w:val="9"/>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3.1</w:t>
            </w:r>
          </w:p>
        </w:tc>
        <w:tc>
          <w:tcPr>
            <w:tcW w:w="1985" w:type="dxa"/>
            <w:vAlign w:val="center"/>
          </w:tcPr>
          <w:p>
            <w:pPr>
              <w:pStyle w:val="9"/>
              <w:spacing w:line="360" w:lineRule="auto"/>
              <w:jc w:val="center"/>
              <w:rPr>
                <w:rFonts w:hAnsi="宋体"/>
              </w:rPr>
            </w:pPr>
            <w:r>
              <w:rPr>
                <w:rFonts w:hint="eastAsia" w:hAnsi="宋体"/>
              </w:rPr>
              <w:t>资金来源</w:t>
            </w:r>
          </w:p>
        </w:tc>
        <w:tc>
          <w:tcPr>
            <w:tcW w:w="5669" w:type="dxa"/>
            <w:vAlign w:val="center"/>
          </w:tcPr>
          <w:p>
            <w:pPr>
              <w:pStyle w:val="9"/>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4.7</w:t>
            </w:r>
          </w:p>
        </w:tc>
        <w:tc>
          <w:tcPr>
            <w:tcW w:w="1985" w:type="dxa"/>
            <w:vAlign w:val="center"/>
          </w:tcPr>
          <w:p>
            <w:pPr>
              <w:pStyle w:val="9"/>
              <w:spacing w:line="360" w:lineRule="auto"/>
              <w:jc w:val="center"/>
              <w:rPr>
                <w:rFonts w:hAnsi="宋体"/>
              </w:rPr>
            </w:pPr>
            <w:r>
              <w:rPr>
                <w:rFonts w:hint="eastAsia" w:hAnsi="宋体"/>
              </w:rPr>
              <w:t>供应商资格要求</w:t>
            </w:r>
          </w:p>
        </w:tc>
        <w:tc>
          <w:tcPr>
            <w:tcW w:w="5669" w:type="dxa"/>
            <w:vAlign w:val="center"/>
          </w:tcPr>
          <w:p>
            <w:pPr>
              <w:pStyle w:val="9"/>
              <w:spacing w:line="360" w:lineRule="auto"/>
              <w:ind w:left="378" w:hanging="378" w:hangingChars="180"/>
              <w:rPr>
                <w:rFonts w:hAnsi="宋体"/>
                <w:szCs w:val="21"/>
              </w:rPr>
            </w:pPr>
            <w:r>
              <w:rPr>
                <w:rFonts w:hint="eastAsia" w:hAnsi="宋体"/>
                <w:szCs w:val="21"/>
              </w:rPr>
              <w:t>1、</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9"/>
              <w:spacing w:line="360" w:lineRule="auto"/>
              <w:ind w:left="378" w:hanging="378" w:hangingChars="180"/>
              <w:rPr>
                <w:rFonts w:hAnsi="宋体"/>
                <w:szCs w:val="21"/>
              </w:rPr>
            </w:pPr>
            <w:r>
              <w:rPr>
                <w:rFonts w:hint="eastAsia" w:hAnsi="宋体"/>
                <w:szCs w:val="21"/>
              </w:rPr>
              <w:t>2、参与本项目投标前三年内，在经营活动中没有重大违法记录。【由投标人按采购文件规定的格式在《政府采购投标及履约承诺函》中作出声明】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rPr>
              <w:t>3、</w:t>
            </w:r>
            <w:r>
              <w:rPr>
                <w:rFonts w:hint="eastAsia" w:hAnsi="宋体"/>
                <w:bCs/>
                <w:szCs w:val="21"/>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rPr>
              <w:t>4、参与本项目的供应商具备《中华人民共和国政府采购法》第二十二条规定。【由响应投标人按采购文件规定的格式在《政府采购投标及履约承诺函》中作出声明】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rPr>
              <w:t>5、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pStyle w:val="9"/>
              <w:spacing w:line="360" w:lineRule="auto"/>
              <w:ind w:left="378" w:hanging="378" w:hangingChars="180"/>
              <w:rPr>
                <w:rFonts w:hAnsi="宋体"/>
                <w:szCs w:val="21"/>
              </w:rPr>
            </w:pPr>
            <w:r>
              <w:rPr>
                <w:rFonts w:hint="eastAsia" w:hAnsi="宋体"/>
                <w:szCs w:val="21"/>
              </w:rPr>
              <w:t>6、</w:t>
            </w:r>
            <w:r>
              <w:rPr>
                <w:rFonts w:hint="eastAsia" w:hAnsi="宋体"/>
                <w:bCs/>
                <w:szCs w:val="21"/>
              </w:rPr>
              <w:t>本项目不接受进口产品参与投标。【进口产品是指通过中国海关报关验放进入中国境内且产自关境外的产品。相关内容以“财库【2007】119号文”和“财办库【2008】248号文”的相关规定为准】</w:t>
            </w:r>
          </w:p>
          <w:p>
            <w:pPr>
              <w:pStyle w:val="9"/>
              <w:spacing w:line="360" w:lineRule="auto"/>
              <w:ind w:left="378" w:hanging="378" w:hangingChars="180"/>
              <w:rPr>
                <w:rFonts w:hAnsi="宋体"/>
                <w:szCs w:val="21"/>
              </w:rPr>
            </w:pPr>
            <w:r>
              <w:rPr>
                <w:rFonts w:hint="eastAsia" w:hAnsi="宋体"/>
                <w:szCs w:val="21"/>
              </w:rPr>
              <w:t>7、本项目不接受联合体投标，不允许分包或转包。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6.1</w:t>
            </w:r>
          </w:p>
        </w:tc>
        <w:tc>
          <w:tcPr>
            <w:tcW w:w="1985" w:type="dxa"/>
            <w:vAlign w:val="center"/>
          </w:tcPr>
          <w:p>
            <w:pPr>
              <w:pStyle w:val="9"/>
              <w:spacing w:line="360" w:lineRule="auto"/>
              <w:jc w:val="center"/>
              <w:rPr>
                <w:rFonts w:hAnsi="宋体"/>
              </w:rPr>
            </w:pPr>
            <w:r>
              <w:rPr>
                <w:rFonts w:hint="eastAsia" w:hAnsi="宋体"/>
              </w:rPr>
              <w:t>踏勘现场</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9"/>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rPr>
              <w:t>项目保证金</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9"/>
              <w:rPr>
                <w:rFonts w:hAnsi="宋体"/>
              </w:rPr>
            </w:pPr>
            <w:r>
              <w:rPr>
                <w:rFonts w:hint="eastAsia" w:hAnsi="宋体"/>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9"/>
              <w:spacing w:line="360" w:lineRule="auto"/>
              <w:jc w:val="center"/>
              <w:rPr>
                <w:rFonts w:hAnsi="宋体"/>
              </w:rPr>
            </w:pPr>
            <w:r>
              <w:rPr>
                <w:rFonts w:hint="eastAsia" w:hAnsi="宋体"/>
              </w:rPr>
              <w:t>开标</w:t>
            </w:r>
          </w:p>
        </w:tc>
        <w:tc>
          <w:tcPr>
            <w:tcW w:w="5669"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09</w:t>
            </w:r>
            <w:r>
              <w:rPr>
                <w:rFonts w:ascii="Times New Roman" w:hAnsi="Times New Roman"/>
                <w:b/>
                <w:snapToGrid w:val="0"/>
                <w:highlight w:val="yellow"/>
              </w:rPr>
              <w:t>月</w:t>
            </w:r>
            <w:r>
              <w:rPr>
                <w:rFonts w:hint="eastAsia" w:ascii="Times New Roman" w:hAnsi="Times New Roman"/>
                <w:b/>
                <w:snapToGrid w:val="0"/>
                <w:highlight w:val="yellow"/>
                <w:lang w:val="en-US" w:eastAsia="zh-CN"/>
              </w:rPr>
              <w:t>15</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5</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9"/>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09</w:t>
            </w:r>
            <w:r>
              <w:rPr>
                <w:rFonts w:ascii="Times New Roman" w:hAnsi="Times New Roman"/>
                <w:b/>
                <w:snapToGrid w:val="0"/>
                <w:highlight w:val="yellow"/>
              </w:rPr>
              <w:t>月</w:t>
            </w:r>
            <w:r>
              <w:rPr>
                <w:rFonts w:hint="eastAsia" w:ascii="Times New Roman" w:hAnsi="Times New Roman"/>
                <w:b/>
                <w:snapToGrid w:val="0"/>
                <w:highlight w:val="yellow"/>
                <w:lang w:val="en-US" w:eastAsia="zh-CN"/>
              </w:rPr>
              <w:t>15</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5</w:t>
            </w:r>
            <w:bookmarkStart w:id="7" w:name="_GoBack"/>
            <w:bookmarkEnd w:id="7"/>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13</w:t>
            </w:r>
          </w:p>
        </w:tc>
        <w:tc>
          <w:tcPr>
            <w:tcW w:w="850" w:type="dxa"/>
            <w:vAlign w:val="center"/>
          </w:tcPr>
          <w:p>
            <w:pPr>
              <w:pStyle w:val="9"/>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9"/>
              <w:spacing w:line="360" w:lineRule="auto"/>
              <w:jc w:val="center"/>
              <w:rPr>
                <w:rFonts w:hAnsi="宋体"/>
              </w:rPr>
            </w:pPr>
            <w:r>
              <w:rPr>
                <w:rFonts w:hint="eastAsia" w:hAnsi="宋体"/>
              </w:rPr>
              <w:t>评标办法</w:t>
            </w:r>
          </w:p>
        </w:tc>
        <w:tc>
          <w:tcPr>
            <w:tcW w:w="5669" w:type="dxa"/>
            <w:vAlign w:val="center"/>
          </w:tcPr>
          <w:p>
            <w:pPr>
              <w:pStyle w:val="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pStyle w:val="9"/>
              <w:spacing w:line="360" w:lineRule="auto"/>
              <w:jc w:val="center"/>
              <w:rPr>
                <w:rFonts w:hAnsi="宋体"/>
              </w:rPr>
            </w:pPr>
            <w:r>
              <w:rPr>
                <w:rFonts w:hint="eastAsia" w:hAnsi="宋体"/>
              </w:rPr>
              <w:t>33.1</w:t>
            </w:r>
          </w:p>
        </w:tc>
        <w:tc>
          <w:tcPr>
            <w:tcW w:w="1985" w:type="dxa"/>
            <w:vAlign w:val="center"/>
          </w:tcPr>
          <w:p>
            <w:pPr>
              <w:pStyle w:val="9"/>
              <w:spacing w:line="340" w:lineRule="exact"/>
              <w:jc w:val="center"/>
              <w:rPr>
                <w:rFonts w:hAnsi="宋体"/>
              </w:rPr>
            </w:pPr>
            <w:r>
              <w:rPr>
                <w:rFonts w:hint="eastAsia" w:hAnsi="宋体"/>
              </w:rPr>
              <w:t>采购代理服务费</w:t>
            </w:r>
          </w:p>
        </w:tc>
        <w:tc>
          <w:tcPr>
            <w:tcW w:w="5669" w:type="dxa"/>
            <w:vAlign w:val="center"/>
          </w:tcPr>
          <w:p>
            <w:pPr>
              <w:pStyle w:val="9"/>
              <w:spacing w:line="340" w:lineRule="exact"/>
              <w:rPr>
                <w:rFonts w:hAnsi="宋体"/>
              </w:rPr>
            </w:pPr>
            <w:r>
              <w:rPr>
                <w:rFonts w:hint="eastAsia" w:hAnsi="宋体"/>
              </w:rPr>
              <w:t>人民币2500元整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pStyle w:val="9"/>
              <w:spacing w:line="360" w:lineRule="auto"/>
              <w:jc w:val="center"/>
              <w:rPr>
                <w:rFonts w:hAnsi="宋体"/>
              </w:rPr>
            </w:pPr>
          </w:p>
        </w:tc>
        <w:tc>
          <w:tcPr>
            <w:tcW w:w="1985" w:type="dxa"/>
            <w:vAlign w:val="center"/>
          </w:tcPr>
          <w:p>
            <w:pPr>
              <w:pStyle w:val="9"/>
              <w:spacing w:line="340" w:lineRule="exact"/>
              <w:jc w:val="center"/>
              <w:rPr>
                <w:rFonts w:hAnsi="宋体"/>
              </w:rPr>
            </w:pPr>
            <w:r>
              <w:rPr>
                <w:rFonts w:hint="eastAsia" w:hAnsi="宋体"/>
              </w:rPr>
              <w:t>采购控制金额</w:t>
            </w:r>
          </w:p>
          <w:p>
            <w:pPr>
              <w:pStyle w:val="9"/>
              <w:spacing w:line="340" w:lineRule="exact"/>
              <w:jc w:val="center"/>
              <w:rPr>
                <w:rFonts w:hAnsi="宋体"/>
              </w:rPr>
            </w:pPr>
            <w:r>
              <w:rPr>
                <w:rFonts w:hint="eastAsia" w:hAnsi="宋体"/>
              </w:rPr>
              <w:t>（最高投标限价）</w:t>
            </w:r>
          </w:p>
        </w:tc>
        <w:tc>
          <w:tcPr>
            <w:tcW w:w="5669" w:type="dxa"/>
            <w:vAlign w:val="center"/>
          </w:tcPr>
          <w:p>
            <w:pPr>
              <w:pStyle w:val="9"/>
              <w:spacing w:line="340" w:lineRule="exact"/>
              <w:rPr>
                <w:rFonts w:hAnsi="宋体"/>
                <w:b/>
              </w:rPr>
            </w:pPr>
            <w:r>
              <w:rPr>
                <w:rFonts w:hint="eastAsia" w:hAnsi="宋体"/>
                <w:b/>
                <w:highlight w:val="yellow"/>
              </w:rPr>
              <w:t>人民币壹拾伍万肆仟元整（￥</w:t>
            </w:r>
            <w:r>
              <w:rPr>
                <w:rFonts w:hint="eastAsia" w:hAnsi="宋体"/>
                <w:b/>
                <w:highlight w:val="yellow"/>
                <w:u w:val="single"/>
              </w:rPr>
              <w:t>154</w:t>
            </w:r>
            <w:r>
              <w:rPr>
                <w:rFonts w:hAnsi="宋体"/>
                <w:b/>
                <w:highlight w:val="yellow"/>
                <w:u w:val="single"/>
              </w:rPr>
              <w:t>,</w:t>
            </w:r>
            <w:r>
              <w:rPr>
                <w:rFonts w:hint="eastAsia" w:hAnsi="宋体"/>
                <w:b/>
                <w:highlight w:val="yellow"/>
                <w:u w:val="single"/>
              </w:rPr>
              <w:t>0</w:t>
            </w:r>
            <w:r>
              <w:rPr>
                <w:rFonts w:hAnsi="宋体"/>
                <w:b/>
                <w:highlight w:val="yellow"/>
                <w:u w:val="single"/>
              </w:rPr>
              <w:t>00.00</w:t>
            </w:r>
            <w:r>
              <w:rPr>
                <w:rFonts w:hint="eastAsia" w:hAnsi="宋体"/>
                <w:b/>
                <w:highlight w:val="yellow"/>
              </w:rPr>
              <w:t>）</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2"/>
              </w:rPr>
            </w:pPr>
            <w:r>
              <w:rPr>
                <w:rFonts w:hint="eastAsia" w:ascii="仿宋" w:hAnsi="仿宋" w:eastAsia="仿宋"/>
                <w:b/>
                <w:bCs/>
                <w:snapToGrid w:val="0"/>
                <w:kern w:val="0"/>
                <w:sz w:val="22"/>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价格标（G）</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（总分30分）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投标总价</w:t>
            </w:r>
          </w:p>
        </w:tc>
        <w:tc>
          <w:tcPr>
            <w:tcW w:w="709"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价格分按以下方案计算：</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投标报价得分= Z/Sn×30</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其中： Z --评标基准价，即通过资格性审查和符合性审查且投标价格最低的投标报价</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ab/>
            </w:r>
            <w:r>
              <w:rPr>
                <w:rFonts w:hint="eastAsia" w:ascii="仿宋" w:hAnsi="仿宋" w:eastAsia="仿宋" w:cs="宋体"/>
                <w:kern w:val="0"/>
                <w:sz w:val="22"/>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技术标（J）</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（总分55分）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技术规格偏离情况</w:t>
            </w:r>
          </w:p>
        </w:tc>
        <w:tc>
          <w:tcPr>
            <w:tcW w:w="709" w:type="dxa"/>
            <w:vAlign w:val="center"/>
          </w:tcPr>
          <w:p>
            <w:pPr>
              <w:spacing w:line="360" w:lineRule="auto"/>
              <w:jc w:val="center"/>
              <w:rPr>
                <w:rFonts w:ascii="仿宋" w:hAnsi="仿宋" w:eastAsia="仿宋" w:cs="宋体"/>
                <w:kern w:val="0"/>
                <w:sz w:val="22"/>
              </w:rPr>
            </w:pPr>
            <w:r>
              <w:rPr>
                <w:rFonts w:ascii="仿宋" w:hAnsi="仿宋" w:eastAsia="仿宋" w:cs="宋体"/>
                <w:kern w:val="0"/>
                <w:sz w:val="22"/>
              </w:rPr>
              <w:t>40</w:t>
            </w:r>
          </w:p>
        </w:tc>
        <w:tc>
          <w:tcPr>
            <w:tcW w:w="6335" w:type="dxa"/>
            <w:tcBorders>
              <w:right w:val="double" w:color="auto" w:sz="4" w:space="0"/>
            </w:tcBorders>
            <w:vAlign w:val="center"/>
          </w:tcPr>
          <w:p>
            <w:pPr>
              <w:adjustRightInd w:val="0"/>
              <w:snapToGrid w:val="0"/>
              <w:spacing w:line="360" w:lineRule="auto"/>
              <w:rPr>
                <w:rFonts w:ascii="仿宋" w:hAnsi="仿宋" w:eastAsia="仿宋"/>
                <w:sz w:val="22"/>
              </w:rPr>
            </w:pPr>
            <w:r>
              <w:rPr>
                <w:rFonts w:hint="eastAsia" w:ascii="仿宋" w:hAnsi="仿宋" w:eastAsia="仿宋"/>
                <w:sz w:val="22"/>
              </w:rPr>
              <w:t>投标人应如实填写《技术规格偏离表》，评审委员会根据技术参数响应情况进行打分，各项技术参数指标及要求全部满足的得满分50分，</w:t>
            </w:r>
            <w:r>
              <w:rPr>
                <w:rFonts w:hint="eastAsia" w:ascii="仿宋" w:hAnsi="仿宋" w:eastAsia="仿宋"/>
                <w:color w:val="FF0000"/>
                <w:sz w:val="22"/>
              </w:rPr>
              <w:t>未响应的参数按负偏离扣分。</w:t>
            </w:r>
            <w:r>
              <w:rPr>
                <w:rFonts w:hint="eastAsia" w:ascii="仿宋" w:hAnsi="仿宋" w:eastAsia="仿宋"/>
                <w:sz w:val="22"/>
              </w:rPr>
              <w:t>带</w:t>
            </w:r>
            <w:r>
              <w:rPr>
                <w:rFonts w:hint="eastAsia" w:ascii="仿宋" w:hAnsi="仿宋" w:eastAsia="仿宋" w:cs="宋体"/>
                <w:kern w:val="0"/>
                <w:sz w:val="22"/>
              </w:rPr>
              <w:t>▲</w:t>
            </w:r>
            <w:r>
              <w:rPr>
                <w:rFonts w:hint="eastAsia" w:ascii="仿宋" w:hAnsi="仿宋" w:eastAsia="仿宋"/>
                <w:sz w:val="22"/>
              </w:rPr>
              <w:t>的重要参数每负偏离一项扣8分，其他一般参数每负偏离一项扣4分。扣完为止，最低得0分。</w:t>
            </w:r>
          </w:p>
          <w:p>
            <w:pPr>
              <w:adjustRightInd w:val="0"/>
              <w:spacing w:line="360" w:lineRule="auto"/>
              <w:rPr>
                <w:rFonts w:ascii="仿宋" w:hAnsi="仿宋" w:eastAsia="仿宋" w:cs="宋体"/>
                <w:kern w:val="0"/>
                <w:sz w:val="22"/>
              </w:rPr>
            </w:pPr>
            <w:r>
              <w:rPr>
                <w:rFonts w:hint="eastAsia" w:ascii="仿宋" w:hAnsi="仿宋" w:eastAsia="仿宋"/>
                <w:sz w:val="22"/>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样品</w:t>
            </w:r>
          </w:p>
        </w:tc>
        <w:tc>
          <w:tcPr>
            <w:tcW w:w="709" w:type="dxa"/>
            <w:vAlign w:val="center"/>
          </w:tcPr>
          <w:p>
            <w:pPr>
              <w:spacing w:line="360" w:lineRule="auto"/>
              <w:jc w:val="center"/>
              <w:rPr>
                <w:rFonts w:ascii="仿宋" w:hAnsi="仿宋" w:eastAsia="仿宋" w:cs="宋体"/>
                <w:kern w:val="0"/>
                <w:sz w:val="22"/>
              </w:rPr>
            </w:pPr>
            <w:r>
              <w:rPr>
                <w:rFonts w:ascii="仿宋" w:hAnsi="仿宋" w:eastAsia="仿宋" w:cs="宋体"/>
                <w:kern w:val="0"/>
                <w:sz w:val="22"/>
              </w:rPr>
              <w:t>10</w:t>
            </w:r>
          </w:p>
        </w:tc>
        <w:tc>
          <w:tcPr>
            <w:tcW w:w="6335" w:type="dxa"/>
            <w:tcBorders>
              <w:right w:val="double" w:color="auto" w:sz="4" w:space="0"/>
            </w:tcBorders>
            <w:vAlign w:val="center"/>
          </w:tcPr>
          <w:p>
            <w:pPr>
              <w:adjustRightInd w:val="0"/>
              <w:snapToGrid w:val="0"/>
              <w:spacing w:line="360" w:lineRule="auto"/>
              <w:rPr>
                <w:rFonts w:ascii="仿宋" w:hAnsi="仿宋" w:eastAsia="仿宋"/>
                <w:sz w:val="22"/>
              </w:rPr>
            </w:pPr>
            <w:r>
              <w:rPr>
                <w:rFonts w:hint="eastAsia" w:ascii="仿宋" w:hAnsi="仿宋" w:eastAsia="仿宋"/>
                <w:sz w:val="22"/>
              </w:rPr>
              <w:t>评标委员会根据投标人提供的样品进行评审：</w:t>
            </w:r>
          </w:p>
          <w:p>
            <w:pPr>
              <w:adjustRightInd w:val="0"/>
              <w:snapToGrid w:val="0"/>
              <w:spacing w:line="360" w:lineRule="auto"/>
              <w:rPr>
                <w:rFonts w:ascii="仿宋" w:hAnsi="仿宋" w:eastAsia="仿宋"/>
                <w:b/>
                <w:sz w:val="22"/>
              </w:rPr>
            </w:pPr>
            <w:r>
              <w:rPr>
                <w:rFonts w:hint="eastAsia" w:ascii="仿宋" w:hAnsi="仿宋" w:eastAsia="仿宋"/>
                <w:b/>
                <w:sz w:val="22"/>
                <w:highlight w:val="yellow"/>
              </w:rPr>
              <w:t>评审细则：</w:t>
            </w:r>
          </w:p>
          <w:p>
            <w:pPr>
              <w:adjustRightInd w:val="0"/>
              <w:snapToGrid w:val="0"/>
              <w:spacing w:line="360" w:lineRule="auto"/>
              <w:rPr>
                <w:rFonts w:ascii="仿宋" w:hAnsi="仿宋" w:eastAsia="仿宋"/>
                <w:sz w:val="22"/>
              </w:rPr>
            </w:pPr>
            <w:r>
              <w:rPr>
                <w:rFonts w:hint="eastAsia" w:ascii="仿宋" w:hAnsi="仿宋" w:eastAsia="仿宋"/>
                <w:sz w:val="22"/>
              </w:rPr>
              <w:t>1）样品的外观整体效果。</w:t>
            </w:r>
          </w:p>
          <w:p>
            <w:pPr>
              <w:adjustRightInd w:val="0"/>
              <w:snapToGrid w:val="0"/>
              <w:spacing w:line="360" w:lineRule="auto"/>
              <w:rPr>
                <w:rFonts w:ascii="仿宋" w:hAnsi="仿宋" w:eastAsia="仿宋"/>
                <w:sz w:val="22"/>
              </w:rPr>
            </w:pPr>
            <w:r>
              <w:rPr>
                <w:rFonts w:hint="eastAsia" w:ascii="仿宋" w:hAnsi="仿宋" w:eastAsia="仿宋"/>
                <w:sz w:val="22"/>
              </w:rPr>
              <w:t>2）板材的厚度。</w:t>
            </w:r>
          </w:p>
          <w:p>
            <w:pPr>
              <w:adjustRightInd w:val="0"/>
              <w:snapToGrid w:val="0"/>
              <w:spacing w:line="360" w:lineRule="auto"/>
              <w:rPr>
                <w:rFonts w:ascii="仿宋" w:hAnsi="仿宋" w:eastAsia="仿宋"/>
                <w:sz w:val="22"/>
              </w:rPr>
            </w:pPr>
            <w:r>
              <w:rPr>
                <w:rFonts w:hint="eastAsia" w:ascii="仿宋" w:hAnsi="仿宋" w:eastAsia="仿宋"/>
                <w:sz w:val="22"/>
              </w:rPr>
              <w:t>3）板材拼</w:t>
            </w:r>
            <w:r>
              <w:rPr>
                <w:rFonts w:hint="eastAsia" w:ascii="仿宋" w:hAnsi="仿宋" w:eastAsia="仿宋"/>
                <w:sz w:val="22"/>
                <w:lang w:val="en-US" w:eastAsia="zh-CN"/>
              </w:rPr>
              <w:t>接</w:t>
            </w:r>
            <w:r>
              <w:rPr>
                <w:rFonts w:hint="eastAsia" w:ascii="仿宋" w:hAnsi="仿宋" w:eastAsia="仿宋"/>
                <w:sz w:val="22"/>
              </w:rPr>
              <w:t>面严密平整程度。</w:t>
            </w:r>
          </w:p>
          <w:p>
            <w:pPr>
              <w:adjustRightInd w:val="0"/>
              <w:snapToGrid w:val="0"/>
              <w:spacing w:line="360" w:lineRule="auto"/>
              <w:rPr>
                <w:rFonts w:ascii="仿宋" w:hAnsi="仿宋" w:eastAsia="仿宋"/>
                <w:sz w:val="22"/>
              </w:rPr>
            </w:pPr>
            <w:r>
              <w:rPr>
                <w:rFonts w:hint="eastAsia" w:ascii="仿宋" w:hAnsi="仿宋" w:eastAsia="仿宋"/>
                <w:sz w:val="22"/>
              </w:rPr>
              <w:t>4）各种链接配件结合牢固程度等方面。</w:t>
            </w:r>
          </w:p>
          <w:p>
            <w:pPr>
              <w:adjustRightInd w:val="0"/>
              <w:snapToGrid w:val="0"/>
              <w:spacing w:line="360" w:lineRule="auto"/>
              <w:rPr>
                <w:rFonts w:ascii="仿宋" w:hAnsi="仿宋" w:eastAsia="仿宋"/>
                <w:sz w:val="22"/>
              </w:rPr>
            </w:pPr>
            <w:r>
              <w:rPr>
                <w:rFonts w:hint="eastAsia" w:ascii="仿宋" w:hAnsi="仿宋" w:eastAsia="仿宋"/>
                <w:sz w:val="22"/>
              </w:rPr>
              <w:t>5）符合技术需求的具体参数要求</w:t>
            </w:r>
          </w:p>
          <w:p>
            <w:pPr>
              <w:adjustRightInd w:val="0"/>
              <w:snapToGrid w:val="0"/>
              <w:spacing w:line="360" w:lineRule="auto"/>
              <w:rPr>
                <w:rFonts w:ascii="仿宋" w:hAnsi="仿宋" w:eastAsia="仿宋"/>
                <w:b/>
                <w:sz w:val="22"/>
              </w:rPr>
            </w:pPr>
            <w:r>
              <w:rPr>
                <w:rFonts w:hint="eastAsia" w:ascii="仿宋" w:hAnsi="仿宋" w:eastAsia="仿宋"/>
                <w:b/>
                <w:sz w:val="22"/>
                <w:highlight w:val="yellow"/>
              </w:rPr>
              <w:t>评分细则：</w:t>
            </w:r>
          </w:p>
          <w:p>
            <w:pPr>
              <w:adjustRightInd w:val="0"/>
              <w:snapToGrid w:val="0"/>
              <w:spacing w:line="360" w:lineRule="auto"/>
              <w:rPr>
                <w:rFonts w:ascii="仿宋" w:hAnsi="仿宋" w:eastAsia="仿宋"/>
                <w:sz w:val="22"/>
              </w:rPr>
            </w:pPr>
            <w:r>
              <w:rPr>
                <w:rFonts w:hint="eastAsia" w:ascii="仿宋" w:hAnsi="仿宋" w:eastAsia="仿宋"/>
                <w:sz w:val="22"/>
              </w:rPr>
              <w:t>评价优得10分，评价良得5分，评价中得2分，评价差得1分，不提供不得分。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生产能力</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rPr>
              <w:t>5</w:t>
            </w:r>
          </w:p>
        </w:tc>
        <w:tc>
          <w:tcPr>
            <w:tcW w:w="6335" w:type="dxa"/>
            <w:tcBorders>
              <w:right w:val="double" w:color="auto" w:sz="4" w:space="0"/>
            </w:tcBorders>
            <w:vAlign w:val="center"/>
          </w:tcPr>
          <w:p>
            <w:pPr>
              <w:adjustRightInd w:val="0"/>
              <w:snapToGrid w:val="0"/>
              <w:spacing w:line="360" w:lineRule="auto"/>
              <w:rPr>
                <w:rFonts w:ascii="仿宋" w:hAnsi="仿宋" w:eastAsia="仿宋"/>
                <w:sz w:val="22"/>
              </w:rPr>
            </w:pPr>
            <w:r>
              <w:rPr>
                <w:rFonts w:hint="eastAsia" w:ascii="仿宋" w:hAnsi="仿宋" w:eastAsia="仿宋"/>
                <w:sz w:val="22"/>
              </w:rPr>
              <w:t>所投产品制造商具有</w:t>
            </w:r>
          </w:p>
          <w:p>
            <w:pPr>
              <w:adjustRightInd w:val="0"/>
              <w:snapToGrid w:val="0"/>
              <w:spacing w:line="360" w:lineRule="auto"/>
              <w:rPr>
                <w:rFonts w:ascii="仿宋" w:hAnsi="仿宋" w:eastAsia="仿宋"/>
                <w:sz w:val="22"/>
              </w:rPr>
            </w:pPr>
            <w:r>
              <w:rPr>
                <w:rFonts w:hint="eastAsia" w:ascii="仿宋" w:hAnsi="仿宋" w:eastAsia="仿宋"/>
                <w:sz w:val="22"/>
              </w:rPr>
              <w:t>1）数控冲床</w:t>
            </w:r>
          </w:p>
          <w:p>
            <w:pPr>
              <w:adjustRightInd w:val="0"/>
              <w:snapToGrid w:val="0"/>
              <w:spacing w:line="360" w:lineRule="auto"/>
              <w:rPr>
                <w:rFonts w:ascii="仿宋" w:hAnsi="仿宋" w:eastAsia="仿宋"/>
                <w:sz w:val="22"/>
              </w:rPr>
            </w:pPr>
            <w:r>
              <w:rPr>
                <w:rFonts w:hint="eastAsia" w:ascii="仿宋" w:hAnsi="仿宋" w:eastAsia="仿宋"/>
                <w:sz w:val="22"/>
              </w:rPr>
              <w:t>2）三排钻、六排钻</w:t>
            </w:r>
          </w:p>
          <w:p>
            <w:pPr>
              <w:adjustRightInd w:val="0"/>
              <w:snapToGrid w:val="0"/>
              <w:spacing w:line="360" w:lineRule="auto"/>
              <w:rPr>
                <w:rFonts w:ascii="仿宋" w:hAnsi="仿宋" w:eastAsia="仿宋"/>
                <w:sz w:val="22"/>
              </w:rPr>
            </w:pPr>
            <w:r>
              <w:rPr>
                <w:rFonts w:hint="eastAsia" w:ascii="仿宋" w:hAnsi="仿宋" w:eastAsia="仿宋"/>
                <w:sz w:val="22"/>
              </w:rPr>
              <w:t>3）数控折弯机</w:t>
            </w:r>
          </w:p>
          <w:p>
            <w:pPr>
              <w:adjustRightInd w:val="0"/>
              <w:snapToGrid w:val="0"/>
              <w:spacing w:line="360" w:lineRule="auto"/>
              <w:rPr>
                <w:rFonts w:ascii="仿宋" w:hAnsi="仿宋" w:eastAsia="仿宋"/>
                <w:sz w:val="22"/>
              </w:rPr>
            </w:pPr>
            <w:r>
              <w:rPr>
                <w:rFonts w:hint="eastAsia" w:ascii="仿宋" w:hAnsi="仿宋" w:eastAsia="仿宋"/>
                <w:sz w:val="22"/>
              </w:rPr>
              <w:t>4）电脑高速封边机</w:t>
            </w:r>
          </w:p>
          <w:p>
            <w:pPr>
              <w:adjustRightInd w:val="0"/>
              <w:snapToGrid w:val="0"/>
              <w:spacing w:line="360" w:lineRule="auto"/>
              <w:rPr>
                <w:rFonts w:ascii="仿宋" w:hAnsi="仿宋" w:eastAsia="仿宋"/>
                <w:sz w:val="22"/>
              </w:rPr>
            </w:pPr>
            <w:r>
              <w:rPr>
                <w:rFonts w:hint="eastAsia" w:ascii="仿宋" w:hAnsi="仿宋" w:eastAsia="仿宋"/>
                <w:sz w:val="22"/>
              </w:rPr>
              <w:t>5）全自动封边机</w:t>
            </w:r>
          </w:p>
          <w:p>
            <w:pPr>
              <w:adjustRightInd w:val="0"/>
              <w:snapToGrid w:val="0"/>
              <w:spacing w:line="360" w:lineRule="auto"/>
              <w:rPr>
                <w:rFonts w:ascii="仿宋" w:hAnsi="仿宋" w:eastAsia="仿宋"/>
                <w:sz w:val="22"/>
              </w:rPr>
            </w:pPr>
            <w:r>
              <w:rPr>
                <w:rFonts w:hint="eastAsia" w:ascii="仿宋" w:hAnsi="仿宋" w:eastAsia="仿宋"/>
                <w:sz w:val="22"/>
              </w:rPr>
              <w:t>6）电子开料锯</w:t>
            </w:r>
          </w:p>
          <w:p>
            <w:pPr>
              <w:adjustRightInd w:val="0"/>
              <w:snapToGrid w:val="0"/>
              <w:spacing w:line="360" w:lineRule="auto"/>
              <w:rPr>
                <w:rFonts w:ascii="仿宋" w:hAnsi="仿宋" w:eastAsia="仿宋"/>
                <w:sz w:val="22"/>
              </w:rPr>
            </w:pPr>
            <w:r>
              <w:rPr>
                <w:rFonts w:hint="eastAsia" w:ascii="仿宋" w:hAnsi="仿宋" w:eastAsia="仿宋"/>
                <w:sz w:val="22"/>
              </w:rPr>
              <w:t>7）板件除尘器</w:t>
            </w:r>
          </w:p>
          <w:p>
            <w:pPr>
              <w:adjustRightInd w:val="0"/>
              <w:snapToGrid w:val="0"/>
              <w:spacing w:line="360" w:lineRule="auto"/>
              <w:rPr>
                <w:rFonts w:ascii="仿宋" w:hAnsi="仿宋" w:eastAsia="仿宋"/>
                <w:sz w:val="22"/>
              </w:rPr>
            </w:pPr>
            <w:r>
              <w:rPr>
                <w:rFonts w:hint="eastAsia" w:ascii="仿宋" w:hAnsi="仿宋" w:eastAsia="仿宋"/>
                <w:sz w:val="22"/>
              </w:rPr>
              <w:t>8）电脑宽带砂光机</w:t>
            </w:r>
          </w:p>
          <w:p>
            <w:pPr>
              <w:adjustRightInd w:val="0"/>
              <w:snapToGrid w:val="0"/>
              <w:spacing w:line="360" w:lineRule="auto"/>
              <w:rPr>
                <w:rFonts w:ascii="仿宋" w:hAnsi="仿宋" w:eastAsia="仿宋"/>
                <w:sz w:val="22"/>
              </w:rPr>
            </w:pPr>
            <w:r>
              <w:rPr>
                <w:rFonts w:hint="eastAsia" w:ascii="仿宋" w:hAnsi="仿宋" w:eastAsia="仿宋"/>
                <w:sz w:val="22"/>
              </w:rPr>
              <w:t>全部满足得5分，没缺漏一项扣1分，扣完为止。</w:t>
            </w:r>
          </w:p>
          <w:p>
            <w:pPr>
              <w:adjustRightInd w:val="0"/>
              <w:snapToGrid w:val="0"/>
              <w:spacing w:line="360" w:lineRule="auto"/>
              <w:rPr>
                <w:rFonts w:ascii="仿宋" w:hAnsi="仿宋" w:eastAsia="仿宋"/>
                <w:sz w:val="22"/>
              </w:rPr>
            </w:pPr>
            <w:r>
              <w:rPr>
                <w:rFonts w:hint="eastAsia" w:ascii="仿宋" w:hAnsi="仿宋" w:eastAsia="仿宋"/>
                <w:sz w:val="22"/>
              </w:rPr>
              <w:t>【提供对应生产设备的购买发票及购买合同（发票或购买合同日期须在投标截止时间之前）的扫描件并加盖投标人公章，生产设备名称要与上述要求名称一致，</w:t>
            </w:r>
            <w:r>
              <w:rPr>
                <w:rFonts w:ascii="仿宋" w:hAnsi="仿宋" w:eastAsia="仿宋" w:cs="宋体"/>
                <w:kern w:val="0"/>
                <w:sz w:val="22"/>
              </w:rPr>
              <w:t>未按要求提供或提供不清晰导致专家无法有效判断的不得分</w:t>
            </w:r>
            <w:r>
              <w:rPr>
                <w:rFonts w:hint="eastAsia"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商务标（S）</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（总分15分）</w:t>
            </w:r>
          </w:p>
        </w:tc>
        <w:tc>
          <w:tcPr>
            <w:tcW w:w="1182" w:type="dxa"/>
            <w:vAlign w:val="center"/>
          </w:tcPr>
          <w:p>
            <w:pPr>
              <w:widowControl/>
              <w:spacing w:before="100" w:beforeAutospacing="1" w:line="360" w:lineRule="auto"/>
              <w:jc w:val="center"/>
              <w:textAlignment w:val="center"/>
              <w:rPr>
                <w:rFonts w:ascii="仿宋" w:hAnsi="仿宋" w:eastAsia="仿宋"/>
                <w:sz w:val="22"/>
              </w:rPr>
            </w:pPr>
            <w:r>
              <w:rPr>
                <w:rFonts w:hint="eastAsia" w:ascii="仿宋" w:hAnsi="仿宋" w:eastAsia="仿宋"/>
                <w:sz w:val="22"/>
              </w:rPr>
              <w:t>同类业绩</w:t>
            </w:r>
          </w:p>
        </w:tc>
        <w:tc>
          <w:tcPr>
            <w:tcW w:w="709" w:type="dxa"/>
            <w:tcBorders>
              <w:right w:val="single" w:color="auto" w:sz="4" w:space="0"/>
            </w:tcBorders>
            <w:vAlign w:val="center"/>
          </w:tcPr>
          <w:p>
            <w:pPr>
              <w:widowControl/>
              <w:spacing w:line="360" w:lineRule="auto"/>
              <w:jc w:val="center"/>
              <w:rPr>
                <w:rFonts w:ascii="仿宋" w:hAnsi="仿宋" w:eastAsia="仿宋"/>
                <w:sz w:val="22"/>
              </w:rPr>
            </w:pPr>
            <w:r>
              <w:rPr>
                <w:rFonts w:hint="eastAsia" w:ascii="仿宋" w:hAnsi="仿宋" w:eastAsia="仿宋"/>
                <w:snapToGrid w:val="0"/>
                <w:kern w:val="0"/>
                <w:sz w:val="22"/>
              </w:rPr>
              <w:t>5</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2"/>
              </w:rPr>
            </w:pPr>
            <w:r>
              <w:rPr>
                <w:rFonts w:ascii="仿宋" w:hAnsi="仿宋" w:eastAsia="仿宋" w:cs="宋体"/>
                <w:kern w:val="0"/>
                <w:sz w:val="22"/>
              </w:rPr>
              <w:t>投标人近</w:t>
            </w:r>
            <w:r>
              <w:rPr>
                <w:rFonts w:hint="eastAsia" w:ascii="仿宋" w:hAnsi="仿宋" w:eastAsia="仿宋" w:cs="宋体"/>
                <w:kern w:val="0"/>
                <w:sz w:val="22"/>
              </w:rPr>
              <w:t>三</w:t>
            </w:r>
            <w:r>
              <w:rPr>
                <w:rFonts w:ascii="仿宋" w:hAnsi="仿宋" w:eastAsia="仿宋" w:cs="宋体"/>
                <w:kern w:val="0"/>
                <w:sz w:val="22"/>
              </w:rPr>
              <w:t>年相关同类</w:t>
            </w:r>
            <w:r>
              <w:rPr>
                <w:rFonts w:hint="eastAsia" w:ascii="仿宋" w:hAnsi="仿宋" w:eastAsia="仿宋" w:cs="宋体"/>
                <w:kern w:val="0"/>
                <w:sz w:val="22"/>
              </w:rPr>
              <w:t>（</w:t>
            </w:r>
            <w:r>
              <w:rPr>
                <w:rFonts w:hint="eastAsia" w:ascii="仿宋" w:hAnsi="仿宋" w:eastAsia="仿宋" w:cs="宋体"/>
                <w:b/>
                <w:bCs/>
                <w:kern w:val="0"/>
                <w:sz w:val="22"/>
              </w:rPr>
              <w:t>家具类</w:t>
            </w:r>
            <w:r>
              <w:rPr>
                <w:rFonts w:hint="eastAsia" w:ascii="仿宋" w:hAnsi="仿宋" w:eastAsia="仿宋" w:cs="宋体"/>
                <w:kern w:val="0"/>
                <w:sz w:val="22"/>
              </w:rPr>
              <w:t>）</w:t>
            </w:r>
            <w:r>
              <w:rPr>
                <w:rFonts w:ascii="仿宋" w:hAnsi="仿宋" w:eastAsia="仿宋" w:cs="宋体"/>
                <w:kern w:val="0"/>
                <w:sz w:val="22"/>
              </w:rPr>
              <w:t>业绩（以合同签订时间签订为准,从201</w:t>
            </w:r>
            <w:r>
              <w:rPr>
                <w:rFonts w:hint="eastAsia" w:ascii="仿宋" w:hAnsi="仿宋" w:eastAsia="仿宋" w:cs="宋体"/>
                <w:kern w:val="0"/>
                <w:sz w:val="22"/>
              </w:rPr>
              <w:t>9</w:t>
            </w:r>
            <w:r>
              <w:rPr>
                <w:rFonts w:ascii="仿宋" w:hAnsi="仿宋" w:eastAsia="仿宋" w:cs="宋体"/>
                <w:kern w:val="0"/>
                <w:sz w:val="22"/>
              </w:rPr>
              <w:t>年1月1日开始，截止日为本项目发布招标公告之日），每提供一个有效业绩得</w:t>
            </w:r>
            <w:r>
              <w:rPr>
                <w:rFonts w:hint="eastAsia" w:ascii="仿宋" w:hAnsi="仿宋" w:eastAsia="仿宋" w:cs="宋体"/>
                <w:kern w:val="0"/>
                <w:sz w:val="22"/>
              </w:rPr>
              <w:t>1分</w:t>
            </w:r>
            <w:r>
              <w:rPr>
                <w:rFonts w:ascii="仿宋" w:hAnsi="仿宋" w:eastAsia="仿宋" w:cs="宋体"/>
                <w:kern w:val="0"/>
                <w:sz w:val="22"/>
              </w:rPr>
              <w:t>，本项得分最高得</w:t>
            </w:r>
            <w:r>
              <w:rPr>
                <w:rFonts w:hint="eastAsia" w:ascii="仿宋" w:hAnsi="仿宋" w:eastAsia="仿宋" w:cs="宋体"/>
                <w:kern w:val="0"/>
                <w:sz w:val="22"/>
              </w:rPr>
              <w:t>5分</w:t>
            </w:r>
            <w:r>
              <w:rPr>
                <w:rFonts w:ascii="仿宋" w:hAnsi="仿宋" w:eastAsia="仿宋" w:cs="宋体"/>
                <w:kern w:val="0"/>
                <w:sz w:val="22"/>
              </w:rPr>
              <w:t>。</w:t>
            </w:r>
          </w:p>
          <w:p>
            <w:pPr>
              <w:snapToGrid w:val="0"/>
              <w:spacing w:line="360" w:lineRule="auto"/>
              <w:jc w:val="left"/>
              <w:rPr>
                <w:rFonts w:ascii="仿宋" w:hAnsi="仿宋" w:eastAsia="仿宋"/>
                <w:sz w:val="22"/>
              </w:rPr>
            </w:pPr>
            <w:r>
              <w:rPr>
                <w:rFonts w:ascii="仿宋" w:hAnsi="仿宋" w:eastAsia="仿宋" w:cs="宋体"/>
                <w:kern w:val="0"/>
                <w:sz w:val="22"/>
              </w:rPr>
              <w:t>【提供签订合同</w:t>
            </w:r>
            <w:r>
              <w:rPr>
                <w:rFonts w:hint="eastAsia" w:ascii="仿宋" w:hAnsi="仿宋" w:eastAsia="仿宋" w:cs="宋体"/>
                <w:kern w:val="0"/>
                <w:sz w:val="22"/>
              </w:rPr>
              <w:t>和的</w:t>
            </w:r>
            <w:r>
              <w:rPr>
                <w:rFonts w:ascii="仿宋" w:hAnsi="仿宋" w:eastAsia="仿宋" w:cs="宋体"/>
                <w:kern w:val="0"/>
                <w:sz w:val="22"/>
              </w:rPr>
              <w:t>扫描件</w:t>
            </w:r>
            <w:r>
              <w:rPr>
                <w:rFonts w:hint="eastAsia" w:ascii="仿宋" w:hAnsi="仿宋" w:eastAsia="仿宋" w:cs="宋体"/>
                <w:kern w:val="0"/>
                <w:sz w:val="22"/>
              </w:rPr>
              <w:t>并加盖投标人公章，原件备查</w:t>
            </w:r>
            <w:r>
              <w:rPr>
                <w:rFonts w:ascii="仿宋" w:hAnsi="仿宋" w:eastAsia="仿宋" w:cs="宋体"/>
                <w:kern w:val="0"/>
                <w:sz w:val="22"/>
              </w:rPr>
              <w:t>。合同须表明关键信息(通过合同关键信息无法判断是否得分的)，未按要求提供或提供不清晰导致专家无法有效判断的不得分】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100" w:beforeAutospacing="1" w:line="360" w:lineRule="auto"/>
              <w:jc w:val="center"/>
              <w:textAlignment w:val="center"/>
              <w:rPr>
                <w:rFonts w:ascii="仿宋" w:hAnsi="仿宋" w:eastAsia="仿宋"/>
                <w:sz w:val="22"/>
              </w:rPr>
            </w:pPr>
            <w:r>
              <w:rPr>
                <w:rFonts w:hint="eastAsia" w:ascii="仿宋" w:hAnsi="仿宋" w:eastAsia="仿宋"/>
                <w:sz w:val="22"/>
              </w:rPr>
              <w:t>综合实力</w:t>
            </w:r>
          </w:p>
        </w:tc>
        <w:tc>
          <w:tcPr>
            <w:tcW w:w="709" w:type="dxa"/>
            <w:tcBorders>
              <w:right w:val="single" w:color="auto" w:sz="4" w:space="0"/>
            </w:tcBorders>
            <w:vAlign w:val="center"/>
          </w:tcPr>
          <w:p>
            <w:pPr>
              <w:widowControl/>
              <w:spacing w:line="360" w:lineRule="auto"/>
              <w:jc w:val="center"/>
              <w:rPr>
                <w:rFonts w:ascii="仿宋" w:hAnsi="仿宋" w:eastAsia="仿宋"/>
                <w:snapToGrid w:val="0"/>
                <w:kern w:val="0"/>
                <w:sz w:val="22"/>
              </w:rPr>
            </w:pPr>
            <w:r>
              <w:rPr>
                <w:rFonts w:hint="eastAsia" w:ascii="仿宋" w:hAnsi="仿宋" w:eastAsia="仿宋"/>
                <w:snapToGrid w:val="0"/>
                <w:kern w:val="0"/>
                <w:sz w:val="22"/>
              </w:rPr>
              <w:t>5</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投标人具有</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1）质量管理体系认证证书，得0.5分。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2）环境管理体系认证证书，得0.5分。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3）职业健康安全管理体系认证证书，得0.5分。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4）中国环境标志产品认证证书，得1分。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5）社会责任管理体系认证证书，得0.5分。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6）中国环保产品认证证书，得1分。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7）售后服务五星级认证证书，得1分。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【提供相关证书的扫描件和国家认证认可监督管理委员会官方网站（www.cnca.gov.cn）或相关证书官网查询截图，原件备查</w:t>
            </w:r>
            <w:r>
              <w:rPr>
                <w:rFonts w:ascii="仿宋" w:hAnsi="仿宋" w:eastAsia="仿宋" w:cs="宋体"/>
                <w:kern w:val="0"/>
                <w:sz w:val="22"/>
              </w:rPr>
              <w:t>。未按要求提供或提供不清晰导致专家无法有效判断的不得分</w:t>
            </w:r>
            <w:r>
              <w:rPr>
                <w:rFonts w:hint="eastAsia" w:ascii="仿宋" w:hAnsi="仿宋" w:eastAsia="仿宋" w:cs="宋体"/>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2"/>
              </w:rPr>
            </w:pPr>
            <w:r>
              <w:rPr>
                <w:rFonts w:hint="eastAsia" w:ascii="仿宋" w:hAnsi="仿宋" w:eastAsia="仿宋"/>
                <w:snapToGrid w:val="0"/>
                <w:kern w:val="0"/>
                <w:sz w:val="22"/>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2"/>
              </w:rPr>
            </w:pPr>
            <w:r>
              <w:rPr>
                <w:rFonts w:hint="eastAsia" w:ascii="仿宋" w:hAnsi="仿宋" w:eastAsia="仿宋"/>
                <w:snapToGrid w:val="0"/>
                <w:kern w:val="0"/>
                <w:sz w:val="22"/>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总得分（N）</w:t>
            </w:r>
          </w:p>
          <w:p>
            <w:pPr>
              <w:adjustRightInd w:val="0"/>
              <w:snapToGrid w:val="0"/>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2"/>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2"/>
              </w:rPr>
            </w:pPr>
            <w:r>
              <w:rPr>
                <w:rFonts w:hint="eastAsia" w:ascii="仿宋" w:hAnsi="仿宋" w:eastAsia="仿宋"/>
                <w:snapToGrid w:val="0"/>
                <w:kern w:val="0"/>
                <w:sz w:val="22"/>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2"/>
              </w:rPr>
            </w:pPr>
            <w:r>
              <w:rPr>
                <w:rFonts w:hint="eastAsia" w:ascii="仿宋" w:hAnsi="仿宋" w:eastAsia="仿宋"/>
                <w:snapToGrid w:val="0"/>
                <w:kern w:val="0"/>
                <w:sz w:val="22"/>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6"/>
        <w:tblW w:w="890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300"/>
        <w:gridCol w:w="1215"/>
        <w:gridCol w:w="2010"/>
        <w:gridCol w:w="157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07" w:type="dxa"/>
            <w:shd w:val="clear" w:color="auto" w:fill="C6D9F1"/>
            <w:vAlign w:val="center"/>
          </w:tcPr>
          <w:p>
            <w:pPr>
              <w:jc w:val="center"/>
              <w:rPr>
                <w:rFonts w:ascii="仿宋" w:hAnsi="仿宋" w:eastAsia="仿宋"/>
                <w:b/>
                <w:sz w:val="22"/>
              </w:rPr>
            </w:pPr>
            <w:r>
              <w:rPr>
                <w:rFonts w:hint="eastAsia" w:ascii="仿宋" w:hAnsi="仿宋" w:eastAsia="仿宋"/>
                <w:b/>
                <w:sz w:val="22"/>
              </w:rPr>
              <w:t>序号</w:t>
            </w:r>
          </w:p>
        </w:tc>
        <w:tc>
          <w:tcPr>
            <w:tcW w:w="3300" w:type="dxa"/>
            <w:shd w:val="clear" w:color="auto" w:fill="C6D9F1"/>
            <w:vAlign w:val="center"/>
          </w:tcPr>
          <w:p>
            <w:pPr>
              <w:jc w:val="center"/>
              <w:rPr>
                <w:rFonts w:ascii="仿宋" w:hAnsi="仿宋" w:eastAsia="仿宋"/>
                <w:b/>
                <w:sz w:val="22"/>
              </w:rPr>
            </w:pPr>
            <w:r>
              <w:rPr>
                <w:rFonts w:hint="eastAsia" w:ascii="仿宋" w:hAnsi="仿宋" w:eastAsia="仿宋"/>
                <w:b/>
                <w:sz w:val="22"/>
              </w:rPr>
              <w:t>项目名称</w:t>
            </w:r>
          </w:p>
        </w:tc>
        <w:tc>
          <w:tcPr>
            <w:tcW w:w="1215" w:type="dxa"/>
            <w:shd w:val="clear" w:color="auto" w:fill="C6D9F1"/>
            <w:vAlign w:val="center"/>
          </w:tcPr>
          <w:p>
            <w:pPr>
              <w:jc w:val="center"/>
              <w:rPr>
                <w:rFonts w:ascii="仿宋" w:hAnsi="仿宋" w:eastAsia="仿宋"/>
                <w:b/>
                <w:sz w:val="22"/>
              </w:rPr>
            </w:pPr>
            <w:r>
              <w:rPr>
                <w:rFonts w:hint="eastAsia" w:ascii="仿宋" w:hAnsi="仿宋" w:eastAsia="仿宋"/>
                <w:b/>
                <w:sz w:val="22"/>
              </w:rPr>
              <w:t>数量</w:t>
            </w:r>
          </w:p>
        </w:tc>
        <w:tc>
          <w:tcPr>
            <w:tcW w:w="2010" w:type="dxa"/>
            <w:shd w:val="clear" w:color="auto" w:fill="C6D9F1"/>
            <w:vAlign w:val="center"/>
          </w:tcPr>
          <w:p>
            <w:pPr>
              <w:jc w:val="center"/>
              <w:rPr>
                <w:rFonts w:ascii="仿宋" w:hAnsi="仿宋" w:eastAsia="仿宋"/>
                <w:b/>
                <w:sz w:val="22"/>
              </w:rPr>
            </w:pPr>
            <w:r>
              <w:rPr>
                <w:rFonts w:hint="eastAsia" w:ascii="仿宋" w:hAnsi="仿宋" w:eastAsia="仿宋"/>
                <w:b/>
                <w:sz w:val="22"/>
              </w:rPr>
              <w:t>采购控制金额</w:t>
            </w:r>
          </w:p>
        </w:tc>
        <w:tc>
          <w:tcPr>
            <w:tcW w:w="1571" w:type="dxa"/>
            <w:shd w:val="clear" w:color="auto" w:fill="C6D9F1"/>
            <w:vAlign w:val="center"/>
          </w:tcPr>
          <w:p>
            <w:pPr>
              <w:jc w:val="center"/>
              <w:rPr>
                <w:rFonts w:ascii="仿宋" w:hAnsi="仿宋" w:eastAsia="仿宋"/>
                <w:b/>
                <w:sz w:val="22"/>
              </w:rPr>
            </w:pPr>
            <w:r>
              <w:rPr>
                <w:rFonts w:hint="eastAsia" w:ascii="仿宋" w:hAnsi="仿宋" w:eastAsia="仿宋"/>
                <w:b/>
                <w:sz w:val="22"/>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07" w:type="dxa"/>
            <w:vAlign w:val="center"/>
          </w:tcPr>
          <w:p>
            <w:pPr>
              <w:spacing w:line="360" w:lineRule="auto"/>
              <w:jc w:val="center"/>
              <w:rPr>
                <w:rFonts w:ascii="仿宋" w:hAnsi="仿宋" w:eastAsia="仿宋"/>
                <w:sz w:val="22"/>
              </w:rPr>
            </w:pPr>
            <w:r>
              <w:rPr>
                <w:rFonts w:hint="eastAsia" w:ascii="仿宋" w:hAnsi="仿宋" w:eastAsia="仿宋"/>
                <w:sz w:val="22"/>
              </w:rPr>
              <w:t>1</w:t>
            </w:r>
          </w:p>
        </w:tc>
        <w:tc>
          <w:tcPr>
            <w:tcW w:w="3300" w:type="dxa"/>
            <w:vAlign w:val="center"/>
          </w:tcPr>
          <w:p>
            <w:pPr>
              <w:spacing w:line="360" w:lineRule="auto"/>
              <w:jc w:val="center"/>
              <w:rPr>
                <w:rFonts w:ascii="仿宋" w:hAnsi="仿宋" w:eastAsia="仿宋"/>
                <w:sz w:val="22"/>
              </w:rPr>
            </w:pPr>
            <w:r>
              <w:rPr>
                <w:rFonts w:hint="eastAsia" w:ascii="仿宋" w:hAnsi="仿宋" w:eastAsia="仿宋"/>
                <w:sz w:val="22"/>
              </w:rPr>
              <w:t>分局指挥中心大楼5楼机房及档案室配套办公家具采购项目</w:t>
            </w:r>
          </w:p>
        </w:tc>
        <w:tc>
          <w:tcPr>
            <w:tcW w:w="1215" w:type="dxa"/>
            <w:vAlign w:val="center"/>
          </w:tcPr>
          <w:p>
            <w:pPr>
              <w:spacing w:line="360" w:lineRule="auto"/>
              <w:jc w:val="center"/>
              <w:rPr>
                <w:rFonts w:ascii="仿宋" w:hAnsi="仿宋" w:eastAsia="仿宋"/>
                <w:sz w:val="22"/>
              </w:rPr>
            </w:pPr>
            <w:r>
              <w:rPr>
                <w:rFonts w:hint="eastAsia" w:ascii="仿宋" w:hAnsi="仿宋" w:eastAsia="仿宋"/>
                <w:sz w:val="22"/>
              </w:rPr>
              <w:t>1批</w:t>
            </w:r>
          </w:p>
        </w:tc>
        <w:tc>
          <w:tcPr>
            <w:tcW w:w="2010" w:type="dxa"/>
            <w:vAlign w:val="center"/>
          </w:tcPr>
          <w:p>
            <w:pPr>
              <w:spacing w:line="360" w:lineRule="auto"/>
              <w:jc w:val="center"/>
              <w:rPr>
                <w:rFonts w:ascii="仿宋" w:hAnsi="仿宋" w:eastAsia="仿宋"/>
                <w:sz w:val="22"/>
              </w:rPr>
            </w:pPr>
            <w:r>
              <w:rPr>
                <w:rFonts w:hint="eastAsia" w:ascii="仿宋" w:hAnsi="仿宋" w:eastAsia="仿宋"/>
                <w:sz w:val="22"/>
              </w:rPr>
              <w:t>15.4万元</w:t>
            </w:r>
          </w:p>
        </w:tc>
        <w:tc>
          <w:tcPr>
            <w:tcW w:w="1571" w:type="dxa"/>
            <w:vAlign w:val="center"/>
          </w:tcPr>
          <w:p>
            <w:pPr>
              <w:spacing w:line="360" w:lineRule="auto"/>
              <w:jc w:val="center"/>
              <w:rPr>
                <w:rFonts w:ascii="仿宋" w:hAnsi="仿宋" w:eastAsia="仿宋"/>
                <w:sz w:val="22"/>
              </w:rPr>
            </w:pPr>
            <w:r>
              <w:rPr>
                <w:rFonts w:hint="eastAsia" w:ascii="仿宋" w:hAnsi="仿宋" w:eastAsia="仿宋"/>
                <w:sz w:val="22"/>
              </w:rPr>
              <w:t>拒绝进口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1、投标人的投标报价超过采购控制金额的将导致废标。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二、采购明细清单</w:t>
      </w:r>
    </w:p>
    <w:tbl>
      <w:tblPr>
        <w:tblStyle w:val="17"/>
        <w:tblW w:w="889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17"/>
        <w:gridCol w:w="2139"/>
        <w:gridCol w:w="2953"/>
        <w:gridCol w:w="1294"/>
        <w:gridCol w:w="12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1217" w:type="dxa"/>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序号</w:t>
            </w:r>
          </w:p>
        </w:tc>
        <w:tc>
          <w:tcPr>
            <w:tcW w:w="2139" w:type="dxa"/>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货物名称</w:t>
            </w:r>
          </w:p>
        </w:tc>
        <w:tc>
          <w:tcPr>
            <w:tcW w:w="2953" w:type="dxa"/>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规格</w:t>
            </w:r>
          </w:p>
        </w:tc>
        <w:tc>
          <w:tcPr>
            <w:tcW w:w="1294" w:type="dxa"/>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数量</w:t>
            </w:r>
          </w:p>
        </w:tc>
        <w:tc>
          <w:tcPr>
            <w:tcW w:w="1294" w:type="dxa"/>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屏风卡位1</w:t>
            </w:r>
          </w:p>
        </w:tc>
        <w:tc>
          <w:tcPr>
            <w:tcW w:w="2953" w:type="dxa"/>
            <w:vAlign w:val="center"/>
          </w:tcPr>
          <w:p>
            <w:pPr>
              <w:widowControl/>
              <w:spacing w:line="360" w:lineRule="auto"/>
              <w:jc w:val="center"/>
              <w:rPr>
                <w:rFonts w:hint="eastAsia" w:ascii="仿宋" w:hAnsi="仿宋" w:eastAsia="仿宋"/>
                <w:bCs/>
                <w:sz w:val="22"/>
                <w:szCs w:val="21"/>
                <w:lang w:eastAsia="zh-CN"/>
              </w:rPr>
            </w:pPr>
            <w:r>
              <w:rPr>
                <w:rFonts w:hint="eastAsia" w:ascii="仿宋" w:hAnsi="仿宋" w:eastAsia="仿宋"/>
                <w:bCs/>
                <w:sz w:val="22"/>
                <w:szCs w:val="21"/>
              </w:rPr>
              <w:t>1630*1530*1200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5</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2</w:t>
            </w:r>
          </w:p>
        </w:tc>
        <w:tc>
          <w:tcPr>
            <w:tcW w:w="2139" w:type="dxa"/>
          </w:tcPr>
          <w:p>
            <w:pPr>
              <w:widowControl/>
              <w:spacing w:line="360" w:lineRule="auto"/>
              <w:jc w:val="center"/>
              <w:rPr>
                <w:rFonts w:ascii="仿宋" w:hAnsi="仿宋" w:eastAsia="仿宋"/>
                <w:bCs/>
                <w:sz w:val="22"/>
                <w:szCs w:val="21"/>
              </w:rPr>
            </w:pPr>
            <w:r>
              <w:rPr>
                <w:rFonts w:hint="eastAsia" w:ascii="仿宋" w:hAnsi="仿宋" w:eastAsia="仿宋"/>
                <w:bCs/>
                <w:sz w:val="22"/>
                <w:szCs w:val="21"/>
              </w:rPr>
              <w:t>屏风卡位2</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1530*1530*1200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11</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3</w:t>
            </w:r>
          </w:p>
        </w:tc>
        <w:tc>
          <w:tcPr>
            <w:tcW w:w="2139" w:type="dxa"/>
          </w:tcPr>
          <w:p>
            <w:pPr>
              <w:widowControl/>
              <w:spacing w:line="360" w:lineRule="auto"/>
              <w:jc w:val="center"/>
              <w:rPr>
                <w:rFonts w:ascii="仿宋" w:hAnsi="仿宋" w:eastAsia="仿宋"/>
                <w:bCs/>
                <w:sz w:val="22"/>
                <w:szCs w:val="21"/>
              </w:rPr>
            </w:pPr>
            <w:r>
              <w:rPr>
                <w:rFonts w:hint="eastAsia" w:ascii="仿宋" w:hAnsi="仿宋" w:eastAsia="仿宋"/>
                <w:bCs/>
                <w:sz w:val="22"/>
                <w:szCs w:val="21"/>
              </w:rPr>
              <w:t>屏风卡位3</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1330*1530*1200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4</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办公椅</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常规</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22</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5</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茶水柜</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800*400*850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7</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茶几</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1200*600*480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7</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凳子</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300*300*450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8</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办公椅</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常规</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25</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9</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木制文件柜1</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900*400*2000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10</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木制文件柜2</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600*500*2700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11</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木制文件柜3</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1600*500*2700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4</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17"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12</w:t>
            </w:r>
          </w:p>
        </w:tc>
        <w:tc>
          <w:tcPr>
            <w:tcW w:w="2139"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密码文件柜</w:t>
            </w:r>
          </w:p>
        </w:tc>
        <w:tc>
          <w:tcPr>
            <w:tcW w:w="2953"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900*430*1800</w:t>
            </w:r>
            <w:r>
              <w:rPr>
                <w:rFonts w:hint="eastAsia" w:ascii="仿宋" w:hAnsi="仿宋" w:eastAsia="仿宋"/>
                <w:bCs/>
                <w:sz w:val="22"/>
                <w:szCs w:val="21"/>
                <w:lang w:eastAsia="zh-CN"/>
              </w:rPr>
              <w:t>（</w:t>
            </w:r>
            <w:r>
              <w:rPr>
                <w:rFonts w:hint="eastAsia" w:ascii="仿宋" w:hAnsi="仿宋" w:eastAsia="仿宋"/>
                <w:bCs/>
                <w:sz w:val="22"/>
                <w:szCs w:val="21"/>
                <w:lang w:val="en-US" w:eastAsia="zh-CN"/>
              </w:rPr>
              <w:t>定制</w:t>
            </w:r>
            <w:r>
              <w:rPr>
                <w:rFonts w:hint="eastAsia" w:ascii="仿宋" w:hAnsi="仿宋" w:eastAsia="仿宋"/>
                <w:bCs/>
                <w:sz w:val="22"/>
                <w:szCs w:val="21"/>
                <w:lang w:eastAsia="zh-CN"/>
              </w:rPr>
              <w:t>）</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3</w:t>
            </w:r>
          </w:p>
        </w:tc>
        <w:tc>
          <w:tcPr>
            <w:tcW w:w="1294"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个</w:t>
            </w:r>
          </w:p>
        </w:tc>
      </w:tr>
    </w:tbl>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tbl>
      <w:tblPr>
        <w:tblStyle w:val="17"/>
        <w:tblW w:w="961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65"/>
        <w:gridCol w:w="1299"/>
        <w:gridCol w:w="75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765" w:type="dxa"/>
            <w:shd w:val="clear" w:color="auto" w:fill="C6D9F0" w:themeFill="text2" w:themeFillTint="33"/>
            <w:vAlign w:val="center"/>
          </w:tcPr>
          <w:p>
            <w:pPr>
              <w:widowControl/>
              <w:spacing w:line="360" w:lineRule="auto"/>
              <w:jc w:val="center"/>
              <w:rPr>
                <w:rFonts w:ascii="仿宋" w:hAnsi="仿宋" w:eastAsia="仿宋"/>
                <w:b/>
                <w:bCs/>
                <w:sz w:val="24"/>
              </w:rPr>
            </w:pPr>
            <w:r>
              <w:rPr>
                <w:rFonts w:hint="eastAsia" w:ascii="仿宋" w:hAnsi="仿宋" w:eastAsia="仿宋"/>
                <w:b/>
                <w:bCs/>
                <w:sz w:val="24"/>
              </w:rPr>
              <w:t>序号</w:t>
            </w:r>
          </w:p>
        </w:tc>
        <w:tc>
          <w:tcPr>
            <w:tcW w:w="1299" w:type="dxa"/>
            <w:shd w:val="clear" w:color="auto" w:fill="C6D9F0" w:themeFill="text2" w:themeFillTint="33"/>
            <w:vAlign w:val="center"/>
          </w:tcPr>
          <w:p>
            <w:pPr>
              <w:widowControl/>
              <w:spacing w:line="360" w:lineRule="auto"/>
              <w:jc w:val="center"/>
              <w:rPr>
                <w:rFonts w:ascii="仿宋" w:hAnsi="仿宋" w:eastAsia="仿宋"/>
                <w:b/>
                <w:bCs/>
                <w:sz w:val="24"/>
              </w:rPr>
            </w:pPr>
            <w:r>
              <w:rPr>
                <w:rFonts w:hint="eastAsia" w:ascii="仿宋" w:hAnsi="仿宋" w:eastAsia="仿宋"/>
                <w:b/>
                <w:bCs/>
                <w:sz w:val="24"/>
              </w:rPr>
              <w:t>货物名称</w:t>
            </w:r>
          </w:p>
        </w:tc>
        <w:tc>
          <w:tcPr>
            <w:tcW w:w="7554" w:type="dxa"/>
            <w:shd w:val="clear" w:color="auto" w:fill="C6D9F0" w:themeFill="text2" w:themeFillTint="33"/>
            <w:vAlign w:val="center"/>
          </w:tcPr>
          <w:p>
            <w:pPr>
              <w:widowControl/>
              <w:spacing w:line="360" w:lineRule="auto"/>
              <w:jc w:val="center"/>
              <w:rPr>
                <w:rFonts w:ascii="仿宋" w:hAnsi="仿宋" w:eastAsia="仿宋"/>
                <w:b/>
                <w:bCs/>
                <w:sz w:val="24"/>
              </w:rPr>
            </w:pPr>
            <w:r>
              <w:rPr>
                <w:rFonts w:hint="eastAsia" w:ascii="仿宋" w:hAnsi="仿宋" w:eastAsia="仿宋"/>
                <w:b/>
                <w:bCs/>
                <w:sz w:val="24"/>
              </w:rPr>
              <w:t>具体参数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1</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屏风卡位</w:t>
            </w:r>
          </w:p>
        </w:tc>
        <w:tc>
          <w:tcPr>
            <w:tcW w:w="7554" w:type="dxa"/>
            <w:vAlign w:val="center"/>
          </w:tcPr>
          <w:p>
            <w:pPr>
              <w:widowControl/>
              <w:spacing w:line="360" w:lineRule="auto"/>
              <w:ind w:left="482" w:hanging="482" w:hangingChars="200"/>
              <w:rPr>
                <w:rFonts w:ascii="仿宋" w:hAnsi="仿宋" w:eastAsia="仿宋"/>
                <w:b/>
                <w:sz w:val="24"/>
              </w:rPr>
            </w:pPr>
            <w:r>
              <w:rPr>
                <w:rFonts w:hint="eastAsia" w:ascii="仿宋" w:hAnsi="仿宋" w:eastAsia="仿宋"/>
                <w:b/>
                <w:sz w:val="24"/>
              </w:rPr>
              <w:t>《一》货物名称“</w:t>
            </w:r>
            <w:r>
              <w:rPr>
                <w:rFonts w:hint="eastAsia" w:ascii="仿宋" w:hAnsi="仿宋" w:eastAsia="仿宋"/>
                <w:b/>
                <w:sz w:val="24"/>
                <w:highlight w:val="yellow"/>
              </w:rPr>
              <w:t>屏风卡位1</w:t>
            </w:r>
            <w:r>
              <w:rPr>
                <w:rFonts w:hint="eastAsia" w:ascii="仿宋" w:hAnsi="仿宋" w:eastAsia="仿宋"/>
                <w:b/>
                <w:sz w:val="24"/>
              </w:rPr>
              <w:t>”的参数</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▲1、基材：E1级环保多层生态胶合板检测依据GB 18580-2017《室内装饰装修材料 人造板及其制品中甲醛释放限量》，甲醛释放量≤0.02mg/m³（测试时间53h）。【</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标志的（多层生态胶合板）检测报告，对应参数在检测报告中标注，原材料名称需与检测报告名称一致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w:t>
            </w:r>
            <w:r>
              <w:rPr>
                <w:rFonts w:ascii="仿宋" w:hAnsi="仿宋" w:eastAsia="仿宋"/>
                <w:bCs/>
                <w:sz w:val="24"/>
              </w:rPr>
              <w:t>2</w:t>
            </w:r>
            <w:r>
              <w:rPr>
                <w:rFonts w:hint="eastAsia" w:ascii="仿宋" w:hAnsi="仿宋" w:eastAsia="仿宋"/>
                <w:bCs/>
                <w:sz w:val="24"/>
              </w:rPr>
              <w:t>、饰面：三聚氰氨板（双饰面刨花板）饰面三聚氰胺板（双饰面刨花板）检测依据GB/T 15102-2017《浸渍胶膜纸饰面纤维板和刨花板》、GB 18580-2017《室内装饰装修材料人造板及其制品中甲醛释放限量》、GB/T 35601-2017《绿色产品评价 人造板和木质地板》，静曲强度（MPa）≥15，弹性模量（MPa）≥3000，内结合强度（MPa）≥0.35，表面胶合强度≥1.5，2h吸水厚度膨胀率（%）≤0.5，含水率（%）在5-8，密度（g/cm³）在0.6-0.8，握螺钉力（N）板面≥1300、板边≥800，表面耐划痕、耐香烟灼烧、耐干热、耐污染腐蚀、耐龟裂、耐水蒸气需单项结论符合，表面耐磨磨耗值≤38mg/100r，甲醛释放量≤0.03mg/m³，挥发性有机化合物（72h）苯µg/m³、甲苯µg/m³、二甲苯µg/m³为未检出，总挥发性有机化合物（TVOC)µg/m³≤30。【</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标志的（三聚氰胺板（双饰面刨花板））检测报告，对应参数在检测报告中标注，原材料名称需与检测报告名称一致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ascii="仿宋" w:hAnsi="仿宋" w:eastAsia="仿宋"/>
                <w:bCs/>
                <w:sz w:val="24"/>
              </w:rPr>
              <w:t>3</w:t>
            </w:r>
            <w:r>
              <w:rPr>
                <w:rFonts w:hint="eastAsia" w:ascii="仿宋" w:hAnsi="仿宋" w:eastAsia="仿宋"/>
                <w:bCs/>
                <w:sz w:val="24"/>
              </w:rPr>
              <w:t>、结构：钢木结构</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4、标配：活动三抽柜、小衣柜、主机架、走线槽。</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5、环保五金件：铰链检测依据：QB/T2189-2013，垂直静载荷、水平静载荷单项结论合格，功能操作力在耐久试验前后，具有自动关闭装置的杯状暗铰链的关闭力应大于0.5N，试验前≥3.0N，试验后≥2.0N，垂直静载荷家具型15Kg.10次，试验后单项结论合格，耐久性试验次数达到80000次，下沉量B型门≤1.5mm,耐腐蚀测试时间100h无锈点。【</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标志的（铰链）检测报告，对应参数在检测报告中标注，原材料名称需与检测报告名称一致</w:t>
            </w:r>
            <w:r>
              <w:rPr>
                <w:rFonts w:hint="eastAsia" w:ascii="仿宋" w:hAnsi="仿宋" w:eastAsia="仿宋"/>
                <w:bCs/>
                <w:sz w:val="24"/>
              </w:rPr>
              <w:t>】</w:t>
            </w:r>
          </w:p>
          <w:p>
            <w:pPr>
              <w:widowControl/>
              <w:spacing w:line="360" w:lineRule="auto"/>
              <w:ind w:left="482" w:hanging="482" w:hangingChars="200"/>
              <w:rPr>
                <w:rFonts w:ascii="仿宋" w:hAnsi="仿宋" w:eastAsia="仿宋"/>
                <w:b/>
                <w:sz w:val="24"/>
              </w:rPr>
            </w:pPr>
          </w:p>
          <w:p>
            <w:pPr>
              <w:widowControl/>
              <w:spacing w:line="360" w:lineRule="auto"/>
              <w:ind w:left="482" w:hanging="482" w:hangingChars="200"/>
              <w:rPr>
                <w:rFonts w:ascii="仿宋" w:hAnsi="仿宋" w:eastAsia="仿宋"/>
                <w:b/>
                <w:sz w:val="24"/>
              </w:rPr>
            </w:pPr>
            <w:r>
              <w:rPr>
                <w:rFonts w:hint="eastAsia" w:ascii="仿宋" w:hAnsi="仿宋" w:eastAsia="仿宋"/>
                <w:b/>
                <w:sz w:val="24"/>
              </w:rPr>
              <w:t>《二》货物名称“</w:t>
            </w:r>
            <w:r>
              <w:rPr>
                <w:rFonts w:hint="eastAsia" w:ascii="仿宋" w:hAnsi="仿宋" w:eastAsia="仿宋"/>
                <w:b/>
                <w:sz w:val="24"/>
                <w:highlight w:val="yellow"/>
              </w:rPr>
              <w:t>屏风卡位2</w:t>
            </w:r>
            <w:r>
              <w:rPr>
                <w:rFonts w:hint="eastAsia" w:ascii="仿宋" w:hAnsi="仿宋" w:eastAsia="仿宋"/>
                <w:b/>
                <w:sz w:val="24"/>
              </w:rPr>
              <w:t>”和“</w:t>
            </w:r>
            <w:r>
              <w:rPr>
                <w:rFonts w:hint="eastAsia" w:ascii="仿宋" w:hAnsi="仿宋" w:eastAsia="仿宋"/>
                <w:b/>
                <w:sz w:val="24"/>
                <w:highlight w:val="yellow"/>
              </w:rPr>
              <w:t>屏风卡位3</w:t>
            </w:r>
            <w:r>
              <w:rPr>
                <w:rFonts w:hint="eastAsia" w:ascii="仿宋" w:hAnsi="仿宋" w:eastAsia="仿宋"/>
                <w:b/>
                <w:sz w:val="24"/>
              </w:rPr>
              <w:t>”的参数</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在《一》货物名称“屏风卡位1”的所有参数基础上增加</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▲1、屏风卡位检测依据:GB/T22792.1-2009、GB22792.2-2008、GB18584-2001,高度≤1100mm,宽度符合标准要求，厚度≤20mm，一般安全要求，屏风工艺要求符合标准要求，结构安全要求符合标准要求，甲醛释放量≤0.15mg/L。【</w:t>
            </w:r>
            <w:r>
              <w:rPr>
                <w:rFonts w:hint="eastAsia" w:ascii="仿宋" w:hAnsi="仿宋" w:eastAsia="仿宋"/>
                <w:b/>
                <w:color w:val="FF0000"/>
                <w:sz w:val="24"/>
              </w:rPr>
              <w:t>提供2020年1月1日以来具有CMA及CNAS标志的（屏风卡位）检测报告，对应参数在检测报告中标注，原材料名称需与检测报告名称一致</w:t>
            </w:r>
            <w:r>
              <w:rPr>
                <w:rFonts w:hint="eastAsia" w:ascii="仿宋" w:hAnsi="仿宋" w:eastAsia="仿宋"/>
                <w:bCs/>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2</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办公椅</w:t>
            </w:r>
          </w:p>
        </w:tc>
        <w:tc>
          <w:tcPr>
            <w:tcW w:w="7554" w:type="dxa"/>
            <w:vAlign w:val="center"/>
          </w:tcPr>
          <w:p>
            <w:pPr>
              <w:widowControl/>
              <w:spacing w:line="360" w:lineRule="auto"/>
              <w:ind w:left="480" w:hanging="480" w:hangingChars="200"/>
              <w:rPr>
                <w:rFonts w:ascii="仿宋" w:hAnsi="仿宋" w:eastAsia="仿宋"/>
                <w:bCs/>
                <w:sz w:val="24"/>
              </w:rPr>
            </w:pPr>
            <w:r>
              <w:rPr>
                <w:rFonts w:hint="eastAsia" w:ascii="仿宋" w:hAnsi="仿宋" w:eastAsia="仿宋"/>
                <w:bCs/>
                <w:sz w:val="24"/>
              </w:rPr>
              <w:t>1、黑色尼龙玻纤椅身，配尼龙特网，带活动头枕, 设有附合人体工程学的弹性自适应的腰靠。</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▲2、PU扶手面3D扶手，扶手检测依据:QB/T2280-2016,扶手垂直向下静载荷750N 1min，扶手水平静载荷445N 1min，单项结论均合格。【</w:t>
            </w:r>
            <w:r>
              <w:rPr>
                <w:rFonts w:hint="eastAsia" w:ascii="仿宋" w:hAnsi="仿宋" w:eastAsia="仿宋"/>
                <w:b/>
                <w:color w:val="FF0000"/>
                <w:sz w:val="24"/>
              </w:rPr>
              <w:t>提供2020年1月1日以来具有CMA及CNAS标志的（扶手）检测报告，对应参数在检测报告中标注，原材料名称需与检测报告名称一致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▲3、定型海绵, 海绵检测依据GB/T 10802-2006《通用软质聚醚型聚氨酯泡沫塑料》，海绵65%/25%压陷比≥2.0，75%压缩永久变形（%）≤3，回弹率（%）≥55，拉伸强度（kPa）≥140，伸长率（%）≥140，撕裂强度（N/cm）≥2.5，干热老化后拉伸强度（kPa）≥155，干热老化后拉伸强度变化率（%）±5，湿热老化后拉伸强度（kPa）≥135，湿热老化后拉伸强度变化率（%）±7，恒定负荷反复压陷疲劳性能（%）AP≤15。【</w:t>
            </w:r>
            <w:r>
              <w:rPr>
                <w:rFonts w:hint="eastAsia" w:ascii="仿宋" w:hAnsi="仿宋" w:eastAsia="仿宋"/>
                <w:b/>
                <w:color w:val="FF0000"/>
                <w:sz w:val="24"/>
              </w:rPr>
              <w:t>提供2020年1月1日以来具有CMA及CNAS标志的（海绵）检测报告，对应参数在检测报告中标注，原材料名称需与检测报告名称一致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4、∮340黑色尼龙脚。</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▲5、办公椅检测依据QB/T 2280-2016，甲醛释放量≤0.05 mg/㎡h；TVOC≤0.07mg/㎡h。【</w:t>
            </w:r>
            <w:r>
              <w:rPr>
                <w:rFonts w:hint="eastAsia" w:ascii="仿宋" w:hAnsi="仿宋" w:eastAsia="仿宋"/>
                <w:b/>
                <w:color w:val="FF0000"/>
                <w:sz w:val="24"/>
              </w:rPr>
              <w:t>提供2020年1月1日以来具有CMA及CNAS标志的（办公椅）检测报告，对应参数在检测报告中标注，原材料名称需与检测报告名称一致</w:t>
            </w:r>
            <w:r>
              <w:rPr>
                <w:rFonts w:hint="eastAsia" w:ascii="仿宋" w:hAnsi="仿宋" w:eastAsia="仿宋"/>
                <w:bCs/>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3</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茶水柜</w:t>
            </w:r>
          </w:p>
        </w:tc>
        <w:tc>
          <w:tcPr>
            <w:tcW w:w="7554" w:type="dxa"/>
            <w:vAlign w:val="center"/>
          </w:tcPr>
          <w:p>
            <w:pPr>
              <w:widowControl/>
              <w:spacing w:line="360" w:lineRule="auto"/>
              <w:ind w:left="480" w:hanging="480" w:hangingChars="200"/>
              <w:rPr>
                <w:rFonts w:ascii="仿宋" w:hAnsi="仿宋" w:eastAsia="仿宋"/>
                <w:bCs/>
                <w:sz w:val="24"/>
              </w:rPr>
            </w:pPr>
            <w:r>
              <w:rPr>
                <w:rFonts w:hint="eastAsia" w:ascii="仿宋" w:hAnsi="仿宋" w:eastAsia="仿宋"/>
                <w:bCs/>
                <w:sz w:val="24"/>
              </w:rPr>
              <w:t>▲1、基材：E1级环保多层生态胶合板检测依据GB 18580-2017《室内装饰装修材料 人造板及其制品中甲醛释放限量》，甲醛释放量≤0.02mg/m³（测试时间53h）。【</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标志的（多层生态胶合板）检测报告，对应参数在检测报告中标注，原材料名称需与检测报告名称一致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ascii="仿宋" w:hAnsi="仿宋" w:eastAsia="仿宋"/>
                <w:bCs/>
                <w:sz w:val="24"/>
              </w:rPr>
              <w:t>2</w:t>
            </w:r>
            <w:r>
              <w:rPr>
                <w:rFonts w:hint="eastAsia" w:ascii="仿宋" w:hAnsi="仿宋" w:eastAsia="仿宋"/>
                <w:bCs/>
                <w:sz w:val="24"/>
              </w:rPr>
              <w:t>、饰面：三聚氰氨板（双饰面刨花板）饰面，三聚氰胺板（双饰面刨花板）检测依据GB/T 15102-2017《浸渍胶膜纸饰面纤维板和刨花板》、GB 18580-2017《室内装饰装修材料人造板及其制品中甲醛释放限量》、GB/T 35601-2017《绿色产品评价 人造板和木质地板》，静曲强度（MPa）≥15，弹性模量（MPa）≥3000，内结合强度（MPa）≥0.35，表面胶合强度≥1.5，2h吸水厚度膨胀率（%）≤0.5，含水率（%）在5-8，密度（g/cm³）在0.6-0.8，握螺钉力（N）板面≥1300、板边≥800，表面耐划痕、耐香烟灼烧、耐干热、耐污染腐蚀、耐龟裂、耐水蒸气需单项结论符合，表面耐磨磨耗值≤38mg/100r，甲醛释放量≤0.03mg/m³，挥发性有机化合物（72h）苯µg/m³、甲苯µg/m³、二甲苯µg/m³为未检出，总挥发性有机化合物（TVOC)µg/m³≤30。【</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标志的（三聚氰胺板（双饰面刨花板））检测报告，对应参数在检测报告中标注，原材料名称需与检测报告名称一致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ascii="仿宋" w:hAnsi="仿宋" w:eastAsia="仿宋"/>
                <w:bCs/>
                <w:sz w:val="24"/>
              </w:rPr>
              <w:t>3</w:t>
            </w:r>
            <w:r>
              <w:rPr>
                <w:rFonts w:hint="eastAsia" w:ascii="仿宋" w:hAnsi="仿宋" w:eastAsia="仿宋"/>
                <w:bCs/>
                <w:sz w:val="24"/>
              </w:rPr>
              <w:t>、结构：板式结构</w:t>
            </w:r>
          </w:p>
          <w:p>
            <w:pPr>
              <w:widowControl/>
              <w:spacing w:line="360" w:lineRule="auto"/>
              <w:ind w:left="480" w:hanging="480" w:hangingChars="200"/>
              <w:rPr>
                <w:rFonts w:ascii="仿宋" w:hAnsi="仿宋" w:eastAsia="仿宋"/>
                <w:bCs/>
                <w:sz w:val="24"/>
              </w:rPr>
            </w:pPr>
            <w:r>
              <w:rPr>
                <w:rFonts w:ascii="仿宋" w:hAnsi="仿宋" w:eastAsia="仿宋"/>
                <w:bCs/>
                <w:sz w:val="24"/>
              </w:rPr>
              <w:t>4</w:t>
            </w:r>
            <w:r>
              <w:rPr>
                <w:rFonts w:hint="eastAsia" w:ascii="仿宋" w:hAnsi="仿宋" w:eastAsia="仿宋"/>
                <w:bCs/>
                <w:sz w:val="24"/>
              </w:rPr>
              <w:t>、环保五金件：导轨检测依据：QB/T2454-2013，垂直向下静载荷、水平倾向静载荷：未断裂损坏、未松动、无影响正常运作的变形和磨损、未松动、功能未损害、未分离；操作力，推力≤15N，拉力≤34N。耐久性试验次数达到80000次，下沉量≤3%；耐腐蚀测试100h,无锈点。【</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标志的（导轨）检测报告，对应参数在检测报告中标注，原材料名称需与检测报告名称一致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▲5</w:t>
            </w:r>
            <w:r>
              <w:rPr>
                <w:rFonts w:ascii="仿宋" w:hAnsi="仿宋" w:eastAsia="仿宋"/>
                <w:bCs/>
                <w:sz w:val="24"/>
              </w:rPr>
              <w:t>.</w:t>
            </w:r>
            <w:r>
              <w:rPr>
                <w:rFonts w:hint="eastAsia" w:ascii="仿宋" w:hAnsi="仿宋" w:eastAsia="仿宋"/>
                <w:bCs/>
                <w:sz w:val="24"/>
              </w:rPr>
              <w:t xml:space="preserve"> 茶水柜检测依据：GB/T 3324-2017，底脚平稳性≤0.10；外观要求符合标准要求，耐干热、耐湿热≥5级；耐污染性能，丙酮≥5级，咖啡≥5级；25%氢氧化纳溶液≥5级，30%双氧水溶液≥5级，鞋油≥5级，10%柠檬酸溶液≥5级；抗冲击≥2级；力学性能搁板弯曲试验，搁板弯曲挠度变化值≤0.2%，安全性要求，结构安全，活动部件间距离≤5mm或≥25mm。（设计要求除外），甲醛释放量≤0.5mg/L。【</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标志的（茶水柜）检测报告，对应参数在检测报告中标注，原材料名称需与检测报告名称一致</w:t>
            </w:r>
            <w:r>
              <w:rPr>
                <w:rFonts w:hint="eastAsia" w:ascii="仿宋" w:hAnsi="仿宋" w:eastAsia="仿宋"/>
                <w:bCs/>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4</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茶几</w:t>
            </w:r>
          </w:p>
        </w:tc>
        <w:tc>
          <w:tcPr>
            <w:tcW w:w="7554" w:type="dxa"/>
            <w:vAlign w:val="center"/>
          </w:tcPr>
          <w:p>
            <w:pPr>
              <w:widowControl/>
              <w:spacing w:line="360" w:lineRule="auto"/>
              <w:ind w:left="480" w:hanging="480" w:hangingChars="200"/>
              <w:rPr>
                <w:rFonts w:ascii="仿宋" w:hAnsi="仿宋" w:eastAsia="仿宋"/>
                <w:bCs/>
                <w:sz w:val="24"/>
              </w:rPr>
            </w:pPr>
            <w:r>
              <w:rPr>
                <w:rFonts w:hint="eastAsia" w:ascii="仿宋" w:hAnsi="仿宋" w:eastAsia="仿宋"/>
                <w:bCs/>
                <w:sz w:val="24"/>
              </w:rPr>
              <w:t>1、基材：E1级环保多层生态胶合板检测依据GB 18580-2017《室内装饰装修材料 人造板及其制品中甲醛释放限量》，甲醛释放量≤0.02mg/m³（测试时间53h）。【</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标志的（多层生态胶合板）检测报告，对应参数在检测报告中标注，原材料名称需与检测报告名称一致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2、饰面：三聚氰氨板（双饰面刨花板）饰面，三聚氰胺板（双饰面刨花板）检测依据GB/T 15102-2017《浸渍胶膜纸饰面纤维板和刨花板》、GB 18580-2017《室内装饰装修材料人造板及其制品中甲醛释放限量》、GB/T 35601-2017《绿色产品评价 人造板和木质地板》，静曲强度（MPa）≥15，弹性模量（MPa）≥3000，内结合强度（MPa）≥0.35，表面胶合强度≥1.5，2h吸水厚度膨胀率（%）≤0.5，含水率（%）在5-8，密度（g/cm³）在0.6-0.8，握螺钉力（N）板面≥1300、板边≥800，表面耐划痕、耐香烟灼烧、耐干热、耐污染腐蚀、耐龟裂、耐水蒸气需单项结论符合，表面耐磨磨耗值≤38mg/100r，甲醛释放量≤0.03mg/m³，挥发性有机化合物（72h）苯µg/m³、甲苯µg/m³、二甲苯µg/m³为未检出，总挥发性有机化合物（TVOC)µg/m³≤30。【</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标志的（三聚氰胺板（双饰面刨花板））检测报告，对应参数在检测报告中标注，原材料名称需与检测报告名称一致</w:t>
            </w:r>
            <w:r>
              <w:rPr>
                <w:rFonts w:hint="eastAsia" w:ascii="仿宋" w:hAnsi="仿宋" w:eastAsia="仿宋"/>
                <w:bCs/>
                <w:sz w:val="24"/>
              </w:rPr>
              <w:t>】</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3、结构：钢木结构</w:t>
            </w:r>
          </w:p>
          <w:p>
            <w:pPr>
              <w:widowControl/>
              <w:spacing w:line="360" w:lineRule="auto"/>
              <w:ind w:left="480" w:hanging="480" w:hangingChars="200"/>
              <w:rPr>
                <w:rFonts w:ascii="仿宋" w:hAnsi="仿宋" w:eastAsia="仿宋"/>
                <w:bCs/>
                <w:sz w:val="24"/>
              </w:rPr>
            </w:pPr>
            <w:r>
              <w:rPr>
                <w:rFonts w:hint="eastAsia" w:ascii="仿宋" w:hAnsi="仿宋" w:eastAsia="仿宋"/>
                <w:bCs/>
                <w:sz w:val="24"/>
              </w:rPr>
              <w:t>▲4、茶几检测依据GB/T3324-2017；平整度≤0.05；底脚平稳性≤0.1；外观要求单项结论合格；耐干热、耐湿热≥5级；耐划痕，加载1.5N。表面无大于90%的连续划痕或表面装饰花纹无破坏现象；耐污染性能，丙酮≥5级；咖啡≥5级；25%氢氧化纳溶液≥5级；30%双氧水溶液≥5级；鞋油≥5级；10%柠檬酸溶液≥5级；表面耐磨性，素色：磨350r后应无露底现象；甲醛释放量≤0.5mg/L。【</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标志的（茶几）检测报告，对应参数在检测报告中标注，原材料名称需与检测报告名称一致</w:t>
            </w:r>
            <w:r>
              <w:rPr>
                <w:rFonts w:hint="eastAsia" w:ascii="仿宋" w:hAnsi="仿宋" w:eastAsia="仿宋"/>
                <w:bCs/>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5</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凳子</w:t>
            </w:r>
          </w:p>
        </w:tc>
        <w:tc>
          <w:tcPr>
            <w:tcW w:w="7554" w:type="dxa"/>
            <w:vAlign w:val="center"/>
          </w:tcPr>
          <w:p>
            <w:pPr>
              <w:widowControl/>
              <w:spacing w:line="360" w:lineRule="auto"/>
              <w:ind w:left="499" w:hanging="499" w:hangingChars="208"/>
              <w:rPr>
                <w:rFonts w:ascii="仿宋" w:hAnsi="仿宋" w:eastAsia="仿宋"/>
                <w:bCs/>
                <w:sz w:val="24"/>
              </w:rPr>
            </w:pPr>
            <w:r>
              <w:rPr>
                <w:rFonts w:hint="eastAsia" w:ascii="仿宋" w:hAnsi="仿宋" w:eastAsia="仿宋"/>
                <w:bCs/>
                <w:sz w:val="24"/>
              </w:rPr>
              <w:t>1、基材：实木</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2、饰面：清漆饰面</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3、结构：胶榫结构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6</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办公椅</w:t>
            </w:r>
          </w:p>
        </w:tc>
        <w:tc>
          <w:tcPr>
            <w:tcW w:w="7554" w:type="dxa"/>
            <w:vAlign w:val="center"/>
          </w:tcPr>
          <w:p>
            <w:pPr>
              <w:widowControl/>
              <w:spacing w:line="360" w:lineRule="auto"/>
              <w:ind w:left="499" w:hanging="499" w:hangingChars="208"/>
              <w:rPr>
                <w:rFonts w:ascii="仿宋" w:hAnsi="仿宋" w:eastAsia="仿宋"/>
                <w:bCs/>
                <w:sz w:val="24"/>
              </w:rPr>
            </w:pPr>
            <w:r>
              <w:rPr>
                <w:rFonts w:hint="eastAsia" w:ascii="仿宋" w:hAnsi="仿宋" w:eastAsia="仿宋"/>
                <w:bCs/>
                <w:sz w:val="24"/>
              </w:rPr>
              <w:t>1、黑色尼龙玻纤椅身</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2、定型海绵，海绵检测依据GB/T 10802-2006《通用软质聚醚型聚氨酯泡沫塑料》，海绵65%/25%压陷比≥2.0，75%压缩永久变形（%）≤3，回弹率（%）≥55，拉伸强度（kPa）≥140，伸长率（%）≥140，撕裂强度（N/cm）≥2.5，干热老化后拉伸强度（kPa）≥155，干热老化后拉伸强度变化率（%）±5，湿热老化后拉伸强度（kPa）≥135，湿热老化后拉伸强度变化率（%）±7，恒定负荷反复压陷疲劳性能（%）AP≤15【</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标志的（海绵）检测报告，对应参数在检测报告中标注，原材料名称需与检测报告名称一致</w:t>
            </w:r>
            <w:r>
              <w:rPr>
                <w:rFonts w:hint="eastAsia" w:ascii="仿宋" w:hAnsi="仿宋" w:eastAsia="仿宋"/>
                <w:bCs/>
                <w:sz w:val="24"/>
              </w:rPr>
              <w:t>】</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3、黑色PP连体固定扶手</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4、∮25管1.8厚黑色喷涂四脚架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7</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木制文件柜</w:t>
            </w:r>
          </w:p>
        </w:tc>
        <w:tc>
          <w:tcPr>
            <w:tcW w:w="7554" w:type="dxa"/>
            <w:vAlign w:val="center"/>
          </w:tcPr>
          <w:p>
            <w:pPr>
              <w:widowControl/>
              <w:spacing w:line="360" w:lineRule="auto"/>
              <w:ind w:left="499" w:hanging="499" w:hangingChars="208"/>
              <w:rPr>
                <w:rFonts w:ascii="仿宋" w:hAnsi="仿宋" w:eastAsia="仿宋"/>
                <w:bCs/>
                <w:sz w:val="24"/>
              </w:rPr>
            </w:pPr>
            <w:r>
              <w:rPr>
                <w:rFonts w:hint="eastAsia" w:ascii="仿宋" w:hAnsi="仿宋" w:eastAsia="仿宋"/>
                <w:bCs/>
                <w:sz w:val="24"/>
              </w:rPr>
              <w:t>1、基材：E1级环保多层生态胶合板检测依据GB 18580-2017《室内装饰装修材料 人造板及其制品中甲醛释放限量》，甲醛释放量≤0.02mg/m³（测试时间53h）。【</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标志的（多层生态胶合板）检测报告，对应参数在检测报告中标注，原材料名称需与检测报告名称一致</w:t>
            </w:r>
            <w:r>
              <w:rPr>
                <w:rFonts w:hint="eastAsia" w:ascii="仿宋" w:hAnsi="仿宋" w:eastAsia="仿宋"/>
                <w:bCs/>
                <w:sz w:val="24"/>
              </w:rPr>
              <w:t>】</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2、饰面：聚氰胺板（双饰面刨花板）检测依据GB/T 15102-2017《浸渍胶膜纸饰面纤维板和刨花板》、GB 18580-2017《室内装饰装修材料人造板及其制品中甲醛释放限量》、GB/T 35601-2017《绿色产品评价 人造板和木质地板》，静曲强度（MPa）≥15，弹性模量（MPa）≥3000，内结合强度（MPa）≥0.35，表面胶合强度≥1.5，2h吸水厚度膨胀率（%）≤0.5，含水率（%）在5-8，密度（g/cm³）在0.6-0.8，握螺钉力（N）板面≥1300、板边≥800，表面耐划痕、耐香烟灼烧、耐干热、耐污染腐蚀、耐龟裂、耐水蒸气需单项结论符合，表面耐磨磨耗值≤38mg/100r，甲醛释放量≤0.03mg/m³，挥发性有机化合物（72h）苯µg/m³、甲苯µg/m³、二甲苯µg/m³为未检出，总挥发性有机化合物（TVOC)µg/m³≤30。【</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标志的（三聚氰胺板（双饰面刨花板））检测报告，对应参数在检测报告中标注，原材料名称需与检测报告名称一致</w:t>
            </w:r>
            <w:r>
              <w:rPr>
                <w:rFonts w:hint="eastAsia" w:ascii="仿宋" w:hAnsi="仿宋" w:eastAsia="仿宋"/>
                <w:bCs/>
                <w:sz w:val="24"/>
              </w:rPr>
              <w:t>】</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3、结构：板式结构，内置活动层板</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w:t>
            </w:r>
            <w:r>
              <w:rPr>
                <w:rFonts w:ascii="仿宋" w:hAnsi="仿宋" w:eastAsia="仿宋"/>
                <w:bCs/>
                <w:sz w:val="24"/>
              </w:rPr>
              <w:t>4</w:t>
            </w:r>
            <w:r>
              <w:rPr>
                <w:rFonts w:hint="eastAsia" w:ascii="仿宋" w:hAnsi="仿宋" w:eastAsia="仿宋"/>
                <w:bCs/>
                <w:sz w:val="24"/>
              </w:rPr>
              <w:t>、木制文件柜 检测依据：GB/T3324-2017,平整度≤0.1，底角平稳性≤0.1，外观要求符合标准要求，耐干热、耐湿热≥5级；耐划痕，加载1.5N。表面无大于90%的连续划痕或表面装饰花纹无破坏现象，耐污染性能，丙酮≥5级，咖啡≥5级；25%氢氧化纳溶液≥5级，30%双氧水溶液≥5级，鞋油≥5级，10%柠檬酸溶液≥5级；安全性要求，结构安全，活动部件间距离≤5mm或≥25mm。（设计要求除外），甲醛释放量≤0.5mg/L。【</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标志的（木制文件柜）检测报告，对应参数在检测报告中标注，原材料名称需与检测报告名称一致</w:t>
            </w:r>
            <w:r>
              <w:rPr>
                <w:rFonts w:hint="eastAsia" w:ascii="仿宋" w:hAnsi="仿宋" w:eastAsia="仿宋"/>
                <w:bCs/>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65"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8</w:t>
            </w:r>
          </w:p>
        </w:tc>
        <w:tc>
          <w:tcPr>
            <w:tcW w:w="1299" w:type="dxa"/>
            <w:vAlign w:val="center"/>
          </w:tcPr>
          <w:p>
            <w:pPr>
              <w:widowControl/>
              <w:spacing w:line="360" w:lineRule="auto"/>
              <w:jc w:val="center"/>
              <w:rPr>
                <w:rFonts w:ascii="仿宋" w:hAnsi="仿宋" w:eastAsia="仿宋"/>
                <w:bCs/>
                <w:sz w:val="24"/>
              </w:rPr>
            </w:pPr>
            <w:r>
              <w:rPr>
                <w:rFonts w:hint="eastAsia" w:ascii="仿宋" w:hAnsi="仿宋" w:eastAsia="仿宋"/>
                <w:bCs/>
                <w:sz w:val="24"/>
              </w:rPr>
              <w:t>密码文件柜</w:t>
            </w:r>
          </w:p>
        </w:tc>
        <w:tc>
          <w:tcPr>
            <w:tcW w:w="7554" w:type="dxa"/>
            <w:vAlign w:val="center"/>
          </w:tcPr>
          <w:p>
            <w:pPr>
              <w:widowControl/>
              <w:spacing w:line="360" w:lineRule="auto"/>
              <w:ind w:left="499" w:hanging="499" w:hangingChars="208"/>
              <w:rPr>
                <w:rFonts w:ascii="仿宋" w:hAnsi="仿宋" w:eastAsia="仿宋"/>
                <w:bCs/>
                <w:sz w:val="24"/>
              </w:rPr>
            </w:pPr>
            <w:r>
              <w:rPr>
                <w:rFonts w:hint="eastAsia" w:ascii="仿宋" w:hAnsi="仿宋" w:eastAsia="仿宋"/>
                <w:bCs/>
                <w:sz w:val="24"/>
              </w:rPr>
              <w:t>▲1、采用1.0mm优质冷轧钢板；内二层隔板冷轧钢板检测依据：G</w:t>
            </w:r>
            <w:r>
              <w:rPr>
                <w:rFonts w:ascii="仿宋" w:hAnsi="仿宋" w:eastAsia="仿宋"/>
                <w:bCs/>
                <w:sz w:val="24"/>
              </w:rPr>
              <w:t>B/T3325-2017,</w:t>
            </w:r>
            <w:r>
              <w:rPr>
                <w:rFonts w:hint="eastAsia" w:ascii="仿宋" w:hAnsi="仿宋" w:eastAsia="仿宋"/>
                <w:bCs/>
                <w:sz w:val="24"/>
              </w:rPr>
              <w:t>抗盐雾无锈点。【</w:t>
            </w:r>
            <w:r>
              <w:rPr>
                <w:rFonts w:hint="eastAsia" w:ascii="仿宋" w:hAnsi="仿宋" w:eastAsia="仿宋"/>
                <w:b/>
                <w:color w:val="FF0000"/>
                <w:sz w:val="24"/>
              </w:rPr>
              <w:t>提供2</w:t>
            </w:r>
            <w:r>
              <w:rPr>
                <w:rFonts w:ascii="仿宋" w:hAnsi="仿宋" w:eastAsia="仿宋"/>
                <w:b/>
                <w:color w:val="FF0000"/>
                <w:sz w:val="24"/>
              </w:rPr>
              <w:t>020</w:t>
            </w:r>
            <w:r>
              <w:rPr>
                <w:rFonts w:hint="eastAsia" w:ascii="仿宋" w:hAnsi="仿宋" w:eastAsia="仿宋"/>
                <w:b/>
                <w:color w:val="FF0000"/>
                <w:sz w:val="24"/>
              </w:rPr>
              <w:t>年1月1日以来具有C</w:t>
            </w:r>
            <w:r>
              <w:rPr>
                <w:rFonts w:ascii="仿宋" w:hAnsi="仿宋" w:eastAsia="仿宋"/>
                <w:b/>
                <w:color w:val="FF0000"/>
                <w:sz w:val="24"/>
              </w:rPr>
              <w:t>MA</w:t>
            </w:r>
            <w:r>
              <w:rPr>
                <w:rFonts w:hint="eastAsia" w:ascii="仿宋" w:hAnsi="仿宋" w:eastAsia="仿宋"/>
                <w:b/>
                <w:color w:val="FF0000"/>
                <w:sz w:val="24"/>
              </w:rPr>
              <w:t>及</w:t>
            </w:r>
            <w:r>
              <w:rPr>
                <w:rFonts w:ascii="仿宋" w:hAnsi="仿宋" w:eastAsia="仿宋"/>
                <w:b/>
                <w:color w:val="FF0000"/>
                <w:sz w:val="24"/>
              </w:rPr>
              <w:t>CNAS</w:t>
            </w:r>
            <w:r>
              <w:rPr>
                <w:rFonts w:hint="eastAsia" w:ascii="仿宋" w:hAnsi="仿宋" w:eastAsia="仿宋"/>
                <w:b/>
                <w:color w:val="FF0000"/>
                <w:sz w:val="24"/>
              </w:rPr>
              <w:t>标志的（冷轧钢板）检测报告，对应参数在检测报告中标注，原材料名称需与检测报告名称一致</w:t>
            </w:r>
            <w:r>
              <w:rPr>
                <w:rFonts w:hint="eastAsia" w:ascii="仿宋" w:hAnsi="仿宋" w:eastAsia="仿宋"/>
                <w:bCs/>
                <w:sz w:val="24"/>
              </w:rPr>
              <w:t>】</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2、所有零件，经过机械加工无裂缝、无伤痕，所有经过焊接的零件稳固且平滑。</w:t>
            </w:r>
          </w:p>
          <w:p>
            <w:pPr>
              <w:widowControl/>
              <w:spacing w:line="360" w:lineRule="auto"/>
              <w:ind w:left="499" w:hanging="499" w:hangingChars="208"/>
              <w:rPr>
                <w:rFonts w:ascii="仿宋" w:hAnsi="仿宋" w:eastAsia="仿宋"/>
                <w:bCs/>
                <w:sz w:val="24"/>
              </w:rPr>
            </w:pPr>
            <w:r>
              <w:rPr>
                <w:rFonts w:hint="eastAsia" w:ascii="仿宋" w:hAnsi="仿宋" w:eastAsia="仿宋"/>
                <w:bCs/>
                <w:sz w:val="24"/>
              </w:rPr>
              <w:t>3、层板的承重力约可达到45kg</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7"/>
        <w:tblW w:w="979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1276"/>
        <w:gridCol w:w="142"/>
        <w:gridCol w:w="7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tcBorders>
              <w:bottom w:val="single" w:color="000000" w:themeColor="text1" w:sz="4" w:space="0"/>
            </w:tcBorders>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序号</w:t>
            </w:r>
          </w:p>
        </w:tc>
        <w:tc>
          <w:tcPr>
            <w:tcW w:w="1276" w:type="dxa"/>
            <w:tcBorders>
              <w:bottom w:val="single" w:color="000000" w:themeColor="text1" w:sz="4" w:space="0"/>
            </w:tcBorders>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目录</w:t>
            </w:r>
          </w:p>
        </w:tc>
        <w:tc>
          <w:tcPr>
            <w:tcW w:w="7842" w:type="dxa"/>
            <w:gridSpan w:val="2"/>
            <w:tcBorders>
              <w:bottom w:val="single" w:color="000000" w:themeColor="text1" w:sz="4" w:space="0"/>
            </w:tcBorders>
            <w:shd w:val="clear" w:color="auto" w:fill="C6D9F0" w:themeFill="text2" w:themeFillTint="33"/>
            <w:vAlign w:val="center"/>
          </w:tcPr>
          <w:p>
            <w:pPr>
              <w:widowControl/>
              <w:spacing w:line="360" w:lineRule="auto"/>
              <w:jc w:val="center"/>
              <w:rPr>
                <w:rFonts w:ascii="仿宋" w:hAnsi="仿宋" w:eastAsia="仿宋"/>
                <w:b/>
                <w:bCs/>
                <w:sz w:val="22"/>
                <w:szCs w:val="21"/>
              </w:rPr>
            </w:pPr>
            <w:r>
              <w:rPr>
                <w:rFonts w:hint="eastAsia" w:ascii="仿宋" w:hAnsi="仿宋" w:eastAsia="仿宋"/>
                <w:b/>
                <w:bCs/>
                <w:sz w:val="22"/>
                <w:szCs w:val="21"/>
              </w:rPr>
              <w:t>商务需求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93" w:type="dxa"/>
            <w:gridSpan w:val="4"/>
            <w:shd w:val="clear" w:color="auto" w:fill="DDD9C4" w:themeFill="background2" w:themeFillShade="E6"/>
            <w:vAlign w:val="center"/>
          </w:tcPr>
          <w:p>
            <w:pPr>
              <w:widowControl/>
              <w:spacing w:line="360" w:lineRule="auto"/>
              <w:jc w:val="left"/>
              <w:rPr>
                <w:rFonts w:ascii="仿宋" w:hAnsi="仿宋" w:eastAsia="仿宋"/>
                <w:b/>
                <w:bCs/>
                <w:sz w:val="22"/>
                <w:szCs w:val="21"/>
              </w:rPr>
            </w:pPr>
            <w:r>
              <w:rPr>
                <w:rFonts w:hint="eastAsia" w:ascii="仿宋" w:hAnsi="仿宋" w:eastAsia="仿宋"/>
                <w:b/>
                <w:bCs/>
                <w:sz w:val="22"/>
                <w:szCs w:val="21"/>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免费保修期</w:t>
            </w:r>
          </w:p>
        </w:tc>
        <w:tc>
          <w:tcPr>
            <w:tcW w:w="7842" w:type="dxa"/>
            <w:gridSpan w:val="2"/>
          </w:tcPr>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highlight w:val="yellow"/>
              </w:rPr>
              <w:t>★1）</w:t>
            </w:r>
            <w:r>
              <w:rPr>
                <w:rFonts w:hint="eastAsia" w:ascii="仿宋" w:hAnsi="仿宋" w:eastAsia="仿宋"/>
                <w:b/>
                <w:bCs/>
                <w:sz w:val="22"/>
                <w:szCs w:val="21"/>
                <w:highlight w:val="yellow"/>
              </w:rPr>
              <w:t>产品全部验收合格后（以技术验收合格签字为标准），投标人向采购人免费提供5年上门保修服务。</w:t>
            </w:r>
            <w:r>
              <w:rPr>
                <w:rFonts w:hint="eastAsia" w:ascii="仿宋" w:hAnsi="仿宋" w:eastAsia="仿宋"/>
                <w:bCs/>
                <w:sz w:val="22"/>
                <w:szCs w:val="21"/>
              </w:rPr>
              <w:t>免费保修期内，所有货物保修服务方式均为投标人派员到用户货物使用现场进行保修，保修期内产生的一切费用均由投标人承担（含需要返原厂修理的所有费用）。投标人如不能修理或不能调换，按产品原价赔偿处理。</w:t>
            </w:r>
          </w:p>
          <w:p>
            <w:pPr>
              <w:widowControl/>
              <w:spacing w:line="360" w:lineRule="auto"/>
              <w:jc w:val="left"/>
              <w:rPr>
                <w:rFonts w:ascii="仿宋" w:hAnsi="仿宋" w:eastAsia="仿宋"/>
                <w:bCs/>
                <w:sz w:val="22"/>
                <w:szCs w:val="21"/>
              </w:rPr>
            </w:pPr>
            <w:r>
              <w:rPr>
                <w:rFonts w:hint="eastAsia" w:ascii="仿宋" w:hAnsi="仿宋" w:eastAsia="仿宋"/>
                <w:bCs/>
                <w:sz w:val="22"/>
                <w:szCs w:val="21"/>
              </w:rPr>
              <w:t>2）货物的检修期应以双倍计算延长免费保修期。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2</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维修响应及故障解决时间</w:t>
            </w:r>
          </w:p>
        </w:tc>
        <w:tc>
          <w:tcPr>
            <w:tcW w:w="7842" w:type="dxa"/>
            <w:gridSpan w:val="2"/>
          </w:tcPr>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1）售后服务内容，要求和期限：免费质保期内，投标人向采购人提供优质的售后技术支持服务，开通热线电话接受采购人的电话技术咨询，12小时内响应；如故障不能排除，投标人应在2日内提供现场服务，待产品运行正常后撤离现场。免费质保期后继续支持维修，并按成本价标准收取维修及零件费用。</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2）维护保养：投标人应定期对产品进行预维护保养，每年2 次，以防患于未然。在整个产品运行过程中，投标人帮助采购人解决在应用过程中遇到的各种技术问题。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bottom w:val="single" w:color="000000" w:themeColor="text1" w:sz="4" w:space="0"/>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3</w:t>
            </w:r>
          </w:p>
        </w:tc>
        <w:tc>
          <w:tcPr>
            <w:tcW w:w="1276" w:type="dxa"/>
            <w:tcBorders>
              <w:bottom w:val="single" w:color="000000" w:themeColor="text1" w:sz="4" w:space="0"/>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其他</w:t>
            </w:r>
          </w:p>
        </w:tc>
        <w:tc>
          <w:tcPr>
            <w:tcW w:w="7842" w:type="dxa"/>
            <w:gridSpan w:val="2"/>
            <w:tcBorders>
              <w:bottom w:val="single" w:color="000000" w:themeColor="text1" w:sz="4" w:space="0"/>
            </w:tcBorders>
          </w:tcPr>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1）投标人应按其投标文件中的承诺的服务条款，进行售后服务工作,还应定期对产品进行预维护保养。</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2）在整个产品运行过程中，投标人帮助采购人解决在应用过程中遇到的各种技术问题。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93" w:type="dxa"/>
            <w:gridSpan w:val="4"/>
            <w:shd w:val="clear" w:color="auto" w:fill="DDD9C4" w:themeFill="background2" w:themeFillShade="E6"/>
            <w:vAlign w:val="center"/>
          </w:tcPr>
          <w:p>
            <w:pPr>
              <w:widowControl/>
              <w:spacing w:line="360" w:lineRule="auto"/>
              <w:jc w:val="left"/>
              <w:rPr>
                <w:rFonts w:ascii="仿宋" w:hAnsi="仿宋" w:eastAsia="仿宋"/>
                <w:bCs/>
                <w:sz w:val="22"/>
                <w:szCs w:val="21"/>
              </w:rPr>
            </w:pPr>
            <w:r>
              <w:rPr>
                <w:rFonts w:hint="eastAsia" w:ascii="仿宋" w:hAnsi="仿宋" w:eastAsia="仿宋"/>
                <w:b/>
                <w:bCs/>
                <w:sz w:val="22"/>
                <w:szCs w:val="21"/>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bottom w:val="single" w:color="000000" w:themeColor="text1" w:sz="4" w:space="0"/>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1418" w:type="dxa"/>
            <w:gridSpan w:val="2"/>
            <w:tcBorders>
              <w:bottom w:val="single" w:color="000000" w:themeColor="text1" w:sz="4" w:space="0"/>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维修响应及故障解决</w:t>
            </w:r>
          </w:p>
        </w:tc>
        <w:tc>
          <w:tcPr>
            <w:tcW w:w="7700" w:type="dxa"/>
            <w:tcBorders>
              <w:bottom w:val="single" w:color="000000" w:themeColor="text1" w:sz="4" w:space="0"/>
            </w:tcBorders>
          </w:tcPr>
          <w:p>
            <w:pPr>
              <w:widowControl/>
              <w:spacing w:line="360" w:lineRule="auto"/>
              <w:jc w:val="left"/>
              <w:rPr>
                <w:rFonts w:ascii="仿宋" w:hAnsi="仿宋" w:eastAsia="仿宋"/>
                <w:bCs/>
                <w:sz w:val="22"/>
                <w:szCs w:val="21"/>
              </w:rPr>
            </w:pPr>
            <w:r>
              <w:rPr>
                <w:rFonts w:hint="eastAsia" w:ascii="仿宋" w:hAnsi="仿宋" w:eastAsia="仿宋"/>
                <w:bCs/>
                <w:sz w:val="22"/>
                <w:szCs w:val="21"/>
              </w:rPr>
              <w:t>免费质保期后继续支持维修，并按成本价标准收取维修及零件费用。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93" w:type="dxa"/>
            <w:gridSpan w:val="4"/>
            <w:shd w:val="clear" w:color="auto" w:fill="DDD9C4" w:themeFill="background2" w:themeFillShade="E6"/>
            <w:vAlign w:val="center"/>
          </w:tcPr>
          <w:p>
            <w:pPr>
              <w:widowControl/>
              <w:spacing w:line="360" w:lineRule="auto"/>
              <w:jc w:val="left"/>
              <w:rPr>
                <w:rFonts w:ascii="仿宋" w:hAnsi="仿宋" w:eastAsia="仿宋"/>
                <w:bCs/>
                <w:sz w:val="22"/>
                <w:szCs w:val="21"/>
              </w:rPr>
            </w:pPr>
            <w:r>
              <w:rPr>
                <w:rFonts w:hint="eastAsia" w:ascii="仿宋" w:hAnsi="仿宋" w:eastAsia="仿宋"/>
                <w:b/>
                <w:bCs/>
                <w:sz w:val="22"/>
                <w:szCs w:val="21"/>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运输及包装方式</w:t>
            </w:r>
          </w:p>
        </w:tc>
        <w:tc>
          <w:tcPr>
            <w:tcW w:w="7842" w:type="dxa"/>
            <w:gridSpan w:val="2"/>
          </w:tcPr>
          <w:p>
            <w:pPr>
              <w:widowControl/>
              <w:spacing w:line="360" w:lineRule="auto"/>
              <w:jc w:val="left"/>
              <w:rPr>
                <w:rFonts w:ascii="仿宋" w:hAnsi="仿宋" w:eastAsia="仿宋"/>
                <w:bCs/>
                <w:sz w:val="22"/>
                <w:szCs w:val="21"/>
              </w:rPr>
            </w:pPr>
            <w:r>
              <w:rPr>
                <w:rFonts w:hint="eastAsia" w:ascii="仿宋" w:hAnsi="仿宋" w:eastAsia="仿宋"/>
                <w:bCs/>
                <w:sz w:val="22"/>
                <w:szCs w:val="21"/>
              </w:rPr>
              <w:t>保证货物的包装符合产品运输的要求，足以保护货物在运输过程中不受锈蚀、损坏或灭失。凡由于包装不良造成的损失和由此产生的费用均由投标人承担。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2</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关于交货</w:t>
            </w:r>
          </w:p>
        </w:tc>
        <w:tc>
          <w:tcPr>
            <w:tcW w:w="7842" w:type="dxa"/>
            <w:gridSpan w:val="2"/>
          </w:tcPr>
          <w:p>
            <w:pPr>
              <w:widowControl/>
              <w:spacing w:line="360" w:lineRule="auto"/>
              <w:jc w:val="left"/>
              <w:rPr>
                <w:rFonts w:ascii="仿宋" w:hAnsi="仿宋" w:eastAsia="仿宋"/>
                <w:bCs/>
                <w:sz w:val="22"/>
                <w:szCs w:val="21"/>
              </w:rPr>
            </w:pPr>
            <w:r>
              <w:rPr>
                <w:rFonts w:hint="eastAsia" w:ascii="仿宋" w:hAnsi="仿宋" w:eastAsia="仿宋"/>
                <w:bCs/>
                <w:sz w:val="22"/>
                <w:szCs w:val="21"/>
                <w:highlight w:val="yellow"/>
              </w:rPr>
              <w:t>★1）</w:t>
            </w:r>
            <w:r>
              <w:rPr>
                <w:rFonts w:hint="eastAsia" w:ascii="仿宋" w:hAnsi="仿宋" w:eastAsia="仿宋"/>
                <w:b/>
                <w:bCs/>
                <w:sz w:val="22"/>
                <w:szCs w:val="21"/>
                <w:highlight w:val="yellow"/>
              </w:rPr>
              <w:t>签订合同后</w:t>
            </w:r>
            <w:r>
              <w:rPr>
                <w:rFonts w:hint="eastAsia" w:ascii="仿宋" w:hAnsi="仿宋" w:eastAsia="仿宋"/>
                <w:b/>
                <w:bCs/>
                <w:sz w:val="22"/>
                <w:szCs w:val="21"/>
                <w:highlight w:val="yellow"/>
                <w:u w:val="single"/>
              </w:rPr>
              <w:t>15</w:t>
            </w:r>
            <w:r>
              <w:rPr>
                <w:rFonts w:hint="eastAsia" w:ascii="仿宋" w:hAnsi="仿宋" w:eastAsia="仿宋"/>
                <w:b/>
                <w:bCs/>
                <w:sz w:val="22"/>
                <w:szCs w:val="21"/>
                <w:highlight w:val="yellow"/>
              </w:rPr>
              <w:t>天（日历日）内</w:t>
            </w:r>
            <w:r>
              <w:rPr>
                <w:rFonts w:hint="eastAsia" w:ascii="仿宋" w:hAnsi="仿宋" w:eastAsia="仿宋"/>
                <w:bCs/>
                <w:sz w:val="22"/>
                <w:szCs w:val="21"/>
                <w:highlight w:val="yellow"/>
              </w:rPr>
              <w:t>。</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2）签订合同后在交货期内，产品的附件、备品备件及专用工具应随产品一同交付。</w:t>
            </w:r>
          </w:p>
          <w:p>
            <w:pPr>
              <w:widowControl/>
              <w:spacing w:line="360" w:lineRule="auto"/>
              <w:jc w:val="left"/>
              <w:rPr>
                <w:rFonts w:ascii="仿宋" w:hAnsi="仿宋" w:eastAsia="仿宋"/>
                <w:bCs/>
                <w:sz w:val="22"/>
                <w:szCs w:val="21"/>
              </w:rPr>
            </w:pPr>
            <w:r>
              <w:rPr>
                <w:rFonts w:hint="eastAsia" w:ascii="仿宋" w:hAnsi="仿宋" w:eastAsia="仿宋"/>
                <w:bCs/>
                <w:sz w:val="22"/>
                <w:szCs w:val="21"/>
              </w:rPr>
              <w:t>3）交货（具体）地点：采购人指定地点。</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4）货物的随机技术资料应齐全，提供但不限于如下技术文件和资料：① 产品安装、操作和维修保养手册。</w:t>
            </w:r>
          </w:p>
          <w:p>
            <w:pPr>
              <w:widowControl/>
              <w:spacing w:line="360" w:lineRule="auto"/>
              <w:ind w:left="439" w:leftChars="209" w:firstLine="444" w:firstLineChars="202"/>
              <w:jc w:val="left"/>
              <w:rPr>
                <w:rFonts w:ascii="仿宋" w:hAnsi="仿宋" w:eastAsia="仿宋"/>
                <w:bCs/>
                <w:sz w:val="22"/>
                <w:szCs w:val="21"/>
              </w:rPr>
            </w:pPr>
            <w:r>
              <w:rPr>
                <w:rFonts w:hint="eastAsia" w:ascii="仿宋" w:hAnsi="仿宋" w:eastAsia="仿宋"/>
                <w:bCs/>
                <w:sz w:val="22"/>
                <w:szCs w:val="21"/>
              </w:rPr>
              <w:t>② 指定品牌证明文件。</w:t>
            </w:r>
          </w:p>
          <w:p>
            <w:pPr>
              <w:widowControl/>
              <w:spacing w:line="360" w:lineRule="auto"/>
              <w:ind w:left="439" w:leftChars="209" w:firstLine="444" w:firstLineChars="202"/>
              <w:jc w:val="left"/>
              <w:rPr>
                <w:rFonts w:ascii="仿宋" w:hAnsi="仿宋" w:eastAsia="仿宋"/>
                <w:bCs/>
                <w:sz w:val="22"/>
                <w:szCs w:val="21"/>
              </w:rPr>
            </w:pPr>
            <w:r>
              <w:rPr>
                <w:rFonts w:hint="eastAsia" w:ascii="仿宋" w:hAnsi="仿宋" w:eastAsia="仿宋"/>
                <w:bCs/>
                <w:sz w:val="22"/>
                <w:szCs w:val="21"/>
              </w:rPr>
              <w:t>③ 产品出厂检验合格证（如有）。</w:t>
            </w:r>
          </w:p>
          <w:p>
            <w:pPr>
              <w:widowControl/>
              <w:spacing w:line="360" w:lineRule="auto"/>
              <w:ind w:left="439" w:leftChars="209" w:firstLine="444" w:firstLineChars="202"/>
              <w:jc w:val="left"/>
              <w:rPr>
                <w:rFonts w:ascii="仿宋" w:hAnsi="仿宋" w:eastAsia="仿宋"/>
                <w:bCs/>
                <w:sz w:val="22"/>
                <w:szCs w:val="21"/>
              </w:rPr>
            </w:pPr>
            <w:r>
              <w:rPr>
                <w:rFonts w:hint="eastAsia" w:ascii="仿宋" w:hAnsi="仿宋" w:eastAsia="仿宋"/>
                <w:bCs/>
                <w:sz w:val="22"/>
                <w:szCs w:val="21"/>
              </w:rPr>
              <w:t>④ 产品到货清单。</w:t>
            </w:r>
          </w:p>
          <w:p>
            <w:pPr>
              <w:widowControl/>
              <w:spacing w:line="360" w:lineRule="auto"/>
              <w:ind w:left="439" w:leftChars="209" w:firstLine="444" w:firstLineChars="202"/>
              <w:jc w:val="left"/>
              <w:rPr>
                <w:rFonts w:ascii="仿宋" w:hAnsi="仿宋" w:eastAsia="仿宋"/>
                <w:bCs/>
                <w:sz w:val="22"/>
                <w:szCs w:val="21"/>
              </w:rPr>
            </w:pPr>
            <w:r>
              <w:rPr>
                <w:rFonts w:hint="eastAsia" w:ascii="仿宋" w:hAnsi="仿宋" w:eastAsia="仿宋"/>
                <w:bCs/>
                <w:sz w:val="22"/>
                <w:szCs w:val="21"/>
              </w:rPr>
              <w:t>⑤ 产品保修证明（如有），需标明保修联系方式。</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5）投标人应委派技术人员进行现场开箱、安装、调试，并提供货物安装调试的一切技术支持。安装调试的具体时间由采购人提前3天通知投标人，即在约定时间安装指定地点安装。</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6）交货到采购人指定地点后，供需双方派员进行开箱清点设备，清点无误后，采购人签收收货报告。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3</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关于验收</w:t>
            </w:r>
          </w:p>
        </w:tc>
        <w:tc>
          <w:tcPr>
            <w:tcW w:w="7842" w:type="dxa"/>
            <w:gridSpan w:val="2"/>
          </w:tcPr>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1）验收内容包括但不限于：a. 型号、数量及外观；b.货物所附技术资料；c.货物组件及配置；d.货物功能、性能及各项技术参数指标。</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2）投标人货物经过双方检验认可后，签署验收报告，产品保修期自验收合格之日起算，由投标人提供产品保修文件。依据相关法律法规要求，邀请国家商检部门进行商检的，商检、检疫费用由投标人承担。</w:t>
            </w:r>
          </w:p>
          <w:p>
            <w:pPr>
              <w:widowControl/>
              <w:spacing w:line="360" w:lineRule="auto"/>
              <w:jc w:val="left"/>
              <w:rPr>
                <w:rFonts w:ascii="仿宋" w:hAnsi="仿宋" w:eastAsia="仿宋"/>
                <w:bCs/>
                <w:sz w:val="22"/>
                <w:szCs w:val="21"/>
              </w:rPr>
            </w:pPr>
            <w:r>
              <w:rPr>
                <w:rFonts w:hint="eastAsia" w:ascii="仿宋" w:hAnsi="仿宋" w:eastAsia="仿宋"/>
                <w:bCs/>
                <w:sz w:val="22"/>
                <w:szCs w:val="21"/>
              </w:rPr>
              <w:t>3）当满足以下条件时，采购人才向投标人签发货物验收报告：</w:t>
            </w:r>
          </w:p>
          <w:p>
            <w:pPr>
              <w:widowControl/>
              <w:spacing w:line="360" w:lineRule="auto"/>
              <w:ind w:firstLine="330" w:firstLineChars="150"/>
              <w:jc w:val="left"/>
              <w:rPr>
                <w:rFonts w:ascii="仿宋" w:hAnsi="仿宋" w:eastAsia="仿宋"/>
                <w:bCs/>
                <w:sz w:val="22"/>
                <w:szCs w:val="21"/>
              </w:rPr>
            </w:pPr>
            <w:r>
              <w:rPr>
                <w:rFonts w:ascii="仿宋" w:hAnsi="仿宋" w:eastAsia="仿宋"/>
                <w:bCs/>
                <w:sz w:val="22"/>
                <w:szCs w:val="21"/>
              </w:rPr>
              <w:t>a</w:t>
            </w:r>
            <w:r>
              <w:rPr>
                <w:rFonts w:hint="eastAsia" w:ascii="仿宋" w:hAnsi="仿宋" w:eastAsia="仿宋"/>
                <w:bCs/>
                <w:sz w:val="22"/>
                <w:szCs w:val="21"/>
              </w:rPr>
              <w:t>、投标人已按照合同规定提供了全部产品及完整的技术资料。</w:t>
            </w:r>
          </w:p>
          <w:p>
            <w:pPr>
              <w:widowControl/>
              <w:spacing w:line="360" w:lineRule="auto"/>
              <w:ind w:firstLine="330" w:firstLineChars="150"/>
              <w:jc w:val="left"/>
              <w:rPr>
                <w:rFonts w:ascii="仿宋" w:hAnsi="仿宋" w:eastAsia="仿宋"/>
                <w:bCs/>
                <w:sz w:val="22"/>
                <w:szCs w:val="21"/>
              </w:rPr>
            </w:pPr>
            <w:r>
              <w:rPr>
                <w:rFonts w:ascii="仿宋" w:hAnsi="仿宋" w:eastAsia="仿宋"/>
                <w:bCs/>
                <w:sz w:val="22"/>
                <w:szCs w:val="21"/>
              </w:rPr>
              <w:t>b</w:t>
            </w:r>
            <w:r>
              <w:rPr>
                <w:rFonts w:hint="eastAsia" w:ascii="仿宋" w:hAnsi="仿宋" w:eastAsia="仿宋"/>
                <w:bCs/>
                <w:sz w:val="22"/>
                <w:szCs w:val="21"/>
              </w:rPr>
              <w:t>、货物符合招标文件技术规格书的要求，性能满足要求。</w:t>
            </w:r>
          </w:p>
          <w:p>
            <w:pPr>
              <w:widowControl/>
              <w:spacing w:line="360" w:lineRule="auto"/>
              <w:ind w:firstLine="330" w:firstLineChars="150"/>
              <w:jc w:val="left"/>
              <w:rPr>
                <w:rFonts w:ascii="仿宋" w:hAnsi="仿宋" w:eastAsia="仿宋"/>
                <w:bCs/>
                <w:sz w:val="22"/>
                <w:szCs w:val="21"/>
              </w:rPr>
            </w:pPr>
            <w:r>
              <w:rPr>
                <w:rFonts w:ascii="仿宋" w:hAnsi="仿宋" w:eastAsia="仿宋"/>
                <w:bCs/>
                <w:sz w:val="22"/>
                <w:szCs w:val="21"/>
              </w:rPr>
              <w:t>c</w:t>
            </w:r>
            <w:r>
              <w:rPr>
                <w:rFonts w:hint="eastAsia" w:ascii="仿宋" w:hAnsi="仿宋" w:eastAsia="仿宋"/>
                <w:bCs/>
                <w:sz w:val="22"/>
                <w:szCs w:val="21"/>
              </w:rPr>
              <w:t>、货物具备产品合格证（如有）。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4</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关于违约</w:t>
            </w:r>
          </w:p>
        </w:tc>
        <w:tc>
          <w:tcPr>
            <w:tcW w:w="7842" w:type="dxa"/>
            <w:gridSpan w:val="2"/>
          </w:tcPr>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1）投标人不能交货的，需偿付不能交货部分货款的30%的违约金并按主管部门相关规定处理。</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2）投标人逾期交货的，将被没收履约保证金并按主管部门相关规定处理。</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3）供应商所交付的产品品种、型号、规格、质量不符合同规定标准的，深圳市公安局公交分局有权拒绝收货。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5</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产品质量要求标准</w:t>
            </w:r>
          </w:p>
        </w:tc>
        <w:tc>
          <w:tcPr>
            <w:tcW w:w="7842" w:type="dxa"/>
            <w:gridSpan w:val="2"/>
          </w:tcPr>
          <w:p>
            <w:pPr>
              <w:widowControl/>
              <w:spacing w:line="360" w:lineRule="auto"/>
              <w:ind w:firstLine="473" w:firstLineChars="215"/>
              <w:jc w:val="left"/>
              <w:rPr>
                <w:rFonts w:ascii="仿宋" w:hAnsi="仿宋" w:eastAsia="仿宋"/>
                <w:bCs/>
                <w:sz w:val="22"/>
                <w:szCs w:val="21"/>
              </w:rPr>
            </w:pPr>
            <w:r>
              <w:rPr>
                <w:rFonts w:hint="eastAsia" w:ascii="仿宋" w:hAnsi="仿宋" w:eastAsia="仿宋"/>
                <w:bCs/>
                <w:sz w:val="22"/>
                <w:szCs w:val="21"/>
              </w:rPr>
              <w:t>使用该货物或货物的任何一部分时，免受第三方提出的侵犯其专利权、商标权或工业设计权等知识产权的起诉或司法干预。如果发生上述起诉或干预，则其法律责任均由供应商负责，并按照“其它商务要求”中的“违约责任”承担相应责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付款方式</w:t>
            </w:r>
          </w:p>
        </w:tc>
        <w:tc>
          <w:tcPr>
            <w:tcW w:w="7842" w:type="dxa"/>
            <w:gridSpan w:val="2"/>
          </w:tcPr>
          <w:p>
            <w:pPr>
              <w:widowControl/>
              <w:spacing w:line="360" w:lineRule="auto"/>
              <w:jc w:val="left"/>
              <w:rPr>
                <w:rFonts w:ascii="仿宋" w:hAnsi="仿宋" w:eastAsia="仿宋"/>
                <w:bCs/>
                <w:sz w:val="22"/>
                <w:szCs w:val="21"/>
              </w:rPr>
            </w:pPr>
            <w:r>
              <w:rPr>
                <w:rFonts w:hint="eastAsia" w:ascii="仿宋" w:hAnsi="仿宋" w:eastAsia="仿宋"/>
                <w:bCs/>
                <w:sz w:val="22"/>
                <w:szCs w:val="21"/>
              </w:rPr>
              <w:t>验收合格后， 1 个月内货物无明显损坏，采购人整理相关付款资料，经内部审批后支付货款。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7</w:t>
            </w:r>
          </w:p>
        </w:tc>
        <w:tc>
          <w:tcPr>
            <w:tcW w:w="1276" w:type="dxa"/>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报价要求</w:t>
            </w:r>
          </w:p>
        </w:tc>
        <w:tc>
          <w:tcPr>
            <w:tcW w:w="7842" w:type="dxa"/>
            <w:gridSpan w:val="2"/>
          </w:tcPr>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1）报价方式应为：货交采购人指定地点（包括安装至指定位置）的所有费用。</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2）投标人提供的所有报价除另有约定外已包含购买货物费用及售后服务所发生的所有费用，包括但不限于代理费、税费；货物运至采购人指定地点的的如运输费、保险费、叉车费和装卸费；配套资料费、安装调试费、强制性第三方监督检验机构的验收检验费用以及免费保修期内的售后服务费用等。</w:t>
            </w:r>
          </w:p>
          <w:p>
            <w:pPr>
              <w:widowControl/>
              <w:spacing w:line="360" w:lineRule="auto"/>
              <w:ind w:left="440" w:hanging="440" w:hangingChars="200"/>
              <w:jc w:val="left"/>
              <w:rPr>
                <w:rFonts w:ascii="仿宋" w:hAnsi="仿宋" w:eastAsia="仿宋"/>
                <w:bCs/>
                <w:sz w:val="22"/>
                <w:szCs w:val="21"/>
              </w:rPr>
            </w:pPr>
            <w:r>
              <w:rPr>
                <w:rFonts w:hint="eastAsia" w:ascii="仿宋" w:hAnsi="仿宋" w:eastAsia="仿宋"/>
                <w:bCs/>
                <w:sz w:val="22"/>
                <w:szCs w:val="21"/>
              </w:rPr>
              <w:t>3）投标人应按货物需求的要求逐项报价。报价包括与该项目有关的一切费用，如安装调试费、运输、保险、国内货物的税金、强制性第三方监督检验机构的验收检验费用等。投标总价应为各分项合计价格之和。与总项目相关的上述安装调试等费用须分摊计入各分项，不得以单项计费。</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rPr>
          <w:rFonts w:ascii="仿宋" w:hAnsi="仿宋" w:eastAsia="仿宋"/>
          <w:bCs/>
          <w:sz w:val="22"/>
          <w:szCs w:val="21"/>
        </w:rPr>
      </w:pPr>
      <w:r>
        <w:rPr>
          <w:rFonts w:hint="eastAsia" w:ascii="仿宋" w:hAnsi="仿宋" w:eastAsia="仿宋"/>
          <w:bCs/>
          <w:sz w:val="22"/>
          <w:szCs w:val="21"/>
        </w:rPr>
        <w:t>2、加注“★”的条款要求为不可偏离项，如不满足或负偏离将导致其投标无效。</w:t>
      </w:r>
    </w:p>
    <w:p>
      <w:pPr>
        <w:ind w:firstLine="770" w:firstLineChars="350"/>
        <w:rPr>
          <w:rFonts w:ascii="仿宋" w:hAnsi="仿宋" w:eastAsia="仿宋"/>
          <w:bCs/>
          <w:sz w:val="22"/>
          <w:szCs w:val="21"/>
        </w:rPr>
      </w:pPr>
    </w:p>
    <w:p>
      <w:pPr>
        <w:pStyle w:val="2"/>
        <w:ind w:firstLine="440"/>
        <w:rPr>
          <w:rFonts w:ascii="仿宋" w:hAnsi="仿宋" w:eastAsia="仿宋"/>
          <w:bCs/>
          <w:sz w:val="22"/>
          <w:szCs w:val="21"/>
        </w:rPr>
      </w:pPr>
    </w:p>
    <w:p>
      <w:pPr>
        <w:pStyle w:val="2"/>
        <w:ind w:firstLine="440"/>
        <w:rPr>
          <w:rFonts w:ascii="仿宋" w:hAnsi="仿宋" w:eastAsia="仿宋"/>
          <w:bCs/>
          <w:sz w:val="22"/>
          <w:szCs w:val="21"/>
        </w:rPr>
      </w:pPr>
    </w:p>
    <w:p>
      <w:pPr>
        <w:rPr>
          <w:rFonts w:eastAsia="仿宋"/>
        </w:rPr>
      </w:pPr>
      <w:r>
        <w:rPr>
          <w:rFonts w:hint="eastAsia" w:ascii="仿宋" w:hAnsi="仿宋" w:eastAsia="仿宋"/>
          <w:b/>
          <w:bCs/>
          <w:sz w:val="28"/>
          <w:szCs w:val="21"/>
        </w:rPr>
        <w:t>五、样品</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98"/>
        <w:gridCol w:w="2235"/>
        <w:gridCol w:w="1650"/>
        <w:gridCol w:w="293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98" w:type="dxa"/>
            <w:shd w:val="clear" w:color="auto" w:fill="C6D9F0" w:themeFill="text2" w:themeFillTint="33"/>
            <w:vAlign w:val="center"/>
          </w:tcPr>
          <w:p>
            <w:pPr>
              <w:spacing w:line="360" w:lineRule="auto"/>
              <w:jc w:val="center"/>
              <w:rPr>
                <w:rFonts w:ascii="仿宋" w:hAnsi="仿宋" w:eastAsia="仿宋"/>
                <w:b/>
                <w:bCs/>
                <w:sz w:val="22"/>
                <w:szCs w:val="21"/>
              </w:rPr>
            </w:pPr>
            <w:r>
              <w:rPr>
                <w:rFonts w:hint="eastAsia" w:ascii="仿宋" w:hAnsi="仿宋" w:eastAsia="仿宋"/>
                <w:b/>
                <w:bCs/>
                <w:sz w:val="22"/>
                <w:szCs w:val="21"/>
              </w:rPr>
              <w:t>序号</w:t>
            </w:r>
          </w:p>
        </w:tc>
        <w:tc>
          <w:tcPr>
            <w:tcW w:w="2235" w:type="dxa"/>
            <w:shd w:val="clear" w:color="auto" w:fill="C6D9F0" w:themeFill="text2" w:themeFillTint="33"/>
            <w:vAlign w:val="center"/>
          </w:tcPr>
          <w:p>
            <w:pPr>
              <w:spacing w:line="360" w:lineRule="auto"/>
              <w:jc w:val="center"/>
              <w:rPr>
                <w:rFonts w:ascii="仿宋" w:hAnsi="仿宋" w:eastAsia="仿宋"/>
                <w:b/>
                <w:bCs/>
                <w:sz w:val="22"/>
                <w:szCs w:val="21"/>
              </w:rPr>
            </w:pPr>
            <w:r>
              <w:rPr>
                <w:rFonts w:hint="eastAsia" w:ascii="仿宋" w:hAnsi="仿宋" w:eastAsia="仿宋"/>
                <w:b/>
                <w:bCs/>
                <w:sz w:val="22"/>
                <w:szCs w:val="21"/>
              </w:rPr>
              <w:t>货物名称</w:t>
            </w:r>
          </w:p>
        </w:tc>
        <w:tc>
          <w:tcPr>
            <w:tcW w:w="1650" w:type="dxa"/>
            <w:tcBorders>
              <w:right w:val="single" w:color="auto" w:sz="4" w:space="0"/>
            </w:tcBorders>
            <w:shd w:val="clear" w:color="auto" w:fill="C6D9F0" w:themeFill="text2" w:themeFillTint="33"/>
            <w:vAlign w:val="center"/>
          </w:tcPr>
          <w:p>
            <w:pPr>
              <w:spacing w:line="360" w:lineRule="auto"/>
              <w:jc w:val="center"/>
              <w:rPr>
                <w:rFonts w:ascii="仿宋" w:hAnsi="仿宋" w:eastAsia="仿宋"/>
                <w:b/>
                <w:bCs/>
                <w:sz w:val="22"/>
                <w:szCs w:val="21"/>
              </w:rPr>
            </w:pPr>
            <w:r>
              <w:rPr>
                <w:rFonts w:hint="eastAsia" w:ascii="仿宋" w:hAnsi="仿宋" w:eastAsia="仿宋"/>
                <w:b/>
                <w:bCs/>
                <w:sz w:val="22"/>
                <w:szCs w:val="21"/>
              </w:rPr>
              <w:t>数量</w:t>
            </w:r>
          </w:p>
        </w:tc>
        <w:tc>
          <w:tcPr>
            <w:tcW w:w="2939" w:type="dxa"/>
            <w:tcBorders>
              <w:left w:val="single" w:color="auto" w:sz="4" w:space="0"/>
            </w:tcBorders>
            <w:shd w:val="clear" w:color="auto" w:fill="C6D9F0" w:themeFill="text2" w:themeFillTint="33"/>
            <w:vAlign w:val="center"/>
          </w:tcPr>
          <w:p>
            <w:pPr>
              <w:spacing w:line="360" w:lineRule="auto"/>
              <w:jc w:val="center"/>
              <w:rPr>
                <w:rFonts w:hint="default" w:ascii="仿宋" w:hAnsi="仿宋" w:eastAsia="仿宋"/>
                <w:b/>
                <w:bCs/>
                <w:sz w:val="22"/>
                <w:szCs w:val="21"/>
                <w:lang w:val="en-US" w:eastAsia="zh-CN"/>
              </w:rPr>
            </w:pPr>
            <w:r>
              <w:rPr>
                <w:rFonts w:hint="eastAsia" w:ascii="仿宋" w:hAnsi="仿宋" w:eastAsia="仿宋"/>
                <w:b/>
                <w:bCs/>
                <w:sz w:val="22"/>
                <w:szCs w:val="21"/>
                <w:lang w:val="en-US" w:eastAsia="zh-CN"/>
              </w:rPr>
              <w:t>技术要求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98" w:type="dxa"/>
            <w:vAlign w:val="center"/>
          </w:tcPr>
          <w:p>
            <w:pPr>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2235" w:type="dxa"/>
            <w:vAlign w:val="center"/>
          </w:tcPr>
          <w:p>
            <w:pPr>
              <w:spacing w:line="360" w:lineRule="auto"/>
              <w:jc w:val="center"/>
              <w:rPr>
                <w:rFonts w:ascii="仿宋" w:hAnsi="仿宋" w:eastAsia="仿宋"/>
                <w:bCs/>
                <w:sz w:val="22"/>
                <w:szCs w:val="21"/>
              </w:rPr>
            </w:pPr>
            <w:r>
              <w:rPr>
                <w:rFonts w:hint="eastAsia" w:ascii="仿宋" w:hAnsi="仿宋" w:eastAsia="仿宋"/>
                <w:bCs/>
                <w:sz w:val="22"/>
                <w:szCs w:val="21"/>
              </w:rPr>
              <w:t>办公椅</w:t>
            </w:r>
          </w:p>
        </w:tc>
        <w:tc>
          <w:tcPr>
            <w:tcW w:w="1650" w:type="dxa"/>
            <w:tcBorders>
              <w:right w:val="single" w:color="auto" w:sz="4" w:space="0"/>
            </w:tcBorders>
            <w:vAlign w:val="center"/>
          </w:tcPr>
          <w:p>
            <w:pPr>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2939" w:type="dxa"/>
            <w:tcBorders>
              <w:left w:val="single" w:color="auto" w:sz="4" w:space="0"/>
            </w:tcBorders>
            <w:vAlign w:val="center"/>
          </w:tcPr>
          <w:p>
            <w:pPr>
              <w:spacing w:line="360" w:lineRule="auto"/>
              <w:jc w:val="center"/>
              <w:rPr>
                <w:rFonts w:hint="default" w:ascii="仿宋" w:hAnsi="仿宋" w:eastAsia="仿宋"/>
                <w:bCs/>
                <w:sz w:val="22"/>
                <w:szCs w:val="21"/>
                <w:lang w:val="en-US" w:eastAsia="zh-CN"/>
              </w:rPr>
            </w:pPr>
            <w:r>
              <w:rPr>
                <w:rFonts w:hint="eastAsia" w:ascii="仿宋" w:hAnsi="仿宋" w:eastAsia="仿宋"/>
                <w:bCs/>
                <w:sz w:val="22"/>
                <w:szCs w:val="21"/>
                <w:lang w:val="en-US" w:eastAsia="zh-CN"/>
              </w:rPr>
              <w:t>详见“三、技术要求”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98" w:type="dxa"/>
            <w:vAlign w:val="center"/>
          </w:tcPr>
          <w:p>
            <w:pPr>
              <w:spacing w:line="360" w:lineRule="auto"/>
              <w:jc w:val="center"/>
              <w:rPr>
                <w:rFonts w:ascii="仿宋" w:hAnsi="仿宋" w:eastAsia="仿宋"/>
                <w:bCs/>
                <w:sz w:val="22"/>
                <w:szCs w:val="21"/>
              </w:rPr>
            </w:pPr>
            <w:r>
              <w:rPr>
                <w:rFonts w:hint="eastAsia" w:ascii="仿宋" w:hAnsi="仿宋" w:eastAsia="仿宋"/>
                <w:bCs/>
                <w:sz w:val="22"/>
                <w:szCs w:val="21"/>
              </w:rPr>
              <w:t>2</w:t>
            </w:r>
          </w:p>
        </w:tc>
        <w:tc>
          <w:tcPr>
            <w:tcW w:w="2235" w:type="dxa"/>
            <w:vAlign w:val="center"/>
          </w:tcPr>
          <w:p>
            <w:pPr>
              <w:spacing w:line="360" w:lineRule="auto"/>
              <w:jc w:val="center"/>
              <w:rPr>
                <w:rFonts w:ascii="仿宋" w:hAnsi="仿宋" w:eastAsia="仿宋"/>
                <w:bCs/>
                <w:sz w:val="22"/>
                <w:szCs w:val="21"/>
              </w:rPr>
            </w:pPr>
            <w:r>
              <w:rPr>
                <w:rFonts w:hint="eastAsia" w:ascii="仿宋" w:hAnsi="仿宋" w:eastAsia="仿宋"/>
                <w:bCs/>
                <w:sz w:val="22"/>
                <w:szCs w:val="21"/>
              </w:rPr>
              <w:t>茶几</w:t>
            </w:r>
          </w:p>
        </w:tc>
        <w:tc>
          <w:tcPr>
            <w:tcW w:w="1650" w:type="dxa"/>
            <w:tcBorders>
              <w:right w:val="single" w:color="auto" w:sz="4" w:space="0"/>
            </w:tcBorders>
            <w:vAlign w:val="center"/>
          </w:tcPr>
          <w:p>
            <w:pPr>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2939" w:type="dxa"/>
            <w:tcBorders>
              <w:left w:val="single" w:color="auto" w:sz="4" w:space="0"/>
            </w:tcBorders>
            <w:vAlign w:val="center"/>
          </w:tcPr>
          <w:p>
            <w:pPr>
              <w:spacing w:line="360" w:lineRule="auto"/>
              <w:jc w:val="center"/>
              <w:rPr>
                <w:rFonts w:hint="eastAsia" w:ascii="仿宋" w:hAnsi="仿宋" w:eastAsia="仿宋"/>
                <w:bCs/>
                <w:sz w:val="22"/>
                <w:szCs w:val="21"/>
              </w:rPr>
            </w:pPr>
            <w:r>
              <w:rPr>
                <w:rFonts w:hint="eastAsia" w:ascii="仿宋" w:hAnsi="仿宋" w:eastAsia="仿宋"/>
                <w:bCs/>
                <w:sz w:val="22"/>
                <w:szCs w:val="21"/>
                <w:lang w:val="en-US" w:eastAsia="zh-CN"/>
              </w:rPr>
              <w:t>详见“三、技术要求”</w:t>
            </w:r>
          </w:p>
        </w:tc>
      </w:tr>
    </w:tbl>
    <w:p>
      <w:pPr>
        <w:rPr>
          <w:rFonts w:eastAsia="仿宋"/>
        </w:rPr>
      </w:pP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分局指挥中心大楼5楼机房及档案室配套办公家具采购项目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：分局指挥中心大楼5楼机房及档案室配套办公家具采购项目</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：SZZZ2021-QA0168</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260" w:leftChars="400" w:hanging="420" w:hangingChars="200"/>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rPr>
        <w:t>5、非进口产品参与投标承诺函</w:t>
      </w:r>
      <w:r>
        <w:rPr>
          <w:rFonts w:hint="eastAsia" w:ascii="仿宋" w:hAnsi="仿宋" w:eastAsia="仿宋"/>
          <w:bCs/>
        </w:rPr>
        <w:t>【原件</w:t>
      </w:r>
      <w:r>
        <w:rPr>
          <w:rFonts w:hint="eastAsia" w:ascii="仿宋" w:hAnsi="仿宋" w:eastAsia="仿宋"/>
        </w:rPr>
        <w:t>，格式自拟</w:t>
      </w:r>
      <w:r>
        <w:rPr>
          <w:rFonts w:hint="eastAsia" w:ascii="仿宋" w:hAnsi="仿宋" w:eastAsia="仿宋"/>
          <w:bCs/>
        </w:rPr>
        <w:t>】</w:t>
      </w:r>
    </w:p>
    <w:p>
      <w:pPr>
        <w:spacing w:line="360" w:lineRule="auto"/>
        <w:ind w:firstLine="850" w:firstLineChars="405"/>
        <w:rPr>
          <w:rFonts w:ascii="仿宋" w:hAnsi="仿宋" w:eastAsia="仿宋"/>
        </w:rPr>
      </w:pPr>
      <w:r>
        <w:rPr>
          <w:rFonts w:hint="eastAsia" w:ascii="仿宋" w:hAnsi="仿宋" w:eastAsia="仿宋"/>
        </w:rPr>
        <w:t>6、非联合体投标，不违规分包或转包的承诺函【原件，格式自拟】</w:t>
      </w:r>
    </w:p>
    <w:p>
      <w:pPr>
        <w:spacing w:line="360" w:lineRule="auto"/>
        <w:ind w:firstLine="850" w:firstLineChars="405"/>
        <w:rPr>
          <w:rFonts w:ascii="仿宋" w:hAnsi="仿宋" w:eastAsia="仿宋"/>
        </w:rPr>
      </w:pPr>
      <w:r>
        <w:rPr>
          <w:rFonts w:hint="eastAsia" w:ascii="仿宋" w:hAnsi="仿宋" w:eastAsia="仿宋"/>
        </w:rPr>
        <w:t>7、信用查询截图</w:t>
      </w:r>
    </w:p>
    <w:p>
      <w:pPr>
        <w:spacing w:line="360" w:lineRule="auto"/>
        <w:ind w:firstLine="850" w:firstLineChars="405"/>
        <w:rPr>
          <w:rFonts w:ascii="仿宋" w:hAnsi="仿宋" w:eastAsia="仿宋"/>
          <w:bCs/>
        </w:rPr>
      </w:pPr>
      <w:r>
        <w:rPr>
          <w:rFonts w:hint="eastAsia" w:ascii="仿宋" w:hAnsi="仿宋" w:eastAsia="仿宋"/>
        </w:rPr>
        <w:t>8、投标人认为有必要提供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法定代表人（负责人）证明书（格式）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职务，为法定代表人（负责人），特此证明。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mc:AlternateContent>
          <mc:Choice Requires="wps">
            <w:drawing>
              <wp:anchor distT="0" distB="0" distL="114300" distR="114300" simplePos="0" relativeHeight="251661312" behindDoc="0" locked="0" layoutInCell="1" allowOverlap="1">
                <wp:simplePos x="0" y="0"/>
                <wp:positionH relativeFrom="column">
                  <wp:posOffset>2840355</wp:posOffset>
                </wp:positionH>
                <wp:positionV relativeFrom="paragraph">
                  <wp:posOffset>136525</wp:posOffset>
                </wp:positionV>
                <wp:extent cx="2705100" cy="1981200"/>
                <wp:effectExtent l="11430" t="12700" r="7620" b="6350"/>
                <wp:wrapNone/>
                <wp:docPr id="20" name="Rectangle 5"/>
                <wp:cNvGraphicFramePr/>
                <a:graphic xmlns:a="http://schemas.openxmlformats.org/drawingml/2006/main">
                  <a:graphicData uri="http://schemas.microsoft.com/office/word/2010/wordprocessingShape">
                    <wps:wsp>
                      <wps:cNvSpPr>
                        <a:spLocks noChangeArrowheads="1"/>
                      </wps:cNvSpPr>
                      <wps:spPr bwMode="auto">
                        <a:xfrm>
                          <a:off x="0" y="0"/>
                          <a:ext cx="2705100" cy="1981200"/>
                        </a:xfrm>
                        <a:prstGeom prst="rect">
                          <a:avLst/>
                        </a:prstGeom>
                        <a:solidFill>
                          <a:srgbClr val="FFFFFF"/>
                        </a:solidFill>
                        <a:ln w="9525">
                          <a:solidFill>
                            <a:srgbClr val="000000"/>
                          </a:solidFill>
                          <a:miter lim="800000"/>
                        </a:ln>
                      </wps:spPr>
                      <wps:txb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223.65pt;margin-top:10.75pt;height:156pt;width:213pt;z-index:251661312;mso-width-relative:page;mso-height-relative:page;" fillcolor="#FFFFFF" filled="t" stroked="t" coordsize="21600,21600" o:gfxdata="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9xPQ29kAAAAKAQAADwAAAAAAAAABACAAAAAiAAAAZHJzL2Rvd25yZXYueG1sUEsB&#10;AhQAFAAAAAgAh07iQLnrD/wtAgAAfwQAAA4AAAAAAAAAAQAgAAAAKAEAAGRycy9lMm9Eb2MueG1s&#10;UEsFBgAAAAAGAAYAWQEAAMcFAAAAAA==&#10;">
                <v:fill on="t" focussize="0,0"/>
                <v:stroke color="#000000" miterlimit="8" joinstyle="miter"/>
                <v:imagedata o:title=""/>
                <o:lock v:ext="edit" aspectratio="f"/>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mc:Fallback>
        </mc:AlternateContent>
      </w:r>
      <w:r>
        <w:rPr>
          <w:rFonts w:ascii="宋体"/>
          <w:b/>
          <w:bCs/>
        </w:rPr>
        <mc:AlternateContent>
          <mc:Choice Requires="wps">
            <w:drawing>
              <wp:anchor distT="0" distB="0" distL="114300" distR="114300" simplePos="0" relativeHeight="251660288" behindDoc="0" locked="0" layoutInCell="1" allowOverlap="1">
                <wp:simplePos x="0" y="0"/>
                <wp:positionH relativeFrom="column">
                  <wp:posOffset>-112395</wp:posOffset>
                </wp:positionH>
                <wp:positionV relativeFrom="paragraph">
                  <wp:posOffset>136525</wp:posOffset>
                </wp:positionV>
                <wp:extent cx="2705100" cy="1981200"/>
                <wp:effectExtent l="11430" t="12700" r="7620" b="6350"/>
                <wp:wrapNone/>
                <wp:docPr id="19" name="Rectangle 4"/>
                <wp:cNvGraphicFramePr/>
                <a:graphic xmlns:a="http://schemas.openxmlformats.org/drawingml/2006/main">
                  <a:graphicData uri="http://schemas.microsoft.com/office/word/2010/wordprocessingShape">
                    <wps:wsp>
                      <wps:cNvSpPr>
                        <a:spLocks noChangeArrowheads="1"/>
                      </wps:cNvSpPr>
                      <wps:spPr bwMode="auto">
                        <a:xfrm>
                          <a:off x="0" y="0"/>
                          <a:ext cx="2705100" cy="1981200"/>
                        </a:xfrm>
                        <a:prstGeom prst="rect">
                          <a:avLst/>
                        </a:prstGeom>
                        <a:solidFill>
                          <a:srgbClr val="FFFFFF"/>
                        </a:solidFill>
                        <a:ln w="9525">
                          <a:solidFill>
                            <a:srgbClr val="000000"/>
                          </a:solidFill>
                          <a:miter lim="800000"/>
                        </a:ln>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8.85pt;margin-top:10.75pt;height:156pt;width:213pt;z-index:251660288;mso-width-relative:page;mso-height-relative:page;" fillcolor="#FFFFFF" filled="t" stroked="t" coordsize="21600,21600" o:gfxdata="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E3ErvZAAAACgEAAA8AAAAAAAAAAQAgAAAAIgAAAGRycy9kb3ducmV2LnhtbFBL&#10;AQIUABQAAAAIAIdO4kBo/zk/LgIAAH8EAAAOAAAAAAAAAAEAIAAAACgBAABkcnMvZTJvRG9jLnht&#10;bFBLBQYAAAAABgAGAFkBAADIBQAAAAA=&#10;">
                <v:fill on="t" focussize="0,0"/>
                <v:stroke color="#000000" miterlimit="8"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（分局指挥中心大楼5楼机房及档案室配套办公家具采购项目、SZZZ2021-QA0168）</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mc:AlternateContent>
          <mc:Choice Requires="wps">
            <w:drawing>
              <wp:anchor distT="0" distB="0" distL="114300" distR="114300" simplePos="0" relativeHeight="251662336" behindDoc="0" locked="0" layoutInCell="1" allowOverlap="1">
                <wp:simplePos x="0" y="0"/>
                <wp:positionH relativeFrom="column">
                  <wp:posOffset>-17145</wp:posOffset>
                </wp:positionH>
                <wp:positionV relativeFrom="paragraph">
                  <wp:posOffset>71120</wp:posOffset>
                </wp:positionV>
                <wp:extent cx="2619375" cy="1722755"/>
                <wp:effectExtent l="11430" t="8255" r="7620" b="12065"/>
                <wp:wrapNone/>
                <wp:docPr id="18" name="Rectangle 2"/>
                <wp:cNvGraphicFramePr/>
                <a:graphic xmlns:a="http://schemas.openxmlformats.org/drawingml/2006/main">
                  <a:graphicData uri="http://schemas.microsoft.com/office/word/2010/wordprocessingShape">
                    <wps:wsp>
                      <wps:cNvSpPr>
                        <a:spLocks noChangeArrowheads="1"/>
                      </wps:cNvSpPr>
                      <wps:spPr bwMode="auto">
                        <a:xfrm>
                          <a:off x="0" y="0"/>
                          <a:ext cx="2619375" cy="1722755"/>
                        </a:xfrm>
                        <a:prstGeom prst="rect">
                          <a:avLst/>
                        </a:prstGeom>
                        <a:solidFill>
                          <a:srgbClr val="FFFFFF"/>
                        </a:solidFill>
                        <a:ln w="9525">
                          <a:solidFill>
                            <a:srgbClr val="000000"/>
                          </a:solidFill>
                          <a:miter lim="800000"/>
                        </a:ln>
                      </wps:spPr>
                      <wps:txb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1.35pt;margin-top:5.6pt;height:135.65pt;width:206.25pt;z-index:251662336;mso-width-relative:page;mso-height-relative:page;" fillcolor="#FFFFFF" filled="t" stroked="t" coordsize="21600,21600" o:gfxdata="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HeQVtcAAAAJAQAADwAAAAAAAAABACAAAAAiAAAAZHJzL2Rvd25yZXYueG1sUEsB&#10;AhQAFAAAAAgAh07iQOX0RVUvAgAAfwQAAA4AAAAAAAAAAQAgAAAAJgEAAGRycy9lMm9Eb2MueG1s&#10;UEsFBgAAAAAGAAYAWQEAAMcFAAAAAA==&#10;">
                <v:fill on="t" focussize="0,0"/>
                <v:stroke color="#000000" miterlimit="8" joinstyle="miter"/>
                <v:imagedata o:title=""/>
                <o:lock v:ext="edit" aspectratio="f"/>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r>
        <w:rPr>
          <w:rFonts w:ascii="黑体" w:eastAsia="黑体"/>
        </w:rPr>
        <mc:AlternateContent>
          <mc:Choice Requires="wps">
            <w:drawing>
              <wp:anchor distT="0" distB="0" distL="114300" distR="114300" simplePos="0" relativeHeight="251663360" behindDoc="0" locked="0" layoutInCell="1" allowOverlap="1">
                <wp:simplePos x="0" y="0"/>
                <wp:positionH relativeFrom="column">
                  <wp:posOffset>2821305</wp:posOffset>
                </wp:positionH>
                <wp:positionV relativeFrom="paragraph">
                  <wp:posOffset>71120</wp:posOffset>
                </wp:positionV>
                <wp:extent cx="2533650" cy="1722755"/>
                <wp:effectExtent l="11430" t="8255" r="7620" b="12065"/>
                <wp:wrapNone/>
                <wp:docPr id="17" name="Rectangle 3"/>
                <wp:cNvGraphicFramePr/>
                <a:graphic xmlns:a="http://schemas.openxmlformats.org/drawingml/2006/main">
                  <a:graphicData uri="http://schemas.microsoft.com/office/word/2010/wordprocessingShape">
                    <wps:wsp>
                      <wps:cNvSpPr>
                        <a:spLocks noChangeArrowheads="1"/>
                      </wps:cNvSpPr>
                      <wps:spPr bwMode="auto">
                        <a:xfrm>
                          <a:off x="0" y="0"/>
                          <a:ext cx="2533650" cy="1722755"/>
                        </a:xfrm>
                        <a:prstGeom prst="rect">
                          <a:avLst/>
                        </a:prstGeom>
                        <a:solidFill>
                          <a:srgbClr val="FFFFFF"/>
                        </a:solidFill>
                        <a:ln w="9525">
                          <a:solidFill>
                            <a:srgbClr val="000000"/>
                          </a:solidFill>
                          <a:miter lim="800000"/>
                        </a:ln>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wps:txbx>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222.15pt;margin-top:5.6pt;height:135.65pt;width:199.5pt;z-index:251663360;mso-width-relative:page;mso-height-relative:page;" fillcolor="#FFFFFF" filled="t" stroked="t" coordsize="21600,21600" o:gfxdata="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07IdTXAAAACgEAAA8AAAAAAAAAAQAgAAAAIgAAAGRycy9kb3ducmV2LnhtbFBL&#10;AQIUABQAAAAIAIdO4kBbmJ8nMAIAAH8EAAAOAAAAAAAAAAEAIAAAACYBAABkcnMvZTJvRG9jLnht&#10;bFBLBQYAAAAABgAGAFkBAADIBQAAAAA=&#10;">
                <v:fill on="t" focussize="0,0"/>
                <v:stroke color="#000000" miterlimit="8"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mc:Fallback>
        </mc:AlternateConten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分局指挥中心大楼5楼机房及档案室配套办公家具采购项目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SZZZ2021-QA0168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436"/>
        <w:gridCol w:w="3060"/>
        <w:gridCol w:w="2925"/>
        <w:gridCol w:w="664"/>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436"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060"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92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664"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436" w:type="dxa"/>
            <w:vAlign w:val="center"/>
          </w:tcPr>
          <w:p>
            <w:pPr>
              <w:spacing w:line="360" w:lineRule="auto"/>
              <w:rPr>
                <w:rFonts w:ascii="仿宋" w:hAnsi="仿宋" w:eastAsia="仿宋"/>
              </w:rPr>
            </w:pPr>
            <w:r>
              <w:rPr>
                <w:rFonts w:hint="eastAsia" w:ascii="仿宋" w:hAnsi="仿宋" w:eastAsia="仿宋"/>
              </w:rPr>
              <w:t>分局指挥中心大楼5楼机房及档案室配套办公家具采购项目</w:t>
            </w:r>
          </w:p>
        </w:tc>
        <w:tc>
          <w:tcPr>
            <w:tcW w:w="3060"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925" w:type="dxa"/>
            <w:vAlign w:val="center"/>
          </w:tcPr>
          <w:p>
            <w:pPr>
              <w:spacing w:line="360" w:lineRule="auto"/>
              <w:rPr>
                <w:rFonts w:ascii="仿宋" w:hAnsi="仿宋" w:eastAsia="仿宋"/>
              </w:rPr>
            </w:pPr>
            <w:r>
              <w:rPr>
                <w:rFonts w:hint="eastAsia" w:ascii="仿宋" w:hAnsi="仿宋" w:eastAsia="仿宋"/>
              </w:rPr>
              <w:t>签订合同后</w:t>
            </w:r>
            <w:r>
              <w:rPr>
                <w:rFonts w:hint="eastAsia" w:ascii="仿宋" w:hAnsi="仿宋" w:eastAsia="仿宋"/>
                <w:u w:val="single"/>
              </w:rPr>
              <w:t xml:space="preserve">  </w:t>
            </w:r>
            <w:r>
              <w:rPr>
                <w:rFonts w:hint="eastAsia" w:ascii="仿宋" w:hAnsi="仿宋" w:eastAsia="仿宋"/>
              </w:rPr>
              <w:t>天（日历日）内</w:t>
            </w:r>
          </w:p>
        </w:tc>
        <w:tc>
          <w:tcPr>
            <w:tcW w:w="664"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分局指挥中心大楼5楼机房及档案室配套办公家具采购项目 </w:t>
      </w:r>
    </w:p>
    <w:p>
      <w:pPr>
        <w:spacing w:line="360" w:lineRule="auto"/>
      </w:pPr>
      <w:r>
        <w:rPr>
          <w:rFonts w:hint="eastAsia" w:ascii="仿宋" w:hAnsi="仿宋" w:eastAsia="仿宋"/>
        </w:rPr>
        <w:t>项目编号：</w:t>
      </w:r>
      <w:r>
        <w:rPr>
          <w:rFonts w:hint="eastAsia" w:ascii="仿宋" w:hAnsi="仿宋" w:eastAsia="仿宋"/>
          <w:u w:val="single"/>
        </w:rPr>
        <w:t xml:space="preserve"> SZZZ2021-QA0168 </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分局指挥中心大楼5楼机房及档案室配套办公家具采购项目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SZZZ2021-QA0168 </w:t>
      </w:r>
    </w:p>
    <w:tbl>
      <w:tblPr>
        <w:tblStyle w:val="17"/>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rPr>
        <w:t>三、技术需求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rPr>
        <w:t>四、商务需求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2"/>
        </w:numPr>
        <w:adjustRightInd w:val="0"/>
        <w:snapToGrid w:val="0"/>
        <w:spacing w:line="360" w:lineRule="auto"/>
      </w:pPr>
      <w:r>
        <w:rPr>
          <w:rFonts w:hint="eastAsia"/>
        </w:rPr>
        <w:t>当事人迟延履行后发生不可抗力的，不能免除责任。</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mc:AlternateContent>
                <mc:Choice Requires="wps">
                  <w:drawing>
                    <wp:anchor distT="0" distB="0" distL="114300" distR="114300" simplePos="0" relativeHeight="251678720" behindDoc="0" locked="0" layoutInCell="1" allowOverlap="1">
                      <wp:simplePos x="0" y="0"/>
                      <wp:positionH relativeFrom="column">
                        <wp:posOffset>716280</wp:posOffset>
                      </wp:positionH>
                      <wp:positionV relativeFrom="paragraph">
                        <wp:posOffset>552450</wp:posOffset>
                      </wp:positionV>
                      <wp:extent cx="54610" cy="119380"/>
                      <wp:effectExtent l="3810" t="0" r="0" b="0"/>
                      <wp:wrapNone/>
                      <wp:docPr id="16" name="__TH_B3733"/>
                      <wp:cNvGraphicFramePr/>
                      <a:graphic xmlns:a="http://schemas.openxmlformats.org/drawingml/2006/main">
                        <a:graphicData uri="http://schemas.microsoft.com/office/word/2010/wordprocessingShape">
                          <wps:wsp>
                            <wps:cNvSpPr txBox="1">
                              <a:spLocks noChangeArrowheads="1"/>
                            </wps:cNvSpPr>
                            <wps:spPr bwMode="auto">
                              <a:xfrm>
                                <a:off x="0" y="0"/>
                                <a:ext cx="54610" cy="119380"/>
                              </a:xfrm>
                              <a:prstGeom prst="rect">
                                <a:avLst/>
                              </a:prstGeom>
                              <a:noFill/>
                              <a:ln>
                                <a:noFill/>
                              </a:ln>
                            </wps:spPr>
                            <wps:txbx>
                              <w:txbxContent>
                                <w:p>
                                  <w:pPr>
                                    <w:snapToGrid w:val="0"/>
                                    <w:rPr>
                                      <w:sz w:val="15"/>
                                    </w:rPr>
                                  </w:pPr>
                                  <w:r>
                                    <w:rPr>
                                      <w:rFonts w:hint="eastAsia"/>
                                      <w:sz w:val="15"/>
                                    </w:rPr>
                                    <w:t>元</w:t>
                                  </w:r>
                                </w:p>
                              </w:txbxContent>
                            </wps:txbx>
                            <wps:bodyPr rot="0" vert="horz" wrap="square" lIns="0" tIns="0" rIns="0" bIns="0" anchor="t" anchorCtr="0" upright="1">
                              <a:noAutofit/>
                            </wps:bodyPr>
                          </wps:wsp>
                        </a:graphicData>
                      </a:graphic>
                    </wp:anchor>
                  </w:drawing>
                </mc:Choice>
                <mc:Fallback>
                  <w:pict>
                    <v:shape id="__TH_B3733" o:spid="_x0000_s1026" o:spt="202" type="#_x0000_t202" style="position:absolute;left:0pt;margin-left:56.4pt;margin-top:43.5pt;height:9.4pt;width:4.3pt;z-index:251678720;mso-width-relative:page;mso-height-relative:page;" filled="f" stroked="f" coordsize="21600,21600" o:gfxdata="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8wITS9gAAAAKAQAADwAAAAAAAAABACAAAAAiAAAAZHJzL2Rv&#10;d25yZXYueG1sUEsBAhQAFAAAAAgAh07iQGdlv7cBAgAAAwQAAA4AAAAAAAAAAQAgAAAAJwEAAGRy&#10;cy9lMm9Eb2MueG1sUEsFBgAAAAAGAAYAWQEAAJoFAAAAAA==&#10;">
                      <v:fill on="f" focussize="0,0"/>
                      <v:stroke on="f"/>
                      <v:imagedata o:title=""/>
                      <o:lock v:ext="edit" aspectratio="f"/>
                      <v:textbox inset="0mm,0mm,0mm,0mm">
                        <w:txbxContent>
                          <w:p>
                            <w:pPr>
                              <w:snapToGrid w:val="0"/>
                              <w:rPr>
                                <w:sz w:val="15"/>
                              </w:rPr>
                            </w:pPr>
                            <w:r>
                              <w:rPr>
                                <w:rFonts w:hint="eastAsia"/>
                                <w:sz w:val="15"/>
                              </w:rPr>
                              <w:t>元</w:t>
                            </w:r>
                          </w:p>
                        </w:txbxContent>
                      </v:textbox>
                    </v:shape>
                  </w:pict>
                </mc:Fallback>
              </mc:AlternateContent>
            </w:r>
            <w:r>
              <w:rPr>
                <w:rFonts w:ascii="仿宋" w:hAnsi="仿宋" w:eastAsia="仿宋"/>
                <w:szCs w:val="21"/>
              </w:rPr>
              <mc:AlternateContent>
                <mc:Choice Requires="wps">
                  <w:drawing>
                    <wp:anchor distT="0" distB="0" distL="114300" distR="114300" simplePos="0" relativeHeight="251677696" behindDoc="0" locked="0" layoutInCell="1" allowOverlap="1">
                      <wp:simplePos x="0" y="0"/>
                      <wp:positionH relativeFrom="column">
                        <wp:posOffset>565785</wp:posOffset>
                      </wp:positionH>
                      <wp:positionV relativeFrom="paragraph">
                        <wp:posOffset>537845</wp:posOffset>
                      </wp:positionV>
                      <wp:extent cx="125095" cy="119380"/>
                      <wp:effectExtent l="0" t="635" r="2540" b="3810"/>
                      <wp:wrapNone/>
                      <wp:docPr id="15" name="__TH_B3632"/>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万</w:t>
                                  </w:r>
                                </w:p>
                              </w:txbxContent>
                            </wps:txbx>
                            <wps:bodyPr rot="0" vert="horz" wrap="square" lIns="0" tIns="0" rIns="0" bIns="0" anchor="t" anchorCtr="0" upright="1">
                              <a:noAutofit/>
                            </wps:bodyPr>
                          </wps:wsp>
                        </a:graphicData>
                      </a:graphic>
                    </wp:anchor>
                  </w:drawing>
                </mc:Choice>
                <mc:Fallback>
                  <w:pict>
                    <v:shape id="__TH_B3632" o:spid="_x0000_s1026" o:spt="202" type="#_x0000_t202" style="position:absolute;left:0pt;margin-left:44.55pt;margin-top:42.35pt;height:9.4pt;width:9.85pt;z-index:251677696;mso-width-relative:page;mso-height-relative:page;" filled="f" stroked="f" coordsize="21600,21600" o:gfxdata="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hoDO51wAAAAkBAAAPAAAAAAAAAAEAIAAAACIAAABkcnMvZG93&#10;bnJldi54bWxQSwECFAAUAAAACACHTuJAwdixiQECAAAEBAAADgAAAAAAAAABACAAAAAmAQAAZHJz&#10;L2Uyb0RvYy54bWxQSwUGAAAAAAYABgBZAQAAmQUAAAAA&#10;">
                      <v:fill on="f" focussize="0,0"/>
                      <v:stroke on="f"/>
                      <v:imagedata o:title=""/>
                      <o:lock v:ext="edit" aspectratio="f"/>
                      <v:textbox inset="0mm,0mm,0mm,0mm">
                        <w:txbxContent>
                          <w:p>
                            <w:pPr>
                              <w:snapToGrid w:val="0"/>
                              <w:rPr>
                                <w:sz w:val="15"/>
                              </w:rPr>
                            </w:pPr>
                            <w:r>
                              <w:rPr>
                                <w:rFonts w:hint="eastAsia"/>
                                <w:sz w:val="15"/>
                              </w:rPr>
                              <w:t>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6672" behindDoc="0" locked="0" layoutInCell="1" allowOverlap="1">
                      <wp:simplePos x="0" y="0"/>
                      <wp:positionH relativeFrom="column">
                        <wp:posOffset>488315</wp:posOffset>
                      </wp:positionH>
                      <wp:positionV relativeFrom="paragraph">
                        <wp:posOffset>523240</wp:posOffset>
                      </wp:positionV>
                      <wp:extent cx="49530" cy="119380"/>
                      <wp:effectExtent l="4445" t="0" r="3175" b="0"/>
                      <wp:wrapNone/>
                      <wp:docPr id="14" name="__TH_B3531"/>
                      <wp:cNvGraphicFramePr/>
                      <a:graphic xmlns:a="http://schemas.openxmlformats.org/drawingml/2006/main">
                        <a:graphicData uri="http://schemas.microsoft.com/office/word/2010/wordprocessingShape">
                          <wps:wsp>
                            <wps:cNvSpPr txBox="1">
                              <a:spLocks noChangeArrowheads="1"/>
                            </wps:cNvSpPr>
                            <wps:spPr bwMode="auto">
                              <a:xfrm>
                                <a:off x="0" y="0"/>
                                <a:ext cx="49530" cy="119380"/>
                              </a:xfrm>
                              <a:prstGeom prst="rect">
                                <a:avLst/>
                              </a:prstGeom>
                              <a:noFill/>
                              <a:ln>
                                <a:noFill/>
                              </a:ln>
                            </wps:spPr>
                            <wps:txbx>
                              <w:txbxContent>
                                <w:p>
                                  <w:pPr>
                                    <w:snapToGrid w:val="0"/>
                                    <w:rPr>
                                      <w:sz w:val="15"/>
                                    </w:rPr>
                                  </w:pPr>
                                  <w:r>
                                    <w:rPr>
                                      <w:sz w:val="15"/>
                                    </w:rPr>
                                    <w:t>(</w:t>
                                  </w:r>
                                </w:p>
                              </w:txbxContent>
                            </wps:txbx>
                            <wps:bodyPr rot="0" vert="horz" wrap="square" lIns="0" tIns="0" rIns="0" bIns="0" anchor="t" anchorCtr="0" upright="1">
                              <a:noAutofit/>
                            </wps:bodyPr>
                          </wps:wsp>
                        </a:graphicData>
                      </a:graphic>
                    </wp:anchor>
                  </w:drawing>
                </mc:Choice>
                <mc:Fallback>
                  <w:pict>
                    <v:shape id="__TH_B3531" o:spid="_x0000_s1026" o:spt="202" type="#_x0000_t202" style="position:absolute;left:0pt;margin-left:38.45pt;margin-top:41.2pt;height:9.4pt;width:3.9pt;z-index:251676672;mso-width-relative:page;mso-height-relative:page;" filled="f" stroked="f" coordsize="21600,21600" o:gfxdata="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mV162AAAAAgBAAAPAAAAAAAAAAEAIAAAACIAAABkcnMvZG93&#10;bnJldi54bWxQSwECFAAUAAAACACHTuJAdoENVQACAAADBAAADgAAAAAAAAABACAAAAAnAQAAZHJz&#10;L2Uyb0RvYy54bWxQSwUGAAAAAAYABgBZAQAAmQUAAAAA&#10;">
                      <v:fill on="f" focussize="0,0"/>
                      <v:stroke on="f"/>
                      <v:imagedata o:title=""/>
                      <o:lock v:ext="edit" aspectratio="f"/>
                      <v:textbox inset="0mm,0mm,0mm,0mm">
                        <w:txbxContent>
                          <w:p>
                            <w:pPr>
                              <w:snapToGrid w:val="0"/>
                              <w:rPr>
                                <w:sz w:val="15"/>
                              </w:rPr>
                            </w:pPr>
                            <w:r>
                              <w:rPr>
                                <w:sz w:val="15"/>
                              </w:rPr>
                              <w:t>(</w:t>
                            </w:r>
                          </w:p>
                        </w:txbxContent>
                      </v:textbox>
                    </v:shape>
                  </w:pict>
                </mc:Fallback>
              </mc:AlternateContent>
            </w:r>
            <w:r>
              <w:rPr>
                <w:rFonts w:ascii="仿宋" w:hAnsi="仿宋" w:eastAsia="仿宋"/>
                <w:szCs w:val="21"/>
              </w:rPr>
              <mc:AlternateContent>
                <mc:Choice Requires="wps">
                  <w:drawing>
                    <wp:anchor distT="0" distB="0" distL="114300" distR="114300" simplePos="0" relativeHeight="251675648" behindDoc="0" locked="0" layoutInCell="1" allowOverlap="1">
                      <wp:simplePos x="0" y="0"/>
                      <wp:positionH relativeFrom="column">
                        <wp:posOffset>334645</wp:posOffset>
                      </wp:positionH>
                      <wp:positionV relativeFrom="paragraph">
                        <wp:posOffset>508635</wp:posOffset>
                      </wp:positionV>
                      <wp:extent cx="125730" cy="119380"/>
                      <wp:effectExtent l="3175" t="0" r="4445" b="4445"/>
                      <wp:wrapNone/>
                      <wp:docPr id="13" name="__TH_B3430"/>
                      <wp:cNvGraphicFramePr/>
                      <a:graphic xmlns:a="http://schemas.openxmlformats.org/drawingml/2006/main">
                        <a:graphicData uri="http://schemas.microsoft.com/office/word/2010/wordprocessingShape">
                          <wps:wsp>
                            <wps:cNvSpPr txBox="1">
                              <a:spLocks noChangeArrowheads="1"/>
                            </wps:cNvSpPr>
                            <wps:spPr bwMode="auto">
                              <a:xfrm>
                                <a:off x="0" y="0"/>
                                <a:ext cx="125730" cy="119380"/>
                              </a:xfrm>
                              <a:prstGeom prst="rect">
                                <a:avLst/>
                              </a:prstGeom>
                              <a:noFill/>
                              <a:ln>
                                <a:noFill/>
                              </a:ln>
                            </wps:spPr>
                            <wps:txbx>
                              <w:txbxContent>
                                <w:p>
                                  <w:pPr>
                                    <w:snapToGrid w:val="0"/>
                                    <w:rPr>
                                      <w:sz w:val="15"/>
                                    </w:rPr>
                                  </w:pPr>
                                  <w:r>
                                    <w:rPr>
                                      <w:rFonts w:hint="eastAsia"/>
                                      <w:sz w:val="15"/>
                                    </w:rPr>
                                    <w:t>额</w:t>
                                  </w:r>
                                </w:p>
                              </w:txbxContent>
                            </wps:txbx>
                            <wps:bodyPr rot="0" vert="horz" wrap="square" lIns="0" tIns="0" rIns="0" bIns="0" anchor="t" anchorCtr="0" upright="1">
                              <a:noAutofit/>
                            </wps:bodyPr>
                          </wps:wsp>
                        </a:graphicData>
                      </a:graphic>
                    </wp:anchor>
                  </w:drawing>
                </mc:Choice>
                <mc:Fallback>
                  <w:pict>
                    <v:shape id="__TH_B3430" o:spid="_x0000_s1026" o:spt="202" type="#_x0000_t202" style="position:absolute;left:0pt;margin-left:26.35pt;margin-top:40.05pt;height:9.4pt;width:9.9pt;z-index:251675648;mso-width-relative:page;mso-height-relative:page;" filled="f" stroked="f" coordsize="21600,21600" o:gfxdata="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akhx1wAAAAcBAAAPAAAAAAAAAAEAIAAAACIAAABkcnMvZG93&#10;bnJldi54bWxQSwECFAAUAAAACACHTuJAm2H/5QECAAAEBAAADgAAAAAAAAABACAAAAAmAQAAZHJz&#10;L2Uyb0RvYy54bWxQSwUGAAAAAAYABgBZAQAAmQUAAAAA&#10;">
                      <v:fill on="f" focussize="0,0"/>
                      <v:stroke on="f"/>
                      <v:imagedata o:title=""/>
                      <o:lock v:ext="edit" aspectratio="f"/>
                      <v:textbox inset="0mm,0mm,0mm,0mm">
                        <w:txbxContent>
                          <w:p>
                            <w:pPr>
                              <w:snapToGrid w:val="0"/>
                              <w:rPr>
                                <w:sz w:val="15"/>
                              </w:rPr>
                            </w:pPr>
                            <w:r>
                              <w:rPr>
                                <w:rFonts w:hint="eastAsia"/>
                                <w:sz w:val="15"/>
                              </w:rPr>
                              <w:t>额</w:t>
                            </w:r>
                          </w:p>
                        </w:txbxContent>
                      </v:textbox>
                    </v:shape>
                  </w:pict>
                </mc:Fallback>
              </mc:AlternateContent>
            </w:r>
            <w:r>
              <w:rPr>
                <w:rFonts w:ascii="仿宋" w:hAnsi="仿宋" w:eastAsia="仿宋"/>
                <w:szCs w:val="21"/>
              </w:rPr>
              <mc:AlternateContent>
                <mc:Choice Requires="wps">
                  <w:drawing>
                    <wp:anchor distT="0" distB="0" distL="114300" distR="114300" simplePos="0" relativeHeight="251674624" behindDoc="0" locked="0" layoutInCell="1" allowOverlap="1">
                      <wp:simplePos x="0" y="0"/>
                      <wp:positionH relativeFrom="column">
                        <wp:posOffset>219710</wp:posOffset>
                      </wp:positionH>
                      <wp:positionV relativeFrom="paragraph">
                        <wp:posOffset>494030</wp:posOffset>
                      </wp:positionV>
                      <wp:extent cx="125095" cy="119380"/>
                      <wp:effectExtent l="2540" t="4445" r="0" b="0"/>
                      <wp:wrapNone/>
                      <wp:docPr id="12" name="__TH_B3329"/>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金</w:t>
                                  </w:r>
                                </w:p>
                              </w:txbxContent>
                            </wps:txbx>
                            <wps:bodyPr rot="0" vert="horz" wrap="square" lIns="0" tIns="0" rIns="0" bIns="0" anchor="t" anchorCtr="0" upright="1">
                              <a:noAutofit/>
                            </wps:bodyPr>
                          </wps:wsp>
                        </a:graphicData>
                      </a:graphic>
                    </wp:anchor>
                  </w:drawing>
                </mc:Choice>
                <mc:Fallback>
                  <w:pict>
                    <v:shape id="__TH_B3329" o:spid="_x0000_s1026" o:spt="202" type="#_x0000_t202" style="position:absolute;left:0pt;margin-left:17.3pt;margin-top:38.9pt;height:9.4pt;width:9.85pt;z-index:251674624;mso-width-relative:page;mso-height-relative:page;" filled="f" stroked="f" coordsize="21600,21600" o:gfxdata="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tnU8h1wAAAAcBAAAPAAAAAAAAAAEAIAAAACIAAABkcnMvZG93&#10;bnJldi54bWxQSwECFAAUAAAACACHTuJA4LNMnwECAAAEBAAADgAAAAAAAAABACAAAAAmAQAAZHJz&#10;L2Uyb0RvYy54bWxQSwUGAAAAAAYABgBZAQAAmQUAAAAA&#10;">
                      <v:fill on="f" focussize="0,0"/>
                      <v:stroke on="f"/>
                      <v:imagedata o:title=""/>
                      <o:lock v:ext="edit" aspectratio="f"/>
                      <v:textbox inset="0mm,0mm,0mm,0mm">
                        <w:txbxContent>
                          <w:p>
                            <w:pPr>
                              <w:snapToGrid w:val="0"/>
                              <w:rPr>
                                <w:sz w:val="15"/>
                              </w:rPr>
                            </w:pPr>
                            <w:r>
                              <w:rPr>
                                <w:rFonts w:hint="eastAsia"/>
                                <w:sz w:val="15"/>
                              </w:rPr>
                              <w:t>金</w:t>
                            </w:r>
                          </w:p>
                        </w:txbxContent>
                      </v:textbox>
                    </v:shape>
                  </w:pict>
                </mc:Fallback>
              </mc:AlternateContent>
            </w:r>
            <w:r>
              <w:rPr>
                <w:rFonts w:ascii="仿宋" w:hAnsi="仿宋" w:eastAsia="仿宋"/>
                <w:szCs w:val="21"/>
              </w:rPr>
              <mc:AlternateContent>
                <mc:Choice Requires="wps">
                  <w:drawing>
                    <wp:anchor distT="0" distB="0" distL="114300" distR="114300" simplePos="0" relativeHeight="251673600" behindDoc="0" locked="0" layoutInCell="1" allowOverlap="1">
                      <wp:simplePos x="0" y="0"/>
                      <wp:positionH relativeFrom="column">
                        <wp:posOffset>104140</wp:posOffset>
                      </wp:positionH>
                      <wp:positionV relativeFrom="paragraph">
                        <wp:posOffset>479425</wp:posOffset>
                      </wp:positionV>
                      <wp:extent cx="125730" cy="119380"/>
                      <wp:effectExtent l="1270" t="0" r="0" b="0"/>
                      <wp:wrapNone/>
                      <wp:docPr id="11" name="__TH_B3228"/>
                      <wp:cNvGraphicFramePr/>
                      <a:graphic xmlns:a="http://schemas.openxmlformats.org/drawingml/2006/main">
                        <a:graphicData uri="http://schemas.microsoft.com/office/word/2010/wordprocessingShape">
                          <wps:wsp>
                            <wps:cNvSpPr txBox="1">
                              <a:spLocks noChangeArrowheads="1"/>
                            </wps:cNvSpPr>
                            <wps:spPr bwMode="auto">
                              <a:xfrm>
                                <a:off x="0" y="0"/>
                                <a:ext cx="125730" cy="119380"/>
                              </a:xfrm>
                              <a:prstGeom prst="rect">
                                <a:avLst/>
                              </a:prstGeom>
                              <a:noFill/>
                              <a:ln>
                                <a:noFill/>
                              </a:ln>
                            </wps:spPr>
                            <wps:txbx>
                              <w:txbxContent>
                                <w:p>
                                  <w:pPr>
                                    <w:snapToGrid w:val="0"/>
                                    <w:rPr>
                                      <w:sz w:val="15"/>
                                    </w:rPr>
                                  </w:pPr>
                                  <w:r>
                                    <w:rPr>
                                      <w:rFonts w:hint="eastAsia"/>
                                      <w:sz w:val="15"/>
                                    </w:rPr>
                                    <w:t>标</w:t>
                                  </w:r>
                                </w:p>
                              </w:txbxContent>
                            </wps:txbx>
                            <wps:bodyPr rot="0" vert="horz" wrap="square" lIns="0" tIns="0" rIns="0" bIns="0" anchor="t" anchorCtr="0" upright="1">
                              <a:noAutofit/>
                            </wps:bodyPr>
                          </wps:wsp>
                        </a:graphicData>
                      </a:graphic>
                    </wp:anchor>
                  </w:drawing>
                </mc:Choice>
                <mc:Fallback>
                  <w:pict>
                    <v:shape id="__TH_B3228" o:spid="_x0000_s1026" o:spt="202" type="#_x0000_t202" style="position:absolute;left:0pt;margin-left:8.2pt;margin-top:37.75pt;height:9.4pt;width:9.9pt;z-index:251673600;mso-width-relative:page;mso-height-relative:page;" filled="f" stroked="f" coordsize="21600,21600" o:gfxdata="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bWdhPWAAAABwEAAA8AAAAAAAAAAQAgAAAAIgAAAGRycy9kb3du&#10;cmV2LnhtbFBLAQIUABQAAAAIAIdO4kCkTgM0AQIAAAQEAAAOAAAAAAAAAAEAIAAAACUBAABkcnMv&#10;ZTJvRG9jLnhtbFBLBQYAAAAABgAGAFkBAACYBQAAAAA=&#10;">
                      <v:fill on="f" focussize="0,0"/>
                      <v:stroke on="f"/>
                      <v:imagedata o:title=""/>
                      <o:lock v:ext="edit" aspectratio="f"/>
                      <v:textbox inset="0mm,0mm,0mm,0mm">
                        <w:txbxContent>
                          <w:p>
                            <w:pPr>
                              <w:snapToGrid w:val="0"/>
                              <w:rPr>
                                <w:sz w:val="15"/>
                              </w:rPr>
                            </w:pPr>
                            <w:r>
                              <w:rPr>
                                <w:rFonts w:hint="eastAsia"/>
                                <w:sz w:val="15"/>
                              </w:rPr>
                              <w:t>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464820</wp:posOffset>
                      </wp:positionV>
                      <wp:extent cx="125095" cy="119380"/>
                      <wp:effectExtent l="635" t="3810" r="0" b="635"/>
                      <wp:wrapNone/>
                      <wp:docPr id="10" name="__TH_B3127"/>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中</w:t>
                                  </w:r>
                                </w:p>
                              </w:txbxContent>
                            </wps:txbx>
                            <wps:bodyPr rot="0" vert="horz" wrap="square" lIns="0" tIns="0" rIns="0" bIns="0" anchor="t" anchorCtr="0" upright="1">
                              <a:noAutofit/>
                            </wps:bodyPr>
                          </wps:wsp>
                        </a:graphicData>
                      </a:graphic>
                    </wp:anchor>
                  </w:drawing>
                </mc:Choice>
                <mc:Fallback>
                  <w:pict>
                    <v:shape id="__TH_B3127" o:spid="_x0000_s1026" o:spt="202" type="#_x0000_t202" style="position:absolute;left:0pt;margin-left:-0.85pt;margin-top:36.6pt;height:9.4pt;width:9.85pt;z-index:251672576;mso-width-relative:page;mso-height-relative:page;" filled="f" stroked="f" coordsize="21600,21600" o:gfxdata="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jegzTWAAAABwEAAA8AAAAAAAAAAQAgAAAAIgAAAGRycy9kb3du&#10;cmV2LnhtbFBLAQIUABQAAAAIAIdO4kCvtc7mAQIAAAQEAAAOAAAAAAAAAAEAIAAAACUBAABkcnMv&#10;ZTJvRG9jLnhtbFBLBQYAAAAABgAGAFkBAACYBQAAAAA=&#10;">
                      <v:fill on="f" focussize="0,0"/>
                      <v:stroke on="f"/>
                      <v:imagedata o:title=""/>
                      <o:lock v:ext="edit" aspectratio="f"/>
                      <v:textbox inset="0mm,0mm,0mm,0mm">
                        <w:txbxContent>
                          <w:p>
                            <w:pPr>
                              <w:snapToGrid w:val="0"/>
                              <w:rPr>
                                <w:sz w:val="15"/>
                              </w:rPr>
                            </w:pPr>
                            <w:r>
                              <w:rPr>
                                <w:rFonts w:hint="eastAsia"/>
                                <w:sz w:val="15"/>
                              </w:rPr>
                              <w:t>中</w:t>
                            </w:r>
                          </w:p>
                        </w:txbxContent>
                      </v:textbox>
                    </v:shape>
                  </w:pict>
                </mc:Fallback>
              </mc:AlternateContent>
            </w:r>
            <w:r>
              <w:rPr>
                <w:rFonts w:ascii="仿宋" w:hAnsi="仿宋" w:eastAsia="仿宋"/>
                <w:szCs w:val="21"/>
              </w:rPr>
              <mc:AlternateContent>
                <mc:Choice Requires="wps">
                  <w:drawing>
                    <wp:anchor distT="0" distB="0" distL="114300" distR="114300" simplePos="0" relativeHeight="251671552" behindDoc="0" locked="0" layoutInCell="1" allowOverlap="1">
                      <wp:simplePos x="0" y="0"/>
                      <wp:positionH relativeFrom="column">
                        <wp:posOffset>805180</wp:posOffset>
                      </wp:positionH>
                      <wp:positionV relativeFrom="paragraph">
                        <wp:posOffset>407035</wp:posOffset>
                      </wp:positionV>
                      <wp:extent cx="125095" cy="118745"/>
                      <wp:effectExtent l="0" t="3175" r="1270" b="1905"/>
                      <wp:wrapNone/>
                      <wp:docPr id="9" name="__TH_B2226"/>
                      <wp:cNvGraphicFramePr/>
                      <a:graphic xmlns:a="http://schemas.openxmlformats.org/drawingml/2006/main">
                        <a:graphicData uri="http://schemas.microsoft.com/office/word/2010/wordprocessingShape">
                          <wps:wsp>
                            <wps:cNvSpPr txBox="1">
                              <a:spLocks noChangeArrowheads="1"/>
                            </wps:cNvSpPr>
                            <wps:spPr bwMode="auto">
                              <a:xfrm>
                                <a:off x="0" y="0"/>
                                <a:ext cx="125095" cy="118745"/>
                              </a:xfrm>
                              <a:prstGeom prst="rect">
                                <a:avLst/>
                              </a:prstGeom>
                              <a:noFill/>
                              <a:ln>
                                <a:noFill/>
                              </a:ln>
                            </wps:spPr>
                            <wps:txbx>
                              <w:txbxContent>
                                <w:p>
                                  <w:pPr>
                                    <w:snapToGrid w:val="0"/>
                                    <w:rPr>
                                      <w:sz w:val="15"/>
                                    </w:rPr>
                                  </w:pPr>
                                  <w:r>
                                    <w:rPr>
                                      <w:rFonts w:hint="eastAsia"/>
                                      <w:sz w:val="15"/>
                                    </w:rPr>
                                    <w:t>率</w:t>
                                  </w:r>
                                </w:p>
                              </w:txbxContent>
                            </wps:txbx>
                            <wps:bodyPr rot="0" vert="horz" wrap="square" lIns="0" tIns="0" rIns="0" bIns="0" anchor="t" anchorCtr="0" upright="1">
                              <a:noAutofit/>
                            </wps:bodyPr>
                          </wps:wsp>
                        </a:graphicData>
                      </a:graphic>
                    </wp:anchor>
                  </w:drawing>
                </mc:Choice>
                <mc:Fallback>
                  <w:pict>
                    <v:shape id="__TH_B2226" o:spid="_x0000_s1026" o:spt="202" type="#_x0000_t202" style="position:absolute;left:0pt;margin-left:63.4pt;margin-top:32.05pt;height:9.35pt;width:9.85pt;z-index:251671552;mso-width-relative:page;mso-height-relative:page;" filled="f" stroked="f" coordsize="21600,21600" o:gfxdata="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FrSrU1wAAAAkBAAAPAAAAAAAAAAEAIAAAACIAAABkcnMvZG93&#10;bnJldi54bWxQSwECFAAUAAAACACHTuJAIPssJwECAAADBAAADgAAAAAAAAABACAAAAAmAQAAZHJz&#10;L2Uyb0RvYy54bWxQSwUGAAAAAAYABgBZAQAAmQUAAAAA&#10;">
                      <v:fill on="f" focussize="0,0"/>
                      <v:stroke on="f"/>
                      <v:imagedata o:title=""/>
                      <o:lock v:ext="edit" aspectratio="f"/>
                      <v:textbox inset="0mm,0mm,0mm,0mm">
                        <w:txbxContent>
                          <w:p>
                            <w:pPr>
                              <w:snapToGrid w:val="0"/>
                              <w:rPr>
                                <w:sz w:val="15"/>
                              </w:rPr>
                            </w:pPr>
                            <w:r>
                              <w:rPr>
                                <w:rFonts w:hint="eastAsia"/>
                                <w:sz w:val="15"/>
                              </w:rPr>
                              <w:t>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0528" behindDoc="0" locked="0" layoutInCell="1" allowOverlap="1">
                      <wp:simplePos x="0" y="0"/>
                      <wp:positionH relativeFrom="column">
                        <wp:posOffset>253365</wp:posOffset>
                      </wp:positionH>
                      <wp:positionV relativeFrom="paragraph">
                        <wp:posOffset>127635</wp:posOffset>
                      </wp:positionV>
                      <wp:extent cx="125730" cy="119380"/>
                      <wp:effectExtent l="0" t="0" r="0" b="4445"/>
                      <wp:wrapNone/>
                      <wp:docPr id="8" name="__TH_B2125"/>
                      <wp:cNvGraphicFramePr/>
                      <a:graphic xmlns:a="http://schemas.openxmlformats.org/drawingml/2006/main">
                        <a:graphicData uri="http://schemas.microsoft.com/office/word/2010/wordprocessingShape">
                          <wps:wsp>
                            <wps:cNvSpPr txBox="1">
                              <a:spLocks noChangeArrowheads="1"/>
                            </wps:cNvSpPr>
                            <wps:spPr bwMode="auto">
                              <a:xfrm>
                                <a:off x="0" y="0"/>
                                <a:ext cx="125730" cy="119380"/>
                              </a:xfrm>
                              <a:prstGeom prst="rect">
                                <a:avLst/>
                              </a:prstGeom>
                              <a:noFill/>
                              <a:ln>
                                <a:noFill/>
                              </a:ln>
                            </wps:spPr>
                            <wps:txbx>
                              <w:txbxContent>
                                <w:p>
                                  <w:pPr>
                                    <w:snapToGrid w:val="0"/>
                                    <w:rPr>
                                      <w:sz w:val="15"/>
                                    </w:rPr>
                                  </w:pPr>
                                  <w:r>
                                    <w:rPr>
                                      <w:rFonts w:hint="eastAsia"/>
                                      <w:sz w:val="15"/>
                                    </w:rPr>
                                    <w:t>费</w:t>
                                  </w:r>
                                </w:p>
                              </w:txbxContent>
                            </wps:txbx>
                            <wps:bodyPr rot="0" vert="horz" wrap="square" lIns="0" tIns="0" rIns="0" bIns="0" anchor="t" anchorCtr="0" upright="1">
                              <a:noAutofit/>
                            </wps:bodyPr>
                          </wps:wsp>
                        </a:graphicData>
                      </a:graphic>
                    </wp:anchor>
                  </w:drawing>
                </mc:Choice>
                <mc:Fallback>
                  <w:pict>
                    <v:shape id="__TH_B2125" o:spid="_x0000_s1026" o:spt="202" type="#_x0000_t202" style="position:absolute;left:0pt;margin-left:19.95pt;margin-top:10.05pt;height:9.4pt;width:9.9pt;z-index:251670528;mso-width-relative:page;mso-height-relative:page;" filled="f" stroked="f" coordsize="21600,21600" o:gfxdata="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PceQ11QAAAAcBAAAPAAAAAAAAAAEAIAAAACIAAABkcnMvZG93bnJl&#10;di54bWxQSwECFAAUAAAACACHTuJA/80BhQACAAADBAAADgAAAAAAAAABACAAAAAkAQAAZHJzL2Uy&#10;b0RvYy54bWxQSwUGAAAAAAYABgBZAQAAlgUAAAAA&#10;">
                      <v:fill on="f" focussize="0,0"/>
                      <v:stroke on="f"/>
                      <v:imagedata o:title=""/>
                      <o:lock v:ext="edit" aspectratio="f"/>
                      <v:textbox inset="0mm,0mm,0mm,0mm">
                        <w:txbxContent>
                          <w:p>
                            <w:pPr>
                              <w:snapToGrid w:val="0"/>
                              <w:rPr>
                                <w:sz w:val="15"/>
                              </w:rPr>
                            </w:pPr>
                            <w:r>
                              <w:rPr>
                                <w:rFonts w:hint="eastAsia"/>
                                <w:sz w:val="15"/>
                              </w:rPr>
                              <w:t>费</w:t>
                            </w:r>
                          </w:p>
                        </w:txbxContent>
                      </v:textbox>
                    </v:shape>
                  </w:pict>
                </mc:Fallback>
              </mc:AlternateContent>
            </w:r>
            <w:r>
              <w:rPr>
                <w:rFonts w:ascii="仿宋" w:hAnsi="仿宋" w:eastAsia="仿宋"/>
                <w:szCs w:val="21"/>
              </w:rPr>
              <mc:AlternateContent>
                <mc:Choice Requires="wps">
                  <w:drawing>
                    <wp:anchor distT="0" distB="0" distL="114300" distR="114300" simplePos="0" relativeHeight="251669504" behindDoc="0" locked="0" layoutInCell="1" allowOverlap="1">
                      <wp:simplePos x="0" y="0"/>
                      <wp:positionH relativeFrom="column">
                        <wp:posOffset>1125855</wp:posOffset>
                      </wp:positionH>
                      <wp:positionV relativeFrom="paragraph">
                        <wp:posOffset>410845</wp:posOffset>
                      </wp:positionV>
                      <wp:extent cx="125095" cy="118745"/>
                      <wp:effectExtent l="3810" t="0" r="4445" b="0"/>
                      <wp:wrapNone/>
                      <wp:docPr id="7" name="__TH_B1424"/>
                      <wp:cNvGraphicFramePr/>
                      <a:graphic xmlns:a="http://schemas.openxmlformats.org/drawingml/2006/main">
                        <a:graphicData uri="http://schemas.microsoft.com/office/word/2010/wordprocessingShape">
                          <wps:wsp>
                            <wps:cNvSpPr txBox="1">
                              <a:spLocks noChangeArrowheads="1"/>
                            </wps:cNvSpPr>
                            <wps:spPr bwMode="auto">
                              <a:xfrm>
                                <a:off x="0" y="0"/>
                                <a:ext cx="125095" cy="118745"/>
                              </a:xfrm>
                              <a:prstGeom prst="rect">
                                <a:avLst/>
                              </a:prstGeom>
                              <a:noFill/>
                              <a:ln>
                                <a:noFill/>
                              </a:ln>
                            </wps:spPr>
                            <wps:txbx>
                              <w:txbxContent>
                                <w:p>
                                  <w:pPr>
                                    <w:snapToGrid w:val="0"/>
                                    <w:rPr>
                                      <w:sz w:val="15"/>
                                    </w:rPr>
                                  </w:pPr>
                                  <w:r>
                                    <w:rPr>
                                      <w:rFonts w:hint="eastAsia"/>
                                      <w:sz w:val="15"/>
                                    </w:rPr>
                                    <w:t>型</w:t>
                                  </w:r>
                                </w:p>
                              </w:txbxContent>
                            </wps:txbx>
                            <wps:bodyPr rot="0" vert="horz" wrap="square" lIns="0" tIns="0" rIns="0" bIns="0" anchor="t" anchorCtr="0" upright="1">
                              <a:noAutofit/>
                            </wps:bodyPr>
                          </wps:wsp>
                        </a:graphicData>
                      </a:graphic>
                    </wp:anchor>
                  </w:drawing>
                </mc:Choice>
                <mc:Fallback>
                  <w:pict>
                    <v:shape id="__TH_B1424" o:spid="_x0000_s1026" o:spt="202" type="#_x0000_t202" style="position:absolute;left:0pt;margin-left:88.65pt;margin-top:32.35pt;height:9.35pt;width:9.85pt;z-index:251669504;mso-width-relative:page;mso-height-relative:page;" filled="f" stroked="f" coordsize="21600,21600" o:gfxdata="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c9TJANgAAAAJAQAADwAAAAAAAAABACAAAAAiAAAAZHJzL2Rv&#10;d25yZXYueG1sUEsBAhQAFAAAAAgAh07iQFHmmDQBAgAAAwQAAA4AAAAAAAAAAQAgAAAAJwEAAGRy&#10;cy9lMm9Eb2MueG1sUEsFBgAAAAAGAAYAWQEAAJoFAAAAAA==&#10;">
                      <v:fill on="f" focussize="0,0"/>
                      <v:stroke on="f"/>
                      <v:imagedata o:title=""/>
                      <o:lock v:ext="edit" aspectratio="f"/>
                      <v:textbox inset="0mm,0mm,0mm,0mm">
                        <w:txbxContent>
                          <w:p>
                            <w:pPr>
                              <w:snapToGrid w:val="0"/>
                              <w:rPr>
                                <w:sz w:val="15"/>
                              </w:rPr>
                            </w:pPr>
                            <w:r>
                              <w:rPr>
                                <w:rFonts w:hint="eastAsia"/>
                                <w:sz w:val="15"/>
                              </w:rPr>
                              <w:t>型</w:t>
                            </w:r>
                          </w:p>
                        </w:txbxContent>
                      </v:textbox>
                    </v:shape>
                  </w:pict>
                </mc:Fallback>
              </mc:AlternateContent>
            </w:r>
            <w:r>
              <w:rPr>
                <w:rFonts w:ascii="仿宋" w:hAnsi="仿宋" w:eastAsia="仿宋"/>
                <w:szCs w:val="21"/>
              </w:rPr>
              <mc:AlternateContent>
                <mc:Choice Requires="wps">
                  <w:drawing>
                    <wp:anchor distT="0" distB="0" distL="114300" distR="114300" simplePos="0" relativeHeight="251668480" behindDoc="0" locked="0" layoutInCell="1" allowOverlap="1">
                      <wp:simplePos x="0" y="0"/>
                      <wp:positionH relativeFrom="column">
                        <wp:posOffset>1066165</wp:posOffset>
                      </wp:positionH>
                      <wp:positionV relativeFrom="paragraph">
                        <wp:posOffset>289560</wp:posOffset>
                      </wp:positionV>
                      <wp:extent cx="125095" cy="119380"/>
                      <wp:effectExtent l="1270" t="0" r="0" b="4445"/>
                      <wp:wrapNone/>
                      <wp:docPr id="6" name="__TH_B1323"/>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类</w:t>
                                  </w:r>
                                </w:p>
                              </w:txbxContent>
                            </wps:txbx>
                            <wps:bodyPr rot="0" vert="horz" wrap="square" lIns="0" tIns="0" rIns="0" bIns="0" anchor="t" anchorCtr="0" upright="1">
                              <a:noAutofit/>
                            </wps:bodyPr>
                          </wps:wsp>
                        </a:graphicData>
                      </a:graphic>
                    </wp:anchor>
                  </w:drawing>
                </mc:Choice>
                <mc:Fallback>
                  <w:pict>
                    <v:shape id="__TH_B1323" o:spid="_x0000_s1026" o:spt="202" type="#_x0000_t202" style="position:absolute;left:0pt;margin-left:83.95pt;margin-top:22.8pt;height:9.4pt;width:9.85pt;z-index:251668480;mso-width-relative:page;mso-height-relative:page;" filled="f" stroked="f" coordsize="21600,21600" o:gfxdata="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upVmdgAAAAJAQAADwAAAAAAAAABACAAAAAiAAAAZHJzL2Rv&#10;d25yZXYueG1sUEsBAhQAFAAAAAgAh07iQH5zWD4BAgAAAwQAAA4AAAAAAAAAAQAgAAAAJwEAAGRy&#10;cy9lMm9Eb2MueG1sUEsFBgAAAAAGAAYAWQEAAJoFAAAAAA==&#10;">
                      <v:fill on="f" focussize="0,0"/>
                      <v:stroke on="f"/>
                      <v:imagedata o:title=""/>
                      <o:lock v:ext="edit" aspectratio="f"/>
                      <v:textbox inset="0mm,0mm,0mm,0mm">
                        <w:txbxContent>
                          <w:p>
                            <w:pPr>
                              <w:snapToGrid w:val="0"/>
                              <w:rPr>
                                <w:sz w:val="15"/>
                              </w:rPr>
                            </w:pPr>
                            <w:r>
                              <w:rPr>
                                <w:rFonts w:hint="eastAsia"/>
                                <w:sz w:val="15"/>
                              </w:rPr>
                              <w:t>类</w:t>
                            </w:r>
                          </w:p>
                        </w:txbxContent>
                      </v:textbox>
                    </v:shape>
                  </w:pict>
                </mc:Fallback>
              </mc:AlternateContent>
            </w:r>
            <w:r>
              <w:rPr>
                <w:rFonts w:ascii="仿宋" w:hAnsi="仿宋" w:eastAsia="仿宋"/>
                <w:szCs w:val="21"/>
              </w:rPr>
              <mc:AlternateContent>
                <mc:Choice Requires="wps">
                  <w:drawing>
                    <wp:anchor distT="0" distB="0" distL="114300" distR="114300" simplePos="0" relativeHeight="251667456" behindDoc="0" locked="0" layoutInCell="1" allowOverlap="1">
                      <wp:simplePos x="0" y="0"/>
                      <wp:positionH relativeFrom="column">
                        <wp:posOffset>1006475</wp:posOffset>
                      </wp:positionH>
                      <wp:positionV relativeFrom="paragraph">
                        <wp:posOffset>168910</wp:posOffset>
                      </wp:positionV>
                      <wp:extent cx="125095" cy="119380"/>
                      <wp:effectExtent l="0" t="3175" r="0" b="1270"/>
                      <wp:wrapNone/>
                      <wp:docPr id="5" name="__TH_B1222"/>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务</w:t>
                                  </w:r>
                                </w:p>
                              </w:txbxContent>
                            </wps:txbx>
                            <wps:bodyPr rot="0" vert="horz" wrap="square" lIns="0" tIns="0" rIns="0" bIns="0" anchor="t" anchorCtr="0" upright="1">
                              <a:noAutofit/>
                            </wps:bodyPr>
                          </wps:wsp>
                        </a:graphicData>
                      </a:graphic>
                    </wp:anchor>
                  </w:drawing>
                </mc:Choice>
                <mc:Fallback>
                  <w:pict>
                    <v:shape id="__TH_B1222" o:spid="_x0000_s1026" o:spt="202" type="#_x0000_t202" style="position:absolute;left:0pt;margin-left:79.25pt;margin-top:13.3pt;height:9.4pt;width:9.85pt;z-index:251667456;mso-width-relative:page;mso-height-relative:page;" filled="f" stroked="f" coordsize="21600,21600" o:gfxdata="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XzaP2AAAAAkBAAAPAAAAAAAAAAEAIAAAACIAAABkcnMvZG93&#10;bnJldi54bWxQSwECFAAUAAAACACHTuJAdE+nfAACAAADBAAADgAAAAAAAAABACAAAAAnAQAAZHJz&#10;L2Uyb0RvYy54bWxQSwUGAAAAAAYABgBZAQAAmQUAAAAA&#10;">
                      <v:fill on="f" focussize="0,0"/>
                      <v:stroke on="f"/>
                      <v:imagedata o:title=""/>
                      <o:lock v:ext="edit" aspectratio="f"/>
                      <v:textbox inset="0mm,0mm,0mm,0mm">
                        <w:txbxContent>
                          <w:p>
                            <w:pPr>
                              <w:snapToGrid w:val="0"/>
                              <w:rPr>
                                <w:sz w:val="15"/>
                              </w:rPr>
                            </w:pPr>
                            <w:r>
                              <w:rPr>
                                <w:rFonts w:hint="eastAsia"/>
                                <w:sz w:val="15"/>
                              </w:rPr>
                              <w:t>务</w:t>
                            </w:r>
                          </w:p>
                        </w:txbxContent>
                      </v:textbox>
                    </v:shape>
                  </w:pict>
                </mc:Fallback>
              </mc:AlternateContent>
            </w:r>
            <w:r>
              <w:rPr>
                <w:rFonts w:ascii="仿宋" w:hAnsi="仿宋" w:eastAsia="仿宋"/>
                <w:szCs w:val="21"/>
              </w:rPr>
              <mc:AlternateContent>
                <mc:Choice Requires="wps">
                  <w:drawing>
                    <wp:anchor distT="0" distB="0" distL="114300" distR="114300" simplePos="0" relativeHeight="251666432" behindDoc="0" locked="0" layoutInCell="1" allowOverlap="1">
                      <wp:simplePos x="0" y="0"/>
                      <wp:positionH relativeFrom="column">
                        <wp:posOffset>946785</wp:posOffset>
                      </wp:positionH>
                      <wp:positionV relativeFrom="paragraph">
                        <wp:posOffset>48260</wp:posOffset>
                      </wp:positionV>
                      <wp:extent cx="125095" cy="119380"/>
                      <wp:effectExtent l="0" t="0" r="2540" b="0"/>
                      <wp:wrapNone/>
                      <wp:docPr id="4" name="__TH_B1121"/>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服</w:t>
                                  </w:r>
                                </w:p>
                              </w:txbxContent>
                            </wps:txbx>
                            <wps:bodyPr rot="0" vert="horz" wrap="square" lIns="0" tIns="0" rIns="0" bIns="0" anchor="t" anchorCtr="0" upright="1">
                              <a:noAutofit/>
                            </wps:bodyPr>
                          </wps:wsp>
                        </a:graphicData>
                      </a:graphic>
                    </wp:anchor>
                  </w:drawing>
                </mc:Choice>
                <mc:Fallback>
                  <w:pict>
                    <v:shape id="__TH_B1121" o:spid="_x0000_s1026" o:spt="202" type="#_x0000_t202" style="position:absolute;left:0pt;margin-left:74.55pt;margin-top:3.8pt;height:9.4pt;width:9.85pt;z-index:251666432;mso-width-relative:page;mso-height-relative:page;" filled="f" stroked="f" coordsize="21600,21600" o:gfxdata="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HZKj/XAAAACAEAAA8AAAAAAAAAAQAgAAAAIgAAAGRycy9kb3du&#10;cmV2LnhtbFBLAQIUABQAAAAIAIdO4kAYhcZ9AAIAAAMEAAAOAAAAAAAAAAEAIAAAACYBAABkcnMv&#10;ZTJvRG9jLnhtbFBLBQYAAAAABgAGAFkBAACYBQAAAAA=&#10;">
                      <v:fill on="f" focussize="0,0"/>
                      <v:stroke on="f"/>
                      <v:imagedata o:title=""/>
                      <o:lock v:ext="edit" aspectratio="f"/>
                      <v:textbox inset="0mm,0mm,0mm,0mm">
                        <w:txbxContent>
                          <w:p>
                            <w:pPr>
                              <w:snapToGrid w:val="0"/>
                              <w:rPr>
                                <w:sz w:val="15"/>
                              </w:rPr>
                            </w:pPr>
                            <w:r>
                              <w:rPr>
                                <w:rFonts w:hint="eastAsia"/>
                                <w:sz w:val="15"/>
                              </w:rPr>
                              <w:t>服</w:t>
                            </w:r>
                          </w:p>
                        </w:txbxContent>
                      </v:textbox>
                    </v:shape>
                  </w:pict>
                </mc:Fallback>
              </mc:AlternateContent>
            </w:r>
            <w:r>
              <w:rPr>
                <w:rFonts w:ascii="仿宋" w:hAnsi="仿宋" w:eastAsia="仿宋"/>
                <w:szCs w:val="21"/>
              </w:rPr>
              <mc:AlternateContent>
                <mc:Choice Requires="wps">
                  <w:drawing>
                    <wp:anchor distT="0" distB="0" distL="114300" distR="114300" simplePos="0" relativeHeight="251665408" behindDoc="0" locked="0" layoutInCell="1" allowOverlap="1">
                      <wp:simplePos x="0" y="0"/>
                      <wp:positionH relativeFrom="column">
                        <wp:posOffset>-65405</wp:posOffset>
                      </wp:positionH>
                      <wp:positionV relativeFrom="paragraph">
                        <wp:posOffset>340995</wp:posOffset>
                      </wp:positionV>
                      <wp:extent cx="1346200" cy="340360"/>
                      <wp:effectExtent l="12700" t="13335" r="12700" b="8255"/>
                      <wp:wrapNone/>
                      <wp:docPr id="3" name="__TH_L20"/>
                      <wp:cNvGraphicFramePr/>
                      <a:graphic xmlns:a="http://schemas.openxmlformats.org/drawingml/2006/main">
                        <a:graphicData uri="http://schemas.microsoft.com/office/word/2010/wordprocessingShape">
                          <wps:wsp>
                            <wps:cNvCnPr>
                              <a:cxnSpLocks noChangeShapeType="1"/>
                            </wps:cNvCnPr>
                            <wps:spPr bwMode="auto">
                              <a:xfrm>
                                <a:off x="0" y="0"/>
                                <a:ext cx="1346200" cy="340360"/>
                              </a:xfrm>
                              <a:prstGeom prst="line">
                                <a:avLst/>
                              </a:prstGeom>
                              <a:noFill/>
                              <a:ln w="6350">
                                <a:solidFill>
                                  <a:srgbClr val="000000"/>
                                </a:solidFill>
                                <a:round/>
                              </a:ln>
                            </wps:spPr>
                            <wps:bodyPr/>
                          </wps:wsp>
                        </a:graphicData>
                      </a:graphic>
                    </wp:anchor>
                  </w:drawing>
                </mc:Choice>
                <mc:Fallback>
                  <w:pict>
                    <v:line id="__TH_L20" o:spid="_x0000_s1026" o:spt="20" style="position:absolute;left:0pt;margin-left:-5.15pt;margin-top:26.85pt;height:26.8pt;width:106pt;z-index:251665408;mso-width-relative:page;mso-height-relative:page;" filled="f" stroked="t" coordsize="21600,21600" o:gfxdata="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m6gAC1gAAAAoBAAAPAAAAAAAAAAEAIAAA&#10;ACIAAABkcnMvZG93bnJldi54bWxQSwECFAAUAAAACACHTuJAdtMTgNUBAACmAwAADgAAAAAAAAAB&#10;ACAAAAAlAQAAZHJzL2Uyb0RvYy54bWxQSwUGAAAAAAYABgBZAQAAbAUAAAAA&#10;">
                      <v:fill on="f" focussize="0,0"/>
                      <v:stroke weight="0.5pt" color="#000000" joinstyle="round"/>
                      <v:imagedata o:title=""/>
                      <o:lock v:ext="edit" aspectratio="f"/>
                    </v:line>
                  </w:pict>
                </mc:Fallback>
              </mc:AlternateContent>
            </w:r>
            <w:r>
              <w:rPr>
                <w:rFonts w:ascii="仿宋" w:hAnsi="仿宋" w:eastAsia="仿宋"/>
                <w:szCs w:val="21"/>
              </w:rPr>
              <mc:AlternateContent>
                <mc:Choice Requires="wps">
                  <w:drawing>
                    <wp:anchor distT="0" distB="0" distL="114300" distR="114300" simplePos="0" relativeHeight="251664384" behindDoc="0" locked="0" layoutInCell="1" allowOverlap="1">
                      <wp:simplePos x="0" y="0"/>
                      <wp:positionH relativeFrom="column">
                        <wp:posOffset>607695</wp:posOffset>
                      </wp:positionH>
                      <wp:positionV relativeFrom="paragraph">
                        <wp:posOffset>0</wp:posOffset>
                      </wp:positionV>
                      <wp:extent cx="673100" cy="681355"/>
                      <wp:effectExtent l="9525" t="5715" r="12700" b="8255"/>
                      <wp:wrapNone/>
                      <wp:docPr id="1" name="__TH_L19"/>
                      <wp:cNvGraphicFramePr/>
                      <a:graphic xmlns:a="http://schemas.openxmlformats.org/drawingml/2006/main">
                        <a:graphicData uri="http://schemas.microsoft.com/office/word/2010/wordprocessingShape">
                          <wps:wsp>
                            <wps:cNvCnPr>
                              <a:cxnSpLocks noChangeShapeType="1"/>
                            </wps:cNvCnPr>
                            <wps:spPr bwMode="auto">
                              <a:xfrm>
                                <a:off x="0" y="0"/>
                                <a:ext cx="673100" cy="681355"/>
                              </a:xfrm>
                              <a:prstGeom prst="line">
                                <a:avLst/>
                              </a:prstGeom>
                              <a:noFill/>
                              <a:ln w="6350">
                                <a:solidFill>
                                  <a:srgbClr val="000000"/>
                                </a:solidFill>
                                <a:round/>
                              </a:ln>
                            </wps:spPr>
                            <wps:bodyPr/>
                          </wps:wsp>
                        </a:graphicData>
                      </a:graphic>
                    </wp:anchor>
                  </w:drawing>
                </mc:Choice>
                <mc:Fallback>
                  <w:pict>
                    <v:line id="__TH_L19" o:spid="_x0000_s1026" o:spt="20" style="position:absolute;left:0pt;margin-left:47.85pt;margin-top:0pt;height:53.65pt;width:53pt;z-index:251664384;mso-width-relative:page;mso-height-relative:page;" filled="f" stroked="t" coordsize="21600,21600" o:gfxdata="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&#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3G1tN0wAAAAcBAAAPAAAAAAAAAAEAIAAAACIAAABk&#10;cnMvZG93bnJldi54bWxQSwECFAAUAAAACACHTuJAWCyEetIBAAClAwAADgAAAAAAAAABACAAAAAi&#10;AQAAZHJzL2Uyb0RvYy54bWxQSwUGAAAAAAYABgBZAQAAZgUAAAAA&#10;">
                      <v:fill on="f" focussize="0,0"/>
                      <v:stroke weight="0.5pt" color="#000000" joinstyle="round"/>
                      <v:imagedata o:title=""/>
                      <o:lock v:ext="edit" aspectratio="f"/>
                    </v:line>
                  </w:pict>
                </mc:Fallback>
              </mc:AlternateConten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货物招标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1.80%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1.80%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1.10%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1.40%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注：1、采购代理服务费按差额定率累进法计算。例如：某服务类项目中标金额为200万元，计算采购代理服务费额如下：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100万元×1.8%=1.8万元</w:t>
      </w:r>
    </w:p>
    <w:p>
      <w:pPr>
        <w:spacing w:line="360" w:lineRule="auto"/>
        <w:ind w:firstLine="420" w:firstLineChars="200"/>
        <w:rPr>
          <w:rFonts w:ascii="仿宋" w:hAnsi="仿宋" w:eastAsia="仿宋"/>
          <w:szCs w:val="21"/>
        </w:rPr>
      </w:pPr>
      <w:r>
        <w:rPr>
          <w:rFonts w:hint="eastAsia" w:ascii="仿宋" w:hAnsi="仿宋" w:eastAsia="仿宋"/>
          <w:szCs w:val="21"/>
        </w:rPr>
        <w:t>（200-100）万元×1.4%=1.4万元</w:t>
      </w:r>
    </w:p>
    <w:p>
      <w:pPr>
        <w:rPr>
          <w:rFonts w:ascii="仿宋" w:hAnsi="仿宋" w:eastAsia="仿宋"/>
          <w:szCs w:val="21"/>
        </w:rPr>
      </w:pPr>
      <w:r>
        <w:rPr>
          <w:rFonts w:hint="eastAsia" w:ascii="仿宋" w:hAnsi="仿宋" w:eastAsia="仿宋"/>
          <w:szCs w:val="21"/>
        </w:rPr>
        <w:t xml:space="preserve">    合计收费=1.8+1.4＝3.2（万元）</w:t>
      </w:r>
    </w:p>
    <w:p>
      <w:pPr>
        <w:rPr>
          <w:rFonts w:ascii="仿宋" w:hAnsi="仿宋" w:eastAsia="仿宋"/>
          <w:szCs w:val="21"/>
        </w:rPr>
      </w:pP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ascii="宋体" w:hAnsi="宋体"/>
      </w:rPr>
    </w:pPr>
    <w:r>
      <w:rPr>
        <w:rFonts w:hint="eastAsia"/>
      </w:rPr>
      <w:t>项目名称：</w:t>
    </w:r>
    <w:r>
      <w:rPr>
        <w:rFonts w:hint="eastAsia" w:ascii="宋体" w:hAnsi="宋体"/>
      </w:rPr>
      <w:t>分局指挥中心大楼5楼机房及档案室配套办公家具采购项目</w:t>
    </w:r>
  </w:p>
  <w:p>
    <w:pPr>
      <w:pStyle w:val="13"/>
      <w:ind w:firstLine="450" w:firstLineChars="250"/>
      <w:jc w:val="left"/>
    </w:pPr>
    <w:r>
      <w:rPr>
        <w:rFonts w:hint="eastAsia"/>
      </w:rPr>
      <w:t>项目编号：</w:t>
    </w:r>
    <w:r>
      <w:t>SZZZ202</w:t>
    </w:r>
    <w:r>
      <w:rPr>
        <w:rFonts w:hint="eastAsia"/>
      </w:rPr>
      <w:t>1</w:t>
    </w:r>
    <w:r>
      <w:t>-Q</w:t>
    </w:r>
    <w:r>
      <w:rPr>
        <w:rFonts w:hint="eastAsia"/>
      </w:rPr>
      <w:t>A</w:t>
    </w:r>
    <w:r>
      <w:t>0</w:t>
    </w:r>
    <w:r>
      <w:rPr>
        <w:rFonts w:hint="eastAsia"/>
      </w:rPr>
      <w:t>168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2FED"/>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3F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4327"/>
    <w:rsid w:val="001451A4"/>
    <w:rsid w:val="00150DB7"/>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2C0"/>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3359"/>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29E"/>
    <w:rsid w:val="00375504"/>
    <w:rsid w:val="00380BF7"/>
    <w:rsid w:val="003817C2"/>
    <w:rsid w:val="003821BD"/>
    <w:rsid w:val="00395E1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03A0"/>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0F2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595F"/>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36C4"/>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970FC"/>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33B2850"/>
    <w:rsid w:val="0430317B"/>
    <w:rsid w:val="04900225"/>
    <w:rsid w:val="06741ABD"/>
    <w:rsid w:val="09490968"/>
    <w:rsid w:val="094A7AFA"/>
    <w:rsid w:val="0A483924"/>
    <w:rsid w:val="0BD85EEC"/>
    <w:rsid w:val="0C9509EB"/>
    <w:rsid w:val="0D22380F"/>
    <w:rsid w:val="0E1B3AE0"/>
    <w:rsid w:val="0FF475B9"/>
    <w:rsid w:val="10101FF7"/>
    <w:rsid w:val="106D0768"/>
    <w:rsid w:val="10895666"/>
    <w:rsid w:val="10AF63B7"/>
    <w:rsid w:val="10DB3615"/>
    <w:rsid w:val="111E3263"/>
    <w:rsid w:val="12025637"/>
    <w:rsid w:val="13C84F4D"/>
    <w:rsid w:val="14F257A4"/>
    <w:rsid w:val="157C1DE1"/>
    <w:rsid w:val="17E42C71"/>
    <w:rsid w:val="186F6C79"/>
    <w:rsid w:val="1A273998"/>
    <w:rsid w:val="1B0B74A4"/>
    <w:rsid w:val="1BF00049"/>
    <w:rsid w:val="1C362AAC"/>
    <w:rsid w:val="1D614331"/>
    <w:rsid w:val="1E592368"/>
    <w:rsid w:val="1EA45F93"/>
    <w:rsid w:val="20ED557B"/>
    <w:rsid w:val="24B75205"/>
    <w:rsid w:val="24DA57C5"/>
    <w:rsid w:val="252112EE"/>
    <w:rsid w:val="2582614A"/>
    <w:rsid w:val="2785033D"/>
    <w:rsid w:val="29B04C52"/>
    <w:rsid w:val="2A142085"/>
    <w:rsid w:val="2A9E3071"/>
    <w:rsid w:val="2BEA7A93"/>
    <w:rsid w:val="2C1C55C5"/>
    <w:rsid w:val="2D953FA9"/>
    <w:rsid w:val="2E990F44"/>
    <w:rsid w:val="2F471A22"/>
    <w:rsid w:val="34A038F9"/>
    <w:rsid w:val="35C361A2"/>
    <w:rsid w:val="36C66F91"/>
    <w:rsid w:val="3B79136F"/>
    <w:rsid w:val="3BDF1EEB"/>
    <w:rsid w:val="3C0F1061"/>
    <w:rsid w:val="3CE31814"/>
    <w:rsid w:val="3EFB2E42"/>
    <w:rsid w:val="40D0558A"/>
    <w:rsid w:val="41F453D0"/>
    <w:rsid w:val="438B375D"/>
    <w:rsid w:val="45AA717C"/>
    <w:rsid w:val="45AA7F8F"/>
    <w:rsid w:val="46364B13"/>
    <w:rsid w:val="46C20958"/>
    <w:rsid w:val="476370FB"/>
    <w:rsid w:val="486615CC"/>
    <w:rsid w:val="489F5EA6"/>
    <w:rsid w:val="48CF6823"/>
    <w:rsid w:val="4BD935B2"/>
    <w:rsid w:val="4C420357"/>
    <w:rsid w:val="4C4F78BD"/>
    <w:rsid w:val="4DE74063"/>
    <w:rsid w:val="4F4A7860"/>
    <w:rsid w:val="4FE22841"/>
    <w:rsid w:val="52D510AE"/>
    <w:rsid w:val="563C1E88"/>
    <w:rsid w:val="56590B29"/>
    <w:rsid w:val="56BC7D37"/>
    <w:rsid w:val="57BB3679"/>
    <w:rsid w:val="584568AC"/>
    <w:rsid w:val="590D7131"/>
    <w:rsid w:val="5A97627B"/>
    <w:rsid w:val="5C04083A"/>
    <w:rsid w:val="5D4A02E0"/>
    <w:rsid w:val="5DBD7EA7"/>
    <w:rsid w:val="60360042"/>
    <w:rsid w:val="61241947"/>
    <w:rsid w:val="622E10F5"/>
    <w:rsid w:val="626F15D9"/>
    <w:rsid w:val="65570D96"/>
    <w:rsid w:val="665049BF"/>
    <w:rsid w:val="69517524"/>
    <w:rsid w:val="6A087A2A"/>
    <w:rsid w:val="6A2A2395"/>
    <w:rsid w:val="6A2B7268"/>
    <w:rsid w:val="6B4A6055"/>
    <w:rsid w:val="6BD34D4B"/>
    <w:rsid w:val="6DF447A6"/>
    <w:rsid w:val="6E29363E"/>
    <w:rsid w:val="6E417A16"/>
    <w:rsid w:val="6EDC53D2"/>
    <w:rsid w:val="6F594860"/>
    <w:rsid w:val="6FE605C4"/>
    <w:rsid w:val="734F3601"/>
    <w:rsid w:val="74850BCA"/>
    <w:rsid w:val="74980978"/>
    <w:rsid w:val="78661F57"/>
    <w:rsid w:val="78836E03"/>
    <w:rsid w:val="792E185E"/>
    <w:rsid w:val="7A550508"/>
    <w:rsid w:val="7BDD74E7"/>
    <w:rsid w:val="7BEE48C6"/>
    <w:rsid w:val="7CE77BA9"/>
    <w:rsid w:val="7D0511A3"/>
    <w:rsid w:val="7ECF2185"/>
    <w:rsid w:val="7FC9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qFormat/>
    <w:uiPriority w:val="0"/>
    <w:rPr>
      <w:rFonts w:ascii="宋体" w:hAnsi="Courier New" w:eastAsia="宋体" w:cs="Times New Roman"/>
      <w:kern w:val="0"/>
      <w:sz w:val="32"/>
      <w:szCs w:val="20"/>
    </w:rPr>
  </w:style>
  <w:style w:type="character" w:customStyle="1" w:styleId="22">
    <w:name w:val="日期 字符"/>
    <w:basedOn w:val="18"/>
    <w:link w:val="10"/>
    <w:semiHidden/>
    <w:qFormat/>
    <w:uiPriority w:val="99"/>
    <w:rPr>
      <w:rFonts w:ascii="Calibri" w:hAnsi="Calibri" w:eastAsia="宋体" w:cs="Times New Roman"/>
    </w:rPr>
  </w:style>
  <w:style w:type="character" w:customStyle="1" w:styleId="23">
    <w:name w:val="批注框文本 字符"/>
    <w:basedOn w:val="18"/>
    <w:link w:val="11"/>
    <w:semiHidden/>
    <w:qFormat/>
    <w:uiPriority w:val="99"/>
    <w:rPr>
      <w:rFonts w:ascii="Calibri" w:hAnsi="Calibri" w:eastAsia="宋体" w:cs="Times New Roman"/>
      <w:sz w:val="18"/>
      <w:szCs w:val="18"/>
    </w:rPr>
  </w:style>
  <w:style w:type="character" w:customStyle="1" w:styleId="24">
    <w:name w:val="页眉 字符"/>
    <w:basedOn w:val="18"/>
    <w:link w:val="13"/>
    <w:qFormat/>
    <w:uiPriority w:val="99"/>
    <w:rPr>
      <w:rFonts w:ascii="Calibri" w:hAnsi="Calibri" w:eastAsia="宋体" w:cs="Times New Roman"/>
      <w:sz w:val="18"/>
      <w:szCs w:val="18"/>
    </w:rPr>
  </w:style>
  <w:style w:type="character" w:customStyle="1" w:styleId="25">
    <w:name w:val="页脚 字符"/>
    <w:basedOn w:val="18"/>
    <w:link w:val="12"/>
    <w:qFormat/>
    <w:uiPriority w:val="99"/>
    <w:rPr>
      <w:rFonts w:ascii="Calibri" w:hAnsi="Calibri" w:eastAsia="宋体" w:cs="Times New Roman"/>
      <w:sz w:val="18"/>
      <w:szCs w:val="18"/>
    </w:rPr>
  </w:style>
  <w:style w:type="character" w:customStyle="1" w:styleId="26">
    <w:name w:val="标题 1 字符"/>
    <w:basedOn w:val="18"/>
    <w:link w:val="3"/>
    <w:qFormat/>
    <w:uiPriority w:val="0"/>
    <w:rPr>
      <w:rFonts w:ascii="宋体" w:hAnsi="Calibri" w:eastAsia="宋体" w:cs="Times New Roman"/>
      <w:color w:val="000000"/>
      <w:sz w:val="28"/>
      <w:szCs w:val="20"/>
    </w:rPr>
  </w:style>
  <w:style w:type="character" w:customStyle="1" w:styleId="27">
    <w:name w:val="批注文字 字符"/>
    <w:basedOn w:val="18"/>
    <w:link w:val="7"/>
    <w:qFormat/>
    <w:uiPriority w:val="99"/>
    <w:rPr>
      <w:rFonts w:ascii="Calibri" w:hAnsi="Calibri" w:eastAsia="宋体" w:cs="Times New Roman"/>
    </w:rPr>
  </w:style>
  <w:style w:type="character" w:customStyle="1" w:styleId="28">
    <w:name w:val="批注主题 字符"/>
    <w:basedOn w:val="27"/>
    <w:link w:val="14"/>
    <w:semiHidden/>
    <w:qFormat/>
    <w:uiPriority w:val="99"/>
    <w:rPr>
      <w:rFonts w:ascii="Calibri" w:hAnsi="Calibri" w:eastAsia="宋体" w:cs="Times New Roman"/>
      <w:b/>
      <w:bCs/>
    </w:rPr>
  </w:style>
  <w:style w:type="character" w:customStyle="1" w:styleId="29">
    <w:name w:val="纯文本 Char"/>
    <w:qFormat/>
    <w:uiPriority w:val="0"/>
    <w:rPr>
      <w:rFonts w:ascii="宋体" w:hAnsi="Courier New"/>
    </w:rPr>
  </w:style>
  <w:style w:type="character" w:customStyle="1" w:styleId="30">
    <w:name w:val="纯文本 字符"/>
    <w:basedOn w:val="18"/>
    <w:link w:val="9"/>
    <w:semiHidden/>
    <w:qFormat/>
    <w:uiPriority w:val="99"/>
    <w:rPr>
      <w:rFonts w:ascii="宋体" w:hAnsi="Courier New" w:eastAsia="宋体" w:cs="Courier New"/>
      <w:szCs w:val="21"/>
    </w:rPr>
  </w:style>
  <w:style w:type="character" w:customStyle="1" w:styleId="31">
    <w:name w:val="标题 2 字符"/>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字符"/>
    <w:basedOn w:val="18"/>
    <w:link w:val="5"/>
    <w:semiHidden/>
    <w:qFormat/>
    <w:uiPriority w:val="9"/>
    <w:rPr>
      <w:rFonts w:ascii="Calibri" w:hAnsi="Calibri" w:eastAsia="宋体" w:cs="Times New Roman"/>
      <w:b/>
      <w:bCs/>
      <w:sz w:val="32"/>
      <w:szCs w:val="32"/>
    </w:rPr>
  </w:style>
  <w:style w:type="character" w:customStyle="1" w:styleId="34">
    <w:name w:val="标题 4 字符"/>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70</Pages>
  <Words>5693</Words>
  <Characters>32455</Characters>
  <Lines>270</Lines>
  <Paragraphs>76</Paragraphs>
  <TotalTime>0</TotalTime>
  <ScaleCrop>false</ScaleCrop>
  <LinksUpToDate>false</LinksUpToDate>
  <CharactersWithSpaces>38072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2021-09-01T01:14:00Z</dcterms:created>
  <dc:creator>User</dc:creator>
  <cp:lastModifiedBy>CHJ-嘉</cp:lastModifiedBy>
  <cp:lastPrinted>2020-05-21T02:27:00Z</cp:lastPrinted>
  <dcterms:modified xsi:type="dcterms:W3CDTF">2021-09-06T10:09:40Z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B946BEF99C8F409FBFCFBF89E6EAF5A4</vt:lpwstr>
  </property>
</Properties>
</file>