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72"/>
          <w:szCs w:val="70"/>
        </w:rPr>
      </w:pPr>
      <w:r>
        <w:rPr>
          <w:rFonts w:hint="eastAsia" w:ascii="仿宋" w:hAnsi="仿宋" w:eastAsia="仿宋"/>
          <w:b/>
          <w:bCs/>
          <w:snapToGrid w:val="0"/>
          <w:kern w:val="0"/>
          <w:sz w:val="72"/>
          <w:szCs w:val="70"/>
        </w:rPr>
        <w:t>市局同乐基地建筑物结构检测鉴定服务项目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ascii="仿宋" w:hAnsi="仿宋" w:eastAsia="仿宋"/>
          <w:b/>
          <w:snapToGrid w:val="0"/>
          <w:kern w:val="0"/>
          <w:sz w:val="44"/>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ZZZ2022-QC0163</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2"/>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二〇二二年六月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8"/>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市局同乐基地建筑物结构检测鉴定服务项目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SZZZ2022-QC0163</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服务类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公开征集</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服务方案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差异表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市局同乐基地建筑物结构检测鉴定服务项目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rFonts w:ascii="仿宋" w:hAnsi="仿宋" w:eastAsia="仿宋" w:cs="仿宋"/>
          <w:b/>
          <w:sz w:val="24"/>
          <w:szCs w:val="24"/>
        </w:rPr>
      </w:pPr>
      <w:r>
        <w:rPr>
          <w:rFonts w:hint="eastAsia" w:ascii="仿宋" w:hAnsi="仿宋" w:eastAsia="仿宋" w:cs="仿宋"/>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市局同乐基地建筑物结构检测鉴定服务项目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2022</w:t>
      </w:r>
      <w:r>
        <w:rPr>
          <w:rFonts w:hint="eastAsia" w:ascii="仿宋" w:hAnsi="仿宋" w:eastAsia="仿宋"/>
          <w:bCs/>
          <w:sz w:val="24"/>
          <w:szCs w:val="24"/>
        </w:rPr>
        <w:t>年</w:t>
      </w:r>
      <w:r>
        <w:rPr>
          <w:rFonts w:hint="eastAsia" w:ascii="仿宋" w:hAnsi="仿宋" w:eastAsia="仿宋"/>
          <w:bCs/>
          <w:sz w:val="24"/>
          <w:szCs w:val="24"/>
          <w:u w:val="single"/>
        </w:rPr>
        <w:t>06</w:t>
      </w:r>
      <w:r>
        <w:rPr>
          <w:rFonts w:hint="eastAsia" w:ascii="仿宋" w:hAnsi="仿宋" w:eastAsia="仿宋"/>
          <w:bCs/>
          <w:sz w:val="24"/>
          <w:szCs w:val="24"/>
        </w:rPr>
        <w:t>月</w:t>
      </w:r>
      <w:r>
        <w:rPr>
          <w:rFonts w:hint="eastAsia" w:ascii="仿宋" w:hAnsi="仿宋" w:eastAsia="仿宋"/>
          <w:bCs/>
          <w:sz w:val="24"/>
          <w:szCs w:val="24"/>
          <w:u w:val="single"/>
          <w:lang w:val="en-US" w:eastAsia="zh-CN"/>
        </w:rPr>
        <w:t>23</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0</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2</w:t>
      </w:r>
      <w:r>
        <w:rPr>
          <w:rFonts w:ascii="仿宋" w:hAnsi="仿宋" w:eastAsia="仿宋"/>
          <w:bCs/>
          <w:sz w:val="24"/>
          <w:szCs w:val="24"/>
        </w:rPr>
        <w:t>-Q</w:t>
      </w:r>
      <w:r>
        <w:rPr>
          <w:rFonts w:hint="eastAsia" w:ascii="仿宋" w:hAnsi="仿宋" w:eastAsia="仿宋"/>
          <w:bCs/>
          <w:sz w:val="24"/>
          <w:szCs w:val="24"/>
        </w:rPr>
        <w:t>C</w:t>
      </w:r>
      <w:r>
        <w:rPr>
          <w:rFonts w:ascii="仿宋" w:hAnsi="仿宋" w:eastAsia="仿宋"/>
          <w:bCs/>
          <w:sz w:val="24"/>
          <w:szCs w:val="24"/>
        </w:rPr>
        <w:t>0</w:t>
      </w:r>
      <w:r>
        <w:rPr>
          <w:rFonts w:hint="eastAsia" w:ascii="仿宋" w:hAnsi="仿宋" w:eastAsia="仿宋"/>
          <w:bCs/>
          <w:sz w:val="24"/>
          <w:szCs w:val="24"/>
        </w:rPr>
        <w:t>163</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2、项目名称：市局同乐基地建筑物结构检测鉴定服务项目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3、预算金额：人民币16.6万元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4、最高限价：人民币16.6万元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5、采购方式：公开征集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7"/>
        <w:tblW w:w="923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4928"/>
        <w:gridCol w:w="1650"/>
        <w:gridCol w:w="179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855"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928"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1650"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1799"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55"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928"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市局同乐基地建筑物结构检测鉴定服务项目</w:t>
            </w:r>
          </w:p>
        </w:tc>
        <w:tc>
          <w:tcPr>
            <w:tcW w:w="1650" w:type="dxa"/>
            <w:vAlign w:val="center"/>
          </w:tcPr>
          <w:p>
            <w:pPr>
              <w:spacing w:line="360" w:lineRule="auto"/>
              <w:jc w:val="center"/>
              <w:rPr>
                <w:rFonts w:ascii="仿宋" w:hAnsi="仿宋" w:eastAsia="仿宋"/>
                <w:bCs/>
                <w:sz w:val="24"/>
                <w:szCs w:val="24"/>
              </w:rPr>
            </w:pPr>
            <w:r>
              <w:rPr>
                <w:rFonts w:ascii="仿宋" w:hAnsi="仿宋" w:eastAsia="仿宋"/>
                <w:bCs/>
                <w:sz w:val="24"/>
                <w:szCs w:val="24"/>
              </w:rPr>
              <w:t>8300平方米</w:t>
            </w:r>
          </w:p>
        </w:tc>
        <w:tc>
          <w:tcPr>
            <w:tcW w:w="1799"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7、合同履行期限：合同后5天内完成现场检测服务，10天出检测报告。</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2、具有行政主管部门颁发的建设工程质量检测机构资质证书（检测类别包含地基基础工程检测、见证取样检测、主体结构工程现场检测、钢结构工程检测）【提供证书的扫描件并加盖投标人公章】</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3、具有由省级或以上质量技术监督部门颁发的CMA检验检测机构资质认定证书。【提供证书的扫描件并加盖投标人公章】</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参与本项目的供应商未被列入失信被执行人、重大税收违法案件当事人名单和政府采购严重违法失信行为记录名单。【通过“信用中国”（www.creditchina.gov.cn）“信用服务”栏的“重大税收违法案件当事人名单（税收违法黑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17</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22</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23</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
          <w:color w:val="FF0000"/>
          <w:sz w:val="24"/>
          <w:szCs w:val="24"/>
        </w:rPr>
      </w:pPr>
      <w:r>
        <w:rPr>
          <w:rFonts w:hint="eastAsia" w:ascii="仿宋" w:hAnsi="仿宋" w:eastAsia="仿宋"/>
          <w:b/>
          <w:bCs/>
          <w:color w:val="FF0000"/>
          <w:sz w:val="24"/>
          <w:szCs w:val="24"/>
        </w:rPr>
        <w:t>备注：</w:t>
      </w:r>
      <w:r>
        <w:rPr>
          <w:rFonts w:ascii="仿宋" w:hAnsi="仿宋" w:eastAsia="仿宋"/>
          <w:b/>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color w:val="FF0000"/>
          <w:sz w:val="24"/>
          <w:szCs w:val="24"/>
        </w:rPr>
        <w:t>投标人</w:t>
      </w:r>
      <w:r>
        <w:rPr>
          <w:rFonts w:ascii="仿宋" w:hAnsi="仿宋" w:eastAsia="仿宋"/>
          <w:b/>
          <w:color w:val="FF0000"/>
          <w:sz w:val="24"/>
          <w:szCs w:val="24"/>
        </w:rPr>
        <w:t>未参加现场开标的，视同认可开标结果</w:t>
      </w:r>
      <w:r>
        <w:rPr>
          <w:rFonts w:hint="eastAsia" w:ascii="仿宋" w:hAnsi="仿宋" w:eastAsia="仿宋"/>
          <w:b/>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自本公告发布之日起3个工作日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其他未列明行业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深圳市公安局警务保障科</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 方式：</w:t>
      </w:r>
      <w:r>
        <w:rPr>
          <w:rFonts w:hint="eastAsia" w:ascii="仿宋" w:hAnsi="仿宋" w:eastAsia="仿宋"/>
          <w:bCs/>
          <w:sz w:val="24"/>
          <w:szCs w:val="24"/>
          <w:u w:val="single"/>
        </w:rPr>
        <w:t>陈工，0755-83026699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rPr>
        <w:t>2</w:t>
      </w:r>
      <w:r>
        <w:rPr>
          <w:rFonts w:ascii="仿宋" w:hAnsi="仿宋" w:eastAsia="仿宋"/>
          <w:bCs/>
          <w:sz w:val="24"/>
          <w:szCs w:val="24"/>
        </w:rPr>
        <w:t>年</w:t>
      </w:r>
      <w:r>
        <w:rPr>
          <w:rFonts w:hint="eastAsia" w:ascii="仿宋" w:hAnsi="仿宋" w:eastAsia="仿宋"/>
          <w:bCs/>
          <w:sz w:val="24"/>
          <w:szCs w:val="24"/>
        </w:rPr>
        <w:t>06</w:t>
      </w:r>
      <w:r>
        <w:rPr>
          <w:rFonts w:ascii="仿宋" w:hAnsi="仿宋" w:eastAsia="仿宋"/>
          <w:bCs/>
          <w:sz w:val="24"/>
          <w:szCs w:val="24"/>
        </w:rPr>
        <w:t>月</w:t>
      </w:r>
      <w:r>
        <w:rPr>
          <w:rFonts w:hint="eastAsia" w:ascii="仿宋" w:hAnsi="仿宋" w:eastAsia="仿宋"/>
          <w:bCs/>
          <w:sz w:val="24"/>
          <w:szCs w:val="24"/>
          <w:lang w:val="en-US" w:eastAsia="zh-CN"/>
        </w:rPr>
        <w:t>17</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7"/>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11"/>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11"/>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11"/>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11"/>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11"/>
              <w:spacing w:line="360" w:lineRule="auto"/>
              <w:jc w:val="center"/>
              <w:rPr>
                <w:rFonts w:hAnsi="宋体"/>
              </w:rPr>
            </w:pPr>
            <w:r>
              <w:rPr>
                <w:rFonts w:hAnsi="宋体"/>
              </w:rPr>
              <w:t>1</w:t>
            </w:r>
          </w:p>
        </w:tc>
        <w:tc>
          <w:tcPr>
            <w:tcW w:w="850" w:type="dxa"/>
            <w:tcBorders>
              <w:top w:val="single" w:color="auto" w:sz="4" w:space="0"/>
            </w:tcBorders>
            <w:vAlign w:val="center"/>
          </w:tcPr>
          <w:p>
            <w:pPr>
              <w:pStyle w:val="11"/>
              <w:spacing w:line="360" w:lineRule="auto"/>
              <w:jc w:val="center"/>
              <w:rPr>
                <w:rFonts w:hAnsi="宋体"/>
              </w:rPr>
            </w:pPr>
            <w:r>
              <w:rPr>
                <w:rFonts w:hAnsi="宋体"/>
              </w:rPr>
              <w:t>1.1</w:t>
            </w:r>
          </w:p>
        </w:tc>
        <w:tc>
          <w:tcPr>
            <w:tcW w:w="1985" w:type="dxa"/>
            <w:tcBorders>
              <w:top w:val="single" w:color="auto" w:sz="4" w:space="0"/>
            </w:tcBorders>
            <w:vAlign w:val="center"/>
          </w:tcPr>
          <w:p>
            <w:pPr>
              <w:pStyle w:val="11"/>
              <w:spacing w:line="360" w:lineRule="auto"/>
              <w:jc w:val="center"/>
            </w:pPr>
            <w:r>
              <w:rPr>
                <w:rFonts w:hint="eastAsia"/>
              </w:rPr>
              <w:t>项目名称</w:t>
            </w:r>
          </w:p>
        </w:tc>
        <w:tc>
          <w:tcPr>
            <w:tcW w:w="5669" w:type="dxa"/>
            <w:tcBorders>
              <w:top w:val="single" w:color="auto" w:sz="4" w:space="0"/>
            </w:tcBorders>
            <w:vAlign w:val="center"/>
          </w:tcPr>
          <w:p>
            <w:pPr>
              <w:pStyle w:val="11"/>
              <w:spacing w:line="360" w:lineRule="auto"/>
            </w:pPr>
            <w:r>
              <w:rPr>
                <w:rFonts w:hint="eastAsia" w:hAnsi="宋体"/>
              </w:rPr>
              <w:t>市局同乐基地建筑物结构检测鉴定服务项目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2</w:t>
            </w:r>
          </w:p>
        </w:tc>
        <w:tc>
          <w:tcPr>
            <w:tcW w:w="850" w:type="dxa"/>
            <w:vAlign w:val="center"/>
          </w:tcPr>
          <w:p>
            <w:pPr>
              <w:pStyle w:val="11"/>
              <w:spacing w:line="360" w:lineRule="auto"/>
              <w:jc w:val="center"/>
              <w:rPr>
                <w:rFonts w:hAnsi="宋体"/>
              </w:rPr>
            </w:pPr>
            <w:r>
              <w:rPr>
                <w:rFonts w:hAnsi="宋体"/>
              </w:rPr>
              <w:t>2.1</w:t>
            </w:r>
          </w:p>
        </w:tc>
        <w:tc>
          <w:tcPr>
            <w:tcW w:w="1985" w:type="dxa"/>
            <w:vAlign w:val="center"/>
          </w:tcPr>
          <w:p>
            <w:pPr>
              <w:pStyle w:val="11"/>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pPr>
              <w:rPr>
                <w:rFonts w:eastAsiaTheme="minorEastAsia"/>
              </w:rPr>
            </w:pPr>
            <w:r>
              <w:rPr>
                <w:rFonts w:hint="eastAsia" w:ascii="宋体" w:hAnsi="宋体" w:eastAsiaTheme="minorEastAsia" w:cstheme="minorBidi"/>
              </w:rPr>
              <w:t>深圳市公安局警务保障科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3</w:t>
            </w:r>
          </w:p>
        </w:tc>
        <w:tc>
          <w:tcPr>
            <w:tcW w:w="850" w:type="dxa"/>
            <w:vAlign w:val="center"/>
          </w:tcPr>
          <w:p>
            <w:pPr>
              <w:pStyle w:val="11"/>
              <w:spacing w:line="360" w:lineRule="auto"/>
              <w:jc w:val="center"/>
              <w:rPr>
                <w:rFonts w:hAnsi="宋体"/>
              </w:rPr>
            </w:pPr>
            <w:r>
              <w:rPr>
                <w:rFonts w:hAnsi="宋体"/>
              </w:rPr>
              <w:t>2.2</w:t>
            </w:r>
          </w:p>
        </w:tc>
        <w:tc>
          <w:tcPr>
            <w:tcW w:w="1985" w:type="dxa"/>
            <w:vAlign w:val="center"/>
          </w:tcPr>
          <w:p>
            <w:pPr>
              <w:pStyle w:val="11"/>
              <w:spacing w:line="360" w:lineRule="auto"/>
              <w:jc w:val="center"/>
              <w:rPr>
                <w:rFonts w:hAnsi="宋体"/>
                <w:bCs/>
              </w:rPr>
            </w:pPr>
            <w:r>
              <w:rPr>
                <w:rFonts w:hint="eastAsia" w:hAnsi="宋体"/>
                <w:bCs/>
              </w:rPr>
              <w:t>采购代理机构</w:t>
            </w:r>
          </w:p>
        </w:tc>
        <w:tc>
          <w:tcPr>
            <w:tcW w:w="5669" w:type="dxa"/>
            <w:vAlign w:val="center"/>
          </w:tcPr>
          <w:p>
            <w:pPr>
              <w:pStyle w:val="11"/>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4</w:t>
            </w:r>
          </w:p>
        </w:tc>
        <w:tc>
          <w:tcPr>
            <w:tcW w:w="850" w:type="dxa"/>
            <w:vAlign w:val="center"/>
          </w:tcPr>
          <w:p>
            <w:pPr>
              <w:pStyle w:val="11"/>
              <w:spacing w:line="360" w:lineRule="auto"/>
              <w:jc w:val="center"/>
              <w:rPr>
                <w:rFonts w:hAnsi="宋体"/>
              </w:rPr>
            </w:pPr>
            <w:r>
              <w:rPr>
                <w:rFonts w:hint="eastAsia" w:hAnsi="宋体"/>
              </w:rPr>
              <w:t>3.1</w:t>
            </w:r>
          </w:p>
        </w:tc>
        <w:tc>
          <w:tcPr>
            <w:tcW w:w="1985" w:type="dxa"/>
            <w:vAlign w:val="center"/>
          </w:tcPr>
          <w:p>
            <w:pPr>
              <w:pStyle w:val="11"/>
              <w:spacing w:line="360" w:lineRule="auto"/>
              <w:jc w:val="center"/>
              <w:rPr>
                <w:rFonts w:hAnsi="宋体"/>
              </w:rPr>
            </w:pPr>
            <w:r>
              <w:rPr>
                <w:rFonts w:hint="eastAsia" w:hAnsi="宋体"/>
              </w:rPr>
              <w:t>资金来源</w:t>
            </w:r>
          </w:p>
        </w:tc>
        <w:tc>
          <w:tcPr>
            <w:tcW w:w="5669" w:type="dxa"/>
            <w:vAlign w:val="center"/>
          </w:tcPr>
          <w:p>
            <w:pPr>
              <w:pStyle w:val="11"/>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5</w:t>
            </w:r>
          </w:p>
        </w:tc>
        <w:tc>
          <w:tcPr>
            <w:tcW w:w="850" w:type="dxa"/>
            <w:vAlign w:val="center"/>
          </w:tcPr>
          <w:p>
            <w:pPr>
              <w:pStyle w:val="11"/>
              <w:spacing w:line="360" w:lineRule="auto"/>
              <w:jc w:val="center"/>
              <w:rPr>
                <w:rFonts w:hAnsi="宋体"/>
              </w:rPr>
            </w:pPr>
            <w:r>
              <w:rPr>
                <w:rFonts w:hint="eastAsia" w:hAnsi="宋体"/>
              </w:rPr>
              <w:t>4.7</w:t>
            </w:r>
          </w:p>
        </w:tc>
        <w:tc>
          <w:tcPr>
            <w:tcW w:w="1985" w:type="dxa"/>
            <w:vAlign w:val="center"/>
          </w:tcPr>
          <w:p>
            <w:pPr>
              <w:pStyle w:val="11"/>
              <w:spacing w:line="360" w:lineRule="auto"/>
              <w:jc w:val="center"/>
              <w:rPr>
                <w:rFonts w:hAnsi="宋体"/>
              </w:rPr>
            </w:pPr>
            <w:r>
              <w:rPr>
                <w:rFonts w:hint="eastAsia" w:hAnsi="宋体"/>
              </w:rPr>
              <w:t>供应商资格要求</w:t>
            </w:r>
          </w:p>
        </w:tc>
        <w:tc>
          <w:tcPr>
            <w:tcW w:w="5669" w:type="dxa"/>
            <w:vAlign w:val="center"/>
          </w:tcPr>
          <w:p>
            <w:pPr>
              <w:pStyle w:val="11"/>
              <w:spacing w:line="360" w:lineRule="auto"/>
              <w:ind w:left="378" w:hanging="378" w:hangingChars="180"/>
              <w:rPr>
                <w:rFonts w:hAnsi="宋体"/>
                <w:szCs w:val="21"/>
              </w:rPr>
            </w:pPr>
            <w:r>
              <w:rPr>
                <w:rFonts w:hint="eastAsia" w:hAnsi="宋体"/>
                <w:szCs w:val="21"/>
              </w:rPr>
              <w:t>1、须是在中华人民共和国境内注册的法人或其他组织。【须提供合法有效的营业执照或法人证书等证明材料的扫描件或复印件加盖投标人公章，原件备查】</w:t>
            </w:r>
          </w:p>
          <w:p>
            <w:pPr>
              <w:pStyle w:val="11"/>
              <w:spacing w:line="360" w:lineRule="auto"/>
              <w:ind w:left="378" w:hanging="378" w:hangingChars="180"/>
              <w:rPr>
                <w:rFonts w:hAnsi="宋体"/>
                <w:szCs w:val="21"/>
              </w:rPr>
            </w:pPr>
            <w:r>
              <w:rPr>
                <w:rFonts w:hint="eastAsia" w:hAnsi="宋体"/>
                <w:szCs w:val="21"/>
              </w:rPr>
              <w:t>2、具有行政主管部门颁发的建设工程质量检测机构资质证书（检测类别包含地基基础工程检测、见证取样检测、主体结构工程现场检测、钢结构工程检测）【提供证书的扫描件并加盖投标人公章】</w:t>
            </w:r>
          </w:p>
          <w:p>
            <w:pPr>
              <w:pStyle w:val="11"/>
              <w:spacing w:line="360" w:lineRule="auto"/>
              <w:ind w:left="378" w:hanging="378" w:hangingChars="180"/>
              <w:rPr>
                <w:rFonts w:hAnsi="宋体"/>
                <w:szCs w:val="21"/>
              </w:rPr>
            </w:pPr>
            <w:r>
              <w:rPr>
                <w:rFonts w:hint="eastAsia" w:hAnsi="宋体"/>
                <w:szCs w:val="21"/>
              </w:rPr>
              <w:t>3、具有由省级或以上质量技术监督部门颁发的CMA检验检测机构资质认定证书。【提供证书的扫描件并加盖投标人公章】</w:t>
            </w:r>
          </w:p>
          <w:p>
            <w:pPr>
              <w:pStyle w:val="11"/>
              <w:spacing w:line="360" w:lineRule="auto"/>
              <w:ind w:left="378" w:hanging="378" w:hangingChars="180"/>
              <w:rPr>
                <w:rFonts w:hAnsi="宋体"/>
                <w:szCs w:val="21"/>
              </w:rPr>
            </w:pPr>
            <w:r>
              <w:rPr>
                <w:rFonts w:hint="eastAsia" w:hAnsi="宋体"/>
                <w:szCs w:val="21"/>
              </w:rPr>
              <w:t>4、参与本项目投标前三年内，在经营活动中没有重大违法记录。【由投标人按采购文件规定的格式在《政府采购投标及履约承诺函》中作出声明】</w:t>
            </w:r>
          </w:p>
          <w:p>
            <w:pPr>
              <w:pStyle w:val="11"/>
              <w:spacing w:line="360" w:lineRule="auto"/>
              <w:ind w:left="378" w:hanging="378" w:hangingChars="180"/>
              <w:rPr>
                <w:rFonts w:hAnsi="宋体"/>
                <w:szCs w:val="21"/>
              </w:rPr>
            </w:pPr>
            <w:r>
              <w:rPr>
                <w:rFonts w:hint="eastAsia" w:hAnsi="宋体"/>
                <w:szCs w:val="21"/>
              </w:rPr>
              <w:t>5、参与本项目政府采购活动时不存在被有关部门禁止参与政府采购活动且在有效期内的情况。【由供应商按采购文件规定的格式在《政府采购投标及履约承诺函》中作出声明】</w:t>
            </w:r>
          </w:p>
          <w:p>
            <w:pPr>
              <w:pStyle w:val="11"/>
              <w:spacing w:line="360" w:lineRule="auto"/>
              <w:ind w:left="378" w:hanging="378" w:hangingChars="180"/>
              <w:rPr>
                <w:rFonts w:hAnsi="宋体"/>
                <w:szCs w:val="21"/>
              </w:rPr>
            </w:pPr>
            <w:r>
              <w:rPr>
                <w:rFonts w:hint="eastAsia" w:hAnsi="宋体"/>
                <w:szCs w:val="21"/>
              </w:rPr>
              <w:t>6、参与本项目的供应商具备《中华人民共和国政府采购法》第二十二条规定。【由响应投标人按采购文件规定的格式在《政府采购投标及履约承诺函》中作出声明】</w:t>
            </w:r>
          </w:p>
          <w:p>
            <w:pPr>
              <w:pStyle w:val="11"/>
              <w:spacing w:line="360" w:lineRule="auto"/>
              <w:ind w:left="378" w:hanging="378" w:hangingChars="180"/>
              <w:rPr>
                <w:rFonts w:hAnsi="宋体"/>
                <w:szCs w:val="21"/>
              </w:rPr>
            </w:pPr>
            <w:r>
              <w:rPr>
                <w:rFonts w:hint="eastAsia" w:hAnsi="宋体"/>
                <w:szCs w:val="21"/>
              </w:rPr>
              <w:t>7、参与本项目的供应商未被列入失信被执行人、重大税收违法案件当事人名单和政府采购严重违法失信行为记录名单。【通过“信用中国”（www.creditchina.gov.cn）“信用服务”栏的“重大税收违法案件当事人名单（税收违法黑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pStyle w:val="11"/>
              <w:spacing w:line="360" w:lineRule="auto"/>
              <w:ind w:left="378" w:hanging="378" w:hangingChars="180"/>
              <w:rPr>
                <w:rFonts w:hAnsi="宋体"/>
                <w:szCs w:val="21"/>
              </w:rPr>
            </w:pPr>
            <w:r>
              <w:rPr>
                <w:rFonts w:hint="eastAsia" w:hAnsi="宋体"/>
                <w:szCs w:val="21"/>
              </w:rPr>
              <w:t>8、本项目不接受联合体投标，不允许分包或转包。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6</w:t>
            </w:r>
          </w:p>
        </w:tc>
        <w:tc>
          <w:tcPr>
            <w:tcW w:w="850" w:type="dxa"/>
            <w:vAlign w:val="center"/>
          </w:tcPr>
          <w:p>
            <w:pPr>
              <w:pStyle w:val="11"/>
              <w:spacing w:line="360" w:lineRule="auto"/>
              <w:jc w:val="center"/>
              <w:rPr>
                <w:rFonts w:hAnsi="宋体"/>
              </w:rPr>
            </w:pPr>
            <w:r>
              <w:rPr>
                <w:rFonts w:hint="eastAsia" w:hAnsi="宋体"/>
              </w:rPr>
              <w:t>6.1</w:t>
            </w:r>
          </w:p>
        </w:tc>
        <w:tc>
          <w:tcPr>
            <w:tcW w:w="1985" w:type="dxa"/>
            <w:vAlign w:val="center"/>
          </w:tcPr>
          <w:p>
            <w:pPr>
              <w:pStyle w:val="11"/>
              <w:spacing w:line="360" w:lineRule="auto"/>
              <w:jc w:val="center"/>
              <w:rPr>
                <w:rFonts w:hAnsi="宋体"/>
              </w:rPr>
            </w:pPr>
            <w:r>
              <w:rPr>
                <w:rFonts w:hint="eastAsia" w:hAnsi="宋体"/>
              </w:rPr>
              <w:t>踏勘现场</w:t>
            </w:r>
          </w:p>
        </w:tc>
        <w:tc>
          <w:tcPr>
            <w:tcW w:w="5669" w:type="dxa"/>
            <w:vAlign w:val="center"/>
          </w:tcPr>
          <w:p>
            <w:pPr>
              <w:pStyle w:val="11"/>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7</w:t>
            </w:r>
          </w:p>
        </w:tc>
        <w:tc>
          <w:tcPr>
            <w:tcW w:w="850" w:type="dxa"/>
            <w:vAlign w:val="center"/>
          </w:tcPr>
          <w:p>
            <w:pPr>
              <w:pStyle w:val="11"/>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11"/>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11"/>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8</w:t>
            </w:r>
          </w:p>
        </w:tc>
        <w:tc>
          <w:tcPr>
            <w:tcW w:w="850" w:type="dxa"/>
            <w:vAlign w:val="center"/>
          </w:tcPr>
          <w:p>
            <w:pPr>
              <w:pStyle w:val="11"/>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11"/>
              <w:spacing w:line="360" w:lineRule="auto"/>
              <w:jc w:val="center"/>
              <w:rPr>
                <w:rFonts w:hAnsi="宋体"/>
              </w:rPr>
            </w:pPr>
            <w:r>
              <w:rPr>
                <w:rFonts w:hint="eastAsia" w:hAnsi="宋体"/>
              </w:rPr>
              <w:t>项目保证金</w:t>
            </w:r>
          </w:p>
        </w:tc>
        <w:tc>
          <w:tcPr>
            <w:tcW w:w="5669" w:type="dxa"/>
            <w:vAlign w:val="center"/>
          </w:tcPr>
          <w:p>
            <w:pPr>
              <w:pStyle w:val="11"/>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10</w:t>
            </w:r>
          </w:p>
        </w:tc>
        <w:tc>
          <w:tcPr>
            <w:tcW w:w="850" w:type="dxa"/>
            <w:vAlign w:val="center"/>
          </w:tcPr>
          <w:p>
            <w:pPr>
              <w:pStyle w:val="11"/>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11"/>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11"/>
              <w:rPr>
                <w:rFonts w:hAnsi="宋体"/>
              </w:rPr>
            </w:pPr>
            <w:r>
              <w:rPr>
                <w:rFonts w:hint="eastAsia" w:hAnsi="宋体"/>
              </w:rPr>
              <w:t>正本2份，副本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11</w:t>
            </w:r>
          </w:p>
        </w:tc>
        <w:tc>
          <w:tcPr>
            <w:tcW w:w="850" w:type="dxa"/>
            <w:vAlign w:val="center"/>
          </w:tcPr>
          <w:p>
            <w:pPr>
              <w:pStyle w:val="11"/>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11"/>
              <w:spacing w:line="360" w:lineRule="auto"/>
              <w:jc w:val="center"/>
              <w:rPr>
                <w:rFonts w:hAnsi="宋体"/>
              </w:rPr>
            </w:pPr>
            <w:r>
              <w:rPr>
                <w:rFonts w:hint="eastAsia" w:hAnsi="宋体"/>
              </w:rPr>
              <w:t>开标</w:t>
            </w:r>
          </w:p>
        </w:tc>
        <w:tc>
          <w:tcPr>
            <w:tcW w:w="5669" w:type="dxa"/>
            <w:vAlign w:val="center"/>
          </w:tcPr>
          <w:p>
            <w:pPr>
              <w:pStyle w:val="11"/>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22</w:t>
            </w:r>
            <w:r>
              <w:rPr>
                <w:rFonts w:ascii="Times New Roman" w:hAnsi="Times New Roman"/>
                <w:b/>
                <w:snapToGrid w:val="0"/>
                <w:highlight w:val="yellow"/>
              </w:rPr>
              <w:t>年</w:t>
            </w:r>
            <w:r>
              <w:rPr>
                <w:rFonts w:hint="eastAsia" w:ascii="Times New Roman" w:hAnsi="Times New Roman"/>
                <w:b/>
                <w:snapToGrid w:val="0"/>
                <w:highlight w:val="yellow"/>
              </w:rPr>
              <w:t>06</w:t>
            </w:r>
            <w:r>
              <w:rPr>
                <w:rFonts w:ascii="Times New Roman" w:hAnsi="Times New Roman"/>
                <w:b/>
                <w:snapToGrid w:val="0"/>
                <w:highlight w:val="yellow"/>
              </w:rPr>
              <w:t>月</w:t>
            </w:r>
            <w:r>
              <w:rPr>
                <w:rFonts w:hint="eastAsia" w:ascii="Times New Roman" w:hAnsi="Times New Roman"/>
                <w:b/>
                <w:snapToGrid w:val="0"/>
                <w:highlight w:val="yellow"/>
                <w:lang w:val="en-US" w:eastAsia="zh-CN"/>
              </w:rPr>
              <w:t>23</w:t>
            </w:r>
            <w:r>
              <w:rPr>
                <w:rFonts w:ascii="Times New Roman" w:hAnsi="Times New Roman"/>
                <w:b/>
                <w:snapToGrid w:val="0"/>
                <w:highlight w:val="yellow"/>
              </w:rPr>
              <w:t>日</w:t>
            </w:r>
            <w:r>
              <w:rPr>
                <w:rFonts w:hint="eastAsia" w:ascii="Times New Roman" w:hAnsi="Times New Roman"/>
                <w:b/>
                <w:snapToGrid w:val="0"/>
                <w:highlight w:val="yellow"/>
              </w:rPr>
              <w:t>10</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11"/>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12</w:t>
            </w:r>
          </w:p>
        </w:tc>
        <w:tc>
          <w:tcPr>
            <w:tcW w:w="850" w:type="dxa"/>
            <w:vAlign w:val="center"/>
          </w:tcPr>
          <w:p>
            <w:pPr>
              <w:pStyle w:val="11"/>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11"/>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11"/>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22</w:t>
            </w:r>
            <w:r>
              <w:rPr>
                <w:rFonts w:ascii="Times New Roman" w:hAnsi="Times New Roman"/>
                <w:b/>
                <w:snapToGrid w:val="0"/>
                <w:highlight w:val="yellow"/>
              </w:rPr>
              <w:t>年</w:t>
            </w:r>
            <w:r>
              <w:rPr>
                <w:rFonts w:hint="eastAsia" w:ascii="Times New Roman" w:hAnsi="Times New Roman"/>
                <w:b/>
                <w:snapToGrid w:val="0"/>
                <w:highlight w:val="yellow"/>
              </w:rPr>
              <w:t>06</w:t>
            </w:r>
            <w:r>
              <w:rPr>
                <w:rFonts w:ascii="Times New Roman" w:hAnsi="Times New Roman"/>
                <w:b/>
                <w:snapToGrid w:val="0"/>
                <w:highlight w:val="yellow"/>
              </w:rPr>
              <w:t>月</w:t>
            </w:r>
            <w:r>
              <w:rPr>
                <w:rFonts w:hint="eastAsia" w:ascii="Times New Roman" w:hAnsi="Times New Roman"/>
                <w:b/>
                <w:snapToGrid w:val="0"/>
                <w:highlight w:val="yellow"/>
                <w:lang w:val="en-US" w:eastAsia="zh-CN"/>
              </w:rPr>
              <w:t>23</w:t>
            </w:r>
            <w:bookmarkStart w:id="7" w:name="_GoBack"/>
            <w:bookmarkEnd w:id="7"/>
            <w:r>
              <w:rPr>
                <w:rFonts w:ascii="Times New Roman" w:hAnsi="Times New Roman"/>
                <w:b/>
                <w:snapToGrid w:val="0"/>
                <w:highlight w:val="yellow"/>
              </w:rPr>
              <w:t>日</w:t>
            </w:r>
            <w:r>
              <w:rPr>
                <w:rFonts w:hint="eastAsia" w:ascii="Times New Roman" w:hAnsi="Times New Roman"/>
                <w:b/>
                <w:snapToGrid w:val="0"/>
                <w:highlight w:val="yellow"/>
              </w:rPr>
              <w:t>10</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1"/>
              <w:spacing w:line="360" w:lineRule="auto"/>
              <w:jc w:val="center"/>
              <w:rPr>
                <w:rFonts w:hAnsi="宋体"/>
              </w:rPr>
            </w:pPr>
            <w:r>
              <w:rPr>
                <w:rFonts w:hint="eastAsia" w:hAnsi="宋体"/>
              </w:rPr>
              <w:t>13</w:t>
            </w:r>
          </w:p>
        </w:tc>
        <w:tc>
          <w:tcPr>
            <w:tcW w:w="850" w:type="dxa"/>
            <w:vAlign w:val="center"/>
          </w:tcPr>
          <w:p>
            <w:pPr>
              <w:pStyle w:val="11"/>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11"/>
              <w:spacing w:line="360" w:lineRule="auto"/>
              <w:jc w:val="center"/>
              <w:rPr>
                <w:rFonts w:hAnsi="宋体"/>
              </w:rPr>
            </w:pPr>
            <w:r>
              <w:rPr>
                <w:rFonts w:hint="eastAsia" w:hAnsi="宋体"/>
              </w:rPr>
              <w:t>评标办法</w:t>
            </w:r>
          </w:p>
        </w:tc>
        <w:tc>
          <w:tcPr>
            <w:tcW w:w="5669" w:type="dxa"/>
            <w:vAlign w:val="center"/>
          </w:tcPr>
          <w:p>
            <w:pPr>
              <w:pStyle w:val="11"/>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1"/>
              <w:spacing w:line="360" w:lineRule="auto"/>
              <w:jc w:val="center"/>
              <w:rPr>
                <w:rFonts w:hAnsi="宋体"/>
              </w:rPr>
            </w:pPr>
            <w:r>
              <w:rPr>
                <w:rFonts w:hint="eastAsia" w:hAnsi="宋体"/>
              </w:rPr>
              <w:t>14</w:t>
            </w:r>
          </w:p>
        </w:tc>
        <w:tc>
          <w:tcPr>
            <w:tcW w:w="850" w:type="dxa"/>
            <w:vAlign w:val="center"/>
          </w:tcPr>
          <w:p>
            <w:pPr>
              <w:pStyle w:val="11"/>
              <w:spacing w:line="360" w:lineRule="auto"/>
              <w:jc w:val="center"/>
              <w:rPr>
                <w:rFonts w:hAnsi="宋体"/>
              </w:rPr>
            </w:pPr>
            <w:r>
              <w:rPr>
                <w:rFonts w:hint="eastAsia" w:hAnsi="宋体"/>
              </w:rPr>
              <w:t>33.1</w:t>
            </w:r>
          </w:p>
        </w:tc>
        <w:tc>
          <w:tcPr>
            <w:tcW w:w="1985" w:type="dxa"/>
            <w:vAlign w:val="center"/>
          </w:tcPr>
          <w:p>
            <w:pPr>
              <w:pStyle w:val="11"/>
              <w:spacing w:line="340" w:lineRule="exact"/>
              <w:jc w:val="center"/>
              <w:rPr>
                <w:rFonts w:hAnsi="宋体"/>
              </w:rPr>
            </w:pPr>
            <w:r>
              <w:rPr>
                <w:rFonts w:hint="eastAsia" w:hAnsi="宋体"/>
              </w:rPr>
              <w:t>采购代理服务费</w:t>
            </w:r>
          </w:p>
        </w:tc>
        <w:tc>
          <w:tcPr>
            <w:tcW w:w="5669" w:type="dxa"/>
            <w:vAlign w:val="center"/>
          </w:tcPr>
          <w:p>
            <w:pPr>
              <w:pStyle w:val="11"/>
              <w:spacing w:line="340" w:lineRule="exact"/>
              <w:rPr>
                <w:rFonts w:hAnsi="宋体"/>
              </w:rPr>
            </w:pPr>
            <w:r>
              <w:rPr>
                <w:rFonts w:hint="eastAsia" w:hAnsi="宋体"/>
              </w:rPr>
              <w:t>人民币4,000.00元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1"/>
              <w:spacing w:line="360" w:lineRule="auto"/>
              <w:jc w:val="center"/>
              <w:rPr>
                <w:rFonts w:hAnsi="宋体"/>
              </w:rPr>
            </w:pPr>
            <w:r>
              <w:rPr>
                <w:rFonts w:hint="eastAsia" w:hAnsi="宋体"/>
              </w:rPr>
              <w:t>15</w:t>
            </w:r>
          </w:p>
        </w:tc>
        <w:tc>
          <w:tcPr>
            <w:tcW w:w="850" w:type="dxa"/>
            <w:vAlign w:val="center"/>
          </w:tcPr>
          <w:p>
            <w:pPr>
              <w:pStyle w:val="11"/>
              <w:spacing w:line="360" w:lineRule="auto"/>
              <w:jc w:val="center"/>
              <w:rPr>
                <w:rFonts w:hAnsi="宋体"/>
              </w:rPr>
            </w:pPr>
          </w:p>
        </w:tc>
        <w:tc>
          <w:tcPr>
            <w:tcW w:w="1985" w:type="dxa"/>
            <w:vAlign w:val="center"/>
          </w:tcPr>
          <w:p>
            <w:pPr>
              <w:pStyle w:val="11"/>
              <w:spacing w:line="340" w:lineRule="exact"/>
              <w:jc w:val="center"/>
              <w:rPr>
                <w:rFonts w:hAnsi="宋体"/>
              </w:rPr>
            </w:pPr>
            <w:r>
              <w:rPr>
                <w:rFonts w:hint="eastAsia" w:hAnsi="宋体"/>
              </w:rPr>
              <w:t>采购控制金额</w:t>
            </w:r>
          </w:p>
          <w:p>
            <w:pPr>
              <w:pStyle w:val="11"/>
              <w:spacing w:line="340" w:lineRule="exact"/>
              <w:jc w:val="center"/>
              <w:rPr>
                <w:rFonts w:hAnsi="宋体"/>
              </w:rPr>
            </w:pPr>
            <w:r>
              <w:rPr>
                <w:rFonts w:hint="eastAsia" w:hAnsi="宋体"/>
              </w:rPr>
              <w:t>（最高投标限价）</w:t>
            </w:r>
          </w:p>
        </w:tc>
        <w:tc>
          <w:tcPr>
            <w:tcW w:w="5669" w:type="dxa"/>
            <w:vAlign w:val="center"/>
          </w:tcPr>
          <w:p>
            <w:pPr>
              <w:pStyle w:val="11"/>
              <w:spacing w:line="340" w:lineRule="exact"/>
              <w:rPr>
                <w:rFonts w:hAnsi="宋体"/>
                <w:b/>
              </w:rPr>
            </w:pPr>
            <w:r>
              <w:rPr>
                <w:rFonts w:hint="eastAsia" w:hAnsi="宋体"/>
                <w:b/>
                <w:highlight w:val="yellow"/>
              </w:rPr>
              <w:t>人民币16.6万元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综合评分法，是指投标文件满足采购文件全部实质性要求，且按照评审因素的量化指标评审得分最高的投标人为中标候选人的评标方法。</w:t>
      </w:r>
    </w:p>
    <w:tbl>
      <w:tblPr>
        <w:tblStyle w:val="17"/>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cs="仿宋"/>
                <w:snapToGrid w:val="0"/>
                <w:kern w:val="0"/>
                <w:sz w:val="24"/>
                <w:szCs w:val="24"/>
              </w:rPr>
            </w:pPr>
            <w:r>
              <w:rPr>
                <w:rFonts w:hint="eastAsia" w:ascii="仿宋" w:hAnsi="仿宋" w:eastAsia="仿宋" w:cs="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价格标（G）</w:t>
            </w:r>
          </w:p>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（总分10分）</w:t>
            </w: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投标总价</w:t>
            </w:r>
          </w:p>
        </w:tc>
        <w:tc>
          <w:tcPr>
            <w:tcW w:w="709"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6335" w:type="dxa"/>
            <w:tcBorders>
              <w:right w:val="double" w:color="auto" w:sz="4" w:space="0"/>
            </w:tcBorders>
            <w:vAlign w:val="center"/>
          </w:tcPr>
          <w:p>
            <w:pPr>
              <w:adjustRightIn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价格分按以下方案计算：</w:t>
            </w:r>
          </w:p>
          <w:p>
            <w:pPr>
              <w:adjustRightIn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投标报价得分= Z/Sn×10</w:t>
            </w:r>
          </w:p>
          <w:p>
            <w:pPr>
              <w:adjustRightIn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其中： Z --评标基准价，即通过资格性审查和符合性审查且投标价格最低的投标报价</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ab/>
            </w:r>
            <w:r>
              <w:rPr>
                <w:rFonts w:hint="eastAsia" w:ascii="仿宋" w:hAnsi="仿宋" w:eastAsia="仿宋" w:cs="仿宋"/>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技术标（J）</w:t>
            </w:r>
          </w:p>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w:t>
            </w:r>
            <w:r>
              <w:rPr>
                <w:rFonts w:hint="eastAsia" w:ascii="仿宋" w:hAnsi="仿宋" w:eastAsia="仿宋" w:cs="仿宋"/>
                <w:b/>
                <w:bCs/>
                <w:snapToGrid w:val="0"/>
                <w:kern w:val="0"/>
                <w:sz w:val="24"/>
                <w:szCs w:val="24"/>
                <w:lang w:val="en-US" w:eastAsia="zh-CN"/>
              </w:rPr>
              <w:t>42</w:t>
            </w:r>
            <w:r>
              <w:rPr>
                <w:rFonts w:hint="eastAsia" w:ascii="仿宋" w:hAnsi="仿宋" w:eastAsia="仿宋" w:cs="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实施方案</w:t>
            </w:r>
          </w:p>
        </w:tc>
        <w:tc>
          <w:tcPr>
            <w:tcW w:w="709"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评标委员会根据投标人提供的实施方案响应情况进行评审：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1）响应方案满足但不限于以上5项，得15分。2）响应方案满足以上其中4项，得10分。3）响应方案满足以上其中3项，得5分。4）其他情况不得分。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项目重点难点分析、应对措施及相关的合理化建议</w:t>
            </w:r>
          </w:p>
        </w:tc>
        <w:tc>
          <w:tcPr>
            <w:tcW w:w="709"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评标委员会根据投标人提供的项目重点难点分析、应对措施及相关的合理化建议响应情况进行评审：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1）响应方案满足但不限于以上5项，得15分。2）响应方案满足以上其中4项，得10分。3）响应方案满足以上其中3项，得5分。4）其他情况不得分。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质量保障措施及方案</w:t>
            </w:r>
          </w:p>
        </w:tc>
        <w:tc>
          <w:tcPr>
            <w:tcW w:w="709" w:type="dxa"/>
            <w:vAlign w:val="center"/>
          </w:tcPr>
          <w:p>
            <w:pPr>
              <w:spacing w:line="36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评标委员会根据投标人提供的质量保障措施及方案响应情况进行评审：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1）响应方案满足但不限于以上5项，得</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分。2）响应方案满足以上其中4项，得</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分。3）响应方案满足以上其中3项，得</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服务承诺</w:t>
            </w:r>
          </w:p>
        </w:tc>
        <w:tc>
          <w:tcPr>
            <w:tcW w:w="709"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6335" w:type="dxa"/>
            <w:tcBorders>
              <w:right w:val="double" w:color="auto" w:sz="4" w:space="0"/>
            </w:tcBorders>
            <w:vAlign w:val="center"/>
          </w:tcPr>
          <w:p>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投标人自行提供在履约期间的相关服务承诺，得2分。提供承诺函，格式自拟。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商务标（S）</w:t>
            </w:r>
          </w:p>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w:t>
            </w:r>
            <w:r>
              <w:rPr>
                <w:rFonts w:hint="eastAsia" w:ascii="仿宋" w:hAnsi="仿宋" w:eastAsia="仿宋" w:cs="仿宋"/>
                <w:b/>
                <w:bCs/>
                <w:snapToGrid w:val="0"/>
                <w:kern w:val="0"/>
                <w:sz w:val="24"/>
                <w:szCs w:val="24"/>
                <w:lang w:val="en-US" w:eastAsia="zh-CN"/>
              </w:rPr>
              <w:t>48</w:t>
            </w:r>
            <w:r>
              <w:rPr>
                <w:rFonts w:hint="eastAsia" w:ascii="仿宋" w:hAnsi="仿宋" w:eastAsia="仿宋" w:cs="仿宋"/>
                <w:b/>
                <w:bCs/>
                <w:snapToGrid w:val="0"/>
                <w:kern w:val="0"/>
                <w:sz w:val="24"/>
                <w:szCs w:val="24"/>
              </w:rPr>
              <w:t>分）</w:t>
            </w:r>
          </w:p>
        </w:tc>
        <w:tc>
          <w:tcPr>
            <w:tcW w:w="1182"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相关认证</w:t>
            </w:r>
          </w:p>
        </w:tc>
        <w:tc>
          <w:tcPr>
            <w:tcW w:w="709" w:type="dxa"/>
            <w:tcBorders>
              <w:right w:val="single" w:color="auto" w:sz="4" w:space="0"/>
            </w:tcBorders>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5</w:t>
            </w:r>
          </w:p>
        </w:tc>
        <w:tc>
          <w:tcPr>
            <w:tcW w:w="6335" w:type="dxa"/>
            <w:tcBorders>
              <w:left w:val="single" w:color="auto" w:sz="4" w:space="0"/>
              <w:right w:val="double" w:color="auto" w:sz="4" w:space="0"/>
            </w:tcBorders>
            <w:vAlign w:val="center"/>
          </w:tcPr>
          <w:p>
            <w:pPr>
              <w:spacing w:line="360" w:lineRule="auto"/>
              <w:ind w:left="480" w:hanging="480" w:hangingChars="200"/>
              <w:rPr>
                <w:rFonts w:ascii="仿宋" w:hAnsi="仿宋" w:eastAsia="仿宋" w:cs="仿宋"/>
                <w:sz w:val="24"/>
                <w:szCs w:val="24"/>
              </w:rPr>
            </w:pPr>
            <w:r>
              <w:rPr>
                <w:rFonts w:hint="eastAsia" w:ascii="仿宋" w:hAnsi="仿宋" w:eastAsia="仿宋" w:cs="仿宋"/>
                <w:sz w:val="24"/>
                <w:szCs w:val="24"/>
              </w:rPr>
              <w:t>1）投标人具有CNAS检验机构认可证书（检验项目含：结构安全性与可靠性评价），得2分。</w:t>
            </w:r>
          </w:p>
          <w:p>
            <w:pPr>
              <w:spacing w:line="360" w:lineRule="auto"/>
              <w:ind w:left="480" w:hanging="480" w:hangingChars="200"/>
              <w:rPr>
                <w:rFonts w:hint="eastAsia" w:ascii="仿宋" w:hAnsi="仿宋" w:eastAsia="仿宋" w:cs="仿宋"/>
                <w:sz w:val="24"/>
                <w:szCs w:val="24"/>
              </w:rPr>
            </w:pPr>
            <w:r>
              <w:rPr>
                <w:rFonts w:hint="eastAsia" w:ascii="仿宋" w:hAnsi="仿宋" w:eastAsia="仿宋" w:cs="仿宋"/>
                <w:sz w:val="24"/>
                <w:szCs w:val="24"/>
              </w:rPr>
              <w:t>2）投标人具有</w:t>
            </w:r>
            <w:r>
              <w:rPr>
                <w:rFonts w:hint="eastAsia" w:ascii="仿宋" w:hAnsi="仿宋" w:eastAsia="仿宋" w:cs="仿宋"/>
                <w:sz w:val="24"/>
                <w:szCs w:val="24"/>
                <w:lang w:val="en-US" w:eastAsia="zh-CN"/>
              </w:rPr>
              <w:t>质量管理体系认证证书，得1分。</w:t>
            </w:r>
          </w:p>
          <w:p>
            <w:pPr>
              <w:spacing w:line="360" w:lineRule="auto"/>
              <w:ind w:left="480" w:hanging="480" w:hanging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投标人具有</w:t>
            </w:r>
            <w:r>
              <w:rPr>
                <w:rFonts w:hint="eastAsia" w:ascii="仿宋" w:hAnsi="仿宋" w:eastAsia="仿宋" w:cs="仿宋"/>
                <w:sz w:val="24"/>
                <w:szCs w:val="24"/>
                <w:lang w:val="en-US" w:eastAsia="zh-CN"/>
              </w:rPr>
              <w:t>环境管理体系认证证书，得1分。</w:t>
            </w:r>
          </w:p>
          <w:p>
            <w:pPr>
              <w:spacing w:line="360" w:lineRule="auto"/>
              <w:ind w:left="480" w:hanging="480" w:hanging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投标人具有</w:t>
            </w:r>
            <w:r>
              <w:rPr>
                <w:rFonts w:hint="eastAsia" w:ascii="仿宋" w:hAnsi="仿宋" w:eastAsia="仿宋" w:cs="仿宋"/>
                <w:sz w:val="24"/>
                <w:szCs w:val="24"/>
                <w:lang w:val="en-US" w:eastAsia="zh-CN"/>
              </w:rPr>
              <w:t>职业健康安全管理体系认证证书，得1分。</w:t>
            </w:r>
          </w:p>
          <w:p>
            <w:pPr>
              <w:spacing w:line="360" w:lineRule="auto"/>
              <w:ind w:left="0" w:leftChars="0" w:firstLine="0" w:firstLineChars="0"/>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lang w:val="en-US" w:eastAsia="zh-CN"/>
              </w:rPr>
              <w:t>注：ISO</w:t>
            </w:r>
            <w:r>
              <w:rPr>
                <w:rFonts w:hint="eastAsia" w:ascii="仿宋" w:hAnsi="仿宋" w:eastAsia="仿宋" w:cs="仿宋"/>
                <w:b/>
                <w:bCs/>
                <w:color w:val="FF0000"/>
                <w:sz w:val="24"/>
                <w:szCs w:val="24"/>
              </w:rPr>
              <w:t>认证</w:t>
            </w:r>
            <w:r>
              <w:rPr>
                <w:rFonts w:hint="eastAsia" w:ascii="仿宋" w:hAnsi="仿宋" w:eastAsia="仿宋" w:cs="仿宋"/>
                <w:b/>
                <w:bCs/>
                <w:color w:val="FF0000"/>
                <w:sz w:val="24"/>
                <w:szCs w:val="24"/>
                <w:lang w:val="en-US" w:eastAsia="zh-CN"/>
              </w:rPr>
              <w:t>提供证书的扫描件和</w:t>
            </w:r>
            <w:r>
              <w:rPr>
                <w:rFonts w:hint="eastAsia" w:ascii="仿宋" w:hAnsi="仿宋" w:eastAsia="仿宋" w:cs="仿宋"/>
                <w:b/>
                <w:bCs/>
                <w:color w:val="FF0000"/>
                <w:sz w:val="24"/>
                <w:szCs w:val="24"/>
              </w:rPr>
              <w:t>在全国认证认可信息公共服务平台（http://cx.cnca.cn/）网站或相关证书官网查询显示有效状态的</w:t>
            </w:r>
            <w:r>
              <w:rPr>
                <w:rFonts w:hint="eastAsia" w:ascii="仿宋" w:hAnsi="仿宋" w:eastAsia="仿宋" w:cs="仿宋"/>
                <w:b/>
                <w:bCs/>
                <w:color w:val="FF0000"/>
                <w:sz w:val="24"/>
                <w:szCs w:val="24"/>
                <w:lang w:val="en-US" w:eastAsia="zh-CN"/>
              </w:rPr>
              <w:t>截图</w:t>
            </w:r>
          </w:p>
          <w:p>
            <w:pPr>
              <w:spacing w:line="360" w:lineRule="auto"/>
              <w:rPr>
                <w:rFonts w:ascii="仿宋" w:hAnsi="仿宋" w:eastAsia="仿宋" w:cs="仿宋"/>
                <w:sz w:val="24"/>
                <w:szCs w:val="24"/>
              </w:rPr>
            </w:pPr>
            <w:r>
              <w:rPr>
                <w:rFonts w:hint="eastAsia" w:ascii="仿宋" w:hAnsi="仿宋" w:eastAsia="仿宋" w:cs="仿宋"/>
                <w:sz w:val="24"/>
                <w:szCs w:val="24"/>
              </w:rPr>
              <w:t>【提供相关证书的扫描件</w:t>
            </w:r>
            <w:r>
              <w:rPr>
                <w:rFonts w:hint="eastAsia" w:ascii="仿宋" w:hAnsi="仿宋" w:eastAsia="仿宋" w:cs="仿宋"/>
                <w:sz w:val="24"/>
                <w:szCs w:val="24"/>
                <w:lang w:val="en-US" w:eastAsia="zh-CN"/>
              </w:rPr>
              <w:t>和ISO证书查询截图</w:t>
            </w:r>
            <w:r>
              <w:rPr>
                <w:rFonts w:hint="eastAsia" w:ascii="仿宋" w:hAnsi="仿宋" w:eastAsia="仿宋" w:cs="仿宋"/>
                <w:sz w:val="24"/>
                <w:szCs w:val="24"/>
              </w:rPr>
              <w:t>并加盖投标人公章，原件备查。</w:t>
            </w:r>
            <w:r>
              <w:rPr>
                <w:rFonts w:hint="eastAsia" w:ascii="仿宋" w:hAnsi="仿宋" w:eastAsia="仿宋" w:cs="仿宋"/>
                <w:kern w:val="0"/>
                <w:sz w:val="24"/>
                <w:szCs w:val="24"/>
              </w:rPr>
              <w:t>未按要求提供或提供不清晰导致专家无法有效判断的不得分</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cs="仿宋"/>
                <w:sz w:val="24"/>
                <w:szCs w:val="24"/>
              </w:rPr>
            </w:pPr>
            <w:r>
              <w:rPr>
                <w:rFonts w:hint="eastAsia" w:ascii="仿宋" w:hAnsi="仿宋" w:eastAsia="仿宋" w:cs="仿宋"/>
                <w:sz w:val="24"/>
                <w:szCs w:val="24"/>
              </w:rPr>
              <w:t>同类业绩</w:t>
            </w:r>
          </w:p>
        </w:tc>
        <w:tc>
          <w:tcPr>
            <w:tcW w:w="709" w:type="dxa"/>
            <w:tcBorders>
              <w:right w:val="single" w:color="auto" w:sz="4" w:space="0"/>
            </w:tcBorders>
            <w:vAlign w:val="center"/>
          </w:tcPr>
          <w:p>
            <w:pPr>
              <w:widowControl/>
              <w:spacing w:line="360" w:lineRule="auto"/>
              <w:jc w:val="center"/>
              <w:rPr>
                <w:rFonts w:hint="default"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10</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投标人近三年相关同类（</w:t>
            </w:r>
            <w:r>
              <w:rPr>
                <w:rFonts w:hint="eastAsia" w:ascii="仿宋" w:hAnsi="仿宋" w:eastAsia="仿宋" w:cs="仿宋"/>
                <w:b/>
                <w:bCs/>
                <w:kern w:val="0"/>
                <w:sz w:val="24"/>
                <w:szCs w:val="24"/>
              </w:rPr>
              <w:t>检测鉴定</w:t>
            </w:r>
            <w:r>
              <w:rPr>
                <w:rFonts w:hint="eastAsia" w:ascii="仿宋" w:hAnsi="仿宋" w:eastAsia="仿宋" w:cs="仿宋"/>
                <w:kern w:val="0"/>
                <w:sz w:val="24"/>
                <w:szCs w:val="24"/>
              </w:rPr>
              <w:t>）业绩（以合同签订时间或中标通知书时间为准,从2019年</w:t>
            </w: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月1日开始，截止日为本项目发布采购公告之日），每提供一个有效业绩得2分，本项得分最高得</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w:t>
            </w:r>
          </w:p>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提供签订合同或中标通知书的扫描件并加盖投标人公章，原件备查。合同须表明关键信息(通过合同关键信息无法判断是否得分的，还需同时提供能证明得分的其它证明资料，如项目报告或合同采购方出具的证明文件等)，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cs="仿宋"/>
                <w:sz w:val="24"/>
                <w:szCs w:val="24"/>
              </w:rPr>
            </w:pPr>
            <w:r>
              <w:rPr>
                <w:rFonts w:hint="eastAsia" w:ascii="仿宋" w:hAnsi="仿宋" w:eastAsia="仿宋" w:cs="仿宋"/>
                <w:sz w:val="24"/>
                <w:szCs w:val="24"/>
              </w:rPr>
              <w:t>企业荣誉</w:t>
            </w:r>
          </w:p>
        </w:tc>
        <w:tc>
          <w:tcPr>
            <w:tcW w:w="709" w:type="dxa"/>
            <w:tcBorders>
              <w:right w:val="single" w:color="auto" w:sz="4" w:space="0"/>
            </w:tcBorders>
            <w:vAlign w:val="center"/>
          </w:tcPr>
          <w:p>
            <w:pPr>
              <w:widowControl/>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8</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投标人自2019年6月1日起至本项目发布采购公告之日止</w:t>
            </w:r>
          </w:p>
          <w:p>
            <w:pPr>
              <w:snapToGrid w:val="0"/>
              <w:spacing w:line="360" w:lineRule="auto"/>
              <w:ind w:left="480" w:hanging="480" w:hangingChars="20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1）获得省级或以上</w:t>
            </w:r>
            <w:r>
              <w:rPr>
                <w:rFonts w:hint="eastAsia" w:ascii="仿宋" w:hAnsi="仿宋" w:eastAsia="仿宋" w:cs="仿宋"/>
                <w:kern w:val="0"/>
                <w:sz w:val="24"/>
                <w:szCs w:val="24"/>
                <w:lang w:val="en-US" w:eastAsia="zh-CN"/>
              </w:rPr>
              <w:t>相关机构</w:t>
            </w:r>
            <w:r>
              <w:rPr>
                <w:rFonts w:hint="eastAsia" w:ascii="仿宋" w:hAnsi="仿宋" w:eastAsia="仿宋" w:cs="仿宋"/>
                <w:kern w:val="0"/>
                <w:sz w:val="24"/>
                <w:szCs w:val="24"/>
              </w:rPr>
              <w:t>颁发荣誉证书的，得2分</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获得市级相关机构</w:t>
            </w:r>
            <w:r>
              <w:rPr>
                <w:rFonts w:hint="eastAsia" w:ascii="仿宋" w:hAnsi="仿宋" w:eastAsia="仿宋" w:cs="仿宋"/>
                <w:kern w:val="0"/>
                <w:sz w:val="24"/>
                <w:szCs w:val="24"/>
              </w:rPr>
              <w:t>颁发荣誉证书的，得</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w:t>
            </w:r>
            <w:r>
              <w:rPr>
                <w:rFonts w:hint="eastAsia" w:ascii="仿宋" w:hAnsi="仿宋" w:eastAsia="仿宋" w:cs="仿宋"/>
                <w:kern w:val="0"/>
                <w:sz w:val="24"/>
                <w:szCs w:val="24"/>
                <w:lang w:eastAsia="zh-CN"/>
              </w:rPr>
              <w:t>。</w:t>
            </w:r>
          </w:p>
          <w:p>
            <w:pPr>
              <w:snapToGrid w:val="0"/>
              <w:spacing w:line="360" w:lineRule="auto"/>
              <w:ind w:left="480" w:hanging="480" w:hangingChars="200"/>
              <w:jc w:val="left"/>
              <w:rPr>
                <w:rFonts w:hint="eastAsia" w:ascii="仿宋" w:hAnsi="仿宋" w:eastAsia="仿宋" w:cs="仿宋"/>
                <w:kern w:val="0"/>
                <w:sz w:val="24"/>
                <w:szCs w:val="24"/>
              </w:rPr>
            </w:pPr>
            <w:r>
              <w:rPr>
                <w:rFonts w:hint="eastAsia" w:ascii="仿宋" w:hAnsi="仿宋" w:eastAsia="仿宋" w:cs="仿宋"/>
                <w:kern w:val="0"/>
                <w:sz w:val="24"/>
                <w:szCs w:val="24"/>
              </w:rPr>
              <w:t>2）获得省级或以上</w:t>
            </w:r>
            <w:r>
              <w:rPr>
                <w:rFonts w:hint="eastAsia" w:ascii="仿宋" w:hAnsi="仿宋" w:eastAsia="仿宋" w:cs="仿宋"/>
                <w:kern w:val="0"/>
                <w:sz w:val="24"/>
                <w:szCs w:val="24"/>
                <w:lang w:val="en-US" w:eastAsia="zh-CN"/>
              </w:rPr>
              <w:t>相关机构颁发</w:t>
            </w:r>
            <w:r>
              <w:rPr>
                <w:rFonts w:hint="eastAsia" w:ascii="仿宋" w:hAnsi="仿宋" w:eastAsia="仿宋" w:cs="仿宋"/>
                <w:kern w:val="0"/>
                <w:sz w:val="24"/>
                <w:szCs w:val="24"/>
              </w:rPr>
              <w:t>科学技术进步奖证书的，每提供一个得2分</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获得市级相关机构</w:t>
            </w:r>
            <w:r>
              <w:rPr>
                <w:rFonts w:hint="eastAsia" w:ascii="仿宋" w:hAnsi="仿宋" w:eastAsia="仿宋" w:cs="仿宋"/>
                <w:kern w:val="0"/>
                <w:sz w:val="24"/>
                <w:szCs w:val="24"/>
              </w:rPr>
              <w:t>颁发科学技术进步奖证书的，每提供一个得</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本小项</w:t>
            </w:r>
            <w:r>
              <w:rPr>
                <w:rFonts w:hint="eastAsia" w:ascii="仿宋" w:hAnsi="仿宋" w:eastAsia="仿宋" w:cs="仿宋"/>
                <w:kern w:val="0"/>
                <w:sz w:val="24"/>
                <w:szCs w:val="24"/>
              </w:rPr>
              <w:t>最高得4分。</w:t>
            </w:r>
          </w:p>
          <w:p>
            <w:pPr>
              <w:snapToGrid w:val="0"/>
              <w:spacing w:line="360" w:lineRule="auto"/>
              <w:ind w:left="480" w:hanging="480" w:hangingChars="200"/>
              <w:jc w:val="left"/>
              <w:rPr>
                <w:rFonts w:ascii="仿宋" w:hAnsi="仿宋" w:eastAsia="仿宋" w:cs="仿宋"/>
                <w:kern w:val="0"/>
                <w:sz w:val="24"/>
                <w:szCs w:val="24"/>
              </w:rPr>
            </w:pPr>
            <w:r>
              <w:rPr>
                <w:rFonts w:hint="eastAsia" w:ascii="仿宋" w:hAnsi="仿宋" w:eastAsia="仿宋" w:cs="仿宋"/>
                <w:kern w:val="0"/>
                <w:sz w:val="24"/>
                <w:szCs w:val="24"/>
              </w:rPr>
              <w:t>3）主编市级或以上标准或规程</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建筑结构检测鉴定服务相关</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的，得2分。</w:t>
            </w:r>
          </w:p>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【提供相关证明材料的</w:t>
            </w:r>
            <w:r>
              <w:rPr>
                <w:rFonts w:hint="eastAsia" w:ascii="仿宋" w:hAnsi="仿宋" w:eastAsia="仿宋" w:cs="仿宋"/>
                <w:sz w:val="24"/>
                <w:szCs w:val="24"/>
              </w:rPr>
              <w:t>扫描件并加盖投标人公章，原件备查。</w:t>
            </w:r>
            <w:r>
              <w:rPr>
                <w:rFonts w:hint="eastAsia" w:ascii="仿宋" w:hAnsi="仿宋" w:eastAsia="仿宋" w:cs="仿宋"/>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cs="仿宋"/>
                <w:sz w:val="24"/>
                <w:szCs w:val="24"/>
              </w:rPr>
            </w:pPr>
            <w:r>
              <w:rPr>
                <w:rFonts w:hint="eastAsia" w:ascii="仿宋" w:hAnsi="仿宋" w:eastAsia="仿宋" w:cs="仿宋"/>
                <w:sz w:val="24"/>
                <w:szCs w:val="24"/>
              </w:rPr>
              <w:t>拟派项目负责人（仅限一名）</w:t>
            </w:r>
          </w:p>
        </w:tc>
        <w:tc>
          <w:tcPr>
            <w:tcW w:w="709" w:type="dxa"/>
            <w:tcBorders>
              <w:right w:val="single" w:color="auto" w:sz="4" w:space="0"/>
            </w:tcBorders>
            <w:vAlign w:val="center"/>
          </w:tcPr>
          <w:p>
            <w:pPr>
              <w:widowControl/>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5</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仿宋"/>
                <w:sz w:val="24"/>
                <w:szCs w:val="24"/>
              </w:rPr>
            </w:pPr>
            <w:r>
              <w:rPr>
                <w:rFonts w:hint="eastAsia" w:ascii="仿宋" w:hAnsi="仿宋" w:eastAsia="仿宋" w:cs="仿宋"/>
                <w:sz w:val="24"/>
                <w:szCs w:val="24"/>
              </w:rPr>
              <w:t>拟派项目负责人（仅限一名）须是投标单位员工【投标单位提供为其缴纳的社保证明（2022年4月至6月，如开标日前近一个月的社保证明因社保部门原因暂时无法提供，可往前顺延一个月），未提供本项不得分】在此基础上进行以下评审：</w:t>
            </w:r>
          </w:p>
          <w:p>
            <w:pPr>
              <w:snapToGrid w:val="0"/>
              <w:spacing w:line="360" w:lineRule="auto"/>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rPr>
              <w:t>1）具有高级工程师职称</w:t>
            </w:r>
            <w:r>
              <w:rPr>
                <w:rFonts w:hint="eastAsia" w:ascii="仿宋" w:hAnsi="仿宋" w:eastAsia="仿宋" w:cs="仿宋"/>
                <w:kern w:val="0"/>
                <w:sz w:val="24"/>
                <w:szCs w:val="24"/>
                <w:lang w:val="en-US" w:eastAsia="zh-CN"/>
              </w:rPr>
              <w:t>证书，专业</w:t>
            </w:r>
            <w:r>
              <w:rPr>
                <w:rFonts w:hint="eastAsia" w:ascii="仿宋" w:hAnsi="仿宋" w:eastAsia="仿宋" w:cs="仿宋"/>
                <w:sz w:val="24"/>
                <w:szCs w:val="24"/>
              </w:rPr>
              <w:t>类别为</w:t>
            </w:r>
            <w:r>
              <w:rPr>
                <w:rFonts w:hint="eastAsia" w:ascii="仿宋" w:hAnsi="仿宋" w:eastAsia="仿宋" w:cs="仿宋"/>
                <w:kern w:val="0"/>
                <w:sz w:val="24"/>
                <w:szCs w:val="24"/>
              </w:rPr>
              <w:t>结构工程专业</w:t>
            </w:r>
          </w:p>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2）具有国家一级注册结构工程师</w:t>
            </w:r>
            <w:r>
              <w:rPr>
                <w:rFonts w:hint="eastAsia" w:ascii="仿宋" w:hAnsi="仿宋" w:eastAsia="仿宋" w:cs="仿宋"/>
                <w:kern w:val="0"/>
                <w:sz w:val="24"/>
                <w:szCs w:val="24"/>
                <w:lang w:val="en-US" w:eastAsia="zh-CN"/>
              </w:rPr>
              <w:t>证书</w:t>
            </w:r>
          </w:p>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全部满足得5分，每不满足任何一项扣3分，扣完为止。</w:t>
            </w:r>
          </w:p>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sz w:val="24"/>
                <w:szCs w:val="24"/>
              </w:rPr>
              <w:t>提供项目负责人相关证明文件的扫描件并加盖投标人公章，原件备查。未按要求提供或提供不清晰导致专家无法有效判断的不得分</w:t>
            </w:r>
            <w:r>
              <w:rPr>
                <w:rFonts w:hint="eastAsia" w:ascii="仿宋" w:hAnsi="仿宋" w:eastAsia="仿宋" w:cs="仿宋"/>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cs="仿宋"/>
                <w:sz w:val="24"/>
                <w:szCs w:val="24"/>
              </w:rPr>
            </w:pPr>
            <w:r>
              <w:rPr>
                <w:rFonts w:hint="eastAsia" w:ascii="仿宋" w:hAnsi="仿宋" w:eastAsia="仿宋" w:cs="仿宋"/>
                <w:sz w:val="24"/>
                <w:szCs w:val="24"/>
              </w:rPr>
              <w:t>拟派项目团队成员（项目负责人除外）</w:t>
            </w:r>
          </w:p>
        </w:tc>
        <w:tc>
          <w:tcPr>
            <w:tcW w:w="709" w:type="dxa"/>
            <w:tcBorders>
              <w:right w:val="single" w:color="auto" w:sz="4" w:space="0"/>
            </w:tcBorders>
            <w:vAlign w:val="center"/>
          </w:tcPr>
          <w:p>
            <w:pPr>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15</w:t>
            </w:r>
          </w:p>
        </w:tc>
        <w:tc>
          <w:tcPr>
            <w:tcW w:w="6335" w:type="dxa"/>
            <w:tcBorders>
              <w:left w:val="single" w:color="auto" w:sz="4" w:space="0"/>
              <w:right w:val="double" w:color="auto" w:sz="4" w:space="0"/>
            </w:tcBorders>
            <w:vAlign w:val="center"/>
          </w:tcPr>
          <w:p>
            <w:pPr>
              <w:spacing w:line="360" w:lineRule="auto"/>
              <w:rPr>
                <w:rFonts w:ascii="仿宋" w:hAnsi="仿宋" w:eastAsia="仿宋" w:cs="仿宋"/>
                <w:sz w:val="24"/>
                <w:szCs w:val="24"/>
              </w:rPr>
            </w:pPr>
            <w:r>
              <w:rPr>
                <w:rFonts w:hint="eastAsia" w:ascii="仿宋" w:hAnsi="仿宋" w:eastAsia="仿宋" w:cs="仿宋"/>
                <w:sz w:val="24"/>
                <w:szCs w:val="24"/>
              </w:rPr>
              <w:t>拟派项目团队成员须均是投标单位员工【投标单位提供为其缴纳的社保证明（2022年4月至6月，如开标日前近一个月的社保证明因社保部门原因暂时无法提供，可往前顺延一个月），未提供本项不得分】在此基础上进行以下评审：</w:t>
            </w:r>
          </w:p>
          <w:p>
            <w:pPr>
              <w:spacing w:line="360" w:lineRule="auto"/>
              <w:ind w:left="480" w:hanging="480" w:hangingChars="200"/>
              <w:rPr>
                <w:rFonts w:ascii="仿宋" w:hAnsi="仿宋" w:eastAsia="仿宋" w:cs="仿宋"/>
                <w:sz w:val="24"/>
                <w:szCs w:val="24"/>
              </w:rPr>
            </w:pPr>
            <w:r>
              <w:rPr>
                <w:rFonts w:hint="eastAsia" w:ascii="仿宋" w:hAnsi="仿宋" w:eastAsia="仿宋" w:cs="仿宋"/>
                <w:sz w:val="24"/>
                <w:szCs w:val="24"/>
              </w:rPr>
              <w:t>1）团队成员中拥有具备高级工程师或以上职称</w:t>
            </w:r>
            <w:r>
              <w:rPr>
                <w:rFonts w:hint="eastAsia" w:ascii="仿宋" w:hAnsi="仿宋" w:eastAsia="仿宋" w:cs="仿宋"/>
                <w:sz w:val="24"/>
                <w:szCs w:val="24"/>
                <w:lang w:val="en-US" w:eastAsia="zh-CN"/>
              </w:rPr>
              <w:t>证书</w:t>
            </w:r>
            <w:r>
              <w:rPr>
                <w:rFonts w:hint="eastAsia" w:ascii="仿宋" w:hAnsi="仿宋" w:eastAsia="仿宋" w:cs="仿宋"/>
                <w:sz w:val="24"/>
                <w:szCs w:val="24"/>
              </w:rPr>
              <w:t>，专业类别为建筑结构或工程检测或岩土工程或建筑材料或结构工程领域）并</w:t>
            </w:r>
            <w:r>
              <w:rPr>
                <w:rFonts w:hint="eastAsia" w:ascii="仿宋" w:hAnsi="仿宋" w:eastAsia="仿宋" w:cs="仿宋"/>
                <w:color w:val="auto"/>
                <w:sz w:val="24"/>
                <w:szCs w:val="24"/>
              </w:rPr>
              <w:t>同时</w:t>
            </w:r>
            <w:r>
              <w:rPr>
                <w:rFonts w:hint="eastAsia" w:ascii="仿宋" w:hAnsi="仿宋" w:eastAsia="仿宋" w:cs="仿宋"/>
                <w:sz w:val="24"/>
                <w:szCs w:val="24"/>
              </w:rPr>
              <w:t>持有一级注册结构工程师（或注册岩土工程师证书）的，每提供一名得1.5分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具有</w:t>
            </w:r>
            <w:r>
              <w:rPr>
                <w:rFonts w:hint="eastAsia" w:ascii="仿宋" w:hAnsi="仿宋" w:eastAsia="仿宋" w:cs="仿宋"/>
                <w:sz w:val="24"/>
                <w:szCs w:val="24"/>
              </w:rPr>
              <w:t>持有一级注册结构工程师（或注册岩土工程师证书）的</w:t>
            </w:r>
            <w:r>
              <w:rPr>
                <w:rFonts w:hint="eastAsia" w:ascii="仿宋" w:hAnsi="仿宋" w:eastAsia="仿宋" w:cs="仿宋"/>
                <w:sz w:val="24"/>
                <w:szCs w:val="24"/>
                <w:lang w:val="en-US" w:eastAsia="zh-CN"/>
              </w:rPr>
              <w:t>，</w:t>
            </w:r>
            <w:r>
              <w:rPr>
                <w:rFonts w:hint="eastAsia" w:ascii="仿宋" w:hAnsi="仿宋" w:eastAsia="仿宋" w:cs="仿宋"/>
                <w:sz w:val="24"/>
                <w:szCs w:val="24"/>
              </w:rPr>
              <w:t>每提供一名得</w:t>
            </w:r>
            <w:r>
              <w:rPr>
                <w:rFonts w:hint="eastAsia" w:ascii="仿宋" w:hAnsi="仿宋" w:eastAsia="仿宋" w:cs="仿宋"/>
                <w:sz w:val="24"/>
                <w:szCs w:val="24"/>
                <w:lang w:val="en-US" w:eastAsia="zh-CN"/>
              </w:rPr>
              <w:t>0.5</w:t>
            </w:r>
            <w:r>
              <w:rPr>
                <w:rFonts w:hint="eastAsia" w:ascii="仿宋" w:hAnsi="仿宋" w:eastAsia="仿宋" w:cs="仿宋"/>
                <w:sz w:val="24"/>
                <w:szCs w:val="24"/>
              </w:rPr>
              <w:t>分</w:t>
            </w:r>
            <w:r>
              <w:rPr>
                <w:rFonts w:hint="eastAsia" w:ascii="仿宋" w:hAnsi="仿宋" w:eastAsia="仿宋" w:cs="仿宋"/>
                <w:sz w:val="24"/>
                <w:szCs w:val="24"/>
                <w:lang w:eastAsia="zh-CN"/>
              </w:rPr>
              <w:t>。</w:t>
            </w:r>
            <w:r>
              <w:rPr>
                <w:rFonts w:hint="eastAsia" w:ascii="仿宋" w:hAnsi="仿宋" w:eastAsia="仿宋" w:cs="仿宋"/>
                <w:sz w:val="24"/>
                <w:szCs w:val="24"/>
              </w:rPr>
              <w:t>本小项最高得4.5分。</w:t>
            </w:r>
          </w:p>
          <w:p>
            <w:pPr>
              <w:spacing w:line="360" w:lineRule="auto"/>
              <w:ind w:left="480" w:hanging="480" w:hangingChars="200"/>
              <w:rPr>
                <w:rFonts w:hint="eastAsia" w:ascii="仿宋" w:hAnsi="仿宋" w:eastAsia="仿宋" w:cs="仿宋"/>
                <w:sz w:val="24"/>
                <w:szCs w:val="24"/>
              </w:rPr>
            </w:pPr>
            <w:r>
              <w:rPr>
                <w:rFonts w:hint="eastAsia" w:ascii="仿宋" w:hAnsi="仿宋" w:eastAsia="仿宋" w:cs="仿宋"/>
                <w:sz w:val="24"/>
                <w:szCs w:val="24"/>
              </w:rPr>
              <w:t>2）团队成员中拥有具备高级工程师或以上职称</w:t>
            </w:r>
            <w:r>
              <w:rPr>
                <w:rFonts w:hint="eastAsia" w:ascii="仿宋" w:hAnsi="仿宋" w:eastAsia="仿宋" w:cs="仿宋"/>
                <w:sz w:val="24"/>
                <w:szCs w:val="24"/>
                <w:lang w:val="en-US" w:eastAsia="zh-CN"/>
              </w:rPr>
              <w:t>证书</w:t>
            </w:r>
            <w:r>
              <w:rPr>
                <w:rFonts w:hint="eastAsia" w:ascii="仿宋" w:hAnsi="仿宋" w:eastAsia="仿宋" w:cs="仿宋"/>
                <w:sz w:val="24"/>
                <w:szCs w:val="24"/>
              </w:rPr>
              <w:t>，专业类别为建筑结构或工程检测或岩土工程或建筑材料或结构工程领域）并同时持有省级（或以上）</w:t>
            </w:r>
            <w:r>
              <w:rPr>
                <w:rFonts w:hint="eastAsia" w:ascii="仿宋" w:hAnsi="仿宋" w:eastAsia="仿宋" w:cs="仿宋"/>
                <w:sz w:val="24"/>
                <w:szCs w:val="24"/>
                <w:highlight w:val="none"/>
                <w:lang w:val="en-US" w:eastAsia="zh-CN"/>
              </w:rPr>
              <w:t>建设工程质量安全检测和鉴定协会颁发的检测鉴定培训合格证</w:t>
            </w:r>
            <w:r>
              <w:rPr>
                <w:rFonts w:hint="eastAsia" w:ascii="仿宋" w:hAnsi="仿宋" w:eastAsia="仿宋" w:cs="仿宋"/>
                <w:sz w:val="24"/>
                <w:szCs w:val="24"/>
              </w:rPr>
              <w:t>的，每提供一名得1.2分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具有</w:t>
            </w:r>
            <w:r>
              <w:rPr>
                <w:rFonts w:hint="eastAsia" w:ascii="仿宋" w:hAnsi="仿宋" w:eastAsia="仿宋" w:cs="仿宋"/>
                <w:sz w:val="24"/>
                <w:szCs w:val="24"/>
              </w:rPr>
              <w:t>持有省级（或以上）</w:t>
            </w:r>
            <w:r>
              <w:rPr>
                <w:rFonts w:hint="eastAsia" w:ascii="仿宋" w:hAnsi="仿宋" w:eastAsia="仿宋" w:cs="仿宋"/>
                <w:sz w:val="24"/>
                <w:szCs w:val="24"/>
                <w:highlight w:val="none"/>
                <w:lang w:val="en-US" w:eastAsia="zh-CN"/>
              </w:rPr>
              <w:t>建设工程质量安全检测和鉴定协会颁发的检测鉴定培训合格证</w:t>
            </w:r>
            <w:r>
              <w:rPr>
                <w:rFonts w:hint="eastAsia" w:ascii="仿宋" w:hAnsi="仿宋" w:eastAsia="仿宋" w:cs="仿宋"/>
                <w:sz w:val="24"/>
                <w:szCs w:val="24"/>
              </w:rPr>
              <w:t>的</w:t>
            </w:r>
            <w:r>
              <w:rPr>
                <w:rFonts w:hint="eastAsia" w:ascii="仿宋" w:hAnsi="仿宋" w:eastAsia="仿宋" w:cs="仿宋"/>
                <w:sz w:val="24"/>
                <w:szCs w:val="24"/>
                <w:lang w:val="en-US" w:eastAsia="zh-CN"/>
              </w:rPr>
              <w:t>，</w:t>
            </w:r>
            <w:r>
              <w:rPr>
                <w:rFonts w:hint="eastAsia" w:ascii="仿宋" w:hAnsi="仿宋" w:eastAsia="仿宋" w:cs="仿宋"/>
                <w:sz w:val="24"/>
                <w:szCs w:val="24"/>
              </w:rPr>
              <w:t>每提供一名得</w:t>
            </w:r>
            <w:r>
              <w:rPr>
                <w:rFonts w:hint="eastAsia" w:ascii="仿宋" w:hAnsi="仿宋" w:eastAsia="仿宋" w:cs="仿宋"/>
                <w:sz w:val="24"/>
                <w:szCs w:val="24"/>
                <w:lang w:val="en-US" w:eastAsia="zh-CN"/>
              </w:rPr>
              <w:t>0.6</w:t>
            </w:r>
            <w:r>
              <w:rPr>
                <w:rFonts w:hint="eastAsia" w:ascii="仿宋" w:hAnsi="仿宋" w:eastAsia="仿宋" w:cs="仿宋"/>
                <w:sz w:val="24"/>
                <w:szCs w:val="24"/>
              </w:rPr>
              <w:t>分</w:t>
            </w:r>
            <w:r>
              <w:rPr>
                <w:rFonts w:hint="eastAsia" w:ascii="仿宋" w:hAnsi="仿宋" w:eastAsia="仿宋" w:cs="仿宋"/>
                <w:sz w:val="24"/>
                <w:szCs w:val="24"/>
                <w:lang w:eastAsia="zh-CN"/>
              </w:rPr>
              <w:t>。</w:t>
            </w:r>
            <w:r>
              <w:rPr>
                <w:rFonts w:hint="eastAsia" w:ascii="仿宋" w:hAnsi="仿宋" w:eastAsia="仿宋" w:cs="仿宋"/>
                <w:sz w:val="24"/>
                <w:szCs w:val="24"/>
              </w:rPr>
              <w:t>本小项最高得6分。</w:t>
            </w:r>
          </w:p>
          <w:p>
            <w:pPr>
              <w:spacing w:line="360" w:lineRule="auto"/>
              <w:ind w:left="480" w:hanging="480" w:hangingChars="200"/>
              <w:rPr>
                <w:rFonts w:ascii="仿宋" w:hAnsi="仿宋" w:eastAsia="仿宋" w:cs="仿宋"/>
                <w:sz w:val="24"/>
                <w:szCs w:val="24"/>
              </w:rPr>
            </w:pPr>
            <w:r>
              <w:rPr>
                <w:rFonts w:hint="eastAsia" w:ascii="仿宋" w:hAnsi="仿宋" w:eastAsia="仿宋" w:cs="仿宋"/>
                <w:sz w:val="24"/>
                <w:szCs w:val="24"/>
              </w:rPr>
              <w:t>3）团队成员中拥有具备中级工程师职称</w:t>
            </w:r>
            <w:r>
              <w:rPr>
                <w:rFonts w:hint="eastAsia" w:ascii="仿宋" w:hAnsi="仿宋" w:eastAsia="仿宋" w:cs="仿宋"/>
                <w:sz w:val="24"/>
                <w:szCs w:val="24"/>
                <w:lang w:val="en-US" w:eastAsia="zh-CN"/>
              </w:rPr>
              <w:t>证书</w:t>
            </w:r>
            <w:r>
              <w:rPr>
                <w:rFonts w:hint="eastAsia" w:ascii="仿宋" w:hAnsi="仿宋" w:eastAsia="仿宋" w:cs="仿宋"/>
                <w:sz w:val="24"/>
                <w:szCs w:val="24"/>
              </w:rPr>
              <w:t>（专业类别为建筑结构或工程检测或岩土工程或建筑材料或结构工程领域）并同时持有省级（或以上）建设工程质量安全检测和鉴定协会颁发的检测鉴定培训合格证的，每提供一名得0.9分，本小项最高得4.5分。</w:t>
            </w:r>
          </w:p>
          <w:p>
            <w:pPr>
              <w:spacing w:line="360" w:lineRule="auto"/>
              <w:rPr>
                <w:rFonts w:ascii="仿宋" w:hAnsi="仿宋" w:eastAsia="仿宋" w:cs="仿宋"/>
                <w:kern w:val="0"/>
                <w:sz w:val="24"/>
                <w:szCs w:val="24"/>
              </w:rPr>
            </w:pPr>
            <w:r>
              <w:rPr>
                <w:rFonts w:hint="eastAsia" w:ascii="仿宋" w:hAnsi="仿宋" w:eastAsia="仿宋" w:cs="仿宋"/>
                <w:sz w:val="24"/>
                <w:szCs w:val="24"/>
              </w:rPr>
              <w:t>【提供项目团队成员相关证明文件的扫描件并加盖投标人公章，原件备查。未按要求提供或提供不清晰导致专家无法有效判断的不得分】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widowControl/>
              <w:spacing w:before="100" w:beforeAutospacing="1" w:after="100" w:afterAutospacing="1" w:line="360" w:lineRule="auto"/>
              <w:jc w:val="center"/>
              <w:rPr>
                <w:rFonts w:ascii="仿宋" w:hAnsi="仿宋" w:eastAsia="仿宋" w:cs="仿宋"/>
                <w:kern w:val="0"/>
                <w:sz w:val="24"/>
                <w:szCs w:val="24"/>
              </w:rPr>
            </w:pPr>
            <w:r>
              <w:rPr>
                <w:rFonts w:hint="eastAsia" w:ascii="仿宋" w:hAnsi="仿宋" w:eastAsia="仿宋" w:cs="仿宋"/>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360" w:lineRule="auto"/>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6335" w:type="dxa"/>
            <w:tcBorders>
              <w:left w:val="single" w:color="auto" w:sz="4" w:space="0"/>
              <w:right w:val="double" w:color="auto" w:sz="4" w:space="0"/>
            </w:tcBorders>
            <w:vAlign w:val="center"/>
          </w:tcPr>
          <w:p>
            <w:pPr>
              <w:widowControl/>
              <w:spacing w:line="360" w:lineRule="auto"/>
              <w:rPr>
                <w:rFonts w:ascii="仿宋" w:hAnsi="仿宋" w:eastAsia="仿宋" w:cs="仿宋"/>
                <w:snapToGrid w:val="0"/>
                <w:kern w:val="0"/>
                <w:sz w:val="24"/>
                <w:szCs w:val="24"/>
              </w:rPr>
            </w:pPr>
            <w:r>
              <w:rPr>
                <w:rFonts w:hint="eastAsia" w:ascii="仿宋" w:hAnsi="仿宋" w:eastAsia="仿宋" w:cs="仿宋"/>
                <w:snapToGrid w:val="0"/>
                <w:kern w:val="0"/>
                <w:sz w:val="24"/>
                <w:szCs w:val="24"/>
              </w:rPr>
              <w:t>投标人参与政府采购活动在诚信管理中受过主管部门通报处理且仍在实施期限内的本项不得分，否则得5分。</w:t>
            </w:r>
          </w:p>
          <w:p>
            <w:pPr>
              <w:adjustRightInd w:val="0"/>
              <w:spacing w:line="360" w:lineRule="auto"/>
              <w:rPr>
                <w:rFonts w:ascii="仿宋" w:hAnsi="仿宋" w:eastAsia="仿宋" w:cs="仿宋"/>
                <w:sz w:val="24"/>
                <w:szCs w:val="24"/>
              </w:rPr>
            </w:pPr>
            <w:r>
              <w:rPr>
                <w:rFonts w:hint="eastAsia" w:ascii="仿宋" w:hAnsi="仿宋" w:eastAsia="仿宋" w:cs="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cs="仿宋"/>
                <w:b/>
                <w:snapToGrid w:val="0"/>
                <w:kern w:val="0"/>
                <w:sz w:val="24"/>
                <w:szCs w:val="24"/>
              </w:rPr>
            </w:pPr>
            <w:r>
              <w:rPr>
                <w:rFonts w:hint="eastAsia" w:ascii="仿宋" w:hAnsi="仿宋" w:eastAsia="仿宋" w:cs="仿宋"/>
                <w:b/>
                <w:snapToGrid w:val="0"/>
                <w:kern w:val="0"/>
                <w:sz w:val="24"/>
                <w:szCs w:val="24"/>
              </w:rPr>
              <w:t>总得分（N）</w:t>
            </w:r>
          </w:p>
          <w:p>
            <w:pPr>
              <w:adjustRightInd w:val="0"/>
              <w:snapToGrid w:val="0"/>
              <w:spacing w:line="360" w:lineRule="auto"/>
              <w:jc w:val="center"/>
              <w:rPr>
                <w:rFonts w:ascii="仿宋" w:hAnsi="仿宋" w:eastAsia="仿宋" w:cs="仿宋"/>
                <w:b/>
                <w:snapToGrid w:val="0"/>
                <w:kern w:val="0"/>
                <w:sz w:val="24"/>
                <w:szCs w:val="24"/>
              </w:rPr>
            </w:pPr>
            <w:r>
              <w:rPr>
                <w:rFonts w:hint="eastAsia" w:ascii="仿宋" w:hAnsi="仿宋" w:eastAsia="仿宋" w:cs="仿宋"/>
                <w:b/>
                <w:snapToGrid w:val="0"/>
                <w:kern w:val="0"/>
                <w:sz w:val="24"/>
                <w:szCs w:val="24"/>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cs="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N=J+G+S</w:t>
            </w:r>
          </w:p>
        </w:tc>
      </w:tr>
    </w:tbl>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10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jc w:val="center"/>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widowControl/>
        <w:jc w:val="left"/>
      </w:pPr>
      <w:r>
        <w:rPr>
          <w:rFonts w:hint="eastAsia" w:ascii="仿宋" w:hAnsi="仿宋" w:eastAsia="仿宋"/>
          <w:b/>
          <w:bCs/>
          <w:sz w:val="28"/>
          <w:szCs w:val="21"/>
        </w:rPr>
        <w:t>一、采购预算</w:t>
      </w:r>
    </w:p>
    <w:tbl>
      <w:tblPr>
        <w:tblStyle w:val="17"/>
        <w:tblW w:w="903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4796"/>
        <w:gridCol w:w="1498"/>
        <w:gridCol w:w="192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4796"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项目名称</w:t>
            </w:r>
          </w:p>
        </w:tc>
        <w:tc>
          <w:tcPr>
            <w:tcW w:w="1498"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1925"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采购控制金额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11"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79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市局同乐基地建筑物结构检测鉴定服务项目</w:t>
            </w:r>
          </w:p>
        </w:tc>
        <w:tc>
          <w:tcPr>
            <w:tcW w:w="1498"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8300平方米</w:t>
            </w:r>
          </w:p>
        </w:tc>
        <w:tc>
          <w:tcPr>
            <w:tcW w:w="1925"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16.6万元</w:t>
            </w:r>
          </w:p>
        </w:tc>
      </w:tr>
    </w:tbl>
    <w:p>
      <w:pPr>
        <w:widowControl/>
        <w:jc w:val="left"/>
        <w:rPr>
          <w:rFonts w:ascii="仿宋" w:hAnsi="仿宋" w:eastAsia="仿宋"/>
          <w:b/>
          <w:bCs/>
          <w:color w:val="FF0000"/>
          <w:sz w:val="24"/>
          <w:szCs w:val="21"/>
        </w:rPr>
      </w:pPr>
      <w:r>
        <w:rPr>
          <w:rFonts w:hint="eastAsia" w:ascii="仿宋" w:hAnsi="仿宋" w:eastAsia="仿宋"/>
          <w:b/>
          <w:bCs/>
          <w:color w:val="FF0000"/>
          <w:sz w:val="24"/>
          <w:szCs w:val="21"/>
        </w:rPr>
        <w:t>注：</w:t>
      </w:r>
      <w:r>
        <w:rPr>
          <w:rFonts w:hint="eastAsia" w:ascii="仿宋" w:hAnsi="仿宋" w:eastAsia="仿宋"/>
          <w:b/>
          <w:bCs/>
          <w:sz w:val="24"/>
          <w:szCs w:val="21"/>
          <w:highlight w:val="yellow"/>
        </w:rPr>
        <w:t>★</w:t>
      </w:r>
      <w:r>
        <w:rPr>
          <w:rFonts w:hint="eastAsia" w:ascii="仿宋" w:hAnsi="仿宋" w:eastAsia="仿宋"/>
          <w:bCs/>
          <w:sz w:val="24"/>
          <w:szCs w:val="21"/>
          <w:highlight w:val="yellow"/>
        </w:rPr>
        <w:t>投标人的投标报价超过采购控制金额的将导致废标。</w:t>
      </w:r>
    </w:p>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二、技术需求</w:t>
      </w: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（一）相关依据</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投标单位必须按以下标准（如有最新的标准以最新的为准）进行检测。</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1、《建筑结构检测技术标准》（GB/T50344-2019）</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2、《混凝土结构现场检测技术标准》(GB/T 50784-2013)</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3、《钻芯法检测混凝土强度技术规程》(JGJ/T384-2016)</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4、《砌体工程现场检测技术标准》(GB/T50315－2011)</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5、《混凝土中钢筋检测技术规程》(JGJ/T152－2008)</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6、《建筑变形测量规范》(JGJ8－2016)</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7、《建筑结构荷载规范》（GB50009-2012）</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8、《混凝土结构设计规范》（GB 50010-2010）</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9、《民用建筑可靠性鉴定标准》（GB50292－2015）</w:t>
      </w:r>
    </w:p>
    <w:p>
      <w:pPr>
        <w:pStyle w:val="2"/>
        <w:spacing w:after="0" w:line="360" w:lineRule="auto"/>
        <w:ind w:left="0" w:leftChars="0" w:firstLine="960" w:firstLineChars="400"/>
        <w:rPr>
          <w:rFonts w:ascii="仿宋" w:hAnsi="仿宋" w:eastAsia="仿宋"/>
          <w:sz w:val="24"/>
        </w:rPr>
      </w:pPr>
      <w:r>
        <w:rPr>
          <w:rFonts w:hint="eastAsia" w:ascii="仿宋" w:hAnsi="仿宋" w:eastAsia="仿宋"/>
          <w:sz w:val="24"/>
        </w:rPr>
        <w:t>10、《建筑结构荷载规范》（GB50009-2012）</w:t>
      </w:r>
    </w:p>
    <w:p>
      <w:pPr>
        <w:pStyle w:val="2"/>
        <w:spacing w:after="0" w:line="360" w:lineRule="auto"/>
        <w:ind w:left="479" w:leftChars="228" w:firstLine="480"/>
        <w:rPr>
          <w:rFonts w:ascii="仿宋" w:hAnsi="仿宋" w:eastAsia="仿宋"/>
          <w:sz w:val="24"/>
        </w:rPr>
      </w:pPr>
      <w:r>
        <w:rPr>
          <w:rFonts w:hint="eastAsia" w:ascii="仿宋" w:hAnsi="仿宋" w:eastAsia="仿宋"/>
          <w:sz w:val="24"/>
        </w:rPr>
        <w:t>11、《建筑工程抗震设防分类标准》（GB50223－2008）等相关标准进行检测。</w:t>
      </w:r>
    </w:p>
    <w:p>
      <w:pPr>
        <w:pStyle w:val="2"/>
        <w:spacing w:after="0" w:line="360" w:lineRule="auto"/>
        <w:ind w:left="0" w:leftChars="0" w:firstLine="482"/>
        <w:rPr>
          <w:rFonts w:ascii="仿宋" w:hAnsi="仿宋" w:eastAsia="仿宋"/>
          <w:b/>
          <w:bCs/>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（二）检测项目及内容</w:t>
      </w:r>
    </w:p>
    <w:p>
      <w:pPr>
        <w:pStyle w:val="2"/>
        <w:spacing w:after="0" w:line="360" w:lineRule="auto"/>
        <w:ind w:left="479" w:leftChars="228" w:firstLine="480"/>
        <w:rPr>
          <w:rFonts w:ascii="仿宋" w:hAnsi="仿宋" w:eastAsia="仿宋"/>
          <w:sz w:val="24"/>
        </w:rPr>
      </w:pPr>
      <w:r>
        <w:rPr>
          <w:rFonts w:hint="eastAsia" w:ascii="仿宋" w:hAnsi="仿宋" w:eastAsia="仿宋"/>
          <w:sz w:val="24"/>
        </w:rPr>
        <w:t>为了解该建筑物现时的结构安全性及楼面承载力，深圳市公安局委托专业检测单位对其进行全面的安全检查并辅以必要的检测，并根据现场检测和分析计算结果提出建筑物的结构安全性鉴定报告（报告内含楼面承载力）。</w:t>
      </w:r>
    </w:p>
    <w:p>
      <w:pPr>
        <w:pStyle w:val="2"/>
        <w:spacing w:after="0" w:line="360" w:lineRule="auto"/>
        <w:ind w:left="0" w:leftChars="0" w:firstLine="480"/>
        <w:rPr>
          <w:rFonts w:ascii="仿宋" w:hAnsi="仿宋" w:eastAsia="仿宋"/>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（三）现状检查</w:t>
      </w:r>
    </w:p>
    <w:p>
      <w:pPr>
        <w:pStyle w:val="2"/>
        <w:spacing w:after="0" w:line="360" w:lineRule="auto"/>
        <w:ind w:left="479" w:leftChars="228" w:firstLine="480"/>
        <w:rPr>
          <w:rFonts w:ascii="仿宋" w:hAnsi="仿宋" w:eastAsia="仿宋"/>
          <w:sz w:val="24"/>
        </w:rPr>
      </w:pPr>
      <w:r>
        <w:rPr>
          <w:rFonts w:hint="eastAsia" w:ascii="仿宋" w:hAnsi="仿宋" w:eastAsia="仿宋"/>
          <w:sz w:val="24"/>
        </w:rPr>
        <w:t>进入现场后首先对工程进行全面的宏观观测，包括结构构造、各构件的外观、房屋的使用状况及结构的整体性、位移（侧移、沉降、倾斜、扭转）、裂缝、损坏、局部变形、蜂窝、麻面、空洞等，并详细记录，对发现的损坏处将作为检测重点进行实际检测。</w:t>
      </w:r>
    </w:p>
    <w:p>
      <w:pPr>
        <w:pStyle w:val="2"/>
        <w:spacing w:after="0" w:line="360" w:lineRule="auto"/>
        <w:ind w:left="0" w:leftChars="0" w:firstLine="482"/>
        <w:rPr>
          <w:rFonts w:ascii="仿宋" w:hAnsi="仿宋" w:eastAsia="仿宋"/>
          <w:b/>
          <w:bCs/>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（四）混凝土强度检测、评定</w:t>
      </w:r>
    </w:p>
    <w:p>
      <w:pPr>
        <w:pStyle w:val="2"/>
        <w:spacing w:after="0" w:line="360" w:lineRule="auto"/>
        <w:ind w:left="479" w:leftChars="228" w:firstLine="480"/>
        <w:rPr>
          <w:rFonts w:ascii="仿宋" w:hAnsi="仿宋" w:eastAsia="仿宋"/>
          <w:sz w:val="24"/>
        </w:rPr>
      </w:pPr>
      <w:r>
        <w:rPr>
          <w:rFonts w:hint="eastAsia" w:ascii="仿宋" w:hAnsi="仿宋" w:eastAsia="仿宋"/>
          <w:sz w:val="24"/>
        </w:rPr>
        <w:t>1、采用钻孔取样机对钢筋混凝土构件柱、梁进行钻芯取样，并在自然干燥状态下进行混凝土抗压强度检测。</w:t>
      </w:r>
    </w:p>
    <w:p>
      <w:pPr>
        <w:pStyle w:val="2"/>
        <w:spacing w:after="0" w:line="360" w:lineRule="auto"/>
        <w:ind w:left="479" w:leftChars="228" w:firstLine="480"/>
        <w:rPr>
          <w:rFonts w:ascii="仿宋" w:hAnsi="仿宋" w:eastAsia="仿宋"/>
          <w:sz w:val="24"/>
        </w:rPr>
      </w:pPr>
      <w:r>
        <w:rPr>
          <w:rFonts w:hint="eastAsia" w:ascii="仿宋" w:hAnsi="仿宋" w:eastAsia="仿宋"/>
          <w:sz w:val="24"/>
        </w:rPr>
        <w:t>2、据现场检测数据，依据《钻芯法检测混凝土强度技术规程》（JGJ/T384-2016）对混凝土强度进行综合评定。2.4钢筋保护层厚度及含量检测评定①采用ZBL-R620型钢筋探测仪对混凝土构件柱、梁、板进行钢筋含量测定（无破损法），检测构件内部配筋直径、间距、分布情况及混凝土构件保护层厚度（着重检测梁、柱构件支座处的箍筋加密情况）；②根据现场实测数据，与房屋原结构设计图纸进行复核，并参照《混凝土结构设计规范》（GB 50010-2010）对钢筋混凝土构件内部配筋直径、间距、分布情况及保护层厚度进行评定。</w:t>
      </w:r>
    </w:p>
    <w:p>
      <w:pPr>
        <w:pStyle w:val="2"/>
        <w:spacing w:after="0" w:line="360" w:lineRule="auto"/>
        <w:ind w:left="0" w:leftChars="0" w:firstLine="480"/>
        <w:rPr>
          <w:rFonts w:ascii="仿宋" w:hAnsi="仿宋" w:eastAsia="仿宋"/>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（五）截面尺寸检测</w:t>
      </w:r>
    </w:p>
    <w:p>
      <w:pPr>
        <w:pStyle w:val="2"/>
        <w:spacing w:after="0" w:line="360" w:lineRule="auto"/>
        <w:ind w:left="479" w:leftChars="228" w:firstLine="480"/>
        <w:rPr>
          <w:rFonts w:ascii="仿宋" w:hAnsi="仿宋" w:eastAsia="仿宋"/>
          <w:sz w:val="24"/>
        </w:rPr>
      </w:pPr>
      <w:r>
        <w:rPr>
          <w:rFonts w:hint="eastAsia" w:ascii="仿宋" w:hAnsi="仿宋" w:eastAsia="仿宋"/>
          <w:sz w:val="24"/>
        </w:rPr>
        <w:t>抽检建筑结构的平面布置、垂直布置及构件截面尺寸，以实际检测数据作为承载能力验算依据。</w:t>
      </w:r>
    </w:p>
    <w:p>
      <w:pPr>
        <w:pStyle w:val="2"/>
        <w:spacing w:after="0" w:line="360" w:lineRule="auto"/>
        <w:ind w:left="0" w:leftChars="0" w:firstLine="480"/>
        <w:rPr>
          <w:rFonts w:ascii="仿宋" w:hAnsi="仿宋" w:eastAsia="仿宋"/>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（六）结构承载能力验算</w:t>
      </w:r>
    </w:p>
    <w:p>
      <w:pPr>
        <w:pStyle w:val="2"/>
        <w:spacing w:after="0" w:line="360" w:lineRule="auto"/>
        <w:ind w:left="479" w:leftChars="228" w:firstLine="480"/>
        <w:rPr>
          <w:rFonts w:ascii="仿宋" w:hAnsi="仿宋" w:eastAsia="仿宋"/>
          <w:sz w:val="24"/>
        </w:rPr>
      </w:pPr>
      <w:r>
        <w:rPr>
          <w:rFonts w:hint="eastAsia" w:ascii="仿宋" w:hAnsi="仿宋" w:eastAsia="仿宋"/>
          <w:sz w:val="24"/>
        </w:rPr>
        <w:t>根据现场实际检测情况，依据《建筑结构荷载规范》（GB50009-2012）及国家有关建筑结构设计规范，对房屋的上部结构承载力进行验算，并列出楼面每平方米的载荷（公斤）。</w:t>
      </w: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（七）鉴定报告编写</w:t>
      </w:r>
    </w:p>
    <w:p>
      <w:pPr>
        <w:pStyle w:val="2"/>
        <w:spacing w:after="0" w:line="360" w:lineRule="auto"/>
        <w:ind w:left="479" w:leftChars="228" w:firstLine="480"/>
        <w:rPr>
          <w:rFonts w:ascii="仿宋" w:hAnsi="仿宋" w:eastAsia="仿宋"/>
          <w:sz w:val="24"/>
        </w:rPr>
      </w:pPr>
      <w:r>
        <w:rPr>
          <w:rFonts w:hint="eastAsia" w:ascii="仿宋" w:hAnsi="仿宋" w:eastAsia="仿宋"/>
          <w:sz w:val="24"/>
        </w:rPr>
        <w:t>综合上述检查、检测情况及验算结果，依据《建筑抗震鉴定标准》（GB50023-2009）及其他国家相关规范，出具《房屋结构安全性鉴定报告》。</w:t>
      </w:r>
    </w:p>
    <w:p>
      <w:pPr>
        <w:widowControl/>
        <w:spacing w:line="360" w:lineRule="auto"/>
        <w:ind w:firstLine="480" w:firstLineChars="200"/>
        <w:jc w:val="left"/>
        <w:rPr>
          <w:rFonts w:ascii="仿宋" w:hAnsi="仿宋" w:eastAsia="仿宋"/>
          <w:sz w:val="24"/>
          <w:szCs w:val="24"/>
        </w:rPr>
      </w:pPr>
    </w:p>
    <w:p>
      <w:pPr>
        <w:widowControl/>
        <w:jc w:val="left"/>
        <w:rPr>
          <w:rFonts w:ascii="仿宋" w:hAnsi="仿宋" w:eastAsia="仿宋"/>
          <w:b/>
          <w:bCs/>
          <w:sz w:val="28"/>
          <w:szCs w:val="21"/>
        </w:rPr>
      </w:pPr>
      <w:r>
        <w:rPr>
          <w:rFonts w:hint="eastAsia" w:ascii="仿宋" w:hAnsi="仿宋" w:eastAsia="仿宋"/>
          <w:b/>
          <w:bCs/>
          <w:sz w:val="28"/>
          <w:szCs w:val="21"/>
        </w:rPr>
        <w:t>三、商务需求</w:t>
      </w: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（一）服务期限</w:t>
      </w:r>
    </w:p>
    <w:p>
      <w:pPr>
        <w:pStyle w:val="2"/>
        <w:spacing w:after="0" w:line="360" w:lineRule="auto"/>
        <w:ind w:left="0" w:leftChars="0" w:firstLine="964" w:firstLineChars="400"/>
        <w:rPr>
          <w:rFonts w:ascii="仿宋" w:hAnsi="仿宋" w:eastAsia="仿宋"/>
          <w:b/>
          <w:bCs/>
          <w:sz w:val="24"/>
          <w:highlight w:val="yellow"/>
        </w:rPr>
      </w:pPr>
      <w:r>
        <w:rPr>
          <w:rFonts w:hint="eastAsia" w:ascii="仿宋" w:hAnsi="仿宋" w:eastAsia="仿宋"/>
          <w:b/>
          <w:bCs/>
          <w:sz w:val="24"/>
          <w:highlight w:val="yellow"/>
        </w:rPr>
        <w:t>★合同后5天内完成现场检测服务，10天出检测报告。</w:t>
      </w:r>
    </w:p>
    <w:p>
      <w:pPr>
        <w:pStyle w:val="2"/>
        <w:spacing w:after="0" w:line="360" w:lineRule="auto"/>
        <w:ind w:left="0" w:leftChars="0" w:firstLine="482"/>
        <w:rPr>
          <w:rFonts w:ascii="仿宋" w:hAnsi="仿宋" w:eastAsia="仿宋"/>
          <w:b/>
          <w:bCs/>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（二）验收方式</w:t>
      </w:r>
    </w:p>
    <w:p>
      <w:pPr>
        <w:pStyle w:val="2"/>
        <w:spacing w:after="0" w:line="360" w:lineRule="auto"/>
        <w:ind w:left="479" w:leftChars="228" w:firstLine="480"/>
        <w:rPr>
          <w:rFonts w:ascii="仿宋" w:hAnsi="仿宋" w:eastAsia="仿宋"/>
          <w:sz w:val="24"/>
        </w:rPr>
      </w:pPr>
      <w:r>
        <w:rPr>
          <w:rFonts w:hint="eastAsia" w:ascii="仿宋" w:hAnsi="仿宋" w:eastAsia="仿宋"/>
          <w:sz w:val="24"/>
        </w:rPr>
        <w:t>1、服务经过双方检验认可后，签署验收报告。</w:t>
      </w:r>
    </w:p>
    <w:p>
      <w:pPr>
        <w:pStyle w:val="2"/>
        <w:spacing w:after="0" w:line="360" w:lineRule="auto"/>
        <w:ind w:left="479" w:leftChars="228" w:firstLine="480"/>
        <w:rPr>
          <w:rFonts w:ascii="仿宋" w:hAnsi="仿宋" w:eastAsia="仿宋"/>
          <w:sz w:val="24"/>
        </w:rPr>
      </w:pPr>
      <w:r>
        <w:rPr>
          <w:rFonts w:hint="eastAsia" w:ascii="仿宋" w:hAnsi="仿宋" w:eastAsia="仿宋"/>
          <w:sz w:val="24"/>
        </w:rPr>
        <w:t>2、当满足以下条件时，采购人才向中标人签发验收报告：</w:t>
      </w:r>
    </w:p>
    <w:p>
      <w:pPr>
        <w:pStyle w:val="2"/>
        <w:spacing w:after="0" w:line="360" w:lineRule="auto"/>
        <w:ind w:left="479" w:leftChars="228" w:firstLine="720" w:firstLineChars="300"/>
        <w:rPr>
          <w:rFonts w:ascii="仿宋" w:hAnsi="仿宋" w:eastAsia="仿宋"/>
          <w:sz w:val="24"/>
        </w:rPr>
      </w:pPr>
      <w:r>
        <w:rPr>
          <w:rFonts w:hint="eastAsia" w:ascii="仿宋" w:hAnsi="仿宋" w:eastAsia="仿宋"/>
          <w:sz w:val="24"/>
        </w:rPr>
        <w:t>a、中标人已按照合同规定提供了全部技术资料。</w:t>
      </w:r>
    </w:p>
    <w:p>
      <w:pPr>
        <w:pStyle w:val="2"/>
        <w:spacing w:after="0" w:line="360" w:lineRule="auto"/>
        <w:ind w:left="479" w:leftChars="228" w:firstLine="720" w:firstLineChars="300"/>
        <w:rPr>
          <w:rFonts w:ascii="仿宋" w:hAnsi="仿宋" w:eastAsia="仿宋"/>
          <w:sz w:val="24"/>
        </w:rPr>
      </w:pPr>
      <w:r>
        <w:rPr>
          <w:rFonts w:hint="eastAsia" w:ascii="仿宋" w:hAnsi="仿宋" w:eastAsia="仿宋"/>
          <w:sz w:val="24"/>
        </w:rPr>
        <w:t>b、服务项目符合招标文件的服务要求。</w:t>
      </w:r>
    </w:p>
    <w:p>
      <w:pPr>
        <w:pStyle w:val="2"/>
        <w:spacing w:after="0" w:line="360" w:lineRule="auto"/>
        <w:ind w:left="0" w:leftChars="0" w:firstLine="482"/>
        <w:rPr>
          <w:rFonts w:ascii="仿宋" w:hAnsi="仿宋" w:eastAsia="仿宋"/>
          <w:b/>
          <w:bCs/>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（三）报价要求</w:t>
      </w:r>
    </w:p>
    <w:p>
      <w:pPr>
        <w:pStyle w:val="2"/>
        <w:spacing w:after="0" w:line="360" w:lineRule="auto"/>
        <w:ind w:left="479" w:leftChars="228" w:firstLine="480"/>
        <w:rPr>
          <w:rFonts w:ascii="仿宋" w:hAnsi="仿宋" w:eastAsia="仿宋"/>
          <w:sz w:val="24"/>
        </w:rPr>
      </w:pPr>
      <w:r>
        <w:rPr>
          <w:rFonts w:hint="eastAsia" w:ascii="仿宋" w:hAnsi="仿宋" w:eastAsia="仿宋"/>
          <w:sz w:val="24"/>
        </w:rPr>
        <w:t>1、本项目标的预算金额为人民币</w:t>
      </w:r>
      <w:r>
        <w:rPr>
          <w:rFonts w:hint="eastAsia" w:ascii="仿宋" w:hAnsi="仿宋" w:eastAsia="仿宋"/>
          <w:sz w:val="24"/>
          <w:lang w:val="en-US" w:eastAsia="zh-CN"/>
        </w:rPr>
        <w:t>壹拾陆万陆仟</w:t>
      </w:r>
      <w:r>
        <w:rPr>
          <w:rFonts w:hint="eastAsia" w:ascii="仿宋" w:hAnsi="仿宋" w:eastAsia="仿宋"/>
          <w:sz w:val="24"/>
        </w:rPr>
        <w:t>元整（￥166,000.00元），投标报价超出预算限额的将为无效投标。本项目中所有系统对接所产生的费用均包含在项目报价中。</w:t>
      </w:r>
    </w:p>
    <w:p>
      <w:pPr>
        <w:pStyle w:val="2"/>
        <w:spacing w:after="0" w:line="360" w:lineRule="auto"/>
        <w:ind w:left="479" w:leftChars="228" w:firstLine="480"/>
        <w:rPr>
          <w:rFonts w:ascii="仿宋" w:hAnsi="仿宋" w:eastAsia="仿宋"/>
          <w:sz w:val="24"/>
        </w:rPr>
      </w:pPr>
      <w:r>
        <w:rPr>
          <w:rFonts w:hint="eastAsia" w:ascii="仿宋" w:hAnsi="仿宋" w:eastAsia="仿宋"/>
          <w:sz w:val="24"/>
        </w:rPr>
        <w:t>2、本项目服务费采用包干制，应包括服务成本、法定税费和企业的利润等。由投标人根据招标文件所提供的资料自行测算投标报价。</w:t>
      </w:r>
    </w:p>
    <w:p>
      <w:pPr>
        <w:pStyle w:val="2"/>
        <w:spacing w:after="0" w:line="360" w:lineRule="auto"/>
        <w:ind w:left="479" w:leftChars="228" w:firstLine="480"/>
        <w:rPr>
          <w:rFonts w:ascii="仿宋" w:hAnsi="仿宋" w:eastAsia="仿宋"/>
          <w:sz w:val="24"/>
        </w:rPr>
      </w:pPr>
      <w:r>
        <w:rPr>
          <w:rFonts w:hint="eastAsia" w:ascii="仿宋" w:hAnsi="仿宋" w:eastAsia="仿宋"/>
          <w:sz w:val="24"/>
        </w:rPr>
        <w:t>3、投标人应根据本企业的成本自行决定报价，但不得以低于其企业成本进行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pPr>
        <w:pStyle w:val="2"/>
        <w:spacing w:after="0" w:line="360" w:lineRule="auto"/>
        <w:ind w:left="479" w:leftChars="228" w:firstLine="480"/>
        <w:rPr>
          <w:rFonts w:ascii="仿宋" w:hAnsi="仿宋" w:eastAsia="仿宋"/>
          <w:sz w:val="24"/>
        </w:rPr>
      </w:pPr>
      <w:r>
        <w:rPr>
          <w:rFonts w:hint="eastAsia" w:ascii="仿宋" w:hAnsi="仿宋" w:eastAsia="仿宋"/>
          <w:sz w:val="24"/>
        </w:rPr>
        <w:t>4、投标人的报价，应当是本项目采购范围和采购文件及合同条款上所列的各项内容中所述的全部，不得以任何理由予以重复。</w:t>
      </w:r>
    </w:p>
    <w:p>
      <w:pPr>
        <w:pStyle w:val="2"/>
        <w:spacing w:after="0" w:line="360" w:lineRule="auto"/>
        <w:ind w:left="479" w:leftChars="228" w:firstLine="480"/>
        <w:rPr>
          <w:rFonts w:ascii="仿宋" w:hAnsi="仿宋" w:eastAsia="仿宋"/>
          <w:sz w:val="24"/>
        </w:rPr>
      </w:pPr>
      <w:r>
        <w:rPr>
          <w:rFonts w:hint="eastAsia" w:ascii="仿宋" w:hAnsi="仿宋" w:eastAsia="仿宋"/>
          <w:sz w:val="24"/>
        </w:rPr>
        <w:t>5、除非采购人通过修改采购文件予以更正，否则，投标人应毫无例外地按响应文件所列的清单中项目和数量填报综合单价和合价 。投标人未填综合单价或合价的项目，在实施后，将不得以支付，并视作该项费用已包括在其它有价款的综合单价或合价内。</w:t>
      </w:r>
    </w:p>
    <w:p>
      <w:pPr>
        <w:pStyle w:val="2"/>
        <w:spacing w:after="0" w:line="360" w:lineRule="auto"/>
        <w:ind w:left="479" w:leftChars="228" w:firstLine="480"/>
        <w:rPr>
          <w:rFonts w:ascii="仿宋" w:hAnsi="仿宋" w:eastAsia="仿宋"/>
          <w:sz w:val="24"/>
        </w:rPr>
      </w:pPr>
      <w:r>
        <w:rPr>
          <w:rFonts w:hint="eastAsia" w:ascii="仿宋" w:hAnsi="仿宋" w:eastAsia="仿宋"/>
          <w:sz w:val="24"/>
        </w:rPr>
        <w:t>6、投标人不得期望通过索赔等方式获取补偿，否则，除可能遭到拒绝外，还可能将被作为不良行为记录在案，并可能影响其以后参加政府采购的项目投标。各投标人在报价时，应充分考虑报价的风险。</w:t>
      </w:r>
    </w:p>
    <w:p>
      <w:pPr>
        <w:pStyle w:val="2"/>
        <w:spacing w:after="0" w:line="360" w:lineRule="auto"/>
        <w:ind w:left="0" w:leftChars="0" w:firstLine="482"/>
        <w:rPr>
          <w:rFonts w:ascii="仿宋" w:hAnsi="仿宋" w:eastAsia="仿宋"/>
          <w:b/>
          <w:bCs/>
          <w:sz w:val="24"/>
        </w:rPr>
      </w:pPr>
    </w:p>
    <w:p>
      <w:pPr>
        <w:pStyle w:val="2"/>
        <w:spacing w:after="0" w:line="360" w:lineRule="auto"/>
        <w:ind w:left="0" w:leftChars="0" w:firstLine="482"/>
        <w:rPr>
          <w:rFonts w:ascii="仿宋" w:hAnsi="仿宋" w:eastAsia="仿宋"/>
          <w:b/>
          <w:bCs/>
          <w:sz w:val="24"/>
        </w:rPr>
      </w:pPr>
      <w:r>
        <w:rPr>
          <w:rFonts w:hint="eastAsia" w:ascii="仿宋" w:hAnsi="仿宋" w:eastAsia="仿宋"/>
          <w:b/>
          <w:bCs/>
          <w:sz w:val="24"/>
        </w:rPr>
        <w:t>（四）付款方式</w:t>
      </w:r>
    </w:p>
    <w:p>
      <w:pPr>
        <w:pStyle w:val="2"/>
        <w:spacing w:after="0" w:line="360" w:lineRule="auto"/>
        <w:ind w:left="479" w:leftChars="228" w:firstLine="480"/>
        <w:rPr>
          <w:rFonts w:ascii="仿宋" w:hAnsi="仿宋" w:eastAsia="仿宋"/>
          <w:sz w:val="24"/>
        </w:rPr>
      </w:pPr>
      <w:r>
        <w:rPr>
          <w:rFonts w:hint="eastAsia" w:ascii="仿宋" w:hAnsi="仿宋" w:eastAsia="仿宋"/>
          <w:sz w:val="24"/>
        </w:rPr>
        <w:t>1、采购人取得检测报告并收到服务费增值税专用发票后20个工作日内向中标人一次性全额支付检测服务费。</w:t>
      </w:r>
    </w:p>
    <w:p>
      <w:pPr>
        <w:pStyle w:val="2"/>
        <w:spacing w:after="0" w:line="360" w:lineRule="auto"/>
        <w:ind w:left="479" w:leftChars="228" w:firstLine="480"/>
        <w:rPr>
          <w:rFonts w:ascii="仿宋" w:hAnsi="仿宋" w:eastAsia="仿宋"/>
          <w:sz w:val="24"/>
        </w:rPr>
      </w:pPr>
      <w:r>
        <w:rPr>
          <w:rFonts w:hint="eastAsia" w:ascii="仿宋" w:hAnsi="仿宋" w:eastAsia="仿宋"/>
          <w:sz w:val="24"/>
        </w:rPr>
        <w:t>2、采购人根据中标人提供的服务费增值税专用发票进行支付。逾期未提供的，采购人付款时间相应顺延。</w:t>
      </w:r>
    </w:p>
    <w:p>
      <w:pPr>
        <w:pStyle w:val="2"/>
        <w:spacing w:after="0" w:line="360" w:lineRule="exact"/>
        <w:ind w:left="0" w:leftChars="0" w:firstLine="440"/>
        <w:rPr>
          <w:rFonts w:ascii="宋体" w:hAnsi="宋体" w:cs="宋体"/>
          <w:bCs/>
          <w:sz w:val="22"/>
          <w:szCs w:val="22"/>
        </w:rPr>
      </w:pPr>
    </w:p>
    <w:p>
      <w:pPr>
        <w:spacing w:after="120" w:line="360" w:lineRule="exact"/>
        <w:rPr>
          <w:rFonts w:ascii="仿宋" w:hAnsi="仿宋" w:eastAsia="仿宋"/>
          <w:b/>
          <w:bCs/>
          <w:sz w:val="28"/>
          <w:szCs w:val="28"/>
        </w:rPr>
      </w:pPr>
      <w:r>
        <w:rPr>
          <w:rFonts w:hint="eastAsia" w:ascii="仿宋" w:hAnsi="仿宋" w:eastAsia="仿宋"/>
          <w:b/>
          <w:bCs/>
          <w:sz w:val="28"/>
          <w:szCs w:val="28"/>
        </w:rPr>
        <w:t>四、投标报价</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本项目服务费采用包干制，应包括服务成本、法定税费和企业的利润。由企业根据招标文件所提供的资料自行测算投标报价；一经中标，投标报价总价作为中标单位与采购单位签定的合同金额，合同期限内不做调整。</w:t>
      </w:r>
    </w:p>
    <w:p>
      <w:pPr>
        <w:spacing w:line="360" w:lineRule="auto"/>
        <w:ind w:firstLine="480" w:firstLineChars="200"/>
        <w:rPr>
          <w:rFonts w:ascii="仿宋" w:hAnsi="仿宋" w:eastAsia="仿宋"/>
          <w:sz w:val="24"/>
          <w:szCs w:val="24"/>
        </w:rPr>
      </w:pPr>
      <w:r>
        <w:rPr>
          <w:rFonts w:hint="eastAsia" w:ascii="仿宋" w:hAnsi="仿宋" w:eastAsia="仿宋"/>
          <w:sz w:val="24"/>
          <w:szCs w:val="24"/>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8"/>
        <w:spacing w:beforeLines="25" w:afterLines="25" w:line="360" w:lineRule="auto"/>
        <w:ind w:firstLine="448" w:firstLineChars="187"/>
        <w:rPr>
          <w:rFonts w:ascii="仿宋" w:hAnsi="仿宋" w:eastAsia="仿宋" w:cs="Times New Roman"/>
          <w:sz w:val="24"/>
          <w:szCs w:val="24"/>
        </w:rPr>
      </w:pPr>
      <w:r>
        <w:rPr>
          <w:rFonts w:hint="eastAsia" w:ascii="仿宋" w:hAnsi="仿宋" w:eastAsia="仿宋" w:cs="Times New Roman"/>
          <w:sz w:val="24"/>
          <w:szCs w:val="24"/>
        </w:rPr>
        <w:t>3、投标人不得期望通过索赔、签证等方式获取补偿，否则，除可能遭到拒绝外，还可能将被作为不良行为记录在案，并可能影响其以后参加政府采购的项目投标。各投标人在投标报价时，应充分考虑投标报价的风险。</w:t>
      </w:r>
    </w:p>
    <w:p>
      <w:pPr>
        <w:spacing w:line="360" w:lineRule="auto"/>
        <w:jc w:val="center"/>
        <w:rPr>
          <w:rFonts w:ascii="仿宋" w:hAnsi="仿宋" w:eastAsia="仿宋"/>
          <w:sz w:val="24"/>
          <w:szCs w:val="24"/>
        </w:rPr>
      </w:pPr>
    </w:p>
    <w:p>
      <w:pPr>
        <w:spacing w:line="360" w:lineRule="auto"/>
        <w:jc w:val="left"/>
        <w:rPr>
          <w:rFonts w:ascii="仿宋" w:hAnsi="仿宋" w:eastAsia="仿宋"/>
          <w:b/>
          <w:bCs/>
          <w:sz w:val="28"/>
          <w:szCs w:val="28"/>
        </w:rPr>
      </w:pPr>
      <w:r>
        <w:rPr>
          <w:rFonts w:hint="eastAsia" w:ascii="仿宋" w:hAnsi="仿宋" w:eastAsia="仿宋"/>
          <w:b/>
          <w:bCs/>
          <w:sz w:val="28"/>
          <w:szCs w:val="28"/>
        </w:rPr>
        <w:t>五、注意事项</w:t>
      </w:r>
    </w:p>
    <w:p>
      <w:pPr>
        <w:spacing w:line="360" w:lineRule="auto"/>
        <w:ind w:firstLine="480" w:firstLineChars="200"/>
        <w:jc w:val="left"/>
        <w:rPr>
          <w:rFonts w:ascii="仿宋" w:hAnsi="仿宋" w:eastAsia="仿宋"/>
          <w:sz w:val="24"/>
          <w:szCs w:val="24"/>
        </w:rPr>
      </w:pPr>
      <w:r>
        <w:rPr>
          <w:rFonts w:hint="eastAsia" w:ascii="仿宋" w:hAnsi="仿宋" w:eastAsia="仿宋"/>
          <w:sz w:val="24"/>
          <w:szCs w:val="24"/>
        </w:rPr>
        <w:t>1、中标人不得将项目分包或转包给任何单位和个人。否则，采购单位有权即刻终止合同，并要求中标人赔偿相应损失。</w:t>
      </w:r>
    </w:p>
    <w:p>
      <w:pPr>
        <w:spacing w:line="360" w:lineRule="auto"/>
        <w:ind w:firstLine="480" w:firstLineChars="200"/>
        <w:jc w:val="left"/>
        <w:rPr>
          <w:rFonts w:ascii="仿宋" w:hAnsi="仿宋" w:eastAsia="仿宋"/>
          <w:sz w:val="24"/>
          <w:szCs w:val="24"/>
        </w:rPr>
      </w:pPr>
      <w:r>
        <w:rPr>
          <w:rFonts w:hint="eastAsia" w:ascii="仿宋" w:hAnsi="仿宋" w:eastAsia="仿宋"/>
          <w:sz w:val="24"/>
          <w:szCs w:val="24"/>
        </w:rPr>
        <w:t>2、投标人若认为采购文件的技术要求或其他要求有倾向性或不公正性，可在招标答疑阶段提出，以维护招标行为的公平、公正。</w:t>
      </w:r>
    </w:p>
    <w:p>
      <w:pPr>
        <w:spacing w:line="360" w:lineRule="auto"/>
        <w:ind w:firstLine="480" w:firstLineChars="200"/>
        <w:jc w:val="left"/>
        <w:rPr>
          <w:rFonts w:ascii="仿宋" w:hAnsi="仿宋" w:eastAsia="仿宋"/>
          <w:sz w:val="24"/>
          <w:szCs w:val="24"/>
        </w:rPr>
      </w:pPr>
      <w:r>
        <w:rPr>
          <w:rFonts w:hint="eastAsia" w:ascii="仿宋" w:hAnsi="仿宋" w:eastAsia="仿宋"/>
          <w:sz w:val="24"/>
          <w:szCs w:val="24"/>
        </w:rPr>
        <w:t>3、投标人使用的标准必须是国际公认或国家、或地方政府颁布的同等或更高的标准，如投标人使用的标准低于上述标准,评标委员会将有权不予接受，投标人必须列表将明显的差异详细说明。</w:t>
      </w:r>
    </w:p>
    <w:p>
      <w:pPr>
        <w:spacing w:line="360" w:lineRule="auto"/>
        <w:ind w:firstLine="480" w:firstLineChars="200"/>
        <w:jc w:val="left"/>
      </w:pPr>
      <w:r>
        <w:rPr>
          <w:rFonts w:hint="eastAsia" w:ascii="仿宋" w:hAnsi="仿宋" w:eastAsia="仿宋"/>
          <w:sz w:val="24"/>
          <w:szCs w:val="24"/>
        </w:rPr>
        <w:t>4、投标人所提交的投标文件对技术参数和各项要求的响应应是列出具体内容。如果投标人只注明“符合”或“满足”，将被视为“不符合”，并可能严重影响评标结果。</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widowControl/>
        <w:jc w:val="left"/>
      </w:pP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八、服务方案（格式6）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九、差异表（格式7）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（格式8）</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2．我方提交的投标文件为：投标书正本两份，副本四份，电子档文件（正本彩色扫描件PDF格式）一份。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4、建设工程质量检测机构资质证书【扫描件或复印件】</w:t>
      </w:r>
    </w:p>
    <w:p>
      <w:pPr>
        <w:spacing w:line="360" w:lineRule="auto"/>
        <w:ind w:left="1394" w:leftChars="474" w:hanging="399" w:hangingChars="190"/>
        <w:rPr>
          <w:rFonts w:ascii="仿宋" w:hAnsi="仿宋" w:eastAsia="仿宋"/>
          <w:bCs/>
        </w:rPr>
      </w:pPr>
      <w:r>
        <w:rPr>
          <w:rFonts w:hint="eastAsia" w:ascii="仿宋" w:hAnsi="仿宋" w:eastAsia="仿宋"/>
          <w:bCs/>
        </w:rPr>
        <w:t>5、CMA检验检测机构资质认定证书【扫描件或复印件】</w:t>
      </w:r>
    </w:p>
    <w:p>
      <w:pPr>
        <w:spacing w:line="360" w:lineRule="auto"/>
        <w:ind w:left="1394" w:leftChars="474" w:hanging="399" w:hangingChars="190"/>
        <w:rPr>
          <w:rFonts w:ascii="仿宋" w:hAnsi="仿宋" w:eastAsia="仿宋"/>
          <w:bCs/>
        </w:rPr>
      </w:pPr>
      <w:r>
        <w:rPr>
          <w:rFonts w:hint="eastAsia" w:ascii="仿宋" w:hAnsi="仿宋" w:eastAsia="仿宋"/>
          <w:bCs/>
        </w:rPr>
        <w:t>6、政府采购投标及履约承诺函【详见格式《政府采购投标及履约承诺函》】</w:t>
      </w:r>
    </w:p>
    <w:p>
      <w:pPr>
        <w:spacing w:line="360" w:lineRule="auto"/>
        <w:ind w:left="1394" w:leftChars="474" w:hanging="399" w:hangingChars="190"/>
        <w:rPr>
          <w:rFonts w:ascii="仿宋" w:hAnsi="仿宋" w:eastAsia="仿宋"/>
          <w:bCs/>
        </w:rPr>
      </w:pPr>
      <w:r>
        <w:rPr>
          <w:rFonts w:hint="eastAsia" w:ascii="仿宋" w:hAnsi="仿宋" w:eastAsia="仿宋"/>
          <w:bCs/>
        </w:rPr>
        <w:t>7、非联合体投标，不违规分包或转包的承诺函【原件，格式自拟】</w:t>
      </w:r>
    </w:p>
    <w:p>
      <w:pPr>
        <w:spacing w:line="360" w:lineRule="auto"/>
        <w:ind w:left="1394" w:leftChars="474" w:hanging="399" w:hangingChars="190"/>
        <w:rPr>
          <w:rFonts w:ascii="仿宋" w:hAnsi="仿宋" w:eastAsia="仿宋"/>
          <w:bCs/>
        </w:rPr>
      </w:pPr>
      <w:r>
        <w:rPr>
          <w:rFonts w:hint="eastAsia" w:ascii="仿宋" w:hAnsi="仿宋" w:eastAsia="仿宋"/>
          <w:bCs/>
        </w:rPr>
        <w:t>8、信用查询截图</w:t>
      </w:r>
    </w:p>
    <w:p>
      <w:pPr>
        <w:spacing w:line="360" w:lineRule="auto"/>
        <w:ind w:left="1394" w:leftChars="474" w:hanging="399" w:hangingChars="190"/>
        <w:rPr>
          <w:rFonts w:ascii="仿宋" w:hAnsi="仿宋" w:eastAsia="仿宋"/>
          <w:bCs/>
        </w:rPr>
      </w:pPr>
      <w:r>
        <w:rPr>
          <w:rFonts w:hint="eastAsia" w:ascii="仿宋" w:hAnsi="仿宋" w:eastAsia="仿宋"/>
          <w:bCs/>
        </w:rPr>
        <w:t>9、投标人认为有必要提供的其他文件</w:t>
      </w: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法定代表人（负责人）证明书（格式）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职务，为法定代表人（负责人），特此证明。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45" o:spt="1" style="position:absolute;left:0pt;margin-left:223.65pt;margin-top:10.75pt;height:156pt;width:213pt;z-index:251661312;mso-width-relative:page;mso-height-relative:page;" coordsize="21600,21600" o:gfxdata="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9xPQ29kAAAAKAQAADwAAAAAAAAABACAAAAAiAAAAZHJzL2Rvd25yZXYueG1s&#10;UEsBAhQAFAAAAAgAh07iQG4TLFP3AQAALQQAAA4AAAAAAAAAAQAgAAAAKAEAAGRycy9lMm9Eb2Mu&#10;eG1sUEsFBgAAAAAGAAYAWQEAAJEFAAAAAA==&#1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44" o:spt="1" style="position:absolute;left:0pt;margin-left:-8.85pt;margin-top:10.75pt;height:156pt;width:213pt;z-index:251660288;mso-width-relative:page;mso-height-relative:page;" coordsize="21600,21600" o:gfxdata="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xNxK72QAAAAoBAAAPAAAAAAAAAAEAIAAAACIAAABkcnMvZG93bnJldi54bWxQ&#10;SwECFAAUAAAACACHTuJA+IS6+fYBAAAtBAAADgAAAAAAAAABACAAAAAoAQAAZHJzL2Uyb0RvYy54&#10;bWxQSwUGAAAAAAYABgBZAQAAkAUAAAAA&#1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rPr>
                    <w:t>（负责人）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43" o:spt="1" style="position:absolute;left:0pt;margin-left:-1.35pt;margin-top:5.6pt;height:135.65pt;width:206.25pt;z-index:251662336;mso-width-relative:page;mso-height-relative:page;" coordsize="21600,21600" o:gfxdata="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x3kFbXAAAACQEAAA8AAAAAAAAAAQAgAAAAIgAAAGRycy9kb3ducmV2LnhtbFBL&#10;AQIUABQAAAAIAIdO4kCRxYrC9wEAAC0EAAAOAAAAAAAAAAEAIAAAACYBAABkcnMvZTJvRG9jLnht&#10;bFBLBQYAAAAABgAGAFkBAACPBQAAAAA=&#1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42" o:spt="1" style="position:absolute;left:0pt;margin-left:222.15pt;margin-top:5.6pt;height:135.65pt;width:199.5pt;z-index:251663360;mso-width-relative:page;mso-height-relative:page;" coordsize="21600,21600" o:gfxdata="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07IdTXAAAACgEAAA8AAAAAAAAAAQAgAAAAIgAAAGRycy9kb3ducmV2LnhtbFBL&#10;AQIUABQAAAAIAIdO4kAvw8NJ9wEAAC0EAAAOAAAAAAAAAAEAIAAAACYBAABkcnMvZTJvRG9jLnht&#10;bFBLBQYAAAAABgAGAFkBAACPBQAAAAA=&#1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）采购活动，服务全部由符合政策要求的中小企业承接。相关企业（含联合体中的中小企业、签订分包意向协议的中小企业）的具体情况如下：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w:t>
      </w:r>
      <w:r>
        <w:rPr>
          <w:rFonts w:ascii="仿宋" w:hAnsi="仿宋" w:eastAsia="仿宋" w:cs="Courier New"/>
          <w:snapToGrid w:val="0"/>
          <w:szCs w:val="18"/>
        </w:rPr>
        <w:t>(</w:t>
      </w:r>
      <w:r>
        <w:rPr>
          <w:rFonts w:hint="eastAsia" w:ascii="仿宋" w:hAnsi="仿宋" w:eastAsia="仿宋" w:cs="Courier New"/>
          <w:snapToGrid w:val="0"/>
          <w:szCs w:val="18"/>
        </w:rPr>
        <w:t>工信部联企业〔</w:t>
      </w:r>
      <w:r>
        <w:rPr>
          <w:rFonts w:ascii="仿宋" w:hAnsi="仿宋" w:eastAsia="仿宋" w:cs="Courier New"/>
          <w:snapToGrid w:val="0"/>
          <w:szCs w:val="18"/>
        </w:rPr>
        <w:t>2011</w:t>
      </w:r>
      <w:r>
        <w:rPr>
          <w:rFonts w:hint="eastAsia" w:ascii="仿宋" w:hAnsi="仿宋" w:eastAsia="仿宋" w:cs="Courier New"/>
          <w:snapToGrid w:val="0"/>
          <w:szCs w:val="18"/>
        </w:rPr>
        <w:t>〕</w:t>
      </w:r>
      <w:r>
        <w:rPr>
          <w:rFonts w:ascii="仿宋" w:hAnsi="仿宋" w:eastAsia="仿宋" w:cs="Courier New"/>
          <w:snapToGrid w:val="0"/>
          <w:szCs w:val="18"/>
        </w:rPr>
        <w:t>300</w:t>
      </w:r>
      <w:r>
        <w:rPr>
          <w:rFonts w:hint="eastAsia" w:ascii="仿宋" w:hAnsi="仿宋" w:eastAsia="仿宋" w:cs="Courier New"/>
          <w:snapToGrid w:val="0"/>
          <w:szCs w:val="18"/>
        </w:rPr>
        <w:t>号</w:t>
      </w:r>
      <w:r>
        <w:rPr>
          <w:rFonts w:ascii="仿宋" w:hAnsi="仿宋" w:eastAsia="仿宋" w:cs="Courier New"/>
          <w:snapToGrid w:val="0"/>
          <w:szCs w:val="18"/>
        </w:rPr>
        <w:t>)</w:t>
      </w:r>
      <w:r>
        <w:rPr>
          <w:rFonts w:hint="eastAsia" w:ascii="仿宋" w:hAnsi="仿宋" w:eastAsia="仿宋" w:cs="Courier New"/>
          <w:snapToGrid w:val="0"/>
          <w:szCs w:val="18"/>
        </w:rPr>
        <w:t>和《财政部 工业和信息化部关于印发《政府采购促进中小企业发展管理办法》的通知》</w:t>
      </w:r>
      <w:r>
        <w:rPr>
          <w:rFonts w:ascii="仿宋" w:hAnsi="仿宋" w:eastAsia="仿宋" w:cs="Courier New"/>
          <w:snapToGrid w:val="0"/>
          <w:szCs w:val="18"/>
        </w:rPr>
        <w:t>(</w:t>
      </w:r>
      <w:r>
        <w:rPr>
          <w:rFonts w:hint="eastAsia" w:ascii="仿宋" w:hAnsi="仿宋" w:eastAsia="仿宋" w:cs="Courier New"/>
          <w:snapToGrid w:val="0"/>
          <w:szCs w:val="18"/>
        </w:rPr>
        <w:t>财库〔2020〕46号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w:t>
      </w:r>
      <w:r>
        <w:rPr>
          <w:rFonts w:hint="eastAsia" w:ascii="仿宋" w:hAnsi="仿宋" w:eastAsia="仿宋" w:cs="Courier New"/>
          <w:b/>
          <w:snapToGrid w:val="0"/>
          <w:szCs w:val="18"/>
        </w:rPr>
        <w:t>小型和微型企业</w:t>
      </w:r>
      <w:r>
        <w:rPr>
          <w:rFonts w:hint="eastAsia" w:ascii="仿宋" w:hAnsi="仿宋" w:eastAsia="仿宋" w:cs="Courier New"/>
          <w:snapToGrid w:val="0"/>
          <w:szCs w:val="18"/>
        </w:rPr>
        <w:t>，则不需要在投标文件中提供本《中小企业声明函》；若符合前述相关规定所确定的小型和微型企业，在投标文件中没有提供本《中小企业声明函》，视为在本项目中放弃政府采购政策扶持，不进行价格扣除。</w:t>
      </w:r>
    </w:p>
    <w:p>
      <w:pPr>
        <w:ind w:firstLine="630" w:firstLineChars="3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widowControl/>
        <w:jc w:val="left"/>
        <w:rPr>
          <w:rFonts w:ascii="仿宋" w:hAnsi="仿宋" w:eastAsia="仿宋"/>
          <w:b/>
          <w:sz w:val="32"/>
          <w:szCs w:val="32"/>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8"/>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3140"/>
        <w:gridCol w:w="73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3140"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服务期限</w:t>
            </w:r>
          </w:p>
        </w:tc>
        <w:tc>
          <w:tcPr>
            <w:tcW w:w="73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3140" w:type="dxa"/>
            <w:vAlign w:val="center"/>
          </w:tcPr>
          <w:p>
            <w:pPr>
              <w:spacing w:line="360" w:lineRule="auto"/>
              <w:rPr>
                <w:rFonts w:ascii="仿宋" w:hAnsi="仿宋" w:eastAsia="仿宋"/>
              </w:rPr>
            </w:pPr>
            <w:r>
              <w:rPr>
                <w:rFonts w:hint="eastAsia" w:ascii="仿宋" w:hAnsi="仿宋" w:eastAsia="仿宋"/>
              </w:rPr>
              <w:t>合同后</w:t>
            </w:r>
            <w:r>
              <w:rPr>
                <w:rFonts w:hint="eastAsia" w:ascii="仿宋" w:hAnsi="仿宋" w:eastAsia="仿宋"/>
                <w:u w:val="single"/>
              </w:rPr>
              <w:t xml:space="preserve">  </w:t>
            </w:r>
            <w:r>
              <w:rPr>
                <w:rFonts w:hint="eastAsia" w:ascii="仿宋" w:hAnsi="仿宋" w:eastAsia="仿宋"/>
              </w:rPr>
              <w:t>天内完成现场检测服务，</w:t>
            </w:r>
            <w:r>
              <w:rPr>
                <w:rFonts w:hint="eastAsia" w:ascii="仿宋" w:hAnsi="仿宋" w:eastAsia="仿宋"/>
                <w:u w:val="single"/>
              </w:rPr>
              <w:t xml:space="preserve">   </w:t>
            </w:r>
            <w:r>
              <w:rPr>
                <w:rFonts w:hint="eastAsia" w:ascii="仿宋" w:hAnsi="仿宋" w:eastAsia="仿宋"/>
              </w:rPr>
              <w:t>天出检测报告</w:t>
            </w:r>
          </w:p>
        </w:tc>
        <w:tc>
          <w:tcPr>
            <w:tcW w:w="735"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2、此表应经法定代表人或授权委托人签名，并加盖公章。</w:t>
      </w:r>
    </w:p>
    <w:p>
      <w:pPr>
        <w:spacing w:line="360" w:lineRule="auto"/>
        <w:ind w:firstLine="420" w:firstLineChars="200"/>
        <w:rPr>
          <w:rFonts w:ascii="仿宋" w:hAnsi="仿宋" w:eastAsia="仿宋"/>
        </w:rPr>
      </w:pPr>
      <w:r>
        <w:rPr>
          <w:rFonts w:hint="eastAsia" w:ascii="仿宋" w:hAnsi="仿宋" w:eastAsia="仿宋"/>
        </w:rPr>
        <w:t>3、</w:t>
      </w:r>
      <w:r>
        <w:rPr>
          <w:rFonts w:hint="eastAsia" w:ascii="仿宋" w:hAnsi="仿宋" w:eastAsia="仿宋"/>
          <w:bCs/>
        </w:rPr>
        <w:t>本项目费用应包括但不限于服产品和研发成本、专利申请费用、法定税费和企业的利润</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报价表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410"/>
        <w:gridCol w:w="1576"/>
        <w:gridCol w:w="1576"/>
        <w:gridCol w:w="157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2410"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服务内容</w:t>
            </w:r>
          </w:p>
        </w:tc>
        <w:tc>
          <w:tcPr>
            <w:tcW w:w="1576"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数量</w:t>
            </w:r>
          </w:p>
        </w:tc>
        <w:tc>
          <w:tcPr>
            <w:tcW w:w="1576"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单位</w:t>
            </w:r>
          </w:p>
        </w:tc>
        <w:tc>
          <w:tcPr>
            <w:tcW w:w="157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报价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410" w:type="dxa"/>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410" w:type="dxa"/>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410" w:type="dxa"/>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410" w:type="dxa"/>
            <w:tcBorders>
              <w:bottom w:val="single" w:color="000000" w:themeColor="text1" w:sz="4" w:space="0"/>
            </w:tcBorders>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794"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合  计：</w:t>
            </w:r>
          </w:p>
        </w:tc>
        <w:tc>
          <w:tcPr>
            <w:tcW w:w="4728" w:type="dxa"/>
            <w:gridSpan w:val="3"/>
            <w:tcBorders>
              <w:bottom w:val="double" w:color="auto" w:sz="4" w:space="0"/>
              <w:right w:val="double" w:color="auto" w:sz="4" w:space="0"/>
            </w:tcBorders>
            <w:vAlign w:val="center"/>
          </w:tcPr>
          <w:p>
            <w:pPr>
              <w:spacing w:line="360" w:lineRule="auto"/>
              <w:jc w:val="center"/>
            </w:pPr>
          </w:p>
        </w:tc>
      </w:tr>
    </w:tbl>
    <w:p>
      <w:pPr>
        <w:spacing w:line="360" w:lineRule="auto"/>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服务方案</w:t>
      </w:r>
    </w:p>
    <w:p>
      <w:pPr>
        <w:rPr>
          <w:rFonts w:ascii="仿宋" w:hAnsi="仿宋" w:eastAsia="仿宋"/>
        </w:rPr>
      </w:pPr>
    </w:p>
    <w:p>
      <w:pPr>
        <w:spacing w:line="360" w:lineRule="auto"/>
        <w:rPr>
          <w:rFonts w:ascii="仿宋" w:hAnsi="仿宋" w:eastAsia="仿宋"/>
          <w:sz w:val="24"/>
          <w:szCs w:val="28"/>
        </w:rPr>
      </w:pPr>
      <w:r>
        <w:rPr>
          <w:rFonts w:hint="eastAsia" w:ascii="仿宋" w:hAnsi="仿宋" w:eastAsia="仿宋"/>
          <w:sz w:val="24"/>
          <w:szCs w:val="28"/>
        </w:rPr>
        <w:t>1、</w:t>
      </w:r>
      <w:r>
        <w:rPr>
          <w:rFonts w:hint="eastAsia" w:ascii="仿宋" w:hAnsi="仿宋" w:eastAsia="仿宋" w:cs="仿宋"/>
          <w:kern w:val="0"/>
          <w:sz w:val="24"/>
          <w:szCs w:val="24"/>
        </w:rPr>
        <w:t>实施方案</w:t>
      </w:r>
    </w:p>
    <w:p>
      <w:pPr>
        <w:spacing w:line="360" w:lineRule="auto"/>
        <w:rPr>
          <w:rFonts w:ascii="仿宋" w:hAnsi="仿宋" w:eastAsia="仿宋"/>
          <w:sz w:val="24"/>
          <w:szCs w:val="28"/>
        </w:rPr>
      </w:pPr>
      <w:r>
        <w:rPr>
          <w:rFonts w:hint="eastAsia" w:ascii="仿宋" w:hAnsi="仿宋" w:eastAsia="仿宋"/>
          <w:sz w:val="24"/>
          <w:szCs w:val="28"/>
        </w:rPr>
        <w:t>2、</w:t>
      </w:r>
      <w:r>
        <w:rPr>
          <w:rFonts w:hint="eastAsia" w:ascii="仿宋" w:hAnsi="仿宋" w:eastAsia="仿宋" w:cs="仿宋"/>
          <w:kern w:val="0"/>
          <w:sz w:val="24"/>
          <w:szCs w:val="24"/>
        </w:rPr>
        <w:t>项目重点难点分析、应对措施及相关的合理化建议</w:t>
      </w:r>
    </w:p>
    <w:p>
      <w:pPr>
        <w:spacing w:line="360" w:lineRule="auto"/>
        <w:rPr>
          <w:rFonts w:ascii="仿宋" w:hAnsi="仿宋" w:eastAsia="仿宋"/>
          <w:sz w:val="24"/>
          <w:szCs w:val="28"/>
        </w:rPr>
      </w:pPr>
      <w:r>
        <w:rPr>
          <w:rFonts w:hint="eastAsia" w:ascii="仿宋" w:hAnsi="仿宋" w:eastAsia="仿宋"/>
          <w:sz w:val="24"/>
          <w:szCs w:val="28"/>
        </w:rPr>
        <w:t>3、</w:t>
      </w:r>
      <w:r>
        <w:rPr>
          <w:rFonts w:hint="eastAsia" w:ascii="仿宋" w:hAnsi="仿宋" w:eastAsia="仿宋" w:cs="仿宋"/>
          <w:kern w:val="0"/>
          <w:sz w:val="24"/>
          <w:szCs w:val="24"/>
        </w:rPr>
        <w:t>质量保障措施及方案</w:t>
      </w:r>
    </w:p>
    <w:p>
      <w:pPr>
        <w:spacing w:line="360" w:lineRule="auto"/>
        <w:rPr>
          <w:rFonts w:ascii="仿宋" w:hAnsi="仿宋" w:eastAsia="仿宋"/>
          <w:sz w:val="24"/>
          <w:szCs w:val="28"/>
        </w:rPr>
      </w:pPr>
      <w:r>
        <w:rPr>
          <w:rFonts w:hint="eastAsia" w:ascii="仿宋" w:hAnsi="仿宋" w:eastAsia="仿宋"/>
          <w:sz w:val="24"/>
          <w:szCs w:val="28"/>
        </w:rPr>
        <w:t>4、</w:t>
      </w:r>
      <w:r>
        <w:rPr>
          <w:rFonts w:hint="eastAsia" w:ascii="仿宋" w:hAnsi="仿宋" w:eastAsia="仿宋" w:cs="仿宋"/>
          <w:kern w:val="0"/>
          <w:sz w:val="24"/>
          <w:szCs w:val="24"/>
        </w:rPr>
        <w:t>服务承诺</w:t>
      </w:r>
    </w:p>
    <w:p>
      <w:pPr>
        <w:spacing w:line="360" w:lineRule="auto"/>
        <w:rPr>
          <w:rFonts w:ascii="仿宋" w:hAnsi="仿宋" w:eastAsia="仿宋"/>
          <w:sz w:val="24"/>
          <w:szCs w:val="28"/>
        </w:rPr>
      </w:pPr>
      <w:r>
        <w:rPr>
          <w:rFonts w:hint="eastAsia" w:ascii="仿宋" w:hAnsi="仿宋" w:eastAsia="仿宋"/>
          <w:sz w:val="24"/>
          <w:szCs w:val="28"/>
        </w:rPr>
        <w:t>5、</w:t>
      </w:r>
      <w:r>
        <w:rPr>
          <w:rFonts w:hint="eastAsia" w:ascii="仿宋" w:hAnsi="仿宋" w:eastAsia="仿宋" w:cs="仿宋"/>
          <w:sz w:val="24"/>
          <w:szCs w:val="24"/>
        </w:rPr>
        <w:t>相关认证</w:t>
      </w:r>
    </w:p>
    <w:p>
      <w:pPr>
        <w:spacing w:line="360" w:lineRule="auto"/>
        <w:rPr>
          <w:rFonts w:ascii="仿宋" w:hAnsi="仿宋" w:eastAsia="仿宋"/>
          <w:sz w:val="24"/>
          <w:szCs w:val="28"/>
        </w:rPr>
      </w:pPr>
      <w:r>
        <w:rPr>
          <w:rFonts w:hint="eastAsia" w:ascii="仿宋" w:hAnsi="仿宋" w:eastAsia="仿宋"/>
          <w:sz w:val="24"/>
          <w:szCs w:val="28"/>
        </w:rPr>
        <w:t>6、</w:t>
      </w:r>
      <w:r>
        <w:rPr>
          <w:rFonts w:hint="eastAsia" w:ascii="仿宋" w:hAnsi="仿宋" w:eastAsia="仿宋" w:cs="仿宋"/>
          <w:sz w:val="24"/>
          <w:szCs w:val="24"/>
        </w:rPr>
        <w:t>同类业绩</w:t>
      </w:r>
    </w:p>
    <w:p>
      <w:pPr>
        <w:spacing w:line="360" w:lineRule="auto"/>
        <w:rPr>
          <w:rFonts w:ascii="仿宋" w:hAnsi="仿宋" w:eastAsia="仿宋"/>
          <w:sz w:val="24"/>
          <w:szCs w:val="28"/>
        </w:rPr>
      </w:pPr>
      <w:r>
        <w:rPr>
          <w:rFonts w:hint="eastAsia" w:ascii="仿宋" w:hAnsi="仿宋" w:eastAsia="仿宋"/>
          <w:sz w:val="24"/>
          <w:szCs w:val="28"/>
        </w:rPr>
        <w:t>7、</w:t>
      </w:r>
      <w:r>
        <w:rPr>
          <w:rFonts w:hint="eastAsia" w:ascii="仿宋" w:hAnsi="仿宋" w:eastAsia="仿宋" w:cs="仿宋"/>
          <w:sz w:val="24"/>
          <w:szCs w:val="24"/>
        </w:rPr>
        <w:t>企业荣誉</w:t>
      </w:r>
    </w:p>
    <w:p>
      <w:pPr>
        <w:spacing w:line="360" w:lineRule="auto"/>
        <w:rPr>
          <w:rFonts w:ascii="仿宋" w:hAnsi="仿宋" w:eastAsia="仿宋"/>
          <w:sz w:val="24"/>
          <w:szCs w:val="28"/>
        </w:rPr>
      </w:pPr>
      <w:r>
        <w:rPr>
          <w:rFonts w:hint="eastAsia" w:ascii="仿宋" w:hAnsi="仿宋" w:eastAsia="仿宋"/>
          <w:sz w:val="24"/>
          <w:szCs w:val="28"/>
        </w:rPr>
        <w:t>8、</w:t>
      </w:r>
      <w:r>
        <w:rPr>
          <w:rFonts w:hint="eastAsia" w:ascii="仿宋" w:hAnsi="仿宋" w:eastAsia="仿宋" w:cs="仿宋"/>
          <w:sz w:val="24"/>
          <w:szCs w:val="24"/>
        </w:rPr>
        <w:t>拟派项目负责人（仅限一名）</w:t>
      </w:r>
    </w:p>
    <w:p>
      <w:pPr>
        <w:spacing w:line="360" w:lineRule="auto"/>
        <w:rPr>
          <w:rFonts w:ascii="仿宋" w:hAnsi="仿宋" w:eastAsia="仿宋" w:cs="仿宋"/>
          <w:sz w:val="24"/>
          <w:szCs w:val="24"/>
        </w:rPr>
      </w:pPr>
      <w:r>
        <w:rPr>
          <w:rFonts w:hint="eastAsia" w:ascii="仿宋" w:hAnsi="仿宋" w:eastAsia="仿宋"/>
          <w:sz w:val="24"/>
          <w:szCs w:val="28"/>
        </w:rPr>
        <w:t>9、</w:t>
      </w:r>
      <w:r>
        <w:rPr>
          <w:rFonts w:hint="eastAsia" w:ascii="仿宋" w:hAnsi="仿宋" w:eastAsia="仿宋" w:cs="仿宋"/>
          <w:sz w:val="24"/>
          <w:szCs w:val="24"/>
        </w:rPr>
        <w:t>拟派项目团队成员（项目负责人除外）</w:t>
      </w:r>
    </w:p>
    <w:p>
      <w:pPr>
        <w:spacing w:line="360" w:lineRule="auto"/>
        <w:rPr>
          <w:rFonts w:ascii="仿宋" w:hAnsi="仿宋" w:eastAsia="仿宋"/>
          <w:sz w:val="24"/>
          <w:szCs w:val="28"/>
        </w:rPr>
      </w:pPr>
      <w:r>
        <w:rPr>
          <w:rFonts w:hint="eastAsia" w:ascii="仿宋" w:hAnsi="仿宋" w:eastAsia="仿宋" w:cs="仿宋"/>
          <w:sz w:val="24"/>
          <w:szCs w:val="24"/>
        </w:rPr>
        <w:t>10、</w:t>
      </w:r>
      <w:r>
        <w:rPr>
          <w:rFonts w:hint="eastAsia" w:ascii="仿宋" w:hAnsi="仿宋" w:eastAsia="仿宋" w:cs="仿宋"/>
          <w:kern w:val="0"/>
          <w:sz w:val="24"/>
          <w:szCs w:val="24"/>
        </w:rPr>
        <w:t>诚信情况</w:t>
      </w:r>
    </w:p>
    <w:p>
      <w:pPr>
        <w:rPr>
          <w:rFonts w:ascii="仿宋" w:hAnsi="仿宋" w:eastAsia="仿宋"/>
        </w:rPr>
      </w:pPr>
    </w:p>
    <w:p>
      <w:pPr>
        <w:widowControl/>
        <w:jc w:val="left"/>
        <w:rPr>
          <w:rFonts w:ascii="仿宋" w:hAnsi="仿宋" w:eastAsia="仿宋"/>
        </w:rPr>
      </w:pPr>
      <w:r>
        <w:rPr>
          <w:rFonts w:ascii="仿宋" w:hAnsi="仿宋" w:eastAsia="仿宋"/>
        </w:rPr>
        <w:br w:type="page"/>
      </w:r>
    </w:p>
    <w:p>
      <w:pPr>
        <w:rPr>
          <w:rFonts w:ascii="仿宋" w:hAnsi="仿宋" w:eastAsia="仿宋"/>
        </w:rPr>
      </w:pPr>
      <w:r>
        <w:rPr>
          <w:rFonts w:hint="eastAsia" w:ascii="仿宋" w:hAnsi="仿宋" w:eastAsia="仿宋"/>
        </w:rPr>
        <w:t>附表1</w:t>
      </w:r>
    </w:p>
    <w:p>
      <w:pPr>
        <w:jc w:val="center"/>
        <w:rPr>
          <w:rFonts w:ascii="仿宋" w:hAnsi="仿宋" w:eastAsia="仿宋"/>
          <w:b/>
          <w:sz w:val="32"/>
          <w:szCs w:val="32"/>
        </w:rPr>
      </w:pPr>
      <w:r>
        <w:rPr>
          <w:rFonts w:hint="eastAsia" w:ascii="仿宋" w:hAnsi="仿宋" w:eastAsia="仿宋"/>
          <w:b/>
          <w:sz w:val="32"/>
          <w:szCs w:val="32"/>
        </w:rPr>
        <w:t>项目人员情况一览表</w:t>
      </w: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921"/>
        <w:gridCol w:w="922"/>
        <w:gridCol w:w="1417"/>
        <w:gridCol w:w="1276"/>
        <w:gridCol w:w="1134"/>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top w:val="double" w:color="auto" w:sz="4" w:space="0"/>
              <w:lef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序号</w:t>
            </w:r>
          </w:p>
        </w:tc>
        <w:tc>
          <w:tcPr>
            <w:tcW w:w="85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类别</w:t>
            </w:r>
          </w:p>
        </w:tc>
        <w:tc>
          <w:tcPr>
            <w:tcW w:w="92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姓名</w:t>
            </w:r>
          </w:p>
        </w:tc>
        <w:tc>
          <w:tcPr>
            <w:tcW w:w="922"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学历</w:t>
            </w:r>
          </w:p>
        </w:tc>
        <w:tc>
          <w:tcPr>
            <w:tcW w:w="1417"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岗位及职务</w:t>
            </w:r>
          </w:p>
        </w:tc>
        <w:tc>
          <w:tcPr>
            <w:tcW w:w="1276" w:type="dxa"/>
            <w:tcBorders>
              <w:top w:val="double" w:color="auto" w:sz="4" w:space="0"/>
            </w:tcBorders>
            <w:shd w:val="clear" w:color="auto" w:fill="C6D9F0" w:themeFill="text2" w:themeFillTint="33"/>
            <w:vAlign w:val="center"/>
          </w:tcPr>
          <w:p>
            <w:pPr>
              <w:spacing w:line="276" w:lineRule="auto"/>
              <w:ind w:right="-53" w:rightChars="-25"/>
              <w:jc w:val="center"/>
              <w:rPr>
                <w:rFonts w:ascii="仿宋" w:hAnsi="仿宋" w:eastAsia="仿宋"/>
                <w:b/>
              </w:rPr>
            </w:pPr>
            <w:r>
              <w:rPr>
                <w:rFonts w:hint="eastAsia" w:ascii="仿宋" w:hAnsi="仿宋" w:eastAsia="仿宋"/>
                <w:b/>
              </w:rPr>
              <w:t>持何种资格证件</w:t>
            </w:r>
          </w:p>
        </w:tc>
        <w:tc>
          <w:tcPr>
            <w:tcW w:w="1134"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发证时间</w:t>
            </w:r>
          </w:p>
        </w:tc>
        <w:tc>
          <w:tcPr>
            <w:tcW w:w="1326" w:type="dxa"/>
            <w:tcBorders>
              <w:top w:val="double" w:color="auto" w:sz="4" w:space="0"/>
              <w:righ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工作经验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851" w:type="dxa"/>
            <w:vAlign w:val="center"/>
          </w:tcPr>
          <w:p>
            <w:pPr>
              <w:spacing w:line="360" w:lineRule="auto"/>
              <w:jc w:val="center"/>
              <w:rPr>
                <w:rFonts w:ascii="仿宋" w:hAnsi="仿宋" w:eastAsia="仿宋"/>
              </w:rPr>
            </w:pPr>
            <w:r>
              <w:rPr>
                <w:rFonts w:hint="eastAsia" w:ascii="仿宋" w:hAnsi="仿宋" w:eastAsia="仿宋"/>
              </w:rPr>
              <w:t>项目负责人</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851" w:type="dxa"/>
            <w:vMerge w:val="restart"/>
            <w:vAlign w:val="center"/>
          </w:tcPr>
          <w:p>
            <w:pPr>
              <w:spacing w:line="360" w:lineRule="auto"/>
              <w:jc w:val="center"/>
              <w:rPr>
                <w:rFonts w:ascii="仿宋" w:hAnsi="仿宋" w:eastAsia="仿宋"/>
              </w:rPr>
            </w:pPr>
            <w:r>
              <w:rPr>
                <w:rFonts w:hint="eastAsia" w:ascii="仿宋" w:hAnsi="仿宋" w:eastAsia="仿宋"/>
              </w:rPr>
              <w:t>项目团队成员</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851" w:type="dxa"/>
            <w:vMerge w:val="continue"/>
            <w:tcBorders>
              <w:bottom w:val="double" w:color="auto" w:sz="4" w:space="0"/>
            </w:tcBorders>
            <w:vAlign w:val="center"/>
          </w:tcPr>
          <w:p>
            <w:pPr>
              <w:spacing w:line="360" w:lineRule="auto"/>
              <w:jc w:val="center"/>
              <w:rPr>
                <w:rFonts w:ascii="仿宋" w:hAnsi="仿宋" w:eastAsia="仿宋"/>
              </w:rPr>
            </w:pPr>
          </w:p>
        </w:tc>
        <w:tc>
          <w:tcPr>
            <w:tcW w:w="921" w:type="dxa"/>
            <w:tcBorders>
              <w:bottom w:val="double" w:color="auto" w:sz="4" w:space="0"/>
            </w:tcBorders>
            <w:vAlign w:val="center"/>
          </w:tcPr>
          <w:p>
            <w:pPr>
              <w:spacing w:line="360" w:lineRule="auto"/>
              <w:jc w:val="center"/>
              <w:rPr>
                <w:rFonts w:ascii="仿宋" w:hAnsi="仿宋" w:eastAsia="仿宋"/>
              </w:rPr>
            </w:pPr>
          </w:p>
        </w:tc>
        <w:tc>
          <w:tcPr>
            <w:tcW w:w="922" w:type="dxa"/>
            <w:tcBorders>
              <w:bottom w:val="double" w:color="auto" w:sz="4" w:space="0"/>
            </w:tcBorders>
            <w:vAlign w:val="center"/>
          </w:tcPr>
          <w:p>
            <w:pPr>
              <w:spacing w:line="360" w:lineRule="auto"/>
              <w:jc w:val="center"/>
              <w:rPr>
                <w:rFonts w:ascii="仿宋" w:hAnsi="仿宋" w:eastAsia="仿宋"/>
              </w:rPr>
            </w:pPr>
          </w:p>
        </w:tc>
        <w:tc>
          <w:tcPr>
            <w:tcW w:w="1417" w:type="dxa"/>
            <w:tcBorders>
              <w:bottom w:val="double" w:color="auto" w:sz="4" w:space="0"/>
            </w:tcBorders>
            <w:vAlign w:val="center"/>
          </w:tcPr>
          <w:p>
            <w:pPr>
              <w:spacing w:line="360" w:lineRule="auto"/>
              <w:jc w:val="center"/>
              <w:rPr>
                <w:rFonts w:ascii="仿宋" w:hAnsi="仿宋" w:eastAsia="仿宋"/>
              </w:rPr>
            </w:pPr>
          </w:p>
        </w:tc>
        <w:tc>
          <w:tcPr>
            <w:tcW w:w="1276" w:type="dxa"/>
            <w:tcBorders>
              <w:bottom w:val="double" w:color="auto" w:sz="4" w:space="0"/>
            </w:tcBorders>
            <w:vAlign w:val="center"/>
          </w:tcPr>
          <w:p>
            <w:pPr>
              <w:spacing w:line="360" w:lineRule="auto"/>
              <w:jc w:val="center"/>
              <w:rPr>
                <w:rFonts w:ascii="仿宋" w:hAnsi="仿宋" w:eastAsia="仿宋"/>
              </w:rPr>
            </w:pPr>
          </w:p>
        </w:tc>
        <w:tc>
          <w:tcPr>
            <w:tcW w:w="1134" w:type="dxa"/>
            <w:tcBorders>
              <w:bottom w:val="double" w:color="auto" w:sz="4" w:space="0"/>
            </w:tcBorders>
            <w:vAlign w:val="center"/>
          </w:tcPr>
          <w:p>
            <w:pPr>
              <w:spacing w:line="360" w:lineRule="auto"/>
              <w:jc w:val="center"/>
              <w:rPr>
                <w:rFonts w:ascii="仿宋" w:hAnsi="仿宋" w:eastAsia="仿宋"/>
              </w:rPr>
            </w:pPr>
          </w:p>
        </w:tc>
        <w:tc>
          <w:tcPr>
            <w:tcW w:w="1326"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jc w:val="center"/>
        <w:rPr>
          <w:rFonts w:ascii="仿宋" w:hAnsi="仿宋" w:eastAsia="仿宋"/>
          <w:b/>
          <w:sz w:val="32"/>
          <w:szCs w:val="3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autoSpaceDE w:val="0"/>
        <w:autoSpaceDN w:val="0"/>
        <w:adjustRightInd w:val="0"/>
        <w:spacing w:line="360" w:lineRule="auto"/>
        <w:rPr>
          <w:rFonts w:ascii="仿宋" w:hAnsi="仿宋" w:eastAsia="仿宋"/>
          <w:b/>
          <w:color w:val="FF0000"/>
          <w:sz w:val="22"/>
        </w:rPr>
      </w:pPr>
    </w:p>
    <w:p>
      <w:pPr>
        <w:autoSpaceDE w:val="0"/>
        <w:autoSpaceDN w:val="0"/>
        <w:adjustRightInd w:val="0"/>
        <w:spacing w:line="360" w:lineRule="auto"/>
        <w:rPr>
          <w:rFonts w:ascii="仿宋" w:hAnsi="仿宋" w:eastAsia="仿宋"/>
          <w:b/>
          <w:color w:val="FF0000"/>
        </w:rPr>
      </w:pPr>
      <w:r>
        <w:rPr>
          <w:rFonts w:hint="eastAsia" w:ascii="仿宋" w:hAnsi="仿宋" w:eastAsia="仿宋"/>
          <w:b/>
          <w:color w:val="FF0000"/>
          <w:sz w:val="22"/>
        </w:rPr>
        <w:t>注：</w:t>
      </w:r>
      <w:r>
        <w:rPr>
          <w:rFonts w:hint="eastAsia" w:ascii="仿宋" w:hAnsi="仿宋" w:eastAsia="仿宋"/>
          <w:b/>
          <w:color w:val="FF0000"/>
        </w:rPr>
        <w:t xml:space="preserve"> </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2、有关人员简历及身份证、资格证书及其它证明材料（复印件）需附在本表之后。</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3、本表格所要求填写的人员是指投标单位将安排在此项目的具体人员。</w:t>
      </w:r>
    </w:p>
    <w:p>
      <w:pPr>
        <w:tabs>
          <w:tab w:val="left" w:pos="170"/>
        </w:tabs>
        <w:autoSpaceDE w:val="0"/>
        <w:autoSpaceDN w:val="0"/>
        <w:adjustRightInd w:val="0"/>
        <w:spacing w:line="360" w:lineRule="auto"/>
        <w:ind w:firstLine="210" w:firstLineChars="100"/>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差异表</w:t>
      </w:r>
    </w:p>
    <w:p>
      <w:pPr>
        <w:rPr>
          <w:rFonts w:ascii="仿宋" w:hAnsi="仿宋" w:eastAsia="仿宋"/>
        </w:rPr>
      </w:pP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8"/>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2835"/>
        <w:gridCol w:w="2126"/>
        <w:gridCol w:w="260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83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采购文件条款</w:t>
            </w:r>
          </w:p>
        </w:tc>
        <w:tc>
          <w:tcPr>
            <w:tcW w:w="2126"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投标文件响应情况</w:t>
            </w:r>
          </w:p>
        </w:tc>
        <w:tc>
          <w:tcPr>
            <w:tcW w:w="260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auto"/>
              <w:jc w:val="center"/>
              <w:rPr>
                <w:rFonts w:ascii="仿宋" w:hAnsi="仿宋" w:eastAsia="仿宋"/>
              </w:rPr>
            </w:pPr>
            <w:r>
              <w:rPr>
                <w:rFonts w:hint="eastAsia" w:ascii="仿宋" w:hAnsi="仿宋" w:eastAsia="仿宋"/>
              </w:rPr>
              <w:t>1</w:t>
            </w:r>
          </w:p>
        </w:tc>
        <w:tc>
          <w:tcPr>
            <w:tcW w:w="2835" w:type="dxa"/>
            <w:vAlign w:val="center"/>
          </w:tcPr>
          <w:p>
            <w:pPr>
              <w:spacing w:line="360" w:lineRule="auto"/>
              <w:jc w:val="center"/>
              <w:rPr>
                <w:rFonts w:ascii="仿宋" w:hAnsi="仿宋" w:eastAsia="仿宋"/>
              </w:rPr>
            </w:pPr>
            <w:r>
              <w:rPr>
                <w:rFonts w:hint="eastAsia" w:ascii="仿宋" w:hAnsi="仿宋" w:eastAsia="仿宋"/>
              </w:rPr>
              <w:t xml:space="preserve"> “</w:t>
            </w:r>
            <w:r>
              <w:rPr>
                <w:rFonts w:ascii="仿宋" w:hAnsi="仿宋" w:eastAsia="仿宋"/>
              </w:rPr>
              <w:t>第二部分采购项目需求</w:t>
            </w:r>
            <w:r>
              <w:rPr>
                <w:rFonts w:hint="eastAsia" w:ascii="仿宋" w:hAnsi="仿宋" w:eastAsia="仿宋"/>
              </w:rPr>
              <w:t>”全部采购项目需求条款</w:t>
            </w:r>
          </w:p>
        </w:tc>
        <w:tc>
          <w:tcPr>
            <w:tcW w:w="2126" w:type="dxa"/>
            <w:vAlign w:val="center"/>
          </w:tcPr>
          <w:p>
            <w:pPr>
              <w:spacing w:line="360" w:lineRule="auto"/>
              <w:jc w:val="center"/>
              <w:rPr>
                <w:rFonts w:ascii="仿宋" w:hAnsi="仿宋" w:eastAsia="仿宋"/>
              </w:rPr>
            </w:pPr>
            <w:r>
              <w:rPr>
                <w:rFonts w:ascii="仿宋" w:hAnsi="仿宋" w:eastAsia="仿宋"/>
              </w:rPr>
              <w:t>全部响应</w:t>
            </w:r>
          </w:p>
        </w:tc>
        <w:tc>
          <w:tcPr>
            <w:tcW w:w="2602" w:type="dxa"/>
            <w:vAlign w:val="center"/>
          </w:tcPr>
          <w:p>
            <w:pPr>
              <w:spacing w:line="360" w:lineRule="auto"/>
              <w:jc w:val="center"/>
              <w:rPr>
                <w:rFonts w:ascii="仿宋" w:hAnsi="仿宋" w:eastAsia="仿宋"/>
              </w:rPr>
            </w:pPr>
            <w:r>
              <w:rPr>
                <w:rFonts w:ascii="仿宋" w:hAnsi="仿宋" w:eastAsia="仿宋"/>
              </w:rPr>
              <w:t>如采购需求要求提供证明材料的</w:t>
            </w:r>
            <w:r>
              <w:rPr>
                <w:rFonts w:hint="eastAsia" w:ascii="仿宋" w:hAnsi="仿宋" w:eastAsia="仿宋"/>
              </w:rPr>
              <w:t>，</w:t>
            </w:r>
            <w:r>
              <w:rPr>
                <w:rFonts w:ascii="仿宋" w:hAnsi="仿宋" w:eastAsia="仿宋"/>
              </w:rPr>
              <w:t>请附在</w:t>
            </w:r>
            <w:r>
              <w:rPr>
                <w:rFonts w:hint="eastAsia" w:ascii="仿宋" w:hAnsi="仿宋" w:eastAsia="仿宋"/>
              </w:rPr>
              <w:t>本</w:t>
            </w:r>
            <w:r>
              <w:rPr>
                <w:rFonts w:ascii="仿宋" w:hAnsi="仿宋" w:eastAsia="仿宋"/>
              </w:rPr>
              <w:t>表后面</w:t>
            </w:r>
          </w:p>
        </w:tc>
      </w:tr>
    </w:tbl>
    <w:p>
      <w:pPr>
        <w:rPr>
          <w:rFonts w:ascii="仿宋" w:hAnsi="仿宋" w:eastAsia="仿宋"/>
          <w:bCs/>
        </w:rPr>
      </w:pPr>
      <w:r>
        <w:rPr>
          <w:rFonts w:hint="eastAsia" w:ascii="仿宋" w:hAnsi="仿宋" w:eastAsia="仿宋"/>
          <w:b/>
          <w:bCs/>
          <w:color w:val="FF0000"/>
        </w:rPr>
        <w:t>注：</w:t>
      </w:r>
      <w:r>
        <w:rPr>
          <w:rFonts w:hint="eastAsia" w:ascii="仿宋" w:hAnsi="仿宋" w:eastAsia="仿宋"/>
          <w:bCs/>
        </w:rPr>
        <w:t>投标文件的技术与商务部分与采购文件有偏差（甚至是细微偏差），都需在本表中列出。</w:t>
      </w: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Pr>
        <w:widowControl/>
        <w:jc w:val="left"/>
      </w:pP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rPr>
          <w:rFonts w:ascii="仿宋" w:hAnsi="仿宋" w:eastAsia="仿宋"/>
          <w:bCs/>
        </w:rPr>
      </w:pPr>
    </w:p>
    <w:p>
      <w:pPr>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6"/>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7"/>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7"/>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7"/>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7"/>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7"/>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7"/>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7"/>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7"/>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7"/>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7"/>
        <w:numPr>
          <w:ilvl w:val="2"/>
          <w:numId w:val="2"/>
        </w:numPr>
        <w:adjustRightInd w:val="0"/>
        <w:snapToGrid w:val="0"/>
        <w:spacing w:line="360" w:lineRule="auto"/>
      </w:pPr>
      <w:r>
        <w:rPr>
          <w:rFonts w:hint="eastAsia"/>
        </w:rPr>
        <w:t>当事人迟延履行后发生不可抗力的，不能免除责任。</w:t>
      </w:r>
    </w:p>
    <w:p>
      <w:pPr>
        <w:pStyle w:val="37"/>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7"/>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7"/>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7"/>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7"/>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7"/>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7"/>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7"/>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7"/>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（8）服务方案（格式6）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（9）差异表（格式7）</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（10）</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（格式8）</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10"/>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18.2投标文件完整密封（包含两份正本和四份副本）。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r>
        <w:rPr>
          <w:rFonts w:hint="eastAsia" w:ascii="仿宋" w:hAnsi="仿宋" w:eastAsia="仿宋"/>
          <w:b/>
          <w:bCs/>
          <w:snapToGrid w:val="0"/>
          <w:color w:val="FF0000"/>
          <w:kern w:val="0"/>
          <w:szCs w:val="21"/>
          <w:highlight w:val="yellow"/>
        </w:rPr>
        <w:t>如是邮寄标书，可以不用到现场参与</w:t>
      </w:r>
      <w:r>
        <w:rPr>
          <w:rFonts w:hint="eastAsia" w:ascii="仿宋" w:hAnsi="仿宋" w:eastAsia="仿宋"/>
          <w:snapToGrid w:val="0"/>
          <w:kern w:val="0"/>
          <w:szCs w:val="21"/>
        </w:rPr>
        <w:t>】</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26.5.1公开征集采购方式说明：采购项目投标截止时，合格有效的投标人数量在2家（或以上）时按综合评分法进行评审；合格有效的投标人为1家时，则与合格有效的投标人进行单一来源谈判。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7"/>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41" o:spt="202" type="#_x0000_t202" style="position:absolute;left:0pt;margin-left:56.4pt;margin-top:43.5pt;height:9.4pt;width:4.3pt;z-index:251678720;mso-width-relative:page;mso-height-relative:page;" filled="f" stroked="f" coordsize="21600,21600" o:gfxdata="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zAhNL&#10;2AAAAAoBAAAPAAAAAAAAAAEAIAAAACIAAABkcnMvZG93bnJldi54bWxQSwECFAAUAAAACACHTuJA&#10;48oocK8BAABwAwAADgAAAAAAAAABACAAAAAnAQAAZHJzL2Uyb0RvYy54bWxQSwUGAAAAAAYABgBZ&#10;AQAASAUAAAAA&#1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40" o:spt="202" type="#_x0000_t202" style="position:absolute;left:0pt;margin-left:44.55pt;margin-top:42.35pt;height:9.4pt;width:9.85pt;z-index:251677696;mso-width-relative:page;mso-height-relative:page;" filled="f" stroked="f" coordsize="21600,21600" o:gfxdata="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GgM7nX&#10;AAAACQEAAA8AAAAAAAAAAQAgAAAAIgAAAGRycy9kb3ducmV2LnhtbFBLAQIUABQAAAAIAIdO4kBy&#10;kZE1rwEAAHEDAAAOAAAAAAAAAAEAIAAAACYBAABkcnMvZTJvRG9jLnhtbFBLBQYAAAAABgAGAFkB&#10;AABHBQAAAAA=&#1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39" o:spt="202" type="#_x0000_t202" style="position:absolute;left:0pt;margin-left:38.45pt;margin-top:41.2pt;height:9.4pt;width:3.9pt;z-index:251676672;mso-width-relative:page;mso-height-relative:page;" filled="f" stroked="f" coordsize="21600,21600" o:gfxdata="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uZXXrY&#10;AAAACAEAAA8AAAAAAAAAAQAgAAAAIgAAAGRycy9kb3ducmV2LnhtbFBLAQIUABQAAAAIAIdO4kBz&#10;pTpCrgEAAHADAAAOAAAAAAAAAAEAIAAAACcBAABkcnMvZTJvRG9jLnhtbFBLBQYAAAAABgAGAFkB&#10;AABHBQAAAAA=&#1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38" o:spt="202" type="#_x0000_t202" style="position:absolute;left:0pt;margin-left:26.35pt;margin-top:40.05pt;height:9.4pt;width:9.9pt;z-index:251675648;mso-width-relative:page;mso-height-relative:page;" filled="f" stroked="f" coordsize="21600,21600" o:gfxdata="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1qSHHXAAAA&#10;BwEAAA8AAAAAAAAAAQAgAAAAIgAAAGRycy9kb3ducmV2LnhtbFBLAQIUABQAAAAIAIdO4kCMb17Z&#10;rAEAAHEDAAAOAAAAAAAAAAEAIAAAACYBAABkcnMvZTJvRG9jLnhtbFBLBQYAAAAABgAGAFkBAABE&#10;BQAAAAA=&#1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37" o:spt="202" type="#_x0000_t202" style="position:absolute;left:0pt;margin-left:17.3pt;margin-top:38.9pt;height:9.4pt;width:9.85pt;z-index:251674624;mso-width-relative:page;mso-height-relative:page;" filled="f" stroked="f" coordsize="21600,21600" o:gfxdata="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2dTyHX&#10;AAAABwEAAA8AAAAAAAAAAQAgAAAAIgAAAGRycy9kb3ducmV2LnhtbFBLAQIUABQAAAAIAIdO4kC1&#10;qmj4rwEAAHEDAAAOAAAAAAAAAAEAIAAAACYBAABkcnMvZTJvRG9jLnhtbFBLBQYAAAAABgAGAFkB&#10;AABHBQAAAAA=&#1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36" o:spt="202" type="#_x0000_t202" style="position:absolute;left:0pt;margin-left:8.2pt;margin-top:37.75pt;height:9.4pt;width:9.9pt;z-index:251673600;mso-width-relative:page;mso-height-relative:page;" filled="f" stroked="f" coordsize="21600,21600" o:gfxdata="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1nYT1gAA&#10;AAcBAAAPAAAAAAAAAAEAIAAAACIAAABkcnMvZG93bnJldi54bWxQSwECFAAUAAAACACHTuJAfPb5&#10;uK4BAABxAwAADgAAAAAAAAABACAAAAAlAQAAZHJzL2Uyb0RvYy54bWxQSwUGAAAAAAYABgBZAQAA&#10;RQUAAAAA&#1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35" o:spt="202" type="#_x0000_t202" style="position:absolute;left:0pt;margin-left:-0.85pt;margin-top:36.6pt;height:9.4pt;width:9.85pt;z-index:251672576;mso-width-relative:page;mso-height-relative:page;" filled="f" stroked="f" coordsize="21600,21600" o:gfxdata="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N6DNNYA&#10;AAAHAQAADwAAAAAAAAABACAAAAAiAAAAZHJzL2Rvd25yZXYueG1sUEsBAhQAFAAAAAgAh07iQCMm&#10;44SvAQAAcQMAAA4AAAAAAAAAAQAgAAAAJQEAAGRycy9lMm9Eb2MueG1sUEsFBgAAAAAGAAYAWQEA&#10;AEYFAAAAAA==&#1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34" o:spt="202" type="#_x0000_t202" style="position:absolute;left:0pt;margin-left:63.4pt;margin-top:32.05pt;height:9.35pt;width:9.85pt;z-index:251671552;mso-width-relative:page;mso-height-relative:page;" filled="f" stroked="f" coordsize="21600,21600" o:gfxdata="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WtKtTX&#10;AAAACQEAAA8AAAAAAAAAAQAgAAAAIgAAAGRycy9kb3ducmV2LnhtbFBLAQIUABQAAAAIAIdO4kA+&#10;rD5jrwEAAHEDAAAOAAAAAAAAAAEAIAAAACYBAABkcnMvZTJvRG9jLnhtbFBLBQYAAAAABgAGAFkB&#10;AABHBQAAAAA=&#1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33" o:spt="202" type="#_x0000_t202" style="position:absolute;left:0pt;margin-left:19.95pt;margin-top:10.05pt;height:9.4pt;width:9.9pt;z-index:251670528;mso-width-relative:page;mso-height-relative:page;" filled="f" stroked="f" coordsize="21600,21600" o:gfxdata="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PceQ11QAA&#10;AAcBAAAPAAAAAAAAAAEAIAAAACIAAABkcnMvZG93bnJldi54bWxQSwECFAAUAAAACACHTuJAhJUj&#10;Xq8BAABxAwAADgAAAAAAAAABACAAAAAkAQAAZHJzL2Uyb0RvYy54bWxQSwUGAAAAAAYABgBZAQAA&#10;RQUAAAAA&#1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32" o:spt="202" type="#_x0000_t202" style="position:absolute;left:0pt;margin-left:88.65pt;margin-top:32.35pt;height:9.35pt;width:9.85pt;z-index:251669504;mso-width-relative:page;mso-height-relative:page;" filled="f" stroked="f" coordsize="21600,21600" o:gfxdata="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z1MkA&#10;2AAAAAkBAAAPAAAAAAAAAAEAIAAAACIAAABkcnMvZG93bnJldi54bWxQSwECFAAUAAAACACHTuJA&#10;Li7z6K8BAABxAwAADgAAAAAAAAABACAAAAAnAQAAZHJzL2Uyb0RvYy54bWxQSwUGAAAAAAYABgBZ&#10;AQAASAUAAAAA&#1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31" o:spt="202" type="#_x0000_t202" style="position:absolute;left:0pt;margin-left:83.95pt;margin-top:22.8pt;height:9.4pt;width:9.85pt;z-index:251668480;mso-width-relative:page;mso-height-relative:page;" filled="f" stroked="f" coordsize="21600,21600" o:gfxdata="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66lWZ&#10;2AAAAAkBAAAPAAAAAAAAAAEAIAAAACIAAABkcnMvZG93bnJldi54bWxQSwECFAAUAAAACACHTuJA&#10;i+SWtK8BAABxAwAADgAAAAAAAAABACAAAAAnAQAAZHJzL2Uyb0RvYy54bWxQSwUGAAAAAAYABgBZ&#10;AQAASAUAAAAA&#1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30" o:spt="202" type="#_x0000_t202" style="position:absolute;left:0pt;margin-left:79.25pt;margin-top:13.3pt;height:9.4pt;width:9.85pt;z-index:251667456;mso-width-relative:page;mso-height-relative:page;" filled="f" stroked="f" coordsize="21600,21600" o:gfxdata="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NfNo/Y&#10;AAAACQEAAA8AAAAAAAAAAQAgAAAAIgAAAGRycy9kb3ducmV2LnhtbFBLAQIUABQAAAAIAIdO4kDl&#10;kl6+rgEAAHEDAAAOAAAAAAAAAAEAIAAAACcBAABkcnMvZTJvRG9jLnhtbFBLBQYAAAAABgAGAFkB&#10;AABHBQAAAAA=&#1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29" o:spt="202" type="#_x0000_t202" style="position:absolute;left:0pt;margin-left:74.55pt;margin-top:3.8pt;height:9.4pt;width:9.85pt;z-index:251666432;mso-width-relative:page;mso-height-relative:page;" filled="f" stroked="f" coordsize="21600,21600" o:gfxdata="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dkqP9cA&#10;AAAIAQAADwAAAAAAAAABACAAAAAiAAAAZHJzL2Rvd25yZXYueG1sUEsBAhQAFAAAAAgAh07iQLY8&#10;ngauAQAAcAMAAA4AAAAAAAAAAQAgAAAAJgEAAGRycy9lMm9Eb2MueG1sUEsFBgAAAAAGAAYAWQEA&#10;AEYFAAAAAA==&#1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28" o:spt="20" style="position:absolute;left:0pt;margin-left:-5.15pt;margin-top:26.85pt;height:26.8pt;width:106pt;z-index:251665408;mso-width-relative:page;mso-height-relative:page;" coordsize="21600,21600" o:gfxdata="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uoAAtYAAAAKAQAA&#10;DwAAAAAAAAABACAAAAAiAAAAZHJzL2Rvd25yZXYueG1sUEsBAhQAFAAAAAgAh07iQD4hfsbiAQAA&#10;4AMAAA4AAAAAAAAAAQAgAAAAJQEAAGRycy9lMm9Eb2MueG1sUEsFBgAAAAAGAAYAWQEAAHkFAAAA&#10;AA==&#10;">
                  <v:path arrowok="t"/>
                  <v:fill focussize="0,0"/>
                  <v:stroke weight="0.5pt"/>
                  <v:imagedata o:title=""/>
                  <o:lock v:ext="edit"/>
                </v:line>
              </w:pict>
            </w:r>
            <w:r>
              <w:rPr>
                <w:rFonts w:ascii="仿宋" w:hAnsi="仿宋" w:eastAsia="仿宋"/>
                <w:szCs w:val="21"/>
              </w:rPr>
              <w:pict>
                <v:line id="__TH_L19" o:spid="_x0000_s1027" o:spt="20" style="position:absolute;left:0pt;margin-left:47.85pt;margin-top:0pt;height:53.65pt;width:53pt;z-index:251664384;mso-width-relative:page;mso-height-relative:page;" coordsize="21600,21600" o:gfxdata="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3G1tN0wAAAAcBAAAPAAAA&#10;AAAAAAEAIAAAACIAAABkcnMvZG93bnJldi54bWxQSwECFAAUAAAACACHTuJAlvVYUeEBAADfAwAA&#10;DgAAAAAAAAABACAAAAAiAQAAZHJzL2Uyb0RvYy54bWxQSwUGAAAAAAYABgBZAQAAdQUAAAAA&#1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货物招标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1.80%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1.80%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1.10%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1.40%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注：1、采购代理服务费按差额定率累进法计算。例如：某服务类项目中标金额为200万元，计算采购代理服务费额如下：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100万元×1.8%=1.8万元</w:t>
      </w:r>
    </w:p>
    <w:p>
      <w:pPr>
        <w:spacing w:line="360" w:lineRule="auto"/>
        <w:ind w:firstLine="420" w:firstLineChars="200"/>
        <w:rPr>
          <w:rFonts w:ascii="仿宋" w:hAnsi="仿宋" w:eastAsia="仿宋"/>
          <w:szCs w:val="21"/>
        </w:rPr>
      </w:pPr>
      <w:r>
        <w:rPr>
          <w:rFonts w:hint="eastAsia" w:ascii="仿宋" w:hAnsi="仿宋" w:eastAsia="仿宋"/>
          <w:szCs w:val="21"/>
        </w:rPr>
        <w:t>（200-100）万元×1.1%=1.1万元</w:t>
      </w:r>
    </w:p>
    <w:p>
      <w:r>
        <w:rPr>
          <w:rFonts w:hint="eastAsia" w:ascii="仿宋" w:hAnsi="仿宋" w:eastAsia="仿宋"/>
          <w:szCs w:val="21"/>
        </w:rPr>
        <w:t xml:space="preserve">    合计收费=1.8+1.1＝2.8（万元）</w:t>
      </w: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sdtPr>
    <w:sdtContent>
      <w:p>
        <w:pPr>
          <w:pStyle w:val="1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sdtPr>
    <w:sdtContent>
      <w:p>
        <w:pPr>
          <w:pStyle w:val="14"/>
          <w:jc w:val="center"/>
        </w:pP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450" w:firstLineChars="250"/>
      <w:jc w:val="left"/>
    </w:pPr>
    <w:r>
      <w:rPr>
        <w:rFonts w:hint="eastAsia"/>
      </w:rPr>
      <w:t>项目名称：</w:t>
    </w:r>
    <w:r>
      <w:rPr>
        <w:rFonts w:hint="eastAsia" w:ascii="宋体" w:hAnsi="宋体"/>
      </w:rPr>
      <w:t>市局同乐基地建筑物结构检测鉴定服务项目</w:t>
    </w:r>
    <w:r>
      <w:rPr>
        <w:rFonts w:hint="eastAsia"/>
      </w:rPr>
      <w:t xml:space="preserve">        项目编号：</w:t>
    </w:r>
    <w:r>
      <w:t>SZZZ202</w:t>
    </w:r>
    <w:r>
      <w:rPr>
        <w:rFonts w:hint="eastAsia"/>
      </w:rPr>
      <w:t>2</w:t>
    </w:r>
    <w:r>
      <w:t>-QC0</w:t>
    </w:r>
    <w:r>
      <w:rPr>
        <w:rFonts w:hint="eastAsia"/>
      </w:rPr>
      <w:t>163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A0YzFmMDE1ZTIyYjFjZmVjNzA2YTBiYTRmNDVkYzEifQ=="/>
  </w:docVars>
  <w:rsids>
    <w:rsidRoot w:val="00081812"/>
    <w:rsid w:val="00000DEE"/>
    <w:rsid w:val="00000FB1"/>
    <w:rsid w:val="00001625"/>
    <w:rsid w:val="000042A9"/>
    <w:rsid w:val="0000490F"/>
    <w:rsid w:val="00007ECB"/>
    <w:rsid w:val="000111D4"/>
    <w:rsid w:val="00014E98"/>
    <w:rsid w:val="000159CF"/>
    <w:rsid w:val="0002500E"/>
    <w:rsid w:val="00027833"/>
    <w:rsid w:val="000309C1"/>
    <w:rsid w:val="00031BF4"/>
    <w:rsid w:val="00032DB0"/>
    <w:rsid w:val="00036165"/>
    <w:rsid w:val="00037412"/>
    <w:rsid w:val="00037D52"/>
    <w:rsid w:val="00042A65"/>
    <w:rsid w:val="00044855"/>
    <w:rsid w:val="00050F57"/>
    <w:rsid w:val="0005394E"/>
    <w:rsid w:val="00053B8A"/>
    <w:rsid w:val="000550D9"/>
    <w:rsid w:val="00055193"/>
    <w:rsid w:val="00056E7C"/>
    <w:rsid w:val="000600D8"/>
    <w:rsid w:val="00060560"/>
    <w:rsid w:val="00060B4F"/>
    <w:rsid w:val="0006220B"/>
    <w:rsid w:val="000679AB"/>
    <w:rsid w:val="00072F2B"/>
    <w:rsid w:val="00075875"/>
    <w:rsid w:val="00076401"/>
    <w:rsid w:val="000771B0"/>
    <w:rsid w:val="00080FB8"/>
    <w:rsid w:val="00081812"/>
    <w:rsid w:val="00081C0F"/>
    <w:rsid w:val="000851F4"/>
    <w:rsid w:val="00090B60"/>
    <w:rsid w:val="00094CF9"/>
    <w:rsid w:val="000A02CF"/>
    <w:rsid w:val="000B12D8"/>
    <w:rsid w:val="000B3159"/>
    <w:rsid w:val="000B44BC"/>
    <w:rsid w:val="000B61F1"/>
    <w:rsid w:val="000B7A52"/>
    <w:rsid w:val="000C05F3"/>
    <w:rsid w:val="000C08DA"/>
    <w:rsid w:val="000C1AEC"/>
    <w:rsid w:val="000C2FC4"/>
    <w:rsid w:val="000C4E01"/>
    <w:rsid w:val="000C7610"/>
    <w:rsid w:val="000C7E05"/>
    <w:rsid w:val="000D1316"/>
    <w:rsid w:val="000D3053"/>
    <w:rsid w:val="000D4339"/>
    <w:rsid w:val="000D4C91"/>
    <w:rsid w:val="000D74FE"/>
    <w:rsid w:val="000E1731"/>
    <w:rsid w:val="000E647C"/>
    <w:rsid w:val="000E6F68"/>
    <w:rsid w:val="000F4536"/>
    <w:rsid w:val="000F47BD"/>
    <w:rsid w:val="000F4EBB"/>
    <w:rsid w:val="000F5214"/>
    <w:rsid w:val="000F5791"/>
    <w:rsid w:val="0010276A"/>
    <w:rsid w:val="001036FB"/>
    <w:rsid w:val="0010378A"/>
    <w:rsid w:val="00103A07"/>
    <w:rsid w:val="00103BD6"/>
    <w:rsid w:val="00103D0B"/>
    <w:rsid w:val="00103E57"/>
    <w:rsid w:val="00105AE0"/>
    <w:rsid w:val="00106334"/>
    <w:rsid w:val="001071FF"/>
    <w:rsid w:val="001075BE"/>
    <w:rsid w:val="0011046C"/>
    <w:rsid w:val="0011120F"/>
    <w:rsid w:val="00112047"/>
    <w:rsid w:val="001120AB"/>
    <w:rsid w:val="00113460"/>
    <w:rsid w:val="00113EC5"/>
    <w:rsid w:val="0011733C"/>
    <w:rsid w:val="001206C4"/>
    <w:rsid w:val="00120905"/>
    <w:rsid w:val="00120DDA"/>
    <w:rsid w:val="001235DF"/>
    <w:rsid w:val="001253C1"/>
    <w:rsid w:val="001300A8"/>
    <w:rsid w:val="001307EF"/>
    <w:rsid w:val="00130FFD"/>
    <w:rsid w:val="00131B9B"/>
    <w:rsid w:val="00132477"/>
    <w:rsid w:val="0013247D"/>
    <w:rsid w:val="0013568E"/>
    <w:rsid w:val="0013577A"/>
    <w:rsid w:val="0013596A"/>
    <w:rsid w:val="001451A4"/>
    <w:rsid w:val="0015310D"/>
    <w:rsid w:val="00155BE9"/>
    <w:rsid w:val="0016076C"/>
    <w:rsid w:val="00161DC5"/>
    <w:rsid w:val="00165708"/>
    <w:rsid w:val="001667AC"/>
    <w:rsid w:val="00166E7A"/>
    <w:rsid w:val="001713CD"/>
    <w:rsid w:val="001746A8"/>
    <w:rsid w:val="00174A8D"/>
    <w:rsid w:val="00180273"/>
    <w:rsid w:val="001807E0"/>
    <w:rsid w:val="00180DC2"/>
    <w:rsid w:val="0018134E"/>
    <w:rsid w:val="00182643"/>
    <w:rsid w:val="001830D7"/>
    <w:rsid w:val="00183156"/>
    <w:rsid w:val="00185010"/>
    <w:rsid w:val="001850C4"/>
    <w:rsid w:val="0018536E"/>
    <w:rsid w:val="001906D1"/>
    <w:rsid w:val="0019175D"/>
    <w:rsid w:val="00192E27"/>
    <w:rsid w:val="00194764"/>
    <w:rsid w:val="00194B76"/>
    <w:rsid w:val="00197685"/>
    <w:rsid w:val="0019777D"/>
    <w:rsid w:val="001A0D90"/>
    <w:rsid w:val="001A0EB6"/>
    <w:rsid w:val="001A1302"/>
    <w:rsid w:val="001A4995"/>
    <w:rsid w:val="001A529F"/>
    <w:rsid w:val="001B0736"/>
    <w:rsid w:val="001B14D5"/>
    <w:rsid w:val="001B4B65"/>
    <w:rsid w:val="001B4C23"/>
    <w:rsid w:val="001C0532"/>
    <w:rsid w:val="001C1FFB"/>
    <w:rsid w:val="001D3874"/>
    <w:rsid w:val="001D6198"/>
    <w:rsid w:val="001D6B2F"/>
    <w:rsid w:val="001D7A7C"/>
    <w:rsid w:val="001E1BC7"/>
    <w:rsid w:val="001E1F63"/>
    <w:rsid w:val="001E398A"/>
    <w:rsid w:val="001E3C4F"/>
    <w:rsid w:val="001E4745"/>
    <w:rsid w:val="001E5169"/>
    <w:rsid w:val="001E60D1"/>
    <w:rsid w:val="001E6EA6"/>
    <w:rsid w:val="001E7031"/>
    <w:rsid w:val="001F0977"/>
    <w:rsid w:val="001F2061"/>
    <w:rsid w:val="001F259A"/>
    <w:rsid w:val="001F2D31"/>
    <w:rsid w:val="001F36D4"/>
    <w:rsid w:val="001F3E52"/>
    <w:rsid w:val="001F52C4"/>
    <w:rsid w:val="001F5A31"/>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59B7"/>
    <w:rsid w:val="00226BD7"/>
    <w:rsid w:val="00230218"/>
    <w:rsid w:val="002304B2"/>
    <w:rsid w:val="00235A7C"/>
    <w:rsid w:val="002366EC"/>
    <w:rsid w:val="00240B70"/>
    <w:rsid w:val="00241247"/>
    <w:rsid w:val="00241A35"/>
    <w:rsid w:val="00244EDA"/>
    <w:rsid w:val="002463C2"/>
    <w:rsid w:val="0024707D"/>
    <w:rsid w:val="00251EE6"/>
    <w:rsid w:val="00252A0E"/>
    <w:rsid w:val="00256F3C"/>
    <w:rsid w:val="0026095A"/>
    <w:rsid w:val="00260974"/>
    <w:rsid w:val="00264F5D"/>
    <w:rsid w:val="00265825"/>
    <w:rsid w:val="002666B6"/>
    <w:rsid w:val="00270AB4"/>
    <w:rsid w:val="0027125F"/>
    <w:rsid w:val="0027386D"/>
    <w:rsid w:val="00273CE7"/>
    <w:rsid w:val="00281900"/>
    <w:rsid w:val="00282D0F"/>
    <w:rsid w:val="00284440"/>
    <w:rsid w:val="00285487"/>
    <w:rsid w:val="00290049"/>
    <w:rsid w:val="0029352A"/>
    <w:rsid w:val="002938FD"/>
    <w:rsid w:val="00293E95"/>
    <w:rsid w:val="00294665"/>
    <w:rsid w:val="002A06F5"/>
    <w:rsid w:val="002A179B"/>
    <w:rsid w:val="002A3990"/>
    <w:rsid w:val="002A78DB"/>
    <w:rsid w:val="002B11F2"/>
    <w:rsid w:val="002C3E2A"/>
    <w:rsid w:val="002C54D8"/>
    <w:rsid w:val="002C5B23"/>
    <w:rsid w:val="002C5F7F"/>
    <w:rsid w:val="002D285F"/>
    <w:rsid w:val="002D4AE6"/>
    <w:rsid w:val="002D51A5"/>
    <w:rsid w:val="002D6413"/>
    <w:rsid w:val="002D78BD"/>
    <w:rsid w:val="002E071E"/>
    <w:rsid w:val="002E6738"/>
    <w:rsid w:val="002F30E6"/>
    <w:rsid w:val="002F35E9"/>
    <w:rsid w:val="002F49D2"/>
    <w:rsid w:val="002F5D8F"/>
    <w:rsid w:val="002F5DF7"/>
    <w:rsid w:val="003007E9"/>
    <w:rsid w:val="00300F63"/>
    <w:rsid w:val="00302A03"/>
    <w:rsid w:val="00302EF1"/>
    <w:rsid w:val="00303151"/>
    <w:rsid w:val="0030484B"/>
    <w:rsid w:val="00305E56"/>
    <w:rsid w:val="00310D9B"/>
    <w:rsid w:val="00312539"/>
    <w:rsid w:val="00312A7C"/>
    <w:rsid w:val="003165DD"/>
    <w:rsid w:val="003206AD"/>
    <w:rsid w:val="003215BB"/>
    <w:rsid w:val="00321AB6"/>
    <w:rsid w:val="00321C69"/>
    <w:rsid w:val="00324BEB"/>
    <w:rsid w:val="00325DC4"/>
    <w:rsid w:val="0032699D"/>
    <w:rsid w:val="00331CBE"/>
    <w:rsid w:val="00331CEB"/>
    <w:rsid w:val="00331F0C"/>
    <w:rsid w:val="003366C3"/>
    <w:rsid w:val="00341029"/>
    <w:rsid w:val="00341DF6"/>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3358"/>
    <w:rsid w:val="003734A9"/>
    <w:rsid w:val="003749D0"/>
    <w:rsid w:val="003817C2"/>
    <w:rsid w:val="003821BD"/>
    <w:rsid w:val="00385F8F"/>
    <w:rsid w:val="00394101"/>
    <w:rsid w:val="003961A8"/>
    <w:rsid w:val="00397B90"/>
    <w:rsid w:val="003A0AF8"/>
    <w:rsid w:val="003A2361"/>
    <w:rsid w:val="003A2D80"/>
    <w:rsid w:val="003A3825"/>
    <w:rsid w:val="003A45DB"/>
    <w:rsid w:val="003A6687"/>
    <w:rsid w:val="003B0701"/>
    <w:rsid w:val="003B09EB"/>
    <w:rsid w:val="003B1F2D"/>
    <w:rsid w:val="003B2517"/>
    <w:rsid w:val="003B3548"/>
    <w:rsid w:val="003B480F"/>
    <w:rsid w:val="003B72A9"/>
    <w:rsid w:val="003B73C7"/>
    <w:rsid w:val="003C007A"/>
    <w:rsid w:val="003C09AC"/>
    <w:rsid w:val="003C5421"/>
    <w:rsid w:val="003C5430"/>
    <w:rsid w:val="003C73B6"/>
    <w:rsid w:val="003D00F6"/>
    <w:rsid w:val="003D16C1"/>
    <w:rsid w:val="003D4C25"/>
    <w:rsid w:val="003D6A99"/>
    <w:rsid w:val="003D7227"/>
    <w:rsid w:val="003D76AD"/>
    <w:rsid w:val="003E0447"/>
    <w:rsid w:val="003E21AD"/>
    <w:rsid w:val="003E2E33"/>
    <w:rsid w:val="003E7DA3"/>
    <w:rsid w:val="003F2113"/>
    <w:rsid w:val="003F35A5"/>
    <w:rsid w:val="003F5A49"/>
    <w:rsid w:val="00400065"/>
    <w:rsid w:val="00410FE8"/>
    <w:rsid w:val="004135C6"/>
    <w:rsid w:val="00414963"/>
    <w:rsid w:val="00415251"/>
    <w:rsid w:val="0041630C"/>
    <w:rsid w:val="004164C2"/>
    <w:rsid w:val="004168DC"/>
    <w:rsid w:val="00417BA6"/>
    <w:rsid w:val="00417C44"/>
    <w:rsid w:val="0042116F"/>
    <w:rsid w:val="00421DAD"/>
    <w:rsid w:val="00422693"/>
    <w:rsid w:val="00422C44"/>
    <w:rsid w:val="0042569B"/>
    <w:rsid w:val="0042757A"/>
    <w:rsid w:val="00427866"/>
    <w:rsid w:val="0043223F"/>
    <w:rsid w:val="00433AFC"/>
    <w:rsid w:val="004430A5"/>
    <w:rsid w:val="0044367E"/>
    <w:rsid w:val="00446C65"/>
    <w:rsid w:val="004501AD"/>
    <w:rsid w:val="0045273A"/>
    <w:rsid w:val="00453647"/>
    <w:rsid w:val="00454F13"/>
    <w:rsid w:val="00454FF9"/>
    <w:rsid w:val="00460AA2"/>
    <w:rsid w:val="00462399"/>
    <w:rsid w:val="004625C3"/>
    <w:rsid w:val="00465C8A"/>
    <w:rsid w:val="00466085"/>
    <w:rsid w:val="0046668A"/>
    <w:rsid w:val="00466DE8"/>
    <w:rsid w:val="00467D37"/>
    <w:rsid w:val="00475AAD"/>
    <w:rsid w:val="00476772"/>
    <w:rsid w:val="004807D8"/>
    <w:rsid w:val="004822B0"/>
    <w:rsid w:val="0048492A"/>
    <w:rsid w:val="00485BF2"/>
    <w:rsid w:val="00486360"/>
    <w:rsid w:val="004870E5"/>
    <w:rsid w:val="00487AC8"/>
    <w:rsid w:val="00490108"/>
    <w:rsid w:val="00492ED3"/>
    <w:rsid w:val="00492EE9"/>
    <w:rsid w:val="00494A35"/>
    <w:rsid w:val="0049518C"/>
    <w:rsid w:val="004A008B"/>
    <w:rsid w:val="004A17F8"/>
    <w:rsid w:val="004A2A14"/>
    <w:rsid w:val="004A3ED8"/>
    <w:rsid w:val="004A44E9"/>
    <w:rsid w:val="004A4D27"/>
    <w:rsid w:val="004B2C1C"/>
    <w:rsid w:val="004B3011"/>
    <w:rsid w:val="004B3E4E"/>
    <w:rsid w:val="004B5B8D"/>
    <w:rsid w:val="004B702D"/>
    <w:rsid w:val="004B7A5D"/>
    <w:rsid w:val="004C01E3"/>
    <w:rsid w:val="004C1824"/>
    <w:rsid w:val="004C1F8C"/>
    <w:rsid w:val="004C267E"/>
    <w:rsid w:val="004C2C97"/>
    <w:rsid w:val="004C3BFC"/>
    <w:rsid w:val="004C4655"/>
    <w:rsid w:val="004C5A96"/>
    <w:rsid w:val="004D1E7C"/>
    <w:rsid w:val="004D21F9"/>
    <w:rsid w:val="004D3C88"/>
    <w:rsid w:val="004D3EFD"/>
    <w:rsid w:val="004D6C39"/>
    <w:rsid w:val="004E30ED"/>
    <w:rsid w:val="004E6514"/>
    <w:rsid w:val="004F0013"/>
    <w:rsid w:val="004F037B"/>
    <w:rsid w:val="004F1964"/>
    <w:rsid w:val="004F2741"/>
    <w:rsid w:val="004F2776"/>
    <w:rsid w:val="004F4A43"/>
    <w:rsid w:val="004F57EA"/>
    <w:rsid w:val="004F5A1F"/>
    <w:rsid w:val="0050673A"/>
    <w:rsid w:val="00507910"/>
    <w:rsid w:val="005101D8"/>
    <w:rsid w:val="005115F1"/>
    <w:rsid w:val="00513405"/>
    <w:rsid w:val="00516927"/>
    <w:rsid w:val="00517508"/>
    <w:rsid w:val="00524AB5"/>
    <w:rsid w:val="0052553C"/>
    <w:rsid w:val="00530955"/>
    <w:rsid w:val="00530EBB"/>
    <w:rsid w:val="00531594"/>
    <w:rsid w:val="005339CE"/>
    <w:rsid w:val="0053608D"/>
    <w:rsid w:val="00536394"/>
    <w:rsid w:val="00536771"/>
    <w:rsid w:val="0054086A"/>
    <w:rsid w:val="00541912"/>
    <w:rsid w:val="00541962"/>
    <w:rsid w:val="00544A1E"/>
    <w:rsid w:val="005454F7"/>
    <w:rsid w:val="00546FF3"/>
    <w:rsid w:val="00552EA1"/>
    <w:rsid w:val="0055372B"/>
    <w:rsid w:val="0055628A"/>
    <w:rsid w:val="00556603"/>
    <w:rsid w:val="00561EBC"/>
    <w:rsid w:val="00562A80"/>
    <w:rsid w:val="005659BA"/>
    <w:rsid w:val="00565F47"/>
    <w:rsid w:val="00571D74"/>
    <w:rsid w:val="00571DC0"/>
    <w:rsid w:val="00574D07"/>
    <w:rsid w:val="00580DD1"/>
    <w:rsid w:val="00581D61"/>
    <w:rsid w:val="0058457D"/>
    <w:rsid w:val="00584C51"/>
    <w:rsid w:val="0059165F"/>
    <w:rsid w:val="00594812"/>
    <w:rsid w:val="00597492"/>
    <w:rsid w:val="005977CD"/>
    <w:rsid w:val="005A198A"/>
    <w:rsid w:val="005A2D99"/>
    <w:rsid w:val="005A556A"/>
    <w:rsid w:val="005A6A03"/>
    <w:rsid w:val="005B1387"/>
    <w:rsid w:val="005B39F5"/>
    <w:rsid w:val="005B3CF3"/>
    <w:rsid w:val="005B4677"/>
    <w:rsid w:val="005B6672"/>
    <w:rsid w:val="005C038C"/>
    <w:rsid w:val="005C1F40"/>
    <w:rsid w:val="005C26E6"/>
    <w:rsid w:val="005C297C"/>
    <w:rsid w:val="005C50DE"/>
    <w:rsid w:val="005C669E"/>
    <w:rsid w:val="005C6BAF"/>
    <w:rsid w:val="005D120E"/>
    <w:rsid w:val="005D2420"/>
    <w:rsid w:val="005E0B51"/>
    <w:rsid w:val="005E18E3"/>
    <w:rsid w:val="005E3AA1"/>
    <w:rsid w:val="005E3DDF"/>
    <w:rsid w:val="005E5481"/>
    <w:rsid w:val="005E5539"/>
    <w:rsid w:val="005F13C2"/>
    <w:rsid w:val="005F37DF"/>
    <w:rsid w:val="005F3B95"/>
    <w:rsid w:val="005F559B"/>
    <w:rsid w:val="006013DE"/>
    <w:rsid w:val="00606E51"/>
    <w:rsid w:val="0061385D"/>
    <w:rsid w:val="00614576"/>
    <w:rsid w:val="00615303"/>
    <w:rsid w:val="006163F2"/>
    <w:rsid w:val="00617AA3"/>
    <w:rsid w:val="006231AA"/>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60043"/>
    <w:rsid w:val="006658FD"/>
    <w:rsid w:val="0067037C"/>
    <w:rsid w:val="006705E0"/>
    <w:rsid w:val="006724DC"/>
    <w:rsid w:val="0067485A"/>
    <w:rsid w:val="006755C2"/>
    <w:rsid w:val="00680CAD"/>
    <w:rsid w:val="00681F30"/>
    <w:rsid w:val="00682237"/>
    <w:rsid w:val="00682B9C"/>
    <w:rsid w:val="00682EE4"/>
    <w:rsid w:val="0068357D"/>
    <w:rsid w:val="00683EB7"/>
    <w:rsid w:val="0068713A"/>
    <w:rsid w:val="0069583C"/>
    <w:rsid w:val="006A5038"/>
    <w:rsid w:val="006A535A"/>
    <w:rsid w:val="006A7A1E"/>
    <w:rsid w:val="006B36EE"/>
    <w:rsid w:val="006B752A"/>
    <w:rsid w:val="006B7F97"/>
    <w:rsid w:val="006C29E2"/>
    <w:rsid w:val="006C3937"/>
    <w:rsid w:val="006C57C7"/>
    <w:rsid w:val="006C5E75"/>
    <w:rsid w:val="006C7615"/>
    <w:rsid w:val="006D0A65"/>
    <w:rsid w:val="006D0B4B"/>
    <w:rsid w:val="006D0B9C"/>
    <w:rsid w:val="006D0CD7"/>
    <w:rsid w:val="006D125F"/>
    <w:rsid w:val="006D609F"/>
    <w:rsid w:val="006E0808"/>
    <w:rsid w:val="006E0C83"/>
    <w:rsid w:val="006E0F6E"/>
    <w:rsid w:val="006E26F4"/>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5DCC"/>
    <w:rsid w:val="007264E7"/>
    <w:rsid w:val="00731470"/>
    <w:rsid w:val="00731E75"/>
    <w:rsid w:val="0073473A"/>
    <w:rsid w:val="00734C96"/>
    <w:rsid w:val="00734FEE"/>
    <w:rsid w:val="00740C34"/>
    <w:rsid w:val="007421A3"/>
    <w:rsid w:val="00744674"/>
    <w:rsid w:val="007458E4"/>
    <w:rsid w:val="007516CF"/>
    <w:rsid w:val="00752B5B"/>
    <w:rsid w:val="00753B18"/>
    <w:rsid w:val="00761B09"/>
    <w:rsid w:val="00762130"/>
    <w:rsid w:val="0076307E"/>
    <w:rsid w:val="00772F41"/>
    <w:rsid w:val="0077521B"/>
    <w:rsid w:val="00776554"/>
    <w:rsid w:val="007811AB"/>
    <w:rsid w:val="00785E4F"/>
    <w:rsid w:val="0078680E"/>
    <w:rsid w:val="00792109"/>
    <w:rsid w:val="007928C7"/>
    <w:rsid w:val="00793E36"/>
    <w:rsid w:val="00794D26"/>
    <w:rsid w:val="007A0AF9"/>
    <w:rsid w:val="007A1673"/>
    <w:rsid w:val="007A458B"/>
    <w:rsid w:val="007A47AB"/>
    <w:rsid w:val="007A47D0"/>
    <w:rsid w:val="007B00AD"/>
    <w:rsid w:val="007B58FB"/>
    <w:rsid w:val="007B6A98"/>
    <w:rsid w:val="007B7EE3"/>
    <w:rsid w:val="007C035E"/>
    <w:rsid w:val="007C0EC0"/>
    <w:rsid w:val="007C6BBE"/>
    <w:rsid w:val="007C75FA"/>
    <w:rsid w:val="007D0F9A"/>
    <w:rsid w:val="007D4329"/>
    <w:rsid w:val="007D4552"/>
    <w:rsid w:val="007D49B8"/>
    <w:rsid w:val="007D57B6"/>
    <w:rsid w:val="007D6457"/>
    <w:rsid w:val="007D759B"/>
    <w:rsid w:val="007E1CC4"/>
    <w:rsid w:val="007E2D1B"/>
    <w:rsid w:val="007E377A"/>
    <w:rsid w:val="007E422B"/>
    <w:rsid w:val="007E6064"/>
    <w:rsid w:val="007F0A36"/>
    <w:rsid w:val="007F5B57"/>
    <w:rsid w:val="007F707C"/>
    <w:rsid w:val="0080097C"/>
    <w:rsid w:val="00803317"/>
    <w:rsid w:val="008050C5"/>
    <w:rsid w:val="00816305"/>
    <w:rsid w:val="0081690D"/>
    <w:rsid w:val="008227C0"/>
    <w:rsid w:val="00822F18"/>
    <w:rsid w:val="008237AE"/>
    <w:rsid w:val="008245C9"/>
    <w:rsid w:val="00831DA8"/>
    <w:rsid w:val="008338E9"/>
    <w:rsid w:val="0083456A"/>
    <w:rsid w:val="00836C91"/>
    <w:rsid w:val="00837E5D"/>
    <w:rsid w:val="008400A9"/>
    <w:rsid w:val="00844881"/>
    <w:rsid w:val="00851111"/>
    <w:rsid w:val="0085139E"/>
    <w:rsid w:val="00851BAA"/>
    <w:rsid w:val="00854839"/>
    <w:rsid w:val="00855CDD"/>
    <w:rsid w:val="00857895"/>
    <w:rsid w:val="00860209"/>
    <w:rsid w:val="00861447"/>
    <w:rsid w:val="00862F1A"/>
    <w:rsid w:val="00863B59"/>
    <w:rsid w:val="00866DC9"/>
    <w:rsid w:val="00867868"/>
    <w:rsid w:val="00867964"/>
    <w:rsid w:val="00867F26"/>
    <w:rsid w:val="00870B1C"/>
    <w:rsid w:val="00871FDA"/>
    <w:rsid w:val="00875E76"/>
    <w:rsid w:val="008760F4"/>
    <w:rsid w:val="00876C9B"/>
    <w:rsid w:val="00880E46"/>
    <w:rsid w:val="00884EE0"/>
    <w:rsid w:val="00885021"/>
    <w:rsid w:val="008857F3"/>
    <w:rsid w:val="0089097C"/>
    <w:rsid w:val="008913F6"/>
    <w:rsid w:val="008978BC"/>
    <w:rsid w:val="00897B8F"/>
    <w:rsid w:val="008A00DE"/>
    <w:rsid w:val="008A1135"/>
    <w:rsid w:val="008A5579"/>
    <w:rsid w:val="008A7105"/>
    <w:rsid w:val="008B23ED"/>
    <w:rsid w:val="008B3CF6"/>
    <w:rsid w:val="008B6E3E"/>
    <w:rsid w:val="008C22C3"/>
    <w:rsid w:val="008C2872"/>
    <w:rsid w:val="008C4E93"/>
    <w:rsid w:val="008C5174"/>
    <w:rsid w:val="008C5331"/>
    <w:rsid w:val="008C7EF1"/>
    <w:rsid w:val="008D1C6E"/>
    <w:rsid w:val="008D589B"/>
    <w:rsid w:val="008D5F36"/>
    <w:rsid w:val="008D6745"/>
    <w:rsid w:val="008D6F39"/>
    <w:rsid w:val="008D74D8"/>
    <w:rsid w:val="008E45DD"/>
    <w:rsid w:val="008E5BEA"/>
    <w:rsid w:val="008E61CF"/>
    <w:rsid w:val="008E66A7"/>
    <w:rsid w:val="008F0027"/>
    <w:rsid w:val="008F13F4"/>
    <w:rsid w:val="008F2248"/>
    <w:rsid w:val="008F429A"/>
    <w:rsid w:val="008F4809"/>
    <w:rsid w:val="008F4885"/>
    <w:rsid w:val="008F69B0"/>
    <w:rsid w:val="008F6DFC"/>
    <w:rsid w:val="00900FA9"/>
    <w:rsid w:val="00901C9D"/>
    <w:rsid w:val="0090254E"/>
    <w:rsid w:val="0090397D"/>
    <w:rsid w:val="00903B8A"/>
    <w:rsid w:val="0090531F"/>
    <w:rsid w:val="00907F35"/>
    <w:rsid w:val="0091449C"/>
    <w:rsid w:val="00915C0A"/>
    <w:rsid w:val="00916394"/>
    <w:rsid w:val="00916C61"/>
    <w:rsid w:val="00920BE6"/>
    <w:rsid w:val="00920D54"/>
    <w:rsid w:val="00922E91"/>
    <w:rsid w:val="009253A2"/>
    <w:rsid w:val="009260F9"/>
    <w:rsid w:val="00926811"/>
    <w:rsid w:val="009328BD"/>
    <w:rsid w:val="0093469C"/>
    <w:rsid w:val="00940D53"/>
    <w:rsid w:val="00942081"/>
    <w:rsid w:val="009447BD"/>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647D"/>
    <w:rsid w:val="00983A52"/>
    <w:rsid w:val="00984B13"/>
    <w:rsid w:val="00986AE7"/>
    <w:rsid w:val="00987773"/>
    <w:rsid w:val="00987A32"/>
    <w:rsid w:val="00993600"/>
    <w:rsid w:val="0099428B"/>
    <w:rsid w:val="00997D11"/>
    <w:rsid w:val="009A0A96"/>
    <w:rsid w:val="009A271D"/>
    <w:rsid w:val="009A44F9"/>
    <w:rsid w:val="009A70D5"/>
    <w:rsid w:val="009B2507"/>
    <w:rsid w:val="009B2E8E"/>
    <w:rsid w:val="009B3004"/>
    <w:rsid w:val="009B348C"/>
    <w:rsid w:val="009B7712"/>
    <w:rsid w:val="009B7B83"/>
    <w:rsid w:val="009C0636"/>
    <w:rsid w:val="009C08BA"/>
    <w:rsid w:val="009C6F0A"/>
    <w:rsid w:val="009C6F32"/>
    <w:rsid w:val="009C797B"/>
    <w:rsid w:val="009D02E8"/>
    <w:rsid w:val="009D0C05"/>
    <w:rsid w:val="009D4274"/>
    <w:rsid w:val="009D461F"/>
    <w:rsid w:val="009D5D74"/>
    <w:rsid w:val="009D622C"/>
    <w:rsid w:val="009E1268"/>
    <w:rsid w:val="009E5AB3"/>
    <w:rsid w:val="009E61F7"/>
    <w:rsid w:val="009E7BE7"/>
    <w:rsid w:val="009E7EB2"/>
    <w:rsid w:val="009F145D"/>
    <w:rsid w:val="009F17D1"/>
    <w:rsid w:val="009F7CAB"/>
    <w:rsid w:val="00A011F7"/>
    <w:rsid w:val="00A02E6E"/>
    <w:rsid w:val="00A03F22"/>
    <w:rsid w:val="00A064C9"/>
    <w:rsid w:val="00A0662C"/>
    <w:rsid w:val="00A12624"/>
    <w:rsid w:val="00A1407B"/>
    <w:rsid w:val="00A14B13"/>
    <w:rsid w:val="00A14B40"/>
    <w:rsid w:val="00A15BF3"/>
    <w:rsid w:val="00A17FEB"/>
    <w:rsid w:val="00A20772"/>
    <w:rsid w:val="00A214C8"/>
    <w:rsid w:val="00A21567"/>
    <w:rsid w:val="00A215C7"/>
    <w:rsid w:val="00A22C2D"/>
    <w:rsid w:val="00A24B13"/>
    <w:rsid w:val="00A25794"/>
    <w:rsid w:val="00A30451"/>
    <w:rsid w:val="00A3148A"/>
    <w:rsid w:val="00A324AB"/>
    <w:rsid w:val="00A33C11"/>
    <w:rsid w:val="00A34E09"/>
    <w:rsid w:val="00A35B35"/>
    <w:rsid w:val="00A4434F"/>
    <w:rsid w:val="00A44A6C"/>
    <w:rsid w:val="00A45819"/>
    <w:rsid w:val="00A4687A"/>
    <w:rsid w:val="00A47350"/>
    <w:rsid w:val="00A47C08"/>
    <w:rsid w:val="00A517BC"/>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CC9"/>
    <w:rsid w:val="00A8789C"/>
    <w:rsid w:val="00A87F74"/>
    <w:rsid w:val="00A90111"/>
    <w:rsid w:val="00A91528"/>
    <w:rsid w:val="00A95196"/>
    <w:rsid w:val="00A9738A"/>
    <w:rsid w:val="00AA1EFF"/>
    <w:rsid w:val="00AA5115"/>
    <w:rsid w:val="00AB14C7"/>
    <w:rsid w:val="00AB2264"/>
    <w:rsid w:val="00AB4E47"/>
    <w:rsid w:val="00AB67F7"/>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4116"/>
    <w:rsid w:val="00B1486E"/>
    <w:rsid w:val="00B15BDD"/>
    <w:rsid w:val="00B20443"/>
    <w:rsid w:val="00B2550B"/>
    <w:rsid w:val="00B259CE"/>
    <w:rsid w:val="00B25B50"/>
    <w:rsid w:val="00B30680"/>
    <w:rsid w:val="00B31DD7"/>
    <w:rsid w:val="00B32CAF"/>
    <w:rsid w:val="00B33432"/>
    <w:rsid w:val="00B336D5"/>
    <w:rsid w:val="00B33FD6"/>
    <w:rsid w:val="00B35F18"/>
    <w:rsid w:val="00B3657C"/>
    <w:rsid w:val="00B42372"/>
    <w:rsid w:val="00B423A4"/>
    <w:rsid w:val="00B437D6"/>
    <w:rsid w:val="00B43AB0"/>
    <w:rsid w:val="00B4446B"/>
    <w:rsid w:val="00B523FB"/>
    <w:rsid w:val="00B52E8F"/>
    <w:rsid w:val="00B5525E"/>
    <w:rsid w:val="00B57738"/>
    <w:rsid w:val="00B63137"/>
    <w:rsid w:val="00B63604"/>
    <w:rsid w:val="00B63FA9"/>
    <w:rsid w:val="00B650CC"/>
    <w:rsid w:val="00B66A5A"/>
    <w:rsid w:val="00B707BD"/>
    <w:rsid w:val="00B71457"/>
    <w:rsid w:val="00B750BF"/>
    <w:rsid w:val="00B75217"/>
    <w:rsid w:val="00B776B5"/>
    <w:rsid w:val="00B81AFD"/>
    <w:rsid w:val="00B85442"/>
    <w:rsid w:val="00B91090"/>
    <w:rsid w:val="00B926B7"/>
    <w:rsid w:val="00B94A3A"/>
    <w:rsid w:val="00B95094"/>
    <w:rsid w:val="00BA3803"/>
    <w:rsid w:val="00BA7533"/>
    <w:rsid w:val="00BC4096"/>
    <w:rsid w:val="00BC65BA"/>
    <w:rsid w:val="00BD55FE"/>
    <w:rsid w:val="00BD75D2"/>
    <w:rsid w:val="00BE0383"/>
    <w:rsid w:val="00BE07A0"/>
    <w:rsid w:val="00BE1C3A"/>
    <w:rsid w:val="00BE611C"/>
    <w:rsid w:val="00BE70FF"/>
    <w:rsid w:val="00BF1079"/>
    <w:rsid w:val="00BF2768"/>
    <w:rsid w:val="00BF5859"/>
    <w:rsid w:val="00BF6DFF"/>
    <w:rsid w:val="00C00048"/>
    <w:rsid w:val="00C00239"/>
    <w:rsid w:val="00C068F5"/>
    <w:rsid w:val="00C11842"/>
    <w:rsid w:val="00C12994"/>
    <w:rsid w:val="00C1363B"/>
    <w:rsid w:val="00C14D24"/>
    <w:rsid w:val="00C1538F"/>
    <w:rsid w:val="00C15926"/>
    <w:rsid w:val="00C16139"/>
    <w:rsid w:val="00C17609"/>
    <w:rsid w:val="00C177ED"/>
    <w:rsid w:val="00C2265C"/>
    <w:rsid w:val="00C23420"/>
    <w:rsid w:val="00C30985"/>
    <w:rsid w:val="00C33BB9"/>
    <w:rsid w:val="00C3464B"/>
    <w:rsid w:val="00C35140"/>
    <w:rsid w:val="00C35A34"/>
    <w:rsid w:val="00C3715A"/>
    <w:rsid w:val="00C421FF"/>
    <w:rsid w:val="00C425BE"/>
    <w:rsid w:val="00C44F2B"/>
    <w:rsid w:val="00C545D3"/>
    <w:rsid w:val="00C54A8C"/>
    <w:rsid w:val="00C56388"/>
    <w:rsid w:val="00C5675C"/>
    <w:rsid w:val="00C61233"/>
    <w:rsid w:val="00C61911"/>
    <w:rsid w:val="00C627D8"/>
    <w:rsid w:val="00C62EB5"/>
    <w:rsid w:val="00C65EB9"/>
    <w:rsid w:val="00C718D9"/>
    <w:rsid w:val="00C72850"/>
    <w:rsid w:val="00C73632"/>
    <w:rsid w:val="00C75175"/>
    <w:rsid w:val="00C7543D"/>
    <w:rsid w:val="00C759F9"/>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FF"/>
    <w:rsid w:val="00CA7FEE"/>
    <w:rsid w:val="00CB0B37"/>
    <w:rsid w:val="00CB0CBA"/>
    <w:rsid w:val="00CB11FA"/>
    <w:rsid w:val="00CC1F38"/>
    <w:rsid w:val="00CC4D3B"/>
    <w:rsid w:val="00CC6328"/>
    <w:rsid w:val="00CC69B1"/>
    <w:rsid w:val="00CC7D94"/>
    <w:rsid w:val="00CD17D9"/>
    <w:rsid w:val="00CD218F"/>
    <w:rsid w:val="00CD417B"/>
    <w:rsid w:val="00CD4EA9"/>
    <w:rsid w:val="00CD6CA5"/>
    <w:rsid w:val="00CE0A40"/>
    <w:rsid w:val="00CE0C33"/>
    <w:rsid w:val="00CE2480"/>
    <w:rsid w:val="00CE3871"/>
    <w:rsid w:val="00CE39D5"/>
    <w:rsid w:val="00CE5C29"/>
    <w:rsid w:val="00CE7671"/>
    <w:rsid w:val="00CF1043"/>
    <w:rsid w:val="00CF1336"/>
    <w:rsid w:val="00CF2265"/>
    <w:rsid w:val="00CF32D4"/>
    <w:rsid w:val="00CF38DA"/>
    <w:rsid w:val="00CF6B12"/>
    <w:rsid w:val="00CF6CA8"/>
    <w:rsid w:val="00CF797E"/>
    <w:rsid w:val="00D01079"/>
    <w:rsid w:val="00D018E6"/>
    <w:rsid w:val="00D02059"/>
    <w:rsid w:val="00D02D89"/>
    <w:rsid w:val="00D03B55"/>
    <w:rsid w:val="00D04D65"/>
    <w:rsid w:val="00D063F2"/>
    <w:rsid w:val="00D06DB2"/>
    <w:rsid w:val="00D10FDF"/>
    <w:rsid w:val="00D15CC8"/>
    <w:rsid w:val="00D20615"/>
    <w:rsid w:val="00D20796"/>
    <w:rsid w:val="00D2538D"/>
    <w:rsid w:val="00D268C9"/>
    <w:rsid w:val="00D301ED"/>
    <w:rsid w:val="00D313B0"/>
    <w:rsid w:val="00D319D4"/>
    <w:rsid w:val="00D32569"/>
    <w:rsid w:val="00D36569"/>
    <w:rsid w:val="00D36FBF"/>
    <w:rsid w:val="00D40062"/>
    <w:rsid w:val="00D405E7"/>
    <w:rsid w:val="00D4133A"/>
    <w:rsid w:val="00D436F6"/>
    <w:rsid w:val="00D440FF"/>
    <w:rsid w:val="00D44DD1"/>
    <w:rsid w:val="00D50BC2"/>
    <w:rsid w:val="00D515C2"/>
    <w:rsid w:val="00D53B9C"/>
    <w:rsid w:val="00D5622E"/>
    <w:rsid w:val="00D570CE"/>
    <w:rsid w:val="00D66F14"/>
    <w:rsid w:val="00D679C1"/>
    <w:rsid w:val="00D67A9D"/>
    <w:rsid w:val="00D7638B"/>
    <w:rsid w:val="00D76DCC"/>
    <w:rsid w:val="00D77D9E"/>
    <w:rsid w:val="00D81C8D"/>
    <w:rsid w:val="00D81D6D"/>
    <w:rsid w:val="00D8340F"/>
    <w:rsid w:val="00D86400"/>
    <w:rsid w:val="00D867D6"/>
    <w:rsid w:val="00D868DE"/>
    <w:rsid w:val="00D90503"/>
    <w:rsid w:val="00D94A33"/>
    <w:rsid w:val="00D97FE0"/>
    <w:rsid w:val="00DA1C78"/>
    <w:rsid w:val="00DA2E3F"/>
    <w:rsid w:val="00DA2F03"/>
    <w:rsid w:val="00DA6875"/>
    <w:rsid w:val="00DB0107"/>
    <w:rsid w:val="00DB18E3"/>
    <w:rsid w:val="00DB297D"/>
    <w:rsid w:val="00DB4314"/>
    <w:rsid w:val="00DB6163"/>
    <w:rsid w:val="00DB66A1"/>
    <w:rsid w:val="00DB75D0"/>
    <w:rsid w:val="00DB7C7C"/>
    <w:rsid w:val="00DC04D3"/>
    <w:rsid w:val="00DC0A19"/>
    <w:rsid w:val="00DC0C8E"/>
    <w:rsid w:val="00DC1BE6"/>
    <w:rsid w:val="00DC758E"/>
    <w:rsid w:val="00DD0F27"/>
    <w:rsid w:val="00DD1317"/>
    <w:rsid w:val="00DD2F1D"/>
    <w:rsid w:val="00DD60CF"/>
    <w:rsid w:val="00DE02C0"/>
    <w:rsid w:val="00DE0A11"/>
    <w:rsid w:val="00DE0C01"/>
    <w:rsid w:val="00DE3797"/>
    <w:rsid w:val="00DE5AB2"/>
    <w:rsid w:val="00DE671D"/>
    <w:rsid w:val="00DF4497"/>
    <w:rsid w:val="00DF4D3B"/>
    <w:rsid w:val="00DF4E4D"/>
    <w:rsid w:val="00DF715B"/>
    <w:rsid w:val="00E00C09"/>
    <w:rsid w:val="00E01840"/>
    <w:rsid w:val="00E03760"/>
    <w:rsid w:val="00E03EFD"/>
    <w:rsid w:val="00E0782E"/>
    <w:rsid w:val="00E07EFA"/>
    <w:rsid w:val="00E10D0C"/>
    <w:rsid w:val="00E10E49"/>
    <w:rsid w:val="00E16966"/>
    <w:rsid w:val="00E16B58"/>
    <w:rsid w:val="00E173A4"/>
    <w:rsid w:val="00E1777D"/>
    <w:rsid w:val="00E20B76"/>
    <w:rsid w:val="00E21B6D"/>
    <w:rsid w:val="00E22996"/>
    <w:rsid w:val="00E319E4"/>
    <w:rsid w:val="00E34FE8"/>
    <w:rsid w:val="00E35A86"/>
    <w:rsid w:val="00E368CB"/>
    <w:rsid w:val="00E377D4"/>
    <w:rsid w:val="00E406E1"/>
    <w:rsid w:val="00E4111A"/>
    <w:rsid w:val="00E418B7"/>
    <w:rsid w:val="00E419D1"/>
    <w:rsid w:val="00E41A8F"/>
    <w:rsid w:val="00E41A9E"/>
    <w:rsid w:val="00E425CE"/>
    <w:rsid w:val="00E47A9E"/>
    <w:rsid w:val="00E52810"/>
    <w:rsid w:val="00E57D01"/>
    <w:rsid w:val="00E61E2A"/>
    <w:rsid w:val="00E62870"/>
    <w:rsid w:val="00E63015"/>
    <w:rsid w:val="00E70E68"/>
    <w:rsid w:val="00E7106D"/>
    <w:rsid w:val="00E718C8"/>
    <w:rsid w:val="00E7401E"/>
    <w:rsid w:val="00E762FB"/>
    <w:rsid w:val="00E81BF9"/>
    <w:rsid w:val="00E81DDF"/>
    <w:rsid w:val="00E82791"/>
    <w:rsid w:val="00E8332D"/>
    <w:rsid w:val="00E85DFB"/>
    <w:rsid w:val="00E85F74"/>
    <w:rsid w:val="00E865C1"/>
    <w:rsid w:val="00E87CCD"/>
    <w:rsid w:val="00E92C08"/>
    <w:rsid w:val="00E94054"/>
    <w:rsid w:val="00E94B32"/>
    <w:rsid w:val="00E94F48"/>
    <w:rsid w:val="00E95A5B"/>
    <w:rsid w:val="00EA02B6"/>
    <w:rsid w:val="00EA1009"/>
    <w:rsid w:val="00EA39E3"/>
    <w:rsid w:val="00EA50FC"/>
    <w:rsid w:val="00EA6123"/>
    <w:rsid w:val="00EB170B"/>
    <w:rsid w:val="00EB290D"/>
    <w:rsid w:val="00EB632A"/>
    <w:rsid w:val="00EC36BC"/>
    <w:rsid w:val="00ED2203"/>
    <w:rsid w:val="00ED2569"/>
    <w:rsid w:val="00ED25B1"/>
    <w:rsid w:val="00ED7FAF"/>
    <w:rsid w:val="00EE0104"/>
    <w:rsid w:val="00EE07DA"/>
    <w:rsid w:val="00EE2AD2"/>
    <w:rsid w:val="00EE324B"/>
    <w:rsid w:val="00EE56CB"/>
    <w:rsid w:val="00EE6C48"/>
    <w:rsid w:val="00EF0079"/>
    <w:rsid w:val="00EF1832"/>
    <w:rsid w:val="00EF3E79"/>
    <w:rsid w:val="00EF4E25"/>
    <w:rsid w:val="00EF771A"/>
    <w:rsid w:val="00F03DD9"/>
    <w:rsid w:val="00F06A8A"/>
    <w:rsid w:val="00F0761C"/>
    <w:rsid w:val="00F1054C"/>
    <w:rsid w:val="00F11975"/>
    <w:rsid w:val="00F1246B"/>
    <w:rsid w:val="00F243C8"/>
    <w:rsid w:val="00F26D6A"/>
    <w:rsid w:val="00F304A9"/>
    <w:rsid w:val="00F30C1A"/>
    <w:rsid w:val="00F33F84"/>
    <w:rsid w:val="00F3568E"/>
    <w:rsid w:val="00F35A11"/>
    <w:rsid w:val="00F400ED"/>
    <w:rsid w:val="00F420CC"/>
    <w:rsid w:val="00F43840"/>
    <w:rsid w:val="00F43BBA"/>
    <w:rsid w:val="00F46253"/>
    <w:rsid w:val="00F50479"/>
    <w:rsid w:val="00F507CD"/>
    <w:rsid w:val="00F52083"/>
    <w:rsid w:val="00F53C91"/>
    <w:rsid w:val="00F56191"/>
    <w:rsid w:val="00F6000A"/>
    <w:rsid w:val="00F64BB0"/>
    <w:rsid w:val="00F709AA"/>
    <w:rsid w:val="00F72CCB"/>
    <w:rsid w:val="00F75244"/>
    <w:rsid w:val="00F801B9"/>
    <w:rsid w:val="00F8304C"/>
    <w:rsid w:val="00F85A8C"/>
    <w:rsid w:val="00F903F4"/>
    <w:rsid w:val="00F915F1"/>
    <w:rsid w:val="00F91721"/>
    <w:rsid w:val="00F920ED"/>
    <w:rsid w:val="00F95601"/>
    <w:rsid w:val="00FA07E3"/>
    <w:rsid w:val="00FA5879"/>
    <w:rsid w:val="00FA5CFA"/>
    <w:rsid w:val="00FB04D2"/>
    <w:rsid w:val="00FB503D"/>
    <w:rsid w:val="00FD0B60"/>
    <w:rsid w:val="00FD2335"/>
    <w:rsid w:val="00FD29BA"/>
    <w:rsid w:val="00FD2AED"/>
    <w:rsid w:val="00FD739B"/>
    <w:rsid w:val="00FE0E36"/>
    <w:rsid w:val="00FE268E"/>
    <w:rsid w:val="00FE2790"/>
    <w:rsid w:val="00FE639A"/>
    <w:rsid w:val="00FE6EA5"/>
    <w:rsid w:val="00FE76EB"/>
    <w:rsid w:val="00FE7BE9"/>
    <w:rsid w:val="00FF344D"/>
    <w:rsid w:val="00FF39E5"/>
    <w:rsid w:val="00FF3C6E"/>
    <w:rsid w:val="00FF401B"/>
    <w:rsid w:val="00FF463F"/>
    <w:rsid w:val="00FF7F98"/>
    <w:rsid w:val="016531D1"/>
    <w:rsid w:val="02443CCC"/>
    <w:rsid w:val="02781BC8"/>
    <w:rsid w:val="03086AA8"/>
    <w:rsid w:val="03546EEA"/>
    <w:rsid w:val="041E3811"/>
    <w:rsid w:val="04561A95"/>
    <w:rsid w:val="049B394B"/>
    <w:rsid w:val="059211F2"/>
    <w:rsid w:val="06124B79"/>
    <w:rsid w:val="06AC1E40"/>
    <w:rsid w:val="06BC6527"/>
    <w:rsid w:val="06DE46EF"/>
    <w:rsid w:val="079052BE"/>
    <w:rsid w:val="07C531B9"/>
    <w:rsid w:val="082F4AD6"/>
    <w:rsid w:val="08A2174C"/>
    <w:rsid w:val="08B35707"/>
    <w:rsid w:val="09242161"/>
    <w:rsid w:val="0A3E3335"/>
    <w:rsid w:val="0A4D0340"/>
    <w:rsid w:val="0A586566"/>
    <w:rsid w:val="0B9D0857"/>
    <w:rsid w:val="0BCB0FBA"/>
    <w:rsid w:val="0C0F0EA7"/>
    <w:rsid w:val="0C2C39B0"/>
    <w:rsid w:val="0C803B53"/>
    <w:rsid w:val="0CB657C6"/>
    <w:rsid w:val="0D432958"/>
    <w:rsid w:val="0E9D6C3E"/>
    <w:rsid w:val="0EFD2FF1"/>
    <w:rsid w:val="108D5FB8"/>
    <w:rsid w:val="109776BD"/>
    <w:rsid w:val="11951E4E"/>
    <w:rsid w:val="119767DB"/>
    <w:rsid w:val="11AB4941"/>
    <w:rsid w:val="11CB5870"/>
    <w:rsid w:val="12040D82"/>
    <w:rsid w:val="12A56C4A"/>
    <w:rsid w:val="12B37438"/>
    <w:rsid w:val="12CE33B1"/>
    <w:rsid w:val="13052787"/>
    <w:rsid w:val="133C7D6D"/>
    <w:rsid w:val="144638D4"/>
    <w:rsid w:val="147476F8"/>
    <w:rsid w:val="14C447F8"/>
    <w:rsid w:val="14D964F6"/>
    <w:rsid w:val="15875F52"/>
    <w:rsid w:val="15962639"/>
    <w:rsid w:val="15FF01DE"/>
    <w:rsid w:val="160261D0"/>
    <w:rsid w:val="166E2C6E"/>
    <w:rsid w:val="16757756"/>
    <w:rsid w:val="16B56AEF"/>
    <w:rsid w:val="16C44F84"/>
    <w:rsid w:val="16D2413C"/>
    <w:rsid w:val="16E80C72"/>
    <w:rsid w:val="170A6E3A"/>
    <w:rsid w:val="17E1186E"/>
    <w:rsid w:val="17EC02EE"/>
    <w:rsid w:val="17EE050A"/>
    <w:rsid w:val="181635BD"/>
    <w:rsid w:val="185760F5"/>
    <w:rsid w:val="186E0470"/>
    <w:rsid w:val="18813A4C"/>
    <w:rsid w:val="193006AE"/>
    <w:rsid w:val="193A012F"/>
    <w:rsid w:val="19AB7C0A"/>
    <w:rsid w:val="1A271AB1"/>
    <w:rsid w:val="1A2E05B4"/>
    <w:rsid w:val="1AA26E91"/>
    <w:rsid w:val="1AA97354"/>
    <w:rsid w:val="1B414DF5"/>
    <w:rsid w:val="1B661467"/>
    <w:rsid w:val="1BCD2C5A"/>
    <w:rsid w:val="1BCF2401"/>
    <w:rsid w:val="1C0948DA"/>
    <w:rsid w:val="1C8B0821"/>
    <w:rsid w:val="1C901B90"/>
    <w:rsid w:val="1CB416A2"/>
    <w:rsid w:val="1E122A78"/>
    <w:rsid w:val="1E2F7187"/>
    <w:rsid w:val="1E62755C"/>
    <w:rsid w:val="1F016D75"/>
    <w:rsid w:val="1F20662D"/>
    <w:rsid w:val="1F647304"/>
    <w:rsid w:val="1F874D8A"/>
    <w:rsid w:val="1FCB1131"/>
    <w:rsid w:val="1FF8573C"/>
    <w:rsid w:val="208239E9"/>
    <w:rsid w:val="20FA1CCE"/>
    <w:rsid w:val="2137674A"/>
    <w:rsid w:val="21426F2B"/>
    <w:rsid w:val="23C01F77"/>
    <w:rsid w:val="243454F7"/>
    <w:rsid w:val="245636BF"/>
    <w:rsid w:val="247E2C16"/>
    <w:rsid w:val="24831FDA"/>
    <w:rsid w:val="250749B9"/>
    <w:rsid w:val="25B05051"/>
    <w:rsid w:val="25D85E19"/>
    <w:rsid w:val="2604755F"/>
    <w:rsid w:val="26B558ED"/>
    <w:rsid w:val="26BE532A"/>
    <w:rsid w:val="274A3283"/>
    <w:rsid w:val="2758774E"/>
    <w:rsid w:val="27F95A9B"/>
    <w:rsid w:val="283E4B96"/>
    <w:rsid w:val="286478B1"/>
    <w:rsid w:val="291E6455"/>
    <w:rsid w:val="294B2D1A"/>
    <w:rsid w:val="296028EA"/>
    <w:rsid w:val="2A0C2A72"/>
    <w:rsid w:val="2A2A502E"/>
    <w:rsid w:val="2ADD7F15"/>
    <w:rsid w:val="2AFB0177"/>
    <w:rsid w:val="2AFD7FEE"/>
    <w:rsid w:val="2B774A68"/>
    <w:rsid w:val="2BDF21EC"/>
    <w:rsid w:val="2CEC2829"/>
    <w:rsid w:val="2D526C53"/>
    <w:rsid w:val="2D6C203D"/>
    <w:rsid w:val="2DBE1875"/>
    <w:rsid w:val="2DE25FC3"/>
    <w:rsid w:val="2DEB6B09"/>
    <w:rsid w:val="2E075A2A"/>
    <w:rsid w:val="2E4B42A5"/>
    <w:rsid w:val="2E627104"/>
    <w:rsid w:val="2E9848D4"/>
    <w:rsid w:val="2EA25753"/>
    <w:rsid w:val="2EC03CE5"/>
    <w:rsid w:val="2EC1207D"/>
    <w:rsid w:val="2F104DB2"/>
    <w:rsid w:val="2F13234A"/>
    <w:rsid w:val="2F9914AB"/>
    <w:rsid w:val="2FE06533"/>
    <w:rsid w:val="30045DA6"/>
    <w:rsid w:val="300C7328"/>
    <w:rsid w:val="301E705B"/>
    <w:rsid w:val="30656A38"/>
    <w:rsid w:val="30D37E45"/>
    <w:rsid w:val="30EE4C7F"/>
    <w:rsid w:val="31014620"/>
    <w:rsid w:val="311C17EC"/>
    <w:rsid w:val="32110C25"/>
    <w:rsid w:val="326A47D9"/>
    <w:rsid w:val="32780CA4"/>
    <w:rsid w:val="328E14B9"/>
    <w:rsid w:val="32943604"/>
    <w:rsid w:val="32E427DE"/>
    <w:rsid w:val="33042F26"/>
    <w:rsid w:val="33CA19D4"/>
    <w:rsid w:val="34474DD2"/>
    <w:rsid w:val="349937BF"/>
    <w:rsid w:val="34C5786A"/>
    <w:rsid w:val="34C74165"/>
    <w:rsid w:val="36A32816"/>
    <w:rsid w:val="36E034DA"/>
    <w:rsid w:val="371A4A20"/>
    <w:rsid w:val="37716B31"/>
    <w:rsid w:val="37BC1633"/>
    <w:rsid w:val="380145D2"/>
    <w:rsid w:val="3934169D"/>
    <w:rsid w:val="396106E4"/>
    <w:rsid w:val="3A081A7A"/>
    <w:rsid w:val="3A257964"/>
    <w:rsid w:val="3A7F148A"/>
    <w:rsid w:val="3AA77B16"/>
    <w:rsid w:val="3AC328E0"/>
    <w:rsid w:val="3ADF0647"/>
    <w:rsid w:val="3B2344B0"/>
    <w:rsid w:val="3C0F3A5A"/>
    <w:rsid w:val="3C9E39FD"/>
    <w:rsid w:val="3D4F6AA6"/>
    <w:rsid w:val="3D6407A3"/>
    <w:rsid w:val="3D9A41C5"/>
    <w:rsid w:val="3EF73899"/>
    <w:rsid w:val="3F49575B"/>
    <w:rsid w:val="404B1C32"/>
    <w:rsid w:val="40BA0813"/>
    <w:rsid w:val="41120516"/>
    <w:rsid w:val="41197AF6"/>
    <w:rsid w:val="4170480B"/>
    <w:rsid w:val="419929E5"/>
    <w:rsid w:val="419E1DAA"/>
    <w:rsid w:val="41D35EF7"/>
    <w:rsid w:val="41F1637D"/>
    <w:rsid w:val="424C7A58"/>
    <w:rsid w:val="427F607F"/>
    <w:rsid w:val="42E5426B"/>
    <w:rsid w:val="42FA5706"/>
    <w:rsid w:val="430640AA"/>
    <w:rsid w:val="435721AB"/>
    <w:rsid w:val="436B0FC0"/>
    <w:rsid w:val="43E3475B"/>
    <w:rsid w:val="4420119C"/>
    <w:rsid w:val="44224699"/>
    <w:rsid w:val="445350CD"/>
    <w:rsid w:val="446E75ED"/>
    <w:rsid w:val="44BC0BCB"/>
    <w:rsid w:val="4562595D"/>
    <w:rsid w:val="45667082"/>
    <w:rsid w:val="45AA51C1"/>
    <w:rsid w:val="46572B47"/>
    <w:rsid w:val="467632F5"/>
    <w:rsid w:val="468E6891"/>
    <w:rsid w:val="46BF5A44"/>
    <w:rsid w:val="46EC2A74"/>
    <w:rsid w:val="47190850"/>
    <w:rsid w:val="473D3E13"/>
    <w:rsid w:val="47A04ACD"/>
    <w:rsid w:val="47F71B02"/>
    <w:rsid w:val="47F97CC9"/>
    <w:rsid w:val="48D367DD"/>
    <w:rsid w:val="49240967"/>
    <w:rsid w:val="49301E81"/>
    <w:rsid w:val="4958211B"/>
    <w:rsid w:val="497958A5"/>
    <w:rsid w:val="49920446"/>
    <w:rsid w:val="4A8A6194"/>
    <w:rsid w:val="4AF40715"/>
    <w:rsid w:val="4AF9601A"/>
    <w:rsid w:val="4B0215FB"/>
    <w:rsid w:val="4B0E7FA0"/>
    <w:rsid w:val="4B4A77F9"/>
    <w:rsid w:val="4BB75EF3"/>
    <w:rsid w:val="4BE86A43"/>
    <w:rsid w:val="4C312198"/>
    <w:rsid w:val="4C4730B5"/>
    <w:rsid w:val="4D135D42"/>
    <w:rsid w:val="4D5123C6"/>
    <w:rsid w:val="4D870D20"/>
    <w:rsid w:val="4DAE03C1"/>
    <w:rsid w:val="4DB0533F"/>
    <w:rsid w:val="4DB200A1"/>
    <w:rsid w:val="4E2D4BE1"/>
    <w:rsid w:val="4ECE1A55"/>
    <w:rsid w:val="503A35E5"/>
    <w:rsid w:val="50A866F2"/>
    <w:rsid w:val="50E27694"/>
    <w:rsid w:val="51723728"/>
    <w:rsid w:val="51C413B8"/>
    <w:rsid w:val="52412A09"/>
    <w:rsid w:val="52743188"/>
    <w:rsid w:val="53D05DA1"/>
    <w:rsid w:val="540C16BD"/>
    <w:rsid w:val="54455CD4"/>
    <w:rsid w:val="548B290F"/>
    <w:rsid w:val="54CD4A28"/>
    <w:rsid w:val="556D15A8"/>
    <w:rsid w:val="5579695E"/>
    <w:rsid w:val="557F21C6"/>
    <w:rsid w:val="55CA71B9"/>
    <w:rsid w:val="56024BA5"/>
    <w:rsid w:val="5604091D"/>
    <w:rsid w:val="56440D1A"/>
    <w:rsid w:val="56D952A8"/>
    <w:rsid w:val="574A73E2"/>
    <w:rsid w:val="58704048"/>
    <w:rsid w:val="589635DD"/>
    <w:rsid w:val="59142C25"/>
    <w:rsid w:val="5926708E"/>
    <w:rsid w:val="596969BE"/>
    <w:rsid w:val="59974DCB"/>
    <w:rsid w:val="59A87812"/>
    <w:rsid w:val="59A93A45"/>
    <w:rsid w:val="59EC11EF"/>
    <w:rsid w:val="5A2F1CE1"/>
    <w:rsid w:val="5A6A4AC7"/>
    <w:rsid w:val="5A7F6221"/>
    <w:rsid w:val="5B463948"/>
    <w:rsid w:val="5B734C0E"/>
    <w:rsid w:val="5B767FCF"/>
    <w:rsid w:val="5C30202A"/>
    <w:rsid w:val="5C4C0928"/>
    <w:rsid w:val="5CCD7D10"/>
    <w:rsid w:val="5D1076B3"/>
    <w:rsid w:val="5D111766"/>
    <w:rsid w:val="5D135A41"/>
    <w:rsid w:val="5D245401"/>
    <w:rsid w:val="5D504A3D"/>
    <w:rsid w:val="5D92680F"/>
    <w:rsid w:val="5DC6470A"/>
    <w:rsid w:val="5E115985"/>
    <w:rsid w:val="5E655CD1"/>
    <w:rsid w:val="5E677C9B"/>
    <w:rsid w:val="5FDE3347"/>
    <w:rsid w:val="602B6AA7"/>
    <w:rsid w:val="6038094B"/>
    <w:rsid w:val="604F4E8B"/>
    <w:rsid w:val="60787F3E"/>
    <w:rsid w:val="60E54856"/>
    <w:rsid w:val="61073070"/>
    <w:rsid w:val="611F5809"/>
    <w:rsid w:val="61565DA5"/>
    <w:rsid w:val="616D55C9"/>
    <w:rsid w:val="6186668A"/>
    <w:rsid w:val="62503507"/>
    <w:rsid w:val="62A212A2"/>
    <w:rsid w:val="634C7460"/>
    <w:rsid w:val="64084829"/>
    <w:rsid w:val="64EA6F30"/>
    <w:rsid w:val="650B25A9"/>
    <w:rsid w:val="652F0DE7"/>
    <w:rsid w:val="65C77271"/>
    <w:rsid w:val="66AE52A4"/>
    <w:rsid w:val="66C26950"/>
    <w:rsid w:val="67053AFC"/>
    <w:rsid w:val="67565A36"/>
    <w:rsid w:val="67EE4F80"/>
    <w:rsid w:val="68541290"/>
    <w:rsid w:val="686139AD"/>
    <w:rsid w:val="688E3F4B"/>
    <w:rsid w:val="68A660EC"/>
    <w:rsid w:val="68AA7102"/>
    <w:rsid w:val="69562DE6"/>
    <w:rsid w:val="695928D6"/>
    <w:rsid w:val="69700881"/>
    <w:rsid w:val="69F10D61"/>
    <w:rsid w:val="6A3A6264"/>
    <w:rsid w:val="6BAB4527"/>
    <w:rsid w:val="6BDA7CFF"/>
    <w:rsid w:val="6CBE13CE"/>
    <w:rsid w:val="6D1A3AF6"/>
    <w:rsid w:val="6E2E60E0"/>
    <w:rsid w:val="6EC46A44"/>
    <w:rsid w:val="6F521BEF"/>
    <w:rsid w:val="6F534277"/>
    <w:rsid w:val="6F975F07"/>
    <w:rsid w:val="6FA50623"/>
    <w:rsid w:val="6FB3215C"/>
    <w:rsid w:val="6FEA4288"/>
    <w:rsid w:val="70447695"/>
    <w:rsid w:val="70BA00FF"/>
    <w:rsid w:val="716562BC"/>
    <w:rsid w:val="724E4B1F"/>
    <w:rsid w:val="727662A7"/>
    <w:rsid w:val="72987FCC"/>
    <w:rsid w:val="73024AE7"/>
    <w:rsid w:val="739764D5"/>
    <w:rsid w:val="740C0E97"/>
    <w:rsid w:val="74251D33"/>
    <w:rsid w:val="74454183"/>
    <w:rsid w:val="74E13391"/>
    <w:rsid w:val="75E023B5"/>
    <w:rsid w:val="760F67F7"/>
    <w:rsid w:val="770F2826"/>
    <w:rsid w:val="7712313A"/>
    <w:rsid w:val="778D20C9"/>
    <w:rsid w:val="77935205"/>
    <w:rsid w:val="78000AED"/>
    <w:rsid w:val="78044A7E"/>
    <w:rsid w:val="78265CFE"/>
    <w:rsid w:val="782C201B"/>
    <w:rsid w:val="79022643"/>
    <w:rsid w:val="7996119D"/>
    <w:rsid w:val="7A187A56"/>
    <w:rsid w:val="7A9C02AB"/>
    <w:rsid w:val="7AA335E9"/>
    <w:rsid w:val="7B527052"/>
    <w:rsid w:val="7B5B24DE"/>
    <w:rsid w:val="7BC7096A"/>
    <w:rsid w:val="7CE3278B"/>
    <w:rsid w:val="7D061C0C"/>
    <w:rsid w:val="7DB008BF"/>
    <w:rsid w:val="7DC964F0"/>
    <w:rsid w:val="7DD87CEE"/>
    <w:rsid w:val="7E461224"/>
    <w:rsid w:val="7E81225C"/>
    <w:rsid w:val="7EA61CC2"/>
    <w:rsid w:val="7EA97CFB"/>
    <w:rsid w:val="7FCA25A7"/>
    <w:rsid w:val="7FE3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7"/>
    <w:qFormat/>
    <w:uiPriority w:val="0"/>
    <w:pPr>
      <w:keepNext/>
      <w:autoSpaceDE w:val="0"/>
      <w:autoSpaceDN w:val="0"/>
      <w:adjustRightInd w:val="0"/>
      <w:jc w:val="center"/>
      <w:outlineLvl w:val="0"/>
    </w:pPr>
    <w:rPr>
      <w:rFonts w:ascii="宋体"/>
      <w:color w:val="000000"/>
      <w:sz w:val="28"/>
      <w:szCs w:val="20"/>
    </w:rPr>
  </w:style>
  <w:style w:type="paragraph" w:styleId="5">
    <w:name w:val="heading 2"/>
    <w:basedOn w:val="1"/>
    <w:next w:val="1"/>
    <w:link w:val="32"/>
    <w:qFormat/>
    <w:uiPriority w:val="0"/>
    <w:pPr>
      <w:keepNext/>
      <w:keepLines/>
      <w:spacing w:before="260" w:after="260" w:line="416" w:lineRule="auto"/>
      <w:outlineLvl w:val="1"/>
    </w:pPr>
    <w:rPr>
      <w:rFonts w:ascii="Arial" w:hAnsi="Arial"/>
      <w:b/>
      <w:bCs/>
      <w:sz w:val="32"/>
      <w:szCs w:val="32"/>
    </w:rPr>
  </w:style>
  <w:style w:type="paragraph" w:styleId="6">
    <w:name w:val="heading 3"/>
    <w:basedOn w:val="1"/>
    <w:next w:val="1"/>
    <w:link w:val="34"/>
    <w:semiHidden/>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5"/>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unhideWhenUsed/>
    <w:qFormat/>
    <w:uiPriority w:val="99"/>
    <w:pPr>
      <w:spacing w:after="120"/>
      <w:ind w:left="420" w:leftChars="200"/>
    </w:pPr>
  </w:style>
  <w:style w:type="paragraph" w:styleId="8">
    <w:name w:val="Normal Indent"/>
    <w:basedOn w:val="1"/>
    <w:next w:val="9"/>
    <w:semiHidden/>
    <w:unhideWhenUsed/>
    <w:qFormat/>
    <w:uiPriority w:val="0"/>
    <w:pPr>
      <w:ind w:firstLine="420"/>
    </w:pPr>
    <w:rPr>
      <w:rFonts w:eastAsiaTheme="minorEastAsia" w:cstheme="minorBidi"/>
      <w:szCs w:val="20"/>
    </w:rPr>
  </w:style>
  <w:style w:type="paragraph" w:styleId="9">
    <w:name w:val="Body Text"/>
    <w:basedOn w:val="1"/>
    <w:semiHidden/>
    <w:unhideWhenUsed/>
    <w:qFormat/>
    <w:uiPriority w:val="99"/>
    <w:pPr>
      <w:spacing w:after="120"/>
    </w:pPr>
  </w:style>
  <w:style w:type="paragraph" w:styleId="10">
    <w:name w:val="annotation text"/>
    <w:basedOn w:val="1"/>
    <w:link w:val="28"/>
    <w:unhideWhenUsed/>
    <w:qFormat/>
    <w:uiPriority w:val="99"/>
    <w:pPr>
      <w:jc w:val="left"/>
    </w:pPr>
  </w:style>
  <w:style w:type="paragraph" w:styleId="11">
    <w:name w:val="Plain Text"/>
    <w:basedOn w:val="1"/>
    <w:link w:val="31"/>
    <w:qFormat/>
    <w:uiPriority w:val="0"/>
    <w:rPr>
      <w:rFonts w:ascii="宋体" w:hAnsi="Courier New" w:eastAsiaTheme="minorEastAsia" w:cstheme="minorBidi"/>
    </w:rPr>
  </w:style>
  <w:style w:type="paragraph" w:styleId="12">
    <w:name w:val="Date"/>
    <w:basedOn w:val="1"/>
    <w:next w:val="1"/>
    <w:link w:val="23"/>
    <w:qFormat/>
    <w:uiPriority w:val="0"/>
    <w:rPr>
      <w:rFonts w:ascii="宋体" w:hAnsi="Courier New"/>
      <w:kern w:val="0"/>
      <w:sz w:val="32"/>
      <w:szCs w:val="20"/>
    </w:rPr>
  </w:style>
  <w:style w:type="paragraph" w:styleId="13">
    <w:name w:val="Balloon Text"/>
    <w:basedOn w:val="1"/>
    <w:link w:val="24"/>
    <w:semiHidden/>
    <w:unhideWhenUsed/>
    <w:qFormat/>
    <w:uiPriority w:val="99"/>
    <w:rPr>
      <w:sz w:val="18"/>
      <w:szCs w:val="18"/>
    </w:rPr>
  </w:style>
  <w:style w:type="paragraph" w:styleId="14">
    <w:name w:val="footer"/>
    <w:basedOn w:val="1"/>
    <w:link w:val="26"/>
    <w:unhideWhenUsed/>
    <w:qFormat/>
    <w:uiPriority w:val="99"/>
    <w:pPr>
      <w:tabs>
        <w:tab w:val="center" w:pos="4153"/>
        <w:tab w:val="right" w:pos="8306"/>
      </w:tabs>
      <w:snapToGrid w:val="0"/>
      <w:jc w:val="left"/>
    </w:pPr>
    <w:rPr>
      <w:sz w:val="18"/>
      <w:szCs w:val="18"/>
    </w:rPr>
  </w:style>
  <w:style w:type="paragraph" w:styleId="15">
    <w:name w:val="header"/>
    <w:basedOn w:val="1"/>
    <w:link w:val="2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10"/>
    <w:next w:val="10"/>
    <w:link w:val="29"/>
    <w:semiHidden/>
    <w:unhideWhenUsed/>
    <w:qFormat/>
    <w:uiPriority w:val="99"/>
    <w:rPr>
      <w:b/>
      <w:bCs/>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21"/>
      <w:szCs w:val="21"/>
    </w:rPr>
  </w:style>
  <w:style w:type="character" w:customStyle="1" w:styleId="22">
    <w:name w:val="日期 Char"/>
    <w:basedOn w:val="19"/>
    <w:qFormat/>
    <w:uiPriority w:val="0"/>
    <w:rPr>
      <w:rFonts w:ascii="宋体" w:hAnsi="Courier New" w:eastAsia="宋体" w:cs="Times New Roman"/>
      <w:kern w:val="0"/>
      <w:sz w:val="32"/>
      <w:szCs w:val="20"/>
    </w:rPr>
  </w:style>
  <w:style w:type="character" w:customStyle="1" w:styleId="23">
    <w:name w:val="日期 Char1"/>
    <w:basedOn w:val="19"/>
    <w:link w:val="12"/>
    <w:semiHidden/>
    <w:qFormat/>
    <w:uiPriority w:val="99"/>
    <w:rPr>
      <w:rFonts w:ascii="Calibri" w:hAnsi="Calibri" w:eastAsia="宋体" w:cs="Times New Roman"/>
    </w:rPr>
  </w:style>
  <w:style w:type="character" w:customStyle="1" w:styleId="24">
    <w:name w:val="批注框文本 Char"/>
    <w:basedOn w:val="19"/>
    <w:link w:val="13"/>
    <w:semiHidden/>
    <w:qFormat/>
    <w:uiPriority w:val="99"/>
    <w:rPr>
      <w:rFonts w:ascii="Calibri" w:hAnsi="Calibri" w:eastAsia="宋体" w:cs="Times New Roman"/>
      <w:sz w:val="18"/>
      <w:szCs w:val="18"/>
    </w:rPr>
  </w:style>
  <w:style w:type="character" w:customStyle="1" w:styleId="25">
    <w:name w:val="页眉 Char"/>
    <w:basedOn w:val="19"/>
    <w:link w:val="15"/>
    <w:semiHidden/>
    <w:qFormat/>
    <w:uiPriority w:val="99"/>
    <w:rPr>
      <w:rFonts w:ascii="Calibri" w:hAnsi="Calibri" w:eastAsia="宋体" w:cs="Times New Roman"/>
      <w:sz w:val="18"/>
      <w:szCs w:val="18"/>
    </w:rPr>
  </w:style>
  <w:style w:type="character" w:customStyle="1" w:styleId="26">
    <w:name w:val="页脚 Char"/>
    <w:basedOn w:val="19"/>
    <w:link w:val="14"/>
    <w:qFormat/>
    <w:uiPriority w:val="99"/>
    <w:rPr>
      <w:rFonts w:ascii="Calibri" w:hAnsi="Calibri" w:eastAsia="宋体" w:cs="Times New Roman"/>
      <w:sz w:val="18"/>
      <w:szCs w:val="18"/>
    </w:rPr>
  </w:style>
  <w:style w:type="character" w:customStyle="1" w:styleId="27">
    <w:name w:val="标题 1 Char"/>
    <w:basedOn w:val="19"/>
    <w:link w:val="4"/>
    <w:qFormat/>
    <w:uiPriority w:val="0"/>
    <w:rPr>
      <w:rFonts w:ascii="宋体" w:hAnsi="Calibri" w:eastAsia="宋体" w:cs="Times New Roman"/>
      <w:color w:val="000000"/>
      <w:sz w:val="28"/>
      <w:szCs w:val="20"/>
    </w:rPr>
  </w:style>
  <w:style w:type="character" w:customStyle="1" w:styleId="28">
    <w:name w:val="批注文字 Char"/>
    <w:basedOn w:val="19"/>
    <w:link w:val="10"/>
    <w:qFormat/>
    <w:uiPriority w:val="99"/>
    <w:rPr>
      <w:rFonts w:ascii="Calibri" w:hAnsi="Calibri" w:eastAsia="宋体" w:cs="Times New Roman"/>
    </w:rPr>
  </w:style>
  <w:style w:type="character" w:customStyle="1" w:styleId="29">
    <w:name w:val="批注主题 Char"/>
    <w:basedOn w:val="28"/>
    <w:link w:val="16"/>
    <w:semiHidden/>
    <w:qFormat/>
    <w:uiPriority w:val="99"/>
    <w:rPr>
      <w:rFonts w:ascii="Calibri" w:hAnsi="Calibri" w:eastAsia="宋体" w:cs="Times New Roman"/>
      <w:b/>
      <w:bCs/>
    </w:rPr>
  </w:style>
  <w:style w:type="character" w:customStyle="1" w:styleId="30">
    <w:name w:val="纯文本 Char"/>
    <w:qFormat/>
    <w:uiPriority w:val="0"/>
    <w:rPr>
      <w:rFonts w:ascii="宋体" w:hAnsi="Courier New"/>
    </w:rPr>
  </w:style>
  <w:style w:type="character" w:customStyle="1" w:styleId="31">
    <w:name w:val="纯文本 Char1"/>
    <w:basedOn w:val="19"/>
    <w:link w:val="11"/>
    <w:semiHidden/>
    <w:qFormat/>
    <w:uiPriority w:val="99"/>
    <w:rPr>
      <w:rFonts w:ascii="宋体" w:hAnsi="Courier New" w:eastAsia="宋体" w:cs="Courier New"/>
      <w:szCs w:val="21"/>
    </w:rPr>
  </w:style>
  <w:style w:type="character" w:customStyle="1" w:styleId="32">
    <w:name w:val="标题 2 Char"/>
    <w:basedOn w:val="19"/>
    <w:link w:val="5"/>
    <w:qFormat/>
    <w:uiPriority w:val="0"/>
    <w:rPr>
      <w:rFonts w:ascii="Arial" w:hAnsi="Arial" w:eastAsia="宋体" w:cs="Times New Roman"/>
      <w:b/>
      <w:bCs/>
      <w:sz w:val="32"/>
      <w:szCs w:val="32"/>
    </w:rPr>
  </w:style>
  <w:style w:type="paragraph" w:styleId="33">
    <w:name w:val="List Paragraph"/>
    <w:basedOn w:val="1"/>
    <w:qFormat/>
    <w:uiPriority w:val="34"/>
    <w:pPr>
      <w:ind w:firstLine="420" w:firstLineChars="200"/>
    </w:pPr>
  </w:style>
  <w:style w:type="character" w:customStyle="1" w:styleId="34">
    <w:name w:val="标题 3 Char"/>
    <w:basedOn w:val="19"/>
    <w:link w:val="6"/>
    <w:semiHidden/>
    <w:qFormat/>
    <w:uiPriority w:val="9"/>
    <w:rPr>
      <w:rFonts w:ascii="Calibri" w:hAnsi="Calibri" w:eastAsia="宋体" w:cs="Times New Roman"/>
      <w:b/>
      <w:bCs/>
      <w:sz w:val="32"/>
      <w:szCs w:val="32"/>
    </w:rPr>
  </w:style>
  <w:style w:type="character" w:customStyle="1" w:styleId="35">
    <w:name w:val="标题 4 Char"/>
    <w:basedOn w:val="19"/>
    <w:link w:val="7"/>
    <w:qFormat/>
    <w:uiPriority w:val="0"/>
    <w:rPr>
      <w:rFonts w:ascii="Cambria" w:hAnsi="Cambria" w:eastAsia="宋体" w:cs="Times New Roman"/>
      <w:b/>
      <w:bCs/>
      <w:sz w:val="28"/>
      <w:szCs w:val="28"/>
    </w:rPr>
  </w:style>
  <w:style w:type="paragraph" w:customStyle="1" w:styleId="36">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7">
    <w:name w:val="1"/>
    <w:basedOn w:val="1"/>
    <w:next w:val="11"/>
    <w:qFormat/>
    <w:uiPriority w:val="0"/>
    <w:rPr>
      <w:rFonts w:ascii="宋体" w:hAnsi="Courier New"/>
      <w:szCs w:val="20"/>
    </w:rPr>
  </w:style>
  <w:style w:type="paragraph" w:customStyle="1" w:styleId="38">
    <w:name w:val="8"/>
    <w:basedOn w:val="1"/>
    <w:next w:val="11"/>
    <w:qFormat/>
    <w:uiPriority w:val="0"/>
    <w:rPr>
      <w:rFonts w:ascii="宋体" w:hAnsi="Courier New"/>
      <w:szCs w:val="20"/>
    </w:rPr>
  </w:style>
  <w:style w:type="paragraph" w:customStyle="1" w:styleId="39">
    <w:name w:val="_Style 55"/>
    <w:basedOn w:val="1"/>
    <w:next w:val="11"/>
    <w:qFormat/>
    <w:uiPriority w:val="0"/>
    <w:rPr>
      <w:rFonts w:ascii="宋体" w:hAnsi="Courier New"/>
      <w:szCs w:val="20"/>
    </w:rPr>
  </w:style>
  <w:style w:type="paragraph" w:customStyle="1" w:styleId="40">
    <w:name w:val="7"/>
    <w:basedOn w:val="1"/>
    <w:next w:val="11"/>
    <w:link w:val="41"/>
    <w:qFormat/>
    <w:uiPriority w:val="0"/>
    <w:rPr>
      <w:rFonts w:ascii="宋体" w:hAnsi="Courier New"/>
      <w:szCs w:val="20"/>
    </w:rPr>
  </w:style>
  <w:style w:type="character" w:customStyle="1" w:styleId="41">
    <w:name w:val="Char1"/>
    <w:link w:val="40"/>
    <w:qFormat/>
    <w:uiPriority w:val="0"/>
    <w:rPr>
      <w:rFonts w:ascii="宋体" w:hAnsi="Courier New" w:eastAsia="宋体" w:cs="Times New Roman"/>
      <w:szCs w:val="20"/>
    </w:rPr>
  </w:style>
  <w:style w:type="paragraph" w:customStyle="1" w:styleId="42">
    <w:name w:val="Revision"/>
    <w:hidden/>
    <w:semi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D46A8-0627-4728-B5EB-4973DC0CC3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60</Pages>
  <Words>4651</Words>
  <Characters>26514</Characters>
  <Lines>220</Lines>
  <Paragraphs>62</Paragraphs>
  <TotalTime>3</TotalTime>
  <ScaleCrop>false</ScaleCrop>
  <LinksUpToDate>false</LinksUpToDate>
  <CharactersWithSpaces>31103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2022-06-14T06:26:00Z</dcterms:created>
  <dc:creator>User</dc:creator>
  <cp:lastModifiedBy>CHJ-嘉</cp:lastModifiedBy>
  <cp:lastPrinted>2020-05-21T02:27:00Z</cp:lastPrinted>
  <dcterms:modified xsi:type="dcterms:W3CDTF">2022-06-17T11:23:44Z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C73830F0617E443B866C48446800F4ED</vt:lpwstr>
  </property>
</Properties>
</file>