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56"/>
          <w:szCs w:val="56"/>
        </w:rPr>
      </w:pPr>
      <w:r>
        <w:rPr>
          <w:rFonts w:hint="eastAsia" w:ascii="仿宋" w:hAnsi="仿宋" w:eastAsia="仿宋"/>
          <w:b/>
          <w:bCs/>
          <w:snapToGrid w:val="0"/>
          <w:kern w:val="0"/>
          <w:sz w:val="56"/>
          <w:szCs w:val="56"/>
        </w:rPr>
        <w:t>北京大学深圳医院华为门诊部DR、全景机、CT项目放射防护等评价服务采购项目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ZZZ2022-QC01</w:t>
      </w:r>
      <w:r>
        <w:rPr>
          <w:rFonts w:hint="eastAsia" w:ascii="仿宋" w:hAnsi="仿宋" w:eastAsia="仿宋"/>
          <w:b/>
          <w:snapToGrid w:val="0"/>
          <w:kern w:val="0"/>
          <w:sz w:val="32"/>
          <w:lang w:val="en-US" w:eastAsia="zh-CN"/>
        </w:rPr>
        <w:t>74</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1"/>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二〇二二年</w:t>
      </w:r>
      <w:r>
        <w:rPr>
          <w:rFonts w:hint="eastAsia" w:ascii="仿宋" w:hAnsi="仿宋" w:eastAsia="仿宋"/>
          <w:b/>
          <w:snapToGrid w:val="0"/>
          <w:sz w:val="30"/>
          <w:lang w:val="en-US" w:eastAsia="zh-CN"/>
        </w:rPr>
        <w:t>六</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8"/>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北京大学深圳医院华为门诊部DR、全景机、CT项目放射防护等评价服务采购项目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SZZZ2022-QC01</w:t>
            </w:r>
            <w:r>
              <w:rPr>
                <w:rFonts w:hint="eastAsia" w:ascii="仿宋" w:hAnsi="仿宋" w:eastAsia="仿宋" w:cs="Arial Unicode MS"/>
                <w:sz w:val="24"/>
                <w:lang w:val="en-US" w:eastAsia="zh-CN"/>
              </w:rPr>
              <w:t>74</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服务类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公开招标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服务方案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差异表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北京大学深圳医院华为门诊部DR、全景机、CT项目放射防护等评价服务采购项目采购公告</w:t>
      </w:r>
    </w:p>
    <w:p>
      <w:pPr>
        <w:spacing w:line="360" w:lineRule="auto"/>
        <w:rPr>
          <w:rFonts w:ascii="仿宋" w:hAnsi="仿宋" w:eastAsia="仿宋" w:cs="仿宋"/>
          <w:b/>
          <w:sz w:val="24"/>
          <w:szCs w:val="24"/>
        </w:rPr>
      </w:pPr>
      <w:r>
        <w:rPr>
          <w:rFonts w:hint="eastAsia" w:ascii="仿宋" w:hAnsi="仿宋" w:eastAsia="仿宋" w:cs="仿宋"/>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北京大学深圳医院华为门诊部DR、全景机、CT项目放射防护等评价服务采购项目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2022</w:t>
      </w:r>
      <w:r>
        <w:rPr>
          <w:rFonts w:hint="eastAsia" w:ascii="仿宋" w:hAnsi="仿宋" w:eastAsia="仿宋"/>
          <w:bCs/>
          <w:sz w:val="24"/>
          <w:szCs w:val="24"/>
        </w:rPr>
        <w:t>年</w:t>
      </w:r>
      <w:r>
        <w:rPr>
          <w:rFonts w:hint="eastAsia" w:ascii="仿宋" w:hAnsi="仿宋" w:eastAsia="仿宋"/>
          <w:bCs/>
          <w:sz w:val="24"/>
          <w:szCs w:val="24"/>
          <w:u w:val="single"/>
        </w:rPr>
        <w:t>0</w:t>
      </w:r>
      <w:r>
        <w:rPr>
          <w:rFonts w:hint="eastAsia" w:ascii="仿宋" w:hAnsi="仿宋" w:eastAsia="仿宋"/>
          <w:bCs/>
          <w:sz w:val="24"/>
          <w:szCs w:val="24"/>
          <w:u w:val="single"/>
          <w:lang w:val="en-US" w:eastAsia="zh-CN"/>
        </w:rPr>
        <w:t>6</w:t>
      </w:r>
      <w:r>
        <w:rPr>
          <w:rFonts w:hint="eastAsia" w:ascii="仿宋" w:hAnsi="仿宋" w:eastAsia="仿宋"/>
          <w:bCs/>
          <w:sz w:val="24"/>
          <w:szCs w:val="24"/>
        </w:rPr>
        <w:t>月</w:t>
      </w:r>
      <w:r>
        <w:rPr>
          <w:rFonts w:hint="eastAsia" w:ascii="仿宋" w:hAnsi="仿宋" w:eastAsia="仿宋"/>
          <w:bCs/>
          <w:sz w:val="24"/>
          <w:szCs w:val="24"/>
          <w:u w:val="single"/>
          <w:lang w:val="en-US" w:eastAsia="zh-CN"/>
        </w:rPr>
        <w:t>13</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0</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rPr>
        <w:t>2</w:t>
      </w:r>
      <w:r>
        <w:rPr>
          <w:rFonts w:ascii="仿宋" w:hAnsi="仿宋" w:eastAsia="仿宋"/>
          <w:bCs/>
          <w:sz w:val="24"/>
          <w:szCs w:val="24"/>
        </w:rPr>
        <w:t>-Q</w:t>
      </w:r>
      <w:r>
        <w:rPr>
          <w:rFonts w:hint="eastAsia" w:ascii="仿宋" w:hAnsi="仿宋" w:eastAsia="仿宋"/>
          <w:bCs/>
          <w:sz w:val="24"/>
          <w:szCs w:val="24"/>
        </w:rPr>
        <w:t>C</w:t>
      </w:r>
      <w:r>
        <w:rPr>
          <w:rFonts w:ascii="仿宋" w:hAnsi="仿宋" w:eastAsia="仿宋"/>
          <w:bCs/>
          <w:sz w:val="24"/>
          <w:szCs w:val="24"/>
        </w:rPr>
        <w:t>0</w:t>
      </w:r>
      <w:r>
        <w:rPr>
          <w:rFonts w:hint="eastAsia" w:ascii="仿宋" w:hAnsi="仿宋" w:eastAsia="仿宋"/>
          <w:bCs/>
          <w:sz w:val="24"/>
          <w:szCs w:val="24"/>
        </w:rPr>
        <w:t>1</w:t>
      </w:r>
      <w:r>
        <w:rPr>
          <w:rFonts w:hint="eastAsia" w:ascii="仿宋" w:hAnsi="仿宋" w:eastAsia="仿宋"/>
          <w:bCs/>
          <w:sz w:val="24"/>
          <w:szCs w:val="24"/>
          <w:lang w:val="en-US" w:eastAsia="zh-CN"/>
        </w:rPr>
        <w:t>74</w:t>
      </w:r>
    </w:p>
    <w:p>
      <w:pPr>
        <w:spacing w:line="360" w:lineRule="auto"/>
        <w:ind w:left="2214" w:leftChars="228" w:hanging="1735" w:hangingChars="723"/>
        <w:rPr>
          <w:rFonts w:ascii="仿宋" w:hAnsi="仿宋" w:eastAsia="仿宋"/>
          <w:bCs/>
          <w:sz w:val="24"/>
          <w:szCs w:val="24"/>
        </w:rPr>
      </w:pPr>
      <w:r>
        <w:rPr>
          <w:rFonts w:hint="eastAsia" w:ascii="仿宋" w:hAnsi="仿宋" w:eastAsia="仿宋"/>
          <w:bCs/>
          <w:sz w:val="24"/>
          <w:szCs w:val="24"/>
        </w:rPr>
        <w:t>2、项目名称：北京大学深圳医院华为门诊部DR、全景机、CT项目放射防护等评价服务采购项目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8</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8</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5、采购方式：公开招标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7"/>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5310"/>
        <w:gridCol w:w="945"/>
        <w:gridCol w:w="189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jc w:val="center"/>
        </w:trPr>
        <w:tc>
          <w:tcPr>
            <w:tcW w:w="887"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5310"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45"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1897"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87"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5310"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北京大学深圳医院华为门诊部DR、全景机、CT项目放射防护等评价服务采购项目</w:t>
            </w:r>
          </w:p>
        </w:tc>
        <w:tc>
          <w:tcPr>
            <w:tcW w:w="945"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1项</w:t>
            </w:r>
          </w:p>
        </w:tc>
        <w:tc>
          <w:tcPr>
            <w:tcW w:w="1897"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w:t>
      </w:r>
      <w:r>
        <w:rPr>
          <w:rFonts w:hint="eastAsia" w:ascii="仿宋" w:hAnsi="仿宋" w:eastAsia="仿宋"/>
          <w:bCs/>
          <w:sz w:val="24"/>
          <w:szCs w:val="24"/>
          <w:lang w:eastAsia="zh-CN"/>
        </w:rPr>
        <w:t>合同签订日起</w:t>
      </w:r>
      <w:r>
        <w:rPr>
          <w:rFonts w:hint="eastAsia" w:ascii="仿宋" w:hAnsi="仿宋" w:eastAsia="仿宋"/>
          <w:bCs/>
          <w:sz w:val="24"/>
          <w:szCs w:val="24"/>
          <w:lang w:val="en-US" w:eastAsia="zh-CN"/>
        </w:rPr>
        <w:t>一年</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参与本项目的供应商未被列入失信被执行人、重大税收违法案件当事人名单和政府采购严重违法失信行为记录名单。【通过“信用中国”（www.creditchina.gov.cn）“信用服务”栏的“重大税收违法案件当事人名单（税收违法黑名单）”、“失信被执行人”，“中国政府采购”（www.ccgp.gov.cn）“政府采购严重违法失信行为记录名单”，“深圳信用网”（www.szcredit.com.cn）以及“深圳市政府采购监管网”（http://zfcg.sz.gov.cn）为信用信息查询渠道。投标人自行查询并提供查询结果截图，查询时间以项目采购公告开始时间至投标截止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02</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10</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w:t>
      </w:r>
      <w:r>
        <w:rPr>
          <w:rFonts w:hint="eastAsia" w:ascii="仿宋" w:hAnsi="仿宋" w:eastAsia="仿宋"/>
          <w:b/>
          <w:bCs/>
          <w:sz w:val="24"/>
          <w:szCs w:val="24"/>
          <w:highlight w:val="yellow"/>
          <w:lang w:val="en-US" w:eastAsia="zh-CN"/>
        </w:rPr>
        <w:t>3</w:t>
      </w:r>
      <w:r>
        <w:rPr>
          <w:rFonts w:hint="eastAsia" w:ascii="仿宋" w:hAnsi="仿宋" w:eastAsia="仿宋"/>
          <w:b/>
          <w:bCs/>
          <w:sz w:val="24"/>
          <w:szCs w:val="24"/>
          <w:highlight w:val="yellow"/>
        </w:rPr>
        <w:t>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13</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0</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
          <w:color w:val="FF0000"/>
          <w:sz w:val="24"/>
          <w:szCs w:val="24"/>
        </w:rPr>
      </w:pPr>
      <w:r>
        <w:rPr>
          <w:rFonts w:hint="eastAsia" w:ascii="仿宋" w:hAnsi="仿宋" w:eastAsia="仿宋"/>
          <w:b/>
          <w:bCs/>
          <w:color w:val="FF0000"/>
          <w:sz w:val="24"/>
          <w:szCs w:val="24"/>
        </w:rPr>
        <w:t>备注：</w:t>
      </w:r>
      <w:r>
        <w:rPr>
          <w:rFonts w:ascii="仿宋" w:hAnsi="仿宋" w:eastAsia="仿宋"/>
          <w:b/>
          <w:color w:val="FF0000"/>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
          <w:color w:val="FF0000"/>
          <w:sz w:val="24"/>
          <w:szCs w:val="24"/>
        </w:rPr>
        <w:t>投标人</w:t>
      </w:r>
      <w:r>
        <w:rPr>
          <w:rFonts w:ascii="仿宋" w:hAnsi="仿宋" w:eastAsia="仿宋"/>
          <w:b/>
          <w:color w:val="FF0000"/>
          <w:sz w:val="24"/>
          <w:szCs w:val="24"/>
        </w:rPr>
        <w:t>未参加现场开标的，视同认可开标结果</w:t>
      </w:r>
      <w:r>
        <w:rPr>
          <w:rFonts w:hint="eastAsia" w:ascii="仿宋" w:hAnsi="仿宋" w:eastAsia="仿宋"/>
          <w:b/>
          <w:color w:val="FF0000"/>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1、本项目需要落实的政府采购政策：《财政部工业和信息化部关于印发《政府采购促进中小企业发展管理办法》的通知》(财库〔2020〕46号)、《关于政府采购支持监狱企业发展有关问题的通知》</w:t>
      </w:r>
      <w:r>
        <w:rPr>
          <w:rFonts w:ascii="仿宋" w:hAnsi="仿宋" w:eastAsia="仿宋"/>
          <w:bCs/>
          <w:sz w:val="24"/>
          <w:szCs w:val="24"/>
        </w:rPr>
        <w:t>(</w:t>
      </w:r>
      <w:r>
        <w:rPr>
          <w:rFonts w:hint="eastAsia" w:ascii="仿宋" w:hAnsi="仿宋" w:eastAsia="仿宋"/>
          <w:bCs/>
          <w:sz w:val="24"/>
          <w:szCs w:val="24"/>
        </w:rPr>
        <w:t>财库〔</w:t>
      </w:r>
      <w:r>
        <w:rPr>
          <w:rFonts w:ascii="仿宋" w:hAnsi="仿宋" w:eastAsia="仿宋"/>
          <w:bCs/>
          <w:sz w:val="24"/>
          <w:szCs w:val="24"/>
        </w:rPr>
        <w:t>2014</w:t>
      </w:r>
      <w:r>
        <w:rPr>
          <w:rFonts w:hint="eastAsia" w:ascii="仿宋" w:hAnsi="仿宋" w:eastAsia="仿宋"/>
          <w:bCs/>
          <w:sz w:val="24"/>
          <w:szCs w:val="24"/>
        </w:rPr>
        <w:t>〕</w:t>
      </w:r>
      <w:r>
        <w:rPr>
          <w:rFonts w:ascii="仿宋" w:hAnsi="仿宋" w:eastAsia="仿宋"/>
          <w:bCs/>
          <w:sz w:val="24"/>
          <w:szCs w:val="24"/>
        </w:rPr>
        <w:t>68</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、《关于促进残疾人就业政府采购政策的通知》（财库〔</w:t>
      </w:r>
      <w:r>
        <w:rPr>
          <w:rFonts w:ascii="仿宋" w:hAnsi="仿宋" w:eastAsia="仿宋"/>
          <w:bCs/>
          <w:sz w:val="24"/>
          <w:szCs w:val="24"/>
        </w:rPr>
        <w:t>2017</w:t>
      </w:r>
      <w:r>
        <w:rPr>
          <w:rFonts w:hint="eastAsia" w:ascii="仿宋" w:hAnsi="仿宋" w:eastAsia="仿宋"/>
          <w:bCs/>
          <w:sz w:val="24"/>
          <w:szCs w:val="24"/>
        </w:rPr>
        <w:t>〕</w:t>
      </w:r>
      <w:r>
        <w:rPr>
          <w:rFonts w:ascii="仿宋" w:hAnsi="仿宋" w:eastAsia="仿宋"/>
          <w:bCs/>
          <w:sz w:val="24"/>
          <w:szCs w:val="24"/>
        </w:rPr>
        <w:t>141</w:t>
      </w:r>
      <w:r>
        <w:rPr>
          <w:rFonts w:hint="eastAsia" w:ascii="仿宋" w:hAnsi="仿宋" w:eastAsia="仿宋"/>
          <w:bCs/>
          <w:sz w:val="24"/>
          <w:szCs w:val="24"/>
        </w:rPr>
        <w:t>号</w:t>
      </w:r>
      <w:r>
        <w:rPr>
          <w:rFonts w:ascii="仿宋" w:hAnsi="仿宋" w:eastAsia="仿宋"/>
          <w:bCs/>
          <w:sz w:val="24"/>
          <w:szCs w:val="24"/>
        </w:rPr>
        <w:t>)</w:t>
      </w:r>
      <w:r>
        <w:rPr>
          <w:rFonts w:hint="eastAsia" w:ascii="仿宋" w:hAnsi="仿宋" w:eastAsia="仿宋"/>
          <w:bCs/>
          <w:sz w:val="24"/>
          <w:szCs w:val="24"/>
        </w:rPr>
        <w:t>。</w:t>
      </w:r>
    </w:p>
    <w:p>
      <w:pPr>
        <w:spacing w:line="360" w:lineRule="auto"/>
        <w:ind w:firstLine="426" w:firstLineChars="177"/>
        <w:rPr>
          <w:rFonts w:ascii="仿宋" w:hAnsi="仿宋" w:eastAsia="仿宋"/>
          <w:b/>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lang w:val="en-US" w:eastAsia="zh-CN"/>
        </w:rPr>
        <w:t>其他未列明行业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北京大学深圳医院</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 方式：</w:t>
      </w:r>
      <w:r>
        <w:rPr>
          <w:rFonts w:hint="eastAsia" w:ascii="仿宋" w:hAnsi="仿宋" w:eastAsia="仿宋"/>
          <w:bCs/>
          <w:sz w:val="24"/>
          <w:szCs w:val="24"/>
          <w:u w:val="single"/>
        </w:rPr>
        <w:t>陈工，0755-83026699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szCs w:val="24"/>
        </w:rPr>
      </w:pPr>
      <w:r>
        <w:rPr>
          <w:rFonts w:ascii="仿宋" w:hAnsi="仿宋" w:eastAsia="仿宋"/>
          <w:bCs/>
          <w:sz w:val="24"/>
          <w:szCs w:val="24"/>
        </w:rPr>
        <w:t>202</w:t>
      </w:r>
      <w:r>
        <w:rPr>
          <w:rFonts w:hint="eastAsia" w:ascii="仿宋" w:hAnsi="仿宋" w:eastAsia="仿宋"/>
          <w:bCs/>
          <w:sz w:val="24"/>
          <w:szCs w:val="24"/>
        </w:rPr>
        <w:t>2</w:t>
      </w:r>
      <w:r>
        <w:rPr>
          <w:rFonts w:ascii="仿宋" w:hAnsi="仿宋" w:eastAsia="仿宋"/>
          <w:bCs/>
          <w:sz w:val="24"/>
          <w:szCs w:val="24"/>
        </w:rPr>
        <w:t>年</w:t>
      </w:r>
      <w:r>
        <w:rPr>
          <w:rFonts w:hint="eastAsia" w:ascii="仿宋" w:hAnsi="仿宋" w:eastAsia="仿宋"/>
          <w:bCs/>
          <w:sz w:val="24"/>
          <w:szCs w:val="24"/>
        </w:rPr>
        <w:t>0</w:t>
      </w:r>
      <w:r>
        <w:rPr>
          <w:rFonts w:hint="eastAsia" w:ascii="仿宋" w:hAnsi="仿宋" w:eastAsia="仿宋"/>
          <w:bCs/>
          <w:sz w:val="24"/>
          <w:szCs w:val="24"/>
          <w:lang w:val="en-US" w:eastAsia="zh-CN"/>
        </w:rPr>
        <w:t>6</w:t>
      </w:r>
      <w:r>
        <w:rPr>
          <w:rFonts w:ascii="仿宋" w:hAnsi="仿宋" w:eastAsia="仿宋"/>
          <w:bCs/>
          <w:sz w:val="24"/>
          <w:szCs w:val="24"/>
        </w:rPr>
        <w:t>月</w:t>
      </w:r>
      <w:r>
        <w:rPr>
          <w:rFonts w:hint="eastAsia" w:ascii="仿宋" w:hAnsi="仿宋" w:eastAsia="仿宋"/>
          <w:bCs/>
          <w:sz w:val="24"/>
          <w:szCs w:val="24"/>
          <w:lang w:val="en-US" w:eastAsia="zh-CN"/>
        </w:rPr>
        <w:t>02</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7"/>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10"/>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10"/>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10"/>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10"/>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10"/>
              <w:spacing w:line="360" w:lineRule="auto"/>
              <w:jc w:val="center"/>
              <w:rPr>
                <w:rFonts w:hAnsi="宋体"/>
              </w:rPr>
            </w:pPr>
            <w:r>
              <w:rPr>
                <w:rFonts w:hAnsi="宋体"/>
              </w:rPr>
              <w:t>1</w:t>
            </w:r>
          </w:p>
        </w:tc>
        <w:tc>
          <w:tcPr>
            <w:tcW w:w="850" w:type="dxa"/>
            <w:tcBorders>
              <w:top w:val="single" w:color="auto" w:sz="4" w:space="0"/>
            </w:tcBorders>
            <w:vAlign w:val="center"/>
          </w:tcPr>
          <w:p>
            <w:pPr>
              <w:pStyle w:val="10"/>
              <w:spacing w:line="360" w:lineRule="auto"/>
              <w:jc w:val="center"/>
              <w:rPr>
                <w:rFonts w:hAnsi="宋体"/>
              </w:rPr>
            </w:pPr>
            <w:r>
              <w:rPr>
                <w:rFonts w:hAnsi="宋体"/>
              </w:rPr>
              <w:t>1.1</w:t>
            </w:r>
          </w:p>
        </w:tc>
        <w:tc>
          <w:tcPr>
            <w:tcW w:w="1985" w:type="dxa"/>
            <w:tcBorders>
              <w:top w:val="single" w:color="auto" w:sz="4" w:space="0"/>
            </w:tcBorders>
            <w:vAlign w:val="center"/>
          </w:tcPr>
          <w:p>
            <w:pPr>
              <w:pStyle w:val="10"/>
              <w:spacing w:line="360" w:lineRule="auto"/>
              <w:jc w:val="center"/>
            </w:pPr>
            <w:r>
              <w:rPr>
                <w:rFonts w:hint="eastAsia"/>
              </w:rPr>
              <w:t>项目名称</w:t>
            </w:r>
          </w:p>
        </w:tc>
        <w:tc>
          <w:tcPr>
            <w:tcW w:w="5669" w:type="dxa"/>
            <w:tcBorders>
              <w:top w:val="single" w:color="auto" w:sz="4" w:space="0"/>
            </w:tcBorders>
            <w:vAlign w:val="center"/>
          </w:tcPr>
          <w:p>
            <w:pPr>
              <w:pStyle w:val="10"/>
              <w:spacing w:line="360" w:lineRule="auto"/>
            </w:pPr>
            <w:r>
              <w:rPr>
                <w:rFonts w:hint="eastAsia" w:ascii="宋体" w:hAnsi="宋体"/>
              </w:rPr>
              <w:t>北京大学深圳医院华为门诊部DR、全景机、CT项目放射防护等评价服务采购项目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2</w:t>
            </w:r>
          </w:p>
        </w:tc>
        <w:tc>
          <w:tcPr>
            <w:tcW w:w="850" w:type="dxa"/>
            <w:vAlign w:val="center"/>
          </w:tcPr>
          <w:p>
            <w:pPr>
              <w:pStyle w:val="10"/>
              <w:spacing w:line="360" w:lineRule="auto"/>
              <w:jc w:val="center"/>
              <w:rPr>
                <w:rFonts w:hAnsi="宋体"/>
              </w:rPr>
            </w:pPr>
            <w:r>
              <w:rPr>
                <w:rFonts w:hAnsi="宋体"/>
              </w:rPr>
              <w:t>2.1</w:t>
            </w:r>
          </w:p>
        </w:tc>
        <w:tc>
          <w:tcPr>
            <w:tcW w:w="1985" w:type="dxa"/>
            <w:vAlign w:val="center"/>
          </w:tcPr>
          <w:p>
            <w:pPr>
              <w:pStyle w:val="10"/>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r>
              <w:rPr>
                <w:rFonts w:hint="eastAsia" w:hAnsi="宋体"/>
              </w:rPr>
              <w:t>北京大学深圳医院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3</w:t>
            </w:r>
          </w:p>
        </w:tc>
        <w:tc>
          <w:tcPr>
            <w:tcW w:w="850" w:type="dxa"/>
            <w:vAlign w:val="center"/>
          </w:tcPr>
          <w:p>
            <w:pPr>
              <w:pStyle w:val="10"/>
              <w:spacing w:line="360" w:lineRule="auto"/>
              <w:jc w:val="center"/>
              <w:rPr>
                <w:rFonts w:hAnsi="宋体"/>
              </w:rPr>
            </w:pPr>
            <w:r>
              <w:rPr>
                <w:rFonts w:hAnsi="宋体"/>
              </w:rPr>
              <w:t>2.2</w:t>
            </w:r>
          </w:p>
        </w:tc>
        <w:tc>
          <w:tcPr>
            <w:tcW w:w="1985" w:type="dxa"/>
            <w:vAlign w:val="center"/>
          </w:tcPr>
          <w:p>
            <w:pPr>
              <w:pStyle w:val="10"/>
              <w:spacing w:line="360" w:lineRule="auto"/>
              <w:jc w:val="center"/>
              <w:rPr>
                <w:rFonts w:hAnsi="宋体"/>
                <w:bCs/>
              </w:rPr>
            </w:pPr>
            <w:r>
              <w:rPr>
                <w:rFonts w:hint="eastAsia" w:hAnsi="宋体"/>
                <w:bCs/>
              </w:rPr>
              <w:t>采购代理机构</w:t>
            </w:r>
          </w:p>
        </w:tc>
        <w:tc>
          <w:tcPr>
            <w:tcW w:w="5669" w:type="dxa"/>
            <w:vAlign w:val="center"/>
          </w:tcPr>
          <w:p>
            <w:pPr>
              <w:pStyle w:val="10"/>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4</w:t>
            </w:r>
          </w:p>
        </w:tc>
        <w:tc>
          <w:tcPr>
            <w:tcW w:w="850" w:type="dxa"/>
            <w:vAlign w:val="center"/>
          </w:tcPr>
          <w:p>
            <w:pPr>
              <w:pStyle w:val="10"/>
              <w:spacing w:line="360" w:lineRule="auto"/>
              <w:jc w:val="center"/>
              <w:rPr>
                <w:rFonts w:hAnsi="宋体"/>
              </w:rPr>
            </w:pPr>
            <w:r>
              <w:rPr>
                <w:rFonts w:hint="eastAsia" w:hAnsi="宋体"/>
              </w:rPr>
              <w:t>3.1</w:t>
            </w:r>
          </w:p>
        </w:tc>
        <w:tc>
          <w:tcPr>
            <w:tcW w:w="1985" w:type="dxa"/>
            <w:vAlign w:val="center"/>
          </w:tcPr>
          <w:p>
            <w:pPr>
              <w:pStyle w:val="10"/>
              <w:spacing w:line="360" w:lineRule="auto"/>
              <w:jc w:val="center"/>
              <w:rPr>
                <w:rFonts w:hAnsi="宋体"/>
              </w:rPr>
            </w:pPr>
            <w:r>
              <w:rPr>
                <w:rFonts w:hint="eastAsia" w:hAnsi="宋体"/>
              </w:rPr>
              <w:t>资金来源</w:t>
            </w:r>
          </w:p>
        </w:tc>
        <w:tc>
          <w:tcPr>
            <w:tcW w:w="5669" w:type="dxa"/>
            <w:vAlign w:val="center"/>
          </w:tcPr>
          <w:p>
            <w:pPr>
              <w:pStyle w:val="10"/>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5</w:t>
            </w:r>
          </w:p>
        </w:tc>
        <w:tc>
          <w:tcPr>
            <w:tcW w:w="850" w:type="dxa"/>
            <w:vAlign w:val="center"/>
          </w:tcPr>
          <w:p>
            <w:pPr>
              <w:pStyle w:val="10"/>
              <w:spacing w:line="360" w:lineRule="auto"/>
              <w:jc w:val="center"/>
              <w:rPr>
                <w:rFonts w:hAnsi="宋体"/>
              </w:rPr>
            </w:pPr>
            <w:r>
              <w:rPr>
                <w:rFonts w:hint="eastAsia" w:hAnsi="宋体"/>
              </w:rPr>
              <w:t>4.7</w:t>
            </w:r>
          </w:p>
        </w:tc>
        <w:tc>
          <w:tcPr>
            <w:tcW w:w="1985" w:type="dxa"/>
            <w:vAlign w:val="center"/>
          </w:tcPr>
          <w:p>
            <w:pPr>
              <w:pStyle w:val="10"/>
              <w:spacing w:line="360" w:lineRule="auto"/>
              <w:jc w:val="center"/>
              <w:rPr>
                <w:rFonts w:hAnsi="宋体"/>
              </w:rPr>
            </w:pPr>
            <w:r>
              <w:rPr>
                <w:rFonts w:hint="eastAsia" w:hAnsi="宋体"/>
              </w:rPr>
              <w:t>供应商资格要求</w:t>
            </w:r>
          </w:p>
        </w:tc>
        <w:tc>
          <w:tcPr>
            <w:tcW w:w="5669" w:type="dxa"/>
            <w:vAlign w:val="center"/>
          </w:tcPr>
          <w:p>
            <w:pPr>
              <w:pStyle w:val="10"/>
              <w:spacing w:line="360" w:lineRule="auto"/>
              <w:ind w:left="378" w:hanging="378" w:hangingChars="180"/>
              <w:rPr>
                <w:rFonts w:hAnsi="宋体"/>
                <w:szCs w:val="21"/>
              </w:rPr>
            </w:pPr>
            <w:r>
              <w:rPr>
                <w:rFonts w:hint="eastAsia" w:hAnsi="宋体"/>
                <w:szCs w:val="21"/>
              </w:rPr>
              <w:t>1、</w:t>
            </w:r>
            <w:r>
              <w:rPr>
                <w:rFonts w:hint="eastAsia" w:hAnsi="宋体"/>
                <w:bCs/>
                <w:szCs w:val="21"/>
              </w:rPr>
              <w:t>须是在中华人民共和国境内注册的法人或其他组织。【须</w:t>
            </w:r>
            <w:r>
              <w:rPr>
                <w:rFonts w:hAnsi="宋体"/>
                <w:bCs/>
                <w:szCs w:val="21"/>
              </w:rPr>
              <w:t>提供合法有效的营业执照</w:t>
            </w:r>
            <w:r>
              <w:rPr>
                <w:rFonts w:hint="eastAsia" w:hAnsi="宋体"/>
                <w:bCs/>
                <w:szCs w:val="21"/>
              </w:rPr>
              <w:t>或法人证书等证明材料的</w:t>
            </w:r>
            <w:r>
              <w:rPr>
                <w:rFonts w:hAnsi="宋体"/>
                <w:bCs/>
                <w:szCs w:val="21"/>
              </w:rPr>
              <w:t>扫描件</w:t>
            </w:r>
            <w:r>
              <w:rPr>
                <w:rFonts w:hint="eastAsia" w:hAnsi="宋体"/>
                <w:bCs/>
                <w:szCs w:val="21"/>
              </w:rPr>
              <w:t>或复印件加盖投标人公章</w:t>
            </w:r>
            <w:r>
              <w:rPr>
                <w:rFonts w:hAnsi="宋体"/>
                <w:bCs/>
                <w:szCs w:val="21"/>
              </w:rPr>
              <w:t>，原件备查</w:t>
            </w:r>
            <w:r>
              <w:rPr>
                <w:rFonts w:hint="eastAsia" w:hAnsi="宋体"/>
                <w:bCs/>
                <w:szCs w:val="21"/>
              </w:rPr>
              <w:t>】</w:t>
            </w:r>
          </w:p>
          <w:p>
            <w:pPr>
              <w:pStyle w:val="10"/>
              <w:spacing w:line="360" w:lineRule="auto"/>
              <w:ind w:left="378" w:hanging="378" w:hangingChars="180"/>
              <w:rPr>
                <w:rFonts w:hAnsi="宋体"/>
                <w:szCs w:val="21"/>
              </w:rPr>
            </w:pPr>
            <w:r>
              <w:rPr>
                <w:rFonts w:hint="eastAsia" w:hAnsi="宋体"/>
                <w:szCs w:val="21"/>
              </w:rPr>
              <w:t>2、参与本项目投标前三年内，在经营活动中没有重大违法记录。【由投标人按采购文件规定的格式在《政府采购投标及履约承诺函》中作出声明】</w:t>
            </w:r>
          </w:p>
          <w:p>
            <w:pPr>
              <w:pStyle w:val="10"/>
              <w:spacing w:line="360" w:lineRule="auto"/>
              <w:ind w:left="378" w:hanging="378" w:hangingChars="180"/>
              <w:rPr>
                <w:rFonts w:hAnsi="宋体"/>
                <w:szCs w:val="21"/>
              </w:rPr>
            </w:pPr>
            <w:r>
              <w:rPr>
                <w:rFonts w:hint="eastAsia" w:hAnsi="宋体"/>
                <w:szCs w:val="21"/>
              </w:rPr>
              <w:t>3、</w:t>
            </w:r>
            <w:r>
              <w:rPr>
                <w:rFonts w:hint="eastAsia" w:hAnsi="宋体"/>
                <w:bCs/>
                <w:szCs w:val="21"/>
              </w:rPr>
              <w:t>参与本项目政府采购活动时不存在被有关部门禁止参与政府采购活动且在有效期内的情况。【由供应商按采购文件规定的格式在《政府采购投标及履约承诺函》中作出声明】</w:t>
            </w:r>
          </w:p>
          <w:p>
            <w:pPr>
              <w:pStyle w:val="10"/>
              <w:spacing w:line="360" w:lineRule="auto"/>
              <w:ind w:left="378" w:hanging="378" w:hangingChars="180"/>
              <w:rPr>
                <w:rFonts w:hAnsi="宋体"/>
                <w:szCs w:val="21"/>
              </w:rPr>
            </w:pPr>
            <w:r>
              <w:rPr>
                <w:rFonts w:hint="eastAsia" w:hAnsi="宋体"/>
                <w:szCs w:val="21"/>
              </w:rPr>
              <w:t>4、参与本项目的供应商具备《中华人民共和国政府采购法》第二十二条规定。【由响应投标人按采购文件规定的格式在《政府采购投标及履约承诺函》中作出声明】</w:t>
            </w:r>
          </w:p>
          <w:p>
            <w:pPr>
              <w:pStyle w:val="10"/>
              <w:spacing w:line="360" w:lineRule="auto"/>
              <w:ind w:left="378" w:hanging="378" w:hangingChars="180"/>
              <w:rPr>
                <w:rFonts w:hAnsi="宋体"/>
                <w:szCs w:val="21"/>
              </w:rPr>
            </w:pPr>
            <w:r>
              <w:rPr>
                <w:rFonts w:hint="eastAsia" w:hAnsi="宋体"/>
                <w:szCs w:val="21"/>
              </w:rPr>
              <w:t>5、参与本项目的供应商未被列入失信被执行人、重大税收违法案件当事人名单和政府采购严重违法失信行为记录名单。【通过“信用中国”（www.creditchina.gov.cn）“信用服务”栏的“重大税收违法案件当事人名单（税收违法黑名单）”、“失信被执行人”，“中国政府采购”（www.ccgp.gov.cn）“政府采购严重违法失信行为记录名单”，“深圳信用网”（www.szcredit.com.cn）以及“深圳市政府采购监管网”（http://zfcg.sz.gov.cn）为信用信息查询渠道。投标人自行查询并提供查询结果截图，查询时间以项目采购公告开始时间至投标截止时间】</w:t>
            </w:r>
          </w:p>
          <w:p>
            <w:pPr>
              <w:pStyle w:val="10"/>
              <w:spacing w:line="360" w:lineRule="auto"/>
              <w:ind w:left="378" w:hanging="378" w:hangingChars="180"/>
              <w:rPr>
                <w:rFonts w:hAnsi="宋体"/>
                <w:szCs w:val="21"/>
              </w:rPr>
            </w:pPr>
            <w:r>
              <w:rPr>
                <w:rFonts w:hint="eastAsia" w:hAnsi="宋体"/>
                <w:szCs w:val="21"/>
              </w:rPr>
              <w:t>6、本项目不接受联合体投标，不允许分包或转包。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6</w:t>
            </w:r>
          </w:p>
        </w:tc>
        <w:tc>
          <w:tcPr>
            <w:tcW w:w="850" w:type="dxa"/>
            <w:vAlign w:val="center"/>
          </w:tcPr>
          <w:p>
            <w:pPr>
              <w:pStyle w:val="10"/>
              <w:spacing w:line="360" w:lineRule="auto"/>
              <w:jc w:val="center"/>
              <w:rPr>
                <w:rFonts w:hAnsi="宋体"/>
              </w:rPr>
            </w:pPr>
            <w:r>
              <w:rPr>
                <w:rFonts w:hint="eastAsia" w:hAnsi="宋体"/>
              </w:rPr>
              <w:t>6.1</w:t>
            </w:r>
          </w:p>
        </w:tc>
        <w:tc>
          <w:tcPr>
            <w:tcW w:w="1985" w:type="dxa"/>
            <w:vAlign w:val="center"/>
          </w:tcPr>
          <w:p>
            <w:pPr>
              <w:pStyle w:val="10"/>
              <w:spacing w:line="360" w:lineRule="auto"/>
              <w:jc w:val="center"/>
              <w:rPr>
                <w:rFonts w:hAnsi="宋体"/>
              </w:rPr>
            </w:pPr>
            <w:r>
              <w:rPr>
                <w:rFonts w:hint="eastAsia" w:hAnsi="宋体"/>
              </w:rPr>
              <w:t>踏勘现场</w:t>
            </w:r>
          </w:p>
        </w:tc>
        <w:tc>
          <w:tcPr>
            <w:tcW w:w="5669" w:type="dxa"/>
            <w:vAlign w:val="center"/>
          </w:tcPr>
          <w:p>
            <w:pPr>
              <w:pStyle w:val="10"/>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7</w:t>
            </w:r>
          </w:p>
        </w:tc>
        <w:tc>
          <w:tcPr>
            <w:tcW w:w="850" w:type="dxa"/>
            <w:vAlign w:val="center"/>
          </w:tcPr>
          <w:p>
            <w:pPr>
              <w:pStyle w:val="10"/>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10"/>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10"/>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8</w:t>
            </w:r>
          </w:p>
        </w:tc>
        <w:tc>
          <w:tcPr>
            <w:tcW w:w="850" w:type="dxa"/>
            <w:vAlign w:val="center"/>
          </w:tcPr>
          <w:p>
            <w:pPr>
              <w:pStyle w:val="10"/>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10"/>
              <w:spacing w:line="360" w:lineRule="auto"/>
              <w:jc w:val="center"/>
              <w:rPr>
                <w:rFonts w:hAnsi="宋体"/>
              </w:rPr>
            </w:pPr>
            <w:r>
              <w:rPr>
                <w:rFonts w:hint="eastAsia" w:hAnsi="宋体"/>
              </w:rPr>
              <w:t>项目保证金</w:t>
            </w:r>
          </w:p>
        </w:tc>
        <w:tc>
          <w:tcPr>
            <w:tcW w:w="5669" w:type="dxa"/>
            <w:vAlign w:val="center"/>
          </w:tcPr>
          <w:p>
            <w:pPr>
              <w:pStyle w:val="10"/>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10</w:t>
            </w:r>
          </w:p>
        </w:tc>
        <w:tc>
          <w:tcPr>
            <w:tcW w:w="850" w:type="dxa"/>
            <w:vAlign w:val="center"/>
          </w:tcPr>
          <w:p>
            <w:pPr>
              <w:pStyle w:val="10"/>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10"/>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10"/>
              <w:rPr>
                <w:rFonts w:hAnsi="宋体"/>
              </w:rPr>
            </w:pPr>
            <w:r>
              <w:rPr>
                <w:rFonts w:hint="eastAsia" w:hAnsi="宋体"/>
              </w:rPr>
              <w:t>正本2份，副本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11</w:t>
            </w:r>
          </w:p>
        </w:tc>
        <w:tc>
          <w:tcPr>
            <w:tcW w:w="850" w:type="dxa"/>
            <w:vAlign w:val="center"/>
          </w:tcPr>
          <w:p>
            <w:pPr>
              <w:pStyle w:val="10"/>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10"/>
              <w:spacing w:line="360" w:lineRule="auto"/>
              <w:jc w:val="center"/>
              <w:rPr>
                <w:rFonts w:hAnsi="宋体"/>
              </w:rPr>
            </w:pPr>
            <w:r>
              <w:rPr>
                <w:rFonts w:hint="eastAsia" w:hAnsi="宋体"/>
              </w:rPr>
              <w:t>开标</w:t>
            </w:r>
          </w:p>
        </w:tc>
        <w:tc>
          <w:tcPr>
            <w:tcW w:w="5669" w:type="dxa"/>
            <w:vAlign w:val="center"/>
          </w:tcPr>
          <w:p>
            <w:pPr>
              <w:pStyle w:val="10"/>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22</w:t>
            </w:r>
            <w:r>
              <w:rPr>
                <w:rFonts w:ascii="Times New Roman" w:hAnsi="Times New Roman"/>
                <w:b/>
                <w:snapToGrid w:val="0"/>
                <w:highlight w:val="yellow"/>
              </w:rPr>
              <w:t>年</w:t>
            </w:r>
            <w:r>
              <w:rPr>
                <w:rFonts w:hint="eastAsia" w:ascii="Times New Roman" w:hAnsi="Times New Roman"/>
                <w:b/>
                <w:snapToGrid w:val="0"/>
                <w:highlight w:val="yellow"/>
              </w:rPr>
              <w:t>0</w:t>
            </w:r>
            <w:r>
              <w:rPr>
                <w:rFonts w:hint="eastAsia" w:ascii="Times New Roman" w:hAnsi="Times New Roman"/>
                <w:b/>
                <w:snapToGrid w:val="0"/>
                <w:highlight w:val="yellow"/>
                <w:lang w:val="en-US" w:eastAsia="zh-CN"/>
              </w:rPr>
              <w:t>6</w:t>
            </w:r>
            <w:r>
              <w:rPr>
                <w:rFonts w:ascii="Times New Roman" w:hAnsi="Times New Roman"/>
                <w:b/>
                <w:snapToGrid w:val="0"/>
                <w:highlight w:val="yellow"/>
              </w:rPr>
              <w:t>月</w:t>
            </w:r>
            <w:r>
              <w:rPr>
                <w:rFonts w:hint="eastAsia" w:ascii="Times New Roman" w:hAnsi="Times New Roman"/>
                <w:b/>
                <w:snapToGrid w:val="0"/>
                <w:highlight w:val="yellow"/>
                <w:lang w:val="en-US" w:eastAsia="zh-CN"/>
              </w:rPr>
              <w:t>13</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0</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10"/>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12</w:t>
            </w:r>
          </w:p>
        </w:tc>
        <w:tc>
          <w:tcPr>
            <w:tcW w:w="850" w:type="dxa"/>
            <w:vAlign w:val="center"/>
          </w:tcPr>
          <w:p>
            <w:pPr>
              <w:pStyle w:val="10"/>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10"/>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10"/>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22</w:t>
            </w:r>
            <w:r>
              <w:rPr>
                <w:rFonts w:ascii="Times New Roman" w:hAnsi="Times New Roman"/>
                <w:b/>
                <w:snapToGrid w:val="0"/>
                <w:highlight w:val="yellow"/>
              </w:rPr>
              <w:t>年</w:t>
            </w:r>
            <w:r>
              <w:rPr>
                <w:rFonts w:hint="eastAsia" w:ascii="Times New Roman" w:hAnsi="Times New Roman"/>
                <w:b/>
                <w:snapToGrid w:val="0"/>
                <w:highlight w:val="yellow"/>
              </w:rPr>
              <w:t>0</w:t>
            </w:r>
            <w:r>
              <w:rPr>
                <w:rFonts w:hint="eastAsia" w:ascii="Times New Roman" w:hAnsi="Times New Roman"/>
                <w:b/>
                <w:snapToGrid w:val="0"/>
                <w:highlight w:val="yellow"/>
                <w:lang w:val="en-US" w:eastAsia="zh-CN"/>
              </w:rPr>
              <w:t>6</w:t>
            </w:r>
            <w:r>
              <w:rPr>
                <w:rFonts w:ascii="Times New Roman" w:hAnsi="Times New Roman"/>
                <w:b/>
                <w:snapToGrid w:val="0"/>
                <w:highlight w:val="yellow"/>
              </w:rPr>
              <w:t>月</w:t>
            </w:r>
            <w:r>
              <w:rPr>
                <w:rFonts w:hint="eastAsia" w:ascii="Times New Roman" w:hAnsi="Times New Roman"/>
                <w:b/>
                <w:snapToGrid w:val="0"/>
                <w:highlight w:val="yellow"/>
                <w:lang w:val="en-US" w:eastAsia="zh-CN"/>
              </w:rPr>
              <w:t>13</w:t>
            </w:r>
            <w:r>
              <w:rPr>
                <w:rFonts w:ascii="Times New Roman" w:hAnsi="Times New Roman"/>
                <w:b/>
                <w:snapToGrid w:val="0"/>
                <w:highlight w:val="yellow"/>
              </w:rPr>
              <w:t>日</w:t>
            </w:r>
            <w:r>
              <w:rPr>
                <w:rFonts w:hint="eastAsia" w:ascii="Times New Roman" w:hAnsi="Times New Roman"/>
                <w:b/>
                <w:snapToGrid w:val="0"/>
                <w:highlight w:val="yellow"/>
              </w:rPr>
              <w:t>1</w:t>
            </w:r>
            <w:r>
              <w:rPr>
                <w:rFonts w:hint="eastAsia" w:ascii="Times New Roman" w:hAnsi="Times New Roman"/>
                <w:b/>
                <w:snapToGrid w:val="0"/>
                <w:highlight w:val="yellow"/>
                <w:lang w:val="en-US" w:eastAsia="zh-CN"/>
              </w:rPr>
              <w:t>0</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0"/>
              <w:spacing w:line="360" w:lineRule="auto"/>
              <w:jc w:val="center"/>
              <w:rPr>
                <w:rFonts w:hAnsi="宋体"/>
              </w:rPr>
            </w:pPr>
            <w:r>
              <w:rPr>
                <w:rFonts w:hint="eastAsia" w:hAnsi="宋体"/>
              </w:rPr>
              <w:t>13</w:t>
            </w:r>
          </w:p>
        </w:tc>
        <w:tc>
          <w:tcPr>
            <w:tcW w:w="850" w:type="dxa"/>
            <w:vAlign w:val="center"/>
          </w:tcPr>
          <w:p>
            <w:pPr>
              <w:pStyle w:val="10"/>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10"/>
              <w:spacing w:line="360" w:lineRule="auto"/>
              <w:jc w:val="center"/>
              <w:rPr>
                <w:rFonts w:hAnsi="宋体"/>
              </w:rPr>
            </w:pPr>
            <w:r>
              <w:rPr>
                <w:rFonts w:hint="eastAsia" w:hAnsi="宋体"/>
              </w:rPr>
              <w:t>评标办法</w:t>
            </w:r>
          </w:p>
        </w:tc>
        <w:tc>
          <w:tcPr>
            <w:tcW w:w="5669" w:type="dxa"/>
            <w:vAlign w:val="center"/>
          </w:tcPr>
          <w:p>
            <w:pPr>
              <w:pStyle w:val="10"/>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0"/>
              <w:spacing w:line="360" w:lineRule="auto"/>
              <w:jc w:val="center"/>
              <w:rPr>
                <w:rFonts w:hAnsi="宋体"/>
              </w:rPr>
            </w:pPr>
            <w:r>
              <w:rPr>
                <w:rFonts w:hint="eastAsia" w:hAnsi="宋体"/>
              </w:rPr>
              <w:t>14</w:t>
            </w:r>
          </w:p>
        </w:tc>
        <w:tc>
          <w:tcPr>
            <w:tcW w:w="850" w:type="dxa"/>
            <w:vAlign w:val="center"/>
          </w:tcPr>
          <w:p>
            <w:pPr>
              <w:pStyle w:val="10"/>
              <w:spacing w:line="360" w:lineRule="auto"/>
              <w:jc w:val="center"/>
              <w:rPr>
                <w:rFonts w:hAnsi="宋体"/>
              </w:rPr>
            </w:pPr>
            <w:r>
              <w:rPr>
                <w:rFonts w:hint="eastAsia" w:hAnsi="宋体"/>
              </w:rPr>
              <w:t>33.1</w:t>
            </w:r>
          </w:p>
        </w:tc>
        <w:tc>
          <w:tcPr>
            <w:tcW w:w="1985" w:type="dxa"/>
            <w:vAlign w:val="center"/>
          </w:tcPr>
          <w:p>
            <w:pPr>
              <w:pStyle w:val="10"/>
              <w:spacing w:line="340" w:lineRule="exact"/>
              <w:jc w:val="center"/>
              <w:rPr>
                <w:rFonts w:hAnsi="宋体"/>
              </w:rPr>
            </w:pPr>
            <w:r>
              <w:rPr>
                <w:rFonts w:hint="eastAsia" w:hAnsi="宋体"/>
              </w:rPr>
              <w:t>采购代理服务费</w:t>
            </w:r>
          </w:p>
        </w:tc>
        <w:tc>
          <w:tcPr>
            <w:tcW w:w="5669" w:type="dxa"/>
            <w:vAlign w:val="center"/>
          </w:tcPr>
          <w:p>
            <w:pPr>
              <w:pStyle w:val="10"/>
              <w:spacing w:line="340" w:lineRule="exact"/>
              <w:rPr>
                <w:rFonts w:hint="default" w:hAnsi="宋体" w:eastAsiaTheme="minorEastAsia"/>
                <w:lang w:val="en-US" w:eastAsia="zh-CN"/>
              </w:rPr>
            </w:pPr>
            <w:r>
              <w:rPr>
                <w:rFonts w:hint="eastAsia" w:hAnsi="宋体"/>
                <w:lang w:val="en-US" w:eastAsia="zh-CN"/>
              </w:rPr>
              <w:t>人民币4,000.00元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0"/>
              <w:spacing w:line="360" w:lineRule="auto"/>
              <w:jc w:val="center"/>
              <w:rPr>
                <w:rFonts w:hAnsi="宋体"/>
              </w:rPr>
            </w:pPr>
            <w:r>
              <w:rPr>
                <w:rFonts w:hint="eastAsia" w:hAnsi="宋体"/>
              </w:rPr>
              <w:t>15</w:t>
            </w:r>
          </w:p>
        </w:tc>
        <w:tc>
          <w:tcPr>
            <w:tcW w:w="850" w:type="dxa"/>
            <w:vAlign w:val="center"/>
          </w:tcPr>
          <w:p>
            <w:pPr>
              <w:pStyle w:val="10"/>
              <w:spacing w:line="360" w:lineRule="auto"/>
              <w:jc w:val="center"/>
              <w:rPr>
                <w:rFonts w:hAnsi="宋体"/>
              </w:rPr>
            </w:pPr>
          </w:p>
        </w:tc>
        <w:tc>
          <w:tcPr>
            <w:tcW w:w="1985" w:type="dxa"/>
            <w:vAlign w:val="center"/>
          </w:tcPr>
          <w:p>
            <w:pPr>
              <w:pStyle w:val="10"/>
              <w:spacing w:line="340" w:lineRule="exact"/>
              <w:jc w:val="center"/>
              <w:rPr>
                <w:rFonts w:hAnsi="宋体"/>
              </w:rPr>
            </w:pPr>
            <w:r>
              <w:rPr>
                <w:rFonts w:hint="eastAsia" w:hAnsi="宋体"/>
              </w:rPr>
              <w:t>采购控制金额</w:t>
            </w:r>
          </w:p>
          <w:p>
            <w:pPr>
              <w:pStyle w:val="10"/>
              <w:spacing w:line="340" w:lineRule="exact"/>
              <w:jc w:val="center"/>
              <w:rPr>
                <w:rFonts w:hAnsi="宋体"/>
              </w:rPr>
            </w:pPr>
            <w:r>
              <w:rPr>
                <w:rFonts w:hint="eastAsia" w:hAnsi="宋体"/>
              </w:rPr>
              <w:t>（最高投标限价）</w:t>
            </w:r>
          </w:p>
        </w:tc>
        <w:tc>
          <w:tcPr>
            <w:tcW w:w="5669" w:type="dxa"/>
            <w:vAlign w:val="center"/>
          </w:tcPr>
          <w:p>
            <w:pPr>
              <w:pStyle w:val="10"/>
              <w:spacing w:line="340" w:lineRule="exact"/>
              <w:rPr>
                <w:rFonts w:hAnsi="宋体"/>
                <w:b/>
              </w:rPr>
            </w:pPr>
            <w:r>
              <w:rPr>
                <w:rFonts w:hint="eastAsia" w:hAnsi="宋体"/>
                <w:b/>
                <w:highlight w:val="yellow"/>
              </w:rPr>
              <w:t>人民币</w:t>
            </w:r>
            <w:r>
              <w:rPr>
                <w:rFonts w:hint="eastAsia" w:hAnsi="宋体"/>
                <w:b/>
                <w:highlight w:val="yellow"/>
                <w:lang w:val="en-US" w:eastAsia="zh-CN"/>
              </w:rPr>
              <w:t>8</w:t>
            </w:r>
            <w:r>
              <w:rPr>
                <w:rFonts w:hint="eastAsia" w:hAnsi="宋体"/>
                <w:b/>
                <w:highlight w:val="yellow"/>
              </w:rPr>
              <w:t>万元整</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综合评分法，是指投标文件满足采购文件全部实质性要求，且按照评审因素的量化指标评审得分最高的投标人为中标候选人的评标方法。</w:t>
      </w:r>
    </w:p>
    <w:tbl>
      <w:tblPr>
        <w:tblStyle w:val="17"/>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hint="eastAsia" w:ascii="仿宋" w:hAnsi="仿宋" w:eastAsia="仿宋" w:cs="仿宋"/>
                <w:snapToGrid w:val="0"/>
                <w:kern w:val="0"/>
                <w:sz w:val="24"/>
                <w:szCs w:val="24"/>
              </w:rPr>
            </w:pPr>
            <w:r>
              <w:rPr>
                <w:rFonts w:hint="eastAsia" w:ascii="仿宋" w:hAnsi="仿宋" w:eastAsia="仿宋" w:cs="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价格标（G）</w:t>
            </w:r>
          </w:p>
          <w:p>
            <w:pPr>
              <w:adjustRightIn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（总分10分）</w:t>
            </w:r>
          </w:p>
        </w:tc>
        <w:tc>
          <w:tcPr>
            <w:tcW w:w="1182" w:type="dxa"/>
            <w:vAlign w:val="center"/>
          </w:tcPr>
          <w:p>
            <w:pPr>
              <w:adjustRightInd w:val="0"/>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投标总价</w:t>
            </w:r>
          </w:p>
        </w:tc>
        <w:tc>
          <w:tcPr>
            <w:tcW w:w="709" w:type="dxa"/>
            <w:vAlign w:val="center"/>
          </w:tcPr>
          <w:p>
            <w:pPr>
              <w:adjustRightInd w:val="0"/>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10</w:t>
            </w:r>
          </w:p>
        </w:tc>
        <w:tc>
          <w:tcPr>
            <w:tcW w:w="6335" w:type="dxa"/>
            <w:tcBorders>
              <w:right w:val="double" w:color="auto" w:sz="4" w:space="0"/>
            </w:tcBorders>
            <w:vAlign w:val="center"/>
          </w:tcPr>
          <w:p>
            <w:pPr>
              <w:adjustRightIn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价格分按以下方案计算：</w:t>
            </w:r>
          </w:p>
          <w:p>
            <w:pPr>
              <w:adjustRightIn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投标报价得分= Z/Sn×10</w:t>
            </w:r>
          </w:p>
          <w:p>
            <w:pPr>
              <w:adjustRightIn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其中： Z --评标基准价，即通过资格性审查和符合性审查且投标价格最低的投标报价</w:t>
            </w:r>
          </w:p>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ab/>
            </w:r>
            <w:r>
              <w:rPr>
                <w:rFonts w:hint="eastAsia" w:ascii="仿宋" w:hAnsi="仿宋" w:eastAsia="仿宋" w:cs="仿宋"/>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技术标（J）</w:t>
            </w:r>
          </w:p>
          <w:p>
            <w:pPr>
              <w:adjustRightIn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w:t>
            </w:r>
            <w:r>
              <w:rPr>
                <w:rFonts w:hint="eastAsia" w:ascii="仿宋" w:hAnsi="仿宋" w:eastAsia="仿宋" w:cs="仿宋"/>
                <w:b/>
                <w:bCs/>
                <w:snapToGrid w:val="0"/>
                <w:kern w:val="0"/>
                <w:sz w:val="24"/>
                <w:szCs w:val="24"/>
                <w:lang w:val="en-US" w:eastAsia="zh-CN"/>
              </w:rPr>
              <w:t>50</w:t>
            </w:r>
            <w:r>
              <w:rPr>
                <w:rFonts w:hint="eastAsia" w:ascii="仿宋" w:hAnsi="仿宋" w:eastAsia="仿宋" w:cs="仿宋"/>
                <w:b/>
                <w:bCs/>
                <w:snapToGrid w:val="0"/>
                <w:kern w:val="0"/>
                <w:sz w:val="24"/>
                <w:szCs w:val="24"/>
              </w:rPr>
              <w:t>分）</w:t>
            </w:r>
          </w:p>
        </w:tc>
        <w:tc>
          <w:tcPr>
            <w:tcW w:w="1182" w:type="dxa"/>
            <w:vAlign w:val="center"/>
          </w:tcPr>
          <w:p>
            <w:pPr>
              <w:adjustRightInd w:val="0"/>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实施方案</w:t>
            </w:r>
          </w:p>
        </w:tc>
        <w:tc>
          <w:tcPr>
            <w:tcW w:w="709" w:type="dxa"/>
            <w:vAlign w:val="center"/>
          </w:tcPr>
          <w:p>
            <w:pPr>
              <w:spacing w:line="360" w:lineRule="auto"/>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15</w:t>
            </w:r>
          </w:p>
        </w:tc>
        <w:tc>
          <w:tcPr>
            <w:tcW w:w="6335" w:type="dxa"/>
            <w:tcBorders>
              <w:right w:val="double" w:color="auto" w:sz="4" w:space="0"/>
            </w:tcBorders>
            <w:vAlign w:val="center"/>
          </w:tcPr>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评标委员会根据投标人提供的实施方案（</w:t>
            </w:r>
            <w:r>
              <w:rPr>
                <w:rFonts w:hint="eastAsia" w:ascii="仿宋" w:hAnsi="仿宋" w:eastAsia="仿宋" w:cs="仿宋"/>
                <w:b/>
                <w:bCs/>
                <w:kern w:val="0"/>
                <w:sz w:val="24"/>
                <w:szCs w:val="24"/>
                <w:lang w:val="en-US" w:eastAsia="zh-CN"/>
              </w:rPr>
              <w:t>包含</w:t>
            </w:r>
            <w:r>
              <w:rPr>
                <w:rFonts w:hint="eastAsia" w:ascii="仿宋" w:hAnsi="仿宋" w:eastAsia="仿宋" w:cs="仿宋"/>
                <w:b/>
                <w:bCs/>
                <w:kern w:val="0"/>
                <w:sz w:val="24"/>
                <w:szCs w:val="24"/>
              </w:rPr>
              <w:t>但不限于对本项目理解、工作措施、工作方法、工作手段、工作流程等方面</w:t>
            </w:r>
            <w:r>
              <w:rPr>
                <w:rFonts w:hint="eastAsia" w:ascii="仿宋" w:hAnsi="仿宋" w:eastAsia="仿宋" w:cs="仿宋"/>
                <w:kern w:val="0"/>
                <w:sz w:val="24"/>
                <w:szCs w:val="24"/>
              </w:rPr>
              <w:t>）响应情况进行评审：</w:t>
            </w:r>
          </w:p>
          <w:p>
            <w:pPr>
              <w:adjustRightIn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highlight w:val="yellow"/>
              </w:rPr>
              <w:t>评审细则：</w:t>
            </w:r>
          </w:p>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1）方案内容全面。2）方案内容科学合理。3）方案内容具体。4）方案内容针对性强。5）方案内容可操作性强。</w:t>
            </w:r>
          </w:p>
          <w:p>
            <w:pPr>
              <w:adjustRightIn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highlight w:val="yellow"/>
              </w:rPr>
              <w:t>评分细则：</w:t>
            </w:r>
          </w:p>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1）响应方案满足但不限于以上5项，得</w:t>
            </w:r>
            <w:r>
              <w:rPr>
                <w:rFonts w:hint="eastAsia" w:ascii="仿宋" w:hAnsi="仿宋" w:eastAsia="仿宋" w:cs="仿宋"/>
                <w:kern w:val="0"/>
                <w:sz w:val="24"/>
                <w:szCs w:val="24"/>
                <w:lang w:val="en-US" w:eastAsia="zh-CN"/>
              </w:rPr>
              <w:t>15</w:t>
            </w:r>
            <w:r>
              <w:rPr>
                <w:rFonts w:hint="eastAsia" w:ascii="仿宋" w:hAnsi="仿宋" w:eastAsia="仿宋" w:cs="仿宋"/>
                <w:kern w:val="0"/>
                <w:sz w:val="24"/>
                <w:szCs w:val="24"/>
              </w:rPr>
              <w:t>分。2）响应方案满足以上其中4项，得</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分。3）响应方案满足以上其中3项，得</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p>
        </w:tc>
        <w:tc>
          <w:tcPr>
            <w:tcW w:w="1182" w:type="dxa"/>
            <w:vAlign w:val="center"/>
          </w:tcPr>
          <w:p>
            <w:pPr>
              <w:adjustRightInd w:val="0"/>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项目工期保证措施</w:t>
            </w:r>
          </w:p>
        </w:tc>
        <w:tc>
          <w:tcPr>
            <w:tcW w:w="709" w:type="dxa"/>
            <w:vAlign w:val="center"/>
          </w:tcPr>
          <w:p>
            <w:pPr>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5</w:t>
            </w:r>
          </w:p>
        </w:tc>
        <w:tc>
          <w:tcPr>
            <w:tcW w:w="6335" w:type="dxa"/>
            <w:tcBorders>
              <w:right w:val="double" w:color="auto" w:sz="4" w:space="0"/>
            </w:tcBorders>
            <w:vAlign w:val="center"/>
          </w:tcPr>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评标委员会根据投标人提供的项目工期保证措施响应情况进行评审：</w:t>
            </w:r>
          </w:p>
          <w:p>
            <w:pPr>
              <w:adjustRightIn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highlight w:val="yellow"/>
              </w:rPr>
              <w:t>评审细则：</w:t>
            </w:r>
          </w:p>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1）方案内容全面。2）方案内容科学合理。3）方案内容具体。4）方案内容针对性强。5）方案内容可操作性强。</w:t>
            </w:r>
          </w:p>
          <w:p>
            <w:pPr>
              <w:adjustRightIn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highlight w:val="yellow"/>
              </w:rPr>
              <w:t>评分细则：</w:t>
            </w:r>
          </w:p>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1）响应方案满足但不限于以上5项，得</w:t>
            </w:r>
            <w:r>
              <w:rPr>
                <w:rFonts w:hint="eastAsia" w:ascii="仿宋" w:hAnsi="仿宋" w:eastAsia="仿宋" w:cs="仿宋"/>
                <w:kern w:val="0"/>
                <w:sz w:val="24"/>
                <w:szCs w:val="24"/>
                <w:lang w:val="en-US" w:eastAsia="zh-CN"/>
              </w:rPr>
              <w:t>15</w:t>
            </w:r>
            <w:r>
              <w:rPr>
                <w:rFonts w:hint="eastAsia" w:ascii="仿宋" w:hAnsi="仿宋" w:eastAsia="仿宋" w:cs="仿宋"/>
                <w:kern w:val="0"/>
                <w:sz w:val="24"/>
                <w:szCs w:val="24"/>
              </w:rPr>
              <w:t>分。2）响应方案满足以上其中4项，得</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分。3）响应方案满足以上其中3项，得</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p>
        </w:tc>
        <w:tc>
          <w:tcPr>
            <w:tcW w:w="1182" w:type="dxa"/>
            <w:vAlign w:val="center"/>
          </w:tcPr>
          <w:p>
            <w:pPr>
              <w:adjustRightInd w:val="0"/>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质量保障措施及方案</w:t>
            </w:r>
          </w:p>
        </w:tc>
        <w:tc>
          <w:tcPr>
            <w:tcW w:w="709" w:type="dxa"/>
            <w:vAlign w:val="center"/>
          </w:tcPr>
          <w:p>
            <w:pPr>
              <w:spacing w:line="360" w:lineRule="auto"/>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5</w:t>
            </w:r>
          </w:p>
        </w:tc>
        <w:tc>
          <w:tcPr>
            <w:tcW w:w="6335" w:type="dxa"/>
            <w:tcBorders>
              <w:right w:val="double" w:color="auto" w:sz="4" w:space="0"/>
            </w:tcBorders>
            <w:vAlign w:val="center"/>
          </w:tcPr>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评标委员会根据投标人提供的质量保障措施及方案响应情况进行评审：</w:t>
            </w:r>
          </w:p>
          <w:p>
            <w:pPr>
              <w:adjustRightIn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highlight w:val="yellow"/>
              </w:rPr>
              <w:t>评审细则：</w:t>
            </w:r>
          </w:p>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1）方案内容全面。2）方案内容科学合理。3）方案内容具体。4）方案内容针对性强。5）方案内容可操作性强。</w:t>
            </w:r>
          </w:p>
          <w:p>
            <w:pPr>
              <w:adjustRightInd w:val="0"/>
              <w:spacing w:line="360" w:lineRule="auto"/>
              <w:rPr>
                <w:rFonts w:hint="eastAsia" w:ascii="仿宋" w:hAnsi="仿宋" w:eastAsia="仿宋" w:cs="仿宋"/>
                <w:b/>
                <w:kern w:val="0"/>
                <w:sz w:val="24"/>
                <w:szCs w:val="24"/>
              </w:rPr>
            </w:pPr>
            <w:r>
              <w:rPr>
                <w:rFonts w:hint="eastAsia" w:ascii="仿宋" w:hAnsi="仿宋" w:eastAsia="仿宋" w:cs="仿宋"/>
                <w:b/>
                <w:kern w:val="0"/>
                <w:sz w:val="24"/>
                <w:szCs w:val="24"/>
                <w:highlight w:val="yellow"/>
              </w:rPr>
              <w:t>评分细则：</w:t>
            </w:r>
          </w:p>
          <w:p>
            <w:pPr>
              <w:adjustRightInd w:val="0"/>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1）响应方案满足但不限于以上5项，得</w:t>
            </w:r>
            <w:r>
              <w:rPr>
                <w:rFonts w:hint="eastAsia" w:ascii="仿宋" w:hAnsi="仿宋" w:eastAsia="仿宋" w:cs="仿宋"/>
                <w:kern w:val="0"/>
                <w:sz w:val="24"/>
                <w:szCs w:val="24"/>
                <w:lang w:val="en-US" w:eastAsia="zh-CN"/>
              </w:rPr>
              <w:t>15</w:t>
            </w:r>
            <w:r>
              <w:rPr>
                <w:rFonts w:hint="eastAsia" w:ascii="仿宋" w:hAnsi="仿宋" w:eastAsia="仿宋" w:cs="仿宋"/>
                <w:kern w:val="0"/>
                <w:sz w:val="24"/>
                <w:szCs w:val="24"/>
              </w:rPr>
              <w:t>分。2）响应方案满足以上其中4项，得</w:t>
            </w:r>
            <w:r>
              <w:rPr>
                <w:rFonts w:hint="eastAsia" w:ascii="仿宋" w:hAnsi="仿宋" w:eastAsia="仿宋" w:cs="仿宋"/>
                <w:kern w:val="0"/>
                <w:sz w:val="24"/>
                <w:szCs w:val="24"/>
                <w:lang w:val="en-US" w:eastAsia="zh-CN"/>
              </w:rPr>
              <w:t>10</w:t>
            </w:r>
            <w:r>
              <w:rPr>
                <w:rFonts w:hint="eastAsia" w:ascii="仿宋" w:hAnsi="仿宋" w:eastAsia="仿宋" w:cs="仿宋"/>
                <w:kern w:val="0"/>
                <w:sz w:val="24"/>
                <w:szCs w:val="24"/>
              </w:rPr>
              <w:t>分。3）响应方案满足以上其中3项，得</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p>
        </w:tc>
        <w:tc>
          <w:tcPr>
            <w:tcW w:w="1182" w:type="dxa"/>
            <w:vAlign w:val="center"/>
          </w:tcPr>
          <w:p>
            <w:pPr>
              <w:adjustRightInd w:val="0"/>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rPr>
              <w:t>违约承诺</w:t>
            </w:r>
          </w:p>
        </w:tc>
        <w:tc>
          <w:tcPr>
            <w:tcW w:w="709" w:type="dxa"/>
            <w:vAlign w:val="center"/>
          </w:tcPr>
          <w:p>
            <w:pPr>
              <w:spacing w:line="360" w:lineRule="auto"/>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5</w:t>
            </w:r>
          </w:p>
        </w:tc>
        <w:tc>
          <w:tcPr>
            <w:tcW w:w="6335" w:type="dxa"/>
            <w:tcBorders>
              <w:right w:val="double" w:color="auto" w:sz="4" w:space="0"/>
            </w:tcBorders>
            <w:vAlign w:val="center"/>
          </w:tcPr>
          <w:p>
            <w:pPr>
              <w:adjustRightInd w:val="0"/>
              <w:spacing w:line="360" w:lineRule="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投标人自行承诺以下内容，全部满足得5分。</w:t>
            </w:r>
          </w:p>
          <w:p>
            <w:pPr>
              <w:adjustRightInd w:val="0"/>
              <w:spacing w:line="360" w:lineRule="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1）人员严格按照采购文件及投标承诺配置。</w:t>
            </w:r>
          </w:p>
          <w:p>
            <w:pPr>
              <w:adjustRightInd w:val="0"/>
              <w:spacing w:line="360" w:lineRule="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2）服务质量达到采购文件要求。</w:t>
            </w:r>
          </w:p>
          <w:p>
            <w:pPr>
              <w:adjustRightInd w:val="0"/>
              <w:spacing w:line="360" w:lineRule="auto"/>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3）对未能达到管理要求承担相应管理责任。</w:t>
            </w:r>
          </w:p>
          <w:p>
            <w:pPr>
              <w:adjustRightInd w:val="0"/>
              <w:snapToGrid w:val="0"/>
              <w:spacing w:line="360" w:lineRule="auto"/>
              <w:rPr>
                <w:rFonts w:hint="eastAsia" w:ascii="仿宋" w:hAnsi="仿宋" w:eastAsia="仿宋" w:cs="仿宋"/>
                <w:sz w:val="24"/>
                <w:szCs w:val="24"/>
              </w:rPr>
            </w:pP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提供承诺函并加盖投标人公章，格式自拟</w:t>
            </w:r>
            <w:r>
              <w:rPr>
                <w:rFonts w:hint="eastAsia" w:ascii="仿宋" w:hAnsi="仿宋" w:eastAsia="仿宋" w:cs="仿宋"/>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商务标（S）</w:t>
            </w:r>
          </w:p>
          <w:p>
            <w:pPr>
              <w:adjustRightInd w:val="0"/>
              <w:spacing w:line="360" w:lineRule="auto"/>
              <w:jc w:val="center"/>
              <w:rPr>
                <w:rFonts w:hint="eastAsia" w:ascii="仿宋" w:hAnsi="仿宋" w:eastAsia="仿宋" w:cs="仿宋"/>
                <w:b/>
                <w:bCs/>
                <w:snapToGrid w:val="0"/>
                <w:kern w:val="0"/>
                <w:sz w:val="24"/>
                <w:szCs w:val="24"/>
              </w:rPr>
            </w:pPr>
            <w:r>
              <w:rPr>
                <w:rFonts w:hint="eastAsia" w:ascii="仿宋" w:hAnsi="仿宋" w:eastAsia="仿宋" w:cs="仿宋"/>
                <w:b/>
                <w:bCs/>
                <w:snapToGrid w:val="0"/>
                <w:kern w:val="0"/>
                <w:sz w:val="24"/>
                <w:szCs w:val="24"/>
              </w:rPr>
              <w:t>（总分</w:t>
            </w:r>
            <w:r>
              <w:rPr>
                <w:rFonts w:hint="eastAsia" w:ascii="仿宋" w:hAnsi="仿宋" w:eastAsia="仿宋" w:cs="仿宋"/>
                <w:b/>
                <w:bCs/>
                <w:snapToGrid w:val="0"/>
                <w:kern w:val="0"/>
                <w:sz w:val="24"/>
                <w:szCs w:val="24"/>
                <w:lang w:val="en-US" w:eastAsia="zh-CN"/>
              </w:rPr>
              <w:t>40</w:t>
            </w:r>
            <w:r>
              <w:rPr>
                <w:rFonts w:hint="eastAsia" w:ascii="仿宋" w:hAnsi="仿宋" w:eastAsia="仿宋" w:cs="仿宋"/>
                <w:b/>
                <w:bCs/>
                <w:snapToGrid w:val="0"/>
                <w:kern w:val="0"/>
                <w:sz w:val="24"/>
                <w:szCs w:val="24"/>
              </w:rPr>
              <w:t>分）</w:t>
            </w:r>
          </w:p>
        </w:tc>
        <w:tc>
          <w:tcPr>
            <w:tcW w:w="1182" w:type="dxa"/>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rPr>
              <w:t>拟派项目团队</w:t>
            </w:r>
            <w:r>
              <w:rPr>
                <w:rFonts w:hint="eastAsia" w:ascii="仿宋" w:hAnsi="仿宋" w:eastAsia="仿宋" w:cs="仿宋"/>
                <w:sz w:val="24"/>
                <w:szCs w:val="24"/>
                <w:lang w:val="en-US" w:eastAsia="zh-CN"/>
              </w:rPr>
              <w:t>成员</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0</w:t>
            </w:r>
          </w:p>
        </w:tc>
        <w:tc>
          <w:tcPr>
            <w:tcW w:w="6335" w:type="dxa"/>
            <w:tcBorders>
              <w:left w:val="single" w:color="auto" w:sz="4" w:space="0"/>
              <w:right w:val="double" w:color="auto" w:sz="4" w:space="0"/>
            </w:tcBorders>
            <w:vAlign w:val="center"/>
          </w:tcPr>
          <w:p>
            <w:pPr>
              <w:widowControl/>
              <w:spacing w:line="360" w:lineRule="auto"/>
              <w:ind w:left="0" w:leftChars="0" w:firstLine="0" w:firstLineChars="0"/>
              <w:jc w:val="left"/>
              <w:textAlignment w:val="center"/>
              <w:rPr>
                <w:rFonts w:hint="eastAsia" w:ascii="仿宋" w:hAnsi="仿宋" w:eastAsia="仿宋" w:cs="仿宋"/>
                <w:sz w:val="24"/>
                <w:szCs w:val="24"/>
              </w:rPr>
            </w:pPr>
            <w:r>
              <w:rPr>
                <w:rFonts w:hint="eastAsia" w:ascii="仿宋" w:hAnsi="仿宋" w:eastAsia="仿宋" w:cs="仿宋"/>
                <w:sz w:val="24"/>
                <w:szCs w:val="24"/>
              </w:rPr>
              <w:t>拟派</w:t>
            </w:r>
            <w:r>
              <w:rPr>
                <w:rFonts w:hint="eastAsia" w:ascii="仿宋" w:hAnsi="仿宋" w:eastAsia="仿宋" w:cs="仿宋"/>
                <w:sz w:val="24"/>
                <w:szCs w:val="24"/>
                <w:lang w:val="en-US" w:eastAsia="zh-CN"/>
              </w:rPr>
              <w:t>项目</w:t>
            </w:r>
            <w:r>
              <w:rPr>
                <w:rFonts w:hint="eastAsia" w:ascii="仿宋" w:hAnsi="仿宋" w:eastAsia="仿宋" w:cs="仿宋"/>
                <w:sz w:val="24"/>
                <w:szCs w:val="24"/>
              </w:rPr>
              <w:t>团队</w:t>
            </w:r>
            <w:r>
              <w:rPr>
                <w:rFonts w:hint="eastAsia" w:ascii="仿宋" w:hAnsi="仿宋" w:eastAsia="仿宋" w:cs="仿宋"/>
                <w:sz w:val="24"/>
                <w:szCs w:val="24"/>
                <w:lang w:val="en-US" w:eastAsia="zh-CN"/>
              </w:rPr>
              <w:t>具有放射卫生技术服务机构专业技术人员培训合格证成员的，每提供一名得2分，最高得10分</w:t>
            </w:r>
            <w:r>
              <w:rPr>
                <w:rFonts w:hint="eastAsia" w:ascii="仿宋" w:hAnsi="仿宋" w:eastAsia="仿宋" w:cs="仿宋"/>
                <w:sz w:val="24"/>
                <w:szCs w:val="24"/>
              </w:rPr>
              <w:t>。</w:t>
            </w:r>
          </w:p>
          <w:p>
            <w:pPr>
              <w:widowControl/>
              <w:spacing w:line="360" w:lineRule="auto"/>
              <w:jc w:val="left"/>
              <w:textAlignment w:val="center"/>
              <w:rPr>
                <w:rFonts w:hint="eastAsia" w:ascii="仿宋" w:hAnsi="仿宋" w:eastAsia="仿宋" w:cs="仿宋"/>
                <w:sz w:val="24"/>
                <w:szCs w:val="24"/>
              </w:rPr>
            </w:pPr>
            <w:r>
              <w:rPr>
                <w:rFonts w:hint="eastAsia" w:ascii="仿宋" w:hAnsi="仿宋" w:eastAsia="仿宋" w:cs="仿宋"/>
                <w:sz w:val="24"/>
                <w:szCs w:val="24"/>
              </w:rPr>
              <w:t>【提供团队成员</w:t>
            </w:r>
            <w:r>
              <w:rPr>
                <w:rFonts w:hint="eastAsia" w:ascii="仿宋" w:hAnsi="仿宋" w:eastAsia="仿宋" w:cs="仿宋"/>
                <w:sz w:val="24"/>
                <w:szCs w:val="24"/>
                <w:lang w:val="en-US" w:eastAsia="zh-CN"/>
              </w:rPr>
              <w:t>劳动合同和培训证书的</w:t>
            </w:r>
            <w:r>
              <w:rPr>
                <w:rFonts w:hint="eastAsia" w:ascii="仿宋" w:hAnsi="仿宋" w:eastAsia="仿宋" w:cs="仿宋"/>
                <w:sz w:val="24"/>
                <w:szCs w:val="24"/>
              </w:rPr>
              <w:t>扫描件</w:t>
            </w:r>
            <w:r>
              <w:rPr>
                <w:rFonts w:hint="eastAsia" w:ascii="仿宋" w:hAnsi="仿宋" w:eastAsia="仿宋" w:cs="仿宋"/>
                <w:kern w:val="0"/>
                <w:sz w:val="24"/>
                <w:szCs w:val="24"/>
              </w:rPr>
              <w:t>并加盖投标人公章，原件备查。未按要求提供或提供不清晰导致专家无法有效判断的不得分</w:t>
            </w:r>
            <w:r>
              <w:rPr>
                <w:rFonts w:hint="eastAsia" w:ascii="仿宋" w:hAnsi="仿宋"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hint="eastAsia" w:ascii="仿宋" w:hAnsi="仿宋" w:eastAsia="仿宋" w:cs="仿宋"/>
                <w:sz w:val="24"/>
                <w:szCs w:val="24"/>
              </w:rPr>
            </w:pPr>
            <w:r>
              <w:rPr>
                <w:rFonts w:hint="eastAsia" w:ascii="仿宋" w:hAnsi="仿宋" w:eastAsia="仿宋" w:cs="仿宋"/>
                <w:sz w:val="24"/>
                <w:szCs w:val="24"/>
              </w:rPr>
              <w:t>同类业绩</w:t>
            </w:r>
          </w:p>
        </w:tc>
        <w:tc>
          <w:tcPr>
            <w:tcW w:w="709" w:type="dxa"/>
            <w:tcBorders>
              <w:right w:val="single" w:color="auto" w:sz="4" w:space="0"/>
            </w:tcBorders>
            <w:vAlign w:val="center"/>
          </w:tcPr>
          <w:p>
            <w:pPr>
              <w:widowControl/>
              <w:spacing w:line="360" w:lineRule="auto"/>
              <w:jc w:val="center"/>
              <w:rPr>
                <w:rFonts w:hint="eastAsia" w:ascii="仿宋" w:hAnsi="仿宋" w:eastAsia="仿宋" w:cs="仿宋"/>
                <w:sz w:val="24"/>
                <w:szCs w:val="24"/>
              </w:rPr>
            </w:pPr>
            <w:r>
              <w:rPr>
                <w:rFonts w:hint="eastAsia" w:ascii="仿宋" w:hAnsi="仿宋" w:eastAsia="仿宋" w:cs="仿宋"/>
                <w:snapToGrid w:val="0"/>
                <w:kern w:val="0"/>
                <w:sz w:val="24"/>
                <w:szCs w:val="24"/>
              </w:rPr>
              <w:t>10</w:t>
            </w:r>
          </w:p>
        </w:tc>
        <w:tc>
          <w:tcPr>
            <w:tcW w:w="6335" w:type="dxa"/>
            <w:tcBorders>
              <w:left w:val="single" w:color="auto" w:sz="4" w:space="0"/>
              <w:right w:val="double" w:color="auto" w:sz="4" w:space="0"/>
            </w:tcBorders>
            <w:vAlign w:val="center"/>
          </w:tcPr>
          <w:p>
            <w:pPr>
              <w:snapToGrid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投标人近</w:t>
            </w:r>
            <w:r>
              <w:rPr>
                <w:rFonts w:hint="eastAsia" w:ascii="仿宋" w:hAnsi="仿宋" w:eastAsia="仿宋" w:cs="仿宋"/>
                <w:kern w:val="0"/>
                <w:sz w:val="24"/>
                <w:szCs w:val="24"/>
                <w:lang w:val="en-US" w:eastAsia="zh-CN"/>
              </w:rPr>
              <w:t>五</w:t>
            </w:r>
            <w:r>
              <w:rPr>
                <w:rFonts w:hint="eastAsia" w:ascii="仿宋" w:hAnsi="仿宋" w:eastAsia="仿宋" w:cs="仿宋"/>
                <w:kern w:val="0"/>
                <w:sz w:val="24"/>
                <w:szCs w:val="24"/>
              </w:rPr>
              <w:t>年相关同类业绩（以合同签订时间为准,从201</w:t>
            </w:r>
            <w:r>
              <w:rPr>
                <w:rFonts w:hint="eastAsia" w:ascii="仿宋" w:hAnsi="仿宋" w:eastAsia="仿宋" w:cs="仿宋"/>
                <w:kern w:val="0"/>
                <w:sz w:val="24"/>
                <w:szCs w:val="24"/>
                <w:lang w:val="en-US" w:eastAsia="zh-CN"/>
              </w:rPr>
              <w:t>7</w:t>
            </w:r>
            <w:r>
              <w:rPr>
                <w:rFonts w:hint="eastAsia" w:ascii="仿宋" w:hAnsi="仿宋" w:eastAsia="仿宋" w:cs="仿宋"/>
                <w:kern w:val="0"/>
                <w:sz w:val="24"/>
                <w:szCs w:val="24"/>
              </w:rPr>
              <w:t>年1月1日开始，截止日为本项目发布</w:t>
            </w:r>
            <w:r>
              <w:rPr>
                <w:rFonts w:hint="eastAsia" w:ascii="仿宋" w:hAnsi="仿宋" w:eastAsia="仿宋" w:cs="仿宋"/>
                <w:kern w:val="0"/>
                <w:sz w:val="24"/>
                <w:szCs w:val="24"/>
                <w:lang w:val="en-US" w:eastAsia="zh-CN"/>
              </w:rPr>
              <w:t>采购</w:t>
            </w:r>
            <w:r>
              <w:rPr>
                <w:rFonts w:hint="eastAsia" w:ascii="仿宋" w:hAnsi="仿宋" w:eastAsia="仿宋" w:cs="仿宋"/>
                <w:kern w:val="0"/>
                <w:sz w:val="24"/>
                <w:szCs w:val="24"/>
              </w:rPr>
              <w:t>公告之日），每提供一个有效业绩得2</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分，本项得分最高得10分。</w:t>
            </w:r>
          </w:p>
          <w:p>
            <w:pPr>
              <w:snapToGrid w:val="0"/>
              <w:spacing w:line="360" w:lineRule="auto"/>
              <w:jc w:val="left"/>
              <w:rPr>
                <w:rFonts w:hint="default" w:ascii="仿宋" w:hAnsi="仿宋" w:eastAsia="仿宋" w:cs="仿宋"/>
                <w:b/>
                <w:bCs/>
                <w:color w:val="FF0000"/>
                <w:kern w:val="0"/>
                <w:sz w:val="24"/>
                <w:szCs w:val="24"/>
                <w:lang w:val="en-US" w:eastAsia="zh-CN"/>
              </w:rPr>
            </w:pPr>
            <w:r>
              <w:rPr>
                <w:rFonts w:hint="eastAsia" w:ascii="仿宋" w:hAnsi="仿宋" w:eastAsia="仿宋" w:cs="仿宋"/>
                <w:b/>
                <w:bCs/>
                <w:color w:val="FF0000"/>
                <w:kern w:val="0"/>
                <w:sz w:val="24"/>
                <w:szCs w:val="24"/>
                <w:lang w:val="en-US" w:eastAsia="zh-CN"/>
              </w:rPr>
              <w:t>注：项目合同内容须包含放射诊疗设备的预评、控评、环评、竣工验收，协助办理《放射诊疗许可证》和《辐射安全许可证》服务等服务</w:t>
            </w:r>
          </w:p>
          <w:p>
            <w:pPr>
              <w:snapToGrid w:val="0"/>
              <w:spacing w:line="360" w:lineRule="auto"/>
              <w:jc w:val="left"/>
              <w:rPr>
                <w:rFonts w:hint="eastAsia" w:ascii="仿宋" w:hAnsi="仿宋" w:eastAsia="仿宋" w:cs="仿宋"/>
                <w:sz w:val="24"/>
                <w:szCs w:val="24"/>
              </w:rPr>
            </w:pPr>
            <w:r>
              <w:rPr>
                <w:rFonts w:hint="eastAsia" w:ascii="仿宋" w:hAnsi="仿宋" w:eastAsia="仿宋" w:cs="仿宋"/>
                <w:kern w:val="0"/>
                <w:sz w:val="24"/>
                <w:szCs w:val="24"/>
              </w:rPr>
              <w:t>【提供签订合同的扫描件并加盖投标人公章，原件备查。合同须表明关键信息(</w:t>
            </w:r>
            <w:r>
              <w:rPr>
                <w:rFonts w:hint="eastAsia" w:ascii="仿宋" w:hAnsi="仿宋" w:eastAsia="仿宋" w:cs="仿宋"/>
                <w:color w:val="auto"/>
                <w:kern w:val="0"/>
                <w:sz w:val="24"/>
                <w:szCs w:val="24"/>
              </w:rPr>
              <w:t>通过合同关键信息无法判断是否得分的，还需同时提供能证明得分的其它证明资料，如项目报告或合同采购方出具的证明文件等</w:t>
            </w:r>
            <w:r>
              <w:rPr>
                <w:rFonts w:hint="eastAsia" w:ascii="仿宋" w:hAnsi="仿宋" w:eastAsia="仿宋" w:cs="仿宋"/>
                <w:kern w:val="0"/>
                <w:sz w:val="24"/>
                <w:szCs w:val="24"/>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p>
        </w:tc>
        <w:tc>
          <w:tcPr>
            <w:tcW w:w="1182" w:type="dxa"/>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项目履约</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在满足“</w:t>
            </w:r>
            <w:r>
              <w:rPr>
                <w:rFonts w:hint="eastAsia" w:ascii="仿宋" w:hAnsi="仿宋" w:eastAsia="仿宋" w:cs="仿宋"/>
                <w:sz w:val="24"/>
                <w:szCs w:val="24"/>
              </w:rPr>
              <w:t>同类业绩</w:t>
            </w:r>
            <w:r>
              <w:rPr>
                <w:rFonts w:hint="eastAsia" w:ascii="仿宋" w:hAnsi="仿宋" w:eastAsia="仿宋" w:cs="仿宋"/>
                <w:sz w:val="24"/>
                <w:szCs w:val="24"/>
                <w:lang w:val="en-US" w:eastAsia="zh-CN"/>
              </w:rPr>
              <w:t>”要求的项目业绩中，获合同甲方评价为优或满意或同等评价的同类业绩履约评价证明，每提供一个得1分，最高得3分。</w:t>
            </w:r>
          </w:p>
          <w:p>
            <w:pPr>
              <w:widowControl/>
              <w:spacing w:line="360" w:lineRule="auto"/>
              <w:jc w:val="left"/>
              <w:textAlignment w:val="center"/>
              <w:rPr>
                <w:rFonts w:hint="eastAsia" w:ascii="仿宋" w:hAnsi="仿宋" w:eastAsia="仿宋" w:cs="仿宋"/>
                <w:b/>
                <w:bCs/>
                <w:color w:val="FF0000"/>
                <w:sz w:val="24"/>
                <w:szCs w:val="24"/>
                <w:lang w:val="en-US" w:eastAsia="zh-CN"/>
              </w:rPr>
            </w:pPr>
            <w:r>
              <w:rPr>
                <w:rFonts w:hint="eastAsia" w:ascii="仿宋" w:hAnsi="仿宋" w:eastAsia="仿宋" w:cs="仿宋"/>
                <w:b/>
                <w:bCs/>
                <w:color w:val="FF0000"/>
                <w:sz w:val="24"/>
                <w:szCs w:val="24"/>
                <w:lang w:val="en-US" w:eastAsia="zh-CN"/>
              </w:rPr>
              <w:t>注：同一个甲方出具的履约评价只算一个。</w:t>
            </w:r>
          </w:p>
          <w:p>
            <w:pPr>
              <w:widowControl/>
              <w:spacing w:line="360" w:lineRule="auto"/>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【提供履约评价证明材料的</w:t>
            </w:r>
            <w:r>
              <w:rPr>
                <w:rFonts w:hint="eastAsia" w:ascii="仿宋" w:hAnsi="仿宋" w:eastAsia="仿宋" w:cs="仿宋"/>
                <w:sz w:val="24"/>
                <w:szCs w:val="24"/>
              </w:rPr>
              <w:t>扫描件</w:t>
            </w:r>
            <w:r>
              <w:rPr>
                <w:rFonts w:hint="eastAsia" w:ascii="仿宋" w:hAnsi="仿宋" w:eastAsia="仿宋" w:cs="仿宋"/>
                <w:kern w:val="0"/>
                <w:sz w:val="24"/>
                <w:szCs w:val="24"/>
              </w:rPr>
              <w:t>并加盖投标人公章，原件备查。未按要求提供或提供不清晰导致专家无法有效判断的不得分</w:t>
            </w:r>
            <w:r>
              <w:rPr>
                <w:rFonts w:hint="eastAsia" w:ascii="仿宋" w:hAnsi="仿宋" w:eastAsia="仿宋" w:cs="仿宋"/>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p>
        </w:tc>
        <w:tc>
          <w:tcPr>
            <w:tcW w:w="1182" w:type="dxa"/>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相关认证</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w:t>
            </w:r>
          </w:p>
          <w:p>
            <w:pPr>
              <w:widowControl/>
              <w:spacing w:line="360" w:lineRule="auto"/>
              <w:ind w:left="480" w:hanging="480" w:hangingChars="200"/>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1）具有符合放射卫生要求的《放射卫生技术服务机构资质证书》</w:t>
            </w:r>
          </w:p>
          <w:p>
            <w:pPr>
              <w:widowControl/>
              <w:spacing w:line="360" w:lineRule="auto"/>
              <w:ind w:left="480" w:hanging="480" w:hangingChars="200"/>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2）具有《检验检测机构资质认定证书》</w:t>
            </w:r>
          </w:p>
          <w:p>
            <w:pPr>
              <w:widowControl/>
              <w:spacing w:line="360" w:lineRule="auto"/>
              <w:ind w:left="480" w:hanging="480" w:hangingChars="200"/>
              <w:jc w:val="left"/>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3）出具的防护检测报告要符合《放射诊断放射防护要求》（GBZ 130-2020）【</w:t>
            </w:r>
            <w:r>
              <w:rPr>
                <w:rFonts w:hint="eastAsia" w:ascii="仿宋" w:hAnsi="仿宋" w:eastAsia="仿宋" w:cs="仿宋"/>
                <w:b/>
                <w:bCs/>
                <w:color w:val="FF0000"/>
                <w:sz w:val="24"/>
                <w:szCs w:val="24"/>
                <w:lang w:val="en-US" w:eastAsia="zh-CN"/>
              </w:rPr>
              <w:t>提供相关证明文件</w:t>
            </w:r>
            <w:r>
              <w:rPr>
                <w:rFonts w:hint="eastAsia" w:ascii="仿宋" w:hAnsi="仿宋" w:eastAsia="仿宋" w:cs="仿宋"/>
                <w:sz w:val="24"/>
                <w:szCs w:val="24"/>
                <w:lang w:val="en-US" w:eastAsia="zh-CN"/>
              </w:rPr>
              <w:t>】</w:t>
            </w:r>
          </w:p>
          <w:p>
            <w:pPr>
              <w:widowControl/>
              <w:spacing w:line="360" w:lineRule="auto"/>
              <w:ind w:left="480" w:hanging="480" w:hangingChars="200"/>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全部满足得7分，缺漏任何一项不得分。</w:t>
            </w:r>
          </w:p>
          <w:p>
            <w:pPr>
              <w:widowControl/>
              <w:spacing w:line="360" w:lineRule="auto"/>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【提供相关证明材料的</w:t>
            </w:r>
            <w:r>
              <w:rPr>
                <w:rFonts w:hint="eastAsia" w:ascii="仿宋" w:hAnsi="仿宋" w:eastAsia="仿宋" w:cs="仿宋"/>
                <w:sz w:val="24"/>
                <w:szCs w:val="24"/>
              </w:rPr>
              <w:t>扫描件</w:t>
            </w:r>
            <w:r>
              <w:rPr>
                <w:rFonts w:hint="eastAsia" w:ascii="仿宋" w:hAnsi="仿宋" w:eastAsia="仿宋" w:cs="仿宋"/>
                <w:kern w:val="0"/>
                <w:sz w:val="24"/>
                <w:szCs w:val="24"/>
              </w:rPr>
              <w:t>并加盖投标人公章，原件备查。未按要求提供或提供不清晰导致专家无法有效判断的不得分</w:t>
            </w:r>
            <w:r>
              <w:rPr>
                <w:rFonts w:hint="eastAsia" w:ascii="仿宋" w:hAnsi="仿宋" w:eastAsia="仿宋" w:cs="仿宋"/>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hint="default" w:ascii="仿宋" w:hAnsi="仿宋" w:eastAsia="仿宋" w:cs="仿宋"/>
                <w:sz w:val="24"/>
                <w:szCs w:val="24"/>
                <w:lang w:val="en-US" w:eastAsia="zh-CN"/>
              </w:rPr>
            </w:pPr>
            <w:r>
              <w:rPr>
                <w:rFonts w:hint="eastAsia" w:ascii="仿宋" w:hAnsi="仿宋" w:eastAsia="仿宋" w:cs="仿宋"/>
                <w:sz w:val="24"/>
                <w:szCs w:val="24"/>
              </w:rPr>
              <w:t>服务</w:t>
            </w:r>
            <w:r>
              <w:rPr>
                <w:rFonts w:hint="eastAsia" w:ascii="仿宋" w:hAnsi="仿宋" w:eastAsia="仿宋" w:cs="仿宋"/>
                <w:sz w:val="24"/>
                <w:szCs w:val="24"/>
                <w:lang w:val="en-US" w:eastAsia="zh-CN"/>
              </w:rPr>
              <w:t>响应情况</w:t>
            </w:r>
          </w:p>
        </w:tc>
        <w:tc>
          <w:tcPr>
            <w:tcW w:w="709" w:type="dxa"/>
            <w:tcBorders>
              <w:right w:val="single" w:color="auto" w:sz="4" w:space="0"/>
            </w:tcBorders>
            <w:vAlign w:val="center"/>
          </w:tcPr>
          <w:p>
            <w:pPr>
              <w:widowControl/>
              <w:spacing w:line="360" w:lineRule="auto"/>
              <w:jc w:val="center"/>
              <w:rPr>
                <w:rFonts w:hint="eastAsia" w:ascii="仿宋" w:hAnsi="仿宋" w:eastAsia="仿宋" w:cs="仿宋"/>
                <w:snapToGrid w:val="0"/>
                <w:kern w:val="0"/>
                <w:sz w:val="24"/>
                <w:szCs w:val="24"/>
                <w:lang w:eastAsia="zh-CN"/>
              </w:rPr>
            </w:pPr>
            <w:r>
              <w:rPr>
                <w:rFonts w:hint="eastAsia" w:ascii="仿宋" w:hAnsi="仿宋" w:eastAsia="仿宋" w:cs="仿宋"/>
                <w:snapToGrid w:val="0"/>
                <w:kern w:val="0"/>
                <w:sz w:val="24"/>
                <w:szCs w:val="24"/>
                <w:lang w:val="en-US" w:eastAsia="zh-CN"/>
              </w:rPr>
              <w:t>5</w:t>
            </w:r>
          </w:p>
        </w:tc>
        <w:tc>
          <w:tcPr>
            <w:tcW w:w="6335" w:type="dxa"/>
            <w:tcBorders>
              <w:left w:val="single" w:color="auto" w:sz="4" w:space="0"/>
              <w:right w:val="double" w:color="auto" w:sz="4" w:space="0"/>
            </w:tcBorders>
            <w:vAlign w:val="center"/>
          </w:tcPr>
          <w:p>
            <w:pPr>
              <w:snapToGrid w:val="0"/>
              <w:spacing w:line="360" w:lineRule="auto"/>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投标人自行承诺在接到采购人提出服务需求的响应情况</w:t>
            </w:r>
          </w:p>
          <w:p>
            <w:pPr>
              <w:snapToGrid w:val="0"/>
              <w:spacing w:line="360" w:lineRule="auto"/>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1）1小时（含）内响应并到达采购单位，得5分。</w:t>
            </w:r>
          </w:p>
          <w:p>
            <w:pPr>
              <w:snapToGrid w:val="0"/>
              <w:spacing w:line="360" w:lineRule="auto"/>
              <w:ind w:left="480" w:hanging="480" w:hanging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2）1小时（不含）- 2小时（含）内响应并到达采购单位，得3分。</w:t>
            </w:r>
          </w:p>
          <w:p>
            <w:pPr>
              <w:snapToGrid w:val="0"/>
              <w:spacing w:line="360" w:lineRule="auto"/>
              <w:ind w:left="480" w:hanging="480" w:hanging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3）2小时（不含）-4小时（含）内响应并到达采购单位，得1分。</w:t>
            </w:r>
          </w:p>
          <w:p>
            <w:pPr>
              <w:snapToGrid w:val="0"/>
              <w:spacing w:line="360" w:lineRule="auto"/>
              <w:ind w:left="480" w:hanging="480" w:hangingChars="200"/>
              <w:jc w:val="left"/>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4）其他情况不得分。</w:t>
            </w:r>
          </w:p>
          <w:p>
            <w:pPr>
              <w:snapToGrid w:val="0"/>
              <w:spacing w:line="360" w:lineRule="auto"/>
              <w:jc w:val="left"/>
              <w:rPr>
                <w:rFonts w:hint="default" w:ascii="仿宋" w:hAnsi="仿宋" w:eastAsia="仿宋" w:cs="仿宋"/>
                <w:kern w:val="0"/>
                <w:sz w:val="24"/>
                <w:szCs w:val="24"/>
                <w:lang w:val="en-US"/>
              </w:rPr>
            </w:pPr>
            <w:r>
              <w:rPr>
                <w:rFonts w:hint="eastAsia" w:ascii="仿宋" w:hAnsi="仿宋" w:eastAsia="仿宋" w:cs="仿宋"/>
                <w:sz w:val="24"/>
                <w:szCs w:val="24"/>
                <w:lang w:val="en-US" w:eastAsia="zh-CN"/>
              </w:rPr>
              <w:t>【提供承诺函并加盖投标人公章，格式自拟】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hint="eastAsia" w:ascii="仿宋" w:hAnsi="仿宋" w:eastAsia="仿宋" w:cs="仿宋"/>
                <w:b/>
                <w:bCs/>
                <w:snapToGrid w:val="0"/>
                <w:kern w:val="0"/>
                <w:sz w:val="24"/>
                <w:szCs w:val="24"/>
              </w:rPr>
            </w:pPr>
          </w:p>
        </w:tc>
        <w:tc>
          <w:tcPr>
            <w:tcW w:w="1182" w:type="dxa"/>
            <w:vAlign w:val="center"/>
          </w:tcPr>
          <w:p>
            <w:pPr>
              <w:widowControl/>
              <w:spacing w:before="100" w:beforeAutospacing="1" w:after="100" w:afterAutospacing="1" w:line="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hint="eastAsia" w:ascii="仿宋" w:hAnsi="仿宋" w:eastAsia="仿宋" w:cs="仿宋"/>
                <w:kern w:val="0"/>
                <w:sz w:val="24"/>
                <w:szCs w:val="24"/>
              </w:rPr>
            </w:pPr>
            <w:r>
              <w:rPr>
                <w:rFonts w:hint="eastAsia" w:ascii="仿宋" w:hAnsi="仿宋" w:eastAsia="仿宋" w:cs="仿宋"/>
                <w:kern w:val="0"/>
                <w:sz w:val="24"/>
                <w:szCs w:val="24"/>
              </w:rPr>
              <w:t>5</w:t>
            </w:r>
          </w:p>
        </w:tc>
        <w:tc>
          <w:tcPr>
            <w:tcW w:w="6335" w:type="dxa"/>
            <w:tcBorders>
              <w:left w:val="single" w:color="auto" w:sz="4" w:space="0"/>
              <w:right w:val="double" w:color="auto" w:sz="4" w:space="0"/>
            </w:tcBorders>
            <w:vAlign w:val="center"/>
          </w:tcPr>
          <w:p>
            <w:pPr>
              <w:widowControl/>
              <w:spacing w:line="288" w:lineRule="auto"/>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投标人参与政府采购活动在诚信管理中受过主管部门通报处理且仍在实施期限内的本项不得分，否则得满分。</w:t>
            </w:r>
          </w:p>
          <w:p>
            <w:pPr>
              <w:adjustRightInd w:val="0"/>
              <w:spacing w:line="300" w:lineRule="auto"/>
              <w:rPr>
                <w:rFonts w:hint="eastAsia" w:ascii="仿宋" w:hAnsi="仿宋" w:eastAsia="仿宋" w:cs="仿宋"/>
                <w:sz w:val="24"/>
                <w:szCs w:val="24"/>
              </w:rPr>
            </w:pPr>
            <w:r>
              <w:rPr>
                <w:rFonts w:hint="eastAsia" w:ascii="仿宋" w:hAnsi="仿宋" w:eastAsia="仿宋" w:cs="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hint="eastAsia" w:ascii="仿宋" w:hAnsi="仿宋" w:eastAsia="仿宋" w:cs="仿宋"/>
                <w:b/>
                <w:snapToGrid w:val="0"/>
                <w:kern w:val="0"/>
                <w:sz w:val="24"/>
                <w:szCs w:val="24"/>
              </w:rPr>
            </w:pPr>
            <w:r>
              <w:rPr>
                <w:rFonts w:hint="eastAsia" w:ascii="仿宋" w:hAnsi="仿宋" w:eastAsia="仿宋" w:cs="仿宋"/>
                <w:b/>
                <w:snapToGrid w:val="0"/>
                <w:kern w:val="0"/>
                <w:sz w:val="24"/>
                <w:szCs w:val="24"/>
              </w:rPr>
              <w:t>总得分（N）</w:t>
            </w:r>
          </w:p>
          <w:p>
            <w:pPr>
              <w:adjustRightInd w:val="0"/>
              <w:snapToGrid w:val="0"/>
              <w:spacing w:line="360" w:lineRule="auto"/>
              <w:jc w:val="center"/>
              <w:rPr>
                <w:rFonts w:hint="eastAsia" w:ascii="仿宋" w:hAnsi="仿宋" w:eastAsia="仿宋" w:cs="仿宋"/>
                <w:b/>
                <w:snapToGrid w:val="0"/>
                <w:kern w:val="0"/>
                <w:sz w:val="24"/>
                <w:szCs w:val="24"/>
              </w:rPr>
            </w:pPr>
            <w:r>
              <w:rPr>
                <w:rFonts w:hint="eastAsia" w:ascii="仿宋" w:hAnsi="仿宋" w:eastAsia="仿宋" w:cs="仿宋"/>
                <w:b/>
                <w:snapToGrid w:val="0"/>
                <w:kern w:val="0"/>
                <w:sz w:val="24"/>
                <w:szCs w:val="24"/>
              </w:rPr>
              <w:t>（总分100分）</w:t>
            </w:r>
          </w:p>
        </w:tc>
        <w:tc>
          <w:tcPr>
            <w:tcW w:w="1182" w:type="dxa"/>
            <w:tcBorders>
              <w:bottom w:val="double" w:color="auto" w:sz="4" w:space="0"/>
            </w:tcBorders>
            <w:vAlign w:val="center"/>
          </w:tcPr>
          <w:p>
            <w:pPr>
              <w:adjustRightInd w:val="0"/>
              <w:snapToGrid w:val="0"/>
              <w:spacing w:line="360" w:lineRule="auto"/>
              <w:jc w:val="center"/>
              <w:rPr>
                <w:rFonts w:hint="eastAsia" w:ascii="仿宋" w:hAnsi="仿宋" w:eastAsia="仿宋" w:cs="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N=J+G+S</w:t>
            </w: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仿宋" w:hAnsi="仿宋" w:eastAsia="仿宋"/>
          <w:b/>
          <w:color w:val="FF0000"/>
          <w:sz w:val="28"/>
          <w:szCs w:val="28"/>
        </w:rPr>
        <w:br w:type="page"/>
      </w:r>
    </w:p>
    <w:p>
      <w:pPr>
        <w:widowControl/>
        <w:jc w:val="left"/>
        <w:rPr>
          <w:rFonts w:ascii="仿宋" w:hAnsi="仿宋" w:eastAsia="仿宋"/>
          <w:b/>
          <w:color w:val="FF0000"/>
          <w:sz w:val="28"/>
          <w:szCs w:val="28"/>
        </w:rPr>
      </w:pP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w:t>
      </w:r>
      <w:r>
        <w:rPr>
          <w:rFonts w:hint="eastAsia" w:ascii="仿宋" w:hAnsi="仿宋" w:eastAsia="仿宋"/>
          <w:b/>
          <w:sz w:val="22"/>
          <w:u w:val="single"/>
          <w:lang w:val="en-US" w:eastAsia="zh-CN"/>
        </w:rPr>
        <w:t>10</w:t>
      </w:r>
      <w:r>
        <w:rPr>
          <w:rFonts w:hint="eastAsia" w:ascii="仿宋" w:hAnsi="仿宋" w:eastAsia="仿宋"/>
          <w:b/>
          <w:sz w:val="22"/>
          <w:u w:val="single"/>
        </w:rPr>
        <w:t xml:space="preserve">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jc w:val="center"/>
        <w:rPr>
          <w:rFonts w:asciiTheme="minorEastAsia" w:hAnsiTheme="minorEastAsia" w:eastAsiaTheme="minorEastAsia"/>
          <w:b/>
          <w:sz w:val="3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rPr>
          <w:rFonts w:asciiTheme="minorEastAsia" w:hAnsiTheme="minorEastAsia" w:eastAsiaTheme="minorEastAsia"/>
          <w:b/>
          <w:sz w:val="32"/>
        </w:rPr>
      </w:pPr>
      <w:r>
        <w:rPr>
          <w:rFonts w:asciiTheme="minorEastAsia" w:hAnsiTheme="minorEastAsia" w:eastAsiaTheme="minorEastAsia"/>
          <w:b/>
          <w:sz w:val="32"/>
        </w:rP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widowControl/>
        <w:jc w:val="left"/>
      </w:pPr>
      <w:r>
        <w:rPr>
          <w:rFonts w:hint="eastAsia" w:ascii="仿宋" w:hAnsi="仿宋" w:eastAsia="仿宋"/>
          <w:b/>
          <w:bCs/>
          <w:sz w:val="28"/>
          <w:szCs w:val="21"/>
        </w:rPr>
        <w:t>一、采购预算</w:t>
      </w:r>
    </w:p>
    <w:tbl>
      <w:tblPr>
        <w:tblStyle w:val="17"/>
        <w:tblW w:w="903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4630"/>
        <w:gridCol w:w="1134"/>
        <w:gridCol w:w="228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77"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序号</w:t>
            </w:r>
          </w:p>
        </w:tc>
        <w:tc>
          <w:tcPr>
            <w:tcW w:w="4630"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项目名称</w:t>
            </w:r>
          </w:p>
        </w:tc>
        <w:tc>
          <w:tcPr>
            <w:tcW w:w="1134"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数量</w:t>
            </w:r>
          </w:p>
        </w:tc>
        <w:tc>
          <w:tcPr>
            <w:tcW w:w="2289" w:type="dxa"/>
            <w:shd w:val="clear" w:color="auto" w:fill="C6D9F1"/>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采购控制金额</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77"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4630"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北京大学深圳医院华为门诊部DR、全景机、CT项目放射防护等评价服务采购项目</w:t>
            </w:r>
          </w:p>
        </w:tc>
        <w:tc>
          <w:tcPr>
            <w:tcW w:w="1134" w:type="dxa"/>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1项</w:t>
            </w:r>
          </w:p>
        </w:tc>
        <w:tc>
          <w:tcPr>
            <w:tcW w:w="2289"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val="en-US" w:eastAsia="zh-CN"/>
              </w:rPr>
              <w:t>8</w:t>
            </w:r>
            <w:r>
              <w:rPr>
                <w:rFonts w:hint="eastAsia" w:ascii="仿宋" w:hAnsi="仿宋" w:eastAsia="仿宋"/>
                <w:sz w:val="24"/>
                <w:szCs w:val="24"/>
              </w:rPr>
              <w:t>万元</w:t>
            </w:r>
          </w:p>
        </w:tc>
      </w:tr>
    </w:tbl>
    <w:p>
      <w:pPr>
        <w:widowControl/>
        <w:jc w:val="left"/>
        <w:rPr>
          <w:rFonts w:ascii="仿宋" w:hAnsi="仿宋" w:eastAsia="仿宋"/>
          <w:b/>
          <w:bCs/>
          <w:color w:val="FF0000"/>
          <w:sz w:val="24"/>
          <w:szCs w:val="21"/>
        </w:rPr>
      </w:pPr>
      <w:r>
        <w:rPr>
          <w:rFonts w:hint="eastAsia" w:ascii="仿宋" w:hAnsi="仿宋" w:eastAsia="仿宋"/>
          <w:b/>
          <w:bCs/>
          <w:color w:val="FF0000"/>
          <w:sz w:val="24"/>
          <w:szCs w:val="21"/>
        </w:rPr>
        <w:t>注：</w:t>
      </w:r>
      <w:r>
        <w:rPr>
          <w:rFonts w:hint="eastAsia" w:ascii="仿宋" w:hAnsi="仿宋" w:eastAsia="仿宋"/>
          <w:b/>
          <w:bCs/>
          <w:sz w:val="24"/>
          <w:szCs w:val="21"/>
          <w:highlight w:val="yellow"/>
        </w:rPr>
        <w:t>★</w:t>
      </w:r>
      <w:r>
        <w:rPr>
          <w:rFonts w:hint="eastAsia" w:ascii="仿宋" w:hAnsi="仿宋" w:eastAsia="仿宋"/>
          <w:bCs/>
          <w:sz w:val="24"/>
          <w:szCs w:val="21"/>
          <w:highlight w:val="yellow"/>
        </w:rPr>
        <w:t>投标人的投标报价超过采购控制金额的将导致废标。</w:t>
      </w:r>
    </w:p>
    <w:p>
      <w:pPr>
        <w:widowControl/>
        <w:jc w:val="left"/>
        <w:rPr>
          <w:rFonts w:ascii="仿宋" w:hAnsi="仿宋" w:eastAsia="仿宋"/>
          <w:b/>
          <w:bCs/>
          <w:sz w:val="28"/>
          <w:szCs w:val="21"/>
        </w:rPr>
      </w:pPr>
    </w:p>
    <w:p>
      <w:pPr>
        <w:widowControl/>
        <w:jc w:val="left"/>
        <w:rPr>
          <w:rFonts w:hint="default" w:ascii="仿宋" w:hAnsi="仿宋" w:eastAsia="仿宋"/>
          <w:b/>
          <w:bCs/>
          <w:sz w:val="28"/>
          <w:szCs w:val="21"/>
          <w:lang w:val="en-US" w:eastAsia="zh-CN"/>
        </w:rPr>
      </w:pPr>
      <w:r>
        <w:rPr>
          <w:rFonts w:hint="eastAsia" w:ascii="仿宋" w:hAnsi="仿宋" w:eastAsia="仿宋"/>
          <w:b/>
          <w:bCs/>
          <w:sz w:val="28"/>
          <w:szCs w:val="21"/>
        </w:rPr>
        <w:t>二、</w:t>
      </w:r>
      <w:r>
        <w:rPr>
          <w:rFonts w:hint="eastAsia" w:ascii="仿宋" w:hAnsi="仿宋" w:eastAsia="仿宋"/>
          <w:b/>
          <w:bCs/>
          <w:sz w:val="28"/>
          <w:szCs w:val="21"/>
          <w:lang w:val="en-US" w:eastAsia="zh-CN"/>
        </w:rPr>
        <w:t>项目概况</w:t>
      </w:r>
    </w:p>
    <w:p>
      <w:pPr>
        <w:widowControl/>
        <w:spacing w:line="360" w:lineRule="auto"/>
        <w:ind w:firstLine="480" w:firstLineChars="200"/>
        <w:jc w:val="left"/>
        <w:rPr>
          <w:rFonts w:hint="eastAsia" w:ascii="仿宋" w:hAnsi="仿宋" w:eastAsia="仿宋"/>
          <w:b w:val="0"/>
          <w:bCs w:val="0"/>
          <w:sz w:val="24"/>
          <w:szCs w:val="20"/>
          <w:lang w:eastAsia="zh-CN"/>
        </w:rPr>
      </w:pPr>
      <w:r>
        <w:rPr>
          <w:rFonts w:hint="eastAsia" w:ascii="仿宋" w:hAnsi="仿宋" w:eastAsia="仿宋"/>
          <w:b w:val="0"/>
          <w:bCs w:val="0"/>
          <w:sz w:val="24"/>
          <w:szCs w:val="20"/>
        </w:rPr>
        <w:t>根据《中华人民共和国放射性污染防治法》、《中华人民共和国职业病防治法》、《放射性同位素与射线装置安全和防护条例》、《放射诊疗管理规定》等法规，涉及放射性操作的医技项目（含新开展、改建或增扩的项目），要请放射诊疗建设项目职业病危害评价资质的机构进行职业危害评价、检测工作，且须进行建设项目环境影响登记备案工作，并按程序分别申请办理《放射诊疗许可证》和《辐射安全许可证》，经环境和卫生主管部门验收合格后方可开展放射诊疗工作</w:t>
      </w:r>
      <w:r>
        <w:rPr>
          <w:rFonts w:hint="eastAsia" w:ascii="仿宋" w:hAnsi="仿宋" w:eastAsia="仿宋"/>
          <w:b w:val="0"/>
          <w:bCs w:val="0"/>
          <w:sz w:val="24"/>
          <w:szCs w:val="20"/>
          <w:lang w:eastAsia="zh-CN"/>
        </w:rPr>
        <w:t>。</w:t>
      </w:r>
    </w:p>
    <w:p>
      <w:pPr>
        <w:widowControl/>
        <w:jc w:val="left"/>
        <w:rPr>
          <w:rFonts w:hint="eastAsia" w:ascii="仿宋" w:hAnsi="仿宋" w:eastAsia="仿宋"/>
          <w:b/>
          <w:bCs/>
          <w:sz w:val="28"/>
          <w:szCs w:val="21"/>
          <w:lang w:val="en-US" w:eastAsia="zh-CN"/>
        </w:rPr>
      </w:pPr>
    </w:p>
    <w:p>
      <w:pPr>
        <w:widowControl/>
        <w:jc w:val="left"/>
        <w:rPr>
          <w:rFonts w:hint="default" w:ascii="仿宋" w:hAnsi="仿宋" w:eastAsia="仿宋"/>
          <w:b/>
          <w:bCs w:val="0"/>
          <w:sz w:val="28"/>
          <w:szCs w:val="21"/>
          <w:highlight w:val="yellow"/>
          <w:lang w:val="en-US" w:eastAsia="zh-CN"/>
        </w:rPr>
      </w:pPr>
      <w:r>
        <w:rPr>
          <w:rFonts w:hint="eastAsia" w:ascii="仿宋" w:hAnsi="仿宋" w:eastAsia="仿宋"/>
          <w:b/>
          <w:bCs w:val="0"/>
          <w:sz w:val="24"/>
          <w:szCs w:val="22"/>
          <w:highlight w:val="yellow"/>
          <w:lang w:eastAsia="zh-CN"/>
        </w:rPr>
        <w:t>★</w:t>
      </w:r>
      <w:r>
        <w:rPr>
          <w:rFonts w:hint="eastAsia" w:ascii="仿宋" w:hAnsi="仿宋" w:eastAsia="仿宋"/>
          <w:b/>
          <w:bCs w:val="0"/>
          <w:sz w:val="28"/>
          <w:szCs w:val="21"/>
          <w:highlight w:val="yellow"/>
          <w:lang w:val="en-US" w:eastAsia="zh-CN"/>
        </w:rPr>
        <w:t>三、服务清单</w:t>
      </w:r>
    </w:p>
    <w:tbl>
      <w:tblPr>
        <w:tblStyle w:val="18"/>
        <w:tblW w:w="917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2236"/>
        <w:gridCol w:w="3036"/>
        <w:gridCol w:w="278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tcBorders>
              <w:tl2br w:val="nil"/>
              <w:tr2bl w:val="nil"/>
            </w:tcBorders>
            <w:shd w:val="clear" w:color="auto" w:fill="C7DAF1" w:themeFill="text2" w:themeFillTint="32"/>
            <w:vAlign w:val="center"/>
          </w:tcPr>
          <w:p>
            <w:pPr>
              <w:widowControl/>
              <w:spacing w:line="360" w:lineRule="auto"/>
              <w:jc w:val="center"/>
              <w:rPr>
                <w:rFonts w:hint="default" w:ascii="仿宋" w:hAnsi="仿宋" w:eastAsia="仿宋" w:cs="仿宋"/>
                <w:b/>
                <w:bCs/>
                <w:sz w:val="24"/>
                <w:szCs w:val="20"/>
                <w:vertAlign w:val="baseline"/>
                <w:lang w:val="en-US" w:eastAsia="zh-CN"/>
              </w:rPr>
            </w:pPr>
            <w:r>
              <w:rPr>
                <w:rFonts w:hint="eastAsia" w:ascii="仿宋" w:hAnsi="仿宋" w:eastAsia="仿宋" w:cs="仿宋"/>
                <w:b/>
                <w:bCs/>
                <w:sz w:val="24"/>
                <w:szCs w:val="20"/>
                <w:vertAlign w:val="baseline"/>
                <w:lang w:val="en-US" w:eastAsia="zh-CN"/>
              </w:rPr>
              <w:t>序号</w:t>
            </w:r>
          </w:p>
        </w:tc>
        <w:tc>
          <w:tcPr>
            <w:tcW w:w="2236" w:type="dxa"/>
            <w:tcBorders>
              <w:tl2br w:val="nil"/>
              <w:tr2bl w:val="nil"/>
            </w:tcBorders>
            <w:shd w:val="clear" w:color="auto" w:fill="C7DAF1" w:themeFill="text2" w:themeFillTint="32"/>
            <w:vAlign w:val="top"/>
          </w:tcPr>
          <w:p>
            <w:pPr>
              <w:widowControl/>
              <w:spacing w:line="360" w:lineRule="auto"/>
              <w:jc w:val="center"/>
              <w:rPr>
                <w:rFonts w:hint="eastAsia" w:ascii="仿宋" w:hAnsi="仿宋" w:eastAsia="仿宋" w:cs="仿宋"/>
                <w:b/>
                <w:bCs/>
                <w:sz w:val="24"/>
                <w:szCs w:val="20"/>
                <w:vertAlign w:val="baseline"/>
                <w:lang w:val="en-US" w:eastAsia="zh-CN"/>
              </w:rPr>
            </w:pPr>
            <w:r>
              <w:rPr>
                <w:rFonts w:hint="eastAsia" w:ascii="仿宋" w:hAnsi="仿宋" w:eastAsia="仿宋" w:cs="仿宋"/>
                <w:b/>
                <w:bCs/>
                <w:sz w:val="24"/>
                <w:szCs w:val="20"/>
                <w:vertAlign w:val="baseline"/>
                <w:lang w:val="en-US" w:eastAsia="zh-CN"/>
              </w:rPr>
              <w:t>设备</w:t>
            </w:r>
          </w:p>
        </w:tc>
        <w:tc>
          <w:tcPr>
            <w:tcW w:w="3036" w:type="dxa"/>
            <w:tcBorders>
              <w:tl2br w:val="nil"/>
              <w:tr2bl w:val="nil"/>
            </w:tcBorders>
            <w:shd w:val="clear" w:color="auto" w:fill="C7DAF1" w:themeFill="text2" w:themeFillTint="32"/>
            <w:vAlign w:val="top"/>
          </w:tcPr>
          <w:p>
            <w:pPr>
              <w:widowControl/>
              <w:spacing w:line="360" w:lineRule="auto"/>
              <w:jc w:val="center"/>
              <w:rPr>
                <w:rFonts w:hint="eastAsia" w:ascii="仿宋" w:hAnsi="仿宋" w:eastAsia="仿宋" w:cs="仿宋"/>
                <w:b/>
                <w:bCs/>
                <w:sz w:val="24"/>
                <w:szCs w:val="20"/>
                <w:vertAlign w:val="baseline"/>
                <w:lang w:val="en-US" w:eastAsia="zh-CN"/>
              </w:rPr>
            </w:pPr>
            <w:r>
              <w:rPr>
                <w:rFonts w:hint="eastAsia" w:ascii="仿宋" w:hAnsi="仿宋" w:eastAsia="仿宋" w:cs="仿宋"/>
                <w:b/>
                <w:bCs/>
                <w:sz w:val="24"/>
                <w:szCs w:val="20"/>
                <w:vertAlign w:val="baseline"/>
                <w:lang w:val="en-US" w:eastAsia="zh-CN"/>
              </w:rPr>
              <w:t>工作内容</w:t>
            </w:r>
          </w:p>
        </w:tc>
        <w:tc>
          <w:tcPr>
            <w:tcW w:w="2787" w:type="dxa"/>
            <w:tcBorders>
              <w:tl2br w:val="nil"/>
              <w:tr2bl w:val="nil"/>
            </w:tcBorders>
            <w:shd w:val="clear" w:color="auto" w:fill="C7DAF1" w:themeFill="text2" w:themeFillTint="32"/>
            <w:vAlign w:val="top"/>
          </w:tcPr>
          <w:p>
            <w:pPr>
              <w:widowControl/>
              <w:spacing w:line="360" w:lineRule="auto"/>
              <w:jc w:val="center"/>
              <w:rPr>
                <w:rFonts w:hint="eastAsia" w:ascii="仿宋" w:hAnsi="仿宋" w:eastAsia="仿宋" w:cs="仿宋"/>
                <w:b/>
                <w:bCs/>
                <w:sz w:val="24"/>
                <w:szCs w:val="20"/>
                <w:vertAlign w:val="baseline"/>
                <w:lang w:val="en-US" w:eastAsia="zh-CN"/>
              </w:rPr>
            </w:pPr>
            <w:r>
              <w:rPr>
                <w:rFonts w:hint="eastAsia" w:ascii="仿宋" w:hAnsi="仿宋" w:eastAsia="仿宋" w:cs="仿宋"/>
                <w:b/>
                <w:bCs/>
                <w:sz w:val="24"/>
                <w:szCs w:val="20"/>
                <w:vertAlign w:val="baseline"/>
                <w:lang w:val="en-US" w:eastAsia="zh-CN"/>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tcBorders>
              <w:tl2br w:val="nil"/>
              <w:tr2bl w:val="nil"/>
            </w:tcBorders>
            <w:vAlign w:val="center"/>
          </w:tcPr>
          <w:p>
            <w:pPr>
              <w:widowControl/>
              <w:spacing w:line="360" w:lineRule="auto"/>
              <w:jc w:val="center"/>
              <w:rPr>
                <w:rFonts w:hint="default"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1</w:t>
            </w:r>
          </w:p>
        </w:tc>
        <w:tc>
          <w:tcPr>
            <w:tcW w:w="2236"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华为门诊部DR</w:t>
            </w:r>
          </w:p>
        </w:tc>
        <w:tc>
          <w:tcPr>
            <w:tcW w:w="3036"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环境影响备案登记、控评（含验收检测）</w:t>
            </w:r>
          </w:p>
        </w:tc>
        <w:tc>
          <w:tcPr>
            <w:tcW w:w="2787"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Ⅲ类射线装置</w:t>
            </w:r>
          </w:p>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（设备以旧更新）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tcBorders>
              <w:tl2br w:val="nil"/>
              <w:tr2bl w:val="nil"/>
            </w:tcBorders>
            <w:vAlign w:val="center"/>
          </w:tcPr>
          <w:p>
            <w:pPr>
              <w:widowControl/>
              <w:spacing w:line="360" w:lineRule="auto"/>
              <w:jc w:val="center"/>
              <w:rPr>
                <w:rFonts w:hint="default"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2</w:t>
            </w:r>
          </w:p>
        </w:tc>
        <w:tc>
          <w:tcPr>
            <w:tcW w:w="2236"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华为门诊部CT</w:t>
            </w:r>
          </w:p>
        </w:tc>
        <w:tc>
          <w:tcPr>
            <w:tcW w:w="3036"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环境影响报告表、预评、控评（含验收检测）</w:t>
            </w:r>
          </w:p>
        </w:tc>
        <w:tc>
          <w:tcPr>
            <w:tcW w:w="2787"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Ⅲ类射线装置</w:t>
            </w:r>
          </w:p>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（新增）</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tcBorders>
              <w:tl2br w:val="nil"/>
              <w:tr2bl w:val="nil"/>
            </w:tcBorders>
            <w:vAlign w:val="center"/>
          </w:tcPr>
          <w:p>
            <w:pPr>
              <w:widowControl/>
              <w:spacing w:line="360" w:lineRule="auto"/>
              <w:jc w:val="center"/>
              <w:rPr>
                <w:rFonts w:hint="default"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3</w:t>
            </w:r>
          </w:p>
        </w:tc>
        <w:tc>
          <w:tcPr>
            <w:tcW w:w="2236"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华为门诊部全景机</w:t>
            </w:r>
          </w:p>
        </w:tc>
        <w:tc>
          <w:tcPr>
            <w:tcW w:w="3036"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环境影响报告表、预评、控评（含验收检测）</w:t>
            </w:r>
          </w:p>
        </w:tc>
        <w:tc>
          <w:tcPr>
            <w:tcW w:w="2787"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Ⅲ类射线装置</w:t>
            </w:r>
          </w:p>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（新增）</w:t>
            </w:r>
          </w:p>
        </w:tc>
      </w:tr>
    </w:tbl>
    <w:p>
      <w:pPr>
        <w:widowControl/>
        <w:spacing w:line="360" w:lineRule="auto"/>
        <w:jc w:val="left"/>
        <w:rPr>
          <w:rFonts w:hint="default" w:ascii="仿宋" w:hAnsi="仿宋" w:eastAsia="仿宋"/>
          <w:b w:val="0"/>
          <w:bCs w:val="0"/>
          <w:sz w:val="24"/>
          <w:szCs w:val="20"/>
          <w:lang w:val="en-US" w:eastAsia="zh-CN"/>
        </w:rPr>
      </w:pPr>
    </w:p>
    <w:p>
      <w:pPr>
        <w:widowControl/>
        <w:jc w:val="left"/>
        <w:rPr>
          <w:rFonts w:ascii="仿宋" w:hAnsi="仿宋" w:eastAsia="仿宋"/>
          <w:b/>
          <w:bCs/>
          <w:sz w:val="28"/>
          <w:szCs w:val="21"/>
        </w:rPr>
      </w:pPr>
      <w:r>
        <w:rPr>
          <w:rFonts w:hint="eastAsia" w:ascii="仿宋" w:hAnsi="仿宋" w:eastAsia="仿宋"/>
          <w:b/>
          <w:bCs/>
          <w:sz w:val="28"/>
          <w:szCs w:val="21"/>
          <w:lang w:val="en-US" w:eastAsia="zh-CN"/>
        </w:rPr>
        <w:t>四、项目</w:t>
      </w:r>
      <w:r>
        <w:rPr>
          <w:rFonts w:hint="eastAsia" w:ascii="仿宋" w:hAnsi="仿宋" w:eastAsia="仿宋"/>
          <w:b/>
          <w:bCs/>
          <w:sz w:val="28"/>
          <w:szCs w:val="21"/>
        </w:rPr>
        <w:t>需求</w:t>
      </w:r>
    </w:p>
    <w:p>
      <w:pPr>
        <w:widowControl/>
        <w:spacing w:line="360" w:lineRule="auto"/>
        <w:ind w:firstLine="482" w:firstLineChars="200"/>
        <w:jc w:val="left"/>
        <w:rPr>
          <w:rFonts w:hint="eastAsia" w:ascii="仿宋" w:hAnsi="仿宋" w:eastAsia="仿宋"/>
          <w:b/>
          <w:bCs/>
          <w:sz w:val="24"/>
          <w:szCs w:val="22"/>
          <w:lang w:eastAsia="zh-CN"/>
        </w:rPr>
      </w:pPr>
      <w:r>
        <w:rPr>
          <w:rFonts w:hint="eastAsia" w:ascii="仿宋" w:hAnsi="仿宋" w:eastAsia="仿宋"/>
          <w:b/>
          <w:bCs/>
          <w:sz w:val="24"/>
          <w:szCs w:val="22"/>
        </w:rPr>
        <w:t>（一）服务</w:t>
      </w:r>
      <w:r>
        <w:rPr>
          <w:rFonts w:hint="eastAsia" w:ascii="仿宋" w:hAnsi="仿宋" w:eastAsia="仿宋"/>
          <w:b/>
          <w:bCs/>
          <w:sz w:val="24"/>
          <w:szCs w:val="22"/>
          <w:lang w:val="en-US" w:eastAsia="zh-CN"/>
        </w:rPr>
        <w:t>要求</w:t>
      </w:r>
    </w:p>
    <w:p>
      <w:pPr>
        <w:widowControl/>
        <w:spacing w:line="360" w:lineRule="auto"/>
        <w:ind w:firstLine="960" w:firstLineChars="4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1、中标人以中标时约定的价格和工作方案完成本服务期的项目工作。</w:t>
      </w:r>
    </w:p>
    <w:p>
      <w:pPr>
        <w:widowControl/>
        <w:spacing w:line="360" w:lineRule="auto"/>
        <w:ind w:firstLine="960" w:firstLineChars="4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2、检测完成后15个工作日内出具检测报告。</w:t>
      </w:r>
    </w:p>
    <w:p>
      <w:pPr>
        <w:widowControl/>
        <w:spacing w:line="360" w:lineRule="auto"/>
        <w:ind w:firstLine="960" w:firstLineChars="4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3、出现复检情况，进行复检，并协助拟定整改方案。</w:t>
      </w:r>
    </w:p>
    <w:p>
      <w:pPr>
        <w:widowControl/>
        <w:spacing w:line="360" w:lineRule="auto"/>
        <w:ind w:firstLine="960" w:firstLineChars="4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4、所有服务方式均为中标人上门服务。</w:t>
      </w:r>
    </w:p>
    <w:p>
      <w:pPr>
        <w:widowControl/>
        <w:spacing w:line="360" w:lineRule="auto"/>
        <w:ind w:firstLine="960" w:firstLineChars="4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5、具有良好的履约和技术服务能力，熟悉相关流程。</w:t>
      </w:r>
    </w:p>
    <w:p>
      <w:pPr>
        <w:widowControl/>
        <w:spacing w:line="360" w:lineRule="auto"/>
        <w:ind w:firstLine="960" w:firstLineChars="4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6、配有较强的技术队伍，项目配备人员具备良好的综合素质。</w:t>
      </w:r>
    </w:p>
    <w:p>
      <w:pPr>
        <w:widowControl/>
        <w:spacing w:line="360" w:lineRule="auto"/>
        <w:ind w:firstLine="960" w:firstLineChars="4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7、投标人需提供不同类型项目的工作方案和工期。</w:t>
      </w:r>
    </w:p>
    <w:p>
      <w:pPr>
        <w:widowControl/>
        <w:spacing w:line="360" w:lineRule="auto"/>
        <w:ind w:left="479" w:leftChars="228"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8、提供仪器设备一览表（格式自拟）及其检定证书。【</w:t>
      </w:r>
      <w:r>
        <w:rPr>
          <w:rFonts w:hint="eastAsia" w:ascii="仿宋" w:hAnsi="仿宋" w:eastAsia="仿宋"/>
          <w:b/>
          <w:bCs w:val="0"/>
          <w:color w:val="FF0000"/>
          <w:sz w:val="24"/>
          <w:szCs w:val="22"/>
          <w:lang w:val="en-US" w:eastAsia="zh-CN"/>
        </w:rPr>
        <w:t>提供相关证明材料的扫描件并加盖投标人公章</w:t>
      </w:r>
      <w:r>
        <w:rPr>
          <w:rFonts w:hint="eastAsia" w:ascii="仿宋" w:hAnsi="仿宋" w:eastAsia="仿宋"/>
          <w:bCs/>
          <w:sz w:val="24"/>
          <w:szCs w:val="22"/>
          <w:lang w:val="en-US" w:eastAsia="zh-CN"/>
        </w:rPr>
        <w:t>】</w:t>
      </w:r>
    </w:p>
    <w:p>
      <w:pPr>
        <w:widowControl/>
        <w:spacing w:line="360" w:lineRule="auto"/>
        <w:ind w:left="479" w:leftChars="228" w:firstLine="480" w:firstLineChars="2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9、投标人专业技术人员状况稳定，提供《专业技术人员一览表》、职称证明、放射卫生技术服务机构专业技术人员培训合格证和与投标人签订的劳动合同。【</w:t>
      </w:r>
      <w:r>
        <w:rPr>
          <w:rFonts w:hint="eastAsia" w:ascii="仿宋" w:hAnsi="仿宋" w:eastAsia="仿宋"/>
          <w:b/>
          <w:bCs w:val="0"/>
          <w:color w:val="FF0000"/>
          <w:sz w:val="24"/>
          <w:szCs w:val="22"/>
          <w:lang w:val="en-US" w:eastAsia="zh-CN"/>
        </w:rPr>
        <w:t>提供相关证明材料的扫描件并加盖投标人公章</w:t>
      </w:r>
      <w:r>
        <w:rPr>
          <w:rFonts w:hint="eastAsia" w:ascii="仿宋" w:hAnsi="仿宋" w:eastAsia="仿宋"/>
          <w:bCs/>
          <w:sz w:val="24"/>
          <w:szCs w:val="22"/>
          <w:lang w:val="en-US" w:eastAsia="zh-CN"/>
        </w:rPr>
        <w:t>】</w:t>
      </w:r>
    </w:p>
    <w:p>
      <w:pPr>
        <w:widowControl/>
        <w:spacing w:line="360" w:lineRule="auto"/>
        <w:ind w:firstLine="960" w:firstLineChars="400"/>
        <w:jc w:val="left"/>
        <w:rPr>
          <w:rFonts w:hint="eastAsia" w:ascii="仿宋" w:hAnsi="仿宋" w:eastAsia="仿宋"/>
          <w:bCs/>
          <w:sz w:val="24"/>
          <w:szCs w:val="22"/>
          <w:lang w:val="en-US" w:eastAsia="zh-CN"/>
        </w:rPr>
      </w:pPr>
      <w:r>
        <w:rPr>
          <w:rFonts w:hint="eastAsia" w:ascii="仿宋" w:hAnsi="仿宋" w:eastAsia="仿宋"/>
          <w:bCs/>
          <w:sz w:val="24"/>
          <w:szCs w:val="22"/>
          <w:lang w:val="en-US" w:eastAsia="zh-CN"/>
        </w:rPr>
        <w:t>10、拟投入本项目工作人员不得少于6人。</w:t>
      </w:r>
    </w:p>
    <w:p>
      <w:pPr>
        <w:widowControl/>
        <w:spacing w:line="360" w:lineRule="auto"/>
        <w:ind w:firstLine="960" w:firstLineChars="400"/>
        <w:jc w:val="left"/>
        <w:rPr>
          <w:rFonts w:hint="eastAsia" w:ascii="仿宋" w:hAnsi="仿宋" w:eastAsia="仿宋"/>
          <w:bCs/>
          <w:sz w:val="24"/>
          <w:szCs w:val="22"/>
          <w:lang w:val="en-US" w:eastAsia="zh-CN"/>
        </w:rPr>
      </w:pPr>
    </w:p>
    <w:p>
      <w:pPr>
        <w:widowControl/>
        <w:spacing w:line="360" w:lineRule="auto"/>
        <w:ind w:firstLine="482" w:firstLineChars="200"/>
        <w:jc w:val="left"/>
        <w:rPr>
          <w:rFonts w:hint="eastAsia" w:ascii="仿宋" w:hAnsi="仿宋" w:eastAsia="仿宋"/>
          <w:b/>
          <w:bCs/>
          <w:sz w:val="24"/>
          <w:szCs w:val="22"/>
        </w:rPr>
      </w:pPr>
    </w:p>
    <w:p>
      <w:pPr>
        <w:widowControl/>
        <w:spacing w:line="360" w:lineRule="auto"/>
        <w:ind w:firstLine="482" w:firstLineChars="200"/>
        <w:jc w:val="left"/>
        <w:rPr>
          <w:rFonts w:ascii="仿宋" w:hAnsi="仿宋" w:eastAsia="仿宋"/>
          <w:b/>
          <w:bCs/>
          <w:sz w:val="24"/>
          <w:szCs w:val="22"/>
        </w:rPr>
      </w:pPr>
      <w:r>
        <w:rPr>
          <w:rFonts w:hint="eastAsia" w:ascii="仿宋" w:hAnsi="仿宋" w:eastAsia="仿宋"/>
          <w:b/>
          <w:bCs/>
          <w:sz w:val="24"/>
          <w:szCs w:val="22"/>
        </w:rPr>
        <w:t>（二）时间要求及阶段成果</w:t>
      </w:r>
    </w:p>
    <w:tbl>
      <w:tblPr>
        <w:tblStyle w:val="18"/>
        <w:tblW w:w="1006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891"/>
        <w:gridCol w:w="3648"/>
        <w:gridCol w:w="262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l2br w:val="nil"/>
              <w:tr2bl w:val="nil"/>
            </w:tcBorders>
            <w:shd w:val="clear" w:color="auto" w:fill="C7DAF1" w:themeFill="text2" w:themeFillTint="32"/>
            <w:vAlign w:val="center"/>
          </w:tcPr>
          <w:p>
            <w:pPr>
              <w:widowControl/>
              <w:spacing w:line="360" w:lineRule="auto"/>
              <w:jc w:val="center"/>
              <w:rPr>
                <w:rFonts w:hint="default" w:ascii="仿宋" w:hAnsi="仿宋" w:eastAsia="仿宋" w:cs="仿宋"/>
                <w:b/>
                <w:bCs/>
                <w:sz w:val="24"/>
                <w:szCs w:val="20"/>
                <w:vertAlign w:val="baseline"/>
                <w:lang w:val="en-US" w:eastAsia="zh-CN"/>
              </w:rPr>
            </w:pPr>
            <w:r>
              <w:rPr>
                <w:rFonts w:hint="eastAsia" w:ascii="仿宋" w:hAnsi="仿宋" w:eastAsia="仿宋" w:cs="仿宋"/>
                <w:b/>
                <w:bCs/>
                <w:sz w:val="24"/>
                <w:szCs w:val="20"/>
                <w:vertAlign w:val="baseline"/>
                <w:lang w:val="en-US" w:eastAsia="zh-CN"/>
              </w:rPr>
              <w:t>序号</w:t>
            </w:r>
          </w:p>
        </w:tc>
        <w:tc>
          <w:tcPr>
            <w:tcW w:w="2891" w:type="dxa"/>
            <w:tcBorders>
              <w:tl2br w:val="nil"/>
              <w:tr2bl w:val="nil"/>
            </w:tcBorders>
            <w:shd w:val="clear" w:color="auto" w:fill="C7DAF1" w:themeFill="text2" w:themeFillTint="32"/>
            <w:vAlign w:val="top"/>
          </w:tcPr>
          <w:p>
            <w:pPr>
              <w:widowControl/>
              <w:spacing w:line="360" w:lineRule="auto"/>
              <w:jc w:val="center"/>
              <w:rPr>
                <w:rFonts w:hint="eastAsia" w:ascii="仿宋" w:hAnsi="仿宋" w:eastAsia="仿宋" w:cs="仿宋"/>
                <w:b/>
                <w:bCs/>
                <w:sz w:val="24"/>
                <w:szCs w:val="20"/>
                <w:vertAlign w:val="baseline"/>
                <w:lang w:val="en-US" w:eastAsia="zh-CN"/>
              </w:rPr>
            </w:pPr>
            <w:r>
              <w:rPr>
                <w:rFonts w:hint="eastAsia" w:ascii="仿宋" w:hAnsi="仿宋" w:eastAsia="仿宋" w:cs="仿宋"/>
                <w:b/>
                <w:bCs/>
                <w:sz w:val="24"/>
                <w:szCs w:val="20"/>
                <w:vertAlign w:val="baseline"/>
                <w:lang w:val="en-US" w:eastAsia="zh-CN"/>
              </w:rPr>
              <w:t>交付成果</w:t>
            </w:r>
          </w:p>
        </w:tc>
        <w:tc>
          <w:tcPr>
            <w:tcW w:w="3648" w:type="dxa"/>
            <w:tcBorders>
              <w:tl2br w:val="nil"/>
              <w:tr2bl w:val="nil"/>
            </w:tcBorders>
            <w:shd w:val="clear" w:color="auto" w:fill="C7DAF1" w:themeFill="text2" w:themeFillTint="32"/>
            <w:vAlign w:val="top"/>
          </w:tcPr>
          <w:p>
            <w:pPr>
              <w:widowControl/>
              <w:spacing w:line="360" w:lineRule="auto"/>
              <w:jc w:val="center"/>
              <w:rPr>
                <w:rFonts w:hint="eastAsia" w:ascii="仿宋" w:hAnsi="仿宋" w:eastAsia="仿宋" w:cs="仿宋"/>
                <w:b/>
                <w:bCs/>
                <w:sz w:val="24"/>
                <w:szCs w:val="20"/>
                <w:vertAlign w:val="baseline"/>
                <w:lang w:val="en-US" w:eastAsia="zh-CN"/>
              </w:rPr>
            </w:pPr>
            <w:r>
              <w:rPr>
                <w:rFonts w:hint="eastAsia" w:ascii="仿宋" w:hAnsi="仿宋" w:eastAsia="仿宋" w:cs="仿宋"/>
                <w:b/>
                <w:bCs/>
                <w:sz w:val="24"/>
                <w:szCs w:val="20"/>
                <w:vertAlign w:val="baseline"/>
                <w:lang w:val="en-US" w:eastAsia="zh-CN"/>
              </w:rPr>
              <w:t>交付时间</w:t>
            </w:r>
          </w:p>
        </w:tc>
        <w:tc>
          <w:tcPr>
            <w:tcW w:w="2625" w:type="dxa"/>
            <w:tcBorders>
              <w:tl2br w:val="nil"/>
              <w:tr2bl w:val="nil"/>
            </w:tcBorders>
            <w:shd w:val="clear" w:color="auto" w:fill="C7DAF1" w:themeFill="text2" w:themeFillTint="32"/>
            <w:vAlign w:val="top"/>
          </w:tcPr>
          <w:p>
            <w:pPr>
              <w:widowControl/>
              <w:spacing w:line="360" w:lineRule="auto"/>
              <w:jc w:val="center"/>
              <w:rPr>
                <w:rFonts w:hint="eastAsia" w:ascii="仿宋" w:hAnsi="仿宋" w:eastAsia="仿宋" w:cs="仿宋"/>
                <w:b/>
                <w:bCs/>
                <w:sz w:val="24"/>
                <w:szCs w:val="20"/>
                <w:vertAlign w:val="baseline"/>
                <w:lang w:val="en-US" w:eastAsia="zh-CN"/>
              </w:rPr>
            </w:pPr>
            <w:r>
              <w:rPr>
                <w:rFonts w:hint="eastAsia" w:ascii="仿宋" w:hAnsi="仿宋" w:eastAsia="仿宋" w:cs="仿宋"/>
                <w:b/>
                <w:bCs/>
                <w:sz w:val="24"/>
                <w:szCs w:val="20"/>
                <w:vertAlign w:val="baseline"/>
                <w:lang w:val="en-US" w:eastAsia="zh-CN"/>
              </w:rPr>
              <w:t>交付成果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l2br w:val="nil"/>
              <w:tr2bl w:val="nil"/>
            </w:tcBorders>
            <w:vAlign w:val="center"/>
          </w:tcPr>
          <w:p>
            <w:pPr>
              <w:widowControl/>
              <w:spacing w:line="360" w:lineRule="auto"/>
              <w:jc w:val="center"/>
              <w:rPr>
                <w:rFonts w:hint="default"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1</w:t>
            </w:r>
          </w:p>
        </w:tc>
        <w:tc>
          <w:tcPr>
            <w:tcW w:w="2891"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检测报告</w:t>
            </w:r>
          </w:p>
        </w:tc>
        <w:tc>
          <w:tcPr>
            <w:tcW w:w="3648"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检测完成后15个工作日内</w:t>
            </w:r>
          </w:p>
        </w:tc>
        <w:tc>
          <w:tcPr>
            <w:tcW w:w="2625"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检测报告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l2br w:val="nil"/>
              <w:tr2bl w:val="nil"/>
            </w:tcBorders>
            <w:vAlign w:val="center"/>
          </w:tcPr>
          <w:p>
            <w:pPr>
              <w:widowControl/>
              <w:spacing w:line="360" w:lineRule="auto"/>
              <w:jc w:val="center"/>
              <w:rPr>
                <w:rFonts w:hint="default"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2</w:t>
            </w:r>
          </w:p>
        </w:tc>
        <w:tc>
          <w:tcPr>
            <w:tcW w:w="2891"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竣工验收报告（送审稿）</w:t>
            </w:r>
          </w:p>
        </w:tc>
        <w:tc>
          <w:tcPr>
            <w:tcW w:w="3648"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资料齐全后的25个工作日内</w:t>
            </w:r>
          </w:p>
        </w:tc>
        <w:tc>
          <w:tcPr>
            <w:tcW w:w="2625"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竣工验收报告（送审稿）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l2br w:val="nil"/>
              <w:tr2bl w:val="nil"/>
            </w:tcBorders>
            <w:vAlign w:val="center"/>
          </w:tcPr>
          <w:p>
            <w:pPr>
              <w:widowControl/>
              <w:spacing w:line="360" w:lineRule="auto"/>
              <w:jc w:val="center"/>
              <w:rPr>
                <w:rFonts w:hint="default"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3</w:t>
            </w:r>
          </w:p>
        </w:tc>
        <w:tc>
          <w:tcPr>
            <w:tcW w:w="2891"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竣工验收意见</w:t>
            </w:r>
          </w:p>
        </w:tc>
        <w:tc>
          <w:tcPr>
            <w:tcW w:w="3648"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送审稿编制完成后的15天内</w:t>
            </w:r>
          </w:p>
        </w:tc>
        <w:tc>
          <w:tcPr>
            <w:tcW w:w="2625"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竣工验收意见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Borders>
              <w:tl2br w:val="nil"/>
              <w:tr2bl w:val="nil"/>
            </w:tcBorders>
            <w:vAlign w:val="center"/>
          </w:tcPr>
          <w:p>
            <w:pPr>
              <w:widowControl/>
              <w:spacing w:line="360" w:lineRule="auto"/>
              <w:jc w:val="center"/>
              <w:rPr>
                <w:rFonts w:hint="default"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4</w:t>
            </w:r>
          </w:p>
        </w:tc>
        <w:tc>
          <w:tcPr>
            <w:tcW w:w="2891"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项目备案完成</w:t>
            </w:r>
          </w:p>
        </w:tc>
        <w:tc>
          <w:tcPr>
            <w:tcW w:w="3648"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项目公示完成后的3个工作日内</w:t>
            </w:r>
          </w:p>
        </w:tc>
        <w:tc>
          <w:tcPr>
            <w:tcW w:w="2625" w:type="dxa"/>
            <w:tcBorders>
              <w:tl2br w:val="nil"/>
              <w:tr2bl w:val="nil"/>
            </w:tcBorders>
            <w:vAlign w:val="center"/>
          </w:tcPr>
          <w:p>
            <w:pPr>
              <w:widowControl/>
              <w:spacing w:line="360" w:lineRule="auto"/>
              <w:jc w:val="center"/>
              <w:rPr>
                <w:rFonts w:hint="eastAsia" w:ascii="仿宋" w:hAnsi="仿宋" w:eastAsia="仿宋" w:cs="仿宋"/>
                <w:b w:val="0"/>
                <w:bCs w:val="0"/>
                <w:sz w:val="24"/>
                <w:szCs w:val="20"/>
                <w:vertAlign w:val="baseline"/>
                <w:lang w:val="en-US" w:eastAsia="zh-CN"/>
              </w:rPr>
            </w:pPr>
            <w:r>
              <w:rPr>
                <w:rFonts w:hint="eastAsia" w:ascii="仿宋" w:hAnsi="仿宋" w:eastAsia="仿宋" w:cs="仿宋"/>
                <w:b w:val="0"/>
                <w:bCs w:val="0"/>
                <w:sz w:val="24"/>
                <w:szCs w:val="20"/>
                <w:vertAlign w:val="baseline"/>
                <w:lang w:val="en-US" w:eastAsia="zh-CN"/>
              </w:rPr>
              <w:t>项目备案完成</w:t>
            </w:r>
          </w:p>
        </w:tc>
      </w:tr>
    </w:tbl>
    <w:p>
      <w:pPr>
        <w:widowControl/>
        <w:spacing w:line="360" w:lineRule="auto"/>
        <w:jc w:val="left"/>
        <w:rPr>
          <w:rFonts w:ascii="仿宋" w:hAnsi="仿宋" w:eastAsia="仿宋"/>
          <w:bCs/>
          <w:sz w:val="24"/>
          <w:szCs w:val="22"/>
        </w:rPr>
      </w:pPr>
    </w:p>
    <w:p>
      <w:pPr>
        <w:widowControl/>
        <w:spacing w:line="360" w:lineRule="auto"/>
        <w:ind w:firstLine="482" w:firstLineChars="200"/>
        <w:jc w:val="left"/>
        <w:rPr>
          <w:rFonts w:hint="default" w:ascii="仿宋" w:hAnsi="仿宋" w:eastAsia="仿宋"/>
          <w:b/>
          <w:bCs w:val="0"/>
          <w:sz w:val="24"/>
          <w:szCs w:val="22"/>
          <w:lang w:val="en-US" w:eastAsia="zh-CN"/>
        </w:rPr>
      </w:pPr>
      <w:r>
        <w:rPr>
          <w:rFonts w:hint="eastAsia" w:ascii="仿宋" w:hAnsi="仿宋" w:eastAsia="仿宋"/>
          <w:b/>
          <w:bCs w:val="0"/>
          <w:sz w:val="24"/>
          <w:szCs w:val="22"/>
          <w:lang w:eastAsia="zh-CN"/>
        </w:rPr>
        <w:t>（</w:t>
      </w:r>
      <w:r>
        <w:rPr>
          <w:rFonts w:hint="eastAsia" w:ascii="仿宋" w:hAnsi="仿宋" w:eastAsia="仿宋"/>
          <w:b/>
          <w:bCs w:val="0"/>
          <w:sz w:val="24"/>
          <w:szCs w:val="22"/>
          <w:lang w:val="en-US" w:eastAsia="zh-CN"/>
        </w:rPr>
        <w:t>三</w:t>
      </w:r>
      <w:r>
        <w:rPr>
          <w:rFonts w:hint="eastAsia" w:ascii="仿宋" w:hAnsi="仿宋" w:eastAsia="仿宋"/>
          <w:b/>
          <w:bCs w:val="0"/>
          <w:sz w:val="24"/>
          <w:szCs w:val="22"/>
          <w:lang w:eastAsia="zh-CN"/>
        </w:rPr>
        <w:t>）</w:t>
      </w:r>
      <w:r>
        <w:rPr>
          <w:rFonts w:hint="eastAsia" w:ascii="仿宋" w:hAnsi="仿宋" w:eastAsia="仿宋"/>
          <w:b/>
          <w:bCs w:val="0"/>
          <w:sz w:val="24"/>
          <w:szCs w:val="22"/>
          <w:lang w:val="en-US" w:eastAsia="zh-CN"/>
        </w:rPr>
        <w:t>服务期限</w:t>
      </w:r>
    </w:p>
    <w:p>
      <w:pPr>
        <w:widowControl/>
        <w:spacing w:line="360" w:lineRule="auto"/>
        <w:ind w:firstLine="964" w:firstLineChars="400"/>
        <w:jc w:val="left"/>
        <w:rPr>
          <w:rFonts w:hint="eastAsia" w:ascii="仿宋" w:hAnsi="仿宋" w:eastAsia="仿宋"/>
          <w:b/>
          <w:bCs w:val="0"/>
          <w:sz w:val="24"/>
          <w:szCs w:val="22"/>
          <w:highlight w:val="yellow"/>
          <w:lang w:eastAsia="zh-CN"/>
        </w:rPr>
      </w:pPr>
      <w:r>
        <w:rPr>
          <w:rFonts w:hint="eastAsia" w:ascii="仿宋" w:hAnsi="仿宋" w:eastAsia="仿宋"/>
          <w:b/>
          <w:bCs w:val="0"/>
          <w:sz w:val="24"/>
          <w:szCs w:val="22"/>
          <w:highlight w:val="yellow"/>
          <w:lang w:eastAsia="zh-CN"/>
        </w:rPr>
        <w:t>★合同签订日起</w:t>
      </w:r>
      <w:r>
        <w:rPr>
          <w:rFonts w:hint="eastAsia" w:ascii="仿宋" w:hAnsi="仿宋" w:eastAsia="仿宋"/>
          <w:b/>
          <w:bCs w:val="0"/>
          <w:sz w:val="24"/>
          <w:szCs w:val="22"/>
          <w:highlight w:val="yellow"/>
          <w:lang w:val="en-US" w:eastAsia="zh-CN"/>
        </w:rPr>
        <w:t>一年</w:t>
      </w:r>
      <w:r>
        <w:rPr>
          <w:rFonts w:hint="eastAsia" w:ascii="仿宋" w:hAnsi="仿宋" w:eastAsia="仿宋"/>
          <w:b/>
          <w:bCs w:val="0"/>
          <w:sz w:val="24"/>
          <w:szCs w:val="22"/>
          <w:highlight w:val="yellow"/>
          <w:lang w:eastAsia="zh-CN"/>
        </w:rPr>
        <w:t>。</w:t>
      </w:r>
    </w:p>
    <w:p>
      <w:pPr>
        <w:widowControl/>
        <w:spacing w:line="360" w:lineRule="auto"/>
        <w:ind w:firstLine="480" w:firstLineChars="200"/>
        <w:jc w:val="left"/>
        <w:rPr>
          <w:rFonts w:hint="eastAsia" w:ascii="仿宋" w:hAnsi="仿宋" w:eastAsia="仿宋"/>
          <w:bCs/>
          <w:sz w:val="24"/>
          <w:szCs w:val="22"/>
          <w:lang w:eastAsia="zh-CN"/>
        </w:rPr>
      </w:pPr>
    </w:p>
    <w:p>
      <w:pPr>
        <w:widowControl/>
        <w:spacing w:line="360" w:lineRule="auto"/>
        <w:ind w:firstLine="482" w:firstLineChars="200"/>
        <w:jc w:val="left"/>
        <w:rPr>
          <w:rFonts w:hint="eastAsia" w:ascii="仿宋" w:hAnsi="仿宋" w:eastAsia="仿宋"/>
          <w:b/>
          <w:bCs w:val="0"/>
          <w:sz w:val="24"/>
          <w:szCs w:val="22"/>
          <w:lang w:val="en-US" w:eastAsia="zh-CN"/>
        </w:rPr>
      </w:pPr>
      <w:r>
        <w:rPr>
          <w:rFonts w:hint="eastAsia" w:ascii="仿宋" w:hAnsi="仿宋" w:eastAsia="仿宋"/>
          <w:b/>
          <w:bCs w:val="0"/>
          <w:sz w:val="24"/>
          <w:szCs w:val="22"/>
          <w:lang w:eastAsia="zh-CN"/>
        </w:rPr>
        <w:t>（</w:t>
      </w:r>
      <w:r>
        <w:rPr>
          <w:rFonts w:hint="eastAsia" w:ascii="仿宋" w:hAnsi="仿宋" w:eastAsia="仿宋"/>
          <w:b/>
          <w:bCs w:val="0"/>
          <w:sz w:val="24"/>
          <w:szCs w:val="22"/>
          <w:lang w:val="en-US" w:eastAsia="zh-CN"/>
        </w:rPr>
        <w:t>四</w:t>
      </w:r>
      <w:r>
        <w:rPr>
          <w:rFonts w:hint="eastAsia" w:ascii="仿宋" w:hAnsi="仿宋" w:eastAsia="仿宋"/>
          <w:b/>
          <w:bCs w:val="0"/>
          <w:sz w:val="24"/>
          <w:szCs w:val="22"/>
          <w:lang w:eastAsia="zh-CN"/>
        </w:rPr>
        <w:t>）</w:t>
      </w:r>
      <w:r>
        <w:rPr>
          <w:rFonts w:hint="eastAsia" w:ascii="仿宋" w:hAnsi="仿宋" w:eastAsia="仿宋"/>
          <w:b/>
          <w:bCs w:val="0"/>
          <w:sz w:val="24"/>
          <w:szCs w:val="22"/>
          <w:lang w:val="en-US" w:eastAsia="zh-CN"/>
        </w:rPr>
        <w:t>付款方式</w:t>
      </w:r>
    </w:p>
    <w:p>
      <w:pPr>
        <w:widowControl/>
        <w:spacing w:line="360" w:lineRule="auto"/>
        <w:ind w:left="479" w:leftChars="228" w:firstLine="480" w:firstLineChars="200"/>
        <w:jc w:val="left"/>
      </w:pPr>
      <w:r>
        <w:rPr>
          <w:rFonts w:hint="eastAsia" w:ascii="仿宋" w:hAnsi="仿宋" w:eastAsia="仿宋"/>
          <w:bCs/>
          <w:sz w:val="24"/>
          <w:szCs w:val="22"/>
          <w:lang w:val="en-US" w:eastAsia="zh-CN"/>
        </w:rPr>
        <w:t>项目完成公示验收合格并备案后的20个工作日内，采购人支付中标金额的100%。</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rPr>
          <w:snapToGrid w:val="0"/>
          <w:kern w:val="0"/>
        </w:rPr>
      </w:pPr>
      <w:r>
        <w:rPr>
          <w:snapToGrid w:val="0"/>
          <w:kern w:val="0"/>
        </w:rPr>
        <w:br w:type="page"/>
      </w:r>
    </w:p>
    <w:p>
      <w:pPr>
        <w:widowControl/>
        <w:jc w:val="left"/>
      </w:pP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八、服务方案（格式6）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九、差异表（格式7）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（格式8）</w:t>
            </w:r>
          </w:p>
        </w:tc>
      </w:tr>
    </w:tbl>
    <w:p/>
    <w:p>
      <w:pPr>
        <w:jc w:val="left"/>
      </w:pPr>
      <w:r>
        <w:br w:type="page"/>
      </w:r>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8"/>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2．我方提交的投标文件为：投标书正本两份，副本四份，电子档文件（正本彩色扫描件PDF格式）一份。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6．我方愿按《民法典》履行自己的全部责任。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widowControl/>
        <w:jc w:val="left"/>
        <w:rPr>
          <w:rFonts w:ascii="仿宋" w:hAnsi="仿宋" w:eastAsia="仿宋"/>
          <w:b/>
          <w:sz w:val="32"/>
          <w:szCs w:val="36"/>
        </w:rPr>
      </w:pPr>
      <w:r>
        <w:rPr>
          <w:rFonts w:ascii="仿宋" w:hAnsi="仿宋" w:eastAsia="仿宋"/>
          <w:b/>
          <w:sz w:val="32"/>
          <w:szCs w:val="36"/>
        </w:rPr>
        <w:br w:type="page"/>
      </w: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955" w:firstLineChars="45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955" w:firstLineChars="45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955" w:firstLineChars="45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394" w:leftChars="474" w:hanging="399" w:hangingChars="190"/>
        <w:rPr>
          <w:rFonts w:ascii="仿宋" w:hAnsi="仿宋" w:eastAsia="仿宋"/>
          <w:bCs/>
        </w:rPr>
      </w:pPr>
      <w:r>
        <w:rPr>
          <w:rFonts w:hint="eastAsia" w:ascii="仿宋" w:hAnsi="仿宋" w:eastAsia="仿宋"/>
          <w:bCs/>
        </w:rPr>
        <w:t>4、政府采购投标及履约承诺函【详见格式《政府采购投标及履约承诺函》】</w:t>
      </w:r>
    </w:p>
    <w:p>
      <w:pPr>
        <w:spacing w:line="360" w:lineRule="auto"/>
        <w:ind w:left="1394" w:leftChars="474" w:hanging="399" w:hangingChars="190"/>
        <w:rPr>
          <w:rFonts w:ascii="仿宋" w:hAnsi="仿宋" w:eastAsia="仿宋"/>
          <w:bCs/>
        </w:rPr>
      </w:pPr>
      <w:r>
        <w:rPr>
          <w:rFonts w:hint="eastAsia" w:ascii="仿宋" w:hAnsi="仿宋" w:eastAsia="仿宋"/>
          <w:bCs/>
        </w:rPr>
        <w:t>5、非联合体投标，不违规分包或转包的承诺函【原件，格式自拟】</w:t>
      </w:r>
    </w:p>
    <w:p>
      <w:pPr>
        <w:spacing w:line="360" w:lineRule="auto"/>
        <w:ind w:left="1394" w:leftChars="474" w:hanging="399" w:hangingChars="190"/>
        <w:rPr>
          <w:rFonts w:ascii="仿宋" w:hAnsi="仿宋" w:eastAsia="仿宋"/>
          <w:bCs/>
        </w:rPr>
      </w:pPr>
      <w:r>
        <w:rPr>
          <w:rFonts w:hint="eastAsia" w:ascii="仿宋" w:hAnsi="仿宋" w:eastAsia="仿宋"/>
          <w:bCs/>
        </w:rPr>
        <w:t>6、信用查询截图</w:t>
      </w:r>
    </w:p>
    <w:p>
      <w:pPr>
        <w:spacing w:line="360" w:lineRule="auto"/>
        <w:ind w:left="1394" w:leftChars="474" w:hanging="399" w:hangingChars="190"/>
        <w:rPr>
          <w:rFonts w:ascii="仿宋" w:hAnsi="仿宋" w:eastAsia="仿宋"/>
          <w:bCs/>
        </w:rPr>
      </w:pPr>
      <w:r>
        <w:rPr>
          <w:rFonts w:hint="eastAsia" w:ascii="仿宋" w:hAnsi="仿宋" w:eastAsia="仿宋"/>
          <w:bCs/>
        </w:rPr>
        <w:t>7、投标人认为有必要提供的其他文件</w:t>
      </w: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left="1415" w:leftChars="474" w:hanging="420" w:hangingChars="190"/>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法定代表人（负责人）证明书（格式）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职务，为法定代表人（负责人），特此证明。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rPr>
                    <w:t>（负责人）</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）采购活动，服务全部由符合政策要求的中小企业承接。相关企业（含联合体中的中小企业、签订分包意向协议的中小企业）的具体情况如下：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）；承接企业为（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w:t>
      </w:r>
      <w:r>
        <w:rPr>
          <w:rFonts w:ascii="仿宋" w:hAnsi="仿宋" w:eastAsia="仿宋" w:cs="Courier New"/>
          <w:snapToGrid w:val="0"/>
          <w:szCs w:val="18"/>
        </w:rPr>
        <w:t>(</w:t>
      </w:r>
      <w:r>
        <w:rPr>
          <w:rFonts w:hint="eastAsia" w:ascii="仿宋" w:hAnsi="仿宋" w:eastAsia="仿宋" w:cs="Courier New"/>
          <w:snapToGrid w:val="0"/>
          <w:szCs w:val="18"/>
        </w:rPr>
        <w:t>工信部联企业〔</w:t>
      </w:r>
      <w:r>
        <w:rPr>
          <w:rFonts w:ascii="仿宋" w:hAnsi="仿宋" w:eastAsia="仿宋" w:cs="Courier New"/>
          <w:snapToGrid w:val="0"/>
          <w:szCs w:val="18"/>
        </w:rPr>
        <w:t>2011</w:t>
      </w:r>
      <w:r>
        <w:rPr>
          <w:rFonts w:hint="eastAsia" w:ascii="仿宋" w:hAnsi="仿宋" w:eastAsia="仿宋" w:cs="Courier New"/>
          <w:snapToGrid w:val="0"/>
          <w:szCs w:val="18"/>
        </w:rPr>
        <w:t>〕</w:t>
      </w:r>
      <w:r>
        <w:rPr>
          <w:rFonts w:ascii="仿宋" w:hAnsi="仿宋" w:eastAsia="仿宋" w:cs="Courier New"/>
          <w:snapToGrid w:val="0"/>
          <w:szCs w:val="18"/>
        </w:rPr>
        <w:t>300</w:t>
      </w:r>
      <w:r>
        <w:rPr>
          <w:rFonts w:hint="eastAsia" w:ascii="仿宋" w:hAnsi="仿宋" w:eastAsia="仿宋" w:cs="Courier New"/>
          <w:snapToGrid w:val="0"/>
          <w:szCs w:val="18"/>
        </w:rPr>
        <w:t>号</w:t>
      </w:r>
      <w:r>
        <w:rPr>
          <w:rFonts w:ascii="仿宋" w:hAnsi="仿宋" w:eastAsia="仿宋" w:cs="Courier New"/>
          <w:snapToGrid w:val="0"/>
          <w:szCs w:val="18"/>
        </w:rPr>
        <w:t>)</w:t>
      </w:r>
      <w:r>
        <w:rPr>
          <w:rFonts w:hint="eastAsia" w:ascii="仿宋" w:hAnsi="仿宋" w:eastAsia="仿宋" w:cs="Courier New"/>
          <w:snapToGrid w:val="0"/>
          <w:szCs w:val="18"/>
        </w:rPr>
        <w:t>和《财政部 工业和信息化部关于印发《政府采购促进中小企业发展管理办法》的通知》</w:t>
      </w:r>
      <w:r>
        <w:rPr>
          <w:rFonts w:ascii="仿宋" w:hAnsi="仿宋" w:eastAsia="仿宋" w:cs="Courier New"/>
          <w:snapToGrid w:val="0"/>
          <w:szCs w:val="18"/>
        </w:rPr>
        <w:t>(</w:t>
      </w:r>
      <w:r>
        <w:rPr>
          <w:rFonts w:hint="eastAsia" w:ascii="仿宋" w:hAnsi="仿宋" w:eastAsia="仿宋" w:cs="Courier New"/>
          <w:snapToGrid w:val="0"/>
          <w:szCs w:val="18"/>
        </w:rPr>
        <w:t>财库〔2020〕46号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w:t>
      </w:r>
      <w:r>
        <w:rPr>
          <w:rFonts w:hint="eastAsia" w:ascii="仿宋" w:hAnsi="仿宋" w:eastAsia="仿宋" w:cs="Courier New"/>
          <w:b/>
          <w:snapToGrid w:val="0"/>
          <w:szCs w:val="18"/>
        </w:rPr>
        <w:t>小型和微型企业</w:t>
      </w:r>
      <w:r>
        <w:rPr>
          <w:rFonts w:hint="eastAsia" w:ascii="仿宋" w:hAnsi="仿宋" w:eastAsia="仿宋" w:cs="Courier New"/>
          <w:snapToGrid w:val="0"/>
          <w:szCs w:val="18"/>
        </w:rPr>
        <w:t>，则不需要在投标文件中提供本《中小企业声明函》；若符合前述相关规定所确定的小型和微型企业，在投标文件中没有提供本《中小企业声明函》，视为在本项目中放弃政府采购政策扶持，不进行价格扣除。</w:t>
      </w:r>
    </w:p>
    <w:p>
      <w:pPr>
        <w:ind w:firstLine="630" w:firstLineChars="3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widowControl/>
        <w:jc w:val="left"/>
        <w:rPr>
          <w:rFonts w:ascii="仿宋" w:hAnsi="仿宋" w:eastAsia="仿宋"/>
          <w:b/>
          <w:sz w:val="32"/>
          <w:szCs w:val="32"/>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8"/>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3056"/>
        <w:gridCol w:w="819"/>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项目名称</w:t>
            </w:r>
          </w:p>
        </w:tc>
        <w:tc>
          <w:tcPr>
            <w:tcW w:w="3119" w:type="dxa"/>
            <w:shd w:val="clear" w:color="auto" w:fill="C6D9F0" w:themeFill="text2" w:themeFillTint="33"/>
            <w:vAlign w:val="center"/>
          </w:tcPr>
          <w:p>
            <w:pPr>
              <w:jc w:val="center"/>
              <w:rPr>
                <w:rFonts w:ascii="仿宋" w:hAnsi="仿宋" w:eastAsia="仿宋"/>
                <w:b/>
                <w:sz w:val="24"/>
                <w:szCs w:val="24"/>
              </w:rPr>
            </w:pPr>
            <w:r>
              <w:rPr>
                <w:rFonts w:hint="eastAsia" w:ascii="仿宋" w:hAnsi="仿宋" w:eastAsia="仿宋"/>
                <w:b/>
                <w:sz w:val="24"/>
                <w:szCs w:val="24"/>
              </w:rPr>
              <w:t>投标总价</w:t>
            </w:r>
          </w:p>
          <w:p>
            <w:pPr>
              <w:jc w:val="center"/>
              <w:rPr>
                <w:rFonts w:ascii="仿宋" w:hAnsi="仿宋" w:eastAsia="仿宋"/>
                <w:b/>
                <w:sz w:val="24"/>
                <w:szCs w:val="24"/>
              </w:rPr>
            </w:pPr>
            <w:r>
              <w:rPr>
                <w:rFonts w:hint="eastAsia" w:ascii="仿宋" w:hAnsi="仿宋" w:eastAsia="仿宋"/>
                <w:b/>
                <w:sz w:val="24"/>
                <w:szCs w:val="24"/>
              </w:rPr>
              <w:t>（人民币元）</w:t>
            </w:r>
          </w:p>
        </w:tc>
        <w:tc>
          <w:tcPr>
            <w:tcW w:w="3056" w:type="dxa"/>
            <w:shd w:val="clear" w:color="auto" w:fill="C6D9F0" w:themeFill="text2" w:themeFillTint="33"/>
            <w:vAlign w:val="center"/>
          </w:tcPr>
          <w:p>
            <w:pPr>
              <w:spacing w:line="360" w:lineRule="auto"/>
              <w:jc w:val="center"/>
              <w:rPr>
                <w:rFonts w:ascii="仿宋" w:hAnsi="仿宋" w:eastAsia="仿宋"/>
                <w:b/>
                <w:sz w:val="24"/>
                <w:szCs w:val="24"/>
              </w:rPr>
            </w:pPr>
            <w:r>
              <w:rPr>
                <w:rFonts w:hint="eastAsia" w:ascii="仿宋" w:hAnsi="仿宋" w:eastAsia="仿宋"/>
                <w:b/>
                <w:sz w:val="24"/>
                <w:szCs w:val="24"/>
                <w:lang w:val="en-US" w:eastAsia="zh-CN"/>
              </w:rPr>
              <w:t>服务</w:t>
            </w:r>
            <w:r>
              <w:rPr>
                <w:rFonts w:hint="eastAsia" w:ascii="仿宋" w:hAnsi="仿宋" w:eastAsia="仿宋"/>
                <w:b/>
                <w:sz w:val="24"/>
                <w:szCs w:val="24"/>
              </w:rPr>
              <w:t>期限</w:t>
            </w:r>
          </w:p>
        </w:tc>
        <w:tc>
          <w:tcPr>
            <w:tcW w:w="819" w:type="dxa"/>
            <w:shd w:val="clear" w:color="auto" w:fill="C6D9F0" w:themeFill="text2" w:themeFillTint="33"/>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sz w:val="24"/>
                <w:szCs w:val="24"/>
              </w:rPr>
            </w:pPr>
          </w:p>
        </w:tc>
        <w:tc>
          <w:tcPr>
            <w:tcW w:w="3119" w:type="dxa"/>
            <w:vAlign w:val="center"/>
          </w:tcPr>
          <w:p>
            <w:pPr>
              <w:spacing w:line="360" w:lineRule="auto"/>
              <w:rPr>
                <w:rFonts w:ascii="仿宋" w:hAnsi="仿宋" w:eastAsia="仿宋"/>
                <w:sz w:val="24"/>
                <w:szCs w:val="24"/>
              </w:rPr>
            </w:pPr>
            <w:r>
              <w:rPr>
                <w:rFonts w:hint="eastAsia" w:ascii="仿宋" w:hAnsi="仿宋" w:eastAsia="仿宋"/>
                <w:sz w:val="24"/>
                <w:szCs w:val="24"/>
              </w:rPr>
              <w:t>大写：</w:t>
            </w:r>
            <w:r>
              <w:rPr>
                <w:rFonts w:hint="eastAsia" w:ascii="仿宋" w:hAnsi="仿宋" w:eastAsia="仿宋"/>
                <w:sz w:val="24"/>
                <w:szCs w:val="24"/>
                <w:u w:val="single"/>
              </w:rPr>
              <w:t xml:space="preserve">                </w:t>
            </w:r>
          </w:p>
          <w:p>
            <w:pPr>
              <w:spacing w:line="360" w:lineRule="auto"/>
              <w:rPr>
                <w:rFonts w:ascii="仿宋" w:hAnsi="仿宋" w:eastAsia="仿宋"/>
                <w:sz w:val="24"/>
                <w:szCs w:val="24"/>
              </w:rPr>
            </w:pPr>
            <w:r>
              <w:rPr>
                <w:rFonts w:hint="eastAsia" w:ascii="仿宋" w:hAnsi="仿宋" w:eastAsia="仿宋"/>
                <w:sz w:val="24"/>
                <w:szCs w:val="24"/>
              </w:rPr>
              <w:t>小写：</w:t>
            </w:r>
            <w:r>
              <w:rPr>
                <w:rFonts w:hint="eastAsia" w:ascii="仿宋" w:hAnsi="仿宋" w:eastAsia="仿宋"/>
                <w:sz w:val="24"/>
                <w:szCs w:val="24"/>
                <w:u w:val="single"/>
              </w:rPr>
              <w:t xml:space="preserve">                </w:t>
            </w:r>
          </w:p>
        </w:tc>
        <w:tc>
          <w:tcPr>
            <w:tcW w:w="3056" w:type="dxa"/>
            <w:vAlign w:val="center"/>
          </w:tcPr>
          <w:p>
            <w:pPr>
              <w:spacing w:line="360" w:lineRule="auto"/>
              <w:jc w:val="center"/>
              <w:rPr>
                <w:rFonts w:ascii="仿宋" w:hAnsi="仿宋" w:eastAsia="仿宋"/>
                <w:sz w:val="24"/>
                <w:szCs w:val="24"/>
              </w:rPr>
            </w:pPr>
            <w:r>
              <w:rPr>
                <w:rFonts w:hint="eastAsia" w:ascii="仿宋" w:hAnsi="仿宋" w:eastAsia="仿宋"/>
                <w:sz w:val="24"/>
                <w:szCs w:val="24"/>
                <w:lang w:eastAsia="zh-CN"/>
              </w:rPr>
              <w:t>合同签订日起</w:t>
            </w:r>
            <w:r>
              <w:rPr>
                <w:rFonts w:hint="eastAsia" w:ascii="仿宋" w:hAnsi="仿宋" w:eastAsia="仿宋"/>
                <w:sz w:val="24"/>
                <w:szCs w:val="24"/>
                <w:lang w:val="en-US" w:eastAsia="zh-CN"/>
              </w:rPr>
              <w:t>一年</w:t>
            </w:r>
          </w:p>
        </w:tc>
        <w:tc>
          <w:tcPr>
            <w:tcW w:w="819" w:type="dxa"/>
            <w:vAlign w:val="center"/>
          </w:tcPr>
          <w:p>
            <w:pPr>
              <w:spacing w:line="360" w:lineRule="auto"/>
              <w:rPr>
                <w:rFonts w:ascii="仿宋" w:hAnsi="仿宋" w:eastAsia="仿宋"/>
                <w:sz w:val="24"/>
                <w:szCs w:val="24"/>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2、此表应经法定代表人或授权委托人签名，并加盖公章。</w:t>
      </w:r>
    </w:p>
    <w:p>
      <w:pPr>
        <w:spacing w:line="360" w:lineRule="auto"/>
        <w:ind w:firstLine="420" w:firstLineChars="200"/>
        <w:rPr>
          <w:rFonts w:ascii="仿宋" w:hAnsi="仿宋" w:eastAsia="仿宋"/>
        </w:rPr>
      </w:pPr>
      <w:r>
        <w:rPr>
          <w:rFonts w:hint="eastAsia" w:ascii="仿宋" w:hAnsi="仿宋" w:eastAsia="仿宋"/>
        </w:rPr>
        <w:t>3、</w:t>
      </w:r>
      <w:r>
        <w:rPr>
          <w:rFonts w:hint="eastAsia" w:ascii="仿宋" w:hAnsi="仿宋" w:eastAsia="仿宋"/>
          <w:bCs/>
        </w:rPr>
        <w:t>本项目费用应包括但不限于服产品和研发成本、专利申请费用、法定税费和企业的利润</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报价表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4386"/>
        <w:gridCol w:w="275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sz w:val="24"/>
                <w:szCs w:val="24"/>
              </w:rPr>
            </w:pPr>
            <w:r>
              <w:rPr>
                <w:rFonts w:hint="eastAsia"/>
                <w:b/>
                <w:sz w:val="24"/>
                <w:szCs w:val="24"/>
              </w:rPr>
              <w:t>序号</w:t>
            </w:r>
          </w:p>
        </w:tc>
        <w:tc>
          <w:tcPr>
            <w:tcW w:w="4386" w:type="dxa"/>
            <w:tcBorders>
              <w:top w:val="double" w:color="auto" w:sz="4" w:space="0"/>
            </w:tcBorders>
            <w:shd w:val="clear" w:color="auto" w:fill="C6D9F0" w:themeFill="text2" w:themeFillTint="33"/>
            <w:vAlign w:val="center"/>
          </w:tcPr>
          <w:p>
            <w:pPr>
              <w:spacing w:line="360" w:lineRule="auto"/>
              <w:jc w:val="center"/>
              <w:rPr>
                <w:b/>
                <w:sz w:val="24"/>
                <w:szCs w:val="24"/>
              </w:rPr>
            </w:pPr>
            <w:r>
              <w:rPr>
                <w:rFonts w:hint="eastAsia"/>
                <w:b/>
                <w:sz w:val="24"/>
                <w:szCs w:val="24"/>
              </w:rPr>
              <w:t>服务内容</w:t>
            </w:r>
          </w:p>
        </w:tc>
        <w:tc>
          <w:tcPr>
            <w:tcW w:w="2752" w:type="dxa"/>
            <w:tcBorders>
              <w:top w:val="double" w:color="auto" w:sz="4" w:space="0"/>
              <w:right w:val="double" w:color="auto" w:sz="4" w:space="0"/>
            </w:tcBorders>
            <w:shd w:val="clear" w:color="auto" w:fill="C6D9F0" w:themeFill="text2" w:themeFillTint="33"/>
            <w:vAlign w:val="center"/>
          </w:tcPr>
          <w:p>
            <w:pPr>
              <w:spacing w:line="360" w:lineRule="auto"/>
              <w:jc w:val="center"/>
              <w:rPr>
                <w:b/>
                <w:sz w:val="24"/>
                <w:szCs w:val="24"/>
              </w:rPr>
            </w:pPr>
            <w:r>
              <w:rPr>
                <w:rFonts w:hint="eastAsia"/>
                <w:b/>
                <w:sz w:val="24"/>
                <w:szCs w:val="24"/>
              </w:rPr>
              <w:t>报价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9" w:hRule="atLeast"/>
        </w:trPr>
        <w:tc>
          <w:tcPr>
            <w:tcW w:w="1384" w:type="dxa"/>
            <w:vMerge w:val="restart"/>
            <w:tcBorders>
              <w:left w:val="doub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4386" w:type="dxa"/>
            <w:vAlign w:val="center"/>
          </w:tcPr>
          <w:p>
            <w:pPr>
              <w:spacing w:line="360" w:lineRule="auto"/>
              <w:jc w:val="center"/>
              <w:rPr>
                <w:rFonts w:hint="eastAsia" w:ascii="仿宋" w:hAnsi="仿宋" w:eastAsia="仿宋" w:cs="Times New Roman"/>
                <w:sz w:val="24"/>
                <w:szCs w:val="24"/>
              </w:rPr>
            </w:pPr>
            <w:r>
              <w:rPr>
                <w:rFonts w:hint="eastAsia" w:ascii="仿宋" w:hAnsi="仿宋" w:eastAsia="仿宋" w:cs="Times New Roman"/>
                <w:sz w:val="24"/>
                <w:szCs w:val="24"/>
              </w:rPr>
              <w:t>DR控评（含验收检测）</w:t>
            </w:r>
          </w:p>
        </w:tc>
        <w:tc>
          <w:tcPr>
            <w:tcW w:w="2752" w:type="dxa"/>
            <w:tcBorders>
              <w:right w:val="double" w:color="auto" w:sz="4" w:space="0"/>
            </w:tcBorders>
            <w:vAlign w:val="center"/>
          </w:tcPr>
          <w:p>
            <w:pPr>
              <w:spacing w:line="360" w:lineRule="auto"/>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9" w:hRule="atLeast"/>
        </w:trPr>
        <w:tc>
          <w:tcPr>
            <w:tcW w:w="1384" w:type="dxa"/>
            <w:vMerge w:val="continue"/>
            <w:tcBorders>
              <w:left w:val="double" w:color="auto" w:sz="4" w:space="0"/>
            </w:tcBorders>
            <w:vAlign w:val="center"/>
          </w:tcPr>
          <w:p>
            <w:pPr>
              <w:spacing w:line="360" w:lineRule="auto"/>
              <w:jc w:val="center"/>
            </w:pPr>
          </w:p>
        </w:tc>
        <w:tc>
          <w:tcPr>
            <w:tcW w:w="4386" w:type="dxa"/>
            <w:vAlign w:val="center"/>
          </w:tcPr>
          <w:p>
            <w:pPr>
              <w:spacing w:line="360" w:lineRule="auto"/>
              <w:jc w:val="center"/>
              <w:rPr>
                <w:rFonts w:hint="eastAsia" w:ascii="仿宋" w:hAnsi="仿宋" w:eastAsia="仿宋" w:cs="Times New Roman"/>
                <w:sz w:val="24"/>
                <w:szCs w:val="24"/>
              </w:rPr>
            </w:pPr>
            <w:r>
              <w:rPr>
                <w:rFonts w:hint="eastAsia" w:ascii="仿宋" w:hAnsi="仿宋" w:eastAsia="仿宋" w:cs="Times New Roman"/>
                <w:sz w:val="24"/>
                <w:szCs w:val="24"/>
              </w:rPr>
              <w:t>DR环评备案</w:t>
            </w:r>
          </w:p>
        </w:tc>
        <w:tc>
          <w:tcPr>
            <w:tcW w:w="2752" w:type="dxa"/>
            <w:tcBorders>
              <w:right w:val="double" w:color="auto" w:sz="4" w:space="0"/>
            </w:tcBorders>
            <w:vAlign w:val="center"/>
          </w:tcPr>
          <w:p>
            <w:pPr>
              <w:spacing w:line="360" w:lineRule="auto"/>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2" w:hRule="atLeast"/>
        </w:trPr>
        <w:tc>
          <w:tcPr>
            <w:tcW w:w="1384" w:type="dxa"/>
            <w:vMerge w:val="restart"/>
            <w:tcBorders>
              <w:left w:val="doub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2</w:t>
            </w:r>
          </w:p>
        </w:tc>
        <w:tc>
          <w:tcPr>
            <w:tcW w:w="4386" w:type="dxa"/>
            <w:vAlign w:val="center"/>
          </w:tcPr>
          <w:p>
            <w:pPr>
              <w:spacing w:line="360" w:lineRule="auto"/>
              <w:jc w:val="center"/>
              <w:rPr>
                <w:rFonts w:hint="eastAsia" w:ascii="仿宋" w:hAnsi="仿宋" w:eastAsia="仿宋" w:cs="Times New Roman"/>
                <w:sz w:val="24"/>
                <w:szCs w:val="24"/>
              </w:rPr>
            </w:pPr>
            <w:r>
              <w:rPr>
                <w:rFonts w:hint="eastAsia" w:ascii="仿宋" w:hAnsi="仿宋" w:eastAsia="仿宋" w:cs="Times New Roman"/>
                <w:sz w:val="24"/>
                <w:szCs w:val="24"/>
              </w:rPr>
              <w:t>CT预评</w:t>
            </w:r>
          </w:p>
        </w:tc>
        <w:tc>
          <w:tcPr>
            <w:tcW w:w="2752" w:type="dxa"/>
            <w:tcBorders>
              <w:right w:val="double" w:color="auto" w:sz="4" w:space="0"/>
            </w:tcBorders>
            <w:vAlign w:val="center"/>
          </w:tcPr>
          <w:p>
            <w:pPr>
              <w:spacing w:line="360" w:lineRule="auto"/>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2" w:hRule="atLeast"/>
        </w:trPr>
        <w:tc>
          <w:tcPr>
            <w:tcW w:w="1384" w:type="dxa"/>
            <w:vMerge w:val="continue"/>
            <w:tcBorders>
              <w:left w:val="double" w:color="auto" w:sz="4" w:space="0"/>
            </w:tcBorders>
            <w:vAlign w:val="center"/>
          </w:tcPr>
          <w:p>
            <w:pPr>
              <w:spacing w:line="360" w:lineRule="auto"/>
              <w:jc w:val="center"/>
            </w:pPr>
          </w:p>
        </w:tc>
        <w:tc>
          <w:tcPr>
            <w:tcW w:w="4386" w:type="dxa"/>
            <w:vAlign w:val="center"/>
          </w:tcPr>
          <w:p>
            <w:pPr>
              <w:spacing w:line="360" w:lineRule="auto"/>
              <w:jc w:val="center"/>
              <w:rPr>
                <w:rFonts w:hint="eastAsia" w:ascii="仿宋" w:hAnsi="仿宋" w:eastAsia="仿宋" w:cs="Times New Roman"/>
                <w:sz w:val="24"/>
                <w:szCs w:val="24"/>
              </w:rPr>
            </w:pPr>
            <w:r>
              <w:rPr>
                <w:rFonts w:hint="eastAsia" w:ascii="仿宋" w:hAnsi="仿宋" w:eastAsia="仿宋" w:cs="Times New Roman"/>
                <w:sz w:val="24"/>
                <w:szCs w:val="24"/>
              </w:rPr>
              <w:t>CT控评</w:t>
            </w:r>
          </w:p>
        </w:tc>
        <w:tc>
          <w:tcPr>
            <w:tcW w:w="2752" w:type="dxa"/>
            <w:tcBorders>
              <w:right w:val="double" w:color="auto" w:sz="4" w:space="0"/>
            </w:tcBorders>
            <w:vAlign w:val="center"/>
          </w:tcPr>
          <w:p>
            <w:pPr>
              <w:spacing w:line="360" w:lineRule="auto"/>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2" w:hRule="atLeast"/>
        </w:trPr>
        <w:tc>
          <w:tcPr>
            <w:tcW w:w="1384" w:type="dxa"/>
            <w:vMerge w:val="continue"/>
            <w:tcBorders>
              <w:left w:val="double" w:color="auto" w:sz="4" w:space="0"/>
            </w:tcBorders>
            <w:vAlign w:val="center"/>
          </w:tcPr>
          <w:p>
            <w:pPr>
              <w:spacing w:line="360" w:lineRule="auto"/>
              <w:jc w:val="center"/>
              <w:rPr>
                <w:sz w:val="24"/>
                <w:szCs w:val="24"/>
              </w:rPr>
            </w:pPr>
          </w:p>
        </w:tc>
        <w:tc>
          <w:tcPr>
            <w:tcW w:w="4386" w:type="dxa"/>
            <w:vAlign w:val="center"/>
          </w:tcPr>
          <w:p>
            <w:pPr>
              <w:spacing w:line="360" w:lineRule="auto"/>
              <w:jc w:val="center"/>
              <w:rPr>
                <w:rFonts w:hint="eastAsia" w:ascii="仿宋" w:hAnsi="仿宋" w:eastAsia="仿宋" w:cs="Times New Roman"/>
                <w:sz w:val="24"/>
                <w:szCs w:val="24"/>
              </w:rPr>
            </w:pPr>
            <w:r>
              <w:rPr>
                <w:rFonts w:hint="eastAsia" w:ascii="仿宋" w:hAnsi="仿宋" w:eastAsia="仿宋" w:cs="Times New Roman"/>
                <w:sz w:val="24"/>
                <w:szCs w:val="24"/>
              </w:rPr>
              <w:t>CT环评备案</w:t>
            </w:r>
          </w:p>
        </w:tc>
        <w:tc>
          <w:tcPr>
            <w:tcW w:w="2752" w:type="dxa"/>
            <w:tcBorders>
              <w:right w:val="double" w:color="auto" w:sz="4" w:space="0"/>
            </w:tcBorders>
            <w:vAlign w:val="center"/>
          </w:tcPr>
          <w:p>
            <w:pPr>
              <w:spacing w:line="360" w:lineRule="auto"/>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2" w:hRule="atLeast"/>
        </w:trPr>
        <w:tc>
          <w:tcPr>
            <w:tcW w:w="1384" w:type="dxa"/>
            <w:vMerge w:val="restart"/>
            <w:tcBorders>
              <w:left w:val="doub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3</w:t>
            </w:r>
          </w:p>
        </w:tc>
        <w:tc>
          <w:tcPr>
            <w:tcW w:w="4386" w:type="dxa"/>
            <w:vAlign w:val="center"/>
          </w:tcPr>
          <w:p>
            <w:pPr>
              <w:spacing w:line="360" w:lineRule="auto"/>
              <w:jc w:val="center"/>
              <w:rPr>
                <w:rFonts w:hint="eastAsia" w:ascii="仿宋" w:hAnsi="仿宋" w:eastAsia="仿宋" w:cs="Times New Roman"/>
                <w:sz w:val="24"/>
                <w:szCs w:val="24"/>
              </w:rPr>
            </w:pPr>
            <w:r>
              <w:rPr>
                <w:rFonts w:hint="eastAsia" w:ascii="仿宋" w:hAnsi="仿宋" w:eastAsia="仿宋" w:cs="Times New Roman"/>
                <w:sz w:val="24"/>
                <w:szCs w:val="24"/>
              </w:rPr>
              <w:t>全景机预评</w:t>
            </w:r>
          </w:p>
        </w:tc>
        <w:tc>
          <w:tcPr>
            <w:tcW w:w="2752" w:type="dxa"/>
            <w:tcBorders>
              <w:right w:val="double" w:color="auto" w:sz="4" w:space="0"/>
            </w:tcBorders>
            <w:vAlign w:val="center"/>
          </w:tcPr>
          <w:p>
            <w:pPr>
              <w:spacing w:line="360" w:lineRule="auto"/>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2" w:hRule="atLeast"/>
        </w:trPr>
        <w:tc>
          <w:tcPr>
            <w:tcW w:w="1384" w:type="dxa"/>
            <w:vMerge w:val="continue"/>
            <w:tcBorders>
              <w:left w:val="double" w:color="auto" w:sz="4" w:space="0"/>
            </w:tcBorders>
            <w:vAlign w:val="center"/>
          </w:tcPr>
          <w:p>
            <w:pPr>
              <w:spacing w:line="360" w:lineRule="auto"/>
              <w:jc w:val="center"/>
            </w:pPr>
          </w:p>
        </w:tc>
        <w:tc>
          <w:tcPr>
            <w:tcW w:w="4386" w:type="dxa"/>
            <w:vAlign w:val="center"/>
          </w:tcPr>
          <w:p>
            <w:pPr>
              <w:spacing w:line="360" w:lineRule="auto"/>
              <w:jc w:val="center"/>
              <w:rPr>
                <w:rFonts w:hint="eastAsia" w:ascii="仿宋" w:hAnsi="仿宋" w:eastAsia="仿宋" w:cs="Times New Roman"/>
                <w:sz w:val="24"/>
                <w:szCs w:val="24"/>
              </w:rPr>
            </w:pPr>
            <w:r>
              <w:rPr>
                <w:rFonts w:hint="eastAsia" w:ascii="仿宋" w:hAnsi="仿宋" w:eastAsia="仿宋" w:cs="Times New Roman"/>
                <w:sz w:val="24"/>
                <w:szCs w:val="24"/>
              </w:rPr>
              <w:t>全景机控评</w:t>
            </w:r>
          </w:p>
        </w:tc>
        <w:tc>
          <w:tcPr>
            <w:tcW w:w="2752" w:type="dxa"/>
            <w:tcBorders>
              <w:right w:val="double" w:color="auto" w:sz="4" w:space="0"/>
            </w:tcBorders>
            <w:vAlign w:val="center"/>
          </w:tcPr>
          <w:p>
            <w:pPr>
              <w:spacing w:line="360" w:lineRule="auto"/>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2" w:hRule="atLeast"/>
        </w:trPr>
        <w:tc>
          <w:tcPr>
            <w:tcW w:w="1384" w:type="dxa"/>
            <w:vMerge w:val="continue"/>
            <w:tcBorders>
              <w:left w:val="double" w:color="auto" w:sz="4" w:space="0"/>
            </w:tcBorders>
            <w:vAlign w:val="center"/>
          </w:tcPr>
          <w:p>
            <w:pPr>
              <w:spacing w:line="360" w:lineRule="auto"/>
              <w:jc w:val="center"/>
              <w:rPr>
                <w:sz w:val="24"/>
                <w:szCs w:val="24"/>
              </w:rPr>
            </w:pPr>
          </w:p>
        </w:tc>
        <w:tc>
          <w:tcPr>
            <w:tcW w:w="4386" w:type="dxa"/>
            <w:vAlign w:val="center"/>
          </w:tcPr>
          <w:p>
            <w:pPr>
              <w:spacing w:line="360" w:lineRule="auto"/>
              <w:jc w:val="center"/>
              <w:rPr>
                <w:rFonts w:hint="eastAsia" w:ascii="仿宋" w:hAnsi="仿宋" w:eastAsia="仿宋" w:cs="Times New Roman"/>
                <w:sz w:val="24"/>
                <w:szCs w:val="24"/>
              </w:rPr>
            </w:pPr>
            <w:r>
              <w:rPr>
                <w:rFonts w:hint="eastAsia" w:ascii="仿宋" w:hAnsi="仿宋" w:eastAsia="仿宋" w:cs="Times New Roman"/>
                <w:sz w:val="24"/>
                <w:szCs w:val="24"/>
              </w:rPr>
              <w:t>全景机环评备案</w:t>
            </w:r>
          </w:p>
        </w:tc>
        <w:tc>
          <w:tcPr>
            <w:tcW w:w="2752" w:type="dxa"/>
            <w:tcBorders>
              <w:right w:val="double" w:color="auto" w:sz="4" w:space="0"/>
            </w:tcBorders>
            <w:vAlign w:val="center"/>
          </w:tcPr>
          <w:p>
            <w:pPr>
              <w:spacing w:line="360" w:lineRule="auto"/>
              <w:jc w:val="center"/>
              <w:rPr>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70"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合  计：</w:t>
            </w:r>
          </w:p>
        </w:tc>
        <w:tc>
          <w:tcPr>
            <w:tcW w:w="2752" w:type="dxa"/>
            <w:tcBorders>
              <w:bottom w:val="double" w:color="auto" w:sz="4" w:space="0"/>
              <w:right w:val="double" w:color="auto" w:sz="4" w:space="0"/>
            </w:tcBorders>
            <w:vAlign w:val="center"/>
          </w:tcPr>
          <w:p>
            <w:pPr>
              <w:spacing w:line="360" w:lineRule="auto"/>
              <w:jc w:val="center"/>
              <w:rPr>
                <w:sz w:val="24"/>
                <w:szCs w:val="24"/>
              </w:rPr>
            </w:pPr>
          </w:p>
        </w:tc>
      </w:tr>
    </w:tbl>
    <w:p>
      <w:pPr>
        <w:spacing w:line="360" w:lineRule="auto"/>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服务方案</w:t>
      </w:r>
    </w:p>
    <w:p>
      <w:pPr>
        <w:rPr>
          <w:rFonts w:ascii="仿宋" w:hAnsi="仿宋" w:eastAsia="仿宋"/>
        </w:rPr>
      </w:pPr>
    </w:p>
    <w:p>
      <w:pPr>
        <w:spacing w:line="360" w:lineRule="auto"/>
        <w:rPr>
          <w:rFonts w:ascii="仿宋" w:hAnsi="仿宋" w:eastAsia="仿宋"/>
          <w:sz w:val="28"/>
          <w:szCs w:val="32"/>
        </w:rPr>
      </w:pPr>
      <w:r>
        <w:rPr>
          <w:rFonts w:hint="eastAsia" w:ascii="仿宋" w:hAnsi="仿宋" w:eastAsia="仿宋"/>
          <w:sz w:val="28"/>
          <w:szCs w:val="32"/>
        </w:rPr>
        <w:t>1、</w:t>
      </w:r>
      <w:r>
        <w:rPr>
          <w:rFonts w:hint="eastAsia" w:ascii="仿宋" w:hAnsi="仿宋" w:eastAsia="仿宋" w:cs="仿宋"/>
          <w:kern w:val="0"/>
          <w:sz w:val="28"/>
          <w:szCs w:val="28"/>
        </w:rPr>
        <w:t>实施方案</w:t>
      </w:r>
    </w:p>
    <w:p>
      <w:pPr>
        <w:spacing w:line="360" w:lineRule="auto"/>
        <w:rPr>
          <w:rFonts w:ascii="仿宋" w:hAnsi="仿宋" w:eastAsia="仿宋"/>
          <w:sz w:val="28"/>
          <w:szCs w:val="32"/>
        </w:rPr>
      </w:pPr>
      <w:r>
        <w:rPr>
          <w:rFonts w:hint="eastAsia" w:ascii="仿宋" w:hAnsi="仿宋" w:eastAsia="仿宋"/>
          <w:sz w:val="28"/>
          <w:szCs w:val="32"/>
        </w:rPr>
        <w:t>2、</w:t>
      </w:r>
      <w:r>
        <w:rPr>
          <w:rFonts w:hint="eastAsia" w:ascii="仿宋" w:hAnsi="仿宋" w:eastAsia="仿宋" w:cs="仿宋"/>
          <w:kern w:val="0"/>
          <w:sz w:val="28"/>
          <w:szCs w:val="28"/>
        </w:rPr>
        <w:t>项目工期保证措施</w:t>
      </w:r>
      <w:bookmarkStart w:id="7" w:name="_GoBack"/>
      <w:bookmarkEnd w:id="7"/>
    </w:p>
    <w:p>
      <w:pPr>
        <w:spacing w:line="360" w:lineRule="auto"/>
        <w:rPr>
          <w:rFonts w:ascii="仿宋" w:hAnsi="仿宋" w:eastAsia="仿宋"/>
          <w:sz w:val="28"/>
          <w:szCs w:val="32"/>
        </w:rPr>
      </w:pPr>
      <w:r>
        <w:rPr>
          <w:rFonts w:hint="eastAsia" w:ascii="仿宋" w:hAnsi="仿宋" w:eastAsia="仿宋"/>
          <w:sz w:val="28"/>
          <w:szCs w:val="32"/>
        </w:rPr>
        <w:t>3、</w:t>
      </w:r>
      <w:r>
        <w:rPr>
          <w:rFonts w:hint="eastAsia" w:ascii="仿宋" w:hAnsi="仿宋" w:eastAsia="仿宋" w:cs="仿宋"/>
          <w:kern w:val="0"/>
          <w:sz w:val="28"/>
          <w:szCs w:val="28"/>
        </w:rPr>
        <w:t>质量保障措施及方案</w:t>
      </w:r>
    </w:p>
    <w:p>
      <w:pPr>
        <w:spacing w:line="360" w:lineRule="auto"/>
        <w:rPr>
          <w:rFonts w:ascii="仿宋" w:hAnsi="仿宋" w:eastAsia="仿宋"/>
          <w:sz w:val="28"/>
          <w:szCs w:val="32"/>
        </w:rPr>
      </w:pPr>
      <w:r>
        <w:rPr>
          <w:rFonts w:hint="eastAsia" w:ascii="仿宋" w:hAnsi="仿宋" w:eastAsia="仿宋"/>
          <w:sz w:val="28"/>
          <w:szCs w:val="32"/>
        </w:rPr>
        <w:t>4、</w:t>
      </w:r>
      <w:r>
        <w:rPr>
          <w:rFonts w:hint="eastAsia" w:ascii="仿宋" w:hAnsi="仿宋" w:eastAsia="仿宋" w:cs="仿宋"/>
          <w:kern w:val="0"/>
          <w:sz w:val="28"/>
          <w:szCs w:val="28"/>
        </w:rPr>
        <w:t>违约承诺</w:t>
      </w:r>
    </w:p>
    <w:p>
      <w:pPr>
        <w:spacing w:line="360" w:lineRule="auto"/>
        <w:rPr>
          <w:rFonts w:ascii="仿宋" w:hAnsi="仿宋" w:eastAsia="仿宋"/>
          <w:sz w:val="28"/>
          <w:szCs w:val="32"/>
        </w:rPr>
      </w:pPr>
      <w:r>
        <w:rPr>
          <w:rFonts w:hint="eastAsia" w:ascii="仿宋" w:hAnsi="仿宋" w:eastAsia="仿宋"/>
          <w:sz w:val="28"/>
          <w:szCs w:val="32"/>
        </w:rPr>
        <w:t>5、</w:t>
      </w:r>
      <w:r>
        <w:rPr>
          <w:rFonts w:hint="eastAsia" w:ascii="仿宋" w:hAnsi="仿宋" w:eastAsia="仿宋" w:cs="仿宋"/>
          <w:sz w:val="28"/>
          <w:szCs w:val="28"/>
        </w:rPr>
        <w:t>拟派项目团队</w:t>
      </w:r>
      <w:r>
        <w:rPr>
          <w:rFonts w:hint="eastAsia" w:ascii="仿宋" w:hAnsi="仿宋" w:eastAsia="仿宋" w:cs="仿宋"/>
          <w:sz w:val="28"/>
          <w:szCs w:val="28"/>
          <w:lang w:val="en-US" w:eastAsia="zh-CN"/>
        </w:rPr>
        <w:t>成员</w:t>
      </w:r>
    </w:p>
    <w:p>
      <w:pPr>
        <w:spacing w:line="360" w:lineRule="auto"/>
        <w:rPr>
          <w:rFonts w:ascii="仿宋" w:hAnsi="仿宋" w:eastAsia="仿宋"/>
          <w:sz w:val="28"/>
          <w:szCs w:val="32"/>
        </w:rPr>
      </w:pPr>
      <w:r>
        <w:rPr>
          <w:rFonts w:hint="eastAsia" w:ascii="仿宋" w:hAnsi="仿宋" w:eastAsia="仿宋"/>
          <w:sz w:val="28"/>
          <w:szCs w:val="32"/>
        </w:rPr>
        <w:t>6、</w:t>
      </w:r>
      <w:r>
        <w:rPr>
          <w:rFonts w:hint="eastAsia" w:ascii="仿宋" w:hAnsi="仿宋" w:eastAsia="仿宋" w:cs="仿宋"/>
          <w:sz w:val="28"/>
          <w:szCs w:val="28"/>
        </w:rPr>
        <w:t>同类业绩</w:t>
      </w:r>
    </w:p>
    <w:p>
      <w:pPr>
        <w:spacing w:line="360" w:lineRule="auto"/>
        <w:rPr>
          <w:rFonts w:ascii="仿宋" w:hAnsi="仿宋" w:eastAsia="仿宋"/>
          <w:sz w:val="28"/>
          <w:szCs w:val="32"/>
        </w:rPr>
      </w:pPr>
      <w:r>
        <w:rPr>
          <w:rFonts w:hint="eastAsia" w:ascii="仿宋" w:hAnsi="仿宋" w:eastAsia="仿宋"/>
          <w:sz w:val="28"/>
          <w:szCs w:val="32"/>
        </w:rPr>
        <w:t>7、</w:t>
      </w:r>
      <w:r>
        <w:rPr>
          <w:rFonts w:hint="eastAsia" w:ascii="仿宋" w:hAnsi="仿宋" w:eastAsia="仿宋" w:cs="仿宋"/>
          <w:sz w:val="28"/>
          <w:szCs w:val="28"/>
          <w:lang w:val="en-US" w:eastAsia="zh-CN"/>
        </w:rPr>
        <w:t>项目履约</w:t>
      </w:r>
    </w:p>
    <w:p>
      <w:pPr>
        <w:spacing w:line="360" w:lineRule="auto"/>
        <w:rPr>
          <w:rFonts w:ascii="仿宋" w:hAnsi="仿宋" w:eastAsia="仿宋"/>
          <w:sz w:val="28"/>
          <w:szCs w:val="32"/>
        </w:rPr>
      </w:pPr>
      <w:r>
        <w:rPr>
          <w:rFonts w:hint="eastAsia" w:ascii="仿宋" w:hAnsi="仿宋" w:eastAsia="仿宋"/>
          <w:sz w:val="28"/>
          <w:szCs w:val="32"/>
        </w:rPr>
        <w:t>8、</w:t>
      </w:r>
      <w:r>
        <w:rPr>
          <w:rFonts w:hint="eastAsia" w:ascii="仿宋" w:hAnsi="仿宋" w:eastAsia="仿宋" w:cs="仿宋"/>
          <w:sz w:val="28"/>
          <w:szCs w:val="28"/>
          <w:lang w:val="en-US" w:eastAsia="zh-CN"/>
        </w:rPr>
        <w:t>相关认证</w:t>
      </w:r>
    </w:p>
    <w:p>
      <w:pPr>
        <w:spacing w:line="360" w:lineRule="auto"/>
        <w:rPr>
          <w:rFonts w:ascii="仿宋" w:hAnsi="仿宋" w:eastAsia="仿宋" w:cs="仿宋"/>
          <w:sz w:val="28"/>
          <w:szCs w:val="28"/>
        </w:rPr>
      </w:pPr>
      <w:r>
        <w:rPr>
          <w:rFonts w:hint="eastAsia" w:ascii="仿宋" w:hAnsi="仿宋" w:eastAsia="仿宋"/>
          <w:sz w:val="28"/>
          <w:szCs w:val="32"/>
        </w:rPr>
        <w:t>9、</w:t>
      </w:r>
      <w:r>
        <w:rPr>
          <w:rFonts w:hint="eastAsia" w:ascii="仿宋" w:hAnsi="仿宋" w:eastAsia="仿宋" w:cs="仿宋"/>
          <w:sz w:val="28"/>
          <w:szCs w:val="28"/>
        </w:rPr>
        <w:t>服务</w:t>
      </w:r>
      <w:r>
        <w:rPr>
          <w:rFonts w:hint="eastAsia" w:ascii="仿宋" w:hAnsi="仿宋" w:eastAsia="仿宋" w:cs="仿宋"/>
          <w:sz w:val="28"/>
          <w:szCs w:val="28"/>
          <w:lang w:val="en-US" w:eastAsia="zh-CN"/>
        </w:rPr>
        <w:t>响应情况</w:t>
      </w:r>
    </w:p>
    <w:p>
      <w:pPr>
        <w:spacing w:line="360" w:lineRule="auto"/>
        <w:rPr>
          <w:rFonts w:ascii="仿宋" w:hAnsi="仿宋" w:eastAsia="仿宋"/>
          <w:sz w:val="28"/>
          <w:szCs w:val="32"/>
        </w:rPr>
      </w:pPr>
      <w:r>
        <w:rPr>
          <w:rFonts w:hint="eastAsia" w:ascii="仿宋" w:hAnsi="仿宋" w:eastAsia="仿宋" w:cs="仿宋"/>
          <w:sz w:val="28"/>
          <w:szCs w:val="28"/>
        </w:rPr>
        <w:t>10、</w:t>
      </w:r>
      <w:r>
        <w:rPr>
          <w:rFonts w:hint="eastAsia" w:ascii="仿宋" w:hAnsi="仿宋" w:eastAsia="仿宋" w:cs="仿宋"/>
          <w:kern w:val="0"/>
          <w:sz w:val="28"/>
          <w:szCs w:val="28"/>
        </w:rPr>
        <w:t>诚信情况</w:t>
      </w:r>
    </w:p>
    <w:p>
      <w:pPr>
        <w:widowControl/>
        <w:jc w:val="left"/>
        <w:rPr>
          <w:rFonts w:ascii="仿宋" w:hAnsi="仿宋" w:eastAsia="仿宋"/>
        </w:rPr>
      </w:pPr>
    </w:p>
    <w:p>
      <w:pPr>
        <w:pStyle w:val="8"/>
        <w:rPr>
          <w:rFonts w:ascii="仿宋" w:hAnsi="仿宋" w:eastAsia="仿宋"/>
        </w:rPr>
      </w:pPr>
    </w:p>
    <w:p>
      <w:pPr>
        <w:rPr>
          <w:rFonts w:ascii="仿宋" w:hAnsi="仿宋" w:eastAsia="仿宋"/>
          <w:b/>
          <w:bCs/>
          <w:sz w:val="24"/>
          <w:szCs w:val="28"/>
        </w:rPr>
      </w:pPr>
    </w:p>
    <w:p>
      <w:pPr>
        <w:rPr>
          <w:rFonts w:ascii="仿宋" w:hAnsi="仿宋" w:eastAsia="仿宋"/>
          <w:b/>
          <w:bCs/>
          <w:sz w:val="24"/>
          <w:szCs w:val="28"/>
        </w:rPr>
      </w:pPr>
      <w:r>
        <w:rPr>
          <w:rFonts w:hint="eastAsia" w:ascii="仿宋" w:hAnsi="仿宋" w:eastAsia="仿宋"/>
          <w:b/>
          <w:bCs/>
          <w:sz w:val="24"/>
          <w:szCs w:val="28"/>
        </w:rPr>
        <w:br w:type="page"/>
      </w:r>
    </w:p>
    <w:p>
      <w:pPr>
        <w:widowControl/>
        <w:jc w:val="left"/>
        <w:rPr>
          <w:rFonts w:ascii="仿宋" w:hAnsi="仿宋" w:eastAsia="仿宋"/>
          <w:b/>
          <w:bCs/>
          <w:sz w:val="24"/>
          <w:szCs w:val="28"/>
        </w:rPr>
      </w:pPr>
      <w:r>
        <w:rPr>
          <w:rFonts w:hint="eastAsia" w:ascii="仿宋" w:hAnsi="仿宋" w:eastAsia="仿宋"/>
          <w:b/>
          <w:bCs/>
          <w:sz w:val="24"/>
          <w:szCs w:val="28"/>
        </w:rPr>
        <w:t>附表1</w:t>
      </w:r>
    </w:p>
    <w:p>
      <w:pPr>
        <w:rPr>
          <w:rFonts w:ascii="仿宋" w:hAnsi="仿宋" w:eastAsia="仿宋"/>
        </w:rPr>
      </w:pPr>
    </w:p>
    <w:p>
      <w:pPr>
        <w:jc w:val="center"/>
        <w:rPr>
          <w:rFonts w:ascii="仿宋" w:hAnsi="仿宋" w:eastAsia="仿宋"/>
          <w:b/>
          <w:sz w:val="32"/>
          <w:szCs w:val="32"/>
        </w:rPr>
      </w:pPr>
      <w:r>
        <w:rPr>
          <w:rFonts w:hint="eastAsia" w:ascii="仿宋" w:hAnsi="仿宋" w:eastAsia="仿宋"/>
          <w:b/>
          <w:sz w:val="32"/>
          <w:szCs w:val="32"/>
        </w:rPr>
        <w:t>项目人员情况一览表</w:t>
      </w:r>
    </w:p>
    <w:tbl>
      <w:tblPr>
        <w:tblStyle w:val="1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921"/>
        <w:gridCol w:w="922"/>
        <w:gridCol w:w="1417"/>
        <w:gridCol w:w="1276"/>
        <w:gridCol w:w="1134"/>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top w:val="double" w:color="auto" w:sz="4" w:space="0"/>
              <w:lef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序号</w:t>
            </w:r>
          </w:p>
        </w:tc>
        <w:tc>
          <w:tcPr>
            <w:tcW w:w="85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类别</w:t>
            </w:r>
          </w:p>
        </w:tc>
        <w:tc>
          <w:tcPr>
            <w:tcW w:w="921"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姓名</w:t>
            </w:r>
          </w:p>
        </w:tc>
        <w:tc>
          <w:tcPr>
            <w:tcW w:w="922"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学历</w:t>
            </w:r>
          </w:p>
        </w:tc>
        <w:tc>
          <w:tcPr>
            <w:tcW w:w="1417"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岗位及职务</w:t>
            </w:r>
          </w:p>
        </w:tc>
        <w:tc>
          <w:tcPr>
            <w:tcW w:w="1276" w:type="dxa"/>
            <w:tcBorders>
              <w:top w:val="double" w:color="auto" w:sz="4" w:space="0"/>
            </w:tcBorders>
            <w:shd w:val="clear" w:color="auto" w:fill="C6D9F0" w:themeFill="text2" w:themeFillTint="33"/>
            <w:vAlign w:val="center"/>
          </w:tcPr>
          <w:p>
            <w:pPr>
              <w:spacing w:line="276" w:lineRule="auto"/>
              <w:ind w:right="-53" w:rightChars="-25"/>
              <w:jc w:val="center"/>
              <w:rPr>
                <w:rFonts w:ascii="仿宋" w:hAnsi="仿宋" w:eastAsia="仿宋"/>
                <w:b/>
              </w:rPr>
            </w:pPr>
            <w:r>
              <w:rPr>
                <w:rFonts w:hint="eastAsia" w:ascii="仿宋" w:hAnsi="仿宋" w:eastAsia="仿宋"/>
                <w:b/>
              </w:rPr>
              <w:t>持何种资格证件</w:t>
            </w:r>
          </w:p>
        </w:tc>
        <w:tc>
          <w:tcPr>
            <w:tcW w:w="1134" w:type="dxa"/>
            <w:tcBorders>
              <w:top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发证时间</w:t>
            </w:r>
          </w:p>
        </w:tc>
        <w:tc>
          <w:tcPr>
            <w:tcW w:w="1326" w:type="dxa"/>
            <w:tcBorders>
              <w:top w:val="double" w:color="auto" w:sz="4" w:space="0"/>
              <w:right w:val="double" w:color="auto" w:sz="4" w:space="0"/>
            </w:tcBorders>
            <w:shd w:val="clear" w:color="auto" w:fill="C6D9F0" w:themeFill="text2" w:themeFillTint="33"/>
            <w:vAlign w:val="center"/>
          </w:tcPr>
          <w:p>
            <w:pPr>
              <w:spacing w:line="276" w:lineRule="auto"/>
              <w:jc w:val="center"/>
              <w:rPr>
                <w:rFonts w:ascii="仿宋" w:hAnsi="仿宋" w:eastAsia="仿宋"/>
                <w:b/>
              </w:rPr>
            </w:pPr>
            <w:r>
              <w:rPr>
                <w:rFonts w:hint="eastAsia" w:ascii="仿宋" w:hAnsi="仿宋" w:eastAsia="仿宋"/>
                <w:b/>
              </w:rPr>
              <w:t>工作经验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851" w:type="dxa"/>
            <w:vAlign w:val="center"/>
          </w:tcPr>
          <w:p>
            <w:pPr>
              <w:spacing w:line="360" w:lineRule="auto"/>
              <w:jc w:val="center"/>
              <w:rPr>
                <w:rFonts w:ascii="仿宋" w:hAnsi="仿宋" w:eastAsia="仿宋"/>
              </w:rPr>
            </w:pPr>
            <w:r>
              <w:rPr>
                <w:rFonts w:hint="eastAsia" w:ascii="仿宋" w:hAnsi="仿宋" w:eastAsia="仿宋"/>
              </w:rPr>
              <w:t>项目负责人</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851" w:type="dxa"/>
            <w:vMerge w:val="restart"/>
            <w:vAlign w:val="center"/>
          </w:tcPr>
          <w:p>
            <w:pPr>
              <w:spacing w:line="360" w:lineRule="auto"/>
              <w:jc w:val="center"/>
              <w:rPr>
                <w:rFonts w:ascii="仿宋" w:hAnsi="仿宋" w:eastAsia="仿宋"/>
              </w:rPr>
            </w:pPr>
            <w:r>
              <w:rPr>
                <w:rFonts w:hint="eastAsia" w:ascii="仿宋" w:hAnsi="仿宋" w:eastAsia="仿宋"/>
              </w:rPr>
              <w:t>项目团队成员</w:t>
            </w: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851" w:type="dxa"/>
            <w:vMerge w:val="continue"/>
            <w:vAlign w:val="center"/>
          </w:tcPr>
          <w:p>
            <w:pPr>
              <w:spacing w:line="360" w:lineRule="auto"/>
              <w:jc w:val="center"/>
              <w:rPr>
                <w:rFonts w:ascii="仿宋" w:hAnsi="仿宋" w:eastAsia="仿宋"/>
              </w:rPr>
            </w:pPr>
          </w:p>
        </w:tc>
        <w:tc>
          <w:tcPr>
            <w:tcW w:w="921" w:type="dxa"/>
            <w:vAlign w:val="center"/>
          </w:tcPr>
          <w:p>
            <w:pPr>
              <w:spacing w:line="360" w:lineRule="auto"/>
              <w:jc w:val="center"/>
              <w:rPr>
                <w:rFonts w:ascii="仿宋" w:hAnsi="仿宋" w:eastAsia="仿宋"/>
              </w:rPr>
            </w:pPr>
          </w:p>
        </w:tc>
        <w:tc>
          <w:tcPr>
            <w:tcW w:w="922" w:type="dxa"/>
            <w:vAlign w:val="center"/>
          </w:tcPr>
          <w:p>
            <w:pPr>
              <w:spacing w:line="360" w:lineRule="auto"/>
              <w:jc w:val="center"/>
              <w:rPr>
                <w:rFonts w:ascii="仿宋" w:hAnsi="仿宋" w:eastAsia="仿宋"/>
              </w:rPr>
            </w:pPr>
          </w:p>
        </w:tc>
        <w:tc>
          <w:tcPr>
            <w:tcW w:w="1417" w:type="dxa"/>
            <w:vAlign w:val="center"/>
          </w:tcPr>
          <w:p>
            <w:pPr>
              <w:spacing w:line="360" w:lineRule="auto"/>
              <w:jc w:val="center"/>
              <w:rPr>
                <w:rFonts w:ascii="仿宋" w:hAnsi="仿宋" w:eastAsia="仿宋"/>
              </w:rPr>
            </w:pPr>
          </w:p>
        </w:tc>
        <w:tc>
          <w:tcPr>
            <w:tcW w:w="1276" w:type="dxa"/>
            <w:vAlign w:val="center"/>
          </w:tcPr>
          <w:p>
            <w:pPr>
              <w:spacing w:line="360" w:lineRule="auto"/>
              <w:jc w:val="center"/>
              <w:rPr>
                <w:rFonts w:ascii="仿宋" w:hAnsi="仿宋" w:eastAsia="仿宋"/>
              </w:rPr>
            </w:pPr>
          </w:p>
        </w:tc>
        <w:tc>
          <w:tcPr>
            <w:tcW w:w="1134" w:type="dxa"/>
            <w:vAlign w:val="center"/>
          </w:tcPr>
          <w:p>
            <w:pPr>
              <w:spacing w:line="360" w:lineRule="auto"/>
              <w:jc w:val="center"/>
              <w:rPr>
                <w:rFonts w:ascii="仿宋" w:hAnsi="仿宋" w:eastAsia="仿宋"/>
              </w:rPr>
            </w:pPr>
          </w:p>
        </w:tc>
        <w:tc>
          <w:tcPr>
            <w:tcW w:w="1326"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851" w:type="dxa"/>
            <w:vMerge w:val="continue"/>
            <w:tcBorders>
              <w:bottom w:val="double" w:color="auto" w:sz="4" w:space="0"/>
            </w:tcBorders>
            <w:vAlign w:val="center"/>
          </w:tcPr>
          <w:p>
            <w:pPr>
              <w:spacing w:line="360" w:lineRule="auto"/>
              <w:jc w:val="center"/>
              <w:rPr>
                <w:rFonts w:ascii="仿宋" w:hAnsi="仿宋" w:eastAsia="仿宋"/>
              </w:rPr>
            </w:pPr>
          </w:p>
        </w:tc>
        <w:tc>
          <w:tcPr>
            <w:tcW w:w="921" w:type="dxa"/>
            <w:tcBorders>
              <w:bottom w:val="double" w:color="auto" w:sz="4" w:space="0"/>
            </w:tcBorders>
            <w:vAlign w:val="center"/>
          </w:tcPr>
          <w:p>
            <w:pPr>
              <w:spacing w:line="360" w:lineRule="auto"/>
              <w:jc w:val="center"/>
              <w:rPr>
                <w:rFonts w:ascii="仿宋" w:hAnsi="仿宋" w:eastAsia="仿宋"/>
              </w:rPr>
            </w:pPr>
          </w:p>
        </w:tc>
        <w:tc>
          <w:tcPr>
            <w:tcW w:w="922" w:type="dxa"/>
            <w:tcBorders>
              <w:bottom w:val="double" w:color="auto" w:sz="4" w:space="0"/>
            </w:tcBorders>
            <w:vAlign w:val="center"/>
          </w:tcPr>
          <w:p>
            <w:pPr>
              <w:spacing w:line="360" w:lineRule="auto"/>
              <w:jc w:val="center"/>
              <w:rPr>
                <w:rFonts w:ascii="仿宋" w:hAnsi="仿宋" w:eastAsia="仿宋"/>
              </w:rPr>
            </w:pPr>
          </w:p>
        </w:tc>
        <w:tc>
          <w:tcPr>
            <w:tcW w:w="1417" w:type="dxa"/>
            <w:tcBorders>
              <w:bottom w:val="double" w:color="auto" w:sz="4" w:space="0"/>
            </w:tcBorders>
            <w:vAlign w:val="center"/>
          </w:tcPr>
          <w:p>
            <w:pPr>
              <w:spacing w:line="360" w:lineRule="auto"/>
              <w:jc w:val="center"/>
              <w:rPr>
                <w:rFonts w:ascii="仿宋" w:hAnsi="仿宋" w:eastAsia="仿宋"/>
              </w:rPr>
            </w:pPr>
          </w:p>
        </w:tc>
        <w:tc>
          <w:tcPr>
            <w:tcW w:w="1276" w:type="dxa"/>
            <w:tcBorders>
              <w:bottom w:val="double" w:color="auto" w:sz="4" w:space="0"/>
            </w:tcBorders>
            <w:vAlign w:val="center"/>
          </w:tcPr>
          <w:p>
            <w:pPr>
              <w:spacing w:line="360" w:lineRule="auto"/>
              <w:jc w:val="center"/>
              <w:rPr>
                <w:rFonts w:ascii="仿宋" w:hAnsi="仿宋" w:eastAsia="仿宋"/>
              </w:rPr>
            </w:pPr>
          </w:p>
        </w:tc>
        <w:tc>
          <w:tcPr>
            <w:tcW w:w="1134" w:type="dxa"/>
            <w:tcBorders>
              <w:bottom w:val="double" w:color="auto" w:sz="4" w:space="0"/>
            </w:tcBorders>
            <w:vAlign w:val="center"/>
          </w:tcPr>
          <w:p>
            <w:pPr>
              <w:spacing w:line="360" w:lineRule="auto"/>
              <w:jc w:val="center"/>
              <w:rPr>
                <w:rFonts w:ascii="仿宋" w:hAnsi="仿宋" w:eastAsia="仿宋"/>
              </w:rPr>
            </w:pPr>
          </w:p>
        </w:tc>
        <w:tc>
          <w:tcPr>
            <w:tcW w:w="1326"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jc w:val="center"/>
        <w:rPr>
          <w:rFonts w:ascii="仿宋" w:hAnsi="仿宋" w:eastAsia="仿宋"/>
          <w:b/>
          <w:sz w:val="32"/>
          <w:szCs w:val="3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autoSpaceDE w:val="0"/>
        <w:autoSpaceDN w:val="0"/>
        <w:adjustRightInd w:val="0"/>
        <w:spacing w:line="360" w:lineRule="auto"/>
        <w:rPr>
          <w:rFonts w:ascii="仿宋" w:hAnsi="仿宋" w:eastAsia="仿宋"/>
          <w:b/>
          <w:color w:val="FF0000"/>
          <w:sz w:val="22"/>
        </w:rPr>
      </w:pPr>
    </w:p>
    <w:p>
      <w:pPr>
        <w:autoSpaceDE w:val="0"/>
        <w:autoSpaceDN w:val="0"/>
        <w:adjustRightInd w:val="0"/>
        <w:spacing w:line="360" w:lineRule="auto"/>
        <w:rPr>
          <w:rFonts w:ascii="仿宋" w:hAnsi="仿宋" w:eastAsia="仿宋"/>
          <w:b/>
          <w:color w:val="FF0000"/>
        </w:rPr>
      </w:pPr>
      <w:r>
        <w:rPr>
          <w:rFonts w:hint="eastAsia" w:ascii="仿宋" w:hAnsi="仿宋" w:eastAsia="仿宋"/>
          <w:b/>
          <w:color w:val="FF0000"/>
          <w:sz w:val="22"/>
        </w:rPr>
        <w:t>注：</w:t>
      </w:r>
      <w:r>
        <w:rPr>
          <w:rFonts w:hint="eastAsia" w:ascii="仿宋" w:hAnsi="仿宋" w:eastAsia="仿宋"/>
          <w:b/>
          <w:color w:val="FF0000"/>
        </w:rPr>
        <w:t xml:space="preserve"> </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2、有关人员简历及身份证、资格证书及其它证明材料（复印件）需附在本表之后。</w:t>
      </w:r>
    </w:p>
    <w:p>
      <w:pPr>
        <w:tabs>
          <w:tab w:val="left" w:pos="170"/>
        </w:tabs>
        <w:autoSpaceDE w:val="0"/>
        <w:autoSpaceDN w:val="0"/>
        <w:adjustRightInd w:val="0"/>
        <w:spacing w:line="360" w:lineRule="auto"/>
        <w:ind w:firstLine="210" w:firstLineChars="100"/>
        <w:rPr>
          <w:rFonts w:ascii="仿宋" w:hAnsi="仿宋" w:eastAsia="仿宋"/>
        </w:rPr>
      </w:pPr>
      <w:r>
        <w:rPr>
          <w:rFonts w:hint="eastAsia" w:ascii="仿宋" w:hAnsi="仿宋" w:eastAsia="仿宋"/>
        </w:rPr>
        <w:t>3、本表格所要求填写的人员是指投标单位将安排在此项目的具体人员。</w:t>
      </w:r>
    </w:p>
    <w:p>
      <w:pPr>
        <w:tabs>
          <w:tab w:val="left" w:pos="170"/>
        </w:tabs>
        <w:autoSpaceDE w:val="0"/>
        <w:autoSpaceDN w:val="0"/>
        <w:adjustRightInd w:val="0"/>
        <w:spacing w:line="360" w:lineRule="auto"/>
        <w:ind w:firstLine="210" w:firstLineChars="100"/>
        <w:rPr>
          <w:rFonts w:ascii="仿宋" w:hAnsi="仿宋" w:eastAsia="仿宋"/>
        </w:rPr>
      </w:pPr>
    </w:p>
    <w:p>
      <w:pPr>
        <w:pStyle w:val="8"/>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差异表</w:t>
      </w:r>
    </w:p>
    <w:p>
      <w:pPr>
        <w:rPr>
          <w:rFonts w:ascii="仿宋" w:hAnsi="仿宋" w:eastAsia="仿宋"/>
        </w:rPr>
      </w:pP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8"/>
        <w:tblW w:w="0" w:type="auto"/>
        <w:tblInd w:w="0" w:type="dxa"/>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2835"/>
        <w:gridCol w:w="2126"/>
        <w:gridCol w:w="260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835"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采购文件条款</w:t>
            </w:r>
          </w:p>
        </w:tc>
        <w:tc>
          <w:tcPr>
            <w:tcW w:w="2126"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投标文件响应情况</w:t>
            </w:r>
          </w:p>
        </w:tc>
        <w:tc>
          <w:tcPr>
            <w:tcW w:w="260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auto"/>
              <w:jc w:val="center"/>
              <w:rPr>
                <w:rFonts w:ascii="仿宋" w:hAnsi="仿宋" w:eastAsia="仿宋"/>
              </w:rPr>
            </w:pPr>
            <w:r>
              <w:rPr>
                <w:rFonts w:hint="eastAsia" w:ascii="仿宋" w:hAnsi="仿宋" w:eastAsia="仿宋"/>
              </w:rPr>
              <w:t>1</w:t>
            </w:r>
          </w:p>
        </w:tc>
        <w:tc>
          <w:tcPr>
            <w:tcW w:w="2835" w:type="dxa"/>
            <w:vAlign w:val="center"/>
          </w:tcPr>
          <w:p>
            <w:pPr>
              <w:spacing w:line="360" w:lineRule="auto"/>
              <w:jc w:val="center"/>
              <w:rPr>
                <w:rFonts w:ascii="仿宋" w:hAnsi="仿宋" w:eastAsia="仿宋"/>
              </w:rPr>
            </w:pPr>
            <w:r>
              <w:rPr>
                <w:rFonts w:hint="eastAsia" w:ascii="仿宋" w:hAnsi="仿宋" w:eastAsia="仿宋"/>
              </w:rPr>
              <w:t xml:space="preserve"> “</w:t>
            </w:r>
            <w:r>
              <w:rPr>
                <w:rFonts w:ascii="仿宋" w:hAnsi="仿宋" w:eastAsia="仿宋"/>
              </w:rPr>
              <w:t>第二部分采购项目需求</w:t>
            </w:r>
            <w:r>
              <w:rPr>
                <w:rFonts w:hint="eastAsia" w:ascii="仿宋" w:hAnsi="仿宋" w:eastAsia="仿宋"/>
              </w:rPr>
              <w:t>”全部采购项目需求条款</w:t>
            </w:r>
          </w:p>
        </w:tc>
        <w:tc>
          <w:tcPr>
            <w:tcW w:w="2126" w:type="dxa"/>
            <w:vAlign w:val="center"/>
          </w:tcPr>
          <w:p>
            <w:pPr>
              <w:spacing w:line="360" w:lineRule="auto"/>
              <w:jc w:val="center"/>
              <w:rPr>
                <w:rFonts w:ascii="仿宋" w:hAnsi="仿宋" w:eastAsia="仿宋"/>
              </w:rPr>
            </w:pPr>
            <w:r>
              <w:rPr>
                <w:rFonts w:ascii="仿宋" w:hAnsi="仿宋" w:eastAsia="仿宋"/>
              </w:rPr>
              <w:t>全部响应</w:t>
            </w:r>
          </w:p>
        </w:tc>
        <w:tc>
          <w:tcPr>
            <w:tcW w:w="2602" w:type="dxa"/>
            <w:vAlign w:val="center"/>
          </w:tcPr>
          <w:p>
            <w:pPr>
              <w:spacing w:line="360" w:lineRule="auto"/>
              <w:jc w:val="center"/>
              <w:rPr>
                <w:rFonts w:ascii="仿宋" w:hAnsi="仿宋" w:eastAsia="仿宋"/>
              </w:rPr>
            </w:pPr>
          </w:p>
        </w:tc>
      </w:tr>
    </w:tbl>
    <w:p>
      <w:pPr>
        <w:rPr>
          <w:rFonts w:ascii="仿宋" w:hAnsi="仿宋" w:eastAsia="仿宋"/>
          <w:bCs/>
        </w:rPr>
      </w:pPr>
      <w:r>
        <w:rPr>
          <w:rFonts w:hint="eastAsia" w:ascii="仿宋" w:hAnsi="仿宋" w:eastAsia="仿宋"/>
          <w:b/>
          <w:bCs/>
          <w:color w:val="FF0000"/>
        </w:rPr>
        <w:t>注：</w:t>
      </w:r>
      <w:r>
        <w:rPr>
          <w:rFonts w:hint="eastAsia" w:ascii="仿宋" w:hAnsi="仿宋" w:eastAsia="仿宋"/>
          <w:bCs/>
        </w:rPr>
        <w:t>投标文件的技术与商务部分与采购文件有偏差（甚至是细微偏差），都需在本表中列出。</w:t>
      </w: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Pr>
        <w:widowControl/>
        <w:jc w:val="left"/>
      </w:pPr>
    </w:p>
    <w:p>
      <w:pPr>
        <w:pStyle w:val="8"/>
      </w:pPr>
    </w:p>
    <w:p/>
    <w:p>
      <w:pPr>
        <w:pStyle w:val="8"/>
      </w:pPr>
    </w:p>
    <w:p/>
    <w:p>
      <w:pPr>
        <w:pStyle w:val="8"/>
      </w:pP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rPr>
          <w:rFonts w:ascii="仿宋" w:hAnsi="仿宋" w:eastAsia="仿宋"/>
          <w:bCs/>
        </w:rPr>
      </w:pPr>
    </w:p>
    <w:p>
      <w:pPr>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6"/>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7"/>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7"/>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7"/>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7"/>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7"/>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7"/>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7"/>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7"/>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7"/>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7"/>
        <w:numPr>
          <w:ilvl w:val="2"/>
          <w:numId w:val="2"/>
        </w:numPr>
        <w:adjustRightInd w:val="0"/>
        <w:snapToGrid w:val="0"/>
        <w:spacing w:line="360" w:lineRule="auto"/>
      </w:pPr>
      <w:r>
        <w:rPr>
          <w:rFonts w:hint="eastAsia"/>
        </w:rPr>
        <w:t>当事人迟延履行后发生不可抗力的，不能免除责任。</w:t>
      </w:r>
    </w:p>
    <w:p>
      <w:pPr>
        <w:pStyle w:val="37"/>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7"/>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7"/>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7"/>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7"/>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7"/>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7"/>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7"/>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7"/>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7"/>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Pr>
        <w:adjustRightInd w:val="0"/>
        <w:spacing w:line="360" w:lineRule="auto"/>
        <w:jc w:val="center"/>
        <w:rPr>
          <w:rFonts w:ascii="仿宋" w:hAnsi="仿宋" w:eastAsia="仿宋"/>
          <w:b/>
          <w:snapToGrid w:val="0"/>
          <w:kern w:val="0"/>
          <w:sz w:val="32"/>
          <w:szCs w:val="32"/>
        </w:rPr>
      </w:pPr>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（8）服务方案（格式6）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（9）差异表（格式7）</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（10）</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（格式8）</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7"/>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18.2投标文件完整密封（包含两份正本和四份副本）。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r>
        <w:rPr>
          <w:rFonts w:hint="eastAsia" w:ascii="仿宋" w:hAnsi="仿宋" w:eastAsia="仿宋"/>
          <w:b/>
          <w:bCs/>
          <w:snapToGrid w:val="0"/>
          <w:color w:val="FF0000"/>
          <w:kern w:val="0"/>
          <w:szCs w:val="21"/>
          <w:highlight w:val="yellow"/>
        </w:rPr>
        <w:t>如是邮寄标书，可以不用到现场参与</w:t>
      </w:r>
      <w:r>
        <w:rPr>
          <w:rFonts w:hint="eastAsia" w:ascii="仿宋" w:hAnsi="仿宋" w:eastAsia="仿宋"/>
          <w:snapToGrid w:val="0"/>
          <w:kern w:val="0"/>
          <w:szCs w:val="21"/>
        </w:rPr>
        <w:t>】</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26.5.1公开征集采购方式说明：采购项目投标截止时，合格有效的投标人数量在2家（或以上）时按综合评分法进行评审；合格有效的投标人为1家时，则与合格有效的投标人进行单一来源谈判。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7"/>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70"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71"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72"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73"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74"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75"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76"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77"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78"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79"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80"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81"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82"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83"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84"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货物招标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1.80%</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1.80%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1.10%</w:t>
            </w:r>
          </w:p>
        </w:tc>
        <w:tc>
          <w:tcPr>
            <w:tcW w:w="2752" w:type="dxa"/>
            <w:tcBorders>
              <w:lef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1.40%</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注：1、采购代理服务费按差额定率累进法计算。例如：某服务类项目中标金额为200万元，计算采购代理服务费额如下：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100万元×1.8%=1.8万元</w:t>
      </w:r>
    </w:p>
    <w:p>
      <w:pPr>
        <w:spacing w:line="360" w:lineRule="auto"/>
        <w:ind w:firstLine="420" w:firstLineChars="200"/>
        <w:rPr>
          <w:rFonts w:ascii="仿宋" w:hAnsi="仿宋" w:eastAsia="仿宋"/>
          <w:szCs w:val="21"/>
        </w:rPr>
      </w:pPr>
      <w:r>
        <w:rPr>
          <w:rFonts w:hint="eastAsia" w:ascii="仿宋" w:hAnsi="仿宋" w:eastAsia="仿宋"/>
          <w:szCs w:val="21"/>
        </w:rPr>
        <w:t>（200-100）万元×1.1%=1.1万元</w:t>
      </w:r>
    </w:p>
    <w:p>
      <w:r>
        <w:rPr>
          <w:rFonts w:hint="eastAsia" w:ascii="仿宋" w:hAnsi="仿宋" w:eastAsia="仿宋"/>
          <w:szCs w:val="21"/>
        </w:rPr>
        <w:t xml:space="preserve">    合计收费=1.8+1.1＝2.8（万元）</w:t>
      </w: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3"/>
    </w:sdtPr>
    <w:sdtContent>
      <w:p>
        <w:pPr>
          <w:pStyle w:val="13"/>
          <w:jc w:val="center"/>
        </w:pPr>
        <w:r>
          <w:fldChar w:fldCharType="begin"/>
        </w:r>
        <w:r>
          <w:instrText xml:space="preserve"> PAGE   \* MERGEFORMAT </w:instrText>
        </w:r>
        <w:r>
          <w:fldChar w:fldCharType="separate"/>
        </w:r>
        <w:r>
          <w:rPr>
            <w:lang w:val="zh-CN"/>
          </w:rPr>
          <w:t>39</w:t>
        </w:r>
        <w:r>
          <w:rPr>
            <w:lang w:val="zh-CN"/>
          </w:rPr>
          <w:fldChar w:fldCharType="end"/>
        </w:r>
      </w:p>
    </w:sdtContent>
  </w:sdt>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147464"/>
    </w:sdtPr>
    <w:sdtContent>
      <w:p>
        <w:pPr>
          <w:pStyle w:val="13"/>
          <w:jc w:val="center"/>
        </w:pP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rFonts w:hint="eastAsia" w:ascii="宋体" w:hAnsi="宋体"/>
      </w:rPr>
    </w:pPr>
    <w:r>
      <w:rPr>
        <w:rFonts w:hint="eastAsia"/>
      </w:rPr>
      <w:t>项目名称：</w:t>
    </w:r>
    <w:r>
      <w:rPr>
        <w:rFonts w:hint="eastAsia" w:ascii="宋体" w:hAnsi="宋体"/>
      </w:rPr>
      <w:t>北京大学深圳医院华为门诊部DR、全景机、CT项目放射防护等评价服务采购项目</w:t>
    </w:r>
  </w:p>
  <w:p>
    <w:pPr>
      <w:pStyle w:val="14"/>
      <w:jc w:val="left"/>
      <w:rPr>
        <w:rFonts w:hint="default" w:eastAsia="宋体"/>
        <w:lang w:val="en-US" w:eastAsia="zh-CN"/>
      </w:rPr>
    </w:pPr>
    <w:r>
      <w:rPr>
        <w:rFonts w:hint="eastAsia"/>
      </w:rPr>
      <w:t>项目编号：</w:t>
    </w:r>
    <w:r>
      <w:t>SZZZ202</w:t>
    </w:r>
    <w:r>
      <w:rPr>
        <w:rFonts w:hint="eastAsia"/>
      </w:rPr>
      <w:t>2</w:t>
    </w:r>
    <w:r>
      <w:t>-QC0</w:t>
    </w:r>
    <w:r>
      <w:rPr>
        <w:rFonts w:hint="eastAsia"/>
      </w:rPr>
      <w:t>1</w:t>
    </w:r>
    <w:r>
      <w:rPr>
        <w:rFonts w:hint="eastAsia"/>
        <w:lang w:val="en-US" w:eastAsia="zh-CN"/>
      </w:rPr>
      <w:t>74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81812"/>
    <w:rsid w:val="00000DEE"/>
    <w:rsid w:val="00000FB1"/>
    <w:rsid w:val="00001625"/>
    <w:rsid w:val="000042A9"/>
    <w:rsid w:val="0000490F"/>
    <w:rsid w:val="00007ECB"/>
    <w:rsid w:val="000111D4"/>
    <w:rsid w:val="00014E98"/>
    <w:rsid w:val="000159CF"/>
    <w:rsid w:val="0002500E"/>
    <w:rsid w:val="00027833"/>
    <w:rsid w:val="000309C1"/>
    <w:rsid w:val="00031BF4"/>
    <w:rsid w:val="00032DB0"/>
    <w:rsid w:val="00036165"/>
    <w:rsid w:val="00037412"/>
    <w:rsid w:val="00037D52"/>
    <w:rsid w:val="00042A65"/>
    <w:rsid w:val="00044855"/>
    <w:rsid w:val="00050F57"/>
    <w:rsid w:val="0005394E"/>
    <w:rsid w:val="00053B8A"/>
    <w:rsid w:val="000550D9"/>
    <w:rsid w:val="00055193"/>
    <w:rsid w:val="00056E7C"/>
    <w:rsid w:val="000600D8"/>
    <w:rsid w:val="00060560"/>
    <w:rsid w:val="00060B4F"/>
    <w:rsid w:val="0006220B"/>
    <w:rsid w:val="000679AB"/>
    <w:rsid w:val="00072F2B"/>
    <w:rsid w:val="00075875"/>
    <w:rsid w:val="00076401"/>
    <w:rsid w:val="000771B0"/>
    <w:rsid w:val="00080FB8"/>
    <w:rsid w:val="00081812"/>
    <w:rsid w:val="00081C0F"/>
    <w:rsid w:val="000851F4"/>
    <w:rsid w:val="00090B60"/>
    <w:rsid w:val="00094CF9"/>
    <w:rsid w:val="000A02CF"/>
    <w:rsid w:val="000B12D8"/>
    <w:rsid w:val="000B3159"/>
    <w:rsid w:val="000B44BC"/>
    <w:rsid w:val="000B61F1"/>
    <w:rsid w:val="000B7A52"/>
    <w:rsid w:val="000C05F3"/>
    <w:rsid w:val="000C1AEC"/>
    <w:rsid w:val="000C2FC4"/>
    <w:rsid w:val="000C4E01"/>
    <w:rsid w:val="000C7610"/>
    <w:rsid w:val="000C7E05"/>
    <w:rsid w:val="000D3053"/>
    <w:rsid w:val="000D4339"/>
    <w:rsid w:val="000D4C91"/>
    <w:rsid w:val="000D74FE"/>
    <w:rsid w:val="000E1731"/>
    <w:rsid w:val="000E647C"/>
    <w:rsid w:val="000E6F68"/>
    <w:rsid w:val="000F4536"/>
    <w:rsid w:val="000F47BD"/>
    <w:rsid w:val="000F4EBB"/>
    <w:rsid w:val="000F5214"/>
    <w:rsid w:val="000F5791"/>
    <w:rsid w:val="0010276A"/>
    <w:rsid w:val="001036FB"/>
    <w:rsid w:val="0010378A"/>
    <w:rsid w:val="00103A07"/>
    <w:rsid w:val="00103BD6"/>
    <w:rsid w:val="00103D0B"/>
    <w:rsid w:val="00103E57"/>
    <w:rsid w:val="00105AE0"/>
    <w:rsid w:val="00106334"/>
    <w:rsid w:val="001071FF"/>
    <w:rsid w:val="001075BE"/>
    <w:rsid w:val="0011046C"/>
    <w:rsid w:val="0011120F"/>
    <w:rsid w:val="00112047"/>
    <w:rsid w:val="001120AB"/>
    <w:rsid w:val="00113460"/>
    <w:rsid w:val="00113EC5"/>
    <w:rsid w:val="0011733C"/>
    <w:rsid w:val="001206C4"/>
    <w:rsid w:val="00120905"/>
    <w:rsid w:val="00120DDA"/>
    <w:rsid w:val="001235DF"/>
    <w:rsid w:val="001253C1"/>
    <w:rsid w:val="001300A8"/>
    <w:rsid w:val="001307EF"/>
    <w:rsid w:val="00130FFD"/>
    <w:rsid w:val="00131B9B"/>
    <w:rsid w:val="00132477"/>
    <w:rsid w:val="0013247D"/>
    <w:rsid w:val="0013568E"/>
    <w:rsid w:val="0013577A"/>
    <w:rsid w:val="0013596A"/>
    <w:rsid w:val="001451A4"/>
    <w:rsid w:val="0015310D"/>
    <w:rsid w:val="00155BE9"/>
    <w:rsid w:val="0016076C"/>
    <w:rsid w:val="00161DC5"/>
    <w:rsid w:val="00165708"/>
    <w:rsid w:val="001667AC"/>
    <w:rsid w:val="00166E7A"/>
    <w:rsid w:val="001713CD"/>
    <w:rsid w:val="001746A8"/>
    <w:rsid w:val="00174A8D"/>
    <w:rsid w:val="00180273"/>
    <w:rsid w:val="001807E0"/>
    <w:rsid w:val="00180DC2"/>
    <w:rsid w:val="0018134E"/>
    <w:rsid w:val="00182643"/>
    <w:rsid w:val="001830D7"/>
    <w:rsid w:val="00183156"/>
    <w:rsid w:val="00185010"/>
    <w:rsid w:val="001850C4"/>
    <w:rsid w:val="001906D1"/>
    <w:rsid w:val="0019175D"/>
    <w:rsid w:val="00192E27"/>
    <w:rsid w:val="00194764"/>
    <w:rsid w:val="00194B76"/>
    <w:rsid w:val="00197685"/>
    <w:rsid w:val="0019777D"/>
    <w:rsid w:val="001A0D90"/>
    <w:rsid w:val="001A0EB6"/>
    <w:rsid w:val="001A1302"/>
    <w:rsid w:val="001A4995"/>
    <w:rsid w:val="001A529F"/>
    <w:rsid w:val="001B0736"/>
    <w:rsid w:val="001B14D5"/>
    <w:rsid w:val="001B4B65"/>
    <w:rsid w:val="001B4C23"/>
    <w:rsid w:val="001C0532"/>
    <w:rsid w:val="001C1FFB"/>
    <w:rsid w:val="001D3874"/>
    <w:rsid w:val="001D6198"/>
    <w:rsid w:val="001D6B2F"/>
    <w:rsid w:val="001D7A7C"/>
    <w:rsid w:val="001E1BC7"/>
    <w:rsid w:val="001E1F63"/>
    <w:rsid w:val="001E398A"/>
    <w:rsid w:val="001E3C4F"/>
    <w:rsid w:val="001E4745"/>
    <w:rsid w:val="001E5169"/>
    <w:rsid w:val="001E60D1"/>
    <w:rsid w:val="001E6EA6"/>
    <w:rsid w:val="001E7031"/>
    <w:rsid w:val="001F0977"/>
    <w:rsid w:val="001F2061"/>
    <w:rsid w:val="001F259A"/>
    <w:rsid w:val="001F2D31"/>
    <w:rsid w:val="001F36D4"/>
    <w:rsid w:val="001F3E52"/>
    <w:rsid w:val="001F52C4"/>
    <w:rsid w:val="001F5A31"/>
    <w:rsid w:val="00201055"/>
    <w:rsid w:val="00204553"/>
    <w:rsid w:val="00210328"/>
    <w:rsid w:val="00211E1C"/>
    <w:rsid w:val="002131F0"/>
    <w:rsid w:val="002134C1"/>
    <w:rsid w:val="00213858"/>
    <w:rsid w:val="002140DF"/>
    <w:rsid w:val="002151EE"/>
    <w:rsid w:val="00215F43"/>
    <w:rsid w:val="00216C79"/>
    <w:rsid w:val="002172FA"/>
    <w:rsid w:val="00223218"/>
    <w:rsid w:val="0022493F"/>
    <w:rsid w:val="002259B7"/>
    <w:rsid w:val="00226BD7"/>
    <w:rsid w:val="00230218"/>
    <w:rsid w:val="002304B2"/>
    <w:rsid w:val="00235A7C"/>
    <w:rsid w:val="002366EC"/>
    <w:rsid w:val="00240B70"/>
    <w:rsid w:val="00241247"/>
    <w:rsid w:val="00241A35"/>
    <w:rsid w:val="00244EDA"/>
    <w:rsid w:val="002463C2"/>
    <w:rsid w:val="0024707D"/>
    <w:rsid w:val="00251EE6"/>
    <w:rsid w:val="00252A0E"/>
    <w:rsid w:val="00256F3C"/>
    <w:rsid w:val="0026095A"/>
    <w:rsid w:val="00260974"/>
    <w:rsid w:val="00264F5D"/>
    <w:rsid w:val="00265825"/>
    <w:rsid w:val="002666B6"/>
    <w:rsid w:val="00270AB4"/>
    <w:rsid w:val="0027125F"/>
    <w:rsid w:val="0027386D"/>
    <w:rsid w:val="00273CE7"/>
    <w:rsid w:val="00281900"/>
    <w:rsid w:val="00282D0F"/>
    <w:rsid w:val="00284440"/>
    <w:rsid w:val="00285487"/>
    <w:rsid w:val="00290049"/>
    <w:rsid w:val="0029352A"/>
    <w:rsid w:val="002938FD"/>
    <w:rsid w:val="00293E95"/>
    <w:rsid w:val="00294665"/>
    <w:rsid w:val="002A06F5"/>
    <w:rsid w:val="002A179B"/>
    <w:rsid w:val="002A3990"/>
    <w:rsid w:val="002A78DB"/>
    <w:rsid w:val="002B11F2"/>
    <w:rsid w:val="002C3E2A"/>
    <w:rsid w:val="002C54D8"/>
    <w:rsid w:val="002C5B23"/>
    <w:rsid w:val="002C5F7F"/>
    <w:rsid w:val="002D285F"/>
    <w:rsid w:val="002D4AE6"/>
    <w:rsid w:val="002D51A5"/>
    <w:rsid w:val="002D6413"/>
    <w:rsid w:val="002D78BD"/>
    <w:rsid w:val="002E071E"/>
    <w:rsid w:val="002E6738"/>
    <w:rsid w:val="002F30E6"/>
    <w:rsid w:val="002F49D2"/>
    <w:rsid w:val="002F5D8F"/>
    <w:rsid w:val="002F5DF7"/>
    <w:rsid w:val="003007E9"/>
    <w:rsid w:val="00300F63"/>
    <w:rsid w:val="00302A03"/>
    <w:rsid w:val="00302EF1"/>
    <w:rsid w:val="00303151"/>
    <w:rsid w:val="0030484B"/>
    <w:rsid w:val="00305E56"/>
    <w:rsid w:val="00310D9B"/>
    <w:rsid w:val="00312539"/>
    <w:rsid w:val="00312A7C"/>
    <w:rsid w:val="003165DD"/>
    <w:rsid w:val="003206AD"/>
    <w:rsid w:val="003215BB"/>
    <w:rsid w:val="00321AB6"/>
    <w:rsid w:val="00321C69"/>
    <w:rsid w:val="00324BEB"/>
    <w:rsid w:val="00325DC4"/>
    <w:rsid w:val="0032699D"/>
    <w:rsid w:val="00327C10"/>
    <w:rsid w:val="00331CBE"/>
    <w:rsid w:val="00331CEB"/>
    <w:rsid w:val="00331F0C"/>
    <w:rsid w:val="003366C3"/>
    <w:rsid w:val="00341029"/>
    <w:rsid w:val="00341DF6"/>
    <w:rsid w:val="003467AA"/>
    <w:rsid w:val="00347DED"/>
    <w:rsid w:val="0035266A"/>
    <w:rsid w:val="003533CB"/>
    <w:rsid w:val="003566C5"/>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1507"/>
    <w:rsid w:val="00373358"/>
    <w:rsid w:val="003734A9"/>
    <w:rsid w:val="003749D0"/>
    <w:rsid w:val="003817C2"/>
    <w:rsid w:val="003821BD"/>
    <w:rsid w:val="00385F8F"/>
    <w:rsid w:val="00394101"/>
    <w:rsid w:val="003961A8"/>
    <w:rsid w:val="00397B90"/>
    <w:rsid w:val="003A0AF8"/>
    <w:rsid w:val="003A2361"/>
    <w:rsid w:val="003A2D80"/>
    <w:rsid w:val="003A3825"/>
    <w:rsid w:val="003A45DB"/>
    <w:rsid w:val="003A6687"/>
    <w:rsid w:val="003B0701"/>
    <w:rsid w:val="003B09EB"/>
    <w:rsid w:val="003B1F2D"/>
    <w:rsid w:val="003B2517"/>
    <w:rsid w:val="003B3548"/>
    <w:rsid w:val="003B480F"/>
    <w:rsid w:val="003B72A9"/>
    <w:rsid w:val="003B73C7"/>
    <w:rsid w:val="003C007A"/>
    <w:rsid w:val="003C09AC"/>
    <w:rsid w:val="003C0FD1"/>
    <w:rsid w:val="003C5421"/>
    <w:rsid w:val="003C5430"/>
    <w:rsid w:val="003C73B6"/>
    <w:rsid w:val="003D00F6"/>
    <w:rsid w:val="003D4C25"/>
    <w:rsid w:val="003D6A99"/>
    <w:rsid w:val="003D7227"/>
    <w:rsid w:val="003D76AD"/>
    <w:rsid w:val="003E0447"/>
    <w:rsid w:val="003E21AD"/>
    <w:rsid w:val="003E2E33"/>
    <w:rsid w:val="003E7DA3"/>
    <w:rsid w:val="003F2113"/>
    <w:rsid w:val="003F35A5"/>
    <w:rsid w:val="003F5A49"/>
    <w:rsid w:val="00400065"/>
    <w:rsid w:val="00410FE8"/>
    <w:rsid w:val="00414963"/>
    <w:rsid w:val="00415251"/>
    <w:rsid w:val="0041630C"/>
    <w:rsid w:val="004164C2"/>
    <w:rsid w:val="004168DC"/>
    <w:rsid w:val="00417BA6"/>
    <w:rsid w:val="00417C44"/>
    <w:rsid w:val="0042116F"/>
    <w:rsid w:val="00421DAD"/>
    <w:rsid w:val="00422693"/>
    <w:rsid w:val="00422C44"/>
    <w:rsid w:val="0042569B"/>
    <w:rsid w:val="0042757A"/>
    <w:rsid w:val="00427866"/>
    <w:rsid w:val="0043223F"/>
    <w:rsid w:val="004430A5"/>
    <w:rsid w:val="0044367E"/>
    <w:rsid w:val="00446C65"/>
    <w:rsid w:val="004501AD"/>
    <w:rsid w:val="0045273A"/>
    <w:rsid w:val="00453647"/>
    <w:rsid w:val="00454F13"/>
    <w:rsid w:val="00454FF9"/>
    <w:rsid w:val="00460AA2"/>
    <w:rsid w:val="00462399"/>
    <w:rsid w:val="004625C3"/>
    <w:rsid w:val="00465C8A"/>
    <w:rsid w:val="00466085"/>
    <w:rsid w:val="0046668A"/>
    <w:rsid w:val="00466DE8"/>
    <w:rsid w:val="00467D37"/>
    <w:rsid w:val="00475AAD"/>
    <w:rsid w:val="00476772"/>
    <w:rsid w:val="004807D8"/>
    <w:rsid w:val="0048492A"/>
    <w:rsid w:val="00485BF2"/>
    <w:rsid w:val="00486360"/>
    <w:rsid w:val="004870E5"/>
    <w:rsid w:val="00487AC8"/>
    <w:rsid w:val="00490108"/>
    <w:rsid w:val="00492ED3"/>
    <w:rsid w:val="00492EE9"/>
    <w:rsid w:val="00494A35"/>
    <w:rsid w:val="0049518C"/>
    <w:rsid w:val="004A008B"/>
    <w:rsid w:val="004A17F8"/>
    <w:rsid w:val="004A2A14"/>
    <w:rsid w:val="004A3ED8"/>
    <w:rsid w:val="004A44E9"/>
    <w:rsid w:val="004A4D27"/>
    <w:rsid w:val="004B2C1C"/>
    <w:rsid w:val="004B3011"/>
    <w:rsid w:val="004B3E4E"/>
    <w:rsid w:val="004B5B8D"/>
    <w:rsid w:val="004B702D"/>
    <w:rsid w:val="004B7A5D"/>
    <w:rsid w:val="004C01E3"/>
    <w:rsid w:val="004C1824"/>
    <w:rsid w:val="004C1F8C"/>
    <w:rsid w:val="004C267E"/>
    <w:rsid w:val="004C2C97"/>
    <w:rsid w:val="004C3BFC"/>
    <w:rsid w:val="004C4655"/>
    <w:rsid w:val="004C5A96"/>
    <w:rsid w:val="004D1E7C"/>
    <w:rsid w:val="004D21F9"/>
    <w:rsid w:val="004D3C88"/>
    <w:rsid w:val="004D3EFD"/>
    <w:rsid w:val="004D6C39"/>
    <w:rsid w:val="004E30ED"/>
    <w:rsid w:val="004E6514"/>
    <w:rsid w:val="004F0013"/>
    <w:rsid w:val="004F037B"/>
    <w:rsid w:val="004F1964"/>
    <w:rsid w:val="004F2741"/>
    <w:rsid w:val="004F2776"/>
    <w:rsid w:val="004F4A43"/>
    <w:rsid w:val="004F57EA"/>
    <w:rsid w:val="004F5A1F"/>
    <w:rsid w:val="0050673A"/>
    <w:rsid w:val="00507910"/>
    <w:rsid w:val="005101D8"/>
    <w:rsid w:val="005115F1"/>
    <w:rsid w:val="00513405"/>
    <w:rsid w:val="00516927"/>
    <w:rsid w:val="00517508"/>
    <w:rsid w:val="00524AB5"/>
    <w:rsid w:val="0052553C"/>
    <w:rsid w:val="00530955"/>
    <w:rsid w:val="00530EBB"/>
    <w:rsid w:val="00531594"/>
    <w:rsid w:val="005339CE"/>
    <w:rsid w:val="0053608D"/>
    <w:rsid w:val="00536394"/>
    <w:rsid w:val="00536771"/>
    <w:rsid w:val="0054086A"/>
    <w:rsid w:val="00541912"/>
    <w:rsid w:val="00541962"/>
    <w:rsid w:val="00544A1E"/>
    <w:rsid w:val="005454F7"/>
    <w:rsid w:val="00546FF3"/>
    <w:rsid w:val="00552EA1"/>
    <w:rsid w:val="0055372B"/>
    <w:rsid w:val="0055628A"/>
    <w:rsid w:val="00556603"/>
    <w:rsid w:val="00561EBC"/>
    <w:rsid w:val="00562A80"/>
    <w:rsid w:val="005659BA"/>
    <w:rsid w:val="00565F47"/>
    <w:rsid w:val="00571D74"/>
    <w:rsid w:val="00571DC0"/>
    <w:rsid w:val="00574D07"/>
    <w:rsid w:val="00580DD1"/>
    <w:rsid w:val="00581D61"/>
    <w:rsid w:val="0058457D"/>
    <w:rsid w:val="00584C51"/>
    <w:rsid w:val="0059165F"/>
    <w:rsid w:val="00594812"/>
    <w:rsid w:val="00597492"/>
    <w:rsid w:val="005977CD"/>
    <w:rsid w:val="005A198A"/>
    <w:rsid w:val="005A2D99"/>
    <w:rsid w:val="005A556A"/>
    <w:rsid w:val="005A6A03"/>
    <w:rsid w:val="005B1387"/>
    <w:rsid w:val="005B39F5"/>
    <w:rsid w:val="005B3CF3"/>
    <w:rsid w:val="005B4677"/>
    <w:rsid w:val="005B6672"/>
    <w:rsid w:val="005C038C"/>
    <w:rsid w:val="005C1F40"/>
    <w:rsid w:val="005C26E6"/>
    <w:rsid w:val="005C297C"/>
    <w:rsid w:val="005C50DE"/>
    <w:rsid w:val="005C669E"/>
    <w:rsid w:val="005C6BAF"/>
    <w:rsid w:val="005D120E"/>
    <w:rsid w:val="005D2420"/>
    <w:rsid w:val="005E0B51"/>
    <w:rsid w:val="005E18E3"/>
    <w:rsid w:val="005E3AA1"/>
    <w:rsid w:val="005E3DDF"/>
    <w:rsid w:val="005E5481"/>
    <w:rsid w:val="005E5539"/>
    <w:rsid w:val="005F13C2"/>
    <w:rsid w:val="005F37DF"/>
    <w:rsid w:val="005F3B95"/>
    <w:rsid w:val="005F559B"/>
    <w:rsid w:val="006013DE"/>
    <w:rsid w:val="00606E51"/>
    <w:rsid w:val="0061385D"/>
    <w:rsid w:val="00614576"/>
    <w:rsid w:val="00615303"/>
    <w:rsid w:val="006163F2"/>
    <w:rsid w:val="00617AA3"/>
    <w:rsid w:val="006231AA"/>
    <w:rsid w:val="0062393E"/>
    <w:rsid w:val="00624117"/>
    <w:rsid w:val="00624500"/>
    <w:rsid w:val="00626118"/>
    <w:rsid w:val="00626FA9"/>
    <w:rsid w:val="00627FC7"/>
    <w:rsid w:val="00630A1C"/>
    <w:rsid w:val="0063172A"/>
    <w:rsid w:val="00634058"/>
    <w:rsid w:val="00634059"/>
    <w:rsid w:val="006340B5"/>
    <w:rsid w:val="00635984"/>
    <w:rsid w:val="00636C5D"/>
    <w:rsid w:val="00640096"/>
    <w:rsid w:val="00641597"/>
    <w:rsid w:val="00645DC0"/>
    <w:rsid w:val="00660043"/>
    <w:rsid w:val="00662F5A"/>
    <w:rsid w:val="006658FD"/>
    <w:rsid w:val="0067037C"/>
    <w:rsid w:val="006705E0"/>
    <w:rsid w:val="006724DC"/>
    <w:rsid w:val="0067485A"/>
    <w:rsid w:val="006755C2"/>
    <w:rsid w:val="00680CAD"/>
    <w:rsid w:val="00681F30"/>
    <w:rsid w:val="00682237"/>
    <w:rsid w:val="00682B9C"/>
    <w:rsid w:val="0068357D"/>
    <w:rsid w:val="00683EB7"/>
    <w:rsid w:val="0068713A"/>
    <w:rsid w:val="0069583C"/>
    <w:rsid w:val="006A5038"/>
    <w:rsid w:val="006A535A"/>
    <w:rsid w:val="006A7A1E"/>
    <w:rsid w:val="006B36EE"/>
    <w:rsid w:val="006B752A"/>
    <w:rsid w:val="006B7F97"/>
    <w:rsid w:val="006C29E2"/>
    <w:rsid w:val="006C3937"/>
    <w:rsid w:val="006C57C7"/>
    <w:rsid w:val="006C5E75"/>
    <w:rsid w:val="006C7615"/>
    <w:rsid w:val="006D0A65"/>
    <w:rsid w:val="006D0B4B"/>
    <w:rsid w:val="006D0B9C"/>
    <w:rsid w:val="006D0CD7"/>
    <w:rsid w:val="006D125F"/>
    <w:rsid w:val="006D609F"/>
    <w:rsid w:val="006E0808"/>
    <w:rsid w:val="006E0C83"/>
    <w:rsid w:val="006E0F6E"/>
    <w:rsid w:val="006E26F4"/>
    <w:rsid w:val="006E561B"/>
    <w:rsid w:val="006E6138"/>
    <w:rsid w:val="006E7E40"/>
    <w:rsid w:val="006F0048"/>
    <w:rsid w:val="006F0C30"/>
    <w:rsid w:val="006F1F29"/>
    <w:rsid w:val="006F6DFA"/>
    <w:rsid w:val="007031AC"/>
    <w:rsid w:val="007045A7"/>
    <w:rsid w:val="007056CF"/>
    <w:rsid w:val="00707AC6"/>
    <w:rsid w:val="007101BF"/>
    <w:rsid w:val="00710E18"/>
    <w:rsid w:val="00711D73"/>
    <w:rsid w:val="00712437"/>
    <w:rsid w:val="00712AB9"/>
    <w:rsid w:val="00712FBB"/>
    <w:rsid w:val="007202B8"/>
    <w:rsid w:val="007204CB"/>
    <w:rsid w:val="00725DCC"/>
    <w:rsid w:val="007264E7"/>
    <w:rsid w:val="00731470"/>
    <w:rsid w:val="00731E75"/>
    <w:rsid w:val="0073473A"/>
    <w:rsid w:val="00734C96"/>
    <w:rsid w:val="00734FEE"/>
    <w:rsid w:val="00740C34"/>
    <w:rsid w:val="007421A3"/>
    <w:rsid w:val="007458E4"/>
    <w:rsid w:val="007516CF"/>
    <w:rsid w:val="00752B5B"/>
    <w:rsid w:val="00753B18"/>
    <w:rsid w:val="00761B09"/>
    <w:rsid w:val="00762130"/>
    <w:rsid w:val="0076307E"/>
    <w:rsid w:val="00772F41"/>
    <w:rsid w:val="0077521B"/>
    <w:rsid w:val="00776554"/>
    <w:rsid w:val="007811AB"/>
    <w:rsid w:val="00785E4F"/>
    <w:rsid w:val="0078680E"/>
    <w:rsid w:val="00792109"/>
    <w:rsid w:val="007928C7"/>
    <w:rsid w:val="00793E36"/>
    <w:rsid w:val="00794D26"/>
    <w:rsid w:val="007A0AF9"/>
    <w:rsid w:val="007A1673"/>
    <w:rsid w:val="007A458B"/>
    <w:rsid w:val="007A47AB"/>
    <w:rsid w:val="007A47D0"/>
    <w:rsid w:val="007B00AD"/>
    <w:rsid w:val="007B58FB"/>
    <w:rsid w:val="007B6A98"/>
    <w:rsid w:val="007B7EE3"/>
    <w:rsid w:val="007C035E"/>
    <w:rsid w:val="007C0EC0"/>
    <w:rsid w:val="007C6BBE"/>
    <w:rsid w:val="007C75FA"/>
    <w:rsid w:val="007D0F9A"/>
    <w:rsid w:val="007D4329"/>
    <w:rsid w:val="007D4552"/>
    <w:rsid w:val="007D49B8"/>
    <w:rsid w:val="007D57B6"/>
    <w:rsid w:val="007D6457"/>
    <w:rsid w:val="007D759B"/>
    <w:rsid w:val="007E1CC4"/>
    <w:rsid w:val="007E2D1B"/>
    <w:rsid w:val="007E377A"/>
    <w:rsid w:val="007E422B"/>
    <w:rsid w:val="007E6064"/>
    <w:rsid w:val="007F0A36"/>
    <w:rsid w:val="007F5B57"/>
    <w:rsid w:val="007F707C"/>
    <w:rsid w:val="0080097C"/>
    <w:rsid w:val="00803317"/>
    <w:rsid w:val="008050C5"/>
    <w:rsid w:val="00816305"/>
    <w:rsid w:val="0081690D"/>
    <w:rsid w:val="008227C0"/>
    <w:rsid w:val="00822F18"/>
    <w:rsid w:val="008237AE"/>
    <w:rsid w:val="008245C9"/>
    <w:rsid w:val="00831DA8"/>
    <w:rsid w:val="008338E9"/>
    <w:rsid w:val="0083456A"/>
    <w:rsid w:val="00836C91"/>
    <w:rsid w:val="00837E5D"/>
    <w:rsid w:val="008400A9"/>
    <w:rsid w:val="00844881"/>
    <w:rsid w:val="00851111"/>
    <w:rsid w:val="0085139E"/>
    <w:rsid w:val="00851BAA"/>
    <w:rsid w:val="00854839"/>
    <w:rsid w:val="00855CDD"/>
    <w:rsid w:val="00857895"/>
    <w:rsid w:val="00860209"/>
    <w:rsid w:val="00861447"/>
    <w:rsid w:val="00862F1A"/>
    <w:rsid w:val="00866DC9"/>
    <w:rsid w:val="00867868"/>
    <w:rsid w:val="00867964"/>
    <w:rsid w:val="00867F26"/>
    <w:rsid w:val="00870B1C"/>
    <w:rsid w:val="00871FDA"/>
    <w:rsid w:val="00875E76"/>
    <w:rsid w:val="008760F4"/>
    <w:rsid w:val="00876C9B"/>
    <w:rsid w:val="00880E46"/>
    <w:rsid w:val="00884EE0"/>
    <w:rsid w:val="00885021"/>
    <w:rsid w:val="008857F3"/>
    <w:rsid w:val="0089097C"/>
    <w:rsid w:val="008913F6"/>
    <w:rsid w:val="0089189B"/>
    <w:rsid w:val="008978BC"/>
    <w:rsid w:val="00897B8F"/>
    <w:rsid w:val="008A00DE"/>
    <w:rsid w:val="008A1135"/>
    <w:rsid w:val="008A5579"/>
    <w:rsid w:val="008A7105"/>
    <w:rsid w:val="008B23ED"/>
    <w:rsid w:val="008B3CF6"/>
    <w:rsid w:val="008B6E3E"/>
    <w:rsid w:val="008C22C3"/>
    <w:rsid w:val="008C2872"/>
    <w:rsid w:val="008C4E93"/>
    <w:rsid w:val="008C5174"/>
    <w:rsid w:val="008C5331"/>
    <w:rsid w:val="008C7EF1"/>
    <w:rsid w:val="008D1C6E"/>
    <w:rsid w:val="008D589B"/>
    <w:rsid w:val="008D5F36"/>
    <w:rsid w:val="008D6F39"/>
    <w:rsid w:val="008D74D8"/>
    <w:rsid w:val="008E45DD"/>
    <w:rsid w:val="008E5BEA"/>
    <w:rsid w:val="008E61CF"/>
    <w:rsid w:val="008E66A7"/>
    <w:rsid w:val="008F0027"/>
    <w:rsid w:val="008F13F4"/>
    <w:rsid w:val="008F2248"/>
    <w:rsid w:val="008F429A"/>
    <w:rsid w:val="008F4809"/>
    <w:rsid w:val="008F4885"/>
    <w:rsid w:val="008F69B0"/>
    <w:rsid w:val="008F6DFC"/>
    <w:rsid w:val="00900FA9"/>
    <w:rsid w:val="00901C9D"/>
    <w:rsid w:val="0090254E"/>
    <w:rsid w:val="0090397D"/>
    <w:rsid w:val="00903B8A"/>
    <w:rsid w:val="0090531F"/>
    <w:rsid w:val="00907F35"/>
    <w:rsid w:val="0091449C"/>
    <w:rsid w:val="00915C0A"/>
    <w:rsid w:val="00916394"/>
    <w:rsid w:val="00916C61"/>
    <w:rsid w:val="00920BE6"/>
    <w:rsid w:val="00920D54"/>
    <w:rsid w:val="00922E91"/>
    <w:rsid w:val="009253A2"/>
    <w:rsid w:val="009260F9"/>
    <w:rsid w:val="00926811"/>
    <w:rsid w:val="009328BD"/>
    <w:rsid w:val="0093469C"/>
    <w:rsid w:val="00940D53"/>
    <w:rsid w:val="00942081"/>
    <w:rsid w:val="009447BD"/>
    <w:rsid w:val="00950D6C"/>
    <w:rsid w:val="00952B8F"/>
    <w:rsid w:val="00955935"/>
    <w:rsid w:val="00956877"/>
    <w:rsid w:val="009574EE"/>
    <w:rsid w:val="00964F16"/>
    <w:rsid w:val="0096690F"/>
    <w:rsid w:val="0096729D"/>
    <w:rsid w:val="00967A7A"/>
    <w:rsid w:val="00970692"/>
    <w:rsid w:val="00971686"/>
    <w:rsid w:val="00973719"/>
    <w:rsid w:val="00973845"/>
    <w:rsid w:val="009743E5"/>
    <w:rsid w:val="0097647D"/>
    <w:rsid w:val="00983A52"/>
    <w:rsid w:val="00984B13"/>
    <w:rsid w:val="00986AE7"/>
    <w:rsid w:val="00987773"/>
    <w:rsid w:val="00987A32"/>
    <w:rsid w:val="00993600"/>
    <w:rsid w:val="0099428B"/>
    <w:rsid w:val="00997D11"/>
    <w:rsid w:val="009A0A96"/>
    <w:rsid w:val="009A271D"/>
    <w:rsid w:val="009A44F9"/>
    <w:rsid w:val="009A70D5"/>
    <w:rsid w:val="009B2507"/>
    <w:rsid w:val="009B2E8E"/>
    <w:rsid w:val="009B3004"/>
    <w:rsid w:val="009B348C"/>
    <w:rsid w:val="009B7712"/>
    <w:rsid w:val="009B7B83"/>
    <w:rsid w:val="009C0636"/>
    <w:rsid w:val="009C08BA"/>
    <w:rsid w:val="009C21EA"/>
    <w:rsid w:val="009C6F0A"/>
    <w:rsid w:val="009C6F32"/>
    <w:rsid w:val="009C797B"/>
    <w:rsid w:val="009D02E8"/>
    <w:rsid w:val="009D0C05"/>
    <w:rsid w:val="009D4274"/>
    <w:rsid w:val="009D461F"/>
    <w:rsid w:val="009D5D74"/>
    <w:rsid w:val="009D622C"/>
    <w:rsid w:val="009E1268"/>
    <w:rsid w:val="009E5AB3"/>
    <w:rsid w:val="009E61F7"/>
    <w:rsid w:val="009E7BE7"/>
    <w:rsid w:val="009E7EB2"/>
    <w:rsid w:val="009F145D"/>
    <w:rsid w:val="009F17D1"/>
    <w:rsid w:val="009F7CAB"/>
    <w:rsid w:val="00A011F7"/>
    <w:rsid w:val="00A02E6E"/>
    <w:rsid w:val="00A03F22"/>
    <w:rsid w:val="00A064C9"/>
    <w:rsid w:val="00A0662C"/>
    <w:rsid w:val="00A12624"/>
    <w:rsid w:val="00A1407B"/>
    <w:rsid w:val="00A14B13"/>
    <w:rsid w:val="00A14B40"/>
    <w:rsid w:val="00A15BF3"/>
    <w:rsid w:val="00A17FEB"/>
    <w:rsid w:val="00A20772"/>
    <w:rsid w:val="00A214C8"/>
    <w:rsid w:val="00A21567"/>
    <w:rsid w:val="00A215C7"/>
    <w:rsid w:val="00A22C2D"/>
    <w:rsid w:val="00A24B13"/>
    <w:rsid w:val="00A25794"/>
    <w:rsid w:val="00A30451"/>
    <w:rsid w:val="00A3148A"/>
    <w:rsid w:val="00A324AB"/>
    <w:rsid w:val="00A33C11"/>
    <w:rsid w:val="00A34E09"/>
    <w:rsid w:val="00A35B35"/>
    <w:rsid w:val="00A4296E"/>
    <w:rsid w:val="00A44A6C"/>
    <w:rsid w:val="00A45819"/>
    <w:rsid w:val="00A4687A"/>
    <w:rsid w:val="00A47350"/>
    <w:rsid w:val="00A47C08"/>
    <w:rsid w:val="00A517BC"/>
    <w:rsid w:val="00A52F47"/>
    <w:rsid w:val="00A54695"/>
    <w:rsid w:val="00A54D83"/>
    <w:rsid w:val="00A61F5C"/>
    <w:rsid w:val="00A63384"/>
    <w:rsid w:val="00A6416E"/>
    <w:rsid w:val="00A71754"/>
    <w:rsid w:val="00A717E7"/>
    <w:rsid w:val="00A71EDB"/>
    <w:rsid w:val="00A74152"/>
    <w:rsid w:val="00A757D1"/>
    <w:rsid w:val="00A76A28"/>
    <w:rsid w:val="00A8284E"/>
    <w:rsid w:val="00A83243"/>
    <w:rsid w:val="00A83CC9"/>
    <w:rsid w:val="00A8789C"/>
    <w:rsid w:val="00A90111"/>
    <w:rsid w:val="00A91528"/>
    <w:rsid w:val="00A95196"/>
    <w:rsid w:val="00A9738A"/>
    <w:rsid w:val="00AA1EFF"/>
    <w:rsid w:val="00AA5115"/>
    <w:rsid w:val="00AB14C7"/>
    <w:rsid w:val="00AB2264"/>
    <w:rsid w:val="00AB4E47"/>
    <w:rsid w:val="00AB67F7"/>
    <w:rsid w:val="00AC0715"/>
    <w:rsid w:val="00AC146C"/>
    <w:rsid w:val="00AC1F76"/>
    <w:rsid w:val="00AC2615"/>
    <w:rsid w:val="00AC5AB5"/>
    <w:rsid w:val="00AC64D8"/>
    <w:rsid w:val="00AD12D2"/>
    <w:rsid w:val="00AD1729"/>
    <w:rsid w:val="00AD2774"/>
    <w:rsid w:val="00AD3941"/>
    <w:rsid w:val="00AD5261"/>
    <w:rsid w:val="00AE0009"/>
    <w:rsid w:val="00AE357A"/>
    <w:rsid w:val="00AE38B2"/>
    <w:rsid w:val="00AE5A4E"/>
    <w:rsid w:val="00AE76F9"/>
    <w:rsid w:val="00AF3694"/>
    <w:rsid w:val="00AF4B9E"/>
    <w:rsid w:val="00AF6636"/>
    <w:rsid w:val="00B11692"/>
    <w:rsid w:val="00B14116"/>
    <w:rsid w:val="00B1486E"/>
    <w:rsid w:val="00B15BDD"/>
    <w:rsid w:val="00B20443"/>
    <w:rsid w:val="00B2550B"/>
    <w:rsid w:val="00B259CE"/>
    <w:rsid w:val="00B25B50"/>
    <w:rsid w:val="00B30680"/>
    <w:rsid w:val="00B31DD7"/>
    <w:rsid w:val="00B32CAF"/>
    <w:rsid w:val="00B33432"/>
    <w:rsid w:val="00B336D5"/>
    <w:rsid w:val="00B35F18"/>
    <w:rsid w:val="00B3657C"/>
    <w:rsid w:val="00B42372"/>
    <w:rsid w:val="00B423A4"/>
    <w:rsid w:val="00B437D6"/>
    <w:rsid w:val="00B43AB0"/>
    <w:rsid w:val="00B4446B"/>
    <w:rsid w:val="00B523FB"/>
    <w:rsid w:val="00B52E8F"/>
    <w:rsid w:val="00B5525E"/>
    <w:rsid w:val="00B57738"/>
    <w:rsid w:val="00B63137"/>
    <w:rsid w:val="00B63604"/>
    <w:rsid w:val="00B63FA9"/>
    <w:rsid w:val="00B650CC"/>
    <w:rsid w:val="00B707BD"/>
    <w:rsid w:val="00B71457"/>
    <w:rsid w:val="00B750BF"/>
    <w:rsid w:val="00B75217"/>
    <w:rsid w:val="00B776B5"/>
    <w:rsid w:val="00B81AFD"/>
    <w:rsid w:val="00B85442"/>
    <w:rsid w:val="00B91090"/>
    <w:rsid w:val="00B926B7"/>
    <w:rsid w:val="00B94A3A"/>
    <w:rsid w:val="00B95094"/>
    <w:rsid w:val="00BA7533"/>
    <w:rsid w:val="00BC4096"/>
    <w:rsid w:val="00BC65BA"/>
    <w:rsid w:val="00BD55FE"/>
    <w:rsid w:val="00BD75D2"/>
    <w:rsid w:val="00BE0383"/>
    <w:rsid w:val="00BE07A0"/>
    <w:rsid w:val="00BE1C3A"/>
    <w:rsid w:val="00BE611C"/>
    <w:rsid w:val="00BE70FF"/>
    <w:rsid w:val="00BF1079"/>
    <w:rsid w:val="00BF2768"/>
    <w:rsid w:val="00BF5859"/>
    <w:rsid w:val="00BF6DFF"/>
    <w:rsid w:val="00C00048"/>
    <w:rsid w:val="00C00239"/>
    <w:rsid w:val="00C068F5"/>
    <w:rsid w:val="00C11842"/>
    <w:rsid w:val="00C12994"/>
    <w:rsid w:val="00C1363B"/>
    <w:rsid w:val="00C14D24"/>
    <w:rsid w:val="00C1538F"/>
    <w:rsid w:val="00C15926"/>
    <w:rsid w:val="00C16139"/>
    <w:rsid w:val="00C17609"/>
    <w:rsid w:val="00C177ED"/>
    <w:rsid w:val="00C2265C"/>
    <w:rsid w:val="00C23420"/>
    <w:rsid w:val="00C30985"/>
    <w:rsid w:val="00C33BB9"/>
    <w:rsid w:val="00C3464B"/>
    <w:rsid w:val="00C35140"/>
    <w:rsid w:val="00C35A34"/>
    <w:rsid w:val="00C3715A"/>
    <w:rsid w:val="00C421FF"/>
    <w:rsid w:val="00C425BE"/>
    <w:rsid w:val="00C44F2B"/>
    <w:rsid w:val="00C545D3"/>
    <w:rsid w:val="00C54A8C"/>
    <w:rsid w:val="00C56388"/>
    <w:rsid w:val="00C5675C"/>
    <w:rsid w:val="00C61233"/>
    <w:rsid w:val="00C61911"/>
    <w:rsid w:val="00C627D8"/>
    <w:rsid w:val="00C62EB5"/>
    <w:rsid w:val="00C65EB9"/>
    <w:rsid w:val="00C718D9"/>
    <w:rsid w:val="00C72850"/>
    <w:rsid w:val="00C73632"/>
    <w:rsid w:val="00C75175"/>
    <w:rsid w:val="00C7543D"/>
    <w:rsid w:val="00C759F9"/>
    <w:rsid w:val="00C777E7"/>
    <w:rsid w:val="00C81E92"/>
    <w:rsid w:val="00C837C1"/>
    <w:rsid w:val="00C91398"/>
    <w:rsid w:val="00C92269"/>
    <w:rsid w:val="00C92ED2"/>
    <w:rsid w:val="00C93239"/>
    <w:rsid w:val="00C94BF8"/>
    <w:rsid w:val="00C94F86"/>
    <w:rsid w:val="00CA180E"/>
    <w:rsid w:val="00CA23F1"/>
    <w:rsid w:val="00CA3D05"/>
    <w:rsid w:val="00CA4DB3"/>
    <w:rsid w:val="00CA574E"/>
    <w:rsid w:val="00CA69FF"/>
    <w:rsid w:val="00CA7FEE"/>
    <w:rsid w:val="00CB0B37"/>
    <w:rsid w:val="00CB0CBA"/>
    <w:rsid w:val="00CB11FA"/>
    <w:rsid w:val="00CC1F38"/>
    <w:rsid w:val="00CC4D3B"/>
    <w:rsid w:val="00CC6328"/>
    <w:rsid w:val="00CC69B1"/>
    <w:rsid w:val="00CC7D94"/>
    <w:rsid w:val="00CD17D9"/>
    <w:rsid w:val="00CD218F"/>
    <w:rsid w:val="00CD417B"/>
    <w:rsid w:val="00CD4EA9"/>
    <w:rsid w:val="00CD6CA5"/>
    <w:rsid w:val="00CE0A40"/>
    <w:rsid w:val="00CE0C33"/>
    <w:rsid w:val="00CE2480"/>
    <w:rsid w:val="00CE3871"/>
    <w:rsid w:val="00CE39D5"/>
    <w:rsid w:val="00CE5C29"/>
    <w:rsid w:val="00CE7671"/>
    <w:rsid w:val="00CF1043"/>
    <w:rsid w:val="00CF1336"/>
    <w:rsid w:val="00CF2265"/>
    <w:rsid w:val="00CF32D4"/>
    <w:rsid w:val="00CF38DA"/>
    <w:rsid w:val="00CF6B12"/>
    <w:rsid w:val="00CF6CA8"/>
    <w:rsid w:val="00CF797E"/>
    <w:rsid w:val="00D01079"/>
    <w:rsid w:val="00D018E6"/>
    <w:rsid w:val="00D02059"/>
    <w:rsid w:val="00D02D89"/>
    <w:rsid w:val="00D03B55"/>
    <w:rsid w:val="00D040F4"/>
    <w:rsid w:val="00D04D65"/>
    <w:rsid w:val="00D063F2"/>
    <w:rsid w:val="00D06DB2"/>
    <w:rsid w:val="00D10FDF"/>
    <w:rsid w:val="00D15CC8"/>
    <w:rsid w:val="00D20615"/>
    <w:rsid w:val="00D20796"/>
    <w:rsid w:val="00D2538D"/>
    <w:rsid w:val="00D268C9"/>
    <w:rsid w:val="00D301ED"/>
    <w:rsid w:val="00D313B0"/>
    <w:rsid w:val="00D319D4"/>
    <w:rsid w:val="00D31AB1"/>
    <w:rsid w:val="00D32569"/>
    <w:rsid w:val="00D36569"/>
    <w:rsid w:val="00D36FBF"/>
    <w:rsid w:val="00D40062"/>
    <w:rsid w:val="00D405E7"/>
    <w:rsid w:val="00D4133A"/>
    <w:rsid w:val="00D436F6"/>
    <w:rsid w:val="00D440FF"/>
    <w:rsid w:val="00D44DD1"/>
    <w:rsid w:val="00D50BC2"/>
    <w:rsid w:val="00D515C2"/>
    <w:rsid w:val="00D53B9C"/>
    <w:rsid w:val="00D5622E"/>
    <w:rsid w:val="00D570CE"/>
    <w:rsid w:val="00D66F14"/>
    <w:rsid w:val="00D679C1"/>
    <w:rsid w:val="00D67A9D"/>
    <w:rsid w:val="00D7638B"/>
    <w:rsid w:val="00D76DCC"/>
    <w:rsid w:val="00D77D9E"/>
    <w:rsid w:val="00D81C8D"/>
    <w:rsid w:val="00D81D6D"/>
    <w:rsid w:val="00D8340F"/>
    <w:rsid w:val="00D86400"/>
    <w:rsid w:val="00D867D6"/>
    <w:rsid w:val="00D868DE"/>
    <w:rsid w:val="00D90503"/>
    <w:rsid w:val="00D94A33"/>
    <w:rsid w:val="00D97FE0"/>
    <w:rsid w:val="00DA1C78"/>
    <w:rsid w:val="00DA2F03"/>
    <w:rsid w:val="00DA6875"/>
    <w:rsid w:val="00DB0107"/>
    <w:rsid w:val="00DB18E3"/>
    <w:rsid w:val="00DB297D"/>
    <w:rsid w:val="00DB4314"/>
    <w:rsid w:val="00DB6163"/>
    <w:rsid w:val="00DB66A1"/>
    <w:rsid w:val="00DB75D0"/>
    <w:rsid w:val="00DB7C7C"/>
    <w:rsid w:val="00DC04D3"/>
    <w:rsid w:val="00DC0A19"/>
    <w:rsid w:val="00DC0C8E"/>
    <w:rsid w:val="00DC1BE6"/>
    <w:rsid w:val="00DC758E"/>
    <w:rsid w:val="00DD1317"/>
    <w:rsid w:val="00DD2F1D"/>
    <w:rsid w:val="00DD60CF"/>
    <w:rsid w:val="00DE02C0"/>
    <w:rsid w:val="00DE0C01"/>
    <w:rsid w:val="00DE3797"/>
    <w:rsid w:val="00DE5AB2"/>
    <w:rsid w:val="00DE671D"/>
    <w:rsid w:val="00DF4497"/>
    <w:rsid w:val="00DF4D3B"/>
    <w:rsid w:val="00DF4E4D"/>
    <w:rsid w:val="00DF715B"/>
    <w:rsid w:val="00E00C09"/>
    <w:rsid w:val="00E01840"/>
    <w:rsid w:val="00E03760"/>
    <w:rsid w:val="00E03EFD"/>
    <w:rsid w:val="00E0782E"/>
    <w:rsid w:val="00E07EFA"/>
    <w:rsid w:val="00E10D0C"/>
    <w:rsid w:val="00E10E49"/>
    <w:rsid w:val="00E16966"/>
    <w:rsid w:val="00E16B58"/>
    <w:rsid w:val="00E173A4"/>
    <w:rsid w:val="00E1777D"/>
    <w:rsid w:val="00E20B76"/>
    <w:rsid w:val="00E21B6D"/>
    <w:rsid w:val="00E22996"/>
    <w:rsid w:val="00E319E4"/>
    <w:rsid w:val="00E34FE8"/>
    <w:rsid w:val="00E368CB"/>
    <w:rsid w:val="00E377D4"/>
    <w:rsid w:val="00E406E1"/>
    <w:rsid w:val="00E4111A"/>
    <w:rsid w:val="00E418B7"/>
    <w:rsid w:val="00E419D1"/>
    <w:rsid w:val="00E41A8F"/>
    <w:rsid w:val="00E41A9E"/>
    <w:rsid w:val="00E425CE"/>
    <w:rsid w:val="00E47A9E"/>
    <w:rsid w:val="00E52810"/>
    <w:rsid w:val="00E57D01"/>
    <w:rsid w:val="00E61E2A"/>
    <w:rsid w:val="00E62870"/>
    <w:rsid w:val="00E63015"/>
    <w:rsid w:val="00E70E68"/>
    <w:rsid w:val="00E7106D"/>
    <w:rsid w:val="00E718C8"/>
    <w:rsid w:val="00E7401E"/>
    <w:rsid w:val="00E762FB"/>
    <w:rsid w:val="00E81DDF"/>
    <w:rsid w:val="00E82791"/>
    <w:rsid w:val="00E8332D"/>
    <w:rsid w:val="00E85DFB"/>
    <w:rsid w:val="00E85F74"/>
    <w:rsid w:val="00E865C1"/>
    <w:rsid w:val="00E87CCD"/>
    <w:rsid w:val="00E92C08"/>
    <w:rsid w:val="00E94054"/>
    <w:rsid w:val="00E94B32"/>
    <w:rsid w:val="00E94F48"/>
    <w:rsid w:val="00E95A5B"/>
    <w:rsid w:val="00EA02B6"/>
    <w:rsid w:val="00EA1009"/>
    <w:rsid w:val="00EA39E3"/>
    <w:rsid w:val="00EA50FC"/>
    <w:rsid w:val="00EA6123"/>
    <w:rsid w:val="00EB170B"/>
    <w:rsid w:val="00EB290D"/>
    <w:rsid w:val="00EB632A"/>
    <w:rsid w:val="00EC36BC"/>
    <w:rsid w:val="00ED2203"/>
    <w:rsid w:val="00ED2569"/>
    <w:rsid w:val="00ED25B1"/>
    <w:rsid w:val="00ED7FAF"/>
    <w:rsid w:val="00EE0104"/>
    <w:rsid w:val="00EE07DA"/>
    <w:rsid w:val="00EE2AD2"/>
    <w:rsid w:val="00EE324B"/>
    <w:rsid w:val="00EE56CB"/>
    <w:rsid w:val="00EE6C48"/>
    <w:rsid w:val="00EF0079"/>
    <w:rsid w:val="00EF3E79"/>
    <w:rsid w:val="00EF4E25"/>
    <w:rsid w:val="00EF771A"/>
    <w:rsid w:val="00F03DD9"/>
    <w:rsid w:val="00F06A8A"/>
    <w:rsid w:val="00F0761C"/>
    <w:rsid w:val="00F1054C"/>
    <w:rsid w:val="00F11975"/>
    <w:rsid w:val="00F1246B"/>
    <w:rsid w:val="00F243C8"/>
    <w:rsid w:val="00F26D6A"/>
    <w:rsid w:val="00F304A9"/>
    <w:rsid w:val="00F30C1A"/>
    <w:rsid w:val="00F33F84"/>
    <w:rsid w:val="00F3568E"/>
    <w:rsid w:val="00F35A11"/>
    <w:rsid w:val="00F400ED"/>
    <w:rsid w:val="00F420CC"/>
    <w:rsid w:val="00F43840"/>
    <w:rsid w:val="00F43BBA"/>
    <w:rsid w:val="00F46253"/>
    <w:rsid w:val="00F50479"/>
    <w:rsid w:val="00F507CD"/>
    <w:rsid w:val="00F52083"/>
    <w:rsid w:val="00F53C91"/>
    <w:rsid w:val="00F56191"/>
    <w:rsid w:val="00F6000A"/>
    <w:rsid w:val="00F64BB0"/>
    <w:rsid w:val="00F709AA"/>
    <w:rsid w:val="00F72CCB"/>
    <w:rsid w:val="00F75244"/>
    <w:rsid w:val="00F801B9"/>
    <w:rsid w:val="00F8304C"/>
    <w:rsid w:val="00F85A8C"/>
    <w:rsid w:val="00F903F4"/>
    <w:rsid w:val="00F915F1"/>
    <w:rsid w:val="00F91721"/>
    <w:rsid w:val="00F920ED"/>
    <w:rsid w:val="00F95601"/>
    <w:rsid w:val="00FA07E3"/>
    <w:rsid w:val="00FA5879"/>
    <w:rsid w:val="00FA5CFA"/>
    <w:rsid w:val="00FB04D2"/>
    <w:rsid w:val="00FD0B60"/>
    <w:rsid w:val="00FD2335"/>
    <w:rsid w:val="00FD29BA"/>
    <w:rsid w:val="00FD2AED"/>
    <w:rsid w:val="00FD739B"/>
    <w:rsid w:val="00FE0E36"/>
    <w:rsid w:val="00FE268E"/>
    <w:rsid w:val="00FE2790"/>
    <w:rsid w:val="00FE639A"/>
    <w:rsid w:val="00FE6EA5"/>
    <w:rsid w:val="00FE76EB"/>
    <w:rsid w:val="00FE7BE9"/>
    <w:rsid w:val="00FF344D"/>
    <w:rsid w:val="00FF39E5"/>
    <w:rsid w:val="00FF3C6E"/>
    <w:rsid w:val="00FF401B"/>
    <w:rsid w:val="00FF463F"/>
    <w:rsid w:val="00FF7F98"/>
    <w:rsid w:val="016531D1"/>
    <w:rsid w:val="02117D9A"/>
    <w:rsid w:val="02EF1E8A"/>
    <w:rsid w:val="036E05BB"/>
    <w:rsid w:val="03C74BB5"/>
    <w:rsid w:val="04016E4D"/>
    <w:rsid w:val="054A1C9D"/>
    <w:rsid w:val="06124B79"/>
    <w:rsid w:val="065331DA"/>
    <w:rsid w:val="06581AF4"/>
    <w:rsid w:val="06826B71"/>
    <w:rsid w:val="06E17D3B"/>
    <w:rsid w:val="075F0DF1"/>
    <w:rsid w:val="07F4584C"/>
    <w:rsid w:val="096A59BF"/>
    <w:rsid w:val="0A79207A"/>
    <w:rsid w:val="0B0E30C9"/>
    <w:rsid w:val="0B2529AE"/>
    <w:rsid w:val="0B7849E6"/>
    <w:rsid w:val="0B883382"/>
    <w:rsid w:val="0C430B50"/>
    <w:rsid w:val="0D0D0504"/>
    <w:rsid w:val="0DA675E9"/>
    <w:rsid w:val="0E8B0946"/>
    <w:rsid w:val="0ECE5049"/>
    <w:rsid w:val="0F20546D"/>
    <w:rsid w:val="0F2377E5"/>
    <w:rsid w:val="101F3682"/>
    <w:rsid w:val="10675755"/>
    <w:rsid w:val="10D206F5"/>
    <w:rsid w:val="11346FC4"/>
    <w:rsid w:val="116D6E7D"/>
    <w:rsid w:val="116F4196"/>
    <w:rsid w:val="119073CF"/>
    <w:rsid w:val="12A56C4A"/>
    <w:rsid w:val="132A55E7"/>
    <w:rsid w:val="13525B1D"/>
    <w:rsid w:val="13F310AE"/>
    <w:rsid w:val="144C2F9E"/>
    <w:rsid w:val="15840C42"/>
    <w:rsid w:val="15A5287C"/>
    <w:rsid w:val="15ED4D6D"/>
    <w:rsid w:val="15EF59F9"/>
    <w:rsid w:val="165D6CB3"/>
    <w:rsid w:val="1667397B"/>
    <w:rsid w:val="16FC471D"/>
    <w:rsid w:val="185760F5"/>
    <w:rsid w:val="189664AC"/>
    <w:rsid w:val="18C272A1"/>
    <w:rsid w:val="190F2B7A"/>
    <w:rsid w:val="197E0AD9"/>
    <w:rsid w:val="19A1157D"/>
    <w:rsid w:val="19CE6BC8"/>
    <w:rsid w:val="1A0C577D"/>
    <w:rsid w:val="1A9923CA"/>
    <w:rsid w:val="1ADD7EF6"/>
    <w:rsid w:val="1B8003C8"/>
    <w:rsid w:val="1B9961C0"/>
    <w:rsid w:val="1C34700D"/>
    <w:rsid w:val="1CF001B8"/>
    <w:rsid w:val="1D622F73"/>
    <w:rsid w:val="1DA556DE"/>
    <w:rsid w:val="1DB377EF"/>
    <w:rsid w:val="1DE65504"/>
    <w:rsid w:val="1E68518D"/>
    <w:rsid w:val="1E6F3A27"/>
    <w:rsid w:val="1E7908C6"/>
    <w:rsid w:val="1EFB52BB"/>
    <w:rsid w:val="1F026649"/>
    <w:rsid w:val="1F874D8A"/>
    <w:rsid w:val="201F37AE"/>
    <w:rsid w:val="216D4A20"/>
    <w:rsid w:val="2217240B"/>
    <w:rsid w:val="22C205C9"/>
    <w:rsid w:val="23203542"/>
    <w:rsid w:val="239E0FAF"/>
    <w:rsid w:val="23D42CAA"/>
    <w:rsid w:val="243472A5"/>
    <w:rsid w:val="24500991"/>
    <w:rsid w:val="24EA3BC4"/>
    <w:rsid w:val="257F27A2"/>
    <w:rsid w:val="258424C5"/>
    <w:rsid w:val="25AA4B69"/>
    <w:rsid w:val="26FD6EE4"/>
    <w:rsid w:val="270F224B"/>
    <w:rsid w:val="27A3173C"/>
    <w:rsid w:val="28201A72"/>
    <w:rsid w:val="289008AE"/>
    <w:rsid w:val="2908745E"/>
    <w:rsid w:val="29095F43"/>
    <w:rsid w:val="29F0536A"/>
    <w:rsid w:val="2A1D34C9"/>
    <w:rsid w:val="2AF61758"/>
    <w:rsid w:val="2AFB0177"/>
    <w:rsid w:val="2B5446D0"/>
    <w:rsid w:val="2B774A68"/>
    <w:rsid w:val="2B8723B0"/>
    <w:rsid w:val="2B9355EC"/>
    <w:rsid w:val="2BA05CA2"/>
    <w:rsid w:val="2BEF7F55"/>
    <w:rsid w:val="2C22032B"/>
    <w:rsid w:val="2C707634"/>
    <w:rsid w:val="2CCA579E"/>
    <w:rsid w:val="2D885570"/>
    <w:rsid w:val="2F01691D"/>
    <w:rsid w:val="2F775D48"/>
    <w:rsid w:val="2FB53924"/>
    <w:rsid w:val="2FE853E7"/>
    <w:rsid w:val="305D23CE"/>
    <w:rsid w:val="312B5ED3"/>
    <w:rsid w:val="318E3088"/>
    <w:rsid w:val="3196159F"/>
    <w:rsid w:val="31B47C77"/>
    <w:rsid w:val="320C7AB3"/>
    <w:rsid w:val="321A6DD1"/>
    <w:rsid w:val="327D62BB"/>
    <w:rsid w:val="328E14B9"/>
    <w:rsid w:val="33AD577E"/>
    <w:rsid w:val="34390B0B"/>
    <w:rsid w:val="34E46AC5"/>
    <w:rsid w:val="35392073"/>
    <w:rsid w:val="35634299"/>
    <w:rsid w:val="35D92B2B"/>
    <w:rsid w:val="35F05C1F"/>
    <w:rsid w:val="36107446"/>
    <w:rsid w:val="380145D2"/>
    <w:rsid w:val="388F4F35"/>
    <w:rsid w:val="38BD5652"/>
    <w:rsid w:val="38DD3F57"/>
    <w:rsid w:val="38FE3627"/>
    <w:rsid w:val="39417DE7"/>
    <w:rsid w:val="39D4535A"/>
    <w:rsid w:val="3A8A77C7"/>
    <w:rsid w:val="3AC22209"/>
    <w:rsid w:val="3B2344B0"/>
    <w:rsid w:val="3B5953EB"/>
    <w:rsid w:val="3B781D15"/>
    <w:rsid w:val="3C656155"/>
    <w:rsid w:val="3C920BB5"/>
    <w:rsid w:val="3DB83D68"/>
    <w:rsid w:val="3EEA2A4D"/>
    <w:rsid w:val="3F4F4135"/>
    <w:rsid w:val="41533F1C"/>
    <w:rsid w:val="41874A60"/>
    <w:rsid w:val="42497F67"/>
    <w:rsid w:val="42601FE1"/>
    <w:rsid w:val="43395F5E"/>
    <w:rsid w:val="436B0FC0"/>
    <w:rsid w:val="43880753"/>
    <w:rsid w:val="439671DC"/>
    <w:rsid w:val="440B62C9"/>
    <w:rsid w:val="446E75ED"/>
    <w:rsid w:val="452C2210"/>
    <w:rsid w:val="458B0A5C"/>
    <w:rsid w:val="45F40814"/>
    <w:rsid w:val="47B36031"/>
    <w:rsid w:val="47E04ECA"/>
    <w:rsid w:val="48020765"/>
    <w:rsid w:val="48585198"/>
    <w:rsid w:val="48C06AA9"/>
    <w:rsid w:val="48DF0FFD"/>
    <w:rsid w:val="490431AA"/>
    <w:rsid w:val="49DE18DD"/>
    <w:rsid w:val="4A0B01F8"/>
    <w:rsid w:val="4A460520"/>
    <w:rsid w:val="4A64581B"/>
    <w:rsid w:val="4BAD07E8"/>
    <w:rsid w:val="4C132C77"/>
    <w:rsid w:val="4C161060"/>
    <w:rsid w:val="4C803267"/>
    <w:rsid w:val="4C906854"/>
    <w:rsid w:val="4D4B0915"/>
    <w:rsid w:val="4D7762D0"/>
    <w:rsid w:val="4DB200A1"/>
    <w:rsid w:val="4DE809CF"/>
    <w:rsid w:val="4DF94F37"/>
    <w:rsid w:val="4E323FA5"/>
    <w:rsid w:val="4ECE1A55"/>
    <w:rsid w:val="4EFE20DA"/>
    <w:rsid w:val="4F944A8E"/>
    <w:rsid w:val="50610B72"/>
    <w:rsid w:val="50F43794"/>
    <w:rsid w:val="51400D4C"/>
    <w:rsid w:val="51B47AA0"/>
    <w:rsid w:val="5285323E"/>
    <w:rsid w:val="5299301D"/>
    <w:rsid w:val="52A421D0"/>
    <w:rsid w:val="52D410EE"/>
    <w:rsid w:val="53030DC7"/>
    <w:rsid w:val="532F6D06"/>
    <w:rsid w:val="53605111"/>
    <w:rsid w:val="53D05DA1"/>
    <w:rsid w:val="54134D7C"/>
    <w:rsid w:val="552D6807"/>
    <w:rsid w:val="55691240"/>
    <w:rsid w:val="5613290E"/>
    <w:rsid w:val="56E10C5F"/>
    <w:rsid w:val="574A6804"/>
    <w:rsid w:val="574D23FA"/>
    <w:rsid w:val="57E52089"/>
    <w:rsid w:val="580C1D0B"/>
    <w:rsid w:val="586D09FC"/>
    <w:rsid w:val="589635DD"/>
    <w:rsid w:val="596D0588"/>
    <w:rsid w:val="59AC7338"/>
    <w:rsid w:val="5AFF16B3"/>
    <w:rsid w:val="5B734C0E"/>
    <w:rsid w:val="5B793214"/>
    <w:rsid w:val="5C1D0043"/>
    <w:rsid w:val="5C475CF4"/>
    <w:rsid w:val="5C501148"/>
    <w:rsid w:val="5C78796F"/>
    <w:rsid w:val="5CAC472F"/>
    <w:rsid w:val="5D264364"/>
    <w:rsid w:val="5D373386"/>
    <w:rsid w:val="5E3B5C7E"/>
    <w:rsid w:val="5F1078F1"/>
    <w:rsid w:val="5FCE4F4E"/>
    <w:rsid w:val="60A01A5B"/>
    <w:rsid w:val="610F3B2A"/>
    <w:rsid w:val="61252DAF"/>
    <w:rsid w:val="61614E76"/>
    <w:rsid w:val="61C251E9"/>
    <w:rsid w:val="627B1F67"/>
    <w:rsid w:val="62902C2B"/>
    <w:rsid w:val="62CA05DA"/>
    <w:rsid w:val="62F117D2"/>
    <w:rsid w:val="63B35BDA"/>
    <w:rsid w:val="64084829"/>
    <w:rsid w:val="647E5D3F"/>
    <w:rsid w:val="64D60CC1"/>
    <w:rsid w:val="64E16127"/>
    <w:rsid w:val="64E2007C"/>
    <w:rsid w:val="650A57A5"/>
    <w:rsid w:val="66794A10"/>
    <w:rsid w:val="67565A36"/>
    <w:rsid w:val="67E45C73"/>
    <w:rsid w:val="68D0643D"/>
    <w:rsid w:val="698C2CAC"/>
    <w:rsid w:val="6A1273E1"/>
    <w:rsid w:val="6A5120AF"/>
    <w:rsid w:val="6A6E392C"/>
    <w:rsid w:val="6BB32772"/>
    <w:rsid w:val="6BC340DD"/>
    <w:rsid w:val="6C417D7E"/>
    <w:rsid w:val="6C56268E"/>
    <w:rsid w:val="6C7E4E93"/>
    <w:rsid w:val="6D532791"/>
    <w:rsid w:val="6E032E11"/>
    <w:rsid w:val="6E9A5523"/>
    <w:rsid w:val="6EBB192F"/>
    <w:rsid w:val="6EC757AC"/>
    <w:rsid w:val="6EE273D7"/>
    <w:rsid w:val="6F03085C"/>
    <w:rsid w:val="6F0B01CF"/>
    <w:rsid w:val="6FBC0A83"/>
    <w:rsid w:val="6FE253D4"/>
    <w:rsid w:val="716F668E"/>
    <w:rsid w:val="719213DC"/>
    <w:rsid w:val="72115342"/>
    <w:rsid w:val="72B12F90"/>
    <w:rsid w:val="73B274A0"/>
    <w:rsid w:val="740C0E97"/>
    <w:rsid w:val="7425398B"/>
    <w:rsid w:val="74942A15"/>
    <w:rsid w:val="75297256"/>
    <w:rsid w:val="765258C3"/>
    <w:rsid w:val="77447D75"/>
    <w:rsid w:val="77754D7F"/>
    <w:rsid w:val="7A1A1C0E"/>
    <w:rsid w:val="7A503E41"/>
    <w:rsid w:val="7A861051"/>
    <w:rsid w:val="7AC1208A"/>
    <w:rsid w:val="7B3F192C"/>
    <w:rsid w:val="7B9D48A5"/>
    <w:rsid w:val="7C21492D"/>
    <w:rsid w:val="7C6333F8"/>
    <w:rsid w:val="7DC46119"/>
    <w:rsid w:val="7DC964F0"/>
    <w:rsid w:val="7DF73C27"/>
    <w:rsid w:val="7E142269"/>
    <w:rsid w:val="7E1C7D03"/>
    <w:rsid w:val="7E8B6C36"/>
    <w:rsid w:val="7FE36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7"/>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2"/>
    <w:qFormat/>
    <w:uiPriority w:val="0"/>
    <w:pPr>
      <w:keepNext/>
      <w:keepLines/>
      <w:spacing w:before="260" w:after="260" w:line="416" w:lineRule="auto"/>
      <w:outlineLvl w:val="1"/>
    </w:pPr>
    <w:rPr>
      <w:rFonts w:ascii="Arial" w:hAnsi="Arial"/>
      <w:b/>
      <w:bCs/>
      <w:sz w:val="32"/>
      <w:szCs w:val="32"/>
    </w:rPr>
  </w:style>
  <w:style w:type="paragraph" w:styleId="5">
    <w:name w:val="heading 3"/>
    <w:basedOn w:val="6"/>
    <w:next w:val="1"/>
    <w:link w:val="34"/>
    <w:semiHidden/>
    <w:unhideWhenUsed/>
    <w:qFormat/>
    <w:uiPriority w:val="9"/>
    <w:pPr>
      <w:spacing w:before="260" w:after="260" w:line="416" w:lineRule="auto"/>
      <w:outlineLvl w:val="2"/>
    </w:pPr>
    <w:rPr>
      <w:sz w:val="32"/>
      <w:szCs w:val="32"/>
    </w:rPr>
  </w:style>
  <w:style w:type="paragraph" w:styleId="6">
    <w:name w:val="heading 4"/>
    <w:basedOn w:val="1"/>
    <w:next w:val="1"/>
    <w:link w:val="35"/>
    <w:qFormat/>
    <w:uiPriority w:val="0"/>
    <w:pPr>
      <w:keepNext/>
      <w:keepLines/>
      <w:spacing w:before="280" w:after="290" w:line="376" w:lineRule="auto"/>
      <w:outlineLvl w:val="3"/>
    </w:pPr>
    <w:rPr>
      <w:rFonts w:ascii="Cambria" w:hAnsi="Cambria"/>
      <w:b/>
      <w:bCs/>
      <w:sz w:val="28"/>
      <w:szCs w:val="28"/>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customStyle="1" w:styleId="2">
    <w:name w:val="正文首行缩进 21"/>
    <w:qFormat/>
    <w:uiPriority w:val="0"/>
    <w:pPr>
      <w:widowControl w:val="0"/>
      <w:spacing w:after="0"/>
      <w:ind w:left="0" w:leftChars="0" w:firstLine="420" w:firstLineChars="200"/>
      <w:jc w:val="both"/>
    </w:pPr>
    <w:rPr>
      <w:rFonts w:ascii="仿宋_GB2312" w:hAnsi="仿宋_GB2312" w:eastAsia="宋体" w:cs="Times New Roman"/>
      <w:kern w:val="2"/>
      <w:sz w:val="21"/>
      <w:szCs w:val="20"/>
      <w:lang w:val="en-US" w:eastAsia="zh-CN" w:bidi="ar-SA"/>
    </w:rPr>
  </w:style>
  <w:style w:type="paragraph" w:styleId="7">
    <w:name w:val="annotation text"/>
    <w:basedOn w:val="1"/>
    <w:link w:val="28"/>
    <w:unhideWhenUsed/>
    <w:qFormat/>
    <w:uiPriority w:val="99"/>
    <w:pPr>
      <w:jc w:val="left"/>
    </w:pPr>
  </w:style>
  <w:style w:type="paragraph" w:styleId="8">
    <w:name w:val="Body Text"/>
    <w:basedOn w:val="1"/>
    <w:next w:val="1"/>
    <w:qFormat/>
    <w:uiPriority w:val="99"/>
    <w:pPr>
      <w:spacing w:line="360" w:lineRule="auto"/>
    </w:pPr>
    <w:rPr>
      <w:b/>
      <w:bCs/>
      <w:sz w:val="24"/>
    </w:rPr>
  </w:style>
  <w:style w:type="paragraph" w:styleId="9">
    <w:name w:val="Body Text Indent"/>
    <w:basedOn w:val="1"/>
    <w:unhideWhenUsed/>
    <w:qFormat/>
    <w:uiPriority w:val="99"/>
    <w:pPr>
      <w:spacing w:after="120"/>
      <w:ind w:left="420" w:leftChars="200"/>
    </w:pPr>
  </w:style>
  <w:style w:type="paragraph" w:styleId="10">
    <w:name w:val="Plain Text"/>
    <w:basedOn w:val="1"/>
    <w:link w:val="31"/>
    <w:qFormat/>
    <w:uiPriority w:val="0"/>
    <w:rPr>
      <w:rFonts w:ascii="宋体" w:hAnsi="Courier New" w:eastAsiaTheme="minorEastAsia" w:cstheme="minorBidi"/>
    </w:rPr>
  </w:style>
  <w:style w:type="paragraph" w:styleId="11">
    <w:name w:val="Date"/>
    <w:basedOn w:val="1"/>
    <w:next w:val="1"/>
    <w:link w:val="23"/>
    <w:qFormat/>
    <w:uiPriority w:val="0"/>
    <w:rPr>
      <w:rFonts w:ascii="宋体" w:hAnsi="Courier New"/>
      <w:kern w:val="0"/>
      <w:sz w:val="32"/>
      <w:szCs w:val="20"/>
    </w:rPr>
  </w:style>
  <w:style w:type="paragraph" w:styleId="12">
    <w:name w:val="Balloon Text"/>
    <w:basedOn w:val="1"/>
    <w:link w:val="24"/>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7"/>
    <w:next w:val="7"/>
    <w:link w:val="29"/>
    <w:semiHidden/>
    <w:unhideWhenUsed/>
    <w:qFormat/>
    <w:uiPriority w:val="99"/>
    <w:rPr>
      <w:b/>
      <w:bCs/>
    </w:rPr>
  </w:style>
  <w:style w:type="paragraph" w:styleId="16">
    <w:name w:val="Body Text First Indent 2"/>
    <w:basedOn w:val="9"/>
    <w:qFormat/>
    <w:uiPriority w:val="0"/>
    <w:pPr>
      <w:ind w:firstLine="420" w:firstLineChars="200"/>
    </w:pPr>
    <w:rPr>
      <w:szCs w:val="24"/>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21"/>
      <w:szCs w:val="21"/>
    </w:rPr>
  </w:style>
  <w:style w:type="character" w:customStyle="1" w:styleId="22">
    <w:name w:val="日期 Char"/>
    <w:basedOn w:val="19"/>
    <w:qFormat/>
    <w:uiPriority w:val="0"/>
    <w:rPr>
      <w:rFonts w:ascii="宋体" w:hAnsi="Courier New" w:eastAsia="宋体" w:cs="Times New Roman"/>
      <w:kern w:val="0"/>
      <w:sz w:val="32"/>
      <w:szCs w:val="20"/>
    </w:rPr>
  </w:style>
  <w:style w:type="character" w:customStyle="1" w:styleId="23">
    <w:name w:val="日期 字符"/>
    <w:basedOn w:val="19"/>
    <w:link w:val="11"/>
    <w:semiHidden/>
    <w:qFormat/>
    <w:uiPriority w:val="99"/>
    <w:rPr>
      <w:rFonts w:ascii="Calibri" w:hAnsi="Calibri" w:eastAsia="宋体" w:cs="Times New Roman"/>
    </w:rPr>
  </w:style>
  <w:style w:type="character" w:customStyle="1" w:styleId="24">
    <w:name w:val="批注框文本 字符"/>
    <w:basedOn w:val="19"/>
    <w:link w:val="12"/>
    <w:semiHidden/>
    <w:qFormat/>
    <w:uiPriority w:val="99"/>
    <w:rPr>
      <w:rFonts w:ascii="Calibri" w:hAnsi="Calibri" w:eastAsia="宋体" w:cs="Times New Roman"/>
      <w:sz w:val="18"/>
      <w:szCs w:val="18"/>
    </w:rPr>
  </w:style>
  <w:style w:type="character" w:customStyle="1" w:styleId="25">
    <w:name w:val="页眉 字符"/>
    <w:basedOn w:val="19"/>
    <w:link w:val="14"/>
    <w:semiHidden/>
    <w:qFormat/>
    <w:uiPriority w:val="99"/>
    <w:rPr>
      <w:rFonts w:ascii="Calibri" w:hAnsi="Calibri" w:eastAsia="宋体" w:cs="Times New Roman"/>
      <w:sz w:val="18"/>
      <w:szCs w:val="18"/>
    </w:rPr>
  </w:style>
  <w:style w:type="character" w:customStyle="1" w:styleId="26">
    <w:name w:val="页脚 字符"/>
    <w:basedOn w:val="19"/>
    <w:link w:val="13"/>
    <w:qFormat/>
    <w:uiPriority w:val="99"/>
    <w:rPr>
      <w:rFonts w:ascii="Calibri" w:hAnsi="Calibri" w:eastAsia="宋体" w:cs="Times New Roman"/>
      <w:sz w:val="18"/>
      <w:szCs w:val="18"/>
    </w:rPr>
  </w:style>
  <w:style w:type="character" w:customStyle="1" w:styleId="27">
    <w:name w:val="标题 1 字符"/>
    <w:basedOn w:val="19"/>
    <w:link w:val="3"/>
    <w:qFormat/>
    <w:uiPriority w:val="0"/>
    <w:rPr>
      <w:rFonts w:ascii="宋体" w:hAnsi="Calibri" w:eastAsia="宋体" w:cs="Times New Roman"/>
      <w:color w:val="000000"/>
      <w:sz w:val="28"/>
      <w:szCs w:val="20"/>
    </w:rPr>
  </w:style>
  <w:style w:type="character" w:customStyle="1" w:styleId="28">
    <w:name w:val="批注文字 字符"/>
    <w:basedOn w:val="19"/>
    <w:link w:val="7"/>
    <w:qFormat/>
    <w:uiPriority w:val="99"/>
    <w:rPr>
      <w:rFonts w:ascii="Calibri" w:hAnsi="Calibri" w:eastAsia="宋体" w:cs="Times New Roman"/>
    </w:rPr>
  </w:style>
  <w:style w:type="character" w:customStyle="1" w:styleId="29">
    <w:name w:val="批注主题 字符"/>
    <w:basedOn w:val="28"/>
    <w:link w:val="15"/>
    <w:semiHidden/>
    <w:qFormat/>
    <w:uiPriority w:val="99"/>
    <w:rPr>
      <w:rFonts w:ascii="Calibri" w:hAnsi="Calibri" w:eastAsia="宋体" w:cs="Times New Roman"/>
      <w:b/>
      <w:bCs/>
    </w:rPr>
  </w:style>
  <w:style w:type="character" w:customStyle="1" w:styleId="30">
    <w:name w:val="纯文本 Char"/>
    <w:qFormat/>
    <w:uiPriority w:val="0"/>
    <w:rPr>
      <w:rFonts w:ascii="宋体" w:hAnsi="Courier New"/>
    </w:rPr>
  </w:style>
  <w:style w:type="character" w:customStyle="1" w:styleId="31">
    <w:name w:val="纯文本 字符"/>
    <w:basedOn w:val="19"/>
    <w:link w:val="10"/>
    <w:semiHidden/>
    <w:qFormat/>
    <w:uiPriority w:val="99"/>
    <w:rPr>
      <w:rFonts w:ascii="宋体" w:hAnsi="Courier New" w:eastAsia="宋体" w:cs="Courier New"/>
      <w:szCs w:val="21"/>
    </w:rPr>
  </w:style>
  <w:style w:type="character" w:customStyle="1" w:styleId="32">
    <w:name w:val="标题 2 字符"/>
    <w:basedOn w:val="19"/>
    <w:link w:val="4"/>
    <w:qFormat/>
    <w:uiPriority w:val="0"/>
    <w:rPr>
      <w:rFonts w:ascii="Arial" w:hAnsi="Arial" w:eastAsia="宋体" w:cs="Times New Roman"/>
      <w:b/>
      <w:bCs/>
      <w:sz w:val="32"/>
      <w:szCs w:val="32"/>
    </w:rPr>
  </w:style>
  <w:style w:type="paragraph" w:styleId="33">
    <w:name w:val="List Paragraph"/>
    <w:basedOn w:val="1"/>
    <w:qFormat/>
    <w:uiPriority w:val="34"/>
    <w:pPr>
      <w:ind w:firstLine="420" w:firstLineChars="200"/>
    </w:pPr>
  </w:style>
  <w:style w:type="character" w:customStyle="1" w:styleId="34">
    <w:name w:val="标题 3 字符"/>
    <w:basedOn w:val="19"/>
    <w:link w:val="5"/>
    <w:semiHidden/>
    <w:qFormat/>
    <w:uiPriority w:val="9"/>
    <w:rPr>
      <w:rFonts w:ascii="Calibri" w:hAnsi="Calibri" w:eastAsia="宋体" w:cs="Times New Roman"/>
      <w:b/>
      <w:bCs/>
      <w:sz w:val="32"/>
      <w:szCs w:val="32"/>
    </w:rPr>
  </w:style>
  <w:style w:type="character" w:customStyle="1" w:styleId="35">
    <w:name w:val="标题 4 字符"/>
    <w:basedOn w:val="19"/>
    <w:link w:val="6"/>
    <w:qFormat/>
    <w:uiPriority w:val="0"/>
    <w:rPr>
      <w:rFonts w:ascii="Cambria" w:hAnsi="Cambria" w:eastAsia="宋体" w:cs="Times New Roman"/>
      <w:b/>
      <w:bCs/>
      <w:sz w:val="28"/>
      <w:szCs w:val="28"/>
    </w:rPr>
  </w:style>
  <w:style w:type="paragraph" w:customStyle="1" w:styleId="36">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7">
    <w:name w:val="1"/>
    <w:basedOn w:val="1"/>
    <w:next w:val="10"/>
    <w:qFormat/>
    <w:uiPriority w:val="0"/>
    <w:rPr>
      <w:rFonts w:ascii="宋体" w:hAnsi="Courier New"/>
      <w:szCs w:val="20"/>
    </w:rPr>
  </w:style>
  <w:style w:type="paragraph" w:customStyle="1" w:styleId="38">
    <w:name w:val="8"/>
    <w:basedOn w:val="1"/>
    <w:next w:val="10"/>
    <w:qFormat/>
    <w:uiPriority w:val="0"/>
    <w:rPr>
      <w:rFonts w:ascii="宋体" w:hAnsi="Courier New"/>
      <w:szCs w:val="20"/>
    </w:rPr>
  </w:style>
  <w:style w:type="paragraph" w:customStyle="1" w:styleId="39">
    <w:name w:val="_Style 55"/>
    <w:basedOn w:val="1"/>
    <w:next w:val="10"/>
    <w:qFormat/>
    <w:uiPriority w:val="0"/>
    <w:rPr>
      <w:rFonts w:ascii="宋体" w:hAnsi="Courier New"/>
      <w:szCs w:val="20"/>
    </w:rPr>
  </w:style>
  <w:style w:type="paragraph" w:customStyle="1" w:styleId="40">
    <w:name w:val="7"/>
    <w:basedOn w:val="1"/>
    <w:next w:val="10"/>
    <w:link w:val="41"/>
    <w:qFormat/>
    <w:uiPriority w:val="0"/>
    <w:rPr>
      <w:rFonts w:ascii="宋体" w:hAnsi="Courier New"/>
      <w:szCs w:val="20"/>
    </w:rPr>
  </w:style>
  <w:style w:type="character" w:customStyle="1" w:styleId="41">
    <w:name w:val="Char1"/>
    <w:link w:val="40"/>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B5A0F-D532-4655-B452-EF8A4183DF2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80</Pages>
  <Words>6392</Words>
  <Characters>36438</Characters>
  <Lines>303</Lines>
  <Paragraphs>85</Paragraphs>
  <TotalTime>0</TotalTime>
  <ScaleCrop>false</ScaleCrop>
  <LinksUpToDate>false</LinksUpToDate>
  <CharactersWithSpaces>42745</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2022-06-02T07:51:56Z</dcterms:modified>
  <cp:revision>1489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13DCDC481FE24253A6C891A16E6BAC23</vt:lpwstr>
  </property>
</Properties>
</file>