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项目需求</w:t>
      </w:r>
    </w:p>
    <w:p>
      <w:pPr>
        <w:widowControl/>
        <w:jc w:val="left"/>
      </w:pPr>
      <w:r>
        <w:rPr>
          <w:rFonts w:hint="eastAsia" w:ascii="仿宋" w:hAnsi="仿宋" w:eastAsia="仿宋"/>
          <w:b/>
          <w:bCs/>
          <w:sz w:val="28"/>
          <w:szCs w:val="21"/>
        </w:rPr>
        <w:t>一、采购预算</w:t>
      </w:r>
    </w:p>
    <w:tbl>
      <w:tblPr>
        <w:tblStyle w:val="16"/>
        <w:tblW w:w="90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445"/>
        <w:gridCol w:w="1906"/>
        <w:gridCol w:w="1830"/>
        <w:gridCol w:w="17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序号</w:t>
            </w:r>
          </w:p>
        </w:tc>
        <w:tc>
          <w:tcPr>
            <w:tcW w:w="2445"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货物名称</w:t>
            </w:r>
          </w:p>
        </w:tc>
        <w:tc>
          <w:tcPr>
            <w:tcW w:w="1906"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数量</w:t>
            </w:r>
          </w:p>
        </w:tc>
        <w:tc>
          <w:tcPr>
            <w:tcW w:w="1830"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采购控制金额（人民币元）</w:t>
            </w:r>
          </w:p>
        </w:tc>
        <w:tc>
          <w:tcPr>
            <w:tcW w:w="1780"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2445" w:type="dxa"/>
            <w:noWrap w:val="0"/>
            <w:vAlign w:val="center"/>
          </w:tcPr>
          <w:p>
            <w:pPr>
              <w:spacing w:line="360" w:lineRule="auto"/>
              <w:jc w:val="center"/>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倒置相差显微镜</w:t>
            </w:r>
          </w:p>
        </w:tc>
        <w:tc>
          <w:tcPr>
            <w:tcW w:w="1906" w:type="dxa"/>
            <w:noWrap w:val="0"/>
            <w:vAlign w:val="center"/>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1套</w:t>
            </w:r>
          </w:p>
        </w:tc>
        <w:tc>
          <w:tcPr>
            <w:tcW w:w="1830" w:type="dxa"/>
            <w:noWrap w:val="0"/>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lang w:val="en-US" w:eastAsia="zh-CN"/>
              </w:rPr>
              <w:t>450</w:t>
            </w:r>
            <w:r>
              <w:rPr>
                <w:rFonts w:hint="eastAsia" w:ascii="仿宋" w:hAnsi="仿宋" w:eastAsia="仿宋" w:cs="Times New Roman"/>
                <w:sz w:val="24"/>
                <w:szCs w:val="24"/>
              </w:rPr>
              <w:t>,000.00</w:t>
            </w:r>
          </w:p>
        </w:tc>
        <w:tc>
          <w:tcPr>
            <w:tcW w:w="1780" w:type="dxa"/>
            <w:noWrap w:val="0"/>
            <w:vAlign w:val="center"/>
          </w:tcPr>
          <w:p>
            <w:pPr>
              <w:spacing w:line="360" w:lineRule="auto"/>
              <w:jc w:val="center"/>
              <w:rPr>
                <w:rFonts w:hint="default" w:ascii="仿宋" w:hAnsi="仿宋" w:eastAsia="仿宋" w:cs="Times New Roman"/>
                <w:sz w:val="24"/>
                <w:szCs w:val="24"/>
                <w:lang w:val="en-US"/>
              </w:rPr>
            </w:pPr>
            <w:r>
              <w:rPr>
                <w:rFonts w:hint="eastAsia" w:ascii="仿宋" w:hAnsi="仿宋" w:eastAsia="仿宋" w:cs="Times New Roman"/>
                <w:sz w:val="24"/>
                <w:szCs w:val="24"/>
                <w:lang w:val="en-US" w:eastAsia="zh-CN"/>
              </w:rPr>
              <w:t>接受进口</w:t>
            </w:r>
          </w:p>
        </w:tc>
      </w:tr>
    </w:tbl>
    <w:p/>
    <w:p>
      <w:pPr>
        <w:widowControl/>
        <w:jc w:val="left"/>
        <w:rPr>
          <w:rFonts w:ascii="仿宋" w:hAnsi="仿宋" w:eastAsia="仿宋"/>
          <w:b/>
          <w:bCs/>
          <w:sz w:val="28"/>
          <w:szCs w:val="21"/>
        </w:rPr>
      </w:pPr>
      <w:r>
        <w:rPr>
          <w:rFonts w:hint="eastAsia" w:ascii="仿宋" w:hAnsi="仿宋" w:eastAsia="仿宋"/>
          <w:b/>
          <w:bCs/>
          <w:sz w:val="28"/>
          <w:szCs w:val="21"/>
        </w:rPr>
        <w:t>二、采购明细清单</w:t>
      </w:r>
    </w:p>
    <w:tbl>
      <w:tblPr>
        <w:tblStyle w:val="16"/>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5611"/>
        <w:gridCol w:w="113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5611"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货物名称</w:t>
            </w:r>
          </w:p>
        </w:tc>
        <w:tc>
          <w:tcPr>
            <w:tcW w:w="113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161"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5611" w:type="dxa"/>
            <w:vAlign w:val="center"/>
          </w:tcPr>
          <w:p>
            <w:pPr>
              <w:jc w:val="center"/>
              <w:rPr>
                <w:rFonts w:hint="eastAsia" w:ascii="仿宋" w:hAnsi="仿宋" w:eastAsia="仿宋" w:cs="仿宋"/>
                <w:color w:val="000000" w:themeColor="text1"/>
                <w:sz w:val="24"/>
                <w:szCs w:val="24"/>
              </w:rPr>
            </w:pPr>
            <w:r>
              <w:rPr>
                <w:rFonts w:hint="default" w:ascii="仿宋" w:hAnsi="仿宋" w:eastAsia="仿宋" w:cs="Times New Roman"/>
                <w:sz w:val="24"/>
                <w:szCs w:val="24"/>
                <w:lang w:val="en-US" w:eastAsia="zh-CN"/>
              </w:rPr>
              <w:t>倒置相差显微镜</w:t>
            </w:r>
          </w:p>
        </w:tc>
        <w:tc>
          <w:tcPr>
            <w:tcW w:w="1135" w:type="dxa"/>
            <w:vAlign w:val="center"/>
          </w:tcPr>
          <w:p>
            <w:pPr>
              <w:jc w:val="cente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1</w:t>
            </w:r>
          </w:p>
        </w:tc>
        <w:tc>
          <w:tcPr>
            <w:tcW w:w="1161" w:type="dxa"/>
            <w:vAlign w:val="center"/>
          </w:tcPr>
          <w:p>
            <w:pPr>
              <w:jc w:val="cente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套</w:t>
            </w:r>
          </w:p>
        </w:tc>
      </w:tr>
    </w:tbl>
    <w:p>
      <w:pPr>
        <w:widowControl/>
        <w:jc w:val="left"/>
        <w:rPr>
          <w:rFonts w:ascii="仿宋" w:hAnsi="仿宋" w:eastAsia="仿宋"/>
          <w:b/>
          <w:bCs/>
          <w:sz w:val="28"/>
          <w:szCs w:val="21"/>
        </w:rPr>
      </w:pPr>
    </w:p>
    <w:p>
      <w:pPr>
        <w:widowControl/>
        <w:jc w:val="left"/>
        <w:rPr>
          <w:rFonts w:hint="eastAsia" w:ascii="仿宋" w:hAnsi="仿宋" w:eastAsia="仿宋"/>
          <w:b/>
          <w:bCs/>
          <w:sz w:val="28"/>
          <w:szCs w:val="21"/>
          <w:lang w:eastAsia="zh-CN"/>
        </w:rPr>
      </w:pPr>
      <w:r>
        <w:rPr>
          <w:rFonts w:hint="eastAsia" w:ascii="仿宋" w:hAnsi="仿宋" w:eastAsia="仿宋"/>
          <w:b/>
          <w:bCs/>
          <w:sz w:val="28"/>
          <w:szCs w:val="21"/>
        </w:rPr>
        <w:t>三、技术</w:t>
      </w:r>
      <w:r>
        <w:rPr>
          <w:rFonts w:hint="eastAsia" w:ascii="仿宋" w:hAnsi="仿宋" w:eastAsia="仿宋"/>
          <w:b/>
          <w:bCs/>
          <w:sz w:val="28"/>
          <w:szCs w:val="21"/>
          <w:lang w:val="en-US" w:eastAsia="zh-CN"/>
        </w:rPr>
        <w:t>要求</w:t>
      </w:r>
    </w:p>
    <w:tbl>
      <w:tblPr>
        <w:tblStyle w:val="16"/>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417"/>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货物名称</w:t>
            </w:r>
          </w:p>
        </w:tc>
        <w:tc>
          <w:tcPr>
            <w:tcW w:w="7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仿宋" w:hAnsi="仿宋" w:eastAsia="仿宋" w:cs="仿宋"/>
                <w:color w:val="FF0000"/>
                <w:kern w:val="0"/>
                <w:sz w:val="24"/>
                <w:szCs w:val="24"/>
              </w:rPr>
            </w:pPr>
            <w:r>
              <w:rPr>
                <w:rFonts w:hint="eastAsia" w:ascii="仿宋" w:hAnsi="仿宋" w:eastAsia="仿宋" w:cs="仿宋"/>
                <w:kern w:val="0"/>
                <w:sz w:val="24"/>
                <w:szCs w:val="24"/>
              </w:rPr>
              <w:t>1</w:t>
            </w:r>
          </w:p>
        </w:tc>
        <w:tc>
          <w:tcPr>
            <w:tcW w:w="141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000000"/>
                <w:kern w:val="0"/>
                <w:sz w:val="24"/>
                <w:szCs w:val="24"/>
                <w:lang w:eastAsia="zh-CN"/>
              </w:rPr>
            </w:pPr>
            <w:r>
              <w:rPr>
                <w:rFonts w:hint="eastAsia" w:ascii="仿宋" w:hAnsi="仿宋" w:eastAsia="仿宋" w:cs="Times New Roman"/>
                <w:sz w:val="24"/>
                <w:szCs w:val="24"/>
                <w:lang w:val="en-US" w:eastAsia="zh-CN"/>
              </w:rPr>
              <w:t>倒置相差显微镜</w:t>
            </w:r>
          </w:p>
        </w:tc>
        <w:tc>
          <w:tcPr>
            <w:tcW w:w="7649" w:type="dxa"/>
            <w:tcBorders>
              <w:top w:val="single" w:color="auto" w:sz="4" w:space="0"/>
              <w:left w:val="single" w:color="auto" w:sz="4" w:space="0"/>
              <w:bottom w:val="single" w:color="auto" w:sz="4" w:space="0"/>
              <w:right w:val="single" w:color="auto" w:sz="4" w:space="0"/>
            </w:tcBorders>
            <w:vAlign w:val="top"/>
          </w:tcPr>
          <w:p>
            <w:pPr>
              <w:pStyle w:val="43"/>
              <w:rPr>
                <w:rFonts w:hint="eastAsia" w:ascii="仿宋" w:hAnsi="仿宋" w:eastAsia="仿宋" w:cs="仿宋"/>
                <w:sz w:val="24"/>
                <w:szCs w:val="24"/>
              </w:rPr>
            </w:pPr>
            <w:r>
              <w:rPr>
                <w:rFonts w:hint="eastAsia" w:ascii="宋体" w:hAnsi="宋体" w:eastAsia="宋体" w:cs="Arial Unicode MS"/>
                <w:b/>
                <w:bCs/>
                <w:color w:val="000000"/>
                <w:sz w:val="21"/>
                <w:szCs w:val="21"/>
              </w:rPr>
              <w:t>1、</w:t>
            </w:r>
            <w:r>
              <w:rPr>
                <w:rFonts w:ascii="宋体" w:hAnsi="宋体" w:eastAsia="宋体" w:cs="Arial Unicode MS"/>
                <w:b/>
                <w:bCs/>
                <w:color w:val="000000"/>
                <w:sz w:val="21"/>
                <w:szCs w:val="21"/>
              </w:rPr>
              <w:t>主要功能：</w:t>
            </w:r>
            <w:r>
              <w:rPr>
                <w:rFonts w:hint="eastAsia" w:ascii="宋体" w:hAnsi="宋体" w:eastAsia="宋体" w:cs="宋体"/>
                <w:kern w:val="2"/>
                <w:sz w:val="21"/>
                <w:szCs w:val="21"/>
                <w:lang w:val="en-US" w:eastAsia="zh-CN" w:bidi="ar-SA"/>
              </w:rPr>
              <w:t>可实现对多种细胞、组织等样品进行多通道的荧光、彩色明场和相差的智能化成像。采集过程通过软件进行调节控制，可随时在操作界面上快速切换物镜、荧光通道，调节光强度、曝光时间等参数，并可选择手动或自动聚焦模式拍摄样本。对细胞图像进行定量分析，如细胞计数、细胞活力等应用，同时可以对样品进行Time Lapse实时拍摄形成动态影像。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szCs w:val="24"/>
                <w:lang w:val="en-US" w:eastAsia="zh-CN"/>
              </w:rPr>
            </w:pPr>
            <w:r>
              <w:rPr>
                <w:rFonts w:hint="eastAsia" w:ascii="宋体" w:hAnsi="宋体" w:cs="Arial Unicode MS"/>
                <w:b/>
                <w:bCs/>
                <w:color w:val="000000"/>
                <w:szCs w:val="21"/>
              </w:rPr>
              <w:t>2、</w:t>
            </w:r>
            <w:r>
              <w:rPr>
                <w:rFonts w:hint="eastAsia"/>
                <w:b/>
                <w:bCs/>
              </w:rPr>
              <w:t>显微系统机架：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highlight w:val="yellow"/>
              </w:rPr>
              <w:t>★2.1、无目镜台式细胞成像系统，集显示屏和主机于一体，一键开关设备和软件，通过鼠标屏幕操作完成采集和存储功能；</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2.2、光学系统：无限远光学系统；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▲2.3、成像方法：荧光成像、明场成像、彩色明场成像、相差成像；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2.4、具有相差成像组件，包括透射光源，聚光镜，相差环等光学组件，配置相差物镜可实现相差功能；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rPr>
            </w:pPr>
            <w:r>
              <w:rPr>
                <w:rFonts w:hint="eastAsia" w:ascii="宋体" w:hAnsi="宋体" w:eastAsia="宋体" w:cs="宋体"/>
                <w:szCs w:val="21"/>
              </w:rPr>
              <w:t>▲2.5、电动Z轴调焦：可通过软件和调焦旋钮两种方式调节焦平面，具有自动对焦功能，轻松实现对焦过程；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2.6、聚光镜工作距离：≥60 mm，含3个位置，附带明场及相差光圈；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2.7、透射光照明：高亮度透射光LED光源，工作寿命大于5万小时，可调强度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▲2.8、彩色透射光照明：可进行免疫组化如H&amp;E染色样品的成像，配置三色LED进行成像，软件实时合成彩色图像；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2.9、载物台：高精确机械载物台，可通过XY旋钮移动，配置玻片、35mm培养皿、60mm培养皿、通用样品夹等容器支架适配框；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▲2.10、具有荧光滤片电动切换功能，软件可一键拍摄多色荧光图像，并自动叠加；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2.11、荧光光源：配置3个长寿命高亮度LED冷光源，寿命大于5万小时，采用“光立方”技术，光程≤10cm，可减少荧光信号传递过程中的损失；强度软件调节；使用前无需预热，使用后无需降温，即开即用；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2.12、荧光通道：配置DAPI（Ex357nm,Em447nm）、GFP(Ex470nm,Em510nm)、RFP(Ex531nm,Em593nm)三种荧光滤片组，荧光滤片组可自动识别，无需软件设置；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highlight w:val="yellow"/>
              </w:rPr>
              <w:t>★2.13、自带暗室环境，在自然光环境下即可进行明场和荧光样本的观察和图片采集；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2.14、一体化≥18英寸高分辨率彩色LCD显示</w:t>
            </w:r>
            <w:r>
              <w:rPr>
                <w:rFonts w:hint="eastAsia" w:ascii="宋体" w:hAnsi="宋体" w:eastAsia="宋体" w:cs="宋体"/>
                <w:szCs w:val="21"/>
                <w:lang w:val="en-US" w:eastAsia="zh-CN"/>
              </w:rPr>
              <w:t>设备</w:t>
            </w:r>
            <w:r>
              <w:rPr>
                <w:rFonts w:hint="eastAsia" w:ascii="宋体" w:hAnsi="宋体" w:eastAsia="宋体" w:cs="宋体"/>
                <w:szCs w:val="21"/>
              </w:rPr>
              <w:t>；分辨率≥1920X1080像素；显示屏与显微镜一体化设计，色度、对比度、倾斜度可调，人体工学设计；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szCs w:val="24"/>
                <w:lang w:val="en-US" w:eastAsia="zh-CN"/>
              </w:rPr>
            </w:pPr>
            <w:r>
              <w:rPr>
                <w:rFonts w:hint="eastAsia" w:ascii="宋体" w:hAnsi="宋体" w:eastAsia="宋体" w:cs="Arial Unicode MS"/>
                <w:b/>
                <w:bCs/>
                <w:color w:val="000000"/>
                <w:szCs w:val="21"/>
              </w:rPr>
              <w:t>3、物镜部分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3.1、物镜转盘：5位；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3.2、物镜4个：物镜4X，物镜10X，物镜 20X，物镜 40X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3.3、照相机：高灵敏度高分辨率黑白CMOS，物理输出像素不低于320万，分辨率不低于2048X1536；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center"/>
          </w:tcPr>
          <w:p>
            <w:pPr>
              <w:pStyle w:val="43"/>
              <w:jc w:val="both"/>
              <w:rPr>
                <w:rFonts w:hint="eastAsia" w:ascii="仿宋" w:hAnsi="仿宋" w:eastAsia="仿宋" w:cs="仿宋"/>
                <w:sz w:val="24"/>
                <w:szCs w:val="24"/>
                <w:lang w:val="en-US" w:eastAsia="zh-CN"/>
              </w:rPr>
            </w:pPr>
            <w:r>
              <w:rPr>
                <w:rFonts w:ascii="宋体" w:hAnsi="宋体" w:eastAsia="宋体" w:cs="Arial Unicode MS"/>
                <w:b/>
                <w:bCs/>
                <w:color w:val="000000"/>
                <w:sz w:val="21"/>
                <w:szCs w:val="21"/>
              </w:rPr>
              <w:t>4</w:t>
            </w:r>
            <w:r>
              <w:rPr>
                <w:rFonts w:hint="eastAsia" w:ascii="宋体" w:hAnsi="宋体" w:eastAsia="宋体" w:cs="Arial Unicode MS"/>
                <w:b/>
                <w:bCs/>
                <w:color w:val="000000"/>
                <w:sz w:val="21"/>
                <w:szCs w:val="21"/>
              </w:rPr>
              <w:t>、图像分析软件：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 xml:space="preserve">4.1 、图像采集：自带微处理器，内置软件通过鼠标操控，调节光亮度和曝光时间，内置虚拟键盘，点击拍摄图像，完成采集和存储功能；图像可调节亮度、对比度、饱和度、色调；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4.2 、具有自动多通道荧光功能：图像可进行自动多通道拍摄和叠加，无需手动切换；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4.3 、具有时间动态成像功能，可设置连续或任意间隔进行长时间拍摄；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▲4.4 、具有自动荧光细胞计数功能，可自动进行荧光细胞的绝对计数；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▲4.5 、具有自动聚焦功能，可自动根据对比度选择最佳焦平面；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highlight w:val="yellow"/>
              </w:rPr>
              <w:t>★4.6、 具有Z轴层切（Z-Stack）功能；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4.7、具有测量功能，可测量长度、面积、荧光强度等参数；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4.8、 获取的图像：图片输出支持常见格式；TIFF、PNG、BMP、JPG；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4.9 、图像存储与输出：显微镜自带3个USB接口，支持鼠标、键盘等设备，图片可直接存储在U盘上；显微镜自带DVI数字影像接口，可外接投影设备，方便教学和交流。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b/>
                <w:bCs/>
                <w:szCs w:val="21"/>
                <w:lang w:eastAsia="zh-CN"/>
              </w:rPr>
            </w:pPr>
            <w:r>
              <w:rPr>
                <w:rFonts w:hint="eastAsia" w:ascii="宋体" w:hAnsi="宋体" w:eastAsia="宋体" w:cs="宋体"/>
                <w:b/>
                <w:bCs/>
                <w:szCs w:val="21"/>
              </w:rPr>
              <w:t>配置清单</w:t>
            </w:r>
            <w:r>
              <w:rPr>
                <w:rFonts w:hint="eastAsia" w:ascii="宋体" w:hAnsi="宋体" w:eastAsia="宋体" w:cs="宋体"/>
                <w:b/>
                <w:bCs/>
                <w:szCs w:val="21"/>
                <w:lang w:eastAsia="zh-CN"/>
              </w:rPr>
              <w:t>：</w:t>
            </w:r>
          </w:p>
          <w:p>
            <w:pPr>
              <w:spacing w:line="360" w:lineRule="auto"/>
              <w:rPr>
                <w:rFonts w:hint="eastAsia" w:ascii="宋体" w:hAnsi="宋体" w:eastAsia="宋体" w:cs="宋体"/>
                <w:szCs w:val="21"/>
                <w:lang w:val="en-US" w:eastAsia="zh-CN"/>
              </w:rPr>
            </w:pPr>
            <w:r>
              <w:rPr>
                <w:rFonts w:hint="eastAsia" w:ascii="宋体" w:hAnsi="宋体" w:eastAsia="宋体" w:cs="宋体"/>
                <w:szCs w:val="21"/>
              </w:rPr>
              <w:t>倒置相差显微镜</w:t>
            </w:r>
            <w:r>
              <w:rPr>
                <w:rFonts w:hint="eastAsia" w:ascii="宋体" w:hAnsi="宋体" w:eastAsia="宋体" w:cs="宋体"/>
                <w:szCs w:val="21"/>
                <w:lang w:val="en-US" w:eastAsia="zh-CN"/>
              </w:rPr>
              <w:t>主机                                1台</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LED光源（DAPI）                                   1</w:t>
            </w:r>
            <w:r>
              <w:rPr>
                <w:rFonts w:hint="eastAsia" w:ascii="宋体" w:hAnsi="宋体" w:eastAsia="宋体" w:cs="宋体"/>
                <w:szCs w:val="21"/>
              </w:rPr>
              <w:t>套</w:t>
            </w:r>
            <w:r>
              <w:rPr>
                <w:rFonts w:hint="eastAsia" w:ascii="宋体" w:hAnsi="宋体" w:eastAsia="宋体" w:cs="宋体"/>
                <w:szCs w:val="21"/>
                <w:lang w:val="en-US" w:eastAsia="zh-CN"/>
              </w:rPr>
              <w:t xml:space="preserve">   </w:t>
            </w:r>
          </w:p>
          <w:p>
            <w:pPr>
              <w:spacing w:line="360" w:lineRule="auto"/>
              <w:rPr>
                <w:rFonts w:hint="eastAsia" w:ascii="宋体" w:hAnsi="宋体" w:eastAsia="宋体" w:cs="宋体"/>
                <w:szCs w:val="21"/>
              </w:rPr>
            </w:pPr>
            <w:r>
              <w:rPr>
                <w:rFonts w:hint="eastAsia" w:ascii="宋体" w:hAnsi="宋体" w:eastAsia="宋体" w:cs="宋体"/>
                <w:szCs w:val="21"/>
              </w:rPr>
              <w:t>LED光源（GFP）</w:t>
            </w:r>
            <w:r>
              <w:rPr>
                <w:rFonts w:hint="eastAsia" w:ascii="宋体" w:hAnsi="宋体" w:eastAsia="宋体" w:cs="宋体"/>
                <w:szCs w:val="21"/>
                <w:lang w:val="en-US" w:eastAsia="zh-CN"/>
              </w:rPr>
              <w:t xml:space="preserve">                                    1</w:t>
            </w:r>
            <w:r>
              <w:rPr>
                <w:rFonts w:hint="eastAsia" w:ascii="宋体" w:hAnsi="宋体" w:eastAsia="宋体" w:cs="宋体"/>
                <w:szCs w:val="21"/>
              </w:rPr>
              <w:t>套</w:t>
            </w:r>
          </w:p>
          <w:p>
            <w:pPr>
              <w:spacing w:line="360" w:lineRule="auto"/>
              <w:rPr>
                <w:rFonts w:hint="eastAsia" w:ascii="宋体" w:hAnsi="宋体" w:eastAsia="宋体" w:cs="宋体"/>
                <w:szCs w:val="21"/>
                <w:lang w:val="en-US" w:eastAsia="zh-CN"/>
              </w:rPr>
            </w:pPr>
            <w:r>
              <w:rPr>
                <w:rFonts w:hint="eastAsia" w:ascii="宋体" w:hAnsi="宋体" w:eastAsia="宋体" w:cs="宋体"/>
                <w:szCs w:val="21"/>
              </w:rPr>
              <w:t>LED光源（RFP）</w:t>
            </w:r>
            <w:r>
              <w:rPr>
                <w:rFonts w:hint="eastAsia" w:ascii="宋体" w:hAnsi="宋体" w:eastAsia="宋体" w:cs="宋体"/>
                <w:szCs w:val="21"/>
                <w:lang w:val="en-US" w:eastAsia="zh-CN"/>
              </w:rPr>
              <w:t xml:space="preserve">                                    1</w:t>
            </w:r>
            <w:r>
              <w:rPr>
                <w:rFonts w:hint="eastAsia" w:ascii="宋体" w:hAnsi="宋体" w:eastAsia="宋体" w:cs="宋体"/>
                <w:szCs w:val="21"/>
              </w:rPr>
              <w:t>套</w:t>
            </w:r>
          </w:p>
          <w:p>
            <w:pPr>
              <w:spacing w:line="360" w:lineRule="auto"/>
              <w:rPr>
                <w:rFonts w:hint="eastAsia" w:ascii="宋体" w:hAnsi="宋体" w:eastAsia="宋体" w:cs="宋体"/>
                <w:szCs w:val="21"/>
                <w:lang w:val="en-US" w:eastAsia="zh-CN"/>
              </w:rPr>
            </w:pPr>
            <w:r>
              <w:rPr>
                <w:rFonts w:hint="eastAsia" w:ascii="宋体" w:hAnsi="宋体" w:eastAsia="宋体" w:cs="宋体"/>
                <w:szCs w:val="21"/>
              </w:rPr>
              <w:t>4X物镜</w:t>
            </w:r>
            <w:r>
              <w:rPr>
                <w:rFonts w:hint="eastAsia" w:ascii="宋体" w:hAnsi="宋体" w:eastAsia="宋体" w:cs="宋体"/>
                <w:szCs w:val="21"/>
                <w:lang w:val="en-US" w:eastAsia="zh-CN"/>
              </w:rPr>
              <w:t xml:space="preserve">                                            1个</w:t>
            </w:r>
          </w:p>
          <w:p>
            <w:pPr>
              <w:spacing w:line="360" w:lineRule="auto"/>
              <w:rPr>
                <w:rFonts w:hint="eastAsia" w:ascii="宋体" w:hAnsi="宋体" w:eastAsia="宋体" w:cs="宋体"/>
                <w:szCs w:val="21"/>
                <w:lang w:val="en-US" w:eastAsia="zh-CN"/>
              </w:rPr>
            </w:pPr>
            <w:r>
              <w:rPr>
                <w:rFonts w:hint="eastAsia" w:ascii="宋体" w:hAnsi="宋体" w:eastAsia="宋体" w:cs="宋体"/>
                <w:szCs w:val="21"/>
              </w:rPr>
              <w:t>10X物镜</w:t>
            </w:r>
            <w:r>
              <w:rPr>
                <w:rFonts w:hint="eastAsia" w:ascii="宋体" w:hAnsi="宋体" w:eastAsia="宋体" w:cs="宋体"/>
                <w:szCs w:val="21"/>
                <w:lang w:val="en-US" w:eastAsia="zh-CN"/>
              </w:rPr>
              <w:t xml:space="preserve">                                           1个</w:t>
            </w:r>
          </w:p>
          <w:p>
            <w:pPr>
              <w:spacing w:line="360" w:lineRule="auto"/>
              <w:rPr>
                <w:rFonts w:hint="eastAsia" w:ascii="宋体" w:hAnsi="宋体" w:eastAsia="宋体" w:cs="宋体"/>
                <w:szCs w:val="21"/>
                <w:lang w:val="en-US" w:eastAsia="zh-CN"/>
              </w:rPr>
            </w:pPr>
            <w:r>
              <w:rPr>
                <w:rFonts w:hint="eastAsia" w:ascii="宋体" w:hAnsi="宋体" w:eastAsia="宋体" w:cs="宋体"/>
                <w:szCs w:val="21"/>
              </w:rPr>
              <w:t>20X物镜</w:t>
            </w:r>
            <w:r>
              <w:rPr>
                <w:rFonts w:hint="eastAsia" w:ascii="宋体" w:hAnsi="宋体" w:eastAsia="宋体" w:cs="宋体"/>
                <w:szCs w:val="21"/>
                <w:lang w:val="en-US" w:eastAsia="zh-CN"/>
              </w:rPr>
              <w:t xml:space="preserve">                                           1个</w:t>
            </w:r>
          </w:p>
          <w:p>
            <w:pPr>
              <w:spacing w:line="360" w:lineRule="auto"/>
              <w:rPr>
                <w:rFonts w:hint="eastAsia" w:ascii="宋体" w:hAnsi="宋体" w:eastAsia="宋体" w:cs="宋体"/>
                <w:szCs w:val="21"/>
                <w:lang w:val="en-US" w:eastAsia="zh-CN"/>
              </w:rPr>
            </w:pPr>
            <w:r>
              <w:rPr>
                <w:rFonts w:hint="eastAsia" w:ascii="宋体" w:hAnsi="宋体" w:eastAsia="宋体" w:cs="宋体"/>
                <w:szCs w:val="21"/>
              </w:rPr>
              <w:t>40X物镜</w:t>
            </w:r>
            <w:r>
              <w:rPr>
                <w:rFonts w:hint="eastAsia" w:ascii="宋体" w:hAnsi="宋体" w:eastAsia="宋体" w:cs="宋体"/>
                <w:szCs w:val="21"/>
                <w:lang w:val="en-US" w:eastAsia="zh-CN"/>
              </w:rPr>
              <w:t xml:space="preserve">                                           1个</w:t>
            </w:r>
          </w:p>
          <w:p>
            <w:pPr>
              <w:spacing w:line="360" w:lineRule="auto"/>
              <w:rPr>
                <w:rFonts w:hint="eastAsia" w:ascii="宋体" w:hAnsi="宋体" w:eastAsia="宋体" w:cs="Arial Unicode MS"/>
                <w:color w:val="000000"/>
                <w:sz w:val="21"/>
                <w:szCs w:val="21"/>
              </w:rPr>
            </w:pPr>
            <w:r>
              <w:rPr>
                <w:rFonts w:hint="eastAsia" w:ascii="宋体" w:hAnsi="宋体" w:eastAsia="宋体" w:cs="宋体"/>
                <w:szCs w:val="21"/>
              </w:rPr>
              <w:t>通用夹具</w:t>
            </w:r>
            <w:r>
              <w:rPr>
                <w:rFonts w:hint="eastAsia" w:ascii="宋体" w:hAnsi="宋体" w:eastAsia="宋体" w:cs="宋体"/>
                <w:szCs w:val="21"/>
                <w:lang w:val="en-US" w:eastAsia="zh-CN"/>
              </w:rPr>
              <w:t xml:space="preserve">    </w:t>
            </w:r>
            <w:r>
              <w:rPr>
                <w:rFonts w:hint="eastAsia" w:ascii="宋体" w:hAnsi="宋体" w:eastAsia="宋体" w:cs="Arial Unicode MS"/>
                <w:color w:val="000000"/>
                <w:kern w:val="0"/>
                <w:sz w:val="21"/>
                <w:szCs w:val="21"/>
                <w:lang w:val="en-US" w:eastAsia="zh-CN"/>
              </w:rPr>
              <w:t xml:space="preserve">                                      1套</w:t>
            </w:r>
          </w:p>
        </w:tc>
      </w:tr>
    </w:tbl>
    <w:p>
      <w:pPr>
        <w:widowControl/>
        <w:ind w:firstLine="770" w:firstLineChars="350"/>
        <w:jc w:val="left"/>
        <w:rPr>
          <w:rFonts w:ascii="仿宋" w:hAnsi="仿宋" w:eastAsia="仿宋"/>
          <w:bCs/>
          <w:sz w:val="22"/>
          <w:szCs w:val="21"/>
        </w:rPr>
      </w:pPr>
    </w:p>
    <w:p>
      <w:pPr>
        <w:widowControl/>
        <w:jc w:val="left"/>
        <w:rPr>
          <w:rFonts w:hint="eastAsia" w:ascii="仿宋" w:hAnsi="仿宋" w:eastAsia="仿宋"/>
          <w:b/>
          <w:bCs/>
          <w:sz w:val="28"/>
          <w:szCs w:val="21"/>
          <w:lang w:eastAsia="zh-CN"/>
        </w:rPr>
      </w:pPr>
      <w:r>
        <w:rPr>
          <w:rFonts w:hint="eastAsia" w:ascii="仿宋" w:hAnsi="仿宋" w:eastAsia="仿宋"/>
          <w:b/>
          <w:bCs/>
          <w:sz w:val="28"/>
          <w:szCs w:val="21"/>
        </w:rPr>
        <w:t>四、商务</w:t>
      </w:r>
      <w:r>
        <w:rPr>
          <w:rFonts w:hint="eastAsia" w:ascii="仿宋" w:hAnsi="仿宋" w:eastAsia="仿宋"/>
          <w:b/>
          <w:bCs/>
          <w:sz w:val="28"/>
          <w:szCs w:val="21"/>
          <w:lang w:val="en-US" w:eastAsia="zh-CN"/>
        </w:rPr>
        <w:t>要求</w:t>
      </w:r>
    </w:p>
    <w:tbl>
      <w:tblPr>
        <w:tblStyle w:val="16"/>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 号</w:t>
            </w:r>
          </w:p>
        </w:tc>
        <w:tc>
          <w:tcPr>
            <w:tcW w:w="162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目录</w:t>
            </w:r>
          </w:p>
        </w:tc>
        <w:tc>
          <w:tcPr>
            <w:tcW w:w="711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0" w:type="dxa"/>
            <w:gridSpan w:val="3"/>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620" w:type="dxa"/>
            <w:vMerge w:val="restart"/>
            <w:vAlign w:val="center"/>
          </w:tcPr>
          <w:p>
            <w:pPr>
              <w:spacing w:line="360" w:lineRule="auto"/>
              <w:rPr>
                <w:rFonts w:hint="eastAsia" w:ascii="仿宋" w:hAnsi="仿宋" w:eastAsia="仿宋" w:cs="仿宋"/>
                <w:sz w:val="24"/>
                <w:szCs w:val="24"/>
              </w:rPr>
            </w:pPr>
            <w:r>
              <w:rPr>
                <w:rFonts w:hint="eastAsia" w:ascii="仿宋" w:hAnsi="仿宋" w:eastAsia="仿宋" w:cs="仿宋"/>
                <w:b/>
                <w:kern w:val="0"/>
                <w:sz w:val="24"/>
                <w:szCs w:val="24"/>
              </w:rPr>
              <w:t>维修及维护服务</w:t>
            </w:r>
          </w:p>
        </w:tc>
        <w:tc>
          <w:tcPr>
            <w:tcW w:w="7110" w:type="dxa"/>
            <w:vAlign w:val="top"/>
          </w:tcPr>
          <w:p>
            <w:pPr>
              <w:spacing w:line="360" w:lineRule="auto"/>
              <w:rPr>
                <w:rFonts w:hint="eastAsia" w:ascii="仿宋" w:hAnsi="仿宋" w:eastAsia="仿宋" w:cs="仿宋"/>
                <w:b/>
                <w:color w:val="000000"/>
                <w:sz w:val="24"/>
                <w:szCs w:val="24"/>
              </w:rPr>
            </w:pPr>
            <w:r>
              <w:rPr>
                <w:rFonts w:hint="eastAsia" w:ascii="宋体" w:hAnsi="宋体" w:cs="宋体"/>
                <w:b/>
                <w:bCs/>
                <w:szCs w:val="21"/>
                <w:highlight w:val="yellow"/>
              </w:rPr>
              <w:t>★1）整机免费保修期3年（含）以上，终身维修，时间自验收合格之日起算。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rPr>
                <w:rFonts w:hint="eastAsia" w:ascii="仿宋" w:hAnsi="仿宋" w:eastAsia="仿宋" w:cs="仿宋"/>
                <w:b/>
                <w:kern w:val="0"/>
                <w:sz w:val="24"/>
                <w:szCs w:val="24"/>
              </w:rPr>
            </w:pPr>
          </w:p>
        </w:tc>
        <w:tc>
          <w:tcPr>
            <w:tcW w:w="7110" w:type="dxa"/>
            <w:vAlign w:val="top"/>
          </w:tcPr>
          <w:p>
            <w:pPr>
              <w:spacing w:line="360" w:lineRule="auto"/>
              <w:rPr>
                <w:rFonts w:hint="eastAsia" w:ascii="仿宋" w:hAnsi="仿宋" w:eastAsia="仿宋" w:cs="仿宋"/>
                <w:color w:val="000000"/>
                <w:kern w:val="0"/>
                <w:sz w:val="24"/>
                <w:szCs w:val="24"/>
              </w:rPr>
            </w:pPr>
            <w:r>
              <w:rPr>
                <w:rFonts w:hint="eastAsia" w:ascii="宋体" w:hAnsi="宋体" w:cs="宋体"/>
                <w:szCs w:val="21"/>
              </w:rPr>
              <w:t>2）保修期内,年度定期预防性维护保养次数应不少于 4 次。保修期内免费更换零配件、免工时费。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rPr>
                <w:rFonts w:hint="eastAsia" w:ascii="仿宋" w:hAnsi="仿宋" w:eastAsia="仿宋" w:cs="仿宋"/>
                <w:b/>
                <w:kern w:val="0"/>
                <w:sz w:val="24"/>
                <w:szCs w:val="24"/>
              </w:rPr>
            </w:pPr>
          </w:p>
        </w:tc>
        <w:tc>
          <w:tcPr>
            <w:tcW w:w="7110" w:type="dxa"/>
            <w:vAlign w:val="top"/>
          </w:tcPr>
          <w:p>
            <w:pPr>
              <w:spacing w:line="360" w:lineRule="auto"/>
              <w:rPr>
                <w:rFonts w:hint="eastAsia" w:ascii="仿宋" w:hAnsi="仿宋" w:eastAsia="仿宋" w:cs="仿宋"/>
                <w:bCs/>
                <w:color w:val="000000"/>
                <w:sz w:val="24"/>
                <w:szCs w:val="24"/>
              </w:rPr>
            </w:pPr>
            <w:r>
              <w:rPr>
                <w:rFonts w:hint="eastAsia" w:ascii="宋体" w:hAnsi="宋体" w:cs="宋体"/>
                <w:szCs w:val="21"/>
              </w:rPr>
              <w:t>3）由设备制造商提供售后服务， 2 小时内响应， 24 小时维修到位（不可抗力情况除外）。消耗品和零配件供应及时。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rPr>
                <w:rFonts w:hint="eastAsia" w:ascii="仿宋" w:hAnsi="仿宋" w:eastAsia="仿宋" w:cs="仿宋"/>
                <w:b/>
                <w:kern w:val="0"/>
                <w:sz w:val="24"/>
                <w:szCs w:val="24"/>
              </w:rPr>
            </w:pPr>
          </w:p>
        </w:tc>
        <w:tc>
          <w:tcPr>
            <w:tcW w:w="7110" w:type="dxa"/>
            <w:vAlign w:val="top"/>
          </w:tcPr>
          <w:p>
            <w:pPr>
              <w:spacing w:line="360" w:lineRule="auto"/>
              <w:rPr>
                <w:rFonts w:hint="eastAsia" w:ascii="仿宋" w:hAnsi="仿宋" w:eastAsia="仿宋" w:cs="仿宋"/>
                <w:color w:val="000000"/>
                <w:kern w:val="0"/>
                <w:sz w:val="24"/>
                <w:szCs w:val="24"/>
              </w:rPr>
            </w:pPr>
            <w:r>
              <w:rPr>
                <w:rFonts w:hint="eastAsia" w:ascii="宋体" w:hAnsi="宋体" w:cs="宋体"/>
                <w:szCs w:val="21"/>
              </w:rPr>
              <w:t>4）投标人负责货物的终身维修，保证 5 年以上供应维修配件， 5 年内免费提供软件升级服务。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rPr>
                <w:rFonts w:hint="eastAsia" w:ascii="仿宋" w:hAnsi="仿宋" w:eastAsia="仿宋" w:cs="仿宋"/>
                <w:b/>
                <w:kern w:val="0"/>
                <w:sz w:val="24"/>
                <w:szCs w:val="24"/>
              </w:rPr>
            </w:pPr>
          </w:p>
        </w:tc>
        <w:tc>
          <w:tcPr>
            <w:tcW w:w="7110" w:type="dxa"/>
            <w:vAlign w:val="top"/>
          </w:tcPr>
          <w:p>
            <w:pPr>
              <w:spacing w:line="360" w:lineRule="auto"/>
              <w:rPr>
                <w:rFonts w:hint="eastAsia" w:ascii="仿宋" w:hAnsi="仿宋" w:eastAsia="仿宋" w:cs="仿宋"/>
                <w:color w:val="000000"/>
                <w:kern w:val="0"/>
                <w:sz w:val="24"/>
                <w:szCs w:val="24"/>
                <w:lang w:val="en-US" w:eastAsia="zh-CN"/>
              </w:rPr>
            </w:pPr>
            <w:r>
              <w:rPr>
                <w:rFonts w:hint="eastAsia" w:hAnsi="宋体" w:cs="宋体"/>
                <w:b/>
                <w:bCs/>
                <w:szCs w:val="21"/>
                <w:highlight w:val="yellow"/>
              </w:rPr>
              <w:t>★</w:t>
            </w:r>
            <w:r>
              <w:rPr>
                <w:rFonts w:hint="eastAsia" w:ascii="宋体" w:hAnsi="宋体" w:cs="宋体"/>
                <w:szCs w:val="21"/>
                <w:highlight w:val="yellow"/>
              </w:rPr>
              <w:t>5）投标人提供的仪器设备的设计使用年限</w:t>
            </w:r>
            <w:r>
              <w:rPr>
                <w:rFonts w:hint="eastAsia" w:ascii="宋体" w:hAnsi="宋体" w:cs="宋体"/>
                <w:szCs w:val="21"/>
                <w:highlight w:val="yellow"/>
                <w:lang w:val="en-US" w:eastAsia="zh-CN"/>
              </w:rPr>
              <w:t>必须</w:t>
            </w:r>
            <w:r>
              <w:rPr>
                <w:rFonts w:hint="eastAsia" w:ascii="宋体" w:hAnsi="宋体" w:cs="宋体"/>
                <w:szCs w:val="21"/>
                <w:highlight w:val="yellow"/>
              </w:rPr>
              <w:t>≥5年。</w:t>
            </w:r>
            <w:r>
              <w:rPr>
                <w:rFonts w:hint="eastAsia" w:ascii="宋体" w:hAnsi="宋体" w:cs="宋体"/>
                <w:b/>
                <w:bCs/>
                <w:color w:val="FF0000"/>
                <w:szCs w:val="21"/>
                <w:highlight w:val="yellow"/>
              </w:rPr>
              <w:t>【设计年限需提供相关证明材料进行佐证】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rPr>
                <w:rFonts w:hint="eastAsia" w:ascii="仿宋" w:hAnsi="仿宋" w:eastAsia="仿宋" w:cs="仿宋"/>
                <w:b/>
                <w:kern w:val="0"/>
                <w:sz w:val="24"/>
                <w:szCs w:val="24"/>
              </w:rPr>
            </w:pPr>
          </w:p>
        </w:tc>
        <w:tc>
          <w:tcPr>
            <w:tcW w:w="7110" w:type="dxa"/>
            <w:vAlign w:val="top"/>
          </w:tcPr>
          <w:p>
            <w:pPr>
              <w:spacing w:line="360" w:lineRule="auto"/>
              <w:rPr>
                <w:rFonts w:hint="eastAsia" w:ascii="仿宋" w:hAnsi="仿宋" w:eastAsia="仿宋" w:cs="仿宋"/>
                <w:bCs/>
                <w:color w:val="000000"/>
                <w:sz w:val="24"/>
                <w:szCs w:val="24"/>
                <w:lang w:val="en-US" w:eastAsia="zh-CN"/>
              </w:rPr>
            </w:pPr>
            <w:r>
              <w:rPr>
                <w:rFonts w:hint="eastAsia" w:hAnsi="宋体" w:cs="宋体"/>
                <w:b/>
                <w:bCs/>
                <w:szCs w:val="21"/>
                <w:highlight w:val="yellow"/>
              </w:rPr>
              <w:t>★</w:t>
            </w:r>
            <w:r>
              <w:rPr>
                <w:rFonts w:hint="eastAsia" w:ascii="宋体" w:hAnsi="宋体" w:cs="宋体"/>
                <w:highlight w:val="yellow"/>
              </w:rPr>
              <w:t>6</w:t>
            </w:r>
            <w:r>
              <w:rPr>
                <w:rFonts w:hint="eastAsia" w:ascii="宋体" w:hAnsi="宋体" w:cs="宋体"/>
                <w:szCs w:val="21"/>
                <w:highlight w:val="yellow"/>
              </w:rPr>
              <w:t>）投标人提供的仪器设备的生产日期</w:t>
            </w:r>
            <w:r>
              <w:rPr>
                <w:rFonts w:hint="eastAsia" w:ascii="宋体" w:hAnsi="宋体" w:cs="宋体"/>
                <w:szCs w:val="21"/>
                <w:highlight w:val="yellow"/>
                <w:lang w:val="en-US" w:eastAsia="zh-CN"/>
              </w:rPr>
              <w:t>必须</w:t>
            </w:r>
            <w:r>
              <w:rPr>
                <w:rFonts w:hint="eastAsia" w:ascii="宋体" w:hAnsi="宋体" w:cs="宋体"/>
                <w:szCs w:val="21"/>
                <w:highlight w:val="yellow"/>
              </w:rPr>
              <w:t>在一年半内生产。</w:t>
            </w:r>
            <w:r>
              <w:rPr>
                <w:rFonts w:hint="eastAsia" w:ascii="宋体" w:hAnsi="宋体" w:cs="宋体"/>
                <w:color w:val="FF0000"/>
                <w:szCs w:val="21"/>
                <w:highlight w:val="yellow"/>
              </w:rPr>
              <w:t>【</w:t>
            </w:r>
            <w:r>
              <w:rPr>
                <w:rFonts w:hint="eastAsia" w:ascii="宋体" w:hAnsi="宋体" w:cs="宋体"/>
                <w:b/>
                <w:bCs/>
                <w:color w:val="FF0000"/>
                <w:szCs w:val="21"/>
                <w:highlight w:val="yellow"/>
              </w:rPr>
              <w:t>生产日期需提供承诺书（格式自拟）</w:t>
            </w:r>
            <w:r>
              <w:rPr>
                <w:rFonts w:hint="eastAsia" w:ascii="宋体" w:hAnsi="宋体" w:cs="宋体"/>
                <w:color w:val="FF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62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kern w:val="0"/>
                <w:sz w:val="24"/>
                <w:szCs w:val="24"/>
              </w:rPr>
              <w:t>质量保证</w:t>
            </w:r>
          </w:p>
        </w:tc>
        <w:tc>
          <w:tcPr>
            <w:tcW w:w="7110" w:type="dxa"/>
          </w:tcPr>
          <w:p>
            <w:pPr>
              <w:spacing w:line="360" w:lineRule="auto"/>
              <w:rPr>
                <w:rFonts w:hint="eastAsia" w:ascii="宋体" w:hAnsi="宋体" w:eastAsia="宋体" w:cs="宋体"/>
                <w:szCs w:val="21"/>
              </w:rPr>
            </w:pPr>
            <w:r>
              <w:rPr>
                <w:rFonts w:hint="eastAsia" w:ascii="宋体" w:hAnsi="宋体" w:eastAsia="宋体" w:cs="宋体"/>
                <w:szCs w:val="21"/>
              </w:rPr>
              <w:t>在保修期内, 投标人应确保年开机率在95%以上, 若不能达到此开机率，将作以下处理：</w:t>
            </w:r>
          </w:p>
          <w:p>
            <w:pPr>
              <w:spacing w:line="360" w:lineRule="auto"/>
              <w:rPr>
                <w:rFonts w:hint="eastAsia" w:ascii="宋体" w:hAnsi="宋体" w:eastAsia="宋体" w:cs="宋体"/>
                <w:szCs w:val="21"/>
              </w:rPr>
            </w:pPr>
            <w:r>
              <w:rPr>
                <w:rFonts w:hint="eastAsia" w:ascii="宋体" w:hAnsi="宋体" w:eastAsia="宋体" w:cs="宋体"/>
                <w:szCs w:val="21"/>
              </w:rPr>
              <w:t>A、年开机率在90-95%之间按一赔 二 延长保修期.</w:t>
            </w:r>
          </w:p>
          <w:p>
            <w:pPr>
              <w:spacing w:line="360" w:lineRule="auto"/>
              <w:rPr>
                <w:rFonts w:hint="eastAsia" w:ascii="宋体" w:hAnsi="宋体" w:eastAsia="宋体" w:cs="宋体"/>
                <w:szCs w:val="21"/>
              </w:rPr>
            </w:pPr>
            <w:r>
              <w:rPr>
                <w:rFonts w:hint="eastAsia" w:ascii="宋体" w:hAnsi="宋体" w:eastAsia="宋体" w:cs="宋体"/>
                <w:szCs w:val="21"/>
              </w:rPr>
              <w:t>B、年开机率在85-90%之间按一赔 五 延长保修期</w:t>
            </w:r>
          </w:p>
          <w:p>
            <w:pPr>
              <w:spacing w:line="360" w:lineRule="auto"/>
              <w:rPr>
                <w:rFonts w:hint="eastAsia" w:ascii="宋体" w:hAnsi="宋体" w:eastAsia="宋体" w:cs="宋体"/>
                <w:szCs w:val="21"/>
              </w:rPr>
            </w:pPr>
            <w:r>
              <w:rPr>
                <w:rFonts w:hint="eastAsia" w:ascii="宋体" w:hAnsi="宋体" w:eastAsia="宋体" w:cs="宋体"/>
                <w:szCs w:val="21"/>
              </w:rPr>
              <w:t>C、年开机率低于85%，投标人必须无条件更换新机，并重新计算保修期，以及赔偿用户的直接经济损失和间接经济损失。</w:t>
            </w:r>
          </w:p>
          <w:p>
            <w:pPr>
              <w:spacing w:line="360" w:lineRule="auto"/>
              <w:rPr>
                <w:rFonts w:hint="eastAsia" w:ascii="仿宋" w:hAnsi="仿宋" w:eastAsia="仿宋" w:cs="仿宋"/>
                <w:color w:val="000000"/>
                <w:kern w:val="0"/>
                <w:sz w:val="24"/>
                <w:szCs w:val="24"/>
              </w:rPr>
            </w:pPr>
            <w:r>
              <w:rPr>
                <w:rFonts w:hint="eastAsia" w:ascii="宋体" w:hAnsi="宋体" w:eastAsia="宋体" w:cs="宋体"/>
                <w:szCs w:val="21"/>
              </w:rPr>
              <w:t>注：年开机率（日历日）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0" w:type="dxa"/>
            <w:gridSpan w:val="3"/>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620"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kern w:val="0"/>
                <w:sz w:val="24"/>
                <w:szCs w:val="24"/>
              </w:rPr>
              <w:t>维修零配件、消耗品和延续保修合同的报价</w:t>
            </w:r>
          </w:p>
        </w:tc>
        <w:tc>
          <w:tcPr>
            <w:tcW w:w="7110" w:type="dxa"/>
            <w:vAlign w:val="top"/>
          </w:tcPr>
          <w:p>
            <w:pPr>
              <w:spacing w:line="360" w:lineRule="auto"/>
              <w:rPr>
                <w:rFonts w:hint="eastAsia" w:ascii="宋体" w:hAnsi="宋体" w:eastAsia="宋体" w:cs="宋体"/>
                <w:szCs w:val="21"/>
              </w:rPr>
            </w:pPr>
            <w:r>
              <w:rPr>
                <w:rFonts w:hint="eastAsia" w:ascii="宋体" w:hAnsi="宋体" w:eastAsia="宋体" w:cs="宋体"/>
                <w:szCs w:val="21"/>
              </w:rPr>
              <w:t>1）由设备制造商提供售后服务， 2 小时内响应， 24 小时维修到位（不可抗力情况除外）。消耗品和零配件供应及时。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jc w:val="center"/>
              <w:rPr>
                <w:rFonts w:hint="eastAsia" w:ascii="仿宋" w:hAnsi="仿宋" w:eastAsia="仿宋" w:cs="仿宋"/>
                <w:b/>
                <w:kern w:val="0"/>
                <w:sz w:val="24"/>
                <w:szCs w:val="24"/>
              </w:rPr>
            </w:pPr>
          </w:p>
        </w:tc>
        <w:tc>
          <w:tcPr>
            <w:tcW w:w="7110" w:type="dxa"/>
            <w:vAlign w:val="top"/>
          </w:tcPr>
          <w:p>
            <w:pPr>
              <w:spacing w:line="360" w:lineRule="auto"/>
              <w:rPr>
                <w:rFonts w:hint="eastAsia" w:ascii="宋体" w:hAnsi="宋体" w:eastAsia="宋体" w:cs="宋体"/>
                <w:szCs w:val="21"/>
              </w:rPr>
            </w:pPr>
            <w:r>
              <w:rPr>
                <w:rFonts w:hint="eastAsia" w:ascii="宋体" w:hAnsi="宋体" w:eastAsia="宋体" w:cs="宋体"/>
                <w:szCs w:val="21"/>
              </w:rPr>
              <w:t>2）保修期满后，投标人应以优惠价供应维修零配件、消耗品和延续保修合同。价格最高的前 5项零配件、消耗品和延续保修合同的报价明细必须填写于《零配件、消耗品和延续保修合同报价明</w:t>
            </w:r>
            <w:r>
              <w:rPr>
                <w:rFonts w:hint="eastAsia" w:ascii="宋体" w:hAnsi="宋体" w:eastAsia="宋体" w:cs="宋体"/>
                <w:szCs w:val="21"/>
                <w:lang w:val="en-US" w:eastAsia="zh-CN"/>
              </w:rPr>
              <w:t>细</w:t>
            </w:r>
            <w:r>
              <w:rPr>
                <w:rFonts w:hint="eastAsia" w:ascii="宋体" w:hAnsi="宋体" w:eastAsia="宋体" w:cs="宋体"/>
                <w:szCs w:val="21"/>
              </w:rPr>
              <w:t>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tcPr>
          <w:p>
            <w:pPr>
              <w:spacing w:line="360" w:lineRule="auto"/>
              <w:rPr>
                <w:rFonts w:hint="eastAsia" w:ascii="仿宋" w:hAnsi="仿宋" w:eastAsia="仿宋" w:cs="仿宋"/>
                <w:b/>
                <w:sz w:val="24"/>
                <w:szCs w:val="24"/>
              </w:rPr>
            </w:pPr>
          </w:p>
        </w:tc>
        <w:tc>
          <w:tcPr>
            <w:tcW w:w="7110" w:type="dxa"/>
            <w:vAlign w:val="top"/>
          </w:tcPr>
          <w:p>
            <w:pPr>
              <w:spacing w:line="360" w:lineRule="auto"/>
              <w:rPr>
                <w:rFonts w:hint="eastAsia" w:ascii="宋体" w:hAnsi="宋体" w:eastAsia="宋体" w:cs="宋体"/>
                <w:szCs w:val="21"/>
              </w:rPr>
            </w:pPr>
            <w:r>
              <w:rPr>
                <w:rFonts w:hint="eastAsia" w:ascii="宋体" w:hAnsi="宋体" w:eastAsia="宋体" w:cs="宋体"/>
                <w:szCs w:val="21"/>
              </w:rPr>
              <w:t>3）采购人可与投标人就优惠价进行谈判，但优惠价不得高于投标人在投标文件的《零配件、消耗品和延续保修合同报价明</w:t>
            </w:r>
            <w:r>
              <w:rPr>
                <w:rFonts w:hint="eastAsia" w:ascii="宋体" w:hAnsi="宋体" w:eastAsia="宋体" w:cs="宋体"/>
                <w:szCs w:val="21"/>
                <w:lang w:val="en-US" w:eastAsia="zh-CN"/>
              </w:rPr>
              <w:t>细</w:t>
            </w:r>
            <w:r>
              <w:rPr>
                <w:rFonts w:hint="eastAsia" w:ascii="宋体" w:hAnsi="宋体" w:eastAsia="宋体" w:cs="宋体"/>
                <w:szCs w:val="21"/>
              </w:rPr>
              <w:t>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tcPr>
          <w:p>
            <w:pPr>
              <w:spacing w:line="360" w:lineRule="auto"/>
              <w:rPr>
                <w:rFonts w:hint="eastAsia" w:ascii="仿宋" w:hAnsi="仿宋" w:eastAsia="仿宋" w:cs="仿宋"/>
                <w:b/>
                <w:sz w:val="24"/>
                <w:szCs w:val="24"/>
              </w:rPr>
            </w:pPr>
          </w:p>
        </w:tc>
        <w:tc>
          <w:tcPr>
            <w:tcW w:w="7110" w:type="dxa"/>
            <w:vAlign w:val="top"/>
          </w:tcPr>
          <w:p>
            <w:pPr>
              <w:spacing w:line="360" w:lineRule="auto"/>
              <w:rPr>
                <w:rFonts w:hint="eastAsia" w:ascii="宋体" w:hAnsi="宋体" w:eastAsia="宋体" w:cs="宋体"/>
                <w:szCs w:val="21"/>
              </w:rPr>
            </w:pPr>
            <w:r>
              <w:rPr>
                <w:rFonts w:hint="eastAsia" w:ascii="宋体" w:hAnsi="宋体" w:eastAsia="宋体" w:cs="宋体"/>
                <w:szCs w:val="21"/>
              </w:rPr>
              <w:t>4）设备制造商维修的货物经采购人验收合格，且设备制造商提供维修专用发票后，采购人支付维修费用。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tcPr>
          <w:p>
            <w:pPr>
              <w:spacing w:line="360" w:lineRule="auto"/>
              <w:rPr>
                <w:rFonts w:hint="eastAsia" w:ascii="仿宋" w:hAnsi="仿宋" w:eastAsia="仿宋" w:cs="仿宋"/>
                <w:b/>
                <w:sz w:val="24"/>
                <w:szCs w:val="24"/>
              </w:rPr>
            </w:pPr>
          </w:p>
        </w:tc>
        <w:tc>
          <w:tcPr>
            <w:tcW w:w="7110" w:type="dxa"/>
            <w:vAlign w:val="top"/>
          </w:tcPr>
          <w:p>
            <w:pPr>
              <w:spacing w:line="360" w:lineRule="auto"/>
              <w:rPr>
                <w:rFonts w:hint="eastAsia" w:ascii="宋体" w:hAnsi="宋体" w:eastAsia="宋体" w:cs="宋体"/>
                <w:szCs w:val="21"/>
              </w:rPr>
            </w:pPr>
            <w:r>
              <w:rPr>
                <w:rFonts w:hint="eastAsia" w:ascii="宋体" w:hAnsi="宋体" w:eastAsia="宋体" w:cs="宋体"/>
                <w:szCs w:val="21"/>
              </w:rPr>
              <w:t>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tcPr>
          <w:p>
            <w:pPr>
              <w:spacing w:line="360" w:lineRule="auto"/>
              <w:rPr>
                <w:rFonts w:hint="eastAsia" w:ascii="仿宋" w:hAnsi="仿宋" w:eastAsia="仿宋" w:cs="仿宋"/>
                <w:b/>
                <w:sz w:val="24"/>
                <w:szCs w:val="24"/>
              </w:rPr>
            </w:pPr>
          </w:p>
        </w:tc>
        <w:tc>
          <w:tcPr>
            <w:tcW w:w="7110" w:type="dxa"/>
            <w:vAlign w:val="top"/>
          </w:tcPr>
          <w:p>
            <w:pPr>
              <w:spacing w:line="360" w:lineRule="auto"/>
              <w:rPr>
                <w:rFonts w:hint="eastAsia" w:ascii="仿宋" w:hAnsi="仿宋" w:eastAsia="仿宋" w:cs="仿宋"/>
                <w:b/>
                <w:color w:val="000000"/>
                <w:sz w:val="24"/>
                <w:szCs w:val="24"/>
                <w:lang w:val="en-US" w:eastAsia="zh-CN"/>
              </w:rPr>
            </w:pPr>
            <w:r>
              <w:rPr>
                <w:rFonts w:hint="eastAsia" w:hAnsi="宋体" w:cs="宋体"/>
                <w:b/>
                <w:bCs/>
                <w:szCs w:val="21"/>
                <w:highlight w:val="yellow"/>
              </w:rPr>
              <w:t>★</w:t>
            </w:r>
            <w:r>
              <w:rPr>
                <w:rFonts w:hint="eastAsia" w:ascii="宋体" w:hAnsi="宋体" w:cs="宋体"/>
                <w:bCs/>
                <w:color w:val="000000"/>
                <w:szCs w:val="21"/>
                <w:highlight w:val="yellow"/>
              </w:rPr>
              <w:t>6）仪器配套封闭试剂及耗材需在深圳市卫生耗材阳光采购平台上注册，并承诺提供深圳市内最低供货价。</w:t>
            </w:r>
            <w:r>
              <w:rPr>
                <w:rFonts w:hint="eastAsia" w:ascii="宋体" w:hAnsi="宋体" w:cs="宋体"/>
                <w:b/>
                <w:color w:val="FF0000"/>
                <w:szCs w:val="21"/>
                <w:highlight w:val="yellow"/>
              </w:rPr>
              <w:t>【提供深圳市卫生耗材阳光采购平台上注册证明和承诺函（格式自拟）】，若无封闭试剂及耗材，则无需提供。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0" w:type="dxa"/>
            <w:gridSpan w:val="3"/>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restart"/>
            <w:vAlign w:val="center"/>
          </w:tcPr>
          <w:p>
            <w:pPr>
              <w:spacing w:line="360" w:lineRule="auto"/>
              <w:jc w:val="center"/>
              <w:rPr>
                <w:rFonts w:hint="eastAsia" w:ascii="仿宋" w:hAnsi="仿宋" w:eastAsia="仿宋" w:cs="仿宋"/>
                <w:b/>
                <w:sz w:val="24"/>
                <w:szCs w:val="24"/>
              </w:rPr>
            </w:pPr>
            <w:r>
              <w:rPr>
                <w:rFonts w:hint="eastAsia" w:ascii="宋体" w:hAnsi="宋体" w:cs="宋体"/>
                <w:b/>
                <w:szCs w:val="21"/>
              </w:rPr>
              <w:t>1</w:t>
            </w:r>
          </w:p>
        </w:tc>
        <w:tc>
          <w:tcPr>
            <w:tcW w:w="1620" w:type="dxa"/>
            <w:vMerge w:val="restart"/>
            <w:vAlign w:val="center"/>
          </w:tcPr>
          <w:p>
            <w:pPr>
              <w:spacing w:line="360" w:lineRule="auto"/>
              <w:jc w:val="center"/>
              <w:rPr>
                <w:rFonts w:hint="eastAsia" w:ascii="仿宋" w:hAnsi="仿宋" w:eastAsia="仿宋" w:cs="仿宋"/>
                <w:sz w:val="24"/>
                <w:szCs w:val="24"/>
              </w:rPr>
            </w:pPr>
            <w:r>
              <w:rPr>
                <w:rFonts w:hint="eastAsia" w:ascii="宋体" w:hAnsi="宋体" w:cs="宋体"/>
                <w:b/>
                <w:szCs w:val="21"/>
              </w:rPr>
              <w:t>交货要求</w:t>
            </w:r>
          </w:p>
        </w:tc>
        <w:tc>
          <w:tcPr>
            <w:tcW w:w="7110" w:type="dxa"/>
            <w:vAlign w:val="top"/>
          </w:tcPr>
          <w:p>
            <w:pPr>
              <w:spacing w:line="360" w:lineRule="auto"/>
              <w:ind w:left="420" w:leftChars="0" w:hanging="420" w:hangingChars="200"/>
              <w:rPr>
                <w:rFonts w:hint="eastAsia" w:ascii="仿宋" w:hAnsi="仿宋" w:eastAsia="仿宋" w:cs="仿宋"/>
                <w:b/>
                <w:color w:val="000000"/>
                <w:sz w:val="24"/>
                <w:szCs w:val="24"/>
              </w:rPr>
            </w:pPr>
            <w:r>
              <w:rPr>
                <w:rFonts w:hint="eastAsia" w:ascii="宋体" w:hAnsi="宋体" w:cs="宋体"/>
                <w:bCs/>
                <w:szCs w:val="21"/>
                <w:highlight w:val="yellow"/>
              </w:rPr>
              <w:t>★</w:t>
            </w:r>
            <w:r>
              <w:rPr>
                <w:rFonts w:hint="eastAsia" w:ascii="宋体" w:hAnsi="宋体" w:cs="宋体"/>
                <w:b/>
                <w:bCs/>
                <w:color w:val="000000"/>
                <w:szCs w:val="21"/>
                <w:highlight w:val="yellow"/>
              </w:rPr>
              <w:t>1）签订合同之日起</w:t>
            </w:r>
            <w:r>
              <w:rPr>
                <w:rFonts w:hint="eastAsia" w:ascii="宋体" w:hAnsi="宋体" w:cs="宋体"/>
                <w:b/>
                <w:bCs/>
                <w:color w:val="000000"/>
                <w:szCs w:val="21"/>
                <w:highlight w:val="yellow"/>
                <w:u w:val="single"/>
              </w:rPr>
              <w:t xml:space="preserve"> </w:t>
            </w:r>
            <w:r>
              <w:rPr>
                <w:rFonts w:hint="eastAsia" w:ascii="宋体" w:hAnsi="宋体" w:cs="宋体"/>
                <w:b/>
                <w:bCs/>
                <w:color w:val="000000"/>
                <w:szCs w:val="21"/>
                <w:highlight w:val="yellow"/>
                <w:u w:val="single"/>
                <w:lang w:val="en-US" w:eastAsia="zh-CN"/>
              </w:rPr>
              <w:t>30</w:t>
            </w:r>
            <w:r>
              <w:rPr>
                <w:rFonts w:hint="eastAsia" w:ascii="宋体" w:hAnsi="宋体" w:cs="宋体"/>
                <w:b/>
                <w:bCs/>
                <w:color w:val="000000"/>
                <w:szCs w:val="21"/>
                <w:highlight w:val="yellow"/>
              </w:rPr>
              <w:t>日历日内交货</w:t>
            </w:r>
            <w:r>
              <w:rPr>
                <w:rFonts w:hint="eastAsia" w:ascii="宋体" w:hAnsi="宋体" w:cs="宋体"/>
                <w:color w:val="00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jc w:val="center"/>
              <w:rPr>
                <w:rFonts w:hint="eastAsia" w:ascii="仿宋" w:hAnsi="仿宋" w:eastAsia="仿宋" w:cs="仿宋"/>
                <w:sz w:val="24"/>
                <w:szCs w:val="24"/>
              </w:rPr>
            </w:pPr>
          </w:p>
        </w:tc>
        <w:tc>
          <w:tcPr>
            <w:tcW w:w="7110" w:type="dxa"/>
            <w:vAlign w:val="top"/>
          </w:tcPr>
          <w:p>
            <w:pPr>
              <w:spacing w:line="360" w:lineRule="auto"/>
              <w:rPr>
                <w:rFonts w:hint="eastAsia" w:ascii="仿宋" w:hAnsi="仿宋" w:eastAsia="仿宋" w:cs="仿宋"/>
                <w:bCs/>
                <w:color w:val="000000"/>
                <w:sz w:val="24"/>
                <w:szCs w:val="24"/>
              </w:rPr>
            </w:pPr>
            <w:r>
              <w:rPr>
                <w:rFonts w:hint="eastAsia" w:ascii="宋体" w:hAnsi="宋体" w:cs="宋体"/>
                <w:color w:val="000000"/>
                <w:szCs w:val="21"/>
              </w:rPr>
              <w:t>2）</w:t>
            </w:r>
            <w:r>
              <w:rPr>
                <w:rFonts w:hint="eastAsia" w:ascii="宋体" w:hAnsi="宋体" w:cs="宋体"/>
                <w:bCs/>
                <w:color w:val="00000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jc w:val="center"/>
              <w:rPr>
                <w:rFonts w:hint="eastAsia" w:ascii="仿宋" w:hAnsi="仿宋" w:eastAsia="仿宋" w:cs="仿宋"/>
                <w:sz w:val="24"/>
                <w:szCs w:val="24"/>
              </w:rPr>
            </w:pPr>
          </w:p>
        </w:tc>
        <w:tc>
          <w:tcPr>
            <w:tcW w:w="7110" w:type="dxa"/>
            <w:vAlign w:val="top"/>
          </w:tcPr>
          <w:p>
            <w:pPr>
              <w:spacing w:line="360" w:lineRule="auto"/>
              <w:rPr>
                <w:rFonts w:hint="eastAsia" w:ascii="仿宋" w:hAnsi="仿宋" w:eastAsia="仿宋" w:cs="仿宋"/>
                <w:bCs/>
                <w:color w:val="000000"/>
                <w:sz w:val="24"/>
                <w:szCs w:val="24"/>
              </w:rPr>
            </w:pPr>
            <w:r>
              <w:rPr>
                <w:rFonts w:hint="eastAsia" w:ascii="宋体" w:hAnsi="宋体" w:cs="宋体"/>
                <w:color w:val="000000"/>
                <w:szCs w:val="21"/>
              </w:rPr>
              <w:t>3）</w:t>
            </w:r>
            <w:r>
              <w:rPr>
                <w:rFonts w:hint="eastAsia" w:ascii="宋体" w:hAnsi="宋体" w:cs="宋体"/>
                <w:bCs/>
                <w:color w:val="000000"/>
                <w:szCs w:val="21"/>
              </w:rPr>
              <w:t>提供的货物必须为全新、经检验合格的产品。产品如需要计量检定的应</w:t>
            </w:r>
            <w:r>
              <w:rPr>
                <w:rFonts w:hint="eastAsia" w:ascii="宋体" w:hAnsi="宋体" w:cs="宋体"/>
                <w:szCs w:val="21"/>
              </w:rPr>
              <w:t>提供</w:t>
            </w:r>
            <w:r>
              <w:rPr>
                <w:rFonts w:hint="eastAsia" w:ascii="宋体" w:hAnsi="宋体" w:cs="宋体"/>
                <w:bCs/>
                <w:color w:val="000000"/>
                <w:szCs w:val="21"/>
              </w:rPr>
              <w:t>相关计量检定部门出具的合法检定报告。其中，进口设备必须具有报关证明文件、原产地证明和商检证明文件</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restart"/>
            <w:vAlign w:val="center"/>
          </w:tcPr>
          <w:p>
            <w:pPr>
              <w:spacing w:line="360" w:lineRule="auto"/>
              <w:jc w:val="center"/>
              <w:rPr>
                <w:rFonts w:hint="eastAsia" w:ascii="仿宋" w:hAnsi="仿宋" w:eastAsia="仿宋" w:cs="仿宋"/>
                <w:b/>
                <w:sz w:val="24"/>
                <w:szCs w:val="24"/>
              </w:rPr>
            </w:pPr>
            <w:r>
              <w:rPr>
                <w:rFonts w:hint="eastAsia" w:ascii="宋体" w:hAnsi="宋体" w:cs="宋体"/>
                <w:b/>
                <w:szCs w:val="21"/>
              </w:rPr>
              <w:t>2</w:t>
            </w:r>
          </w:p>
        </w:tc>
        <w:tc>
          <w:tcPr>
            <w:tcW w:w="1620" w:type="dxa"/>
            <w:vMerge w:val="restart"/>
            <w:vAlign w:val="center"/>
          </w:tcPr>
          <w:p>
            <w:pPr>
              <w:spacing w:line="360" w:lineRule="auto"/>
              <w:jc w:val="center"/>
              <w:rPr>
                <w:rFonts w:hint="eastAsia" w:ascii="仿宋" w:hAnsi="仿宋" w:eastAsia="仿宋" w:cs="仿宋"/>
                <w:sz w:val="24"/>
                <w:szCs w:val="24"/>
              </w:rPr>
            </w:pPr>
            <w:r>
              <w:rPr>
                <w:rFonts w:hint="eastAsia" w:ascii="宋体" w:hAnsi="宋体" w:cs="宋体"/>
                <w:b/>
                <w:bCs/>
                <w:kern w:val="0"/>
                <w:szCs w:val="21"/>
              </w:rPr>
              <w:t>运输、安装和验收</w:t>
            </w:r>
          </w:p>
        </w:tc>
        <w:tc>
          <w:tcPr>
            <w:tcW w:w="7110" w:type="dxa"/>
            <w:vAlign w:val="top"/>
          </w:tcPr>
          <w:p>
            <w:pPr>
              <w:spacing w:line="360" w:lineRule="auto"/>
              <w:rPr>
                <w:rFonts w:hint="eastAsia" w:ascii="仿宋" w:hAnsi="仿宋" w:eastAsia="仿宋" w:cs="仿宋"/>
                <w:bCs/>
                <w:color w:val="000000"/>
                <w:sz w:val="24"/>
                <w:szCs w:val="24"/>
              </w:rPr>
            </w:pPr>
            <w:r>
              <w:rPr>
                <w:rFonts w:hint="eastAsia" w:ascii="宋体" w:hAnsi="宋体" w:cs="宋体"/>
                <w:color w:val="000000"/>
                <w:szCs w:val="21"/>
              </w:rPr>
              <w:t>1）</w:t>
            </w:r>
            <w:r>
              <w:rPr>
                <w:rFonts w:hint="eastAsia" w:ascii="宋体" w:hAnsi="宋体" w:cs="宋体"/>
                <w:bCs/>
                <w:color w:val="000000"/>
                <w:szCs w:val="21"/>
              </w:rPr>
              <w:t>投标人负责将</w:t>
            </w:r>
            <w:r>
              <w:rPr>
                <w:rFonts w:hint="eastAsia" w:ascii="宋体" w:hAnsi="宋体" w:cs="宋体"/>
                <w:color w:val="000000"/>
                <w:szCs w:val="21"/>
              </w:rPr>
              <w:t>货物</w:t>
            </w:r>
            <w:r>
              <w:rPr>
                <w:rFonts w:hint="eastAsia" w:ascii="宋体" w:hAnsi="宋体" w:cs="宋体"/>
                <w:bCs/>
                <w:color w:val="000000"/>
                <w:szCs w:val="21"/>
              </w:rPr>
              <w:t>安全无损运抵采购人指定地点,并承担设备的包装、运输、保险、装卸、安装调试、培训、商检及计量检测、关税、增值税和进口代理等费用</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jc w:val="center"/>
              <w:rPr>
                <w:rFonts w:hint="eastAsia" w:ascii="仿宋" w:hAnsi="仿宋" w:eastAsia="仿宋" w:cs="仿宋"/>
                <w:b/>
                <w:sz w:val="24"/>
                <w:szCs w:val="24"/>
              </w:rPr>
            </w:pPr>
          </w:p>
        </w:tc>
        <w:tc>
          <w:tcPr>
            <w:tcW w:w="7110" w:type="dxa"/>
            <w:vAlign w:val="top"/>
          </w:tcPr>
          <w:p>
            <w:pPr>
              <w:spacing w:line="360" w:lineRule="auto"/>
              <w:rPr>
                <w:rFonts w:hint="eastAsia" w:ascii="仿宋" w:hAnsi="仿宋" w:eastAsia="仿宋" w:cs="仿宋"/>
                <w:bCs/>
                <w:color w:val="000000"/>
                <w:sz w:val="24"/>
                <w:szCs w:val="24"/>
              </w:rPr>
            </w:pPr>
            <w:r>
              <w:rPr>
                <w:rFonts w:hint="eastAsia" w:ascii="宋体" w:hAnsi="宋体" w:cs="宋体"/>
                <w:color w:val="000000"/>
                <w:szCs w:val="21"/>
              </w:rPr>
              <w:t>2）</w:t>
            </w:r>
            <w:r>
              <w:rPr>
                <w:rFonts w:hint="eastAsia" w:ascii="宋体" w:hAnsi="宋体" w:cs="宋体"/>
                <w:bCs/>
                <w:color w:val="000000"/>
                <w:szCs w:val="21"/>
              </w:rPr>
              <w:t>采购人有权检验或测试货物，以确认货物是否符合合同规格的要求。如果发现所交货物与投标文件中所承诺的不符或存在质量、技术缺陷等,采购人可以拒绝接收该货物,投标人应在</w:t>
            </w:r>
            <w:r>
              <w:rPr>
                <w:rFonts w:hint="eastAsia" w:ascii="宋体" w:hAnsi="宋体" w:cs="宋体"/>
                <w:bCs/>
                <w:color w:val="000000"/>
                <w:szCs w:val="21"/>
                <w:u w:val="single"/>
              </w:rPr>
              <w:t xml:space="preserve"> 7</w:t>
            </w:r>
            <w:r>
              <w:rPr>
                <w:rFonts w:hint="eastAsia" w:ascii="宋体" w:hAnsi="宋体" w:cs="宋体"/>
                <w:bCs/>
                <w:color w:val="000000"/>
                <w:szCs w:val="21"/>
              </w:rPr>
              <w:t>天内采取补足、更换或退货等措施,以满足规格的要求，由此发生的一切损失和费用由投标人承担</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jc w:val="center"/>
              <w:rPr>
                <w:rFonts w:hint="eastAsia" w:ascii="仿宋" w:hAnsi="仿宋" w:eastAsia="仿宋" w:cs="仿宋"/>
                <w:b/>
                <w:sz w:val="24"/>
                <w:szCs w:val="24"/>
              </w:rPr>
            </w:pPr>
          </w:p>
        </w:tc>
        <w:tc>
          <w:tcPr>
            <w:tcW w:w="7110" w:type="dxa"/>
            <w:vAlign w:val="top"/>
          </w:tcPr>
          <w:p>
            <w:pPr>
              <w:spacing w:line="360" w:lineRule="auto"/>
              <w:rPr>
                <w:rFonts w:hint="eastAsia" w:ascii="仿宋" w:hAnsi="仿宋" w:eastAsia="仿宋" w:cs="仿宋"/>
                <w:bCs/>
                <w:color w:val="000000"/>
                <w:sz w:val="24"/>
                <w:szCs w:val="24"/>
              </w:rPr>
            </w:pPr>
            <w:r>
              <w:rPr>
                <w:rFonts w:hint="eastAsia" w:ascii="宋体" w:hAnsi="宋体" w:cs="宋体"/>
                <w:color w:val="000000"/>
                <w:szCs w:val="21"/>
              </w:rPr>
              <w:t>3）投标人负责货物的现场安装和调试,提供货物安装、调试和维修所需的专用工具和辅助材料。投标人应在货物运至指定地点后一周内开始安装调试,并在</w:t>
            </w:r>
            <w:r>
              <w:rPr>
                <w:rFonts w:hint="eastAsia" w:ascii="宋体" w:hAnsi="宋体" w:cs="宋体"/>
                <w:bCs/>
                <w:color w:val="000000"/>
                <w:szCs w:val="21"/>
                <w:u w:val="single"/>
              </w:rPr>
              <w:t xml:space="preserve"> 5 </w:t>
            </w:r>
            <w:r>
              <w:rPr>
                <w:rFonts w:hint="eastAsia" w:ascii="宋体" w:hAnsi="宋体" w:cs="宋体"/>
                <w:color w:val="000000"/>
                <w:szCs w:val="21"/>
              </w:rPr>
              <w:t>天内安装调试完毕。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jc w:val="center"/>
              <w:rPr>
                <w:rFonts w:hint="eastAsia" w:ascii="仿宋" w:hAnsi="仿宋" w:eastAsia="仿宋" w:cs="仿宋"/>
                <w:b/>
                <w:sz w:val="24"/>
                <w:szCs w:val="24"/>
              </w:rPr>
            </w:pPr>
          </w:p>
        </w:tc>
        <w:tc>
          <w:tcPr>
            <w:tcW w:w="7110" w:type="dxa"/>
            <w:vAlign w:val="top"/>
          </w:tcPr>
          <w:p>
            <w:pPr>
              <w:spacing w:line="360" w:lineRule="auto"/>
              <w:rPr>
                <w:rFonts w:hint="eastAsia" w:ascii="仿宋" w:hAnsi="仿宋" w:eastAsia="仿宋" w:cs="仿宋"/>
                <w:bCs/>
                <w:color w:val="000000"/>
                <w:sz w:val="24"/>
                <w:szCs w:val="24"/>
              </w:rPr>
            </w:pPr>
            <w:r>
              <w:rPr>
                <w:rFonts w:hint="eastAsia" w:ascii="宋体" w:hAnsi="宋体" w:cs="宋体"/>
                <w:color w:val="000000"/>
                <w:szCs w:val="21"/>
              </w:rPr>
              <w:t>4）由中标人代表和采购人组成验收小组对产品进行验收。验收标准按照国家规定标准执行。经检验设备正常运作后签署验收报告,产品保修期自验收合格之日起算。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Align w:val="center"/>
          </w:tcPr>
          <w:p>
            <w:pPr>
              <w:spacing w:line="360" w:lineRule="auto"/>
              <w:jc w:val="center"/>
              <w:rPr>
                <w:rFonts w:hint="eastAsia" w:ascii="仿宋" w:hAnsi="仿宋" w:eastAsia="仿宋" w:cs="仿宋"/>
                <w:b/>
                <w:sz w:val="24"/>
                <w:szCs w:val="24"/>
              </w:rPr>
            </w:pPr>
            <w:r>
              <w:rPr>
                <w:rFonts w:hint="eastAsia" w:ascii="宋体" w:hAnsi="宋体" w:cs="宋体"/>
                <w:b/>
                <w:szCs w:val="21"/>
              </w:rPr>
              <w:t>3</w:t>
            </w:r>
          </w:p>
        </w:tc>
        <w:tc>
          <w:tcPr>
            <w:tcW w:w="1620" w:type="dxa"/>
            <w:vAlign w:val="center"/>
          </w:tcPr>
          <w:p>
            <w:pPr>
              <w:spacing w:line="360" w:lineRule="auto"/>
              <w:jc w:val="center"/>
              <w:rPr>
                <w:rFonts w:hint="eastAsia" w:ascii="仿宋" w:hAnsi="仿宋" w:eastAsia="仿宋" w:cs="仿宋"/>
                <w:b/>
                <w:sz w:val="24"/>
                <w:szCs w:val="24"/>
              </w:rPr>
            </w:pPr>
            <w:r>
              <w:rPr>
                <w:rFonts w:hint="eastAsia" w:ascii="宋体" w:hAnsi="宋体" w:cs="宋体"/>
                <w:b/>
                <w:kern w:val="0"/>
                <w:szCs w:val="21"/>
              </w:rPr>
              <w:t>培训</w:t>
            </w:r>
          </w:p>
        </w:tc>
        <w:tc>
          <w:tcPr>
            <w:tcW w:w="7110" w:type="dxa"/>
            <w:vAlign w:val="top"/>
          </w:tcPr>
          <w:p>
            <w:pPr>
              <w:spacing w:line="360" w:lineRule="auto"/>
              <w:jc w:val="left"/>
              <w:rPr>
                <w:rFonts w:hint="eastAsia" w:ascii="仿宋" w:hAnsi="仿宋" w:eastAsia="仿宋" w:cs="仿宋"/>
                <w:b/>
                <w:color w:val="000000"/>
                <w:sz w:val="24"/>
                <w:szCs w:val="24"/>
              </w:rPr>
            </w:pPr>
            <w:r>
              <w:rPr>
                <w:rFonts w:hint="eastAsia" w:ascii="宋体" w:hAnsi="宋体" w:cs="宋体"/>
                <w:bCs/>
                <w:color w:val="000000"/>
                <w:szCs w:val="21"/>
              </w:rPr>
              <w:t>中标人应派专业技术人员免费对采购单位指定人员进行定期培训及指导，直至其完全掌握设备的基本故障处理技术</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restart"/>
            <w:vAlign w:val="center"/>
          </w:tcPr>
          <w:p>
            <w:pPr>
              <w:spacing w:line="360" w:lineRule="auto"/>
              <w:jc w:val="center"/>
              <w:rPr>
                <w:rFonts w:hint="eastAsia" w:ascii="仿宋" w:hAnsi="仿宋" w:eastAsia="仿宋" w:cs="仿宋"/>
                <w:b/>
                <w:kern w:val="0"/>
                <w:sz w:val="24"/>
                <w:szCs w:val="24"/>
              </w:rPr>
            </w:pPr>
            <w:r>
              <w:rPr>
                <w:rFonts w:hint="eastAsia" w:ascii="宋体" w:hAnsi="宋体" w:cs="宋体"/>
                <w:b/>
                <w:kern w:val="0"/>
                <w:szCs w:val="21"/>
              </w:rPr>
              <w:t>4</w:t>
            </w:r>
          </w:p>
        </w:tc>
        <w:tc>
          <w:tcPr>
            <w:tcW w:w="1620" w:type="dxa"/>
            <w:vMerge w:val="restart"/>
            <w:vAlign w:val="center"/>
          </w:tcPr>
          <w:p>
            <w:pPr>
              <w:spacing w:line="360" w:lineRule="auto"/>
              <w:jc w:val="center"/>
              <w:rPr>
                <w:rFonts w:hint="eastAsia" w:ascii="仿宋" w:hAnsi="仿宋" w:eastAsia="仿宋" w:cs="仿宋"/>
                <w:b/>
                <w:kern w:val="0"/>
                <w:sz w:val="24"/>
                <w:szCs w:val="24"/>
              </w:rPr>
            </w:pPr>
            <w:r>
              <w:rPr>
                <w:rFonts w:hint="eastAsia" w:ascii="宋体" w:hAnsi="宋体" w:cs="宋体"/>
                <w:b/>
                <w:kern w:val="0"/>
                <w:szCs w:val="21"/>
              </w:rPr>
              <w:t>知识产权</w:t>
            </w:r>
          </w:p>
        </w:tc>
        <w:tc>
          <w:tcPr>
            <w:tcW w:w="7110" w:type="dxa"/>
            <w:vAlign w:val="top"/>
          </w:tcPr>
          <w:p>
            <w:pPr>
              <w:spacing w:line="360" w:lineRule="auto"/>
              <w:rPr>
                <w:rFonts w:hint="eastAsia" w:ascii="仿宋" w:hAnsi="仿宋" w:eastAsia="仿宋" w:cs="仿宋"/>
                <w:color w:val="000000"/>
                <w:kern w:val="0"/>
                <w:sz w:val="24"/>
                <w:szCs w:val="24"/>
              </w:rPr>
            </w:pPr>
            <w:r>
              <w:rPr>
                <w:rFonts w:hint="eastAsia" w:ascii="宋体" w:hAnsi="宋体" w:cs="宋体"/>
                <w:bCs/>
                <w:color w:val="000000"/>
                <w:szCs w:val="21"/>
              </w:rPr>
              <w:t>1）投标人应保证采购人在使用该货物或其任何一部分时，免受第三方</w:t>
            </w:r>
            <w:r>
              <w:rPr>
                <w:rFonts w:hint="eastAsia" w:ascii="宋体" w:hAnsi="宋体" w:cs="宋体"/>
                <w:szCs w:val="21"/>
              </w:rPr>
              <w:t>提出</w:t>
            </w:r>
            <w:r>
              <w:rPr>
                <w:rFonts w:hint="eastAsia" w:ascii="宋体" w:hAnsi="宋体" w:cs="宋体"/>
                <w:bCs/>
                <w:color w:val="000000"/>
                <w:szCs w:val="21"/>
              </w:rPr>
              <w:t>的侵犯其专利权、商标权、著作权或其它知识产权的起诉。投标人保证所提供软件的合法性，所发生的任何知识产权纠纷与采购人无关。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kern w:val="0"/>
                <w:sz w:val="24"/>
                <w:szCs w:val="24"/>
              </w:rPr>
            </w:pPr>
          </w:p>
        </w:tc>
        <w:tc>
          <w:tcPr>
            <w:tcW w:w="1620" w:type="dxa"/>
            <w:vMerge w:val="continue"/>
            <w:vAlign w:val="center"/>
          </w:tcPr>
          <w:p>
            <w:pPr>
              <w:tabs>
                <w:tab w:val="left" w:pos="1260"/>
              </w:tabs>
              <w:spacing w:line="360" w:lineRule="auto"/>
              <w:jc w:val="center"/>
              <w:rPr>
                <w:rFonts w:hint="eastAsia" w:ascii="仿宋" w:hAnsi="仿宋" w:eastAsia="仿宋" w:cs="仿宋"/>
                <w:b/>
                <w:kern w:val="0"/>
                <w:sz w:val="24"/>
                <w:szCs w:val="24"/>
              </w:rPr>
            </w:pPr>
          </w:p>
        </w:tc>
        <w:tc>
          <w:tcPr>
            <w:tcW w:w="7110" w:type="dxa"/>
            <w:vAlign w:val="top"/>
          </w:tcPr>
          <w:p>
            <w:pPr>
              <w:spacing w:line="360" w:lineRule="auto"/>
              <w:rPr>
                <w:rFonts w:hint="eastAsia" w:ascii="仿宋" w:hAnsi="仿宋" w:eastAsia="仿宋" w:cs="仿宋"/>
                <w:color w:val="000000"/>
                <w:kern w:val="0"/>
                <w:sz w:val="24"/>
                <w:szCs w:val="24"/>
              </w:rPr>
            </w:pPr>
            <w:r>
              <w:rPr>
                <w:rFonts w:hint="eastAsia" w:ascii="宋体" w:hAnsi="宋体" w:cs="宋体"/>
                <w:bCs/>
                <w:color w:val="000000"/>
                <w:szCs w:val="21"/>
              </w:rPr>
              <w:t>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Align w:val="center"/>
          </w:tcPr>
          <w:p>
            <w:pPr>
              <w:spacing w:line="360" w:lineRule="auto"/>
              <w:jc w:val="center"/>
              <w:rPr>
                <w:rFonts w:hint="eastAsia" w:ascii="仿宋" w:hAnsi="仿宋" w:eastAsia="仿宋" w:cs="仿宋"/>
                <w:b/>
                <w:sz w:val="24"/>
                <w:szCs w:val="24"/>
              </w:rPr>
            </w:pPr>
            <w:r>
              <w:rPr>
                <w:rFonts w:hint="eastAsia" w:ascii="宋体" w:hAnsi="宋体" w:cs="宋体"/>
                <w:b/>
                <w:szCs w:val="21"/>
              </w:rPr>
              <w:t>5</w:t>
            </w:r>
          </w:p>
        </w:tc>
        <w:tc>
          <w:tcPr>
            <w:tcW w:w="1620" w:type="dxa"/>
            <w:vAlign w:val="center"/>
          </w:tcPr>
          <w:p>
            <w:pPr>
              <w:tabs>
                <w:tab w:val="left" w:pos="1260"/>
              </w:tabs>
              <w:spacing w:line="360" w:lineRule="auto"/>
              <w:jc w:val="center"/>
              <w:rPr>
                <w:rFonts w:hint="eastAsia" w:ascii="仿宋" w:hAnsi="仿宋" w:eastAsia="仿宋" w:cs="仿宋"/>
                <w:b/>
                <w:bCs/>
                <w:kern w:val="0"/>
                <w:sz w:val="24"/>
                <w:szCs w:val="24"/>
              </w:rPr>
            </w:pPr>
            <w:r>
              <w:rPr>
                <w:rFonts w:hint="eastAsia" w:ascii="宋体" w:hAnsi="宋体" w:cs="宋体"/>
                <w:b/>
                <w:bCs/>
                <w:kern w:val="0"/>
                <w:szCs w:val="21"/>
              </w:rPr>
              <w:t>付款方式</w:t>
            </w:r>
          </w:p>
        </w:tc>
        <w:tc>
          <w:tcPr>
            <w:tcW w:w="7110" w:type="dxa"/>
            <w:vAlign w:val="top"/>
          </w:tcPr>
          <w:p>
            <w:pPr>
              <w:pStyle w:val="6"/>
              <w:rPr>
                <w:rFonts w:hint="eastAsia" w:ascii="仿宋" w:hAnsi="仿宋" w:eastAsia="仿宋" w:cs="仿宋"/>
                <w:color w:val="000000"/>
                <w:sz w:val="24"/>
                <w:szCs w:val="24"/>
              </w:rPr>
            </w:pPr>
            <w:r>
              <w:rPr>
                <w:rFonts w:hint="eastAsia"/>
                <w:sz w:val="21"/>
                <w:szCs w:val="21"/>
              </w:rPr>
              <w:t>合同签订后，中标人自主选择以保函或转账等非现金形式按规定缴纳合同总金额5%的履约保证金；货到指定地点、验收合格并提供全额发票后，采购人向中标人支付全款；设备验收合格后，中标人向采购人申请退回该履约保证金，采购人收到申请审核同意后，无息返还中标人的履约保证金。因中标人原因而未能达到本项目验收标准或验收不通过的，履约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restart"/>
            <w:vAlign w:val="center"/>
          </w:tcPr>
          <w:p>
            <w:pPr>
              <w:spacing w:line="360" w:lineRule="auto"/>
              <w:jc w:val="center"/>
              <w:rPr>
                <w:rFonts w:hint="eastAsia" w:ascii="仿宋" w:hAnsi="仿宋" w:eastAsia="仿宋" w:cs="仿宋"/>
                <w:b/>
                <w:sz w:val="24"/>
                <w:szCs w:val="24"/>
              </w:rPr>
            </w:pPr>
            <w:r>
              <w:rPr>
                <w:rFonts w:hint="eastAsia" w:ascii="宋体" w:hAnsi="宋体" w:cs="宋体"/>
                <w:b/>
                <w:szCs w:val="21"/>
              </w:rPr>
              <w:t>6</w:t>
            </w:r>
          </w:p>
        </w:tc>
        <w:tc>
          <w:tcPr>
            <w:tcW w:w="1620" w:type="dxa"/>
            <w:vMerge w:val="restart"/>
            <w:vAlign w:val="center"/>
          </w:tcPr>
          <w:p>
            <w:pPr>
              <w:spacing w:line="360" w:lineRule="auto"/>
              <w:jc w:val="center"/>
              <w:rPr>
                <w:rFonts w:hint="eastAsia" w:ascii="仿宋" w:hAnsi="仿宋" w:eastAsia="仿宋" w:cs="仿宋"/>
                <w:b/>
                <w:kern w:val="0"/>
                <w:sz w:val="24"/>
                <w:szCs w:val="24"/>
              </w:rPr>
            </w:pPr>
            <w:r>
              <w:rPr>
                <w:rFonts w:hint="eastAsia" w:ascii="宋体" w:hAnsi="宋体" w:cs="宋体"/>
                <w:b/>
                <w:kern w:val="0"/>
                <w:szCs w:val="21"/>
              </w:rPr>
              <w:t>违约责任</w:t>
            </w:r>
          </w:p>
        </w:tc>
        <w:tc>
          <w:tcPr>
            <w:tcW w:w="7110" w:type="dxa"/>
            <w:vAlign w:val="top"/>
          </w:tcPr>
          <w:p>
            <w:pPr>
              <w:spacing w:line="360" w:lineRule="auto"/>
              <w:rPr>
                <w:rFonts w:hint="eastAsia" w:ascii="仿宋" w:hAnsi="仿宋" w:eastAsia="仿宋" w:cs="仿宋"/>
                <w:bCs/>
                <w:color w:val="000000"/>
                <w:kern w:val="0"/>
                <w:sz w:val="24"/>
                <w:szCs w:val="24"/>
              </w:rPr>
            </w:pPr>
            <w:r>
              <w:rPr>
                <w:rFonts w:hint="eastAsia" w:ascii="宋体" w:hAnsi="宋体" w:cs="宋体"/>
                <w:bCs/>
                <w:color w:val="000000"/>
                <w:szCs w:val="21"/>
              </w:rPr>
              <w:t>1）如中标人未按照投标文件中承诺的时间交货或提供服务，中标人</w:t>
            </w:r>
            <w:r>
              <w:rPr>
                <w:rFonts w:hint="eastAsia" w:ascii="宋体" w:hAnsi="宋体" w:cs="宋体"/>
                <w:szCs w:val="21"/>
              </w:rPr>
              <w:t>应承担</w:t>
            </w:r>
            <w:r>
              <w:rPr>
                <w:rFonts w:hint="eastAsia" w:ascii="宋体" w:hAnsi="宋体" w:cs="宋体"/>
                <w:bCs/>
                <w:color w:val="000000"/>
                <w:szCs w:val="21"/>
              </w:rPr>
              <w:t>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jc w:val="center"/>
              <w:rPr>
                <w:rFonts w:hint="eastAsia" w:ascii="仿宋" w:hAnsi="仿宋" w:eastAsia="仿宋" w:cs="仿宋"/>
                <w:b/>
                <w:kern w:val="0"/>
                <w:sz w:val="24"/>
                <w:szCs w:val="24"/>
              </w:rPr>
            </w:pPr>
          </w:p>
        </w:tc>
        <w:tc>
          <w:tcPr>
            <w:tcW w:w="7110" w:type="dxa"/>
            <w:vAlign w:val="center"/>
          </w:tcPr>
          <w:p>
            <w:pPr>
              <w:spacing w:line="360" w:lineRule="auto"/>
              <w:rPr>
                <w:rFonts w:hint="eastAsia" w:ascii="仿宋" w:hAnsi="仿宋" w:eastAsia="仿宋" w:cs="仿宋"/>
                <w:bCs/>
                <w:color w:val="000000"/>
                <w:kern w:val="0"/>
                <w:sz w:val="24"/>
                <w:szCs w:val="24"/>
              </w:rPr>
            </w:pPr>
            <w:r>
              <w:rPr>
                <w:rFonts w:hint="eastAsia" w:ascii="宋体" w:hAnsi="宋体" w:cs="宋体"/>
                <w:bCs/>
                <w:color w:val="000000"/>
                <w:szCs w:val="21"/>
              </w:rPr>
              <w:t>2）中标人所交设备的品种、型号、规格、质量、功能、技术参数等方面不能实质性满足招标文件要约的，采购人有权拒绝收货，中标人向采购人偿付项目采购金额千分之</w:t>
            </w:r>
            <w:r>
              <w:rPr>
                <w:rFonts w:hint="eastAsia" w:ascii="宋体" w:hAnsi="宋体" w:cs="宋体"/>
                <w:bCs/>
                <w:color w:val="000000"/>
                <w:szCs w:val="21"/>
                <w:u w:val="single"/>
              </w:rPr>
              <w:t xml:space="preserve"> 10 </w:t>
            </w:r>
            <w:r>
              <w:rPr>
                <w:rFonts w:hint="eastAsia" w:ascii="宋体" w:hAnsi="宋体" w:cs="宋体"/>
                <w:bCs/>
                <w:color w:val="000000"/>
                <w:szCs w:val="21"/>
              </w:rPr>
              <w:t>的违约金；造成严重后果的，根据《深圳经济特区政府采购条例》第五十七条第（二）款规定，由主管部门对中标人进行处罚。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jc w:val="center"/>
              <w:rPr>
                <w:rFonts w:hint="eastAsia" w:ascii="仿宋" w:hAnsi="仿宋" w:eastAsia="仿宋" w:cs="仿宋"/>
                <w:b/>
                <w:kern w:val="0"/>
                <w:sz w:val="24"/>
                <w:szCs w:val="24"/>
              </w:rPr>
            </w:pPr>
          </w:p>
        </w:tc>
        <w:tc>
          <w:tcPr>
            <w:tcW w:w="7110" w:type="dxa"/>
            <w:vAlign w:val="center"/>
          </w:tcPr>
          <w:p>
            <w:pPr>
              <w:spacing w:line="360" w:lineRule="auto"/>
              <w:rPr>
                <w:rFonts w:hint="eastAsia" w:ascii="仿宋" w:hAnsi="仿宋" w:eastAsia="仿宋" w:cs="仿宋"/>
                <w:bCs/>
                <w:color w:val="000000"/>
                <w:kern w:val="0"/>
                <w:sz w:val="24"/>
                <w:szCs w:val="24"/>
              </w:rPr>
            </w:pPr>
            <w:r>
              <w:rPr>
                <w:rFonts w:hint="eastAsia" w:ascii="宋体" w:hAnsi="宋体" w:cs="宋体"/>
                <w:bCs/>
                <w:color w:val="000000"/>
                <w:szCs w:val="21"/>
              </w:rPr>
              <w:t>3）投标人不能交付设备的，投标人向采购人偿付项目采购金额百分之</w:t>
            </w:r>
            <w:r>
              <w:rPr>
                <w:rFonts w:hint="eastAsia" w:ascii="宋体" w:hAnsi="宋体" w:cs="宋体"/>
                <w:bCs/>
                <w:color w:val="000000"/>
                <w:szCs w:val="21"/>
                <w:u w:val="single"/>
              </w:rPr>
              <w:t xml:space="preserve"> 十 </w:t>
            </w:r>
            <w:r>
              <w:rPr>
                <w:rFonts w:hint="eastAsia" w:ascii="宋体" w:hAnsi="宋体" w:cs="宋体"/>
                <w:bCs/>
                <w:color w:val="000000"/>
                <w:szCs w:val="21"/>
              </w:rPr>
              <w:t>的违约金；造成严重后果的，根据《深圳经济特区政府采购条例》第五十七条第（二）款规定，由主管部门对中标人进行处罚。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jc w:val="center"/>
              <w:rPr>
                <w:rFonts w:hint="eastAsia" w:ascii="仿宋" w:hAnsi="仿宋" w:eastAsia="仿宋" w:cs="仿宋"/>
                <w:b/>
                <w:kern w:val="0"/>
                <w:sz w:val="24"/>
                <w:szCs w:val="24"/>
              </w:rPr>
            </w:pPr>
          </w:p>
        </w:tc>
        <w:tc>
          <w:tcPr>
            <w:tcW w:w="7110" w:type="dxa"/>
            <w:vAlign w:val="center"/>
          </w:tcPr>
          <w:p>
            <w:pPr>
              <w:spacing w:line="360" w:lineRule="auto"/>
              <w:rPr>
                <w:rFonts w:hint="eastAsia" w:ascii="仿宋" w:hAnsi="仿宋" w:eastAsia="仿宋" w:cs="仿宋"/>
                <w:bCs/>
                <w:color w:val="000000"/>
                <w:kern w:val="0"/>
                <w:sz w:val="24"/>
                <w:szCs w:val="24"/>
              </w:rPr>
            </w:pPr>
            <w:r>
              <w:rPr>
                <w:rFonts w:hint="eastAsia" w:ascii="宋体" w:hAnsi="宋体" w:cs="宋体"/>
                <w:bCs/>
                <w:color w:val="000000"/>
                <w:szCs w:val="21"/>
              </w:rPr>
              <w:t>4）中标人逾期未交设备的，中标人向采购人每日偿付设备款千分之 一 的违约金。中标人超过交货期限</w:t>
            </w:r>
            <w:r>
              <w:rPr>
                <w:rFonts w:hint="eastAsia" w:ascii="宋体" w:hAnsi="宋体" w:cs="宋体"/>
                <w:bCs/>
                <w:color w:val="000000"/>
                <w:szCs w:val="21"/>
                <w:u w:val="single"/>
              </w:rPr>
              <w:t xml:space="preserve"> 10 </w:t>
            </w:r>
            <w:r>
              <w:rPr>
                <w:rFonts w:hint="eastAsia" w:ascii="宋体" w:hAnsi="宋体" w:cs="宋体"/>
                <w:bCs/>
                <w:color w:val="000000"/>
                <w:szCs w:val="21"/>
              </w:rPr>
              <w:t>日仍未交货，采购人有权解除合同。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jc w:val="center"/>
              <w:rPr>
                <w:rFonts w:hint="eastAsia" w:ascii="仿宋" w:hAnsi="仿宋" w:eastAsia="仿宋" w:cs="仿宋"/>
                <w:b/>
                <w:kern w:val="0"/>
                <w:sz w:val="24"/>
                <w:szCs w:val="24"/>
              </w:rPr>
            </w:pPr>
          </w:p>
        </w:tc>
        <w:tc>
          <w:tcPr>
            <w:tcW w:w="7110" w:type="dxa"/>
            <w:vAlign w:val="center"/>
          </w:tcPr>
          <w:p>
            <w:pPr>
              <w:spacing w:line="360" w:lineRule="auto"/>
              <w:rPr>
                <w:rFonts w:hint="eastAsia" w:ascii="仿宋" w:hAnsi="仿宋" w:eastAsia="仿宋" w:cs="仿宋"/>
                <w:bCs/>
                <w:kern w:val="0"/>
                <w:sz w:val="24"/>
                <w:szCs w:val="24"/>
              </w:rPr>
            </w:pPr>
            <w:r>
              <w:rPr>
                <w:rFonts w:hint="eastAsia" w:ascii="宋体" w:hAnsi="宋体" w:cs="宋体"/>
                <w:bCs/>
                <w:color w:val="000000"/>
                <w:szCs w:val="21"/>
              </w:rPr>
              <w:t>5）违约金先从由中标人履约保证金中扣除，若有不足部分则由中标人补齐。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Align w:val="center"/>
          </w:tcPr>
          <w:p>
            <w:pPr>
              <w:spacing w:line="360" w:lineRule="auto"/>
              <w:jc w:val="center"/>
              <w:rPr>
                <w:rFonts w:hint="eastAsia" w:ascii="仿宋" w:hAnsi="仿宋" w:eastAsia="仿宋" w:cs="仿宋"/>
                <w:b/>
                <w:sz w:val="24"/>
                <w:szCs w:val="24"/>
              </w:rPr>
            </w:pPr>
            <w:r>
              <w:rPr>
                <w:rFonts w:hint="eastAsia" w:ascii="宋体" w:hAnsi="宋体" w:cs="宋体"/>
                <w:b/>
                <w:szCs w:val="21"/>
              </w:rPr>
              <w:t>7</w:t>
            </w:r>
          </w:p>
        </w:tc>
        <w:tc>
          <w:tcPr>
            <w:tcW w:w="1620" w:type="dxa"/>
            <w:vAlign w:val="center"/>
          </w:tcPr>
          <w:p>
            <w:pPr>
              <w:spacing w:line="360" w:lineRule="auto"/>
              <w:jc w:val="center"/>
              <w:rPr>
                <w:rFonts w:hint="eastAsia" w:ascii="仿宋" w:hAnsi="仿宋" w:eastAsia="仿宋" w:cs="仿宋"/>
                <w:b/>
                <w:kern w:val="0"/>
                <w:sz w:val="24"/>
                <w:szCs w:val="24"/>
              </w:rPr>
            </w:pPr>
            <w:r>
              <w:rPr>
                <w:rFonts w:hint="eastAsia" w:ascii="宋体" w:hAnsi="宋体" w:cs="宋体"/>
                <w:b/>
                <w:kern w:val="0"/>
                <w:szCs w:val="21"/>
              </w:rPr>
              <w:t>其他</w:t>
            </w:r>
          </w:p>
        </w:tc>
        <w:tc>
          <w:tcPr>
            <w:tcW w:w="7110" w:type="dxa"/>
            <w:vAlign w:val="center"/>
          </w:tcPr>
          <w:p>
            <w:pPr>
              <w:spacing w:line="360" w:lineRule="auto"/>
              <w:rPr>
                <w:rFonts w:hint="eastAsia" w:ascii="仿宋" w:hAnsi="仿宋" w:eastAsia="仿宋" w:cs="仿宋"/>
                <w:b/>
                <w:sz w:val="24"/>
                <w:szCs w:val="24"/>
              </w:rPr>
            </w:pPr>
            <w:r>
              <w:rPr>
                <w:rFonts w:hint="eastAsia" w:ascii="宋体" w:hAnsi="宋体" w:cs="宋体"/>
                <w:bCs/>
                <w:color w:val="000000"/>
                <w:szCs w:val="21"/>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Align w:val="center"/>
          </w:tcPr>
          <w:p>
            <w:pPr>
              <w:spacing w:line="360" w:lineRule="auto"/>
              <w:jc w:val="center"/>
              <w:rPr>
                <w:rFonts w:hint="eastAsia" w:ascii="仿宋" w:hAnsi="仿宋" w:eastAsia="仿宋" w:cs="仿宋"/>
                <w:b/>
                <w:sz w:val="24"/>
                <w:szCs w:val="24"/>
                <w:lang w:val="en-US" w:eastAsia="zh-CN"/>
              </w:rPr>
            </w:pPr>
            <w:r>
              <w:rPr>
                <w:rFonts w:hint="eastAsia" w:ascii="宋体" w:hAnsi="宋体" w:cs="宋体"/>
                <w:b/>
                <w:bCs/>
                <w:color w:val="000000"/>
                <w:szCs w:val="21"/>
              </w:rPr>
              <w:t>8</w:t>
            </w:r>
          </w:p>
        </w:tc>
        <w:tc>
          <w:tcPr>
            <w:tcW w:w="1620" w:type="dxa"/>
            <w:vAlign w:val="center"/>
          </w:tcPr>
          <w:p>
            <w:pPr>
              <w:spacing w:line="360" w:lineRule="auto"/>
              <w:jc w:val="center"/>
              <w:rPr>
                <w:rFonts w:hint="eastAsia" w:ascii="仿宋" w:hAnsi="仿宋" w:eastAsia="仿宋" w:cs="仿宋"/>
                <w:b/>
                <w:kern w:val="0"/>
                <w:sz w:val="24"/>
                <w:szCs w:val="24"/>
              </w:rPr>
            </w:pPr>
            <w:r>
              <w:rPr>
                <w:rFonts w:hint="eastAsia" w:ascii="宋体" w:hAnsi="宋体" w:cs="宋体"/>
                <w:b/>
                <w:bCs/>
                <w:szCs w:val="21"/>
              </w:rPr>
              <w:t>项目（产品）要求</w:t>
            </w:r>
          </w:p>
        </w:tc>
        <w:tc>
          <w:tcPr>
            <w:tcW w:w="7110" w:type="dxa"/>
            <w:vAlign w:val="top"/>
          </w:tcPr>
          <w:p>
            <w:pPr>
              <w:spacing w:line="360" w:lineRule="auto"/>
              <w:rPr>
                <w:rFonts w:hint="eastAsia" w:ascii="仿宋" w:hAnsi="仿宋" w:eastAsia="仿宋" w:cs="仿宋"/>
                <w:bCs/>
                <w:sz w:val="24"/>
                <w:szCs w:val="24"/>
              </w:rPr>
            </w:pPr>
            <w:r>
              <w:rPr>
                <w:rFonts w:hint="eastAsia" w:ascii="宋体" w:hAnsi="宋体" w:cs="宋体"/>
                <w:b/>
                <w:color w:val="000000"/>
                <w:szCs w:val="21"/>
                <w:highlight w:val="yellow"/>
              </w:rPr>
              <w:t>★8.2若所投产品为进口，则投标人必须提供由设备制造商或授权的中国总代理签署的合法有效的保修、维修承诺函（免费保修期满足招标文件要求）复印件或扫描件，原件备查；若所投产品为国产产品，则无需提供。</w:t>
            </w:r>
          </w:p>
        </w:tc>
      </w:tr>
    </w:tbl>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pPr>
          <w:pStyle w:val="12"/>
          <w:jc w:val="center"/>
        </w:pP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50" w:firstLineChars="250"/>
      <w:jc w:val="left"/>
      <w:rPr>
        <w:rFonts w:hint="default" w:eastAsia="宋体"/>
        <w:lang w:val="en-US" w:eastAsia="zh-CN"/>
      </w:rPr>
    </w:pPr>
    <w:r>
      <w:rPr>
        <w:rFonts w:hint="eastAsia"/>
      </w:rPr>
      <w:t xml:space="preserve">项目名称：倒置相差显微镜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项目编号：SZZZ2023-QA0293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I0Y2E5ZGI4MGEwYTRjZTUzMmU1ODU4YTM0ZDAyMTk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61614DB"/>
    <w:rsid w:val="063D115E"/>
    <w:rsid w:val="063E2346"/>
    <w:rsid w:val="066F0F41"/>
    <w:rsid w:val="06741ABD"/>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C01398D"/>
    <w:rsid w:val="0C4C7929"/>
    <w:rsid w:val="0C853010"/>
    <w:rsid w:val="0CAF6800"/>
    <w:rsid w:val="0D3606B5"/>
    <w:rsid w:val="0D426F90"/>
    <w:rsid w:val="0D556D8D"/>
    <w:rsid w:val="0D5A6454"/>
    <w:rsid w:val="0D5D20E6"/>
    <w:rsid w:val="0D8C3BEB"/>
    <w:rsid w:val="0DB8556E"/>
    <w:rsid w:val="0E124C7E"/>
    <w:rsid w:val="0E1518A1"/>
    <w:rsid w:val="0E1B3AE0"/>
    <w:rsid w:val="0E285C93"/>
    <w:rsid w:val="0E2F5830"/>
    <w:rsid w:val="0E3C5C14"/>
    <w:rsid w:val="0E7E2229"/>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E635786"/>
    <w:rsid w:val="1E9E7418"/>
    <w:rsid w:val="1EC52E72"/>
    <w:rsid w:val="1EC91BF5"/>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0D027B"/>
    <w:rsid w:val="221A39C9"/>
    <w:rsid w:val="22271A7E"/>
    <w:rsid w:val="22334F35"/>
    <w:rsid w:val="22551AD5"/>
    <w:rsid w:val="226371B8"/>
    <w:rsid w:val="226C59F0"/>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30DB1"/>
    <w:rsid w:val="5D9562FF"/>
    <w:rsid w:val="5DAB0B66"/>
    <w:rsid w:val="5DDE6F83"/>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4B2C0B"/>
    <w:rsid w:val="739648B7"/>
    <w:rsid w:val="73B37F21"/>
    <w:rsid w:val="73EF00BF"/>
    <w:rsid w:val="7406050A"/>
    <w:rsid w:val="7420296E"/>
    <w:rsid w:val="74746816"/>
    <w:rsid w:val="74747483"/>
    <w:rsid w:val="74CE0C97"/>
    <w:rsid w:val="752306D3"/>
    <w:rsid w:val="752537A3"/>
    <w:rsid w:val="759676DE"/>
    <w:rsid w:val="75D23344"/>
    <w:rsid w:val="75D60E9A"/>
    <w:rsid w:val="75E579CC"/>
    <w:rsid w:val="76184CE8"/>
    <w:rsid w:val="76410886"/>
    <w:rsid w:val="76525E43"/>
    <w:rsid w:val="76783713"/>
    <w:rsid w:val="76BB7D9C"/>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32"/>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5"/>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unhideWhenUsed/>
    <w:qFormat/>
    <w:uiPriority w:val="99"/>
    <w:pPr>
      <w:jc w:val="left"/>
    </w:pPr>
  </w:style>
  <w:style w:type="paragraph" w:styleId="7">
    <w:name w:val="Body Text"/>
    <w:basedOn w:val="1"/>
    <w:next w:val="1"/>
    <w:qFormat/>
    <w:uiPriority w:val="0"/>
    <w:pPr>
      <w:spacing w:after="120"/>
    </w:pPr>
  </w:style>
  <w:style w:type="paragraph" w:styleId="8">
    <w:name w:val="Body Text Indent"/>
    <w:basedOn w:val="1"/>
    <w:unhideWhenUsed/>
    <w:qFormat/>
    <w:uiPriority w:val="99"/>
    <w:pPr>
      <w:spacing w:after="120"/>
      <w:ind w:left="420" w:leftChars="200"/>
    </w:pPr>
  </w:style>
  <w:style w:type="paragraph" w:styleId="9">
    <w:name w:val="Plain Text"/>
    <w:basedOn w:val="1"/>
    <w:link w:val="31"/>
    <w:qFormat/>
    <w:uiPriority w:val="0"/>
    <w:rPr>
      <w:rFonts w:ascii="宋体" w:hAnsi="Courier New" w:eastAsiaTheme="minorEastAsia" w:cstheme="minorBidi"/>
    </w:rPr>
  </w:style>
  <w:style w:type="paragraph" w:styleId="10">
    <w:name w:val="Date"/>
    <w:basedOn w:val="1"/>
    <w:next w:val="1"/>
    <w:link w:val="23"/>
    <w:qFormat/>
    <w:uiPriority w:val="0"/>
    <w:rPr>
      <w:rFonts w:ascii="宋体" w:hAnsi="Courier New"/>
      <w:kern w:val="0"/>
      <w:sz w:val="32"/>
      <w:szCs w:val="20"/>
    </w:rPr>
  </w:style>
  <w:style w:type="paragraph" w:styleId="11">
    <w:name w:val="Balloon Text"/>
    <w:basedOn w:val="1"/>
    <w:link w:val="24"/>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6"/>
    <w:next w:val="6"/>
    <w:link w:val="29"/>
    <w:semiHidden/>
    <w:unhideWhenUsed/>
    <w:qFormat/>
    <w:uiPriority w:val="99"/>
    <w:rPr>
      <w:b/>
      <w:bCs/>
    </w:rPr>
  </w:style>
  <w:style w:type="paragraph" w:styleId="15">
    <w:name w:val="Body Text First Indent 2"/>
    <w:basedOn w:val="8"/>
    <w:qFormat/>
    <w:uiPriority w:val="0"/>
    <w:pPr>
      <w:ind w:firstLine="420" w:firstLineChars="200"/>
    </w:pPr>
    <w:rPr>
      <w:szCs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styleId="20">
    <w:name w:val="annotation reference"/>
    <w:basedOn w:val="18"/>
    <w:semiHidden/>
    <w:unhideWhenUsed/>
    <w:qFormat/>
    <w:uiPriority w:val="99"/>
    <w:rPr>
      <w:sz w:val="21"/>
      <w:szCs w:val="21"/>
    </w:rPr>
  </w:style>
  <w:style w:type="paragraph" w:customStyle="1" w:styleId="21">
    <w:name w:val="表格文字"/>
    <w:basedOn w:val="1"/>
    <w:qFormat/>
    <w:uiPriority w:val="0"/>
    <w:pPr>
      <w:spacing w:before="25" w:after="25" w:line="240" w:lineRule="auto"/>
      <w:ind w:firstLine="0"/>
      <w:jc w:val="left"/>
    </w:pPr>
    <w:rPr>
      <w:bCs/>
      <w:spacing w:val="10"/>
      <w:kern w:val="0"/>
      <w:sz w:val="24"/>
    </w:rPr>
  </w:style>
  <w:style w:type="character" w:customStyle="1" w:styleId="22">
    <w:name w:val="日期 Char"/>
    <w:basedOn w:val="18"/>
    <w:link w:val="10"/>
    <w:qFormat/>
    <w:uiPriority w:val="0"/>
    <w:rPr>
      <w:rFonts w:ascii="宋体" w:hAnsi="Courier New" w:eastAsia="宋体" w:cs="Times New Roman"/>
      <w:kern w:val="0"/>
      <w:sz w:val="32"/>
      <w:szCs w:val="20"/>
    </w:rPr>
  </w:style>
  <w:style w:type="character" w:customStyle="1" w:styleId="23">
    <w:name w:val="日期 Char1"/>
    <w:basedOn w:val="18"/>
    <w:link w:val="10"/>
    <w:semiHidden/>
    <w:qFormat/>
    <w:uiPriority w:val="99"/>
    <w:rPr>
      <w:rFonts w:ascii="Calibri" w:hAnsi="Calibri" w:eastAsia="宋体" w:cs="Times New Roman"/>
    </w:rPr>
  </w:style>
  <w:style w:type="character" w:customStyle="1" w:styleId="24">
    <w:name w:val="批注框文本 Char"/>
    <w:basedOn w:val="18"/>
    <w:link w:val="11"/>
    <w:semiHidden/>
    <w:qFormat/>
    <w:uiPriority w:val="99"/>
    <w:rPr>
      <w:rFonts w:ascii="Calibri" w:hAnsi="Calibri" w:eastAsia="宋体" w:cs="Times New Roman"/>
      <w:sz w:val="18"/>
      <w:szCs w:val="18"/>
    </w:rPr>
  </w:style>
  <w:style w:type="character" w:customStyle="1" w:styleId="25">
    <w:name w:val="页眉 Char"/>
    <w:basedOn w:val="18"/>
    <w:link w:val="13"/>
    <w:semiHidden/>
    <w:qFormat/>
    <w:uiPriority w:val="99"/>
    <w:rPr>
      <w:rFonts w:ascii="Calibri" w:hAnsi="Calibri" w:eastAsia="宋体" w:cs="Times New Roman"/>
      <w:sz w:val="18"/>
      <w:szCs w:val="18"/>
    </w:rPr>
  </w:style>
  <w:style w:type="character" w:customStyle="1" w:styleId="26">
    <w:name w:val="页脚 Char"/>
    <w:basedOn w:val="18"/>
    <w:link w:val="12"/>
    <w:qFormat/>
    <w:uiPriority w:val="99"/>
    <w:rPr>
      <w:rFonts w:ascii="Calibri" w:hAnsi="Calibri" w:eastAsia="宋体" w:cs="Times New Roman"/>
      <w:sz w:val="18"/>
      <w:szCs w:val="18"/>
    </w:rPr>
  </w:style>
  <w:style w:type="character" w:customStyle="1" w:styleId="27">
    <w:name w:val="标题 1 Char"/>
    <w:basedOn w:val="18"/>
    <w:link w:val="2"/>
    <w:qFormat/>
    <w:uiPriority w:val="0"/>
    <w:rPr>
      <w:rFonts w:ascii="宋体" w:hAnsi="Calibri" w:eastAsia="宋体" w:cs="Times New Roman"/>
      <w:color w:val="000000"/>
      <w:sz w:val="28"/>
      <w:szCs w:val="20"/>
    </w:rPr>
  </w:style>
  <w:style w:type="character" w:customStyle="1" w:styleId="28">
    <w:name w:val="批注文字 Char"/>
    <w:basedOn w:val="18"/>
    <w:link w:val="6"/>
    <w:qFormat/>
    <w:uiPriority w:val="99"/>
    <w:rPr>
      <w:rFonts w:ascii="Calibri" w:hAnsi="Calibri" w:eastAsia="宋体" w:cs="Times New Roman"/>
    </w:rPr>
  </w:style>
  <w:style w:type="character" w:customStyle="1" w:styleId="29">
    <w:name w:val="批注主题 Char"/>
    <w:basedOn w:val="28"/>
    <w:link w:val="14"/>
    <w:semiHidden/>
    <w:qFormat/>
    <w:uiPriority w:val="99"/>
    <w:rPr>
      <w:b/>
      <w:bCs/>
    </w:rPr>
  </w:style>
  <w:style w:type="character" w:customStyle="1" w:styleId="30">
    <w:name w:val="纯文本 Char"/>
    <w:link w:val="9"/>
    <w:qFormat/>
    <w:uiPriority w:val="0"/>
    <w:rPr>
      <w:rFonts w:ascii="宋体" w:hAnsi="Courier New"/>
    </w:rPr>
  </w:style>
  <w:style w:type="character" w:customStyle="1" w:styleId="31">
    <w:name w:val="纯文本 Char1"/>
    <w:basedOn w:val="18"/>
    <w:link w:val="9"/>
    <w:semiHidden/>
    <w:qFormat/>
    <w:uiPriority w:val="99"/>
    <w:rPr>
      <w:rFonts w:ascii="宋体" w:hAnsi="Courier New" w:eastAsia="宋体" w:cs="Courier New"/>
      <w:szCs w:val="21"/>
    </w:rPr>
  </w:style>
  <w:style w:type="character" w:customStyle="1" w:styleId="32">
    <w:name w:val="标题 2 Char"/>
    <w:basedOn w:val="18"/>
    <w:link w:val="3"/>
    <w:qFormat/>
    <w:uiPriority w:val="0"/>
    <w:rPr>
      <w:rFonts w:ascii="Arial" w:hAnsi="Arial" w:eastAsia="宋体" w:cs="Times New Roman"/>
      <w:b/>
      <w:bCs/>
      <w:sz w:val="32"/>
      <w:szCs w:val="32"/>
    </w:rPr>
  </w:style>
  <w:style w:type="paragraph" w:styleId="33">
    <w:name w:val="List Paragraph"/>
    <w:basedOn w:val="1"/>
    <w:qFormat/>
    <w:uiPriority w:val="34"/>
    <w:pPr>
      <w:ind w:firstLine="420" w:firstLineChars="200"/>
    </w:pPr>
  </w:style>
  <w:style w:type="character" w:customStyle="1" w:styleId="34">
    <w:name w:val="标题 3 Char"/>
    <w:basedOn w:val="18"/>
    <w:link w:val="4"/>
    <w:semiHidden/>
    <w:qFormat/>
    <w:uiPriority w:val="9"/>
    <w:rPr>
      <w:rFonts w:ascii="Calibri" w:hAnsi="Calibri" w:eastAsia="宋体" w:cs="Times New Roman"/>
      <w:b/>
      <w:bCs/>
      <w:sz w:val="32"/>
      <w:szCs w:val="32"/>
    </w:rPr>
  </w:style>
  <w:style w:type="character" w:customStyle="1" w:styleId="35">
    <w:name w:val="标题 4 Char"/>
    <w:basedOn w:val="18"/>
    <w:link w:val="5"/>
    <w:qFormat/>
    <w:uiPriority w:val="0"/>
    <w:rPr>
      <w:rFonts w:ascii="Cambria" w:hAnsi="Cambria" w:eastAsia="宋体" w:cs="Times New Roman"/>
      <w:b/>
      <w:bCs/>
      <w:sz w:val="28"/>
      <w:szCs w:val="28"/>
    </w:rPr>
  </w:style>
  <w:style w:type="paragraph" w:customStyle="1" w:styleId="36">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7">
    <w:name w:val="1"/>
    <w:basedOn w:val="1"/>
    <w:next w:val="9"/>
    <w:qFormat/>
    <w:uiPriority w:val="0"/>
    <w:rPr>
      <w:rFonts w:ascii="宋体" w:hAnsi="Courier New"/>
      <w:szCs w:val="20"/>
    </w:rPr>
  </w:style>
  <w:style w:type="paragraph" w:customStyle="1" w:styleId="38">
    <w:name w:val="8"/>
    <w:basedOn w:val="1"/>
    <w:next w:val="9"/>
    <w:qFormat/>
    <w:uiPriority w:val="0"/>
    <w:rPr>
      <w:rFonts w:ascii="宋体" w:hAnsi="Courier New"/>
      <w:szCs w:val="20"/>
    </w:rPr>
  </w:style>
  <w:style w:type="paragraph" w:customStyle="1" w:styleId="39">
    <w:name w:val="_Style 55"/>
    <w:basedOn w:val="1"/>
    <w:next w:val="9"/>
    <w:qFormat/>
    <w:uiPriority w:val="0"/>
    <w:rPr>
      <w:rFonts w:ascii="宋体" w:hAnsi="Courier New"/>
      <w:szCs w:val="20"/>
    </w:rPr>
  </w:style>
  <w:style w:type="paragraph" w:customStyle="1" w:styleId="40">
    <w:name w:val="7"/>
    <w:basedOn w:val="1"/>
    <w:next w:val="9"/>
    <w:link w:val="41"/>
    <w:qFormat/>
    <w:uiPriority w:val="0"/>
    <w:rPr>
      <w:rFonts w:ascii="宋体" w:hAnsi="Courier New"/>
      <w:szCs w:val="20"/>
    </w:rPr>
  </w:style>
  <w:style w:type="character" w:customStyle="1" w:styleId="41">
    <w:name w:val="Char1"/>
    <w:link w:val="40"/>
    <w:qFormat/>
    <w:uiPriority w:val="0"/>
    <w:rPr>
      <w:rFonts w:ascii="宋体" w:hAnsi="Courier New" w:eastAsia="宋体" w:cs="Times New Roman"/>
      <w:szCs w:val="20"/>
    </w:rPr>
  </w:style>
  <w:style w:type="paragraph" w:customStyle="1" w:styleId="42">
    <w:name w:val="Body text|1"/>
    <w:basedOn w:val="1"/>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 w:type="paragraph" w:customStyle="1" w:styleId="43">
    <w:name w:val=".."/>
    <w:basedOn w:val="1"/>
    <w:next w:val="1"/>
    <w:uiPriority w:val="0"/>
    <w:pPr>
      <w:autoSpaceDE w:val="0"/>
      <w:autoSpaceDN w:val="0"/>
      <w:adjustRightInd w:val="0"/>
      <w:jc w:val="left"/>
    </w:pPr>
    <w:rPr>
      <w:rFonts w:ascii="Arial Unicode MS" w:hAnsi="Times New Roman" w:eastAsia="Arial Unicode M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3816</Words>
  <Characters>3897</Characters>
  <Lines>229</Lines>
  <Paragraphs>64</Paragraphs>
  <TotalTime>2</TotalTime>
  <ScaleCrop>false</ScaleCrop>
  <LinksUpToDate>false</LinksUpToDate>
  <CharactersWithSpaces>3933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中正招标庄学华</cp:lastModifiedBy>
  <cp:lastPrinted>2020-05-21T02:27:00Z</cp:lastPrinted>
  <dcterms:modified xsi:type="dcterms:W3CDTF">2023-10-19T06:37:15Z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B946BEF99C8F409FBFCFBF89E6EAF5A4</vt:lpwstr>
  </property>
</Properties>
</file>