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left"/>
        <w:rPr>
          <w:b/>
          <w:bCs/>
          <w:snapToGrid w:val="0"/>
          <w:kern w:val="0"/>
          <w:sz w:val="28"/>
          <w:szCs w:val="28"/>
        </w:rPr>
      </w:pPr>
      <w:r>
        <w:rPr>
          <w:b/>
          <w:bCs/>
          <w:snapToGrid w:val="0"/>
          <w:kern w:val="0"/>
          <w:sz w:val="28"/>
          <w:szCs w:val="28"/>
        </w:rPr>
        <w:pict>
          <v:shape id="文本框 299" o:spid="_x0000_s3075" o:spt="202" type="#_x0000_t202" style="position:absolute;left:0pt;margin-left:45.7pt;margin-top:-3.3pt;height:46.8pt;width:294.8pt;z-index:251659264;mso-width-relative:margin;mso-height-relative:margin;" stroked="t" coordsize="21600,21600">
            <v:path/>
            <v:fill focussize="0,0"/>
            <v:stroke color="#FFFFFF" joinstyle="miter"/>
            <v:imagedata o:title=""/>
            <o:lock v:ext="edit"/>
            <v:textbox>
              <w:txbxContent>
                <w:p>
                  <w:pPr>
                    <w:spacing w:line="400" w:lineRule="exact"/>
                    <w:rPr>
                      <w:rFonts w:ascii="仿宋" w:hAnsi="仿宋" w:eastAsia="仿宋"/>
                      <w:b/>
                      <w:sz w:val="26"/>
                      <w:szCs w:val="26"/>
                    </w:rPr>
                  </w:pPr>
                  <w:r>
                    <w:rPr>
                      <w:rFonts w:hint="eastAsia" w:ascii="仿宋" w:hAnsi="仿宋" w:eastAsia="仿宋"/>
                      <w:b/>
                      <w:sz w:val="26"/>
                      <w:szCs w:val="26"/>
                    </w:rPr>
                    <w:t>深 圳 市 中 正 招 标 有 限 公 司</w:t>
                  </w:r>
                </w:p>
                <w:p>
                  <w:pPr>
                    <w:spacing w:line="400" w:lineRule="exact"/>
                    <w:rPr>
                      <w:rFonts w:ascii="仿宋" w:hAnsi="仿宋" w:eastAsia="仿宋"/>
                      <w:sz w:val="22"/>
                    </w:rPr>
                  </w:pPr>
                  <w:r>
                    <w:rPr>
                      <w:rFonts w:hint="eastAsia" w:ascii="仿宋" w:hAnsi="仿宋" w:eastAsia="仿宋"/>
                      <w:sz w:val="22"/>
                    </w:rPr>
                    <w:t>SHENZHEN ZHONGZHENG TENDERING CO.,LTD.</w:t>
                  </w:r>
                </w:p>
              </w:txbxContent>
            </v:textbox>
          </v:shape>
        </w:pict>
      </w:r>
      <w:r>
        <w:rPr>
          <w:b/>
          <w:kern w:val="0"/>
          <w:sz w:val="28"/>
          <w:szCs w:val="28"/>
        </w:rPr>
        <w:drawing>
          <wp:inline distT="0" distB="0" distL="0" distR="0">
            <wp:extent cx="551180" cy="473075"/>
            <wp:effectExtent l="57150" t="19050" r="19812"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6" cstate="print"/>
                    <a:srcRect/>
                    <a:stretch>
                      <a:fillRect/>
                    </a:stretch>
                  </pic:blipFill>
                  <pic:spPr>
                    <a:xfrm>
                      <a:off x="0" y="0"/>
                      <a:ext cx="551688" cy="473583"/>
                    </a:xfrm>
                    <a:prstGeom prst="rect">
                      <a:avLst/>
                    </a:prstGeom>
                    <a:solidFill>
                      <a:schemeClr val="bg1"/>
                    </a:solidFill>
                    <a:ln w="9525">
                      <a:noFill/>
                      <a:miter lim="800000"/>
                      <a:headEnd/>
                      <a:tailEnd/>
                    </a:ln>
                    <a:effectLst/>
                    <a:scene3d>
                      <a:camera prst="orthographicFront"/>
                      <a:lightRig rig="threePt" dir="t"/>
                    </a:scene3d>
                    <a:sp3d extrusionH="76200" contourW="12700">
                      <a:extrusionClr>
                        <a:schemeClr val="bg1"/>
                      </a:extrusionClr>
                      <a:contourClr>
                        <a:schemeClr val="bg1"/>
                      </a:contourClr>
                    </a:sp3d>
                  </pic:spPr>
                </pic:pic>
              </a:graphicData>
            </a:graphic>
          </wp:inline>
        </w:drawing>
      </w:r>
    </w:p>
    <w:p>
      <w:pPr>
        <w:ind w:left="682" w:leftChars="-203" w:hanging="1108" w:hangingChars="154"/>
        <w:rPr>
          <w:sz w:val="72"/>
          <w:szCs w:val="72"/>
        </w:rPr>
      </w:pPr>
    </w:p>
    <w:p>
      <w:pPr>
        <w:adjustRightInd w:val="0"/>
        <w:snapToGrid w:val="0"/>
        <w:spacing w:line="300" w:lineRule="auto"/>
        <w:jc w:val="left"/>
        <w:rPr>
          <w:rFonts w:hint="eastAsia"/>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center"/>
        <w:rPr>
          <w:rFonts w:ascii="经典标宋简" w:eastAsia="经典标宋简"/>
          <w:b/>
          <w:snapToGrid w:val="0"/>
          <w:kern w:val="0"/>
          <w:sz w:val="44"/>
          <w:szCs w:val="44"/>
        </w:rPr>
      </w:pPr>
      <w:r>
        <w:rPr>
          <w:rFonts w:hint="eastAsia" w:asciiTheme="minorEastAsia" w:hAnsiTheme="minorEastAsia" w:eastAsiaTheme="minorEastAsia"/>
          <w:b/>
          <w:bCs/>
          <w:snapToGrid w:val="0"/>
          <w:kern w:val="0"/>
          <w:sz w:val="70"/>
          <w:szCs w:val="70"/>
        </w:rPr>
        <w:t>“防暑降温”物资采购</w:t>
      </w:r>
    </w:p>
    <w:p>
      <w:pPr>
        <w:adjustRightInd w:val="0"/>
        <w:snapToGrid w:val="0"/>
        <w:spacing w:line="300" w:lineRule="auto"/>
        <w:jc w:val="center"/>
        <w:rPr>
          <w:rFonts w:ascii="经典标宋简" w:eastAsia="经典标宋简"/>
          <w:b/>
          <w:snapToGrid w:val="0"/>
          <w:kern w:val="0"/>
          <w:sz w:val="44"/>
          <w:szCs w:val="44"/>
        </w:rPr>
      </w:pPr>
    </w:p>
    <w:p>
      <w:pPr>
        <w:adjustRightInd w:val="0"/>
        <w:snapToGrid w:val="0"/>
        <w:spacing w:line="300" w:lineRule="auto"/>
        <w:jc w:val="center"/>
        <w:rPr>
          <w:rFonts w:hint="eastAsia" w:ascii="经典标宋简" w:eastAsia="经典标宋简"/>
          <w:b/>
          <w:snapToGrid w:val="0"/>
          <w:kern w:val="0"/>
          <w:sz w:val="44"/>
          <w:szCs w:val="44"/>
        </w:rPr>
      </w:pPr>
    </w:p>
    <w:p>
      <w:pPr>
        <w:adjustRightInd w:val="0"/>
        <w:snapToGrid w:val="0"/>
        <w:spacing w:line="300" w:lineRule="auto"/>
        <w:jc w:val="center"/>
        <w:rPr>
          <w:rFonts w:ascii="经典标宋简" w:eastAsia="经典标宋简"/>
          <w:b/>
          <w:snapToGrid w:val="0"/>
          <w:kern w:val="0"/>
          <w:sz w:val="44"/>
          <w:szCs w:val="44"/>
        </w:rPr>
      </w:pPr>
    </w:p>
    <w:p>
      <w:pPr>
        <w:adjustRightInd w:val="0"/>
        <w:snapToGrid w:val="0"/>
        <w:spacing w:line="300" w:lineRule="auto"/>
        <w:jc w:val="center"/>
        <w:rPr>
          <w:rFonts w:asciiTheme="minorEastAsia" w:hAnsiTheme="minorEastAsia" w:eastAsiaTheme="minorEastAsia"/>
          <w:b/>
          <w:snapToGrid w:val="0"/>
          <w:kern w:val="0"/>
          <w:sz w:val="90"/>
        </w:rPr>
      </w:pPr>
      <w:r>
        <w:rPr>
          <w:rFonts w:hint="eastAsia" w:asciiTheme="minorEastAsia" w:hAnsiTheme="minorEastAsia" w:eastAsiaTheme="minorEastAsia"/>
          <w:b/>
          <w:snapToGrid w:val="0"/>
          <w:kern w:val="0"/>
          <w:sz w:val="90"/>
        </w:rPr>
        <w:t>货物类招标文件</w:t>
      </w:r>
    </w:p>
    <w:p>
      <w:pPr>
        <w:adjustRightInd w:val="0"/>
        <w:snapToGrid w:val="0"/>
        <w:spacing w:line="300" w:lineRule="auto"/>
        <w:jc w:val="center"/>
        <w:rPr>
          <w:rFonts w:ascii="经典等线简" w:eastAsia="经典等线简"/>
          <w:b/>
          <w:snapToGrid w:val="0"/>
          <w:kern w:val="0"/>
          <w:sz w:val="32"/>
        </w:rPr>
      </w:pPr>
    </w:p>
    <w:p>
      <w:pPr>
        <w:adjustRightInd w:val="0"/>
        <w:snapToGrid w:val="0"/>
        <w:spacing w:line="300" w:lineRule="auto"/>
        <w:jc w:val="center"/>
        <w:rPr>
          <w:rFonts w:asciiTheme="minorEastAsia" w:hAnsiTheme="minorEastAsia" w:eastAsiaTheme="minorEastAsia"/>
          <w:b/>
          <w:snapToGrid w:val="0"/>
          <w:kern w:val="0"/>
          <w:sz w:val="32"/>
        </w:rPr>
      </w:pPr>
      <w:r>
        <w:rPr>
          <w:rFonts w:hint="eastAsia" w:asciiTheme="minorEastAsia" w:hAnsiTheme="minorEastAsia" w:eastAsiaTheme="minorEastAsia"/>
          <w:b/>
          <w:snapToGrid w:val="0"/>
          <w:kern w:val="0"/>
          <w:sz w:val="32"/>
        </w:rPr>
        <w:t>项目编号：SZZZ2022-QA0144</w:t>
      </w:r>
    </w:p>
    <w:p>
      <w:pPr>
        <w:adjustRightInd w:val="0"/>
        <w:snapToGrid w:val="0"/>
        <w:spacing w:line="300" w:lineRule="auto"/>
        <w:jc w:val="center"/>
        <w:rPr>
          <w:rFonts w:ascii="经典等线简" w:eastAsia="经典等线简"/>
          <w:b/>
          <w:snapToGrid w:val="0"/>
          <w:kern w:val="0"/>
          <w:sz w:val="18"/>
          <w:szCs w:val="18"/>
        </w:rPr>
      </w:pPr>
    </w:p>
    <w:p>
      <w:pPr>
        <w:adjustRightInd w:val="0"/>
        <w:snapToGrid w:val="0"/>
        <w:spacing w:line="300" w:lineRule="auto"/>
        <w:jc w:val="center"/>
        <w:rPr>
          <w:rFonts w:eastAsia="经典标宋简"/>
          <w:b/>
          <w:snapToGrid w:val="0"/>
          <w:kern w:val="0"/>
          <w:sz w:val="44"/>
        </w:rPr>
      </w:pPr>
    </w:p>
    <w:p>
      <w:pPr>
        <w:adjustRightInd w:val="0"/>
        <w:snapToGrid w:val="0"/>
        <w:spacing w:line="300" w:lineRule="auto"/>
        <w:jc w:val="center"/>
        <w:rPr>
          <w:rFonts w:eastAsia="经典标宋简"/>
          <w:b/>
          <w:snapToGrid w:val="0"/>
          <w:kern w:val="0"/>
          <w:sz w:val="44"/>
        </w:rPr>
      </w:pPr>
      <w:r>
        <w:rPr>
          <w:rFonts w:eastAsia="经典标宋简"/>
          <w:b/>
          <w:snapToGrid w:val="0"/>
          <w:kern w:val="0"/>
          <w:sz w:val="44"/>
        </w:rPr>
        <w:t xml:space="preserve"> </w:t>
      </w:r>
    </w:p>
    <w:p>
      <w:pPr>
        <w:pStyle w:val="29"/>
        <w:adjustRightInd w:val="0"/>
        <w:snapToGrid w:val="0"/>
        <w:spacing w:line="300" w:lineRule="auto"/>
        <w:jc w:val="center"/>
        <w:rPr>
          <w:rFonts w:ascii="Times New Roman" w:hAnsi="Times New Roman" w:eastAsia="经典等线简"/>
          <w:b/>
          <w:snapToGrid w:val="0"/>
          <w:sz w:val="30"/>
        </w:rPr>
      </w:pPr>
    </w:p>
    <w:p/>
    <w:p/>
    <w:p>
      <w:pPr>
        <w:pStyle w:val="29"/>
        <w:adjustRightInd w:val="0"/>
        <w:snapToGrid w:val="0"/>
        <w:spacing w:line="300" w:lineRule="auto"/>
        <w:ind w:hanging="835"/>
        <w:jc w:val="center"/>
        <w:rPr>
          <w:b/>
          <w:kern w:val="0"/>
          <w:sz w:val="28"/>
          <w:szCs w:val="28"/>
        </w:rPr>
      </w:pPr>
      <w:r>
        <w:rPr>
          <w:rFonts w:hint="eastAsia"/>
          <w:b/>
          <w:snapToGrid w:val="0"/>
          <w:sz w:val="30"/>
        </w:rPr>
        <w:t>二〇二二年六月</w:t>
      </w:r>
      <w:r>
        <w:rPr>
          <w:b/>
          <w:kern w:val="0"/>
          <w:sz w:val="28"/>
          <w:szCs w:val="28"/>
        </w:rPr>
        <w:br w:type="page"/>
      </w:r>
    </w:p>
    <w:p>
      <w:pPr>
        <w:jc w:val="center"/>
        <w:rPr>
          <w:rFonts w:asciiTheme="minorEastAsia" w:hAnsiTheme="minorEastAsia" w:eastAsiaTheme="minorEastAsia"/>
          <w:b/>
          <w:bCs/>
          <w:szCs w:val="21"/>
        </w:rPr>
      </w:pPr>
    </w:p>
    <w:p>
      <w:pPr>
        <w:adjustRightInd w:val="0"/>
        <w:snapToGrid w:val="0"/>
        <w:spacing w:line="300" w:lineRule="auto"/>
        <w:jc w:val="left"/>
        <w:rPr>
          <w:b/>
          <w:kern w:val="0"/>
          <w:sz w:val="28"/>
          <w:szCs w:val="28"/>
        </w:rPr>
      </w:pPr>
    </w:p>
    <w:p>
      <w:pPr>
        <w:jc w:val="center"/>
        <w:rPr>
          <w:rFonts w:asciiTheme="minorEastAsia" w:hAnsiTheme="minorEastAsia" w:eastAsiaTheme="minorEastAsia"/>
          <w:b/>
          <w:bCs/>
          <w:szCs w:val="21"/>
        </w:rPr>
      </w:pPr>
    </w:p>
    <w:p>
      <w:pPr>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特别警示条款</w:t>
      </w:r>
    </w:p>
    <w:p>
      <w:pPr>
        <w:spacing w:line="360" w:lineRule="auto"/>
        <w:ind w:firstLine="480" w:firstLineChars="200"/>
        <w:rPr>
          <w:rFonts w:ascii="宋体" w:hAnsi="宋体"/>
          <w:sz w:val="24"/>
        </w:rPr>
      </w:pPr>
    </w:p>
    <w:p>
      <w:pPr>
        <w:spacing w:line="440" w:lineRule="exact"/>
        <w:ind w:firstLine="480" w:firstLineChars="200"/>
        <w:rPr>
          <w:rFonts w:ascii="仿宋" w:hAnsi="仿宋" w:eastAsia="仿宋"/>
          <w:sz w:val="24"/>
        </w:rPr>
      </w:pPr>
      <w:r>
        <w:rPr>
          <w:rFonts w:hint="eastAsia" w:ascii="仿宋" w:hAnsi="仿宋" w:eastAsia="仿宋"/>
          <w:sz w:val="24"/>
        </w:rPr>
        <w:t>一、《深圳经济特区政府采购条例》第五十七条</w:t>
      </w:r>
      <w:r>
        <w:rPr>
          <w:rFonts w:ascii="仿宋" w:hAnsi="仿宋" w:eastAsia="仿宋"/>
          <w:sz w:val="24"/>
        </w:rPr>
        <w:t xml:space="preserve"> </w:t>
      </w:r>
      <w:r>
        <w:rPr>
          <w:rFonts w:hint="eastAsia" w:ascii="仿宋" w:hAnsi="仿宋" w:eastAsia="仿宋"/>
          <w:sz w:val="24"/>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440" w:lineRule="exact"/>
        <w:ind w:firstLine="480" w:firstLineChars="200"/>
        <w:rPr>
          <w:rFonts w:ascii="仿宋" w:hAnsi="仿宋" w:eastAsia="仿宋"/>
          <w:sz w:val="24"/>
        </w:rPr>
      </w:pPr>
      <w:r>
        <w:rPr>
          <w:rFonts w:hint="eastAsia" w:ascii="仿宋" w:hAnsi="仿宋" w:eastAsia="仿宋"/>
          <w:sz w:val="24"/>
        </w:rPr>
        <w:t>（一）在采购活动中应当回避而未回避的；</w:t>
      </w:r>
    </w:p>
    <w:p>
      <w:pPr>
        <w:spacing w:line="440" w:lineRule="exact"/>
        <w:ind w:firstLine="480" w:firstLineChars="200"/>
        <w:rPr>
          <w:rFonts w:ascii="仿宋" w:hAnsi="仿宋" w:eastAsia="仿宋"/>
          <w:sz w:val="24"/>
        </w:rPr>
      </w:pPr>
      <w:r>
        <w:rPr>
          <w:rFonts w:hint="eastAsia" w:ascii="仿宋" w:hAnsi="仿宋" w:eastAsia="仿宋"/>
          <w:sz w:val="24"/>
        </w:rPr>
        <w:t>（二）未按本条例规定签订、履行采购合同，造成严重后果的；</w:t>
      </w:r>
    </w:p>
    <w:p>
      <w:pPr>
        <w:spacing w:line="440" w:lineRule="exact"/>
        <w:ind w:firstLine="480" w:firstLineChars="200"/>
        <w:rPr>
          <w:rFonts w:ascii="仿宋" w:hAnsi="仿宋" w:eastAsia="仿宋"/>
          <w:sz w:val="24"/>
        </w:rPr>
      </w:pPr>
      <w:r>
        <w:rPr>
          <w:rFonts w:hint="eastAsia" w:ascii="仿宋" w:hAnsi="仿宋" w:eastAsia="仿宋"/>
          <w:sz w:val="24"/>
        </w:rPr>
        <w:t>（三）隐瞒真实情况，提供虚假资料的；</w:t>
      </w:r>
    </w:p>
    <w:p>
      <w:pPr>
        <w:spacing w:line="440" w:lineRule="exact"/>
        <w:ind w:firstLine="480" w:firstLineChars="200"/>
        <w:rPr>
          <w:rFonts w:ascii="仿宋" w:hAnsi="仿宋" w:eastAsia="仿宋"/>
          <w:sz w:val="24"/>
        </w:rPr>
      </w:pPr>
      <w:r>
        <w:rPr>
          <w:rFonts w:hint="eastAsia" w:ascii="仿宋" w:hAnsi="仿宋" w:eastAsia="仿宋"/>
          <w:sz w:val="24"/>
        </w:rPr>
        <w:t>（四）以非法手段排斥其他供应商参与竞争的；</w:t>
      </w:r>
    </w:p>
    <w:p>
      <w:pPr>
        <w:spacing w:line="440" w:lineRule="exact"/>
        <w:ind w:firstLine="480" w:firstLineChars="200"/>
        <w:rPr>
          <w:rFonts w:ascii="仿宋" w:hAnsi="仿宋" w:eastAsia="仿宋"/>
          <w:sz w:val="24"/>
        </w:rPr>
      </w:pPr>
      <w:r>
        <w:rPr>
          <w:rFonts w:hint="eastAsia" w:ascii="仿宋" w:hAnsi="仿宋" w:eastAsia="仿宋"/>
          <w:sz w:val="24"/>
        </w:rPr>
        <w:t>（五）与其他采购参加人串通投标的；</w:t>
      </w:r>
    </w:p>
    <w:p>
      <w:pPr>
        <w:spacing w:line="440" w:lineRule="exact"/>
        <w:ind w:firstLine="480" w:firstLineChars="200"/>
        <w:rPr>
          <w:rFonts w:ascii="仿宋" w:hAnsi="仿宋" w:eastAsia="仿宋"/>
          <w:sz w:val="24"/>
        </w:rPr>
      </w:pPr>
      <w:r>
        <w:rPr>
          <w:rFonts w:hint="eastAsia" w:ascii="仿宋" w:hAnsi="仿宋" w:eastAsia="仿宋"/>
          <w:sz w:val="24"/>
        </w:rPr>
        <w:t>（六）恶意投诉的；</w:t>
      </w:r>
    </w:p>
    <w:p>
      <w:pPr>
        <w:spacing w:line="440" w:lineRule="exact"/>
        <w:ind w:firstLine="480" w:firstLineChars="200"/>
        <w:rPr>
          <w:rFonts w:ascii="仿宋" w:hAnsi="仿宋" w:eastAsia="仿宋"/>
          <w:sz w:val="24"/>
        </w:rPr>
      </w:pPr>
      <w:r>
        <w:rPr>
          <w:rFonts w:hint="eastAsia" w:ascii="仿宋" w:hAnsi="仿宋" w:eastAsia="仿宋"/>
          <w:sz w:val="24"/>
        </w:rPr>
        <w:t>（七）向采购项目相关人行贿或者提供其他不当利益的；</w:t>
      </w:r>
    </w:p>
    <w:p>
      <w:pPr>
        <w:spacing w:line="440" w:lineRule="exact"/>
        <w:ind w:firstLine="480" w:firstLineChars="200"/>
        <w:rPr>
          <w:rFonts w:ascii="仿宋" w:hAnsi="仿宋" w:eastAsia="仿宋"/>
          <w:sz w:val="24"/>
        </w:rPr>
      </w:pPr>
      <w:r>
        <w:rPr>
          <w:rFonts w:hint="eastAsia" w:ascii="仿宋" w:hAnsi="仿宋" w:eastAsia="仿宋"/>
          <w:sz w:val="24"/>
        </w:rPr>
        <w:t>（八）阻碍、抗拒主管部门监督检查的；</w:t>
      </w:r>
    </w:p>
    <w:p>
      <w:pPr>
        <w:spacing w:line="440" w:lineRule="exact"/>
        <w:ind w:firstLine="480" w:firstLineChars="200"/>
        <w:rPr>
          <w:rFonts w:ascii="仿宋" w:hAnsi="仿宋" w:eastAsia="仿宋"/>
          <w:sz w:val="24"/>
        </w:rPr>
      </w:pPr>
      <w:r>
        <w:rPr>
          <w:rFonts w:hint="eastAsia" w:ascii="仿宋" w:hAnsi="仿宋" w:eastAsia="仿宋"/>
          <w:sz w:val="24"/>
        </w:rPr>
        <w:t>（九）其他违反本条例规定的行为。</w:t>
      </w:r>
    </w:p>
    <w:p>
      <w:pPr>
        <w:spacing w:line="440" w:lineRule="exact"/>
        <w:ind w:firstLine="480" w:firstLineChars="200"/>
        <w:rPr>
          <w:rFonts w:ascii="仿宋" w:hAnsi="仿宋" w:eastAsia="仿宋"/>
          <w:sz w:val="24"/>
        </w:rPr>
      </w:pPr>
    </w:p>
    <w:p>
      <w:pPr>
        <w:spacing w:line="440" w:lineRule="exact"/>
        <w:ind w:firstLine="480" w:firstLineChars="200"/>
        <w:rPr>
          <w:rFonts w:ascii="仿宋" w:hAnsi="仿宋" w:eastAsia="仿宋"/>
          <w:sz w:val="24"/>
        </w:rPr>
      </w:pPr>
      <w:r>
        <w:rPr>
          <w:rFonts w:hint="eastAsia" w:ascii="仿宋" w:hAnsi="仿宋" w:eastAsia="仿宋"/>
          <w:sz w:val="24"/>
        </w:rPr>
        <w:t>二、《深圳经济特区政府采购条例实施细则》第七十六条 供应商有下列行为之一的，由主管部门记入供应商诚信档案并作出以下处罚：</w:t>
      </w:r>
    </w:p>
    <w:p>
      <w:pPr>
        <w:spacing w:line="440" w:lineRule="exact"/>
        <w:ind w:firstLine="480" w:firstLineChars="200"/>
        <w:rPr>
          <w:rFonts w:ascii="仿宋" w:hAnsi="仿宋" w:eastAsia="仿宋"/>
          <w:sz w:val="24"/>
        </w:rPr>
      </w:pPr>
      <w:r>
        <w:rPr>
          <w:rFonts w:hint="eastAsia" w:ascii="仿宋" w:hAnsi="仿宋" w:eastAsia="仿宋"/>
          <w:sz w:val="24"/>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pPr>
        <w:spacing w:line="440" w:lineRule="exact"/>
        <w:ind w:firstLine="480" w:firstLineChars="200"/>
        <w:rPr>
          <w:rFonts w:ascii="仿宋" w:hAnsi="仿宋" w:eastAsia="仿宋"/>
          <w:sz w:val="24"/>
        </w:rPr>
      </w:pPr>
      <w:r>
        <w:rPr>
          <w:rFonts w:hint="eastAsia" w:ascii="仿宋" w:hAnsi="仿宋" w:eastAsia="仿宋"/>
          <w:sz w:val="24"/>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pPr>
        <w:spacing w:line="440" w:lineRule="exact"/>
        <w:ind w:firstLine="480" w:firstLineChars="200"/>
        <w:rPr>
          <w:rFonts w:ascii="仿宋" w:hAnsi="仿宋" w:eastAsia="仿宋"/>
          <w:sz w:val="24"/>
        </w:rPr>
      </w:pPr>
      <w:r>
        <w:rPr>
          <w:rFonts w:hint="eastAsia" w:ascii="仿宋" w:hAnsi="仿宋" w:eastAsia="仿宋"/>
          <w:sz w:val="24"/>
        </w:rPr>
        <w:t xml:space="preserve">第七十七条 供应商有下列行为之一的，属于情节严重，由市场监管部门依法吊销其营业执照，主管部门取消其参与本市政府采购的资格，并作出以下处罚： </w:t>
      </w:r>
    </w:p>
    <w:p>
      <w:pPr>
        <w:spacing w:line="440" w:lineRule="exact"/>
        <w:ind w:firstLine="480" w:firstLineChars="200"/>
        <w:rPr>
          <w:rFonts w:ascii="仿宋" w:hAnsi="仿宋" w:eastAsia="仿宋"/>
          <w:sz w:val="24"/>
        </w:rPr>
      </w:pPr>
      <w:r>
        <w:rPr>
          <w:rFonts w:hint="eastAsia" w:ascii="仿宋" w:hAnsi="仿宋" w:eastAsia="仿宋"/>
          <w:sz w:val="24"/>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pPr>
        <w:spacing w:line="440" w:lineRule="exact"/>
        <w:ind w:firstLine="480" w:firstLineChars="200"/>
        <w:rPr>
          <w:rFonts w:ascii="仿宋" w:hAnsi="仿宋" w:eastAsia="仿宋"/>
          <w:sz w:val="24"/>
        </w:rPr>
      </w:pPr>
      <w:r>
        <w:rPr>
          <w:rFonts w:hint="eastAsia" w:ascii="仿宋" w:hAnsi="仿宋" w:eastAsia="仿宋"/>
          <w:sz w:val="24"/>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pPr>
        <w:spacing w:line="440" w:lineRule="exact"/>
        <w:ind w:firstLine="480" w:firstLineChars="200"/>
        <w:rPr>
          <w:rFonts w:ascii="仿宋" w:hAnsi="仿宋" w:eastAsia="仿宋"/>
          <w:sz w:val="24"/>
        </w:rPr>
      </w:pPr>
      <w:r>
        <w:rPr>
          <w:rFonts w:hint="eastAsia" w:ascii="仿宋" w:hAnsi="仿宋" w:eastAsia="仿宋"/>
          <w:sz w:val="24"/>
        </w:rPr>
        <w:t>第七十九条 供应商有下列情形的，属于采购条例所称的串通投标行为，按照采购条例第五十七条有关规定处理：</w:t>
      </w:r>
    </w:p>
    <w:p>
      <w:pPr>
        <w:spacing w:line="440" w:lineRule="exact"/>
        <w:ind w:firstLine="480" w:firstLineChars="200"/>
        <w:rPr>
          <w:rFonts w:ascii="仿宋" w:hAnsi="仿宋" w:eastAsia="仿宋"/>
          <w:sz w:val="24"/>
        </w:rPr>
      </w:pPr>
      <w:r>
        <w:rPr>
          <w:rFonts w:hint="eastAsia" w:ascii="仿宋" w:hAnsi="仿宋" w:eastAsia="仿宋"/>
          <w:sz w:val="24"/>
        </w:rPr>
        <w:t>（一）投标供应商之间相互约定给予未中标的供应商利益补偿；</w:t>
      </w:r>
    </w:p>
    <w:p>
      <w:pPr>
        <w:spacing w:line="440" w:lineRule="exact"/>
        <w:ind w:firstLine="480" w:firstLineChars="200"/>
        <w:rPr>
          <w:rFonts w:ascii="仿宋" w:hAnsi="仿宋" w:eastAsia="仿宋"/>
          <w:sz w:val="24"/>
        </w:rPr>
      </w:pPr>
      <w:r>
        <w:rPr>
          <w:rFonts w:hint="eastAsia" w:ascii="仿宋" w:hAnsi="仿宋" w:eastAsia="仿宋"/>
          <w:sz w:val="24"/>
        </w:rPr>
        <w:t xml:space="preserve">（二）不同投标供应商的法定代表人、主要经营负责人、项目投标授权代表人、项目负责人、主要技术人员为同一人、属同一单位或者在同一单位缴纳社会保险；          </w:t>
      </w:r>
    </w:p>
    <w:p>
      <w:pPr>
        <w:spacing w:line="440" w:lineRule="exact"/>
        <w:ind w:firstLine="480" w:firstLineChars="200"/>
        <w:rPr>
          <w:rFonts w:ascii="仿宋" w:hAnsi="仿宋" w:eastAsia="仿宋"/>
          <w:sz w:val="24"/>
        </w:rPr>
      </w:pPr>
      <w:r>
        <w:rPr>
          <w:rFonts w:hint="eastAsia" w:ascii="仿宋" w:hAnsi="仿宋" w:eastAsia="仿宋"/>
          <w:sz w:val="24"/>
        </w:rPr>
        <w:t>（三）不同投标供应商的投标文件由同一单位或者同一人编制，或者由同一人分阶段参与编制的；</w:t>
      </w:r>
    </w:p>
    <w:p>
      <w:pPr>
        <w:spacing w:line="440" w:lineRule="exact"/>
        <w:ind w:firstLine="480" w:firstLineChars="200"/>
        <w:rPr>
          <w:rFonts w:ascii="仿宋" w:hAnsi="仿宋" w:eastAsia="仿宋"/>
          <w:sz w:val="24"/>
        </w:rPr>
      </w:pPr>
      <w:r>
        <w:rPr>
          <w:rFonts w:hint="eastAsia" w:ascii="仿宋" w:hAnsi="仿宋" w:eastAsia="仿宋"/>
          <w:sz w:val="24"/>
        </w:rPr>
        <w:t>（四）不同投标供应商的投标文件或部分投标文件相互混装；</w:t>
      </w:r>
    </w:p>
    <w:p>
      <w:pPr>
        <w:spacing w:line="440" w:lineRule="exact"/>
        <w:ind w:firstLine="480" w:firstLineChars="200"/>
        <w:rPr>
          <w:rFonts w:ascii="仿宋" w:hAnsi="仿宋" w:eastAsia="仿宋"/>
          <w:sz w:val="24"/>
        </w:rPr>
      </w:pPr>
      <w:r>
        <w:rPr>
          <w:rFonts w:hint="eastAsia" w:ascii="仿宋" w:hAnsi="仿宋" w:eastAsia="仿宋"/>
          <w:sz w:val="24"/>
        </w:rPr>
        <w:t>（五）不同投标供应商的投标文件内容存在非正常一致；</w:t>
      </w:r>
    </w:p>
    <w:p>
      <w:pPr>
        <w:spacing w:line="440" w:lineRule="exact"/>
        <w:ind w:firstLine="480" w:firstLineChars="200"/>
        <w:rPr>
          <w:rFonts w:ascii="仿宋" w:hAnsi="仿宋" w:eastAsia="仿宋"/>
          <w:sz w:val="24"/>
        </w:rPr>
      </w:pPr>
      <w:r>
        <w:rPr>
          <w:rFonts w:hint="eastAsia" w:ascii="仿宋" w:hAnsi="仿宋" w:eastAsia="仿宋"/>
          <w:sz w:val="24"/>
        </w:rPr>
        <w:t>（六）由同一单位工作人员为两家以上（含两家）供应商进行同一项投标活动的；</w:t>
      </w:r>
    </w:p>
    <w:p>
      <w:pPr>
        <w:spacing w:line="440" w:lineRule="exact"/>
        <w:ind w:firstLine="480" w:firstLineChars="200"/>
        <w:rPr>
          <w:rFonts w:ascii="仿宋" w:hAnsi="仿宋" w:eastAsia="仿宋"/>
          <w:sz w:val="24"/>
        </w:rPr>
      </w:pPr>
      <w:r>
        <w:rPr>
          <w:rFonts w:hint="eastAsia" w:ascii="仿宋" w:hAnsi="仿宋" w:eastAsia="仿宋"/>
          <w:sz w:val="24"/>
        </w:rPr>
        <w:t>（七）主管部门依照法律、法规认定的其他情形。</w:t>
      </w:r>
    </w:p>
    <w:p>
      <w:pPr>
        <w:spacing w:line="440" w:lineRule="exact"/>
        <w:ind w:firstLine="480" w:firstLineChars="200"/>
        <w:rPr>
          <w:rFonts w:ascii="仿宋" w:hAnsi="仿宋" w:eastAsia="仿宋"/>
          <w:sz w:val="24"/>
        </w:rPr>
      </w:pPr>
      <w:r>
        <w:rPr>
          <w:rFonts w:hint="eastAsia" w:ascii="仿宋" w:hAnsi="仿宋" w:eastAsia="仿宋"/>
          <w:sz w:val="24"/>
        </w:rPr>
        <w:t>第八十一条 供应商有下列情形之一的，属于隐瞒真实情况，提供虚假资料，按照采购条例第五十七的有关规定处理：</w:t>
      </w:r>
    </w:p>
    <w:p>
      <w:pPr>
        <w:spacing w:line="440" w:lineRule="exact"/>
        <w:ind w:firstLine="480" w:firstLineChars="200"/>
        <w:rPr>
          <w:rFonts w:ascii="仿宋" w:hAnsi="仿宋" w:eastAsia="仿宋"/>
          <w:sz w:val="24"/>
        </w:rPr>
      </w:pPr>
      <w:r>
        <w:rPr>
          <w:rFonts w:hint="eastAsia" w:ascii="仿宋" w:hAnsi="仿宋" w:eastAsia="仿宋"/>
          <w:sz w:val="24"/>
        </w:rPr>
        <w:t>（一）通过转让或者租借等方式从其他单位获取资格或者资质证书投标的；</w:t>
      </w:r>
    </w:p>
    <w:p>
      <w:pPr>
        <w:spacing w:line="440" w:lineRule="exact"/>
        <w:ind w:firstLine="480" w:firstLineChars="200"/>
        <w:rPr>
          <w:rFonts w:ascii="仿宋" w:hAnsi="仿宋" w:eastAsia="仿宋"/>
          <w:sz w:val="24"/>
        </w:rPr>
      </w:pPr>
      <w:r>
        <w:rPr>
          <w:rFonts w:hint="eastAsia" w:ascii="仿宋" w:hAnsi="仿宋" w:eastAsia="仿宋"/>
          <w:sz w:val="24"/>
        </w:rPr>
        <w:t>（二）由其他单位或者其他单位负责人在投标供应商编制的投标文件上加盖印章或者签字的；</w:t>
      </w:r>
    </w:p>
    <w:p>
      <w:pPr>
        <w:spacing w:line="440" w:lineRule="exact"/>
        <w:ind w:firstLine="480" w:firstLineChars="200"/>
        <w:rPr>
          <w:rFonts w:ascii="仿宋" w:hAnsi="仿宋" w:eastAsia="仿宋"/>
          <w:sz w:val="24"/>
        </w:rPr>
      </w:pPr>
      <w:r>
        <w:rPr>
          <w:rFonts w:hint="eastAsia" w:ascii="仿宋" w:hAnsi="仿宋" w:eastAsia="仿宋"/>
          <w:sz w:val="24"/>
        </w:rPr>
        <w:t>（三）项目负责人或者主要技术人员不是本单位人员的；</w:t>
      </w:r>
    </w:p>
    <w:p>
      <w:pPr>
        <w:spacing w:line="440" w:lineRule="exact"/>
        <w:ind w:firstLine="480" w:firstLineChars="200"/>
        <w:rPr>
          <w:rFonts w:ascii="仿宋" w:hAnsi="仿宋" w:eastAsia="仿宋"/>
          <w:sz w:val="24"/>
        </w:rPr>
      </w:pPr>
      <w:r>
        <w:rPr>
          <w:rFonts w:hint="eastAsia" w:ascii="仿宋" w:hAnsi="仿宋" w:eastAsia="仿宋"/>
          <w:sz w:val="24"/>
        </w:rPr>
        <w:t>（四）投标保证金不是从投标供应商基本账户转出的；</w:t>
      </w:r>
    </w:p>
    <w:p>
      <w:pPr>
        <w:spacing w:line="440" w:lineRule="exact"/>
        <w:ind w:firstLine="480" w:firstLineChars="200"/>
        <w:rPr>
          <w:rFonts w:ascii="仿宋" w:hAnsi="仿宋" w:eastAsia="仿宋"/>
          <w:sz w:val="24"/>
        </w:rPr>
      </w:pPr>
      <w:r>
        <w:rPr>
          <w:rFonts w:hint="eastAsia" w:ascii="仿宋" w:hAnsi="仿宋" w:eastAsia="仿宋"/>
          <w:sz w:val="24"/>
        </w:rPr>
        <w:t>（五）其他隐瞒真实情况、提供虚假资料的行为。</w:t>
      </w:r>
    </w:p>
    <w:p>
      <w:pPr>
        <w:spacing w:line="440" w:lineRule="exact"/>
        <w:ind w:firstLine="424" w:firstLineChars="177"/>
        <w:rPr>
          <w:rFonts w:ascii="仿宋" w:hAnsi="仿宋" w:eastAsia="仿宋"/>
          <w:sz w:val="24"/>
        </w:rPr>
      </w:pPr>
      <w:r>
        <w:rPr>
          <w:rFonts w:hint="eastAsia" w:ascii="仿宋" w:hAnsi="仿宋" w:eastAsia="仿宋"/>
          <w:sz w:val="24"/>
        </w:rPr>
        <w:t>投标供应商不能提供项目负责人或者主要技术人员的劳动合同、社会保险等劳动关系证明材料的，视为存在前款第（三）项规定的情形。</w:t>
      </w:r>
    </w:p>
    <w:p>
      <w:pPr>
        <w:spacing w:line="440" w:lineRule="exact"/>
        <w:ind w:firstLine="426" w:firstLineChars="177"/>
        <w:rPr>
          <w:rFonts w:ascii="仿宋_GB2312" w:eastAsia="仿宋_GB2312" w:hAnsiTheme="minorEastAsia"/>
          <w:b/>
          <w:color w:val="FF0000"/>
          <w:sz w:val="24"/>
        </w:rPr>
      </w:pPr>
    </w:p>
    <w:p>
      <w:pPr>
        <w:spacing w:line="440" w:lineRule="exact"/>
        <w:ind w:firstLine="426" w:firstLineChars="177"/>
        <w:rPr>
          <w:rFonts w:ascii="仿宋_GB2312" w:eastAsia="仿宋_GB2312" w:hAnsiTheme="minorEastAsia"/>
          <w:b/>
          <w:color w:val="FF0000"/>
          <w:sz w:val="24"/>
        </w:rPr>
      </w:pPr>
      <w:r>
        <w:rPr>
          <w:rFonts w:hint="eastAsia" w:ascii="仿宋_GB2312" w:eastAsia="仿宋_GB2312" w:hAnsiTheme="minorEastAsia"/>
          <w:b/>
          <w:color w:val="FF0000"/>
          <w:sz w:val="24"/>
        </w:rPr>
        <w:t>三、根据《中华人民共和国政府采购法实施条例》第十八条规定：“单位负责人为同一人或者存在直接控股、管理关系的不同供应商，不得参加同一合同项下的政府采购活动。”</w:t>
      </w:r>
    </w:p>
    <w:p>
      <w:pPr>
        <w:spacing w:line="440" w:lineRule="exact"/>
        <w:ind w:firstLine="426" w:firstLineChars="177"/>
        <w:rPr>
          <w:rFonts w:hint="eastAsia" w:ascii="仿宋_GB2312" w:eastAsia="仿宋_GB2312" w:hAnsiTheme="minorEastAsia"/>
          <w:b/>
          <w:color w:val="FF0000"/>
          <w:sz w:val="24"/>
        </w:rPr>
      </w:pPr>
      <w:r>
        <w:rPr>
          <w:rFonts w:hint="eastAsia" w:ascii="仿宋_GB2312" w:eastAsia="仿宋_GB2312" w:hAnsiTheme="minorEastAsia"/>
          <w:b/>
          <w:color w:val="FF0000"/>
          <w:sz w:val="24"/>
        </w:rPr>
        <w:t>投标供应商涉嫌存在串通投标等违法行为的，将书面报告财政主管部门依法处理。</w:t>
      </w:r>
    </w:p>
    <w:p>
      <w:pPr>
        <w:rPr>
          <w:rFonts w:hint="eastAsia" w:ascii="仿宋_GB2312" w:eastAsia="仿宋_GB2312" w:hAnsiTheme="minorEastAsia"/>
          <w:b/>
          <w:color w:val="FF0000"/>
          <w:sz w:val="24"/>
        </w:rPr>
      </w:pPr>
      <w:r>
        <w:rPr>
          <w:rFonts w:hint="eastAsia" w:ascii="仿宋_GB2312" w:eastAsia="仿宋_GB2312" w:hAnsiTheme="minorEastAsia"/>
          <w:b/>
          <w:color w:val="FF0000"/>
          <w:sz w:val="24"/>
        </w:rPr>
        <w:br w:type="page"/>
      </w:r>
    </w:p>
    <w:p>
      <w:pPr>
        <w:spacing w:line="440" w:lineRule="exact"/>
        <w:ind w:firstLine="426" w:firstLineChars="177"/>
        <w:rPr>
          <w:rFonts w:hint="eastAsia" w:ascii="仿宋_GB2312" w:eastAsia="仿宋_GB2312" w:hAnsiTheme="minorEastAsia"/>
          <w:b/>
          <w:color w:val="FF0000"/>
          <w:sz w:val="24"/>
        </w:rPr>
      </w:pPr>
    </w:p>
    <w:sdt>
      <w:sdtPr>
        <w:rPr>
          <w:rFonts w:ascii="Times New Roman" w:hAnsi="Times New Roman" w:eastAsia="宋体" w:cs="Times New Roman"/>
          <w:b w:val="0"/>
          <w:bCs w:val="0"/>
          <w:color w:val="auto"/>
          <w:kern w:val="2"/>
          <w:sz w:val="21"/>
          <w:szCs w:val="24"/>
          <w:lang w:val="zh-CN"/>
        </w:rPr>
        <w:id w:val="11733101"/>
        <w:docPartObj>
          <w:docPartGallery w:val="Table of Contents"/>
          <w:docPartUnique/>
        </w:docPartObj>
      </w:sdtPr>
      <w:sdtEndPr>
        <w:rPr>
          <w:rFonts w:ascii="Times New Roman" w:hAnsi="Times New Roman" w:eastAsia="宋体" w:cs="Times New Roman"/>
          <w:b w:val="0"/>
          <w:bCs w:val="0"/>
          <w:color w:val="auto"/>
          <w:kern w:val="2"/>
          <w:sz w:val="21"/>
          <w:szCs w:val="24"/>
          <w:lang w:val="en-US"/>
        </w:rPr>
      </w:sdtEndPr>
      <w:sdtContent>
        <w:p>
          <w:pPr>
            <w:pStyle w:val="505"/>
            <w:jc w:val="center"/>
            <w:rPr>
              <w:color w:val="auto"/>
              <w:lang w:val="zh-CN"/>
            </w:rPr>
          </w:pPr>
          <w:r>
            <w:rPr>
              <w:color w:val="auto"/>
              <w:lang w:val="zh-CN"/>
            </w:rPr>
            <w:t>目</w:t>
          </w:r>
          <w:r>
            <w:rPr>
              <w:rFonts w:hint="eastAsia"/>
              <w:color w:val="auto"/>
              <w:lang w:val="zh-CN"/>
            </w:rPr>
            <w:t xml:space="preserve">  </w:t>
          </w:r>
          <w:r>
            <w:rPr>
              <w:color w:val="auto"/>
              <w:lang w:val="zh-CN"/>
            </w:rPr>
            <w:t>录</w:t>
          </w:r>
        </w:p>
        <w:p>
          <w:pPr>
            <w:rPr>
              <w:lang w:val="zh-CN"/>
            </w:rPr>
          </w:pPr>
        </w:p>
        <w:p>
          <w:pPr>
            <w:pStyle w:val="35"/>
            <w:tabs>
              <w:tab w:val="right" w:leader="dot" w:pos="9628"/>
            </w:tabs>
            <w:spacing w:line="380" w:lineRule="exact"/>
            <w:rPr>
              <w:rFonts w:ascii="仿宋_GB2312" w:eastAsia="仿宋_GB2312" w:hAnsiTheme="minorHAnsi" w:cstheme="minorBidi"/>
              <w:b w:val="0"/>
              <w:bCs w:val="0"/>
              <w:caps w:val="0"/>
              <w:sz w:val="24"/>
            </w:rPr>
          </w:pPr>
          <w:r>
            <w:fldChar w:fldCharType="begin"/>
          </w:r>
          <w:r>
            <w:instrText xml:space="preserve"> TOC \o "1-3" \h \z \u </w:instrText>
          </w:r>
          <w:r>
            <w:fldChar w:fldCharType="separate"/>
          </w:r>
          <w:r>
            <w:fldChar w:fldCharType="begin"/>
          </w:r>
          <w:r>
            <w:instrText xml:space="preserve"> HYPERLINK \l "_Toc73610135" </w:instrText>
          </w:r>
          <w:r>
            <w:fldChar w:fldCharType="separate"/>
          </w:r>
          <w:r>
            <w:rPr>
              <w:rStyle w:val="58"/>
              <w:rFonts w:hint="eastAsia" w:ascii="仿宋_GB2312" w:eastAsia="仿宋_GB2312"/>
              <w:sz w:val="24"/>
            </w:rPr>
            <w:t>第一章  投标邀请</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_Toc73610135 \h </w:instrText>
          </w:r>
          <w:r>
            <w:rPr>
              <w:rFonts w:hint="eastAsia" w:ascii="仿宋_GB2312" w:eastAsia="仿宋_GB2312"/>
              <w:sz w:val="24"/>
            </w:rPr>
            <w:fldChar w:fldCharType="separate"/>
          </w:r>
          <w:r>
            <w:rPr>
              <w:rFonts w:hint="eastAsia" w:ascii="仿宋_GB2312" w:eastAsia="仿宋_GB2312"/>
              <w:sz w:val="24"/>
            </w:rPr>
            <w:t>6</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"_Toc73610136" </w:instrText>
          </w:r>
          <w:r>
            <w:rPr>
              <w:rFonts w:hint="eastAsia"/>
            </w:rPr>
            <w:fldChar w:fldCharType="separate"/>
          </w:r>
          <w:r>
            <w:rPr>
              <w:rStyle w:val="58"/>
              <w:rFonts w:hint="eastAsia" w:ascii="仿宋_GB2312" w:eastAsia="仿宋_GB2312"/>
              <w:sz w:val="24"/>
            </w:rPr>
            <w:t>第二章  项目需求</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_Toc73610136 \h </w:instrText>
          </w:r>
          <w:r>
            <w:rPr>
              <w:rFonts w:hint="eastAsia" w:ascii="仿宋_GB2312" w:eastAsia="仿宋_GB2312"/>
              <w:sz w:val="24"/>
            </w:rPr>
            <w:fldChar w:fldCharType="separate"/>
          </w:r>
          <w:r>
            <w:rPr>
              <w:rFonts w:hint="eastAsia" w:ascii="仿宋_GB2312" w:eastAsia="仿宋_GB2312"/>
              <w:sz w:val="24"/>
            </w:rPr>
            <w:t>9</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"_Toc73610140" </w:instrText>
          </w:r>
          <w:r>
            <w:rPr>
              <w:rFonts w:hint="eastAsia"/>
            </w:rPr>
            <w:fldChar w:fldCharType="separate"/>
          </w:r>
          <w:r>
            <w:rPr>
              <w:rStyle w:val="58"/>
              <w:rFonts w:hint="eastAsia" w:ascii="仿宋_GB2312" w:eastAsia="仿宋_GB2312"/>
              <w:sz w:val="24"/>
            </w:rPr>
            <w:t>第三章  投标文件初审</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_Toc73610140 \h </w:instrText>
          </w:r>
          <w:r>
            <w:rPr>
              <w:rFonts w:hint="eastAsia" w:ascii="仿宋_GB2312" w:eastAsia="仿宋_GB2312"/>
              <w:sz w:val="24"/>
            </w:rPr>
            <w:fldChar w:fldCharType="separate"/>
          </w:r>
          <w:r>
            <w:rPr>
              <w:rFonts w:hint="eastAsia" w:ascii="仿宋_GB2312" w:eastAsia="仿宋_GB2312"/>
              <w:sz w:val="24"/>
            </w:rPr>
            <w:t>12</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"_Toc73610141" </w:instrText>
          </w:r>
          <w:r>
            <w:rPr>
              <w:rFonts w:hint="eastAsia"/>
            </w:rPr>
            <w:fldChar w:fldCharType="separate"/>
          </w:r>
          <w:r>
            <w:rPr>
              <w:rStyle w:val="58"/>
              <w:rFonts w:hint="eastAsia" w:ascii="仿宋_GB2312" w:eastAsia="仿宋_GB2312"/>
              <w:sz w:val="24"/>
            </w:rPr>
            <w:t>第四章  评标方法和标准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_Toc73610141 \h </w:instrText>
          </w:r>
          <w:r>
            <w:rPr>
              <w:rFonts w:hint="eastAsia" w:ascii="仿宋_GB2312" w:eastAsia="仿宋_GB2312"/>
              <w:sz w:val="24"/>
            </w:rPr>
            <w:fldChar w:fldCharType="separate"/>
          </w:r>
          <w:r>
            <w:rPr>
              <w:rFonts w:hint="eastAsia" w:ascii="仿宋_GB2312" w:eastAsia="仿宋_GB2312"/>
              <w:sz w:val="24"/>
            </w:rPr>
            <w:t>13</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"_Toc73610142" </w:instrText>
          </w:r>
          <w:r>
            <w:rPr>
              <w:rFonts w:hint="eastAsia"/>
            </w:rPr>
            <w:fldChar w:fldCharType="separate"/>
          </w:r>
          <w:r>
            <w:rPr>
              <w:rStyle w:val="58"/>
              <w:rFonts w:hint="eastAsia" w:ascii="仿宋_GB2312" w:eastAsia="仿宋_GB2312"/>
              <w:sz w:val="24"/>
            </w:rPr>
            <w:t>一、评标方法</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_Toc73610142 \h </w:instrText>
          </w:r>
          <w:r>
            <w:rPr>
              <w:rFonts w:hint="eastAsia" w:ascii="仿宋_GB2312" w:eastAsia="仿宋_GB2312"/>
              <w:sz w:val="24"/>
            </w:rPr>
            <w:fldChar w:fldCharType="separate"/>
          </w:r>
          <w:r>
            <w:rPr>
              <w:rFonts w:hint="eastAsia" w:ascii="仿宋_GB2312" w:eastAsia="仿宋_GB2312"/>
              <w:sz w:val="24"/>
            </w:rPr>
            <w:t>13</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"_Toc73610143" </w:instrText>
          </w:r>
          <w:r>
            <w:rPr>
              <w:rFonts w:hint="eastAsia"/>
            </w:rPr>
            <w:fldChar w:fldCharType="separate"/>
          </w:r>
          <w:r>
            <w:rPr>
              <w:rStyle w:val="58"/>
              <w:rFonts w:hint="eastAsia" w:ascii="仿宋_GB2312" w:eastAsia="仿宋_GB2312"/>
              <w:sz w:val="24"/>
            </w:rPr>
            <w:t>二、评标标准</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_Toc73610143 \h </w:instrText>
          </w:r>
          <w:r>
            <w:rPr>
              <w:rFonts w:hint="eastAsia" w:ascii="仿宋_GB2312" w:eastAsia="仿宋_GB2312"/>
              <w:sz w:val="24"/>
            </w:rPr>
            <w:fldChar w:fldCharType="separate"/>
          </w:r>
          <w:r>
            <w:rPr>
              <w:rFonts w:hint="eastAsia" w:ascii="仿宋_GB2312" w:eastAsia="仿宋_GB2312"/>
              <w:sz w:val="24"/>
            </w:rPr>
            <w:t>13</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"_Toc73610144" </w:instrText>
          </w:r>
          <w:r>
            <w:rPr>
              <w:rFonts w:hint="eastAsia"/>
            </w:rPr>
            <w:fldChar w:fldCharType="separate"/>
          </w:r>
          <w:r>
            <w:rPr>
              <w:rStyle w:val="58"/>
              <w:rFonts w:hint="eastAsia" w:ascii="仿宋_GB2312" w:eastAsia="仿宋_GB2312" w:hAnsiTheme="minorEastAsia"/>
              <w:sz w:val="24"/>
            </w:rPr>
            <w:t>备注：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_Toc73610144 \h </w:instrText>
          </w:r>
          <w:r>
            <w:rPr>
              <w:rFonts w:hint="eastAsia" w:ascii="仿宋_GB2312" w:eastAsia="仿宋_GB2312"/>
              <w:sz w:val="24"/>
            </w:rPr>
            <w:fldChar w:fldCharType="separate"/>
          </w:r>
          <w:r>
            <w:rPr>
              <w:rFonts w:hint="eastAsia" w:ascii="仿宋_GB2312" w:eastAsia="仿宋_GB2312"/>
              <w:sz w:val="24"/>
            </w:rPr>
            <w:t>13</w:t>
          </w:r>
          <w:r>
            <w:rPr>
              <w:rFonts w:hint="eastAsia" w:ascii="仿宋_GB2312" w:eastAsia="仿宋_GB2312"/>
              <w:sz w:val="24"/>
            </w:rPr>
            <w:fldChar w:fldCharType="end"/>
          </w:r>
          <w:r>
            <w:rPr>
              <w:rFonts w:hint="eastAsia" w:ascii="仿宋_GB2312" w:eastAsia="仿宋_GB2312"/>
              <w:sz w:val="24"/>
            </w:rPr>
            <w:fldChar w:fldCharType="end"/>
          </w:r>
        </w:p>
        <w:p>
          <w:pPr>
            <w:pStyle w:val="26"/>
            <w:tabs>
              <w:tab w:val="right" w:leader="dot" w:pos="9628"/>
            </w:tabs>
            <w:spacing w:line="380" w:lineRule="exact"/>
            <w:rPr>
              <w:rFonts w:ascii="仿宋_GB2312" w:eastAsia="仿宋_GB2312" w:hAnsiTheme="minorHAnsi" w:cstheme="minorBidi"/>
              <w:iCs w:val="0"/>
              <w:sz w:val="24"/>
            </w:rPr>
          </w:pPr>
          <w:r>
            <w:rPr>
              <w:rFonts w:hint="eastAsia"/>
            </w:rPr>
            <w:fldChar w:fldCharType="begin"/>
          </w:r>
          <w:r>
            <w:instrText xml:space="preserve"> HYPERLINK \l "_Toc73610145" </w:instrText>
          </w:r>
          <w:r>
            <w:rPr>
              <w:rFonts w:hint="eastAsia"/>
            </w:rPr>
            <w:fldChar w:fldCharType="separate"/>
          </w:r>
          <w:r>
            <w:rPr>
              <w:rStyle w:val="58"/>
              <w:rFonts w:hint="eastAsia" w:ascii="仿宋_GB2312" w:eastAsia="仿宋_GB2312"/>
              <w:sz w:val="24"/>
            </w:rPr>
            <w:t>1、资质证书有效期</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_Toc73610145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26"/>
            <w:tabs>
              <w:tab w:val="right" w:leader="dot" w:pos="9628"/>
            </w:tabs>
            <w:spacing w:line="380" w:lineRule="exact"/>
            <w:rPr>
              <w:rFonts w:ascii="仿宋_GB2312" w:eastAsia="仿宋_GB2312" w:hAnsiTheme="minorHAnsi" w:cstheme="minorBidi"/>
              <w:iCs w:val="0"/>
              <w:sz w:val="24"/>
            </w:rPr>
          </w:pPr>
          <w:r>
            <w:rPr>
              <w:rFonts w:hint="eastAsia"/>
            </w:rPr>
            <w:fldChar w:fldCharType="begin"/>
          </w:r>
          <w:r>
            <w:instrText xml:space="preserve"> HYPERLINK \l "_Toc73610146" </w:instrText>
          </w:r>
          <w:r>
            <w:rPr>
              <w:rFonts w:hint="eastAsia"/>
            </w:rPr>
            <w:fldChar w:fldCharType="separate"/>
          </w:r>
          <w:r>
            <w:rPr>
              <w:rStyle w:val="58"/>
              <w:rFonts w:hint="eastAsia" w:ascii="仿宋_GB2312" w:eastAsia="仿宋_GB2312" w:hAnsiTheme="minorEastAsia"/>
              <w:sz w:val="24"/>
            </w:rPr>
            <w:t>2、政府采购优惠政策</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_Toc73610146 \h </w:instrText>
          </w:r>
          <w:r>
            <w:rPr>
              <w:rFonts w:hint="eastAsia" w:ascii="仿宋_GB2312" w:eastAsia="仿宋_GB2312"/>
              <w:sz w:val="24"/>
            </w:rPr>
            <w:fldChar w:fldCharType="separate"/>
          </w:r>
          <w:r>
            <w:rPr>
              <w:rFonts w:hint="eastAsia" w:ascii="仿宋_GB2312" w:eastAsia="仿宋_GB2312"/>
              <w:sz w:val="24"/>
            </w:rPr>
            <w:t>16</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"_Toc73610147" </w:instrText>
          </w:r>
          <w:r>
            <w:rPr>
              <w:rFonts w:hint="eastAsia"/>
            </w:rPr>
            <w:fldChar w:fldCharType="separate"/>
          </w:r>
          <w:r>
            <w:rPr>
              <w:rStyle w:val="58"/>
              <w:rFonts w:hint="eastAsia" w:ascii="仿宋_GB2312" w:eastAsia="仿宋_GB2312"/>
              <w:sz w:val="24"/>
            </w:rPr>
            <w:t>第五章  投标人须知前附表</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_Toc73610147 \h </w:instrText>
          </w:r>
          <w:r>
            <w:rPr>
              <w:rFonts w:hint="eastAsia" w:ascii="仿宋_GB2312" w:eastAsia="仿宋_GB2312"/>
              <w:sz w:val="24"/>
            </w:rPr>
            <w:fldChar w:fldCharType="separate"/>
          </w:r>
          <w:r>
            <w:rPr>
              <w:rFonts w:hint="eastAsia" w:ascii="仿宋_GB2312" w:eastAsia="仿宋_GB2312"/>
              <w:sz w:val="24"/>
            </w:rPr>
            <w:t>18</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"_Toc73610148" </w:instrText>
          </w:r>
          <w:r>
            <w:rPr>
              <w:rFonts w:hint="eastAsia"/>
            </w:rPr>
            <w:fldChar w:fldCharType="separate"/>
          </w:r>
          <w:r>
            <w:rPr>
              <w:rStyle w:val="58"/>
              <w:rFonts w:hint="eastAsia" w:ascii="仿宋_GB2312" w:eastAsia="仿宋_GB2312"/>
              <w:sz w:val="24"/>
            </w:rPr>
            <w:t>第六章  投标人须知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_Toc73610148 \h </w:instrText>
          </w:r>
          <w:r>
            <w:rPr>
              <w:rFonts w:hint="eastAsia" w:ascii="仿宋_GB2312" w:eastAsia="仿宋_GB2312"/>
              <w:sz w:val="24"/>
            </w:rPr>
            <w:fldChar w:fldCharType="separate"/>
          </w:r>
          <w:r>
            <w:rPr>
              <w:rFonts w:hint="eastAsia" w:ascii="仿宋_GB2312" w:eastAsia="仿宋_GB2312"/>
              <w:sz w:val="24"/>
            </w:rPr>
            <w:t>19</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"_Toc73610149" </w:instrText>
          </w:r>
          <w:r>
            <w:rPr>
              <w:rFonts w:hint="eastAsia"/>
            </w:rPr>
            <w:fldChar w:fldCharType="separate"/>
          </w:r>
          <w:r>
            <w:rPr>
              <w:rStyle w:val="58"/>
              <w:rFonts w:hint="eastAsia" w:ascii="仿宋_GB2312" w:eastAsia="仿宋_GB2312"/>
              <w:sz w:val="24"/>
            </w:rPr>
            <w:t>一、说  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_Toc73610149 \h </w:instrText>
          </w:r>
          <w:r>
            <w:rPr>
              <w:rFonts w:hint="eastAsia" w:ascii="仿宋_GB2312" w:eastAsia="仿宋_GB2312"/>
              <w:sz w:val="24"/>
            </w:rPr>
            <w:fldChar w:fldCharType="separate"/>
          </w:r>
          <w:r>
            <w:rPr>
              <w:rFonts w:hint="eastAsia" w:ascii="仿宋_GB2312" w:eastAsia="仿宋_GB2312"/>
              <w:sz w:val="24"/>
            </w:rPr>
            <w:t>19</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"_Toc73610150" </w:instrText>
          </w:r>
          <w:r>
            <w:rPr>
              <w:rFonts w:hint="eastAsia"/>
            </w:rPr>
            <w:fldChar w:fldCharType="separate"/>
          </w:r>
          <w:r>
            <w:rPr>
              <w:rStyle w:val="58"/>
              <w:rFonts w:hint="eastAsia" w:ascii="仿宋_GB2312" w:eastAsia="仿宋_GB2312"/>
              <w:sz w:val="24"/>
            </w:rPr>
            <w:t>二、招标文件说明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_Toc73610150 \h </w:instrText>
          </w:r>
          <w:r>
            <w:rPr>
              <w:rFonts w:hint="eastAsia" w:ascii="仿宋_GB2312" w:eastAsia="仿宋_GB2312"/>
              <w:sz w:val="24"/>
            </w:rPr>
            <w:fldChar w:fldCharType="separate"/>
          </w:r>
          <w:r>
            <w:rPr>
              <w:rFonts w:hint="eastAsia" w:ascii="仿宋_GB2312" w:eastAsia="仿宋_GB2312"/>
              <w:sz w:val="24"/>
            </w:rPr>
            <w:t>21</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"_Toc73610151" </w:instrText>
          </w:r>
          <w:r>
            <w:rPr>
              <w:rFonts w:hint="eastAsia"/>
            </w:rPr>
            <w:fldChar w:fldCharType="separate"/>
          </w:r>
          <w:r>
            <w:rPr>
              <w:rStyle w:val="58"/>
              <w:rFonts w:hint="eastAsia" w:ascii="仿宋_GB2312" w:eastAsia="仿宋_GB2312"/>
              <w:sz w:val="24"/>
            </w:rPr>
            <w:t>三、投标文件的编写</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_Toc73610151 \h </w:instrText>
          </w:r>
          <w:r>
            <w:rPr>
              <w:rFonts w:hint="eastAsia" w:ascii="仿宋_GB2312" w:eastAsia="仿宋_GB2312"/>
              <w:sz w:val="24"/>
            </w:rPr>
            <w:fldChar w:fldCharType="separate"/>
          </w:r>
          <w:r>
            <w:rPr>
              <w:rFonts w:hint="eastAsia" w:ascii="仿宋_GB2312" w:eastAsia="仿宋_GB2312"/>
              <w:sz w:val="24"/>
            </w:rPr>
            <w:t>22</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"_Toc73610152" </w:instrText>
          </w:r>
          <w:r>
            <w:rPr>
              <w:rFonts w:hint="eastAsia"/>
            </w:rPr>
            <w:fldChar w:fldCharType="separate"/>
          </w:r>
          <w:r>
            <w:rPr>
              <w:rStyle w:val="58"/>
              <w:rFonts w:hint="eastAsia" w:ascii="仿宋_GB2312" w:eastAsia="仿宋_GB2312"/>
              <w:sz w:val="24"/>
            </w:rPr>
            <w:t>四、投标文件的递交</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_Toc73610152 \h </w:instrText>
          </w:r>
          <w:r>
            <w:rPr>
              <w:rFonts w:hint="eastAsia" w:ascii="仿宋_GB2312" w:eastAsia="仿宋_GB2312"/>
              <w:sz w:val="24"/>
            </w:rPr>
            <w:fldChar w:fldCharType="separate"/>
          </w:r>
          <w:r>
            <w:rPr>
              <w:rFonts w:hint="eastAsia" w:ascii="仿宋_GB2312" w:eastAsia="仿宋_GB2312"/>
              <w:sz w:val="24"/>
            </w:rPr>
            <w:t>24</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"_Toc73610153" </w:instrText>
          </w:r>
          <w:r>
            <w:rPr>
              <w:rFonts w:hint="eastAsia"/>
            </w:rPr>
            <w:fldChar w:fldCharType="separate"/>
          </w:r>
          <w:r>
            <w:rPr>
              <w:rStyle w:val="58"/>
              <w:rFonts w:hint="eastAsia" w:ascii="仿宋_GB2312" w:eastAsia="仿宋_GB2312"/>
              <w:sz w:val="24"/>
            </w:rPr>
            <w:t>五、开标和评标</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_Toc73610153 \h </w:instrText>
          </w:r>
          <w:r>
            <w:rPr>
              <w:rFonts w:hint="eastAsia" w:ascii="仿宋_GB2312" w:eastAsia="仿宋_GB2312"/>
              <w:sz w:val="24"/>
            </w:rPr>
            <w:fldChar w:fldCharType="separate"/>
          </w:r>
          <w:r>
            <w:rPr>
              <w:rFonts w:hint="eastAsia" w:ascii="仿宋_GB2312" w:eastAsia="仿宋_GB2312"/>
              <w:sz w:val="24"/>
            </w:rPr>
            <w:t>26</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"_Toc73610154" </w:instrText>
          </w:r>
          <w:r>
            <w:rPr>
              <w:rFonts w:hint="eastAsia"/>
            </w:rPr>
            <w:fldChar w:fldCharType="separate"/>
          </w:r>
          <w:r>
            <w:rPr>
              <w:rStyle w:val="58"/>
              <w:rFonts w:hint="eastAsia" w:ascii="仿宋_GB2312" w:eastAsia="仿宋_GB2312"/>
              <w:sz w:val="24"/>
            </w:rPr>
            <w:t>六、授予合同</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_Toc73610154 \h </w:instrText>
          </w:r>
          <w:r>
            <w:rPr>
              <w:rFonts w:hint="eastAsia" w:ascii="仿宋_GB2312" w:eastAsia="仿宋_GB2312"/>
              <w:sz w:val="24"/>
            </w:rPr>
            <w:fldChar w:fldCharType="separate"/>
          </w:r>
          <w:r>
            <w:rPr>
              <w:rFonts w:hint="eastAsia" w:ascii="仿宋_GB2312" w:eastAsia="仿宋_GB2312"/>
              <w:sz w:val="24"/>
            </w:rPr>
            <w:t>28</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"_Toc73610155" </w:instrText>
          </w:r>
          <w:r>
            <w:rPr>
              <w:rFonts w:hint="eastAsia"/>
            </w:rPr>
            <w:fldChar w:fldCharType="separate"/>
          </w:r>
          <w:r>
            <w:rPr>
              <w:rStyle w:val="58"/>
              <w:rFonts w:hint="eastAsia" w:ascii="仿宋_GB2312" w:eastAsia="仿宋_GB2312"/>
              <w:sz w:val="24"/>
            </w:rPr>
            <w:t>第七章  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_Toc73610155 \h </w:instrText>
          </w:r>
          <w:r>
            <w:rPr>
              <w:rFonts w:hint="eastAsia" w:ascii="仿宋_GB2312" w:eastAsia="仿宋_GB2312"/>
              <w:sz w:val="24"/>
            </w:rPr>
            <w:fldChar w:fldCharType="separate"/>
          </w:r>
          <w:r>
            <w:rPr>
              <w:rFonts w:hint="eastAsia" w:ascii="仿宋_GB2312" w:eastAsia="仿宋_GB2312"/>
              <w:sz w:val="24"/>
            </w:rPr>
            <w:t>30</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"_Toc73610156" </w:instrText>
          </w:r>
          <w:r>
            <w:rPr>
              <w:rFonts w:hint="eastAsia"/>
            </w:rPr>
            <w:fldChar w:fldCharType="separate"/>
          </w:r>
          <w:r>
            <w:rPr>
              <w:rStyle w:val="58"/>
              <w:rFonts w:hint="eastAsia" w:ascii="仿宋_GB2312" w:hAnsi="仿宋" w:eastAsia="仿宋_GB2312"/>
              <w:sz w:val="24"/>
            </w:rPr>
            <w:t>投标文件编制说明</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_Toc73610156 \h </w:instrText>
          </w:r>
          <w:r>
            <w:rPr>
              <w:rFonts w:hint="eastAsia" w:ascii="仿宋_GB2312" w:eastAsia="仿宋_GB2312"/>
              <w:sz w:val="24"/>
            </w:rPr>
            <w:fldChar w:fldCharType="separate"/>
          </w:r>
          <w:r>
            <w:rPr>
              <w:rFonts w:hint="eastAsia" w:ascii="仿宋_GB2312" w:eastAsia="仿宋_GB2312"/>
              <w:sz w:val="24"/>
            </w:rPr>
            <w:t>30</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smallCaps w:val="0"/>
              <w:sz w:val="24"/>
            </w:rPr>
          </w:pPr>
          <w:r>
            <w:rPr>
              <w:rFonts w:hint="eastAsia"/>
            </w:rPr>
            <w:fldChar w:fldCharType="begin"/>
          </w:r>
          <w:r>
            <w:instrText xml:space="preserve"> HYPERLINK \l "_Toc73610157" </w:instrText>
          </w:r>
          <w:r>
            <w:rPr>
              <w:rFonts w:hint="eastAsia"/>
            </w:rPr>
            <w:fldChar w:fldCharType="separate"/>
          </w:r>
          <w:r>
            <w:rPr>
              <w:rStyle w:val="58"/>
              <w:rFonts w:hint="eastAsia" w:ascii="仿宋_GB2312" w:hAnsi="仿宋" w:eastAsia="仿宋_GB2312"/>
              <w:sz w:val="24"/>
            </w:rPr>
            <w:t>投标文件格式</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_Toc73610157 \h </w:instrText>
          </w:r>
          <w:r>
            <w:rPr>
              <w:rFonts w:hint="eastAsia" w:ascii="仿宋_GB2312" w:eastAsia="仿宋_GB2312"/>
              <w:sz w:val="24"/>
            </w:rPr>
            <w:fldChar w:fldCharType="separate"/>
          </w:r>
          <w:r>
            <w:rPr>
              <w:rFonts w:hint="eastAsia" w:ascii="仿宋_GB2312" w:eastAsia="仿宋_GB2312"/>
              <w:sz w:val="24"/>
            </w:rPr>
            <w:t>32</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"_Toc73610160" </w:instrText>
          </w:r>
          <w:r>
            <w:rPr>
              <w:rFonts w:hint="eastAsia"/>
            </w:rPr>
            <w:fldChar w:fldCharType="separate"/>
          </w:r>
          <w:r>
            <w:rPr>
              <w:rStyle w:val="58"/>
              <w:rFonts w:hint="eastAsia" w:ascii="仿宋_GB2312" w:eastAsia="仿宋_GB2312"/>
              <w:sz w:val="24"/>
            </w:rPr>
            <w:t>第八章  合同条款</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_Toc73610160 \h </w:instrText>
          </w:r>
          <w:r>
            <w:rPr>
              <w:rFonts w:hint="eastAsia" w:ascii="仿宋_GB2312" w:eastAsia="仿宋_GB2312"/>
              <w:sz w:val="24"/>
            </w:rPr>
            <w:fldChar w:fldCharType="separate"/>
          </w:r>
          <w:r>
            <w:rPr>
              <w:rFonts w:hint="eastAsia" w:ascii="仿宋_GB2312" w:eastAsia="仿宋_GB2312"/>
              <w:sz w:val="24"/>
            </w:rPr>
            <w:t>56</w:t>
          </w:r>
          <w:r>
            <w:rPr>
              <w:rFonts w:hint="eastAsia" w:ascii="仿宋_GB2312" w:eastAsia="仿宋_GB2312"/>
              <w:sz w:val="24"/>
            </w:rPr>
            <w:fldChar w:fldCharType="end"/>
          </w:r>
          <w:r>
            <w:rPr>
              <w:rFonts w:hint="eastAsia" w:ascii="仿宋_GB2312" w:eastAsia="仿宋_GB2312"/>
              <w:sz w:val="24"/>
            </w:rPr>
            <w:fldChar w:fldCharType="end"/>
          </w:r>
        </w:p>
        <w:p>
          <w:pPr>
            <w:pStyle w:val="35"/>
            <w:tabs>
              <w:tab w:val="right" w:leader="dot" w:pos="9628"/>
            </w:tabs>
            <w:spacing w:line="380" w:lineRule="exact"/>
            <w:rPr>
              <w:rFonts w:ascii="仿宋_GB2312" w:eastAsia="仿宋_GB2312" w:hAnsiTheme="minorHAnsi" w:cstheme="minorBidi"/>
              <w:b w:val="0"/>
              <w:bCs w:val="0"/>
              <w:caps w:val="0"/>
              <w:sz w:val="24"/>
            </w:rPr>
          </w:pPr>
          <w:r>
            <w:rPr>
              <w:rFonts w:hint="eastAsia"/>
            </w:rPr>
            <w:fldChar w:fldCharType="begin"/>
          </w:r>
          <w:r>
            <w:instrText xml:space="preserve"> HYPERLINK \l "_Toc73610161" </w:instrText>
          </w:r>
          <w:r>
            <w:rPr>
              <w:rFonts w:hint="eastAsia"/>
            </w:rPr>
            <w:fldChar w:fldCharType="separate"/>
          </w:r>
          <w:r>
            <w:rPr>
              <w:rStyle w:val="58"/>
              <w:rFonts w:hint="eastAsia" w:ascii="仿宋_GB2312" w:eastAsia="仿宋_GB2312"/>
              <w:sz w:val="24"/>
            </w:rPr>
            <w:t>第九章  附件</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_Toc73610161 \h </w:instrText>
          </w:r>
          <w:r>
            <w:rPr>
              <w:rFonts w:hint="eastAsia" w:ascii="仿宋_GB2312" w:eastAsia="仿宋_GB2312"/>
              <w:sz w:val="24"/>
            </w:rPr>
            <w:fldChar w:fldCharType="separate"/>
          </w:r>
          <w:r>
            <w:rPr>
              <w:rFonts w:hint="eastAsia" w:ascii="仿宋_GB2312" w:eastAsia="仿宋_GB2312"/>
              <w:sz w:val="24"/>
            </w:rPr>
            <w:t>60</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iCs/>
              <w:sz w:val="24"/>
            </w:rPr>
          </w:pPr>
          <w:r>
            <w:rPr>
              <w:rFonts w:hint="eastAsia"/>
            </w:rPr>
            <w:fldChar w:fldCharType="begin"/>
          </w:r>
          <w:r>
            <w:instrText xml:space="preserve"> HYPERLINK \l "_Toc73610162" </w:instrText>
          </w:r>
          <w:r>
            <w:rPr>
              <w:rFonts w:hint="eastAsia"/>
            </w:rPr>
            <w:fldChar w:fldCharType="separate"/>
          </w:r>
          <w:r>
            <w:rPr>
              <w:rStyle w:val="58"/>
              <w:rFonts w:hint="eastAsia" w:ascii="仿宋_GB2312" w:eastAsia="仿宋_GB2312"/>
              <w:sz w:val="24"/>
            </w:rPr>
            <w:t>一、财政部 工业和信息化部关于印发《政府采购促进中小企业发展管理办法》的通知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_Toc73610162 \h </w:instrText>
          </w:r>
          <w:r>
            <w:rPr>
              <w:rFonts w:hint="eastAsia" w:ascii="仿宋_GB2312" w:eastAsia="仿宋_GB2312"/>
              <w:sz w:val="24"/>
            </w:rPr>
            <w:fldChar w:fldCharType="separate"/>
          </w:r>
          <w:r>
            <w:rPr>
              <w:rFonts w:hint="eastAsia" w:ascii="仿宋_GB2312" w:eastAsia="仿宋_GB2312"/>
              <w:sz w:val="24"/>
            </w:rPr>
            <w:t>60</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iCs/>
              <w:sz w:val="24"/>
            </w:rPr>
          </w:pPr>
          <w:r>
            <w:rPr>
              <w:rFonts w:hint="eastAsia"/>
            </w:rPr>
            <w:fldChar w:fldCharType="begin"/>
          </w:r>
          <w:r>
            <w:instrText xml:space="preserve"> HYPERLINK \l "_Toc73610163" </w:instrText>
          </w:r>
          <w:r>
            <w:rPr>
              <w:rFonts w:hint="eastAsia"/>
            </w:rPr>
            <w:fldChar w:fldCharType="separate"/>
          </w:r>
          <w:r>
            <w:rPr>
              <w:rStyle w:val="58"/>
              <w:rFonts w:hint="eastAsia" w:ascii="仿宋_GB2312" w:eastAsia="仿宋_GB2312"/>
              <w:sz w:val="24"/>
            </w:rPr>
            <w:t>二、关于印发中小企业划型标准规定的通知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_Toc73610163 \h </w:instrText>
          </w:r>
          <w:r>
            <w:rPr>
              <w:rFonts w:hint="eastAsia" w:ascii="仿宋_GB2312" w:eastAsia="仿宋_GB2312"/>
              <w:sz w:val="24"/>
            </w:rPr>
            <w:fldChar w:fldCharType="separate"/>
          </w:r>
          <w:r>
            <w:rPr>
              <w:rFonts w:hint="eastAsia" w:ascii="仿宋_GB2312" w:eastAsia="仿宋_GB2312"/>
              <w:sz w:val="24"/>
            </w:rPr>
            <w:t>64</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仿宋_GB2312" w:eastAsia="仿宋_GB2312" w:hAnsiTheme="minorHAnsi" w:cstheme="minorBidi"/>
              <w:iCs/>
              <w:sz w:val="24"/>
            </w:rPr>
          </w:pPr>
          <w:r>
            <w:rPr>
              <w:rFonts w:hint="eastAsia"/>
            </w:rPr>
            <w:fldChar w:fldCharType="begin"/>
          </w:r>
          <w:r>
            <w:instrText xml:space="preserve"> HYPERLINK \l "_Toc73610164" </w:instrText>
          </w:r>
          <w:r>
            <w:rPr>
              <w:rFonts w:hint="eastAsia"/>
            </w:rPr>
            <w:fldChar w:fldCharType="separate"/>
          </w:r>
          <w:r>
            <w:rPr>
              <w:rStyle w:val="58"/>
              <w:rFonts w:hint="eastAsia" w:ascii="仿宋_GB2312" w:eastAsia="仿宋_GB2312" w:hAnsiTheme="minorEastAsia"/>
              <w:sz w:val="24"/>
            </w:rPr>
            <w:t>三、国家统计局关于印发《统计上大中小微型企业划分办法 （2017）》的通知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_Toc73610164 \h </w:instrText>
          </w:r>
          <w:r>
            <w:rPr>
              <w:rFonts w:hint="eastAsia" w:ascii="仿宋_GB2312" w:eastAsia="仿宋_GB2312"/>
              <w:sz w:val="24"/>
            </w:rPr>
            <w:fldChar w:fldCharType="separate"/>
          </w:r>
          <w:r>
            <w:rPr>
              <w:rFonts w:hint="eastAsia" w:ascii="仿宋_GB2312" w:eastAsia="仿宋_GB2312"/>
              <w:sz w:val="24"/>
            </w:rPr>
            <w:t>67</w:t>
          </w:r>
          <w:r>
            <w:rPr>
              <w:rFonts w:hint="eastAsia" w:ascii="仿宋_GB2312" w:eastAsia="仿宋_GB2312"/>
              <w:sz w:val="24"/>
            </w:rPr>
            <w:fldChar w:fldCharType="end"/>
          </w:r>
          <w:r>
            <w:rPr>
              <w:rFonts w:hint="eastAsia" w:ascii="仿宋_GB2312" w:eastAsia="仿宋_GB2312"/>
              <w:sz w:val="24"/>
            </w:rPr>
            <w:fldChar w:fldCharType="end"/>
          </w:r>
        </w:p>
        <w:p>
          <w:pPr>
            <w:pStyle w:val="42"/>
            <w:tabs>
              <w:tab w:val="right" w:leader="dot" w:pos="9628"/>
            </w:tabs>
            <w:spacing w:line="380" w:lineRule="exact"/>
            <w:rPr>
              <w:rFonts w:asciiTheme="minorHAnsi" w:hAnsiTheme="minorHAnsi" w:eastAsiaTheme="minorEastAsia" w:cstheme="minorBidi"/>
              <w:iCs/>
              <w:szCs w:val="22"/>
            </w:rPr>
          </w:pPr>
          <w:r>
            <w:rPr>
              <w:rFonts w:hint="eastAsia"/>
            </w:rPr>
            <w:fldChar w:fldCharType="begin"/>
          </w:r>
          <w:r>
            <w:instrText xml:space="preserve"> HYPERLINK \l "_Toc73610165" </w:instrText>
          </w:r>
          <w:r>
            <w:rPr>
              <w:rFonts w:hint="eastAsia"/>
            </w:rPr>
            <w:fldChar w:fldCharType="separate"/>
          </w:r>
          <w:r>
            <w:rPr>
              <w:rStyle w:val="58"/>
              <w:rFonts w:hint="eastAsia" w:ascii="仿宋_GB2312" w:eastAsia="仿宋_GB2312"/>
              <w:sz w:val="24"/>
            </w:rPr>
            <w:t>四、财政部 民政部 中国残疾人联合会关于促进残疾人就业 政府采购政策的通知</w:t>
          </w:r>
          <w:r>
            <w:rPr>
              <w:rFonts w:hint="eastAsia" w:ascii="仿宋_GB2312" w:eastAsia="仿宋_GB2312"/>
              <w:sz w:val="24"/>
            </w:rPr>
            <w:tab/>
          </w:r>
          <w:r>
            <w:rPr>
              <w:rFonts w:hint="eastAsia" w:ascii="仿宋_GB2312" w:eastAsia="仿宋_GB2312"/>
              <w:sz w:val="24"/>
            </w:rPr>
            <w:fldChar w:fldCharType="begin"/>
          </w:r>
          <w:r>
            <w:rPr>
              <w:rFonts w:hint="eastAsia" w:ascii="仿宋_GB2312" w:eastAsia="仿宋_GB2312"/>
              <w:sz w:val="24"/>
            </w:rPr>
            <w:instrText xml:space="preserve"> PAGEREF _Toc73610165 \h </w:instrText>
          </w:r>
          <w:r>
            <w:rPr>
              <w:rFonts w:hint="eastAsia" w:ascii="仿宋_GB2312" w:eastAsia="仿宋_GB2312"/>
              <w:sz w:val="24"/>
            </w:rPr>
            <w:fldChar w:fldCharType="separate"/>
          </w:r>
          <w:r>
            <w:rPr>
              <w:rFonts w:hint="eastAsia" w:ascii="仿宋_GB2312" w:eastAsia="仿宋_GB2312"/>
              <w:sz w:val="24"/>
            </w:rPr>
            <w:t>70</w:t>
          </w:r>
          <w:r>
            <w:rPr>
              <w:rFonts w:hint="eastAsia" w:ascii="仿宋_GB2312" w:eastAsia="仿宋_GB2312"/>
              <w:sz w:val="24"/>
            </w:rPr>
            <w:fldChar w:fldCharType="end"/>
          </w:r>
          <w:r>
            <w:rPr>
              <w:rFonts w:hint="eastAsia" w:ascii="仿宋_GB2312" w:eastAsia="仿宋_GB2312"/>
              <w:sz w:val="24"/>
            </w:rPr>
            <w:fldChar w:fldCharType="end"/>
          </w:r>
        </w:p>
        <w:p>
          <w:r>
            <w:fldChar w:fldCharType="end"/>
          </w:r>
        </w:p>
      </w:sdtContent>
    </w:sdt>
    <w:p>
      <w:pPr>
        <w:widowControl/>
        <w:jc w:val="left"/>
      </w:pPr>
      <w:r>
        <w:br w:type="page"/>
      </w:r>
    </w:p>
    <w:p>
      <w:pPr>
        <w:widowControl/>
        <w:jc w:val="left"/>
      </w:pPr>
    </w:p>
    <w:p>
      <w:pPr>
        <w:pStyle w:val="3"/>
      </w:pPr>
      <w:bookmarkStart w:id="0" w:name="_Toc73610135"/>
      <w:r>
        <w:rPr>
          <w:rFonts w:hint="eastAsia"/>
        </w:rPr>
        <w:t>第一章  投标邀请</w:t>
      </w:r>
      <w:bookmarkEnd w:id="0"/>
    </w:p>
    <w:p>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cs="Arial Unicode MS"/>
          <w:snapToGrid w:val="0"/>
          <w:kern w:val="0"/>
          <w:szCs w:val="21"/>
        </w:rPr>
        <w:t>项目概况</w:t>
      </w:r>
    </w:p>
    <w:p>
      <w:pPr>
        <w:pBdr>
          <w:top w:val="single" w:color="auto" w:sz="4" w:space="1"/>
          <w:left w:val="single" w:color="auto" w:sz="4" w:space="0"/>
          <w:bottom w:val="single" w:color="auto" w:sz="4" w:space="1"/>
          <w:right w:val="single" w:color="auto" w:sz="4" w:space="4"/>
        </w:pBdr>
        <w:spacing w:line="360" w:lineRule="auto"/>
        <w:ind w:firstLine="420" w:firstLineChars="200"/>
        <w:rPr>
          <w:rFonts w:ascii="宋体" w:hAnsi="宋体" w:cs="Arial Unicode MS"/>
          <w:snapToGrid w:val="0"/>
          <w:kern w:val="0"/>
          <w:szCs w:val="21"/>
        </w:rPr>
      </w:pPr>
      <w:r>
        <w:rPr>
          <w:rFonts w:hint="eastAsia" w:ascii="宋体" w:hAnsi="宋体"/>
          <w:snapToGrid w:val="0"/>
          <w:szCs w:val="21"/>
          <w:u w:val="single"/>
        </w:rPr>
        <w:t>“防暑降温”物资采购</w:t>
      </w:r>
      <w:r>
        <w:rPr>
          <w:rFonts w:hint="eastAsia" w:ascii="宋体" w:hAnsi="宋体" w:cs="Arial Unicode MS"/>
          <w:snapToGrid w:val="0"/>
          <w:kern w:val="0"/>
          <w:szCs w:val="21"/>
        </w:rPr>
        <w:t>招标项目的潜在投标人应在</w:t>
      </w:r>
      <w:r>
        <w:rPr>
          <w:rFonts w:hint="eastAsia" w:ascii="宋体" w:hAnsi="宋体"/>
          <w:snapToGrid w:val="0"/>
          <w:szCs w:val="21"/>
          <w:u w:val="single"/>
        </w:rPr>
        <w:t>深圳市福田区民田路171号新华保险大厦903</w:t>
      </w:r>
      <w:r>
        <w:rPr>
          <w:rFonts w:hint="eastAsia" w:ascii="宋体" w:hAnsi="宋体" w:cs="Arial Unicode MS"/>
          <w:snapToGrid w:val="0"/>
          <w:kern w:val="0"/>
          <w:szCs w:val="21"/>
        </w:rPr>
        <w:t>获取招标文件，并于</w:t>
      </w:r>
      <w:r>
        <w:rPr>
          <w:rFonts w:hint="eastAsia" w:ascii="宋体" w:hAnsi="宋体" w:cs="Arial Unicode MS"/>
          <w:snapToGrid w:val="0"/>
          <w:color w:val="auto"/>
          <w:kern w:val="0"/>
          <w:szCs w:val="21"/>
          <w:u w:val="single"/>
        </w:rPr>
        <w:t>2022年</w:t>
      </w:r>
      <w:r>
        <w:rPr>
          <w:rFonts w:hint="eastAsia" w:ascii="宋体" w:hAnsi="宋体" w:cs="Arial Unicode MS"/>
          <w:snapToGrid w:val="0"/>
          <w:color w:val="auto"/>
          <w:kern w:val="0"/>
          <w:szCs w:val="21"/>
          <w:u w:val="single"/>
          <w:lang w:val="en-US" w:eastAsia="zh-CN"/>
        </w:rPr>
        <w:t>7</w:t>
      </w:r>
      <w:r>
        <w:rPr>
          <w:rFonts w:hint="eastAsia" w:ascii="宋体" w:hAnsi="宋体" w:cs="Arial Unicode MS"/>
          <w:snapToGrid w:val="0"/>
          <w:color w:val="auto"/>
          <w:kern w:val="0"/>
          <w:szCs w:val="21"/>
          <w:u w:val="single"/>
        </w:rPr>
        <w:t>月</w:t>
      </w:r>
      <w:r>
        <w:rPr>
          <w:rFonts w:hint="eastAsia" w:ascii="宋体" w:hAnsi="宋体" w:cs="Arial Unicode MS"/>
          <w:snapToGrid w:val="0"/>
          <w:color w:val="auto"/>
          <w:kern w:val="0"/>
          <w:szCs w:val="21"/>
          <w:u w:val="single"/>
          <w:lang w:val="en-US" w:eastAsia="zh-CN"/>
        </w:rPr>
        <w:t>12</w:t>
      </w:r>
      <w:r>
        <w:rPr>
          <w:rFonts w:hint="eastAsia" w:ascii="宋体" w:hAnsi="宋体" w:cs="Arial Unicode MS"/>
          <w:snapToGrid w:val="0"/>
          <w:color w:val="auto"/>
          <w:kern w:val="0"/>
          <w:szCs w:val="21"/>
          <w:u w:val="single"/>
        </w:rPr>
        <w:t>日</w:t>
      </w:r>
      <w:r>
        <w:rPr>
          <w:rFonts w:hint="eastAsia" w:ascii="宋体" w:hAnsi="宋体" w:cs="Arial Unicode MS"/>
          <w:snapToGrid w:val="0"/>
          <w:color w:val="auto"/>
          <w:kern w:val="0"/>
          <w:szCs w:val="21"/>
          <w:u w:val="single"/>
          <w:lang w:val="en-US" w:eastAsia="zh-CN"/>
        </w:rPr>
        <w:t>09</w:t>
      </w:r>
      <w:r>
        <w:rPr>
          <w:rFonts w:hint="eastAsia" w:ascii="宋体" w:hAnsi="宋体" w:cs="Arial Unicode MS"/>
          <w:snapToGrid w:val="0"/>
          <w:color w:val="auto"/>
          <w:kern w:val="0"/>
          <w:szCs w:val="21"/>
          <w:u w:val="single"/>
        </w:rPr>
        <w:t>点</w:t>
      </w:r>
      <w:r>
        <w:rPr>
          <w:rFonts w:hint="eastAsia" w:ascii="宋体" w:hAnsi="宋体" w:cs="Arial Unicode MS"/>
          <w:snapToGrid w:val="0"/>
          <w:color w:val="auto"/>
          <w:kern w:val="0"/>
          <w:szCs w:val="21"/>
          <w:u w:val="single"/>
          <w:lang w:val="en-US" w:eastAsia="zh-CN"/>
        </w:rPr>
        <w:t>30</w:t>
      </w:r>
      <w:r>
        <w:rPr>
          <w:rFonts w:hint="eastAsia" w:ascii="宋体" w:hAnsi="宋体" w:cs="Arial Unicode MS"/>
          <w:snapToGrid w:val="0"/>
          <w:color w:val="auto"/>
          <w:kern w:val="0"/>
          <w:szCs w:val="21"/>
          <w:u w:val="single"/>
        </w:rPr>
        <w:t>分</w:t>
      </w:r>
      <w:r>
        <w:rPr>
          <w:rFonts w:hint="eastAsia" w:ascii="宋体" w:hAnsi="宋体" w:cs="Arial Unicode MS"/>
          <w:snapToGrid w:val="0"/>
          <w:kern w:val="0"/>
          <w:szCs w:val="21"/>
        </w:rPr>
        <w:t>（北京时间）前递交投标</w:t>
      </w:r>
      <w:r>
        <w:rPr>
          <w:rFonts w:ascii="宋体" w:hAnsi="宋体" w:cs="Arial Unicode MS"/>
          <w:snapToGrid w:val="0"/>
          <w:kern w:val="0"/>
          <w:szCs w:val="21"/>
        </w:rPr>
        <w:t>文件</w:t>
      </w:r>
      <w:r>
        <w:rPr>
          <w:rFonts w:hint="eastAsia" w:ascii="宋体" w:hAnsi="宋体" w:cs="Arial Unicode MS"/>
          <w:snapToGrid w:val="0"/>
          <w:kern w:val="0"/>
          <w:szCs w:val="21"/>
        </w:rPr>
        <w:t>。</w:t>
      </w:r>
    </w:p>
    <w:p>
      <w:pPr>
        <w:adjustRightInd w:val="0"/>
        <w:snapToGrid w:val="0"/>
        <w:spacing w:line="360" w:lineRule="auto"/>
        <w:ind w:firstLine="420" w:firstLineChars="200"/>
        <w:jc w:val="left"/>
        <w:rPr>
          <w:rFonts w:ascii="宋体" w:hAnsi="宋体" w:cs="Arial Unicode MS"/>
          <w:snapToGrid w:val="0"/>
          <w:kern w:val="0"/>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一、项目基本情况</w:t>
      </w:r>
    </w:p>
    <w:p>
      <w:pPr>
        <w:pStyle w:val="454"/>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1、项目编号：</w:t>
      </w:r>
      <w:r>
        <w:rPr>
          <w:rFonts w:hint="eastAsia" w:asciiTheme="minorEastAsia" w:hAnsiTheme="minorEastAsia" w:eastAsiaTheme="minorEastAsia"/>
          <w:sz w:val="21"/>
          <w:szCs w:val="21"/>
        </w:rPr>
        <w:t>SZZZ2022-QA0144</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2、项目名称：“防暑降温”物资采购</w:t>
      </w:r>
    </w:p>
    <w:p>
      <w:pPr>
        <w:pStyle w:val="454"/>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3、采购方式：公开招标</w:t>
      </w:r>
    </w:p>
    <w:p>
      <w:pPr>
        <w:pStyle w:val="454"/>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4、预算金额：人民币</w:t>
      </w:r>
      <w:r>
        <w:rPr>
          <w:rFonts w:hint="eastAsia" w:ascii="宋体" w:hAnsi="宋体" w:eastAsia="宋体"/>
          <w:snapToGrid w:val="0"/>
          <w:color w:val="auto"/>
          <w:sz w:val="21"/>
          <w:szCs w:val="21"/>
          <w:u w:val="single"/>
        </w:rPr>
        <w:t xml:space="preserve"> 117</w:t>
      </w:r>
      <w:r>
        <w:rPr>
          <w:rFonts w:hint="eastAsia" w:ascii="宋体" w:hAnsi="宋体" w:eastAsia="宋体"/>
          <w:snapToGrid w:val="0"/>
          <w:color w:val="auto"/>
          <w:sz w:val="21"/>
          <w:szCs w:val="21"/>
        </w:rPr>
        <w:t>万元</w:t>
      </w:r>
    </w:p>
    <w:p>
      <w:pPr>
        <w:pStyle w:val="454"/>
        <w:adjustRightInd w:val="0"/>
        <w:snapToGrid w:val="0"/>
        <w:spacing w:before="0" w:beforeAutospacing="0" w:after="0" w:afterAutospacing="0" w:line="360" w:lineRule="auto"/>
        <w:ind w:left="359" w:leftChars="171" w:firstLine="65" w:firstLineChars="31"/>
        <w:rPr>
          <w:rFonts w:ascii="宋体" w:hAnsi="宋体" w:eastAsia="宋体"/>
          <w:b/>
          <w:snapToGrid w:val="0"/>
          <w:color w:val="auto"/>
          <w:sz w:val="21"/>
          <w:szCs w:val="21"/>
        </w:rPr>
      </w:pPr>
      <w:r>
        <w:rPr>
          <w:rFonts w:hint="eastAsia" w:ascii="宋体" w:hAnsi="宋体" w:eastAsia="宋体"/>
          <w:snapToGrid w:val="0"/>
          <w:color w:val="auto"/>
          <w:sz w:val="21"/>
          <w:szCs w:val="21"/>
        </w:rPr>
        <w:t>5、最高限价：人民币</w:t>
      </w:r>
      <w:r>
        <w:rPr>
          <w:rFonts w:hint="eastAsia" w:ascii="宋体" w:hAnsi="宋体" w:eastAsia="宋体"/>
          <w:snapToGrid w:val="0"/>
          <w:color w:val="auto"/>
          <w:sz w:val="21"/>
          <w:szCs w:val="21"/>
          <w:u w:val="single"/>
        </w:rPr>
        <w:t xml:space="preserve"> 117</w:t>
      </w:r>
      <w:r>
        <w:rPr>
          <w:rFonts w:hint="eastAsia" w:ascii="宋体" w:hAnsi="宋体" w:eastAsia="宋体"/>
          <w:snapToGrid w:val="0"/>
          <w:color w:val="auto"/>
          <w:sz w:val="21"/>
          <w:szCs w:val="21"/>
        </w:rPr>
        <w:t>万元</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6、采购需求：</w:t>
      </w:r>
    </w:p>
    <w:tbl>
      <w:tblPr>
        <w:tblStyle w:val="51"/>
        <w:tblW w:w="9781" w:type="dxa"/>
        <w:tblInd w:w="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60" w:type="dxa"/>
          <w:left w:w="60" w:type="dxa"/>
          <w:bottom w:w="60" w:type="dxa"/>
          <w:right w:w="60" w:type="dxa"/>
        </w:tblCellMar>
      </w:tblPr>
      <w:tblGrid>
        <w:gridCol w:w="708"/>
        <w:gridCol w:w="3120"/>
        <w:gridCol w:w="779"/>
        <w:gridCol w:w="779"/>
        <w:gridCol w:w="326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708" w:type="dxa"/>
            <w:shd w:val="clear" w:color="auto" w:fill="ABCDEF"/>
            <w:vAlign w:val="center"/>
          </w:tcPr>
          <w:p>
            <w:pPr>
              <w:pStyle w:val="46"/>
              <w:spacing w:before="0" w:beforeAutospacing="0" w:after="0" w:afterAutospacing="0" w:line="360" w:lineRule="auto"/>
              <w:jc w:val="center"/>
              <w:rPr>
                <w:sz w:val="21"/>
              </w:rPr>
            </w:pPr>
            <w:r>
              <w:rPr>
                <w:rFonts w:hint="eastAsia"/>
                <w:sz w:val="21"/>
              </w:rPr>
              <w:t>序号</w:t>
            </w:r>
          </w:p>
        </w:tc>
        <w:tc>
          <w:tcPr>
            <w:tcW w:w="3120" w:type="dxa"/>
            <w:shd w:val="clear" w:color="auto" w:fill="ABCDEF"/>
            <w:vAlign w:val="center"/>
          </w:tcPr>
          <w:p>
            <w:pPr>
              <w:pStyle w:val="46"/>
              <w:spacing w:line="360" w:lineRule="auto"/>
              <w:jc w:val="center"/>
              <w:rPr>
                <w:sz w:val="21"/>
              </w:rPr>
            </w:pPr>
            <w:r>
              <w:rPr>
                <w:sz w:val="21"/>
              </w:rPr>
              <w:t>标的名称</w:t>
            </w:r>
          </w:p>
        </w:tc>
        <w:tc>
          <w:tcPr>
            <w:tcW w:w="779" w:type="dxa"/>
            <w:shd w:val="clear" w:color="auto" w:fill="ABCDEF"/>
            <w:vAlign w:val="center"/>
          </w:tcPr>
          <w:p>
            <w:pPr>
              <w:pStyle w:val="46"/>
              <w:spacing w:before="0" w:beforeAutospacing="0" w:after="0" w:afterAutospacing="0" w:line="360" w:lineRule="auto"/>
              <w:jc w:val="center"/>
              <w:rPr>
                <w:sz w:val="21"/>
              </w:rPr>
            </w:pPr>
            <w:r>
              <w:rPr>
                <w:sz w:val="21"/>
              </w:rPr>
              <w:t>数量</w:t>
            </w:r>
          </w:p>
        </w:tc>
        <w:tc>
          <w:tcPr>
            <w:tcW w:w="779" w:type="dxa"/>
            <w:shd w:val="clear" w:color="auto" w:fill="ABCDEF"/>
            <w:vAlign w:val="center"/>
          </w:tcPr>
          <w:p>
            <w:pPr>
              <w:pStyle w:val="46"/>
              <w:spacing w:before="0" w:beforeAutospacing="0" w:after="0" w:afterAutospacing="0" w:line="360" w:lineRule="auto"/>
              <w:jc w:val="center"/>
              <w:rPr>
                <w:sz w:val="21"/>
              </w:rPr>
            </w:pPr>
            <w:r>
              <w:rPr>
                <w:sz w:val="21"/>
              </w:rPr>
              <w:t>单位</w:t>
            </w:r>
          </w:p>
        </w:tc>
        <w:tc>
          <w:tcPr>
            <w:tcW w:w="3261" w:type="dxa"/>
            <w:shd w:val="clear" w:color="auto" w:fill="ABCDEF"/>
            <w:vAlign w:val="center"/>
          </w:tcPr>
          <w:p>
            <w:pPr>
              <w:pStyle w:val="46"/>
              <w:spacing w:before="0" w:beforeAutospacing="0" w:after="0" w:afterAutospacing="0" w:line="360" w:lineRule="auto"/>
              <w:jc w:val="center"/>
              <w:rPr>
                <w:sz w:val="21"/>
              </w:rPr>
            </w:pPr>
            <w:r>
              <w:rPr>
                <w:rFonts w:hint="eastAsia"/>
                <w:sz w:val="21"/>
              </w:rPr>
              <w:t>简要技术需求或服务要求</w:t>
            </w:r>
          </w:p>
        </w:tc>
        <w:tc>
          <w:tcPr>
            <w:tcW w:w="1134" w:type="dxa"/>
            <w:shd w:val="clear" w:color="auto" w:fill="ABCDEF"/>
            <w:vAlign w:val="center"/>
          </w:tcPr>
          <w:p>
            <w:pPr>
              <w:pStyle w:val="46"/>
              <w:spacing w:before="0" w:beforeAutospacing="0" w:after="0" w:afterAutospacing="0" w:line="360" w:lineRule="auto"/>
              <w:jc w:val="center"/>
              <w:rPr>
                <w:sz w:val="21"/>
              </w:rPr>
            </w:pPr>
            <w:r>
              <w:rPr>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0" w:type="dxa"/>
            <w:left w:w="60" w:type="dxa"/>
            <w:bottom w:w="60" w:type="dxa"/>
            <w:right w:w="60" w:type="dxa"/>
          </w:tblCellMar>
        </w:tblPrEx>
        <w:trPr>
          <w:trHeight w:val="462" w:hRule="atLeast"/>
        </w:trPr>
        <w:tc>
          <w:tcPr>
            <w:tcW w:w="708" w:type="dxa"/>
            <w:shd w:val="clear" w:color="auto" w:fill="auto"/>
            <w:vAlign w:val="center"/>
          </w:tcPr>
          <w:p>
            <w:pPr>
              <w:pStyle w:val="46"/>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1</w:t>
            </w:r>
          </w:p>
        </w:tc>
        <w:tc>
          <w:tcPr>
            <w:tcW w:w="3120" w:type="dxa"/>
            <w:shd w:val="clear" w:color="auto" w:fill="auto"/>
            <w:vAlign w:val="center"/>
          </w:tcPr>
          <w:p>
            <w:pPr>
              <w:pStyle w:val="46"/>
              <w:spacing w:line="360" w:lineRule="auto"/>
              <w:jc w:val="center"/>
              <w:rPr>
                <w:rFonts w:asciiTheme="minorEastAsia" w:hAnsiTheme="minorEastAsia" w:eastAsiaTheme="minorEastAsia"/>
                <w:sz w:val="21"/>
                <w:szCs w:val="21"/>
              </w:rPr>
            </w:pPr>
            <w:r>
              <w:rPr>
                <w:rFonts w:hint="eastAsia" w:ascii="宋体" w:hAnsi="宋体" w:cs="宋体" w:eastAsiaTheme="minorEastAsia"/>
                <w:sz w:val="21"/>
                <w:szCs w:val="21"/>
              </w:rPr>
              <w:t>“防暑降温”物资采购</w:t>
            </w:r>
          </w:p>
        </w:tc>
        <w:tc>
          <w:tcPr>
            <w:tcW w:w="779" w:type="dxa"/>
            <w:shd w:val="clear" w:color="auto" w:fill="auto"/>
            <w:vAlign w:val="center"/>
          </w:tcPr>
          <w:p>
            <w:pPr>
              <w:pStyle w:val="46"/>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1</w:t>
            </w:r>
          </w:p>
        </w:tc>
        <w:tc>
          <w:tcPr>
            <w:tcW w:w="779" w:type="dxa"/>
            <w:shd w:val="clear" w:color="auto" w:fill="auto"/>
            <w:vAlign w:val="center"/>
          </w:tcPr>
          <w:p>
            <w:pPr>
              <w:pStyle w:val="46"/>
              <w:spacing w:before="0" w:beforeAutospacing="0" w:after="0" w:afterAutospacing="0" w:line="360" w:lineRule="auto"/>
              <w:jc w:val="center"/>
              <w:rPr>
                <w:rFonts w:asciiTheme="minorEastAsia" w:hAnsiTheme="minorEastAsia" w:eastAsiaTheme="minorEastAsia"/>
                <w:sz w:val="21"/>
                <w:szCs w:val="21"/>
              </w:rPr>
            </w:pPr>
            <w:r>
              <w:rPr>
                <w:rFonts w:hint="eastAsia" w:ascii="宋体" w:hAnsi="宋体" w:cs="宋体"/>
                <w:sz w:val="21"/>
                <w:szCs w:val="21"/>
              </w:rPr>
              <w:t>批</w:t>
            </w:r>
          </w:p>
        </w:tc>
        <w:tc>
          <w:tcPr>
            <w:tcW w:w="3261" w:type="dxa"/>
            <w:shd w:val="clear" w:color="auto" w:fill="auto"/>
            <w:vAlign w:val="center"/>
          </w:tcPr>
          <w:p>
            <w:pPr>
              <w:pStyle w:val="46"/>
              <w:spacing w:line="360" w:lineRule="auto"/>
              <w:jc w:val="center"/>
              <w:rPr>
                <w:rFonts w:asciiTheme="minorEastAsia" w:hAnsiTheme="minorEastAsia" w:eastAsiaTheme="minorEastAsia"/>
                <w:sz w:val="21"/>
              </w:rPr>
            </w:pPr>
            <w:r>
              <w:rPr>
                <w:rFonts w:hint="eastAsia" w:asciiTheme="minorEastAsia" w:hAnsiTheme="minorEastAsia" w:eastAsiaTheme="minorEastAsia"/>
                <w:sz w:val="21"/>
              </w:rPr>
              <w:t>详见招标文件项目需求</w:t>
            </w:r>
          </w:p>
        </w:tc>
        <w:tc>
          <w:tcPr>
            <w:tcW w:w="1134" w:type="dxa"/>
            <w:shd w:val="clear" w:color="auto" w:fill="auto"/>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无</w:t>
            </w:r>
          </w:p>
        </w:tc>
      </w:tr>
    </w:tbl>
    <w:p>
      <w:pPr>
        <w:pStyle w:val="454"/>
        <w:adjustRightInd w:val="0"/>
        <w:snapToGrid w:val="0"/>
        <w:spacing w:beforeLines="5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7、合同履行期限：自合同签订之日起15个工作日内。</w:t>
      </w:r>
    </w:p>
    <w:p>
      <w:pPr>
        <w:pStyle w:val="454"/>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8、本项目（是/否）接受联合体投标：详见“申请人的资格要求”。</w:t>
      </w:r>
    </w:p>
    <w:p>
      <w:pPr>
        <w:pStyle w:val="454"/>
        <w:adjustRightInd w:val="0"/>
        <w:snapToGrid w:val="0"/>
        <w:spacing w:before="0" w:beforeAutospacing="0" w:after="0" w:afterAutospacing="0" w:line="360" w:lineRule="auto"/>
        <w:ind w:left="359" w:leftChars="171"/>
        <w:rPr>
          <w:rFonts w:ascii="宋体" w:hAnsi="宋体" w:eastAsia="宋体"/>
          <w:b/>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二、申请人的资格要求</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满足《中华人民共和国政府采购法》第二十二条规定（须提供具有独立承担民事责任能力的法人或其他组织的营业执照或法人证书等证明材料复印件或扫描件以及《政府采购投标及履约承诺函》加盖投标人公章），总公司或者分公司只允许一家投标，不允许同时参与本项目投标，以分公司名义参与投标的，须提供总公司或具有独立法人资格的上一级公司出具的愿为其参与本项目投标以及履约等行为承担民事责任的加盖总公司公章的授权函，并提供总公司及分公司的营业执照复印件或扫描件加盖投标人公章，原件备查；</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2、落实政府采购政策需满足的资格要求：无；</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3、本项目的特定资格要求：</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（1）参与本项目投标前三年内，在经营活动中没有重大违法记录（须按本项目投标文件格式要求提供《政府采购投标及履约承诺函》加盖投标人公章）；</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（2）参与本项目政府采购活动时不存在被有关部门禁止参与政府采购活动且在有效期内的情况（须按本项目投标文件格式要求提供《政府采购投标及履约承诺函》加盖投标人公章）；</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3）单位负责人为同一人或者存在直接控股、管理关系的不同供应商，不得参加同一合同项下的政府采购活动（须按本项目投标文件格式要求提供《股东构成审查表》和《政府采购投标及履约承诺函》加盖投标人公章）；</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4）除单一来源采购项目外，为采购项目提供整体设计、规范编制或者项目管理、监理、检测等服务的供应商，不得再参加该采购项目的其他采购活动（须按本项目投标文件格式要求提供《政府采购投标及履约承诺函》加盖投标人公章）；</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5）投标人未被列入失信被执行人、重大税收违法案件当事人名单（税收违法黑名单）及政府采购严重违法失信行为记录名单（“信用中国”（www.creditchina.gov.cn）“信用服务”栏的“税收违法黑名单”、“失信被执行人”，“中国政府采购”（www.ccgp.gov.cn）“政府采购严重违法失信行为记录名单”，“深圳信用网”（www.szcredit.com.cn）以及“深圳市政府采购监管网”（zfcg.sz.gov.cn）为投标人信用信息查询渠道，相关信息以开标当日的查询结果为准。由招标代理机构查询，投标人无需提供证明材料）；</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（6）本项目不接受联合体投标，不允许分包或转包；</w:t>
      </w:r>
    </w:p>
    <w:p>
      <w:pPr>
        <w:pStyle w:val="454"/>
        <w:adjustRightInd w:val="0"/>
        <w:snapToGrid w:val="0"/>
        <w:spacing w:before="0" w:beforeAutospacing="0" w:after="0" w:afterAutospacing="0" w:line="360" w:lineRule="auto"/>
        <w:ind w:firstLine="424" w:firstLineChars="202"/>
        <w:rPr>
          <w:rFonts w:asciiTheme="minorEastAsia" w:hAnsiTheme="minorEastAsia" w:eastAsiaTheme="minorEastAsia"/>
          <w:snapToGrid w:val="0"/>
          <w:color w:val="auto"/>
          <w:sz w:val="21"/>
        </w:rPr>
      </w:pPr>
      <w:r>
        <w:rPr>
          <w:rFonts w:hint="eastAsia" w:asciiTheme="minorEastAsia" w:hAnsiTheme="minorEastAsia" w:eastAsiaTheme="minorEastAsia"/>
          <w:snapToGrid w:val="0"/>
          <w:color w:val="auto"/>
          <w:sz w:val="21"/>
        </w:rPr>
        <w:t>（7）本项目不接受进口产品投标（进口产品是指通过中国海关报关验放进入中国境内且产自关境外的产品，相关内容以“财库【2007】119号文”和“财办库【2008】248号文”的相关规定为准）。</w:t>
      </w:r>
    </w:p>
    <w:p>
      <w:pPr>
        <w:pStyle w:val="454"/>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三、获取招标文件</w:t>
      </w:r>
      <w:r>
        <w:rPr>
          <w:rFonts w:ascii="宋体" w:hAnsi="宋体" w:eastAsia="宋体"/>
          <w:b/>
          <w:snapToGrid w:val="0"/>
          <w:color w:val="auto"/>
          <w:sz w:val="21"/>
          <w:szCs w:val="21"/>
        </w:rPr>
        <w:t xml:space="preserve"> </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2022年</w:t>
      </w:r>
      <w:r>
        <w:rPr>
          <w:rFonts w:hint="eastAsia" w:ascii="宋体" w:hAnsi="宋体" w:eastAsia="宋体"/>
          <w:snapToGrid w:val="0"/>
          <w:color w:val="auto"/>
          <w:sz w:val="21"/>
          <w:szCs w:val="21"/>
          <w:u w:val="single"/>
          <w:lang w:val="en-US" w:eastAsia="zh-CN"/>
        </w:rPr>
        <w:t>6</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30</w:t>
      </w:r>
      <w:r>
        <w:rPr>
          <w:rFonts w:hint="eastAsia" w:ascii="宋体" w:hAnsi="宋体" w:eastAsia="宋体"/>
          <w:snapToGrid w:val="0"/>
          <w:color w:val="auto"/>
          <w:sz w:val="21"/>
          <w:szCs w:val="21"/>
          <w:u w:val="single"/>
        </w:rPr>
        <w:t>日至2022年</w:t>
      </w:r>
      <w:r>
        <w:rPr>
          <w:rFonts w:hint="eastAsia" w:ascii="宋体" w:hAnsi="宋体" w:eastAsia="宋体"/>
          <w:snapToGrid w:val="0"/>
          <w:color w:val="auto"/>
          <w:sz w:val="21"/>
          <w:szCs w:val="21"/>
          <w:u w:val="single"/>
          <w:lang w:val="en-US" w:eastAsia="zh-CN"/>
        </w:rPr>
        <w:t>7</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7</w:t>
      </w:r>
      <w:r>
        <w:rPr>
          <w:rFonts w:hint="eastAsia" w:ascii="宋体" w:hAnsi="宋体" w:eastAsia="宋体"/>
          <w:snapToGrid w:val="0"/>
          <w:color w:val="auto"/>
          <w:sz w:val="21"/>
          <w:szCs w:val="21"/>
          <w:u w:val="single"/>
        </w:rPr>
        <w:t>日，每天上午9：00至</w:t>
      </w:r>
      <w:r>
        <w:rPr>
          <w:rFonts w:ascii="宋体" w:hAnsi="宋体" w:eastAsia="宋体"/>
          <w:snapToGrid w:val="0"/>
          <w:color w:val="auto"/>
          <w:sz w:val="21"/>
          <w:szCs w:val="21"/>
          <w:u w:val="single"/>
        </w:rPr>
        <w:t>11:30</w:t>
      </w:r>
      <w:r>
        <w:rPr>
          <w:rFonts w:hint="eastAsia" w:ascii="宋体" w:hAnsi="宋体" w:eastAsia="宋体"/>
          <w:snapToGrid w:val="0"/>
          <w:color w:val="auto"/>
          <w:sz w:val="21"/>
          <w:szCs w:val="21"/>
          <w:u w:val="single"/>
        </w:rPr>
        <w:t>，下午14：</w:t>
      </w:r>
      <w:r>
        <w:rPr>
          <w:rFonts w:ascii="宋体" w:hAnsi="宋体" w:eastAsia="宋体"/>
          <w:snapToGrid w:val="0"/>
          <w:color w:val="auto"/>
          <w:sz w:val="21"/>
          <w:szCs w:val="21"/>
          <w:u w:val="single"/>
        </w:rPr>
        <w:t>3</w:t>
      </w:r>
      <w:r>
        <w:rPr>
          <w:rFonts w:hint="eastAsia" w:ascii="宋体" w:hAnsi="宋体" w:eastAsia="宋体"/>
          <w:snapToGrid w:val="0"/>
          <w:color w:val="auto"/>
          <w:sz w:val="21"/>
          <w:szCs w:val="21"/>
          <w:u w:val="single"/>
        </w:rPr>
        <w:t>0至</w:t>
      </w:r>
      <w:r>
        <w:rPr>
          <w:rFonts w:ascii="宋体" w:hAnsi="宋体" w:eastAsia="宋体"/>
          <w:snapToGrid w:val="0"/>
          <w:color w:val="auto"/>
          <w:sz w:val="21"/>
          <w:szCs w:val="21"/>
          <w:u w:val="single"/>
        </w:rPr>
        <w:t>17:30</w:t>
      </w:r>
      <w:r>
        <w:rPr>
          <w:rFonts w:hint="eastAsia" w:ascii="宋体" w:hAnsi="宋体" w:eastAsia="宋体"/>
          <w:snapToGrid w:val="0"/>
          <w:color w:val="auto"/>
          <w:sz w:val="21"/>
          <w:szCs w:val="21"/>
          <w:u w:val="single"/>
        </w:rPr>
        <w:t>（北京时间，</w:t>
      </w:r>
      <w:r>
        <w:rPr>
          <w:rFonts w:ascii="宋体" w:hAnsi="宋体" w:eastAsia="宋体"/>
          <w:snapToGrid w:val="0"/>
          <w:color w:val="auto"/>
          <w:sz w:val="21"/>
          <w:szCs w:val="21"/>
          <w:u w:val="single"/>
        </w:rPr>
        <w:t>法定节假日</w:t>
      </w:r>
      <w:r>
        <w:rPr>
          <w:rFonts w:hint="eastAsia" w:ascii="宋体" w:hAnsi="宋体" w:eastAsia="宋体"/>
          <w:snapToGrid w:val="0"/>
          <w:color w:val="auto"/>
          <w:sz w:val="21"/>
          <w:szCs w:val="21"/>
          <w:u w:val="single"/>
        </w:rPr>
        <w:t>除外）</w:t>
      </w:r>
      <w:r>
        <w:rPr>
          <w:rFonts w:hint="eastAsia" w:ascii="宋体" w:hAnsi="宋体" w:eastAsia="宋体"/>
          <w:snapToGrid w:val="0"/>
          <w:color w:val="auto"/>
          <w:sz w:val="21"/>
          <w:szCs w:val="21"/>
        </w:rPr>
        <w:t>。</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 xml:space="preserve">深圳市福田区民田路171号新华保险大厦903 </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3、方式：</w:t>
      </w:r>
      <w:r>
        <w:rPr>
          <w:rFonts w:ascii="宋体" w:hAnsi="宋体" w:eastAsia="宋体"/>
          <w:snapToGrid w:val="0"/>
          <w:color w:val="auto"/>
          <w:sz w:val="21"/>
          <w:szCs w:val="21"/>
        </w:rPr>
        <w:t xml:space="preserve"> </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（1）现场获取：投标人按以上时间和地点在我司现场报名和获取招标文件。</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（2）线上获取：投标人通过邮件报名及获取招标文件，报名时间以我司邮箱收件时间为准（我司邮箱：qtszzzzb@163.com），逾期不予受理。</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 xml:space="preserve">现场及线上报名均需提供以下资料: </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1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①</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加盖公章的《购买标书登记表》（下载地址：www.szzzt.com 首页“下载中心”）；</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2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②</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加盖公章的营业执照复印件或扫描件；</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3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③</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加盖公章的法人授权委托书复印件或扫描件；</w:t>
      </w:r>
      <w:r>
        <w:rPr>
          <w:rFonts w:ascii="宋体" w:hAnsi="宋体" w:eastAsia="宋体"/>
          <w:snapToGrid w:val="0"/>
          <w:color w:val="auto"/>
          <w:sz w:val="21"/>
          <w:szCs w:val="21"/>
        </w:rPr>
        <w:fldChar w:fldCharType="begin"/>
      </w:r>
      <w:r>
        <w:rPr>
          <w:rFonts w:ascii="宋体" w:hAnsi="宋体" w:eastAsia="宋体"/>
          <w:snapToGrid w:val="0"/>
          <w:color w:val="auto"/>
          <w:sz w:val="21"/>
          <w:szCs w:val="21"/>
        </w:rPr>
        <w:instrText xml:space="preserve"> </w:instrText>
      </w:r>
      <w:r>
        <w:rPr>
          <w:rFonts w:hint="eastAsia" w:ascii="宋体" w:hAnsi="宋体" w:eastAsia="宋体"/>
          <w:snapToGrid w:val="0"/>
          <w:color w:val="auto"/>
          <w:sz w:val="21"/>
          <w:szCs w:val="21"/>
        </w:rPr>
        <w:instrText xml:space="preserve">= 4 \* GB3</w:instrText>
      </w:r>
      <w:r>
        <w:rPr>
          <w:rFonts w:ascii="宋体" w:hAnsi="宋体" w:eastAsia="宋体"/>
          <w:snapToGrid w:val="0"/>
          <w:color w:val="auto"/>
          <w:sz w:val="21"/>
          <w:szCs w:val="21"/>
        </w:rPr>
        <w:instrText xml:space="preserve"> </w:instrText>
      </w:r>
      <w:r>
        <w:rPr>
          <w:rFonts w:ascii="宋体" w:hAnsi="宋体" w:eastAsia="宋体"/>
          <w:snapToGrid w:val="0"/>
          <w:color w:val="auto"/>
          <w:sz w:val="21"/>
          <w:szCs w:val="21"/>
        </w:rPr>
        <w:fldChar w:fldCharType="separate"/>
      </w:r>
      <w:r>
        <w:rPr>
          <w:rFonts w:hint="eastAsia" w:ascii="宋体" w:hAnsi="宋体" w:eastAsia="宋体"/>
          <w:snapToGrid w:val="0"/>
          <w:color w:val="auto"/>
          <w:sz w:val="21"/>
          <w:szCs w:val="21"/>
        </w:rPr>
        <w:t>④</w:t>
      </w:r>
      <w:r>
        <w:rPr>
          <w:rFonts w:ascii="宋体" w:hAnsi="宋体" w:eastAsia="宋体"/>
          <w:snapToGrid w:val="0"/>
          <w:color w:val="auto"/>
          <w:sz w:val="21"/>
          <w:szCs w:val="21"/>
        </w:rPr>
        <w:fldChar w:fldCharType="end"/>
      </w:r>
      <w:r>
        <w:rPr>
          <w:rFonts w:hint="eastAsia" w:ascii="宋体" w:hAnsi="宋体" w:eastAsia="宋体"/>
          <w:snapToGrid w:val="0"/>
          <w:color w:val="auto"/>
          <w:sz w:val="21"/>
          <w:szCs w:val="21"/>
        </w:rPr>
        <w:t>购买招标文件费用的银行转账凭证。</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4、售价：人民币600元，招标文件售后不退。购买招标文件账号信息如下：</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银行账号：03003729353</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开户名称：深圳市中正招标有限公司</w:t>
      </w:r>
    </w:p>
    <w:p>
      <w:pPr>
        <w:pStyle w:val="454"/>
        <w:adjustRightInd w:val="0"/>
        <w:snapToGrid w:val="0"/>
        <w:spacing w:before="0" w:beforeAutospacing="0" w:after="0" w:afterAutospacing="0" w:line="360" w:lineRule="auto"/>
        <w:ind w:firstLine="426"/>
        <w:rPr>
          <w:rFonts w:ascii="宋体" w:hAnsi="宋体" w:eastAsia="宋体"/>
          <w:snapToGrid w:val="0"/>
          <w:color w:val="auto"/>
          <w:sz w:val="21"/>
          <w:szCs w:val="21"/>
        </w:rPr>
      </w:pPr>
      <w:r>
        <w:rPr>
          <w:rFonts w:hint="eastAsia" w:ascii="宋体" w:hAnsi="宋体" w:eastAsia="宋体"/>
          <w:snapToGrid w:val="0"/>
          <w:color w:val="auto"/>
          <w:sz w:val="21"/>
          <w:szCs w:val="21"/>
        </w:rPr>
        <w:t>开户银行：上海银行深圳分行天安支行</w:t>
      </w:r>
    </w:p>
    <w:p>
      <w:pPr>
        <w:pStyle w:val="454"/>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四、提交投标文件截止时间、开标时间和地点</w:t>
      </w:r>
    </w:p>
    <w:p>
      <w:pPr>
        <w:pStyle w:val="454"/>
        <w:adjustRightInd w:val="0"/>
        <w:snapToGrid w:val="0"/>
        <w:spacing w:before="0" w:beforeAutospacing="0" w:after="0" w:afterAutospacing="0" w:line="360" w:lineRule="auto"/>
        <w:ind w:firstLine="422" w:firstLineChars="201"/>
        <w:rPr>
          <w:rFonts w:ascii="宋体" w:hAnsi="宋体" w:eastAsia="宋体"/>
          <w:snapToGrid w:val="0"/>
          <w:color w:val="auto"/>
          <w:sz w:val="21"/>
          <w:szCs w:val="21"/>
        </w:rPr>
      </w:pPr>
      <w:r>
        <w:rPr>
          <w:rFonts w:hint="eastAsia" w:ascii="宋体" w:hAnsi="宋体" w:eastAsia="宋体"/>
          <w:snapToGrid w:val="0"/>
          <w:color w:val="auto"/>
          <w:sz w:val="21"/>
          <w:szCs w:val="21"/>
        </w:rPr>
        <w:t>1、时间：</w:t>
      </w:r>
      <w:r>
        <w:rPr>
          <w:rFonts w:hint="eastAsia" w:ascii="宋体" w:hAnsi="宋体" w:eastAsia="宋体"/>
          <w:snapToGrid w:val="0"/>
          <w:color w:val="auto"/>
          <w:sz w:val="21"/>
          <w:szCs w:val="21"/>
          <w:u w:val="single"/>
        </w:rPr>
        <w:t>2022年</w:t>
      </w:r>
      <w:r>
        <w:rPr>
          <w:rFonts w:hint="eastAsia" w:ascii="宋体" w:hAnsi="宋体" w:eastAsia="宋体"/>
          <w:snapToGrid w:val="0"/>
          <w:color w:val="auto"/>
          <w:sz w:val="21"/>
          <w:szCs w:val="21"/>
          <w:u w:val="single"/>
          <w:lang w:val="en-US" w:eastAsia="zh-CN"/>
        </w:rPr>
        <w:t>7</w:t>
      </w:r>
      <w:r>
        <w:rPr>
          <w:rFonts w:hint="eastAsia" w:ascii="宋体" w:hAnsi="宋体" w:eastAsia="宋体"/>
          <w:snapToGrid w:val="0"/>
          <w:color w:val="auto"/>
          <w:sz w:val="21"/>
          <w:szCs w:val="21"/>
          <w:u w:val="single"/>
        </w:rPr>
        <w:t>月</w:t>
      </w:r>
      <w:r>
        <w:rPr>
          <w:rFonts w:hint="eastAsia" w:ascii="宋体" w:hAnsi="宋体" w:eastAsia="宋体"/>
          <w:snapToGrid w:val="0"/>
          <w:color w:val="auto"/>
          <w:sz w:val="21"/>
          <w:szCs w:val="21"/>
          <w:u w:val="single"/>
          <w:lang w:val="en-US" w:eastAsia="zh-CN"/>
        </w:rPr>
        <w:t>12</w:t>
      </w:r>
      <w:r>
        <w:rPr>
          <w:rFonts w:hint="eastAsia" w:ascii="宋体" w:hAnsi="宋体" w:eastAsia="宋体"/>
          <w:snapToGrid w:val="0"/>
          <w:color w:val="auto"/>
          <w:sz w:val="21"/>
          <w:szCs w:val="21"/>
          <w:u w:val="single"/>
        </w:rPr>
        <w:t>日</w:t>
      </w:r>
      <w:r>
        <w:rPr>
          <w:rFonts w:hint="eastAsia" w:ascii="宋体" w:hAnsi="宋体" w:eastAsia="宋体"/>
          <w:snapToGrid w:val="0"/>
          <w:color w:val="auto"/>
          <w:sz w:val="21"/>
          <w:szCs w:val="21"/>
          <w:u w:val="single"/>
          <w:lang w:val="en-US" w:eastAsia="zh-CN"/>
        </w:rPr>
        <w:t>09</w:t>
      </w:r>
      <w:r>
        <w:rPr>
          <w:rFonts w:hint="eastAsia" w:ascii="宋体" w:hAnsi="宋体" w:eastAsia="宋体"/>
          <w:snapToGrid w:val="0"/>
          <w:color w:val="auto"/>
          <w:sz w:val="21"/>
          <w:szCs w:val="21"/>
          <w:u w:val="single"/>
        </w:rPr>
        <w:t>点</w:t>
      </w:r>
      <w:r>
        <w:rPr>
          <w:rFonts w:hint="eastAsia" w:ascii="宋体" w:hAnsi="宋体" w:eastAsia="宋体"/>
          <w:snapToGrid w:val="0"/>
          <w:color w:val="auto"/>
          <w:sz w:val="21"/>
          <w:szCs w:val="21"/>
          <w:u w:val="single"/>
          <w:lang w:val="en-US" w:eastAsia="zh-CN"/>
        </w:rPr>
        <w:t>30</w:t>
      </w:r>
      <w:r>
        <w:rPr>
          <w:rFonts w:hint="eastAsia" w:ascii="宋体" w:hAnsi="宋体" w:eastAsia="宋体"/>
          <w:snapToGrid w:val="0"/>
          <w:color w:val="auto"/>
          <w:sz w:val="21"/>
          <w:szCs w:val="21"/>
          <w:u w:val="single"/>
        </w:rPr>
        <w:t>分（北京时间）</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2、地点：</w:t>
      </w:r>
      <w:r>
        <w:rPr>
          <w:rFonts w:ascii="宋体" w:hAnsi="宋体" w:eastAsia="宋体"/>
          <w:snapToGrid w:val="0"/>
          <w:color w:val="auto"/>
          <w:sz w:val="21"/>
          <w:szCs w:val="21"/>
        </w:rPr>
        <w:t>深圳市福田区民田路171号新华保险大厦903</w:t>
      </w:r>
      <w:r>
        <w:rPr>
          <w:rFonts w:hint="eastAsia" w:ascii="宋体" w:hAnsi="宋体" w:eastAsia="宋体"/>
          <w:snapToGrid w:val="0"/>
          <w:color w:val="auto"/>
          <w:sz w:val="21"/>
          <w:szCs w:val="21"/>
        </w:rPr>
        <w:t>深圳市中正招标有限公司会议室</w:t>
      </w:r>
    </w:p>
    <w:p>
      <w:pPr>
        <w:pStyle w:val="454"/>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五、公告期限</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自本公告发布之日起5个工作日。</w:t>
      </w:r>
    </w:p>
    <w:p>
      <w:pPr>
        <w:pStyle w:val="454"/>
        <w:adjustRightInd w:val="0"/>
        <w:snapToGrid w:val="0"/>
        <w:spacing w:before="0" w:beforeAutospacing="0" w:after="0" w:afterAutospacing="0" w:line="360" w:lineRule="auto"/>
        <w:ind w:left="359" w:leftChars="171"/>
        <w:rPr>
          <w:rFonts w:ascii="宋体" w:hAnsi="宋体" w:eastAsia="宋体"/>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六、其他补充事宜</w:t>
      </w:r>
    </w:p>
    <w:p>
      <w:pPr>
        <w:pStyle w:val="454"/>
        <w:adjustRightInd w:val="0"/>
        <w:snapToGrid w:val="0"/>
        <w:spacing w:before="0" w:beforeAutospacing="0" w:after="0" w:afterAutospacing="0" w:line="360" w:lineRule="auto"/>
        <w:ind w:firstLine="426" w:firstLineChars="202"/>
        <w:rPr>
          <w:rFonts w:ascii="宋体" w:hAnsi="宋体" w:eastAsia="宋体"/>
          <w:b/>
          <w:snapToGrid w:val="0"/>
          <w:color w:val="auto"/>
          <w:sz w:val="21"/>
          <w:szCs w:val="21"/>
        </w:rPr>
      </w:pPr>
      <w:r>
        <w:rPr>
          <w:rFonts w:hint="eastAsia" w:ascii="宋体" w:hAnsi="宋体" w:eastAsia="宋体"/>
          <w:b/>
          <w:snapToGrid w:val="0"/>
          <w:color w:val="auto"/>
          <w:sz w:val="21"/>
          <w:szCs w:val="21"/>
        </w:rPr>
        <w:t>1、凡参与深圳市政府采购活动的供应商，应自行在深圳公共资源交易中心网站上办理注册（注册网址：</w:t>
      </w:r>
      <w:r>
        <w:rPr>
          <w:rFonts w:asciiTheme="minorEastAsia" w:hAnsiTheme="minorEastAsia" w:eastAsiaTheme="minorEastAsia"/>
          <w:b/>
          <w:snapToGrid w:val="0"/>
          <w:color w:val="auto"/>
          <w:sz w:val="21"/>
        </w:rPr>
        <w:t>www.szzfcg.cn</w:t>
      </w:r>
      <w:r>
        <w:rPr>
          <w:rFonts w:hint="eastAsia" w:ascii="宋体" w:hAnsi="宋体" w:eastAsia="宋体"/>
          <w:b/>
          <w:snapToGrid w:val="0"/>
          <w:color w:val="auto"/>
          <w:sz w:val="21"/>
          <w:szCs w:val="21"/>
        </w:rPr>
        <w:t>）。</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2、本项目需要落实的政府采购政策：《关于印发&lt;政府采购促进中小企业发展管理办法&gt;的通知》(财库〔2020〕46号)、《关于政府采购支持监狱企业发展有关问题的通知》</w:t>
      </w:r>
      <w:r>
        <w:rPr>
          <w:rFonts w:ascii="宋体" w:hAnsi="宋体" w:eastAsia="宋体"/>
          <w:snapToGrid w:val="0"/>
          <w:color w:val="auto"/>
          <w:sz w:val="21"/>
          <w:szCs w:val="21"/>
        </w:rPr>
        <w:t>(</w:t>
      </w:r>
      <w:r>
        <w:rPr>
          <w:rFonts w:hint="eastAsia" w:ascii="宋体" w:hAnsi="宋体" w:eastAsia="宋体"/>
          <w:snapToGrid w:val="0"/>
          <w:color w:val="auto"/>
          <w:sz w:val="21"/>
          <w:szCs w:val="21"/>
        </w:rPr>
        <w:t>财库〔</w:t>
      </w:r>
      <w:r>
        <w:rPr>
          <w:rFonts w:ascii="宋体" w:hAnsi="宋体" w:eastAsia="宋体"/>
          <w:snapToGrid w:val="0"/>
          <w:color w:val="auto"/>
          <w:sz w:val="21"/>
          <w:szCs w:val="21"/>
        </w:rPr>
        <w:t>2014</w:t>
      </w:r>
      <w:r>
        <w:rPr>
          <w:rFonts w:hint="eastAsia" w:ascii="宋体" w:hAnsi="宋体" w:eastAsia="宋体"/>
          <w:snapToGrid w:val="0"/>
          <w:color w:val="auto"/>
          <w:sz w:val="21"/>
          <w:szCs w:val="21"/>
        </w:rPr>
        <w:t>〕</w:t>
      </w:r>
      <w:r>
        <w:rPr>
          <w:rFonts w:ascii="宋体" w:hAnsi="宋体" w:eastAsia="宋体"/>
          <w:snapToGrid w:val="0"/>
          <w:color w:val="auto"/>
          <w:sz w:val="21"/>
          <w:szCs w:val="21"/>
        </w:rPr>
        <w:t>68</w:t>
      </w:r>
      <w:r>
        <w:rPr>
          <w:rFonts w:hint="eastAsia" w:ascii="宋体" w:hAnsi="宋体" w:eastAsia="宋体"/>
          <w:snapToGrid w:val="0"/>
          <w:color w:val="auto"/>
          <w:sz w:val="21"/>
          <w:szCs w:val="21"/>
        </w:rPr>
        <w:t>号</w:t>
      </w:r>
      <w:r>
        <w:rPr>
          <w:rFonts w:ascii="宋体" w:hAnsi="宋体" w:eastAsia="宋体"/>
          <w:snapToGrid w:val="0"/>
          <w:color w:val="auto"/>
          <w:sz w:val="21"/>
          <w:szCs w:val="21"/>
        </w:rPr>
        <w:t>)</w:t>
      </w:r>
      <w:r>
        <w:rPr>
          <w:rFonts w:hint="eastAsia" w:ascii="宋体" w:hAnsi="宋体" w:eastAsia="宋体"/>
          <w:snapToGrid w:val="0"/>
          <w:color w:val="auto"/>
          <w:sz w:val="21"/>
          <w:szCs w:val="21"/>
        </w:rPr>
        <w:t>、《关于促进残疾人就业政府采购政策的通知》（财库〔</w:t>
      </w:r>
      <w:r>
        <w:rPr>
          <w:rFonts w:ascii="宋体" w:hAnsi="宋体" w:eastAsia="宋体"/>
          <w:snapToGrid w:val="0"/>
          <w:color w:val="auto"/>
          <w:sz w:val="21"/>
          <w:szCs w:val="21"/>
        </w:rPr>
        <w:t>2017</w:t>
      </w:r>
      <w:r>
        <w:rPr>
          <w:rFonts w:hint="eastAsia" w:ascii="宋体" w:hAnsi="宋体" w:eastAsia="宋体"/>
          <w:snapToGrid w:val="0"/>
          <w:color w:val="auto"/>
          <w:sz w:val="21"/>
          <w:szCs w:val="21"/>
        </w:rPr>
        <w:t>〕</w:t>
      </w:r>
      <w:r>
        <w:rPr>
          <w:rFonts w:ascii="宋体" w:hAnsi="宋体" w:eastAsia="宋体"/>
          <w:snapToGrid w:val="0"/>
          <w:color w:val="auto"/>
          <w:sz w:val="21"/>
          <w:szCs w:val="21"/>
        </w:rPr>
        <w:t>141</w:t>
      </w:r>
      <w:r>
        <w:rPr>
          <w:rFonts w:hint="eastAsia" w:ascii="宋体" w:hAnsi="宋体" w:eastAsia="宋体"/>
          <w:snapToGrid w:val="0"/>
          <w:color w:val="auto"/>
          <w:sz w:val="21"/>
          <w:szCs w:val="21"/>
        </w:rPr>
        <w:t>号</w:t>
      </w:r>
      <w:r>
        <w:rPr>
          <w:rFonts w:ascii="宋体" w:hAnsi="宋体" w:eastAsia="宋体"/>
          <w:snapToGrid w:val="0"/>
          <w:color w:val="auto"/>
          <w:sz w:val="21"/>
          <w:szCs w:val="21"/>
        </w:rPr>
        <w:t>)</w:t>
      </w:r>
      <w:r>
        <w:rPr>
          <w:rFonts w:hint="eastAsia" w:ascii="宋体" w:hAnsi="宋体" w:eastAsia="宋体"/>
          <w:snapToGrid w:val="0"/>
          <w:color w:val="auto"/>
          <w:sz w:val="21"/>
          <w:szCs w:val="21"/>
        </w:rPr>
        <w:t>、《关于环境标志产品政府采购实施的意见》（财库〔</w:t>
      </w:r>
      <w:r>
        <w:rPr>
          <w:rFonts w:ascii="宋体" w:hAnsi="宋体" w:eastAsia="宋体"/>
          <w:snapToGrid w:val="0"/>
          <w:color w:val="auto"/>
          <w:sz w:val="21"/>
          <w:szCs w:val="21"/>
        </w:rPr>
        <w:t>2006</w:t>
      </w:r>
      <w:r>
        <w:rPr>
          <w:rFonts w:hint="eastAsia" w:ascii="宋体" w:hAnsi="宋体" w:eastAsia="宋体"/>
          <w:snapToGrid w:val="0"/>
          <w:color w:val="auto"/>
          <w:sz w:val="21"/>
          <w:szCs w:val="21"/>
        </w:rPr>
        <w:t>〕</w:t>
      </w:r>
      <w:r>
        <w:rPr>
          <w:rFonts w:ascii="宋体" w:hAnsi="宋体" w:eastAsia="宋体"/>
          <w:snapToGrid w:val="0"/>
          <w:color w:val="auto"/>
          <w:sz w:val="21"/>
          <w:szCs w:val="21"/>
        </w:rPr>
        <w:t>90</w:t>
      </w:r>
      <w:r>
        <w:rPr>
          <w:rFonts w:hint="eastAsia" w:ascii="宋体" w:hAnsi="宋体" w:eastAsia="宋体"/>
          <w:snapToGrid w:val="0"/>
          <w:color w:val="auto"/>
          <w:sz w:val="21"/>
          <w:szCs w:val="21"/>
        </w:rPr>
        <w:t>号）、《关于印发&lt;节能产品政府采购实施意见&gt;的通知》（财库〔</w:t>
      </w:r>
      <w:r>
        <w:rPr>
          <w:rFonts w:ascii="宋体" w:hAnsi="宋体" w:eastAsia="宋体"/>
          <w:snapToGrid w:val="0"/>
          <w:color w:val="auto"/>
          <w:sz w:val="21"/>
          <w:szCs w:val="21"/>
        </w:rPr>
        <w:t>2004</w:t>
      </w:r>
      <w:r>
        <w:rPr>
          <w:rFonts w:hint="eastAsia" w:ascii="宋体" w:hAnsi="宋体" w:eastAsia="宋体"/>
          <w:snapToGrid w:val="0"/>
          <w:color w:val="auto"/>
          <w:sz w:val="21"/>
          <w:szCs w:val="21"/>
        </w:rPr>
        <w:t>〕</w:t>
      </w:r>
      <w:r>
        <w:rPr>
          <w:rFonts w:ascii="宋体" w:hAnsi="宋体" w:eastAsia="宋体"/>
          <w:snapToGrid w:val="0"/>
          <w:color w:val="auto"/>
          <w:sz w:val="21"/>
          <w:szCs w:val="21"/>
        </w:rPr>
        <w:t>185</w:t>
      </w:r>
      <w:r>
        <w:rPr>
          <w:rFonts w:hint="eastAsia" w:ascii="宋体" w:hAnsi="宋体" w:eastAsia="宋体"/>
          <w:snapToGrid w:val="0"/>
          <w:color w:val="auto"/>
          <w:sz w:val="21"/>
          <w:szCs w:val="21"/>
        </w:rPr>
        <w:t>号）、《关于调整优化节能产品、环境标志产品政府采购执行机制的通知》（财库〔</w:t>
      </w:r>
      <w:r>
        <w:rPr>
          <w:rFonts w:ascii="宋体" w:hAnsi="宋体" w:eastAsia="宋体"/>
          <w:snapToGrid w:val="0"/>
          <w:color w:val="auto"/>
          <w:sz w:val="21"/>
          <w:szCs w:val="21"/>
        </w:rPr>
        <w:t>2019</w:t>
      </w:r>
      <w:r>
        <w:rPr>
          <w:rFonts w:hint="eastAsia" w:ascii="宋体" w:hAnsi="宋体" w:eastAsia="宋体"/>
          <w:snapToGrid w:val="0"/>
          <w:color w:val="auto"/>
          <w:sz w:val="21"/>
          <w:szCs w:val="21"/>
        </w:rPr>
        <w:t>〕</w:t>
      </w:r>
      <w:r>
        <w:rPr>
          <w:rFonts w:ascii="宋体" w:hAnsi="宋体" w:eastAsia="宋体"/>
          <w:snapToGrid w:val="0"/>
          <w:color w:val="auto"/>
          <w:sz w:val="21"/>
          <w:szCs w:val="21"/>
        </w:rPr>
        <w:t>9</w:t>
      </w:r>
      <w:r>
        <w:rPr>
          <w:rFonts w:hint="eastAsia" w:ascii="宋体" w:hAnsi="宋体" w:eastAsia="宋体"/>
          <w:snapToGrid w:val="0"/>
          <w:color w:val="auto"/>
          <w:sz w:val="21"/>
          <w:szCs w:val="21"/>
        </w:rPr>
        <w:t>号）。</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3、本项目相关公告在以下媒体发布：</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1）中国政府采购网（www.ccgp.gov.cn）；</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2）深圳公共资源交易中心网站（www.szzfcg.cn）；</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3）深圳市中正招标网（</w:t>
      </w:r>
      <w:r>
        <w:rPr>
          <w:rFonts w:ascii="宋体" w:hAnsi="宋体" w:eastAsia="宋体"/>
          <w:snapToGrid w:val="0"/>
          <w:color w:val="auto"/>
          <w:sz w:val="21"/>
          <w:szCs w:val="21"/>
        </w:rPr>
        <w:t>www.szzzt.com</w:t>
      </w:r>
      <w:r>
        <w:rPr>
          <w:rFonts w:hint="eastAsia" w:ascii="宋体" w:hAnsi="宋体" w:eastAsia="宋体"/>
          <w:snapToGrid w:val="0"/>
          <w:color w:val="auto"/>
          <w:sz w:val="21"/>
          <w:szCs w:val="21"/>
        </w:rPr>
        <w:t>）。</w:t>
      </w:r>
    </w:p>
    <w:p>
      <w:pPr>
        <w:pStyle w:val="454"/>
        <w:adjustRightInd w:val="0"/>
        <w:snapToGrid w:val="0"/>
        <w:spacing w:before="0" w:beforeAutospacing="0" w:after="0" w:afterAutospacing="0" w:line="360" w:lineRule="auto"/>
        <w:ind w:firstLine="424" w:firstLineChars="202"/>
        <w:rPr>
          <w:rFonts w:ascii="宋体" w:hAnsi="宋体" w:eastAsia="宋体"/>
          <w:snapToGrid w:val="0"/>
          <w:color w:val="auto"/>
          <w:sz w:val="21"/>
          <w:szCs w:val="21"/>
        </w:rPr>
      </w:pPr>
      <w:r>
        <w:rPr>
          <w:rFonts w:hint="eastAsia" w:ascii="宋体" w:hAnsi="宋体" w:eastAsia="宋体"/>
          <w:snapToGrid w:val="0"/>
          <w:color w:val="auto"/>
          <w:sz w:val="21"/>
          <w:szCs w:val="21"/>
        </w:rPr>
        <w:t>相关公告在以上媒体上公布之日即视为有效送达，不再另行通知。</w:t>
      </w:r>
    </w:p>
    <w:p>
      <w:pPr>
        <w:pStyle w:val="454"/>
        <w:adjustRightInd w:val="0"/>
        <w:snapToGrid w:val="0"/>
        <w:spacing w:before="0" w:beforeAutospacing="0" w:after="0" w:afterAutospacing="0" w:line="360" w:lineRule="auto"/>
        <w:ind w:left="359" w:leftChars="171" w:firstLine="491" w:firstLineChars="234"/>
        <w:rPr>
          <w:rFonts w:ascii="宋体" w:hAnsi="宋体" w:eastAsia="宋体"/>
          <w:snapToGrid w:val="0"/>
          <w:color w:val="auto"/>
          <w:sz w:val="21"/>
          <w:szCs w:val="21"/>
        </w:rPr>
      </w:pPr>
    </w:p>
    <w:p>
      <w:pPr>
        <w:pStyle w:val="454"/>
        <w:adjustRightInd w:val="0"/>
        <w:snapToGrid w:val="0"/>
        <w:spacing w:before="0" w:beforeAutospacing="0" w:after="0" w:afterAutospacing="0" w:line="360" w:lineRule="auto"/>
        <w:ind w:left="360" w:leftChars="1" w:hanging="358" w:hangingChars="170"/>
        <w:rPr>
          <w:rFonts w:ascii="宋体" w:hAnsi="宋体" w:eastAsia="宋体"/>
          <w:b/>
          <w:snapToGrid w:val="0"/>
          <w:color w:val="auto"/>
          <w:sz w:val="21"/>
          <w:szCs w:val="21"/>
        </w:rPr>
      </w:pPr>
      <w:r>
        <w:rPr>
          <w:rFonts w:hint="eastAsia" w:ascii="宋体" w:hAnsi="宋体" w:eastAsia="宋体"/>
          <w:b/>
          <w:snapToGrid w:val="0"/>
          <w:color w:val="auto"/>
          <w:sz w:val="21"/>
          <w:szCs w:val="21"/>
        </w:rPr>
        <w:t>七、凡对本次招标提出询问，请按</w:t>
      </w:r>
      <w:r>
        <w:rPr>
          <w:rFonts w:ascii="宋体" w:hAnsi="宋体" w:eastAsia="宋体"/>
          <w:b/>
          <w:snapToGrid w:val="0"/>
          <w:color w:val="auto"/>
          <w:sz w:val="21"/>
          <w:szCs w:val="21"/>
        </w:rPr>
        <w:t>以下方式</w:t>
      </w:r>
      <w:r>
        <w:rPr>
          <w:rFonts w:hint="eastAsia" w:ascii="宋体" w:hAnsi="宋体" w:eastAsia="宋体"/>
          <w:b/>
          <w:snapToGrid w:val="0"/>
          <w:color w:val="auto"/>
          <w:sz w:val="21"/>
          <w:szCs w:val="21"/>
        </w:rPr>
        <w:t>联系。</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1、采购人信息</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名称：北京大学深圳医院工会委员会</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地址：深圳市福田区莲花路1120号</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联系方式：0755-</w:t>
      </w:r>
      <w:r>
        <w:rPr>
          <w:rFonts w:ascii="宋体" w:hAnsi="宋体" w:eastAsia="宋体"/>
          <w:snapToGrid w:val="0"/>
          <w:color w:val="auto"/>
          <w:sz w:val="21"/>
          <w:szCs w:val="21"/>
        </w:rPr>
        <w:t>83923333-6606</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2、招标代理机构信息</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名称：深圳市中正招标有限公司</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地址：深圳市福田区民田路171号新华保险大厦903</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联系方式：党工，0755-83026699</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3、项目</w:t>
      </w:r>
      <w:r>
        <w:rPr>
          <w:rFonts w:ascii="宋体" w:hAnsi="宋体" w:eastAsia="宋体"/>
          <w:snapToGrid w:val="0"/>
          <w:color w:val="auto"/>
          <w:sz w:val="21"/>
          <w:szCs w:val="21"/>
        </w:rPr>
        <w:t>联系方式</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项目联系人：党工</w:t>
      </w:r>
    </w:p>
    <w:p>
      <w:pPr>
        <w:pStyle w:val="454"/>
        <w:adjustRightInd w:val="0"/>
        <w:snapToGrid w:val="0"/>
        <w:spacing w:before="0" w:beforeAutospacing="0" w:after="0" w:afterAutospacing="0" w:line="360" w:lineRule="auto"/>
        <w:ind w:left="359" w:leftChars="171" w:firstLine="65" w:firstLineChars="31"/>
        <w:rPr>
          <w:rFonts w:ascii="宋体" w:hAnsi="宋体" w:eastAsia="宋体"/>
          <w:snapToGrid w:val="0"/>
          <w:color w:val="auto"/>
          <w:sz w:val="21"/>
          <w:szCs w:val="21"/>
        </w:rPr>
      </w:pPr>
      <w:r>
        <w:rPr>
          <w:rFonts w:hint="eastAsia" w:ascii="宋体" w:hAnsi="宋体" w:eastAsia="宋体"/>
          <w:snapToGrid w:val="0"/>
          <w:color w:val="auto"/>
          <w:sz w:val="21"/>
          <w:szCs w:val="21"/>
        </w:rPr>
        <w:t>联系电话：0755-83026699</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9" w:leftChars="2628" w:hanging="240" w:hangingChars="100"/>
        <w:jc w:val="right"/>
        <w:rPr>
          <w:rFonts w:ascii="宋体" w:hAnsi="宋体"/>
          <w:snapToGrid w:val="0"/>
          <w:kern w:val="0"/>
          <w:sz w:val="24"/>
        </w:rPr>
      </w:pPr>
      <w:r>
        <w:rPr>
          <w:rFonts w:hint="eastAsia" w:ascii="宋体" w:hAnsi="宋体"/>
          <w:snapToGrid w:val="0"/>
          <w:kern w:val="0"/>
          <w:sz w:val="24"/>
        </w:rPr>
        <w:t>深圳市中正招标有限公司</w:t>
      </w:r>
    </w:p>
    <w:p>
      <w:pPr>
        <w:tabs>
          <w:tab w:val="left" w:pos="916"/>
          <w:tab w:val="left" w:pos="1832"/>
          <w:tab w:val="left" w:pos="2748"/>
          <w:tab w:val="left" w:pos="3664"/>
          <w:tab w:val="left" w:pos="4580"/>
          <w:tab w:val="left" w:pos="5496"/>
          <w:tab w:val="left" w:pos="6412"/>
          <w:tab w:val="left" w:pos="7215"/>
          <w:tab w:val="left" w:pos="8244"/>
          <w:tab w:val="left" w:pos="9160"/>
          <w:tab w:val="left" w:pos="10076"/>
          <w:tab w:val="left" w:pos="10992"/>
          <w:tab w:val="left" w:pos="11908"/>
          <w:tab w:val="left" w:pos="12824"/>
          <w:tab w:val="left" w:pos="13740"/>
          <w:tab w:val="left" w:pos="14656"/>
        </w:tabs>
        <w:adjustRightInd w:val="0"/>
        <w:snapToGrid w:val="0"/>
        <w:spacing w:line="360" w:lineRule="auto"/>
        <w:ind w:left="5758" w:leftChars="2742" w:firstLine="480" w:firstLineChars="200"/>
        <w:jc w:val="right"/>
        <w:rPr>
          <w:rFonts w:ascii="宋体" w:hAnsi="宋体"/>
          <w:snapToGrid w:val="0"/>
          <w:color w:val="auto"/>
          <w:kern w:val="0"/>
          <w:sz w:val="24"/>
        </w:rPr>
      </w:pPr>
      <w:r>
        <w:rPr>
          <w:rFonts w:ascii="宋体" w:hAnsi="宋体"/>
          <w:snapToGrid w:val="0"/>
          <w:color w:val="auto"/>
          <w:kern w:val="0"/>
          <w:sz w:val="24"/>
        </w:rPr>
        <w:t>2022年</w:t>
      </w:r>
      <w:r>
        <w:rPr>
          <w:rFonts w:hint="eastAsia" w:ascii="宋体" w:hAnsi="宋体"/>
          <w:snapToGrid w:val="0"/>
          <w:color w:val="auto"/>
          <w:kern w:val="0"/>
          <w:sz w:val="24"/>
          <w:lang w:val="en-US" w:eastAsia="zh-CN"/>
        </w:rPr>
        <w:t>6</w:t>
      </w:r>
      <w:r>
        <w:rPr>
          <w:rFonts w:ascii="宋体" w:hAnsi="宋体"/>
          <w:snapToGrid w:val="0"/>
          <w:color w:val="auto"/>
          <w:kern w:val="0"/>
          <w:sz w:val="24"/>
        </w:rPr>
        <w:t>月</w:t>
      </w:r>
      <w:r>
        <w:rPr>
          <w:rFonts w:hint="eastAsia" w:ascii="宋体" w:hAnsi="宋体"/>
          <w:snapToGrid w:val="0"/>
          <w:color w:val="auto"/>
          <w:kern w:val="0"/>
          <w:sz w:val="24"/>
          <w:lang w:val="en-US" w:eastAsia="zh-CN"/>
        </w:rPr>
        <w:t>30</w:t>
      </w:r>
      <w:r>
        <w:rPr>
          <w:rFonts w:hint="eastAsia" w:ascii="宋体" w:hAnsi="宋体"/>
          <w:snapToGrid w:val="0"/>
          <w:color w:val="auto"/>
          <w:kern w:val="0"/>
          <w:sz w:val="24"/>
        </w:rPr>
        <w:t>日</w:t>
      </w:r>
    </w:p>
    <w:p>
      <w:pPr>
        <w:widowControl/>
        <w:jc w:val="left"/>
        <w:rPr>
          <w:rFonts w:eastAsiaTheme="minorEastAsia"/>
          <w:b/>
          <w:kern w:val="44"/>
          <w:szCs w:val="21"/>
        </w:rPr>
      </w:pPr>
      <w:r>
        <w:rPr>
          <w:szCs w:val="21"/>
        </w:rPr>
        <w:br w:type="page"/>
      </w:r>
    </w:p>
    <w:p>
      <w:pPr>
        <w:pStyle w:val="3"/>
        <w:spacing w:line="240" w:lineRule="auto"/>
        <w:rPr>
          <w:sz w:val="21"/>
          <w:szCs w:val="21"/>
        </w:rPr>
      </w:pPr>
    </w:p>
    <w:p>
      <w:pPr>
        <w:pStyle w:val="3"/>
      </w:pPr>
      <w:bookmarkStart w:id="1" w:name="_Toc73610136"/>
      <w:r>
        <w:rPr>
          <w:rFonts w:hint="eastAsia"/>
        </w:rPr>
        <w:t>第二章  项目需求</w:t>
      </w:r>
      <w:bookmarkEnd w:id="1"/>
    </w:p>
    <w:p>
      <w:pPr>
        <w:spacing w:afterLines="50" w:line="360" w:lineRule="auto"/>
        <w:ind w:left="2"/>
        <w:jc w:val="center"/>
        <w:rPr>
          <w:rFonts w:ascii="宋体" w:hAnsi="宋体"/>
          <w:b/>
          <w:sz w:val="28"/>
          <w:szCs w:val="28"/>
        </w:rPr>
      </w:pPr>
      <w:r>
        <w:rPr>
          <w:rFonts w:hint="eastAsia" w:ascii="宋体" w:hAnsi="宋体"/>
          <w:b/>
          <w:sz w:val="28"/>
          <w:szCs w:val="28"/>
        </w:rPr>
        <w:t>特别说明</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1、本章项目需求中所出现的工艺、材料、设备或参照的品牌等仅为方便描述而没有限制性，投标人可以在其提供的文件资料中选用替代标准，但这些替代标准要优于或相当于项目需求中要求的标准。</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2、项目需求中要求提供证明材料的，投标文件需提供相应证明材料复印件或扫描件或截图等（加盖投标人公章，原件备查）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投标人提供证书或检测报告等证明材料的，颁发证书、出具报告的机构须是合法设立的机构，且具有颁发相应证书或者出具相应报告的资质。</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3、技术参数设置为区间要求的（例如：潮气量：</w:t>
      </w:r>
      <w:r>
        <w:rPr>
          <w:rFonts w:ascii="仿宋_GB2312" w:eastAsia="仿宋_GB2312"/>
          <w:sz w:val="24"/>
        </w:rPr>
        <w:t>0-2000ML</w:t>
      </w:r>
      <w:r>
        <w:rPr>
          <w:rFonts w:hint="eastAsia" w:ascii="仿宋_GB2312" w:eastAsia="仿宋_GB2312"/>
          <w:sz w:val="24"/>
        </w:rPr>
        <w:t>），投标产品参数区间与招标要求不完全一致的均视为负偏离。</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4、对于定制类产品，投标人需在投标文件“分项价格表”中明确注明“定制”，否则该产品技术参数按负偏离处理。</w:t>
      </w:r>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5、加注▲的条款为重要条款要求，如不满足将按照第四章“评标标准”进行扣分。</w:t>
      </w:r>
    </w:p>
    <w:p>
      <w:pPr>
        <w:autoSpaceDE w:val="0"/>
        <w:autoSpaceDN w:val="0"/>
        <w:adjustRightInd w:val="0"/>
        <w:spacing w:line="360" w:lineRule="auto"/>
        <w:ind w:firstLine="482" w:firstLineChars="200"/>
        <w:jc w:val="left"/>
        <w:rPr>
          <w:rFonts w:ascii="仿宋_GB2312" w:eastAsia="仿宋_GB2312"/>
          <w:b/>
          <w:sz w:val="24"/>
        </w:rPr>
      </w:pPr>
      <w:r>
        <w:rPr>
          <w:rFonts w:hint="eastAsia" w:ascii="仿宋_GB2312" w:eastAsia="仿宋_GB2312"/>
          <w:b/>
          <w:sz w:val="24"/>
          <w:highlight w:val="yellow"/>
        </w:rPr>
        <w:t>6、加注★的条款为不可负偏离条款，任一项未响应或不满足要求的，将导致投标无效。</w:t>
      </w:r>
    </w:p>
    <w:p>
      <w:pPr>
        <w:spacing w:line="360" w:lineRule="auto"/>
        <w:ind w:left="510"/>
        <w:rPr>
          <w:rFonts w:eastAsia="黑体"/>
          <w:bCs/>
          <w:snapToGrid w:val="0"/>
          <w:kern w:val="0"/>
          <w:sz w:val="24"/>
        </w:rPr>
      </w:pPr>
    </w:p>
    <w:p>
      <w:pPr>
        <w:spacing w:line="360" w:lineRule="auto"/>
        <w:ind w:left="2"/>
        <w:rPr>
          <w:rFonts w:ascii="宋体" w:hAnsi="宋体"/>
          <w:b/>
          <w:sz w:val="24"/>
        </w:rPr>
      </w:pPr>
      <w:r>
        <w:rPr>
          <w:rFonts w:hint="eastAsia" w:ascii="宋体" w:hAnsi="宋体"/>
          <w:bCs/>
          <w:snapToGrid w:val="0"/>
          <w:kern w:val="0"/>
          <w:sz w:val="24"/>
        </w:rPr>
        <w:t>一、</w:t>
      </w:r>
      <w:r>
        <w:rPr>
          <w:rFonts w:hint="eastAsia" w:ascii="宋体" w:hAnsi="宋体"/>
          <w:b/>
          <w:sz w:val="24"/>
        </w:rPr>
        <w:t>采购范围</w:t>
      </w: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1"/>
        <w:gridCol w:w="3119"/>
        <w:gridCol w:w="850"/>
        <w:gridCol w:w="993"/>
        <w:gridCol w:w="17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 w:hRule="atLeast"/>
          <w:jc w:val="center"/>
        </w:trPr>
        <w:tc>
          <w:tcPr>
            <w:tcW w:w="851"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序号</w:t>
            </w:r>
          </w:p>
        </w:tc>
        <w:tc>
          <w:tcPr>
            <w:tcW w:w="3119"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项目名称</w:t>
            </w:r>
          </w:p>
        </w:tc>
        <w:tc>
          <w:tcPr>
            <w:tcW w:w="850" w:type="dxa"/>
            <w:tcMar>
              <w:top w:w="0" w:type="dxa"/>
              <w:left w:w="108" w:type="dxa"/>
              <w:bottom w:w="0" w:type="dxa"/>
              <w:right w:w="108" w:type="dxa"/>
            </w:tcMar>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数量</w:t>
            </w:r>
          </w:p>
        </w:tc>
        <w:tc>
          <w:tcPr>
            <w:tcW w:w="993"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单位</w:t>
            </w:r>
          </w:p>
        </w:tc>
        <w:tc>
          <w:tcPr>
            <w:tcW w:w="1701"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采购预算金额</w:t>
            </w:r>
          </w:p>
          <w:p>
            <w:pPr>
              <w:widowControl/>
              <w:spacing w:line="360" w:lineRule="auto"/>
              <w:jc w:val="center"/>
              <w:rPr>
                <w:rFonts w:ascii="宋体" w:hAnsi="宋体" w:cs="宋体"/>
                <w:bCs/>
                <w:kern w:val="0"/>
                <w:szCs w:val="21"/>
              </w:rPr>
            </w:pPr>
            <w:r>
              <w:rPr>
                <w:rFonts w:hint="eastAsia" w:ascii="宋体" w:hAnsi="宋体" w:cs="宋体"/>
                <w:b/>
                <w:szCs w:val="21"/>
              </w:rPr>
              <w:t>（人民币元）</w:t>
            </w:r>
          </w:p>
        </w:tc>
        <w:tc>
          <w:tcPr>
            <w:tcW w:w="1417" w:type="dxa"/>
            <w:vAlign w:val="center"/>
          </w:tcPr>
          <w:p>
            <w:pPr>
              <w:widowControl/>
              <w:spacing w:line="360" w:lineRule="auto"/>
              <w:jc w:val="center"/>
              <w:rPr>
                <w:rFonts w:ascii="宋体" w:hAnsi="宋体" w:cs="宋体"/>
                <w:b/>
                <w:kern w:val="0"/>
                <w:szCs w:val="21"/>
              </w:rPr>
            </w:pPr>
            <w:r>
              <w:rPr>
                <w:rFonts w:hint="eastAsia" w:ascii="宋体" w:hAnsi="宋体" w:cs="宋体"/>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5" w:hRule="atLeast"/>
          <w:jc w:val="center"/>
        </w:trPr>
        <w:tc>
          <w:tcPr>
            <w:tcW w:w="851"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3119"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“防暑降温”物资采购</w:t>
            </w:r>
          </w:p>
        </w:tc>
        <w:tc>
          <w:tcPr>
            <w:tcW w:w="850" w:type="dxa"/>
            <w:tcMar>
              <w:top w:w="0" w:type="dxa"/>
              <w:left w:w="108" w:type="dxa"/>
              <w:bottom w:w="0" w:type="dxa"/>
              <w:right w:w="108" w:type="dxa"/>
            </w:tcMar>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993"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批</w:t>
            </w:r>
          </w:p>
        </w:tc>
        <w:tc>
          <w:tcPr>
            <w:tcW w:w="1701" w:type="dxa"/>
            <w:vAlign w:val="center"/>
          </w:tcPr>
          <w:p>
            <w:pPr>
              <w:jc w:val="center"/>
              <w:rPr>
                <w:rFonts w:ascii="宋体" w:hAnsi="宋体" w:cs="宋体"/>
                <w:bCs/>
                <w:kern w:val="0"/>
                <w:szCs w:val="21"/>
              </w:rPr>
            </w:pPr>
            <w:r>
              <w:rPr>
                <w:rFonts w:hint="eastAsia" w:ascii="宋体" w:hAnsi="宋体" w:cs="宋体"/>
                <w:bCs/>
                <w:kern w:val="0"/>
                <w:szCs w:val="21"/>
              </w:rPr>
              <w:t>1,170,000.00</w:t>
            </w:r>
          </w:p>
        </w:tc>
        <w:tc>
          <w:tcPr>
            <w:tcW w:w="1417" w:type="dxa"/>
            <w:vAlign w:val="center"/>
          </w:tcPr>
          <w:p>
            <w:pPr>
              <w:widowControl/>
              <w:spacing w:line="360" w:lineRule="auto"/>
              <w:jc w:val="center"/>
              <w:rPr>
                <w:rFonts w:ascii="宋体" w:hAnsi="宋体" w:cs="宋体"/>
                <w:kern w:val="0"/>
                <w:szCs w:val="21"/>
              </w:rPr>
            </w:pPr>
            <w:r>
              <w:rPr>
                <w:rFonts w:hint="eastAsia" w:ascii="宋体" w:hAnsi="宋体" w:cs="宋体"/>
                <w:kern w:val="0"/>
                <w:szCs w:val="21"/>
              </w:rPr>
              <w:t>拒绝进口</w:t>
            </w:r>
          </w:p>
        </w:tc>
      </w:tr>
    </w:tbl>
    <w:p>
      <w:pPr>
        <w:pStyle w:val="454"/>
        <w:adjustRightInd w:val="0"/>
        <w:snapToGrid w:val="0"/>
        <w:spacing w:before="0" w:beforeAutospacing="0" w:after="0" w:afterAutospacing="0" w:line="360" w:lineRule="auto"/>
        <w:ind w:firstLine="424" w:firstLineChars="202"/>
        <w:rPr>
          <w:rFonts w:ascii="宋体" w:hAnsi="宋体" w:eastAsia="宋体"/>
          <w:b/>
          <w:snapToGrid w:val="0"/>
          <w:color w:val="auto"/>
          <w:sz w:val="21"/>
          <w:szCs w:val="21"/>
          <w:highlight w:val="yellow"/>
        </w:rPr>
      </w:pPr>
      <w:r>
        <w:rPr>
          <w:rFonts w:hint="eastAsia" w:ascii="宋体" w:hAnsi="宋体" w:eastAsia="宋体" w:cs="Times New Roman"/>
          <w:color w:val="auto"/>
          <w:kern w:val="2"/>
          <w:sz w:val="21"/>
          <w:szCs w:val="21"/>
          <w:highlight w:val="yellow"/>
        </w:rPr>
        <w:t>注：（1）</w:t>
      </w:r>
      <w:r>
        <w:rPr>
          <w:rFonts w:hint="eastAsia" w:ascii="宋体" w:hAnsi="宋体" w:eastAsia="宋体" w:cs="Times New Roman"/>
          <w:b/>
          <w:color w:val="auto"/>
          <w:kern w:val="2"/>
          <w:sz w:val="21"/>
          <w:szCs w:val="21"/>
          <w:highlight w:val="yellow"/>
        </w:rPr>
        <w:t>本项目所属行业为</w:t>
      </w:r>
      <w:r>
        <w:rPr>
          <w:rFonts w:hint="eastAsia" w:ascii="宋体" w:hAnsi="宋体" w:eastAsia="宋体" w:cs="Times New Roman"/>
          <w:b/>
          <w:color w:val="auto"/>
          <w:kern w:val="2"/>
          <w:sz w:val="21"/>
          <w:szCs w:val="21"/>
          <w:highlight w:val="yellow"/>
          <w:u w:val="single"/>
        </w:rPr>
        <w:t xml:space="preserve">  零售业  </w:t>
      </w:r>
      <w:r>
        <w:rPr>
          <w:rFonts w:hint="eastAsia" w:ascii="宋体" w:hAnsi="宋体" w:eastAsia="宋体" w:cs="Times New Roman"/>
          <w:b/>
          <w:color w:val="auto"/>
          <w:kern w:val="2"/>
          <w:sz w:val="21"/>
          <w:szCs w:val="21"/>
          <w:highlight w:val="yellow"/>
        </w:rPr>
        <w:t>。</w:t>
      </w:r>
      <w:r>
        <w:rPr>
          <w:rFonts w:hint="eastAsia" w:ascii="宋体" w:hAnsi="宋体" w:eastAsia="宋体" w:cs="Times New Roman"/>
          <w:color w:val="auto"/>
          <w:kern w:val="2"/>
          <w:sz w:val="21"/>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pPr>
        <w:widowControl/>
        <w:snapToGrid w:val="0"/>
        <w:spacing w:line="360" w:lineRule="auto"/>
        <w:ind w:left="2" w:firstLine="422" w:firstLineChars="201"/>
        <w:jc w:val="left"/>
        <w:rPr>
          <w:rFonts w:ascii="宋体" w:hAnsi="宋体"/>
          <w:bCs/>
          <w:snapToGrid w:val="0"/>
          <w:kern w:val="0"/>
          <w:szCs w:val="21"/>
        </w:rPr>
      </w:pPr>
      <w:r>
        <w:rPr>
          <w:rFonts w:hint="eastAsia" w:ascii="宋体" w:hAnsi="宋体"/>
          <w:bCs/>
          <w:snapToGrid w:val="0"/>
          <w:kern w:val="0"/>
          <w:szCs w:val="21"/>
          <w:highlight w:val="yellow"/>
        </w:rPr>
        <w:t>（2）如同时有两家或两家以上（均为制造商的合法代理商）通过资格审查及符合性审查的合格投标人</w:t>
      </w:r>
      <w:r>
        <w:rPr>
          <w:rFonts w:hint="eastAsia" w:ascii="宋体" w:hAnsi="宋体"/>
          <w:b/>
          <w:bCs/>
          <w:snapToGrid w:val="0"/>
          <w:kern w:val="0"/>
          <w:szCs w:val="21"/>
          <w:highlight w:val="yellow"/>
        </w:rPr>
        <w:t>所投产品为相同品牌的，按一家投标人计算</w:t>
      </w:r>
      <w:r>
        <w:rPr>
          <w:rFonts w:hint="eastAsia" w:ascii="宋体" w:hAnsi="宋体"/>
          <w:bCs/>
          <w:snapToGrid w:val="0"/>
          <w:kern w:val="0"/>
          <w:szCs w:val="21"/>
          <w:highlight w:val="yellow"/>
        </w:rPr>
        <w:t>。在此种情况下，评审后得分最高的</w:t>
      </w:r>
      <w:r>
        <w:rPr>
          <w:rFonts w:hint="eastAsia" w:asciiTheme="minorEastAsia" w:hAnsiTheme="minorEastAsia" w:eastAsiaTheme="minorEastAsia"/>
          <w:color w:val="333333"/>
          <w:highlight w:val="yellow"/>
        </w:rPr>
        <w:t>同品牌</w:t>
      </w:r>
      <w:r>
        <w:rPr>
          <w:rFonts w:hint="eastAsia" w:ascii="宋体" w:hAnsi="宋体"/>
          <w:bCs/>
          <w:snapToGrid w:val="0"/>
          <w:kern w:val="0"/>
          <w:szCs w:val="21"/>
          <w:highlight w:val="yellow"/>
        </w:rPr>
        <w:t>投标人获得中标人推荐资格；评审得分相同的由报价相对最低的获得中标人推荐资格；评审得分及报价均相同的由技术部分评分相对最高的获得中标人推荐资格；</w:t>
      </w:r>
      <w:r>
        <w:rPr>
          <w:rFonts w:hint="eastAsia"/>
          <w:snapToGrid w:val="0"/>
          <w:kern w:val="0"/>
          <w:highlight w:val="yellow"/>
        </w:rPr>
        <w:t>以上均相同的由评标委员会采取随机抽取方式确定</w:t>
      </w:r>
      <w:r>
        <w:rPr>
          <w:rFonts w:hint="eastAsia" w:ascii="宋体" w:hAnsi="宋体"/>
          <w:bCs/>
          <w:snapToGrid w:val="0"/>
          <w:kern w:val="0"/>
          <w:szCs w:val="21"/>
          <w:highlight w:val="yellow"/>
        </w:rPr>
        <w:t>，其他同品牌投标人不作为中标候选人。</w:t>
      </w:r>
    </w:p>
    <w:p>
      <w:pPr>
        <w:adjustRightInd w:val="0"/>
        <w:snapToGrid w:val="0"/>
        <w:spacing w:line="360" w:lineRule="auto"/>
        <w:ind w:firstLine="422" w:firstLineChars="201"/>
        <w:rPr>
          <w:rFonts w:ascii="宋体" w:hAnsi="宋体"/>
          <w:b/>
          <w:bCs/>
          <w:snapToGrid w:val="0"/>
          <w:kern w:val="0"/>
          <w:szCs w:val="21"/>
        </w:rPr>
      </w:pPr>
      <w:r>
        <w:rPr>
          <w:rFonts w:hint="eastAsia" w:ascii="宋体" w:hAnsi="宋体"/>
          <w:bCs/>
          <w:snapToGrid w:val="0"/>
          <w:kern w:val="0"/>
          <w:szCs w:val="21"/>
        </w:rPr>
        <w:t>（3）</w:t>
      </w:r>
      <w:r>
        <w:rPr>
          <w:rFonts w:hint="eastAsia" w:ascii="宋体" w:hAnsi="宋体"/>
          <w:szCs w:val="21"/>
        </w:rPr>
        <w:t>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w:t>
      </w:r>
      <w:r>
        <w:rPr>
          <w:rFonts w:hint="eastAsia" w:ascii="宋体" w:hAnsi="宋体"/>
          <w:bCs/>
          <w:snapToGrid w:val="0"/>
          <w:kern w:val="0"/>
          <w:szCs w:val="21"/>
        </w:rPr>
        <w:t>致的，按照“少数服从多数”的原则确定评标委员会的意见。</w:t>
      </w:r>
    </w:p>
    <w:p>
      <w:pPr>
        <w:adjustRightInd w:val="0"/>
        <w:snapToGrid w:val="0"/>
        <w:spacing w:line="360" w:lineRule="auto"/>
        <w:ind w:firstLine="422" w:firstLineChars="201"/>
        <w:rPr>
          <w:rFonts w:ascii="宋体" w:hAnsi="宋体"/>
          <w:bCs/>
          <w:snapToGrid w:val="0"/>
          <w:kern w:val="0"/>
          <w:szCs w:val="21"/>
        </w:rPr>
      </w:pPr>
      <w:r>
        <w:rPr>
          <w:rFonts w:hint="eastAsia" w:ascii="宋体" w:hAnsi="宋体"/>
          <w:bCs/>
          <w:snapToGrid w:val="0"/>
          <w:kern w:val="0"/>
          <w:szCs w:val="21"/>
        </w:rPr>
        <w:t xml:space="preserve">（4）备注栏注明“拒绝进口”的产品不接受投标人选用进口产品参与投标；注明“接受进口”的产品允许投标人选用进口产品参与投标，但不排斥国内产品。 </w:t>
      </w:r>
    </w:p>
    <w:p>
      <w:pPr>
        <w:adjustRightInd w:val="0"/>
        <w:snapToGrid w:val="0"/>
        <w:spacing w:line="360" w:lineRule="auto"/>
        <w:ind w:firstLine="422" w:firstLineChars="201"/>
        <w:rPr>
          <w:rFonts w:ascii="宋体" w:hAnsi="宋体"/>
          <w:bCs/>
          <w:snapToGrid w:val="0"/>
          <w:kern w:val="0"/>
          <w:szCs w:val="21"/>
        </w:rPr>
      </w:pPr>
      <w:r>
        <w:rPr>
          <w:rFonts w:hint="eastAsia" w:ascii="宋体" w:hAnsi="宋体"/>
          <w:bCs/>
          <w:snapToGrid w:val="0"/>
          <w:kern w:val="0"/>
          <w:szCs w:val="21"/>
        </w:rPr>
        <w:t>（5）进口产品是指通过中国海关报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号文”和“财办库【2008】248号文”的相关规定为准。</w:t>
      </w:r>
    </w:p>
    <w:p>
      <w:pPr>
        <w:spacing w:line="360" w:lineRule="auto"/>
        <w:ind w:left="2" w:firstLine="484" w:firstLineChars="201"/>
        <w:rPr>
          <w:rFonts w:ascii="宋体" w:hAnsi="宋体"/>
          <w:b/>
          <w:bCs/>
          <w:snapToGrid w:val="0"/>
          <w:kern w:val="0"/>
          <w:sz w:val="24"/>
        </w:rPr>
      </w:pPr>
    </w:p>
    <w:p>
      <w:pPr>
        <w:spacing w:afterLines="50" w:line="360" w:lineRule="auto"/>
        <w:rPr>
          <w:rFonts w:ascii="宋体" w:hAnsi="宋体"/>
          <w:b/>
          <w:bCs/>
          <w:snapToGrid w:val="0"/>
          <w:kern w:val="0"/>
          <w:sz w:val="24"/>
        </w:rPr>
      </w:pPr>
      <w:r>
        <w:rPr>
          <w:rFonts w:hint="eastAsia" w:ascii="宋体" w:hAnsi="宋体"/>
          <w:b/>
          <w:bCs/>
          <w:snapToGrid w:val="0"/>
          <w:kern w:val="0"/>
          <w:sz w:val="24"/>
        </w:rPr>
        <w:t>二、技术要求</w:t>
      </w:r>
    </w:p>
    <w:p>
      <w:pPr>
        <w:adjustRightInd w:val="0"/>
        <w:snapToGrid w:val="0"/>
        <w:spacing w:line="360" w:lineRule="auto"/>
        <w:ind w:firstLine="422" w:firstLineChars="201"/>
        <w:rPr>
          <w:rFonts w:ascii="宋体" w:hAnsi="宋体"/>
          <w:szCs w:val="21"/>
        </w:rPr>
      </w:pPr>
      <w:r>
        <w:rPr>
          <w:rFonts w:hint="eastAsia" w:ascii="宋体" w:hAnsi="宋体"/>
          <w:szCs w:val="21"/>
        </w:rPr>
        <w:t>“防暑降温”物资采购，</w:t>
      </w:r>
      <w:r>
        <w:rPr>
          <w:rFonts w:hint="eastAsia"/>
        </w:rPr>
        <w:t>以提货券形式采购</w:t>
      </w:r>
      <w:r>
        <w:rPr>
          <w:rFonts w:hint="eastAsia" w:ascii="宋体" w:hAnsi="宋体"/>
          <w:szCs w:val="21"/>
        </w:rPr>
        <w:t>。</w:t>
      </w:r>
    </w:p>
    <w:p>
      <w:pPr>
        <w:adjustRightInd w:val="0"/>
        <w:snapToGrid w:val="0"/>
        <w:spacing w:line="360" w:lineRule="auto"/>
        <w:ind w:firstLine="422" w:firstLineChars="201"/>
        <w:rPr>
          <w:rFonts w:ascii="宋体" w:hAnsi="宋体"/>
          <w:szCs w:val="21"/>
        </w:rPr>
      </w:pPr>
      <w:r>
        <w:rPr>
          <w:rFonts w:hint="eastAsia" w:ascii="宋体" w:hAnsi="宋体"/>
          <w:szCs w:val="21"/>
        </w:rPr>
        <w:t>本次“防暑降温”计划采购一批“832平台”扶贫物资，采购数量预估为：3900</w:t>
      </w:r>
      <w:r>
        <w:rPr>
          <w:rFonts w:hint="eastAsia" w:ascii="宋体" w:hAnsi="宋体"/>
          <w:szCs w:val="21"/>
          <w:lang w:eastAsia="zh-CN"/>
        </w:rPr>
        <w:t>份</w:t>
      </w:r>
      <w:r>
        <w:rPr>
          <w:rFonts w:hint="eastAsia" w:ascii="宋体" w:hAnsi="宋体"/>
          <w:szCs w:val="21"/>
        </w:rPr>
        <w:t>，以采购人实际需求为准。兑换券采购金额为：人民币 300元/</w:t>
      </w:r>
      <w:r>
        <w:rPr>
          <w:rFonts w:hint="eastAsia" w:ascii="宋体" w:hAnsi="宋体"/>
          <w:szCs w:val="21"/>
          <w:lang w:eastAsia="zh-CN"/>
        </w:rPr>
        <w:t>份</w:t>
      </w:r>
      <w:r>
        <w:rPr>
          <w:rFonts w:hint="eastAsia" w:ascii="宋体" w:hAnsi="宋体"/>
          <w:szCs w:val="21"/>
        </w:rPr>
        <w:t>。</w:t>
      </w:r>
    </w:p>
    <w:p>
      <w:pPr>
        <w:adjustRightInd w:val="0"/>
        <w:snapToGrid w:val="0"/>
        <w:spacing w:line="360" w:lineRule="auto"/>
        <w:ind w:firstLine="422" w:firstLineChars="201"/>
        <w:rPr>
          <w:rFonts w:ascii="宋体" w:hAnsi="宋体"/>
          <w:szCs w:val="21"/>
        </w:rPr>
      </w:pPr>
      <w:r>
        <w:rPr>
          <w:rFonts w:hint="eastAsia" w:ascii="宋体" w:hAnsi="宋体"/>
          <w:szCs w:val="21"/>
        </w:rPr>
        <w:t>具体要求如下：</w:t>
      </w:r>
    </w:p>
    <w:p>
      <w:pPr>
        <w:adjustRightInd w:val="0"/>
        <w:snapToGrid w:val="0"/>
        <w:spacing w:line="360" w:lineRule="auto"/>
        <w:ind w:firstLine="424" w:firstLineChars="201"/>
        <w:rPr>
          <w:rFonts w:ascii="宋体" w:hAnsi="宋体"/>
          <w:b/>
          <w:szCs w:val="21"/>
          <w:highlight w:val="yellow"/>
        </w:rPr>
      </w:pPr>
      <w:r>
        <w:rPr>
          <w:rFonts w:hint="eastAsia" w:ascii="宋体" w:hAnsi="宋体"/>
          <w:b/>
          <w:szCs w:val="21"/>
          <w:highlight w:val="yellow"/>
        </w:rPr>
        <w:t>★1、“防暑降温物资兑换券”面额由投标人自行确定，但不得低于300元/</w:t>
      </w:r>
      <w:r>
        <w:rPr>
          <w:rFonts w:hint="eastAsia" w:ascii="宋体" w:hAnsi="宋体"/>
          <w:b/>
          <w:szCs w:val="21"/>
          <w:highlight w:val="yellow"/>
          <w:lang w:eastAsia="zh-CN"/>
        </w:rPr>
        <w:t>份</w:t>
      </w:r>
      <w:r>
        <w:rPr>
          <w:rFonts w:hint="eastAsia" w:ascii="宋体" w:hAnsi="宋体"/>
          <w:b/>
          <w:szCs w:val="21"/>
          <w:highlight w:val="yellow"/>
        </w:rPr>
        <w:t>，否则将导致投标无效。</w:t>
      </w:r>
    </w:p>
    <w:p>
      <w:pPr>
        <w:adjustRightInd w:val="0"/>
        <w:snapToGrid w:val="0"/>
        <w:spacing w:line="360" w:lineRule="auto"/>
        <w:ind w:firstLine="424" w:firstLineChars="201"/>
        <w:rPr>
          <w:rFonts w:ascii="宋体" w:hAnsi="宋体"/>
          <w:b/>
          <w:szCs w:val="21"/>
        </w:rPr>
      </w:pPr>
      <w:r>
        <w:rPr>
          <w:rFonts w:hint="eastAsia" w:ascii="宋体" w:hAnsi="宋体"/>
          <w:b/>
          <w:szCs w:val="21"/>
          <w:highlight w:val="yellow"/>
        </w:rPr>
        <w:t>兑换券有效期：三年；最终采购数量以实际</w:t>
      </w:r>
      <w:r>
        <w:rPr>
          <w:rFonts w:hint="eastAsia" w:ascii="宋体" w:hAnsi="宋体"/>
          <w:b/>
          <w:szCs w:val="21"/>
          <w:highlight w:val="yellow"/>
          <w:lang w:eastAsia="zh-CN"/>
        </w:rPr>
        <w:t>份数</w:t>
      </w:r>
      <w:r>
        <w:rPr>
          <w:rFonts w:hint="eastAsia" w:ascii="宋体" w:hAnsi="宋体"/>
          <w:b/>
          <w:szCs w:val="21"/>
          <w:highlight w:val="yellow"/>
        </w:rPr>
        <w:t>为准。</w:t>
      </w:r>
    </w:p>
    <w:p>
      <w:pPr>
        <w:numPr>
          <w:ilvl w:val="0"/>
          <w:numId w:val="4"/>
        </w:numPr>
        <w:adjustRightInd w:val="0"/>
        <w:snapToGrid w:val="0"/>
        <w:spacing w:line="360" w:lineRule="auto"/>
        <w:ind w:left="-2" w:leftChars="0" w:firstLine="422" w:firstLineChars="0"/>
        <w:rPr>
          <w:rFonts w:ascii="宋体" w:hAnsi="宋体"/>
          <w:szCs w:val="21"/>
        </w:rPr>
      </w:pPr>
      <w:r>
        <w:rPr>
          <w:rFonts w:hint="eastAsia" w:ascii="宋体" w:hAnsi="宋体"/>
          <w:szCs w:val="21"/>
        </w:rPr>
        <w:t>投标人须所出具方案的实物必须是在“脱贫地区农副产品网络销售平台”（以下简称832平台）采购的。</w:t>
      </w:r>
    </w:p>
    <w:p>
      <w:pPr>
        <w:numPr>
          <w:ilvl w:val="0"/>
          <w:numId w:val="4"/>
        </w:numPr>
        <w:adjustRightInd w:val="0"/>
        <w:snapToGrid w:val="0"/>
        <w:spacing w:line="360" w:lineRule="auto"/>
        <w:ind w:left="-2" w:leftChars="0" w:firstLine="422" w:firstLineChars="0"/>
        <w:rPr>
          <w:rFonts w:ascii="宋体" w:hAnsi="宋体"/>
          <w:szCs w:val="21"/>
        </w:rPr>
      </w:pPr>
      <w:r>
        <w:rPr>
          <w:rFonts w:hint="eastAsia" w:ascii="宋体" w:hAnsi="宋体"/>
          <w:szCs w:val="21"/>
        </w:rPr>
        <w:t>投标人所出具的选择方案不少于3种。</w:t>
      </w:r>
    </w:p>
    <w:p>
      <w:pPr>
        <w:numPr>
          <w:ilvl w:val="0"/>
          <w:numId w:val="4"/>
        </w:numPr>
        <w:adjustRightInd w:val="0"/>
        <w:snapToGrid w:val="0"/>
        <w:spacing w:line="360" w:lineRule="auto"/>
        <w:ind w:left="-2" w:leftChars="0" w:firstLine="422" w:firstLineChars="0"/>
        <w:rPr>
          <w:rFonts w:ascii="宋体" w:hAnsi="宋体"/>
          <w:b/>
          <w:bCs/>
          <w:szCs w:val="21"/>
        </w:rPr>
      </w:pPr>
      <w:r>
        <w:rPr>
          <w:rFonts w:hint="eastAsia" w:ascii="宋体" w:hAnsi="宋体"/>
          <w:szCs w:val="21"/>
        </w:rPr>
        <w:t>投标人有网络平台、实体店、电话预定、微信预定等多种兑换渠道，并提供全面具体的售前、售中服务方案和保障措施，配送服务提供冷链配送，卡券在有效使用期限内，中标人须对每张兑换券提供免费配送上门消费服务，</w:t>
      </w:r>
      <w:r>
        <w:rPr>
          <w:rFonts w:hint="eastAsia" w:ascii="宋体" w:hAnsi="宋体"/>
          <w:b/>
          <w:bCs/>
          <w:szCs w:val="21"/>
        </w:rPr>
        <w:t>投标人提供免费送货上门服务承诺（包括但不限于深圳全市地区、832平台可以邮寄的所有范围）（提供承诺函，格式自拟）。</w:t>
      </w:r>
    </w:p>
    <w:p>
      <w:pPr>
        <w:spacing w:line="360" w:lineRule="auto"/>
        <w:rPr>
          <w:rFonts w:ascii="宋体" w:hAnsi="宋体"/>
          <w:b/>
          <w:bCs/>
          <w:snapToGrid w:val="0"/>
          <w:kern w:val="0"/>
          <w:sz w:val="24"/>
        </w:rPr>
      </w:pPr>
    </w:p>
    <w:p>
      <w:pPr>
        <w:spacing w:afterLines="50" w:line="360" w:lineRule="auto"/>
        <w:rPr>
          <w:rFonts w:ascii="宋体" w:hAnsi="宋体"/>
          <w:b/>
          <w:bCs/>
          <w:snapToGrid w:val="0"/>
          <w:kern w:val="0"/>
          <w:sz w:val="24"/>
        </w:rPr>
      </w:pPr>
      <w:r>
        <w:rPr>
          <w:rFonts w:hint="eastAsia" w:ascii="宋体" w:hAnsi="宋体"/>
          <w:b/>
          <w:bCs/>
          <w:snapToGrid w:val="0"/>
          <w:kern w:val="0"/>
          <w:sz w:val="24"/>
        </w:rPr>
        <w:t>三、商务要求</w:t>
      </w:r>
    </w:p>
    <w:p>
      <w:pPr>
        <w:adjustRightInd w:val="0"/>
        <w:snapToGrid w:val="0"/>
        <w:spacing w:line="360" w:lineRule="auto"/>
        <w:ind w:firstLine="424" w:firstLineChars="201"/>
        <w:rPr>
          <w:rFonts w:ascii="宋体" w:hAnsi="宋体"/>
          <w:b/>
          <w:szCs w:val="21"/>
        </w:rPr>
      </w:pPr>
      <w:r>
        <w:rPr>
          <w:rFonts w:hint="eastAsia" w:ascii="宋体" w:hAnsi="宋体"/>
          <w:b/>
          <w:szCs w:val="21"/>
          <w:highlight w:val="yellow"/>
        </w:rPr>
        <w:t>★1、“防暑降温物资兑换券”交货期：自合同签订之日起15个工作日内。</w:t>
      </w:r>
    </w:p>
    <w:p>
      <w:pPr>
        <w:adjustRightInd w:val="0"/>
        <w:snapToGrid w:val="0"/>
        <w:spacing w:line="360" w:lineRule="auto"/>
        <w:ind w:firstLine="422" w:firstLineChars="201"/>
        <w:rPr>
          <w:rFonts w:ascii="宋体" w:hAnsi="宋体"/>
          <w:szCs w:val="21"/>
        </w:rPr>
      </w:pPr>
      <w:r>
        <w:rPr>
          <w:rFonts w:hint="eastAsia" w:ascii="宋体" w:hAnsi="宋体"/>
          <w:szCs w:val="21"/>
        </w:rPr>
        <w:t>交货地点：采购单位指定地点。</w:t>
      </w:r>
    </w:p>
    <w:p>
      <w:pPr>
        <w:adjustRightInd w:val="0"/>
        <w:snapToGrid w:val="0"/>
        <w:spacing w:line="360" w:lineRule="auto"/>
        <w:ind w:firstLine="422" w:firstLineChars="201"/>
        <w:rPr>
          <w:rFonts w:ascii="宋体" w:hAnsi="宋体"/>
          <w:szCs w:val="21"/>
        </w:rPr>
      </w:pPr>
      <w:r>
        <w:rPr>
          <w:rFonts w:hint="eastAsia" w:ascii="宋体" w:hAnsi="宋体"/>
          <w:szCs w:val="21"/>
        </w:rPr>
        <w:t>2、付款方式：</w:t>
      </w:r>
      <w:r>
        <w:rPr>
          <w:rFonts w:hint="eastAsia"/>
          <w:color w:val="auto"/>
          <w:highlight w:val="none"/>
          <w:lang w:val="zh-CN"/>
        </w:rPr>
        <w:t>按下单实际数量结算。结算价＝实际下单张数×</w:t>
      </w:r>
      <w:r>
        <w:rPr>
          <w:rFonts w:hint="eastAsia"/>
          <w:color w:val="auto"/>
          <w:highlight w:val="none"/>
          <w:lang w:val="en-US" w:eastAsia="zh-CN"/>
        </w:rPr>
        <w:t>3</w:t>
      </w:r>
      <w:r>
        <w:rPr>
          <w:rFonts w:hint="eastAsia"/>
          <w:color w:val="auto"/>
          <w:highlight w:val="none"/>
        </w:rPr>
        <w:t>00元/张</w:t>
      </w:r>
      <w:r>
        <w:rPr>
          <w:rFonts w:hint="eastAsia"/>
          <w:color w:val="auto"/>
          <w:highlight w:val="none"/>
          <w:lang w:eastAsia="zh-CN"/>
        </w:rPr>
        <w:t>。</w:t>
      </w:r>
      <w:r>
        <w:rPr>
          <w:rFonts w:hint="eastAsia"/>
          <w:color w:val="auto"/>
          <w:highlight w:val="none"/>
        </w:rPr>
        <w:t>货到验收后，收到发票之日起15个工作日内。</w:t>
      </w:r>
    </w:p>
    <w:p>
      <w:pPr>
        <w:adjustRightInd w:val="0"/>
        <w:snapToGrid w:val="0"/>
        <w:spacing w:line="360" w:lineRule="auto"/>
        <w:ind w:firstLine="424" w:firstLineChars="201"/>
        <w:rPr>
          <w:rFonts w:ascii="宋体" w:hAnsi="宋体"/>
          <w:b/>
          <w:szCs w:val="21"/>
        </w:rPr>
      </w:pPr>
      <w:r>
        <w:rPr>
          <w:rFonts w:hint="eastAsia" w:ascii="宋体" w:hAnsi="宋体"/>
          <w:b/>
          <w:szCs w:val="21"/>
          <w:highlight w:val="yellow"/>
        </w:rPr>
        <w:t>★3、报价方式：本项目采取“兑换率”进行投标报价。兑换率=300/防暑降温物资兑换券面额。</w:t>
      </w:r>
      <w:r>
        <w:rPr>
          <w:rFonts w:hint="eastAsia" w:ascii="宋体" w:hAnsi="宋体"/>
          <w:b/>
          <w:bCs/>
          <w:highlight w:val="yellow"/>
        </w:rPr>
        <w:t>投标</w:t>
      </w:r>
      <w:r>
        <w:rPr>
          <w:rFonts w:hint="eastAsia"/>
          <w:b/>
          <w:snapToGrid w:val="0"/>
          <w:kern w:val="0"/>
          <w:highlight w:val="yellow"/>
        </w:rPr>
        <w:t>报</w:t>
      </w:r>
      <w:r>
        <w:rPr>
          <w:rFonts w:hint="eastAsia" w:ascii="宋体" w:hAnsi="宋体"/>
          <w:b/>
          <w:bCs/>
          <w:highlight w:val="yellow"/>
        </w:rPr>
        <w:t>价必须是完成该项目的一切费用总和，包含产品、运输、保险、售后服务及国家规定的各项税费等全部费用。</w:t>
      </w:r>
    </w:p>
    <w:p>
      <w:pPr>
        <w:adjustRightInd w:val="0"/>
        <w:snapToGrid w:val="0"/>
        <w:spacing w:line="360" w:lineRule="auto"/>
        <w:ind w:firstLine="424" w:firstLineChars="201"/>
        <w:rPr>
          <w:rFonts w:ascii="宋体" w:hAnsi="宋体"/>
          <w:b/>
          <w:szCs w:val="21"/>
          <w:highlight w:val="yellow"/>
        </w:rPr>
      </w:pPr>
      <w:r>
        <w:rPr>
          <w:rFonts w:hint="eastAsia" w:ascii="宋体" w:hAnsi="宋体"/>
          <w:b/>
          <w:szCs w:val="21"/>
          <w:highlight w:val="yellow"/>
        </w:rPr>
        <w:t>★4、兑换率采用小数报价，最多保留两位小数，且不能大于1（即最高报价上限为1），否则将导致投标无效。</w:t>
      </w:r>
    </w:p>
    <w:p>
      <w:pPr>
        <w:numPr>
          <w:ilvl w:val="0"/>
          <w:numId w:val="4"/>
        </w:numPr>
        <w:adjustRightInd w:val="0"/>
        <w:snapToGrid w:val="0"/>
        <w:spacing w:line="360" w:lineRule="auto"/>
        <w:ind w:left="-2" w:leftChars="0" w:firstLine="422" w:firstLineChars="0"/>
        <w:rPr>
          <w:rFonts w:hint="eastAsia" w:ascii="宋体" w:hAnsi="宋体"/>
          <w:bCs/>
          <w:szCs w:val="21"/>
        </w:rPr>
      </w:pPr>
      <w:r>
        <w:rPr>
          <w:rFonts w:hint="eastAsia" w:ascii="宋体" w:hAnsi="宋体"/>
          <w:bCs/>
          <w:szCs w:val="21"/>
        </w:rPr>
        <w:t>合同签订：由采购人和832商家签合同，采购人和中标人签服务协议。</w:t>
      </w:r>
    </w:p>
    <w:p>
      <w:pPr>
        <w:numPr>
          <w:ilvl w:val="0"/>
          <w:numId w:val="4"/>
        </w:numPr>
        <w:adjustRightInd w:val="0"/>
        <w:snapToGrid w:val="0"/>
        <w:spacing w:line="360" w:lineRule="auto"/>
        <w:ind w:left="-2" w:leftChars="0" w:firstLine="422" w:firstLineChars="0"/>
        <w:rPr>
          <w:rFonts w:ascii="宋体" w:hAnsi="宋体"/>
          <w:bCs/>
          <w:szCs w:val="21"/>
        </w:rPr>
      </w:pPr>
      <w:r>
        <w:rPr>
          <w:rFonts w:hint="eastAsia" w:ascii="宋体" w:hAnsi="宋体"/>
          <w:bCs/>
          <w:szCs w:val="21"/>
        </w:rPr>
        <w:t>运输方式及费用负担： 中标人负担。</w:t>
      </w:r>
    </w:p>
    <w:p>
      <w:pPr>
        <w:numPr>
          <w:ilvl w:val="0"/>
          <w:numId w:val="0"/>
        </w:numPr>
        <w:adjustRightInd w:val="0"/>
        <w:snapToGrid w:val="0"/>
        <w:spacing w:line="360" w:lineRule="auto"/>
        <w:ind w:firstLine="420" w:firstLineChars="200"/>
        <w:rPr>
          <w:rFonts w:ascii="宋体" w:hAnsi="宋体"/>
          <w:bCs/>
          <w:szCs w:val="21"/>
        </w:rPr>
      </w:pPr>
      <w:r>
        <w:rPr>
          <w:rFonts w:hint="eastAsia" w:ascii="宋体" w:hAnsi="宋体"/>
          <w:bCs/>
          <w:szCs w:val="21"/>
          <w:lang w:val="en-US" w:eastAsia="zh-CN"/>
        </w:rPr>
        <w:t>7、</w:t>
      </w:r>
      <w:r>
        <w:rPr>
          <w:rFonts w:hint="eastAsia" w:ascii="宋体" w:hAnsi="宋体"/>
          <w:bCs/>
          <w:szCs w:val="21"/>
        </w:rPr>
        <w:t>验收标准、方法及提出异议期限：中标人交付货物时，必须确保货物符合采购人的需求，且为合格产品，采购人仅当场验收货物外包装及数量，但不代表采购人验收货物的质量和合格性。如采购人在收货后7日内对货物质量向中标人提出异议，中标人应在3天内负责更换符合采购人要求的货物直到采购人满意，如中标人未能按时完成更换，或所更换的货物仍然不符合采购人要求的，视同中标人违约，按照违约条款处罚，如采购人在上述期限内未提出异议则视同采购人对货物质量无异议。</w:t>
      </w:r>
    </w:p>
    <w:p>
      <w:pPr>
        <w:numPr>
          <w:ilvl w:val="0"/>
          <w:numId w:val="0"/>
        </w:numPr>
        <w:adjustRightInd w:val="0"/>
        <w:snapToGrid w:val="0"/>
        <w:spacing w:line="360" w:lineRule="auto"/>
        <w:ind w:firstLine="420" w:firstLineChars="200"/>
        <w:rPr>
          <w:rFonts w:ascii="宋体" w:hAnsi="宋体"/>
          <w:bCs/>
          <w:szCs w:val="21"/>
        </w:rPr>
      </w:pPr>
      <w:r>
        <w:rPr>
          <w:rFonts w:hint="eastAsia" w:ascii="宋体" w:hAnsi="宋体"/>
          <w:bCs/>
          <w:szCs w:val="21"/>
          <w:lang w:val="en-US" w:eastAsia="zh-CN"/>
        </w:rPr>
        <w:t>8、</w:t>
      </w:r>
      <w:r>
        <w:rPr>
          <w:rFonts w:hint="eastAsia" w:ascii="宋体" w:hAnsi="宋体"/>
          <w:bCs/>
          <w:szCs w:val="21"/>
        </w:rPr>
        <w:t>违约责任：若中标人未能按约定时限向采购人指定地点交付全部合格货物，或未能配合采购人完成合同义务，视为中标人违约，中标人必须承担全部的违约责任，采购人有权解除合同，同时，中标人必须向采购人支付每天按照合同总金额的1%的处罚金，最高不超过合同总金额的30%。</w:t>
      </w:r>
    </w:p>
    <w:p/>
    <w:p/>
    <w:p>
      <w:pPr>
        <w:widowControl/>
        <w:jc w:val="left"/>
      </w:pPr>
    </w:p>
    <w:p>
      <w:pPr>
        <w:widowControl/>
        <w:jc w:val="left"/>
      </w:pPr>
      <w:r>
        <w:br w:type="page"/>
      </w:r>
    </w:p>
    <w:p/>
    <w:p>
      <w:pPr>
        <w:pStyle w:val="3"/>
      </w:pPr>
      <w:bookmarkStart w:id="2" w:name="_Toc73610140"/>
      <w:r>
        <w:rPr>
          <w:rFonts w:hint="eastAsia"/>
        </w:rPr>
        <w:t>第三章  投标文件初审</w:t>
      </w:r>
      <w:bookmarkEnd w:id="2"/>
    </w:p>
    <w:p>
      <w:pPr>
        <w:autoSpaceDE w:val="0"/>
        <w:autoSpaceDN w:val="0"/>
        <w:adjustRightInd w:val="0"/>
        <w:spacing w:line="360" w:lineRule="auto"/>
        <w:ind w:firstLine="480" w:firstLineChars="200"/>
        <w:jc w:val="left"/>
        <w:rPr>
          <w:rFonts w:ascii="仿宋_GB2312" w:eastAsia="仿宋_GB2312"/>
          <w:sz w:val="24"/>
        </w:rPr>
      </w:pPr>
      <w:r>
        <w:rPr>
          <w:rFonts w:hint="eastAsia" w:ascii="仿宋_GB2312" w:eastAsia="仿宋_GB2312"/>
          <w:sz w:val="24"/>
        </w:rPr>
        <w:t>本章是本招标文件中涉及的所有无效标和废标情形的摘要，除法律法规另有规定外，投标文件的其他任何情形均不得作无效标和废标处理。招标文件中有关无效标和废标与本章节不一致的，以本章节内容为准。</w:t>
      </w:r>
    </w:p>
    <w:p>
      <w:pPr>
        <w:adjustRightInd w:val="0"/>
        <w:spacing w:line="360" w:lineRule="auto"/>
        <w:rPr>
          <w:snapToGrid w:val="0"/>
          <w:kern w:val="0"/>
        </w:rPr>
      </w:pPr>
    </w:p>
    <w:p>
      <w:pPr>
        <w:adjustRightInd w:val="0"/>
        <w:spacing w:line="360" w:lineRule="auto"/>
        <w:rPr>
          <w:snapToGrid w:val="0"/>
          <w:kern w:val="0"/>
        </w:rPr>
      </w:pPr>
      <w:r>
        <w:rPr>
          <w:rFonts w:hint="eastAsia"/>
          <w:snapToGrid w:val="0"/>
          <w:kern w:val="0"/>
        </w:rPr>
        <w:t>一、资格性</w:t>
      </w:r>
      <w:r>
        <w:rPr>
          <w:rFonts w:hint="eastAsia" w:ascii="宋体" w:hAnsi="宋体"/>
          <w:snapToGrid w:val="0"/>
          <w:kern w:val="0"/>
        </w:rPr>
        <w:t>审查</w:t>
      </w:r>
    </w:p>
    <w:p>
      <w:pPr>
        <w:adjustRightInd w:val="0"/>
        <w:spacing w:line="360" w:lineRule="auto"/>
        <w:rPr>
          <w:rFonts w:ascii="宋体" w:hAnsi="宋体"/>
          <w:snapToGrid w:val="0"/>
          <w:kern w:val="0"/>
        </w:rPr>
      </w:pPr>
      <w:r>
        <w:rPr>
          <w:rFonts w:hint="eastAsia" w:ascii="宋体" w:hAnsi="宋体"/>
          <w:snapToGrid w:val="0"/>
          <w:kern w:val="0"/>
        </w:rPr>
        <w:t>1、投标人的资格不符合招标文件要求</w:t>
      </w:r>
      <w:r>
        <w:rPr>
          <w:rFonts w:hint="eastAsia" w:ascii="宋体" w:hAnsi="宋体"/>
        </w:rPr>
        <w:t>或资格证明文件提供不全</w:t>
      </w:r>
      <w:r>
        <w:rPr>
          <w:rFonts w:hint="eastAsia" w:ascii="宋体" w:hAnsi="宋体"/>
          <w:snapToGrid w:val="0"/>
          <w:kern w:val="0"/>
        </w:rPr>
        <w:t>。</w:t>
      </w:r>
    </w:p>
    <w:p>
      <w:pPr>
        <w:adjustRightInd w:val="0"/>
        <w:spacing w:line="360" w:lineRule="auto"/>
        <w:rPr>
          <w:rFonts w:ascii="宋体" w:hAnsi="宋体"/>
          <w:snapToGrid w:val="0"/>
          <w:kern w:val="0"/>
        </w:rPr>
      </w:pPr>
    </w:p>
    <w:p>
      <w:pPr>
        <w:adjustRightInd w:val="0"/>
        <w:spacing w:line="360" w:lineRule="auto"/>
        <w:rPr>
          <w:rFonts w:ascii="宋体" w:hAnsi="宋体"/>
          <w:snapToGrid w:val="0"/>
          <w:kern w:val="0"/>
        </w:rPr>
      </w:pPr>
      <w:r>
        <w:rPr>
          <w:rFonts w:hint="eastAsia" w:ascii="宋体" w:hAnsi="宋体"/>
          <w:snapToGrid w:val="0"/>
          <w:kern w:val="0"/>
        </w:rPr>
        <w:t>二、符合性审查</w:t>
      </w:r>
    </w:p>
    <w:p>
      <w:pPr>
        <w:adjustRightInd w:val="0"/>
        <w:spacing w:line="360" w:lineRule="auto"/>
        <w:rPr>
          <w:rFonts w:ascii="宋体" w:hAnsi="宋体"/>
          <w:snapToGrid w:val="0"/>
          <w:kern w:val="0"/>
        </w:rPr>
      </w:pPr>
      <w:r>
        <w:rPr>
          <w:rFonts w:hint="eastAsia" w:ascii="宋体" w:hAnsi="宋体"/>
          <w:snapToGrid w:val="0"/>
          <w:kern w:val="0"/>
        </w:rPr>
        <w:t>1、投标人提供的投标文件数量不符合招标文件要求。</w:t>
      </w:r>
    </w:p>
    <w:p>
      <w:pPr>
        <w:adjustRightInd w:val="0"/>
        <w:spacing w:line="360" w:lineRule="auto"/>
        <w:rPr>
          <w:rFonts w:ascii="宋体" w:hAnsi="宋体"/>
          <w:snapToGrid w:val="0"/>
          <w:kern w:val="0"/>
        </w:rPr>
      </w:pPr>
      <w:r>
        <w:rPr>
          <w:rFonts w:hint="eastAsia" w:ascii="宋体" w:hAnsi="宋体"/>
          <w:snapToGrid w:val="0"/>
          <w:kern w:val="0"/>
        </w:rPr>
        <w:t>2、投标文件未按照招标文件要求制作、密封和标记。</w:t>
      </w:r>
    </w:p>
    <w:p>
      <w:pPr>
        <w:adjustRightInd w:val="0"/>
        <w:spacing w:line="360" w:lineRule="auto"/>
        <w:rPr>
          <w:rFonts w:ascii="宋体" w:hAnsi="宋体"/>
          <w:snapToGrid w:val="0"/>
          <w:kern w:val="0"/>
        </w:rPr>
      </w:pPr>
      <w:r>
        <w:rPr>
          <w:rFonts w:hint="eastAsia" w:ascii="宋体" w:hAnsi="宋体"/>
          <w:snapToGrid w:val="0"/>
          <w:kern w:val="0"/>
        </w:rPr>
        <w:t>3、未按招标文件要求提供法定代表人证明书和法定代表人授权委托证明书。</w:t>
      </w:r>
    </w:p>
    <w:p>
      <w:pPr>
        <w:adjustRightInd w:val="0"/>
        <w:spacing w:line="360" w:lineRule="auto"/>
        <w:ind w:left="283" w:hanging="283" w:hangingChars="135"/>
        <w:rPr>
          <w:rFonts w:ascii="宋体" w:hAnsi="宋体"/>
          <w:snapToGrid w:val="0"/>
          <w:kern w:val="0"/>
        </w:rPr>
      </w:pPr>
      <w:r>
        <w:rPr>
          <w:rFonts w:hint="eastAsia" w:ascii="宋体" w:hAnsi="宋体"/>
          <w:snapToGrid w:val="0"/>
          <w:kern w:val="0"/>
        </w:rPr>
        <w:t>4、投标文件有关内容未按招标文件要求加盖投标人印章、或未经法定代表人或其委托代理人签字（或盖章）。</w:t>
      </w:r>
    </w:p>
    <w:p>
      <w:pPr>
        <w:adjustRightInd w:val="0"/>
        <w:spacing w:line="360" w:lineRule="auto"/>
        <w:rPr>
          <w:rFonts w:ascii="宋体" w:hAnsi="宋体"/>
          <w:snapToGrid w:val="0"/>
          <w:kern w:val="0"/>
        </w:rPr>
      </w:pPr>
      <w:r>
        <w:rPr>
          <w:rFonts w:hint="eastAsia" w:ascii="宋体" w:hAnsi="宋体"/>
          <w:snapToGrid w:val="0"/>
          <w:kern w:val="0"/>
        </w:rPr>
        <w:t>5、投标文件的关键内容字迹模糊、无法辨认的。</w:t>
      </w:r>
    </w:p>
    <w:p>
      <w:pPr>
        <w:adjustRightInd w:val="0"/>
        <w:spacing w:line="360" w:lineRule="auto"/>
        <w:rPr>
          <w:rFonts w:ascii="宋体" w:hAnsi="宋体"/>
          <w:snapToGrid w:val="0"/>
          <w:kern w:val="0"/>
        </w:rPr>
      </w:pPr>
      <w:r>
        <w:rPr>
          <w:rFonts w:hint="eastAsia" w:ascii="宋体" w:hAnsi="宋体"/>
          <w:snapToGrid w:val="0"/>
          <w:kern w:val="0"/>
        </w:rPr>
        <w:t>6、投标报价有严重缺漏项的。</w:t>
      </w:r>
    </w:p>
    <w:p>
      <w:pPr>
        <w:adjustRightInd w:val="0"/>
        <w:spacing w:line="360" w:lineRule="auto"/>
        <w:rPr>
          <w:rFonts w:ascii="宋体" w:hAnsi="宋体"/>
          <w:snapToGrid w:val="0"/>
          <w:kern w:val="0"/>
        </w:rPr>
      </w:pPr>
      <w:r>
        <w:rPr>
          <w:rFonts w:hint="eastAsia" w:ascii="宋体" w:hAnsi="宋体"/>
          <w:snapToGrid w:val="0"/>
          <w:kern w:val="0"/>
        </w:rPr>
        <w:t>7、未按招标文件所提供的样式填写</w:t>
      </w:r>
      <w:r>
        <w:rPr>
          <w:rFonts w:ascii="宋体" w:hAnsi="宋体"/>
          <w:snapToGrid w:val="0"/>
          <w:kern w:val="0"/>
        </w:rPr>
        <w:t>《</w:t>
      </w:r>
      <w:r>
        <w:rPr>
          <w:rFonts w:hint="eastAsia" w:ascii="宋体" w:hAnsi="宋体"/>
          <w:snapToGrid w:val="0"/>
          <w:kern w:val="0"/>
        </w:rPr>
        <w:t>投标函》。</w:t>
      </w:r>
    </w:p>
    <w:p>
      <w:pPr>
        <w:adjustRightInd w:val="0"/>
        <w:spacing w:line="360" w:lineRule="auto"/>
        <w:rPr>
          <w:rFonts w:ascii="宋体" w:hAnsi="宋体"/>
          <w:snapToGrid w:val="0"/>
          <w:kern w:val="0"/>
        </w:rPr>
      </w:pPr>
      <w:r>
        <w:rPr>
          <w:rFonts w:hint="eastAsia" w:ascii="宋体" w:hAnsi="宋体"/>
          <w:snapToGrid w:val="0"/>
          <w:kern w:val="0"/>
        </w:rPr>
        <w:t>8、任一项带★的指标未响应或不满足要求（如有带</w:t>
      </w:r>
      <w:r>
        <w:rPr>
          <w:rFonts w:hint="eastAsia" w:ascii="宋体" w:hAnsi="宋体"/>
        </w:rPr>
        <w:t>★</w:t>
      </w:r>
      <w:r>
        <w:rPr>
          <w:rFonts w:hint="eastAsia" w:ascii="宋体" w:hAnsi="宋体"/>
          <w:snapToGrid w:val="0"/>
          <w:kern w:val="0"/>
        </w:rPr>
        <w:t>号条款）。</w:t>
      </w:r>
    </w:p>
    <w:p>
      <w:pPr>
        <w:adjustRightInd w:val="0"/>
        <w:spacing w:line="360" w:lineRule="auto"/>
        <w:rPr>
          <w:rFonts w:ascii="宋体" w:hAnsi="宋体"/>
          <w:snapToGrid w:val="0"/>
          <w:kern w:val="0"/>
        </w:rPr>
      </w:pPr>
      <w:r>
        <w:rPr>
          <w:rFonts w:hint="eastAsia" w:ascii="宋体" w:hAnsi="宋体"/>
          <w:snapToGrid w:val="0"/>
          <w:kern w:val="0"/>
        </w:rPr>
        <w:t>9、将一个项目包拆分投标，对同一货物及服务投标时，同时提供两套或以上的投标方案。</w:t>
      </w:r>
    </w:p>
    <w:p>
      <w:pPr>
        <w:adjustRightInd w:val="0"/>
        <w:spacing w:line="360" w:lineRule="auto"/>
        <w:rPr>
          <w:rFonts w:ascii="宋体" w:hAnsi="宋体"/>
          <w:snapToGrid w:val="0"/>
          <w:kern w:val="0"/>
        </w:rPr>
      </w:pPr>
      <w:r>
        <w:rPr>
          <w:rFonts w:hint="eastAsia" w:ascii="宋体" w:hAnsi="宋体"/>
          <w:snapToGrid w:val="0"/>
          <w:kern w:val="0"/>
        </w:rPr>
        <w:t>10、投标文件附有</w:t>
      </w:r>
      <w:r>
        <w:rPr>
          <w:rFonts w:hint="eastAsia" w:ascii="宋体" w:hAnsi="宋体"/>
          <w:bCs/>
          <w:snapToGrid w:val="0"/>
          <w:kern w:val="0"/>
        </w:rPr>
        <w:t>采购人</w:t>
      </w:r>
      <w:r>
        <w:rPr>
          <w:rFonts w:hint="eastAsia" w:ascii="宋体" w:hAnsi="宋体"/>
          <w:snapToGrid w:val="0"/>
          <w:kern w:val="0"/>
        </w:rPr>
        <w:t>不能接受的条件。</w:t>
      </w:r>
    </w:p>
    <w:p>
      <w:pPr>
        <w:adjustRightInd w:val="0"/>
        <w:spacing w:line="360" w:lineRule="auto"/>
        <w:rPr>
          <w:rFonts w:ascii="宋体" w:hAnsi="宋体"/>
          <w:snapToGrid w:val="0"/>
          <w:kern w:val="0"/>
        </w:rPr>
      </w:pPr>
      <w:r>
        <w:rPr>
          <w:rFonts w:hint="eastAsia" w:ascii="宋体" w:hAnsi="宋体"/>
          <w:snapToGrid w:val="0"/>
          <w:kern w:val="0"/>
        </w:rPr>
        <w:t>11、投标违规行为：如以他人名义竞标、串通投标或者以其他弄虚作假方式投标的。</w:t>
      </w:r>
    </w:p>
    <w:p>
      <w:pPr>
        <w:adjustRightInd w:val="0"/>
        <w:spacing w:line="360" w:lineRule="auto"/>
        <w:rPr>
          <w:rFonts w:ascii="宋体" w:hAnsi="宋体"/>
          <w:snapToGrid w:val="0"/>
          <w:kern w:val="0"/>
        </w:rPr>
      </w:pPr>
      <w:r>
        <w:rPr>
          <w:rFonts w:hint="eastAsia" w:ascii="宋体" w:hAnsi="宋体"/>
          <w:snapToGrid w:val="0"/>
          <w:kern w:val="0"/>
        </w:rPr>
        <w:t>12、</w:t>
      </w:r>
      <w:r>
        <w:rPr>
          <w:rFonts w:hint="eastAsia" w:ascii="宋体" w:hAnsi="宋体"/>
          <w:bCs/>
          <w:szCs w:val="21"/>
        </w:rPr>
        <w:t>投标人的投标总价超过采购预算金额或最高投标限价的</w:t>
      </w:r>
      <w:r>
        <w:rPr>
          <w:rFonts w:hint="eastAsia" w:ascii="宋体" w:hAnsi="宋体"/>
          <w:snapToGrid w:val="0"/>
          <w:kern w:val="0"/>
        </w:rPr>
        <w:t>。</w:t>
      </w:r>
    </w:p>
    <w:p>
      <w:pPr>
        <w:adjustRightInd w:val="0"/>
        <w:spacing w:line="360" w:lineRule="auto"/>
        <w:rPr>
          <w:rFonts w:ascii="宋体" w:hAnsi="宋体"/>
          <w:snapToGrid w:val="0"/>
          <w:kern w:val="0"/>
        </w:rPr>
      </w:pPr>
      <w:r>
        <w:rPr>
          <w:rFonts w:hint="eastAsia" w:ascii="宋体" w:hAnsi="宋体"/>
          <w:snapToGrid w:val="0"/>
          <w:kern w:val="0"/>
        </w:rPr>
        <w:t>13、法律法规规定的其它情形。</w:t>
      </w:r>
    </w:p>
    <w:p/>
    <w:p/>
    <w:p/>
    <w:p/>
    <w:p>
      <w:pPr>
        <w:widowControl/>
        <w:jc w:val="left"/>
      </w:pPr>
      <w:r>
        <w:br w:type="page"/>
      </w:r>
    </w:p>
    <w:p/>
    <w:p>
      <w:pPr>
        <w:pStyle w:val="3"/>
        <w:spacing w:afterLines="100"/>
      </w:pPr>
      <w:bookmarkStart w:id="3" w:name="_Toc73610141"/>
      <w:r>
        <w:rPr>
          <w:rFonts w:hint="eastAsia"/>
        </w:rPr>
        <w:t>第四章  评标方法和标准</w:t>
      </w:r>
      <w:bookmarkEnd w:id="3"/>
    </w:p>
    <w:p>
      <w:pPr>
        <w:pStyle w:val="5"/>
        <w:spacing w:before="0" w:after="0"/>
      </w:pPr>
      <w:bookmarkStart w:id="4" w:name="_Toc73610142"/>
      <w:bookmarkStart w:id="5" w:name="_Toc44691161"/>
      <w:bookmarkStart w:id="6" w:name="_Toc44690429"/>
      <w:bookmarkStart w:id="7" w:name="_Toc44690702"/>
      <w:bookmarkStart w:id="8" w:name="_Toc44691393"/>
      <w:r>
        <w:rPr>
          <w:rFonts w:hint="eastAsia"/>
        </w:rPr>
        <w:t>一、</w:t>
      </w:r>
      <w:r>
        <w:t>评标方法</w:t>
      </w:r>
      <w:bookmarkEnd w:id="4"/>
      <w:bookmarkEnd w:id="5"/>
      <w:bookmarkEnd w:id="6"/>
      <w:bookmarkEnd w:id="7"/>
      <w:bookmarkEnd w:id="8"/>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1、本项目评标方法：综合评分法</w:t>
      </w:r>
    </w:p>
    <w:p>
      <w:pPr>
        <w:pStyle w:val="46"/>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综合评分法，是指投标文件满足招标文件全部实质性要求，且按照评审因素的量化指标评审得分最高的投标人为中标候选人的评标方法。</w:t>
      </w:r>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2、是否评标定标分离：</w:t>
      </w:r>
      <w:r>
        <w:rPr>
          <w:rFonts w:hint="eastAsia" w:eastAsia="MS Mincho" w:cs="MS Mincho" w:asciiTheme="minorEastAsia" w:hAnsiTheme="minorEastAsia"/>
          <w:sz w:val="21"/>
          <w:szCs w:val="21"/>
        </w:rPr>
        <w:t>☑</w:t>
      </w:r>
      <w:r>
        <w:rPr>
          <w:rFonts w:hint="eastAsia" w:asciiTheme="minorEastAsia" w:hAnsiTheme="minorEastAsia" w:eastAsiaTheme="minorEastAsia"/>
          <w:sz w:val="21"/>
          <w:szCs w:val="21"/>
        </w:rPr>
        <w:t>非评定分离/□评定分离（定标方法：自定法）</w:t>
      </w:r>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3、中标人及中标候选人数量：</w:t>
      </w:r>
      <w:r>
        <w:rPr>
          <w:rFonts w:hint="eastAsia" w:cs="仿宋" w:asciiTheme="minorEastAsia" w:hAnsiTheme="minorEastAsia" w:eastAsiaTheme="minorEastAsia"/>
          <w:kern w:val="2"/>
          <w:sz w:val="21"/>
          <w:szCs w:val="21"/>
        </w:rPr>
        <w:t>中标人数量：1名，中标候选人数量：1名。</w:t>
      </w:r>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4、评标规则：</w:t>
      </w:r>
    </w:p>
    <w:p>
      <w:pPr>
        <w:pStyle w:val="46"/>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评标时，评标委员会按照“</w:t>
      </w:r>
      <w:r>
        <w:rPr>
          <w:rFonts w:hint="eastAsia" w:asciiTheme="minorEastAsia" w:hAnsiTheme="minorEastAsia" w:eastAsiaTheme="minorEastAsia"/>
          <w:bCs/>
          <w:sz w:val="21"/>
          <w:szCs w:val="21"/>
        </w:rPr>
        <w:t>评标标准</w:t>
      </w:r>
      <w:r>
        <w:rPr>
          <w:rFonts w:hint="eastAsia" w:cs="仿宋" w:asciiTheme="minorEastAsia" w:hAnsiTheme="minorEastAsia" w:eastAsiaTheme="minorEastAsia"/>
          <w:kern w:val="2"/>
          <w:sz w:val="21"/>
          <w:szCs w:val="21"/>
        </w:rPr>
        <w:t>”中的各项评审因素，对通过资格审查和符合性审查的所有投标人的投标文件进行独立评审，并汇总每个投标人的得分，取算术平均值后确定其评审得分</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精确至小数点后二位</w:t>
      </w:r>
      <w:r>
        <w:rPr>
          <w:rFonts w:cs="仿宋" w:asciiTheme="minorEastAsia" w:hAnsiTheme="minorEastAsia" w:eastAsiaTheme="minorEastAsia"/>
          <w:kern w:val="2"/>
          <w:sz w:val="21"/>
          <w:szCs w:val="21"/>
        </w:rPr>
        <w:t>)</w:t>
      </w:r>
      <w:r>
        <w:rPr>
          <w:rFonts w:hint="eastAsia" w:cs="仿宋" w:asciiTheme="minorEastAsia" w:hAnsiTheme="minorEastAsia" w:eastAsiaTheme="minorEastAsia"/>
          <w:kern w:val="2"/>
          <w:sz w:val="21"/>
          <w:szCs w:val="21"/>
        </w:rPr>
        <w:t>。</w:t>
      </w:r>
    </w:p>
    <w:p>
      <w:pPr>
        <w:pStyle w:val="46"/>
        <w:spacing w:before="0" w:beforeAutospacing="0" w:after="0" w:afterAutospacing="0" w:line="360" w:lineRule="exact"/>
        <w:ind w:firstLine="424" w:firstLineChars="202"/>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排名结果按投标人评审得分由高到低顺序排列。得分相同的，按投标报价由低到高顺序排列。得分且投标报价相同的并列。投标文件满足招标文件全部实质性要求，且按照评审因素的量化指标评审得分最高的投标人为排名第一的中标候选人。出现得分且投标报价相同的并列情况时，采取随机抽取的方式确定，具体操作办法及流程由评标委员会确定。</w:t>
      </w:r>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5、推荐中标候选人：</w:t>
      </w:r>
    </w:p>
    <w:p>
      <w:pPr>
        <w:pStyle w:val="46"/>
        <w:spacing w:before="0" w:beforeAutospacing="0" w:after="0" w:afterAutospacing="0" w:line="360" w:lineRule="exact"/>
        <w:ind w:firstLine="424" w:firstLineChars="177"/>
        <w:rPr>
          <w:rFonts w:cs="仿宋" w:asciiTheme="minorEastAsia" w:hAnsiTheme="minorEastAsia" w:eastAsiaTheme="minorEastAsia"/>
          <w:kern w:val="2"/>
          <w:sz w:val="21"/>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kern w:val="2"/>
          <w:sz w:val="21"/>
          <w:szCs w:val="21"/>
        </w:rPr>
        <w:t>非评定分离项目：由评标委员会推荐</w:t>
      </w:r>
      <w:r>
        <w:rPr>
          <w:rFonts w:hint="eastAsia" w:cs="仿宋" w:asciiTheme="minorEastAsia" w:hAnsiTheme="minorEastAsia" w:eastAsiaTheme="minorEastAsia"/>
          <w:b/>
          <w:kern w:val="2"/>
          <w:sz w:val="21"/>
          <w:szCs w:val="21"/>
        </w:rPr>
        <w:t>评标排名第一的投标人</w:t>
      </w:r>
      <w:r>
        <w:rPr>
          <w:rFonts w:hint="eastAsia" w:cs="仿宋" w:asciiTheme="minorEastAsia" w:hAnsiTheme="minorEastAsia" w:eastAsiaTheme="minorEastAsia"/>
          <w:kern w:val="2"/>
          <w:sz w:val="21"/>
          <w:szCs w:val="21"/>
        </w:rPr>
        <w:t>作为中标候选人。</w:t>
      </w:r>
    </w:p>
    <w:p>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评定分离项目：由评标委员会推荐</w:t>
      </w:r>
      <w:r>
        <w:rPr>
          <w:rFonts w:hint="eastAsia" w:cs="仿宋" w:asciiTheme="minorEastAsia" w:hAnsiTheme="minorEastAsia" w:eastAsiaTheme="minorEastAsia"/>
          <w:b/>
          <w:szCs w:val="21"/>
        </w:rPr>
        <w:t>评标排名前三的投标人（无排序）</w:t>
      </w:r>
      <w:r>
        <w:rPr>
          <w:rFonts w:hint="eastAsia" w:cs="仿宋" w:asciiTheme="minorEastAsia" w:hAnsiTheme="minorEastAsia" w:eastAsiaTheme="minorEastAsia"/>
          <w:szCs w:val="21"/>
        </w:rPr>
        <w:t>作为候选中标供应商。</w:t>
      </w:r>
    </w:p>
    <w:p>
      <w:pPr>
        <w:pStyle w:val="46"/>
        <w:spacing w:before="0" w:beforeAutospacing="0" w:after="0" w:afterAutospacing="0" w:line="360" w:lineRule="exact"/>
        <w:ind w:firstLine="426" w:firstLineChars="202"/>
        <w:rPr>
          <w:rFonts w:cs="仿宋" w:asciiTheme="minorEastAsia" w:hAnsiTheme="minorEastAsia" w:eastAsiaTheme="minorEastAsia"/>
          <w:b/>
          <w:kern w:val="2"/>
          <w:sz w:val="21"/>
          <w:szCs w:val="21"/>
        </w:rPr>
      </w:pPr>
      <w:r>
        <w:rPr>
          <w:rFonts w:hint="eastAsia" w:cs="仿宋" w:asciiTheme="minorEastAsia" w:hAnsiTheme="minorEastAsia" w:eastAsiaTheme="minorEastAsia"/>
          <w:b/>
          <w:kern w:val="2"/>
          <w:sz w:val="21"/>
          <w:szCs w:val="21"/>
        </w:rPr>
        <w:t>6、确定中标人：</w:t>
      </w:r>
    </w:p>
    <w:p>
      <w:pPr>
        <w:spacing w:line="360" w:lineRule="exact"/>
        <w:ind w:firstLine="424" w:firstLineChars="202"/>
        <w:rPr>
          <w:rFonts w:cs="仿宋" w:asciiTheme="minorEastAsia" w:hAnsiTheme="minorEastAsia" w:eastAsiaTheme="minorEastAsia"/>
          <w:szCs w:val="21"/>
        </w:rPr>
      </w:pPr>
      <w:r>
        <w:rPr>
          <w:rFonts w:hint="eastAsia" w:eastAsia="MS Mincho" w:cs="MS Mincho" w:asciiTheme="minorEastAsia" w:hAnsiTheme="minorEastAsia"/>
        </w:rPr>
        <w:t>☑</w:t>
      </w:r>
      <w:r>
        <w:rPr>
          <w:rFonts w:hint="eastAsia" w:cs="MS Mincho" w:asciiTheme="minorEastAsia" w:hAnsiTheme="minorEastAsia" w:eastAsiaTheme="minorEastAsia"/>
        </w:rPr>
        <w:t xml:space="preserve"> </w:t>
      </w:r>
      <w:r>
        <w:rPr>
          <w:rFonts w:hint="eastAsia" w:cs="仿宋" w:asciiTheme="minorEastAsia" w:hAnsiTheme="minorEastAsia" w:eastAsiaTheme="minorEastAsia"/>
          <w:szCs w:val="21"/>
        </w:rPr>
        <w:t>非评定分离项目：采购人在评标报告确定的中标候选人名单中按顺序确定1名中标人。</w:t>
      </w:r>
    </w:p>
    <w:p>
      <w:pPr>
        <w:spacing w:line="360" w:lineRule="exact"/>
        <w:ind w:firstLine="424" w:firstLineChars="177"/>
        <w:rPr>
          <w:rFonts w:cs="仿宋" w:asciiTheme="minorEastAsia" w:hAnsiTheme="minorEastAsia" w:eastAsiaTheme="minorEastAsia"/>
          <w:szCs w:val="21"/>
        </w:rPr>
      </w:pPr>
      <w:r>
        <w:rPr>
          <w:rFonts w:hint="eastAsia" w:asciiTheme="minorEastAsia" w:hAnsiTheme="minorEastAsia" w:eastAsiaTheme="minorEastAsia"/>
          <w:sz w:val="24"/>
        </w:rPr>
        <w:t xml:space="preserve">□ </w:t>
      </w:r>
      <w:r>
        <w:rPr>
          <w:rFonts w:hint="eastAsia" w:cs="仿宋" w:asciiTheme="minorEastAsia" w:hAnsiTheme="minorEastAsia" w:eastAsiaTheme="minorEastAsia"/>
          <w:szCs w:val="21"/>
        </w:rPr>
        <w:t>评定分离项目：采购人根据招标文件确定的定标方法，从评审报告推荐的候选中标供应商中确定1名中标供应商，并出具定标报告。</w:t>
      </w:r>
    </w:p>
    <w:p>
      <w:pPr>
        <w:spacing w:line="360" w:lineRule="auto"/>
        <w:ind w:firstLine="424" w:firstLineChars="202"/>
        <w:rPr>
          <w:rFonts w:asciiTheme="minorEastAsia" w:hAnsiTheme="minorEastAsia" w:eastAsiaTheme="minorEastAsia"/>
        </w:rPr>
      </w:pPr>
    </w:p>
    <w:p>
      <w:pPr>
        <w:pStyle w:val="5"/>
        <w:spacing w:before="0" w:after="0"/>
      </w:pPr>
      <w:bookmarkStart w:id="9" w:name="_Toc73610143"/>
      <w:r>
        <w:rPr>
          <w:rFonts w:hint="eastAsia"/>
        </w:rPr>
        <w:t>二、评标标准</w:t>
      </w:r>
      <w:bookmarkEnd w:id="9"/>
    </w:p>
    <w:p>
      <w:pPr>
        <w:spacing w:line="360" w:lineRule="auto"/>
        <w:ind w:firstLine="424" w:firstLineChars="202"/>
        <w:rPr>
          <w:rFonts w:asciiTheme="minorEastAsia" w:hAnsiTheme="minorEastAsia" w:eastAsiaTheme="minorEastAsia"/>
          <w:b/>
          <w:bCs/>
        </w:rPr>
      </w:pPr>
      <w:bookmarkStart w:id="10" w:name="_Toc44691394"/>
      <w:bookmarkStart w:id="11" w:name="_Toc44690703"/>
      <w:bookmarkStart w:id="12" w:name="_Toc44691162"/>
      <w:bookmarkStart w:id="13" w:name="_Toc44690430"/>
      <w:bookmarkStart w:id="14" w:name="_Toc73610144"/>
      <w:r>
        <w:rPr>
          <w:rFonts w:hint="eastAsia"/>
          <w:snapToGrid w:val="0"/>
          <w:kern w:val="0"/>
        </w:rPr>
        <w:t>评标委员会按照以下量化的评审因素，对各投标文件进行分析和比较：</w:t>
      </w:r>
    </w:p>
    <w:tbl>
      <w:tblPr>
        <w:tblStyle w:val="5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54"/>
        <w:gridCol w:w="1143"/>
        <w:gridCol w:w="709"/>
        <w:gridCol w:w="5953"/>
        <w:gridCol w:w="11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lang w:val="zh-CN"/>
              </w:rPr>
            </w:pPr>
            <w:r>
              <w:rPr>
                <w:rFonts w:hint="eastAsia" w:ascii="宋体" w:hAnsi="宋体" w:cs="仿宋"/>
                <w:b/>
                <w:szCs w:val="21"/>
                <w:lang w:val="zh-CN"/>
              </w:rPr>
              <w:t>评分项及评分规则</w:t>
            </w:r>
          </w:p>
        </w:tc>
        <w:tc>
          <w:tcPr>
            <w:tcW w:w="1187" w:type="dxa"/>
            <w:vAlign w:val="center"/>
          </w:tcPr>
          <w:p>
            <w:pPr>
              <w:autoSpaceDE w:val="0"/>
              <w:autoSpaceDN w:val="0"/>
              <w:adjustRightInd w:val="0"/>
              <w:spacing w:line="360" w:lineRule="exact"/>
              <w:jc w:val="center"/>
              <w:rPr>
                <w:rFonts w:ascii="宋体" w:hAnsi="宋体" w:cs="仿宋"/>
                <w:b/>
                <w:szCs w:val="21"/>
                <w:lang w:val="zh-CN"/>
              </w:rPr>
            </w:pPr>
            <w:r>
              <w:rPr>
                <w:rFonts w:hint="eastAsia" w:ascii="宋体" w:hAnsi="宋体" w:cs="仿宋"/>
                <w:b/>
                <w:szCs w:val="21"/>
                <w:lang w:val="zh-CN"/>
              </w:rPr>
              <w:t>权重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8"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lang w:val="zh-CN"/>
              </w:rPr>
            </w:pPr>
            <w:r>
              <w:rPr>
                <w:rFonts w:hint="eastAsia" w:ascii="宋体" w:hAnsi="宋体" w:cs="仿宋"/>
                <w:b/>
                <w:szCs w:val="21"/>
                <w:lang w:val="zh-CN"/>
              </w:rPr>
              <w:t>一、价格部分</w:t>
            </w:r>
          </w:p>
        </w:tc>
        <w:tc>
          <w:tcPr>
            <w:tcW w:w="1187" w:type="dxa"/>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1" w:hRule="atLeast"/>
          <w:jc w:val="center"/>
        </w:trPr>
        <w:tc>
          <w:tcPr>
            <w:tcW w:w="8559" w:type="dxa"/>
            <w:gridSpan w:val="4"/>
            <w:vAlign w:val="center"/>
          </w:tcPr>
          <w:p>
            <w:pPr>
              <w:pStyle w:val="46"/>
              <w:spacing w:before="0" w:beforeAutospacing="0" w:after="0" w:afterAutospacing="0" w:line="360" w:lineRule="exact"/>
              <w:ind w:left="420" w:hanging="420"/>
              <w:rPr>
                <w:rFonts w:cs="仿宋"/>
                <w:b/>
                <w:bCs/>
                <w:sz w:val="21"/>
                <w:szCs w:val="21"/>
              </w:rPr>
            </w:pPr>
            <w:r>
              <w:rPr>
                <w:rFonts w:hint="eastAsia" w:cs="仿宋" w:asciiTheme="minorEastAsia" w:hAnsiTheme="minorEastAsia" w:eastAsiaTheme="minorEastAsia"/>
                <w:kern w:val="2"/>
                <w:sz w:val="21"/>
                <w:szCs w:val="21"/>
              </w:rPr>
              <w:t>价格分采用低价优先法计算，计算公式如下：</w:t>
            </w:r>
          </w:p>
          <w:p>
            <w:pPr>
              <w:pStyle w:val="46"/>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投标报价得分 = Z/Sn ×30</w:t>
            </w:r>
          </w:p>
          <w:p>
            <w:pPr>
              <w:pStyle w:val="46"/>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当价格分＜0时，取0。 </w:t>
            </w:r>
          </w:p>
          <w:p>
            <w:pPr>
              <w:pStyle w:val="46"/>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其中：</w:t>
            </w:r>
          </w:p>
          <w:p>
            <w:pPr>
              <w:pStyle w:val="46"/>
              <w:spacing w:before="0" w:beforeAutospacing="0" w:after="0" w:afterAutospacing="0" w:line="360" w:lineRule="exact"/>
              <w:rPr>
                <w:rFonts w:cs="仿宋" w:asciiTheme="minorEastAsia" w:hAnsiTheme="minorEastAsia" w:eastAsiaTheme="minorEastAsia"/>
                <w:kern w:val="2"/>
                <w:sz w:val="21"/>
                <w:szCs w:val="21"/>
              </w:rPr>
            </w:pPr>
            <w:r>
              <w:rPr>
                <w:rFonts w:hint="eastAsia" w:cs="仿宋" w:asciiTheme="minorEastAsia" w:hAnsiTheme="minorEastAsia" w:eastAsiaTheme="minorEastAsia"/>
                <w:kern w:val="2"/>
                <w:sz w:val="21"/>
                <w:szCs w:val="21"/>
              </w:rPr>
              <w:t xml:space="preserve">Z </w:t>
            </w:r>
            <w:r>
              <w:rPr>
                <w:rFonts w:hint="eastAsia" w:cs="仿宋" w:asciiTheme="minorEastAsia" w:hAnsiTheme="minorEastAsia" w:eastAsiaTheme="minorEastAsia"/>
                <w:sz w:val="21"/>
                <w:szCs w:val="21"/>
              </w:rPr>
              <w:t>----</w:t>
            </w:r>
            <w:r>
              <w:rPr>
                <w:rFonts w:hint="eastAsia" w:cs="仿宋" w:asciiTheme="minorEastAsia" w:hAnsiTheme="minorEastAsia" w:eastAsiaTheme="minorEastAsia"/>
                <w:kern w:val="2"/>
                <w:sz w:val="21"/>
                <w:szCs w:val="21"/>
              </w:rPr>
              <w:t>评标基准价，即通过资格性审查和符合性审查且投标价格最低的投标报价。</w:t>
            </w:r>
          </w:p>
          <w:p>
            <w:pPr>
              <w:autoSpaceDE w:val="0"/>
              <w:autoSpaceDN w:val="0"/>
              <w:adjustRightInd w:val="0"/>
              <w:spacing w:line="36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Sn ---投标报价，即通过资格性审查和符合性审查的投标报价。</w:t>
            </w:r>
          </w:p>
          <w:p>
            <w:pPr>
              <w:autoSpaceDE w:val="0"/>
              <w:autoSpaceDN w:val="0"/>
              <w:adjustRightInd w:val="0"/>
              <w:spacing w:line="360" w:lineRule="exact"/>
              <w:jc w:val="left"/>
              <w:rPr>
                <w:rFonts w:ascii="宋体" w:hAnsi="宋体"/>
                <w:b/>
                <w:bCs/>
                <w:snapToGrid w:val="0"/>
                <w:kern w:val="0"/>
              </w:rPr>
            </w:pPr>
            <w:r>
              <w:rPr>
                <w:rFonts w:hint="eastAsia" w:ascii="宋体" w:hAnsi="宋体"/>
                <w:b/>
                <w:snapToGrid w:val="0"/>
                <w:kern w:val="0"/>
                <w:szCs w:val="21"/>
              </w:rPr>
              <w:t>注：对于符合 “</w:t>
            </w:r>
            <w:r>
              <w:rPr>
                <w:rFonts w:hint="eastAsia" w:ascii="宋体" w:hAnsi="宋体"/>
                <w:b/>
                <w:snapToGrid w:val="0"/>
                <w:kern w:val="0"/>
              </w:rPr>
              <w:t>政府采购优惠政策</w:t>
            </w:r>
            <w:r>
              <w:rPr>
                <w:rFonts w:hint="eastAsia" w:ascii="宋体" w:hAnsi="宋体"/>
                <w:b/>
                <w:bCs/>
                <w:snapToGrid w:val="0"/>
                <w:kern w:val="0"/>
              </w:rPr>
              <w:t>”的小微企业、监狱企业和残疾人福利性单位，以调整后的价格计算评标基准价和投标报价。</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lang w:val="zh-CN"/>
              </w:rPr>
              <w:t>按公式计算评分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559" w:type="dxa"/>
            <w:gridSpan w:val="4"/>
            <w:vAlign w:val="center"/>
          </w:tcPr>
          <w:p>
            <w:pPr>
              <w:autoSpaceDE w:val="0"/>
              <w:autoSpaceDN w:val="0"/>
              <w:adjustRightInd w:val="0"/>
              <w:spacing w:line="360" w:lineRule="exact"/>
              <w:jc w:val="center"/>
              <w:rPr>
                <w:rFonts w:ascii="宋体" w:hAnsi="宋体" w:cs="仿宋"/>
                <w:b/>
                <w:szCs w:val="21"/>
              </w:rPr>
            </w:pPr>
            <w:r>
              <w:rPr>
                <w:rFonts w:hint="eastAsia" w:ascii="宋体" w:hAnsi="宋体" w:cs="仿宋"/>
                <w:b/>
                <w:szCs w:val="21"/>
              </w:rPr>
              <w:t>二、技术部分</w:t>
            </w:r>
          </w:p>
        </w:tc>
        <w:tc>
          <w:tcPr>
            <w:tcW w:w="1187" w:type="dxa"/>
            <w:vAlign w:val="center"/>
          </w:tcPr>
          <w:p>
            <w:pPr>
              <w:autoSpaceDE w:val="0"/>
              <w:autoSpaceDN w:val="0"/>
              <w:adjustRightInd w:val="0"/>
              <w:spacing w:line="360" w:lineRule="exact"/>
              <w:jc w:val="center"/>
              <w:rPr>
                <w:rFonts w:hint="default" w:ascii="宋体" w:hAnsi="宋体" w:eastAsia="宋体" w:cs="仿宋"/>
                <w:b/>
                <w:szCs w:val="21"/>
                <w:lang w:val="en-US" w:eastAsia="zh-CN"/>
              </w:rPr>
            </w:pPr>
            <w:r>
              <w:rPr>
                <w:rFonts w:hint="eastAsia" w:ascii="宋体" w:hAnsi="宋体" w:cs="仿宋"/>
                <w:b/>
                <w:szCs w:val="21"/>
                <w:lang w:val="en-US" w:eastAsia="zh-CN"/>
              </w:rPr>
              <w:t>47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1" w:hRule="atLeast"/>
          <w:jc w:val="center"/>
        </w:trPr>
        <w:tc>
          <w:tcPr>
            <w:tcW w:w="754"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序号</w:t>
            </w:r>
          </w:p>
        </w:tc>
        <w:tc>
          <w:tcPr>
            <w:tcW w:w="114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内容</w:t>
            </w:r>
          </w:p>
        </w:tc>
        <w:tc>
          <w:tcPr>
            <w:tcW w:w="709"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权重</w:t>
            </w:r>
          </w:p>
        </w:tc>
        <w:tc>
          <w:tcPr>
            <w:tcW w:w="5953"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评分规则</w:t>
            </w:r>
          </w:p>
        </w:tc>
        <w:tc>
          <w:tcPr>
            <w:tcW w:w="1187" w:type="dxa"/>
            <w:vAlign w:val="center"/>
          </w:tcPr>
          <w:p>
            <w:pPr>
              <w:autoSpaceDE w:val="0"/>
              <w:autoSpaceDN w:val="0"/>
              <w:adjustRightInd w:val="0"/>
              <w:spacing w:line="360" w:lineRule="exact"/>
              <w:jc w:val="center"/>
              <w:rPr>
                <w:rFonts w:ascii="宋体" w:hAnsi="宋体" w:cs="仿宋"/>
                <w:szCs w:val="21"/>
              </w:rPr>
            </w:pPr>
            <w:r>
              <w:rPr>
                <w:rFonts w:hint="eastAsia" w:ascii="宋体" w:hAnsi="宋体" w:cs="仿宋"/>
                <w:szCs w:val="21"/>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54" w:type="dxa"/>
            <w:vAlign w:val="center"/>
          </w:tcPr>
          <w:p>
            <w:pPr>
              <w:autoSpaceDE w:val="0"/>
              <w:autoSpaceDN w:val="0"/>
              <w:adjustRightInd w:val="0"/>
              <w:spacing w:line="360" w:lineRule="exact"/>
              <w:jc w:val="center"/>
              <w:rPr>
                <w:rFonts w:hint="eastAsia" w:ascii="宋体" w:hAnsi="宋体" w:eastAsia="宋体" w:cs="仿宋"/>
                <w:color w:val="auto"/>
                <w:szCs w:val="21"/>
                <w:lang w:val="en-US" w:eastAsia="zh-CN"/>
              </w:rPr>
            </w:pPr>
            <w:r>
              <w:rPr>
                <w:rFonts w:hint="eastAsia" w:ascii="宋体" w:hAnsi="宋体" w:cs="仿宋"/>
                <w:color w:val="auto"/>
                <w:szCs w:val="21"/>
                <w:lang w:val="en-US" w:eastAsia="zh-CN"/>
              </w:rPr>
              <w:t>1</w:t>
            </w:r>
          </w:p>
        </w:tc>
        <w:tc>
          <w:tcPr>
            <w:tcW w:w="1143" w:type="dxa"/>
            <w:vAlign w:val="center"/>
          </w:tcPr>
          <w:p>
            <w:pPr>
              <w:spacing w:line="360" w:lineRule="exact"/>
              <w:jc w:val="center"/>
              <w:rPr>
                <w:rFonts w:hint="eastAsia" w:ascii="宋体" w:hAnsi="宋体" w:cs="仿宋"/>
                <w:color w:val="auto"/>
                <w:szCs w:val="21"/>
              </w:rPr>
            </w:pPr>
            <w:r>
              <w:rPr>
                <w:rFonts w:hint="eastAsia" w:ascii="宋体" w:hAnsi="宋体" w:cs="宋体"/>
                <w:color w:val="auto"/>
                <w:szCs w:val="21"/>
                <w:lang w:eastAsia="zh-CN"/>
              </w:rPr>
              <w:t>兑换</w:t>
            </w:r>
            <w:r>
              <w:rPr>
                <w:rFonts w:hint="eastAsia" w:ascii="宋体" w:hAnsi="宋体" w:cs="宋体"/>
                <w:color w:val="auto"/>
                <w:szCs w:val="21"/>
              </w:rPr>
              <w:t>方案</w:t>
            </w:r>
          </w:p>
        </w:tc>
        <w:tc>
          <w:tcPr>
            <w:tcW w:w="709" w:type="dxa"/>
            <w:vAlign w:val="center"/>
          </w:tcPr>
          <w:p>
            <w:pPr>
              <w:spacing w:line="360" w:lineRule="exact"/>
              <w:jc w:val="center"/>
              <w:rPr>
                <w:rFonts w:hint="default" w:ascii="宋体" w:hAnsi="宋体" w:cs="仿宋"/>
                <w:color w:val="auto"/>
                <w:kern w:val="0"/>
                <w:szCs w:val="21"/>
                <w:lang w:val="en-US" w:eastAsia="zh-CN"/>
              </w:rPr>
            </w:pPr>
            <w:r>
              <w:rPr>
                <w:rFonts w:hint="eastAsia" w:ascii="宋体" w:hAnsi="宋体" w:cs="仿宋"/>
                <w:color w:val="auto"/>
                <w:kern w:val="0"/>
                <w:szCs w:val="21"/>
                <w:lang w:val="en-US" w:eastAsia="zh-CN"/>
              </w:rPr>
              <w:t>20</w:t>
            </w:r>
          </w:p>
        </w:tc>
        <w:tc>
          <w:tcPr>
            <w:tcW w:w="5953" w:type="dxa"/>
            <w:vAlign w:val="center"/>
          </w:tcPr>
          <w:p>
            <w:pPr>
              <w:pStyle w:val="95"/>
              <w:spacing w:line="360" w:lineRule="exact"/>
              <w:ind w:firstLine="0" w:firstLineChars="0"/>
              <w:rPr>
                <w:rFonts w:ascii="宋体" w:hAnsi="宋体"/>
                <w:color w:val="auto"/>
                <w:szCs w:val="21"/>
              </w:rPr>
            </w:pPr>
            <w:r>
              <w:rPr>
                <w:rFonts w:hint="eastAsia" w:ascii="宋体" w:hAnsi="宋体"/>
                <w:color w:val="auto"/>
                <w:szCs w:val="21"/>
              </w:rPr>
              <w:t>（一）评分内容：</w:t>
            </w:r>
          </w:p>
          <w:p>
            <w:pPr>
              <w:adjustRightInd w:val="0"/>
              <w:snapToGrid w:val="0"/>
              <w:spacing w:line="360" w:lineRule="exact"/>
              <w:rPr>
                <w:rFonts w:ascii="宋体" w:hAnsi="宋体"/>
                <w:color w:val="auto"/>
                <w:szCs w:val="21"/>
              </w:rPr>
            </w:pPr>
            <w:r>
              <w:rPr>
                <w:rFonts w:hint="eastAsia" w:ascii="宋体" w:hAnsi="宋体"/>
                <w:color w:val="auto"/>
                <w:szCs w:val="21"/>
              </w:rPr>
              <w:t>要求投标人提供</w:t>
            </w:r>
            <w:r>
              <w:rPr>
                <w:rFonts w:hint="eastAsia" w:ascii="宋体" w:hAnsi="宋体" w:cs="宋体"/>
                <w:color w:val="auto"/>
                <w:szCs w:val="21"/>
                <w:lang w:eastAsia="zh-CN"/>
              </w:rPr>
              <w:t>兑换</w:t>
            </w:r>
            <w:r>
              <w:rPr>
                <w:rFonts w:hint="eastAsia" w:ascii="宋体" w:hAnsi="宋体" w:cs="宋体"/>
                <w:color w:val="auto"/>
                <w:szCs w:val="21"/>
              </w:rPr>
              <w:t>方案</w:t>
            </w:r>
            <w:r>
              <w:rPr>
                <w:rFonts w:hint="eastAsia" w:ascii="宋体" w:hAnsi="宋体"/>
                <w:color w:val="auto"/>
                <w:szCs w:val="21"/>
              </w:rPr>
              <w:t>，</w:t>
            </w:r>
            <w:r>
              <w:rPr>
                <w:rFonts w:hint="eastAsia" w:ascii="宋体" w:hAnsi="宋体" w:cs="宋体"/>
                <w:color w:val="auto"/>
                <w:szCs w:val="21"/>
                <w:lang w:eastAsia="zh-CN"/>
              </w:rPr>
              <w:t>兑换方案不少于三种。</w:t>
            </w:r>
            <w:r>
              <w:rPr>
                <w:rFonts w:hint="eastAsia" w:ascii="宋体" w:hAnsi="宋体"/>
                <w:color w:val="auto"/>
                <w:szCs w:val="21"/>
              </w:rPr>
              <w:t>包括：产品</w:t>
            </w:r>
            <w:r>
              <w:rPr>
                <w:rFonts w:hint="eastAsia" w:ascii="宋体" w:hAnsi="宋体"/>
                <w:color w:val="auto"/>
                <w:szCs w:val="21"/>
                <w:lang w:eastAsia="zh-CN"/>
              </w:rPr>
              <w:t>种类、产品组合</w:t>
            </w:r>
            <w:r>
              <w:rPr>
                <w:rFonts w:hint="eastAsia" w:ascii="宋体" w:hAnsi="宋体"/>
                <w:color w:val="auto"/>
                <w:szCs w:val="21"/>
              </w:rPr>
              <w:t>，评标专家根据响应情况进行评审。</w:t>
            </w:r>
          </w:p>
          <w:p>
            <w:pPr>
              <w:adjustRightInd w:val="0"/>
              <w:snapToGrid w:val="0"/>
              <w:spacing w:line="360" w:lineRule="exact"/>
              <w:rPr>
                <w:rFonts w:ascii="宋体" w:hAnsi="宋体"/>
                <w:snapToGrid w:val="0"/>
                <w:color w:val="auto"/>
                <w:kern w:val="0"/>
                <w:szCs w:val="21"/>
              </w:rPr>
            </w:pPr>
            <w:r>
              <w:rPr>
                <w:rFonts w:hint="eastAsia" w:ascii="宋体" w:hAnsi="宋体"/>
                <w:snapToGrid w:val="0"/>
                <w:color w:val="auto"/>
                <w:kern w:val="0"/>
                <w:szCs w:val="21"/>
              </w:rPr>
              <w:t>评分标准：</w:t>
            </w:r>
          </w:p>
          <w:p>
            <w:pPr>
              <w:adjustRightInd w:val="0"/>
              <w:snapToGrid w:val="0"/>
              <w:spacing w:line="360" w:lineRule="exact"/>
              <w:rPr>
                <w:rFonts w:ascii="宋体" w:hAnsi="宋体"/>
                <w:color w:val="auto"/>
                <w:szCs w:val="21"/>
              </w:rPr>
            </w:pPr>
            <w:r>
              <w:rPr>
                <w:rFonts w:hint="eastAsia" w:ascii="宋体" w:hAnsi="宋体"/>
                <w:snapToGrid w:val="0"/>
                <w:color w:val="auto"/>
                <w:kern w:val="0"/>
                <w:szCs w:val="21"/>
              </w:rPr>
              <w:t>（1）</w:t>
            </w:r>
            <w:r>
              <w:rPr>
                <w:rFonts w:hint="eastAsia" w:ascii="宋体" w:hAnsi="宋体"/>
                <w:color w:val="auto"/>
                <w:szCs w:val="21"/>
                <w:lang w:eastAsia="zh-CN"/>
              </w:rPr>
              <w:t>产品种类</w:t>
            </w:r>
            <w:r>
              <w:rPr>
                <w:rFonts w:hint="eastAsia" w:ascii="宋体" w:hAnsi="宋体"/>
                <w:color w:val="auto"/>
                <w:szCs w:val="21"/>
              </w:rPr>
              <w:t>内容全面；</w:t>
            </w:r>
          </w:p>
          <w:p>
            <w:pPr>
              <w:adjustRightInd w:val="0"/>
              <w:snapToGrid w:val="0"/>
              <w:spacing w:line="360" w:lineRule="exact"/>
              <w:rPr>
                <w:rFonts w:ascii="宋体" w:hAnsi="宋体"/>
                <w:color w:val="auto"/>
                <w:szCs w:val="21"/>
              </w:rPr>
            </w:pPr>
            <w:r>
              <w:rPr>
                <w:rFonts w:hint="eastAsia" w:ascii="宋体" w:hAnsi="宋体"/>
                <w:color w:val="auto"/>
                <w:szCs w:val="21"/>
              </w:rPr>
              <w:t>（2）</w:t>
            </w:r>
            <w:r>
              <w:rPr>
                <w:rFonts w:hint="eastAsia" w:ascii="宋体" w:hAnsi="宋体" w:cs="宋体"/>
                <w:color w:val="auto"/>
                <w:szCs w:val="21"/>
                <w:lang w:eastAsia="zh-CN"/>
              </w:rPr>
              <w:t>产品</w:t>
            </w:r>
            <w:r>
              <w:rPr>
                <w:rFonts w:hint="eastAsia" w:ascii="宋体" w:hAnsi="宋体"/>
                <w:color w:val="auto"/>
                <w:szCs w:val="21"/>
                <w:lang w:eastAsia="zh-CN"/>
              </w:rPr>
              <w:t>组合</w:t>
            </w:r>
            <w:r>
              <w:rPr>
                <w:rFonts w:hint="eastAsia" w:ascii="宋体" w:hAnsi="宋体"/>
                <w:color w:val="auto"/>
                <w:szCs w:val="21"/>
              </w:rPr>
              <w:t>科学合理；</w:t>
            </w:r>
          </w:p>
          <w:p>
            <w:pPr>
              <w:adjustRightInd w:val="0"/>
              <w:snapToGrid w:val="0"/>
              <w:spacing w:line="360" w:lineRule="exact"/>
              <w:rPr>
                <w:rFonts w:ascii="宋体" w:hAnsi="宋体"/>
                <w:snapToGrid w:val="0"/>
                <w:color w:val="auto"/>
                <w:kern w:val="0"/>
                <w:szCs w:val="21"/>
              </w:rPr>
            </w:pPr>
            <w:r>
              <w:rPr>
                <w:rFonts w:hint="eastAsia" w:ascii="宋体" w:hAnsi="宋体"/>
                <w:color w:val="auto"/>
                <w:szCs w:val="21"/>
              </w:rPr>
              <w:t>（3）</w:t>
            </w:r>
            <w:r>
              <w:rPr>
                <w:rFonts w:hint="eastAsia" w:ascii="宋体" w:hAnsi="宋体"/>
                <w:szCs w:val="21"/>
              </w:rPr>
              <w:t>产品</w:t>
            </w:r>
            <w:r>
              <w:rPr>
                <w:rFonts w:hint="eastAsia" w:ascii="宋体" w:hAnsi="宋体"/>
                <w:szCs w:val="21"/>
                <w:lang w:eastAsia="zh-CN"/>
              </w:rPr>
              <w:t>兑换方案可操作性强</w:t>
            </w:r>
            <w:r>
              <w:rPr>
                <w:rFonts w:hint="eastAsia" w:ascii="宋体" w:hAnsi="宋体"/>
                <w:color w:val="auto"/>
                <w:szCs w:val="21"/>
              </w:rPr>
              <w:t>。</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（二）评分标准：</w:t>
            </w:r>
          </w:p>
          <w:p>
            <w:pPr>
              <w:tabs>
                <w:tab w:val="left" w:pos="175"/>
              </w:tabs>
              <w:spacing w:line="360" w:lineRule="exact"/>
              <w:ind w:left="33" w:leftChars="0"/>
              <w:jc w:val="left"/>
              <w:rPr>
                <w:rFonts w:hint="eastAsia" w:ascii="宋体" w:hAnsi="宋体" w:cs="仿宋"/>
                <w:color w:val="auto"/>
                <w:szCs w:val="21"/>
              </w:rPr>
            </w:pPr>
            <w:r>
              <w:rPr>
                <w:rFonts w:hint="eastAsia" w:ascii="宋体" w:hAnsi="宋体" w:cs="仿宋"/>
                <w:color w:val="auto"/>
                <w:szCs w:val="21"/>
              </w:rPr>
              <w:t>满足以上三项要求得</w:t>
            </w:r>
            <w:r>
              <w:rPr>
                <w:rFonts w:hint="eastAsia" w:ascii="宋体" w:hAnsi="宋体" w:cs="仿宋"/>
                <w:color w:val="auto"/>
                <w:szCs w:val="21"/>
                <w:lang w:val="en-US" w:eastAsia="zh-CN"/>
              </w:rPr>
              <w:t>20</w:t>
            </w:r>
            <w:r>
              <w:rPr>
                <w:rFonts w:hint="eastAsia" w:ascii="宋体" w:hAnsi="宋体" w:cs="仿宋"/>
                <w:color w:val="auto"/>
                <w:szCs w:val="21"/>
              </w:rPr>
              <w:t>分，满足以上两项要求得</w:t>
            </w:r>
            <w:r>
              <w:rPr>
                <w:rFonts w:hint="eastAsia" w:ascii="宋体" w:hAnsi="宋体" w:cs="仿宋"/>
                <w:color w:val="auto"/>
                <w:szCs w:val="21"/>
                <w:lang w:val="en-US" w:eastAsia="zh-CN"/>
              </w:rPr>
              <w:t>10</w:t>
            </w:r>
            <w:r>
              <w:rPr>
                <w:rFonts w:hint="eastAsia" w:ascii="宋体" w:hAnsi="宋体" w:cs="仿宋"/>
                <w:color w:val="auto"/>
                <w:szCs w:val="21"/>
              </w:rPr>
              <w:t>分，满足以上一项要求得5分，其它情况不得分。</w:t>
            </w:r>
          </w:p>
        </w:tc>
        <w:tc>
          <w:tcPr>
            <w:tcW w:w="1187" w:type="dxa"/>
            <w:vAlign w:val="center"/>
          </w:tcPr>
          <w:p>
            <w:pPr>
              <w:spacing w:line="360" w:lineRule="exact"/>
              <w:jc w:val="center"/>
              <w:rPr>
                <w:rFonts w:hint="eastAsia" w:ascii="宋体" w:hAnsi="宋体" w:cs="仿宋"/>
                <w:color w:val="auto"/>
                <w:szCs w:val="21"/>
                <w:lang w:val="zh-CN"/>
              </w:rPr>
            </w:pPr>
            <w:r>
              <w:rPr>
                <w:rFonts w:hint="eastAsia" w:ascii="宋体" w:hAnsi="宋体" w:cs="仿宋"/>
                <w:color w:val="auto"/>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59" w:hRule="atLeast"/>
          <w:jc w:val="center"/>
        </w:trPr>
        <w:tc>
          <w:tcPr>
            <w:tcW w:w="754" w:type="dxa"/>
            <w:vAlign w:val="center"/>
          </w:tcPr>
          <w:p>
            <w:pPr>
              <w:autoSpaceDE w:val="0"/>
              <w:autoSpaceDN w:val="0"/>
              <w:adjustRightInd w:val="0"/>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2</w:t>
            </w:r>
          </w:p>
        </w:tc>
        <w:tc>
          <w:tcPr>
            <w:tcW w:w="1143" w:type="dxa"/>
            <w:vAlign w:val="center"/>
          </w:tcPr>
          <w:p>
            <w:pPr>
              <w:spacing w:line="360" w:lineRule="exact"/>
              <w:jc w:val="center"/>
              <w:rPr>
                <w:rFonts w:ascii="宋体" w:hAnsi="宋体"/>
                <w:color w:val="auto"/>
                <w:szCs w:val="21"/>
              </w:rPr>
            </w:pPr>
            <w:r>
              <w:rPr>
                <w:rFonts w:hint="eastAsia" w:ascii="宋体" w:hAnsi="宋体" w:cs="仿宋"/>
                <w:color w:val="auto"/>
                <w:szCs w:val="21"/>
              </w:rPr>
              <w:t>质量保障措施及方案</w:t>
            </w:r>
          </w:p>
        </w:tc>
        <w:tc>
          <w:tcPr>
            <w:tcW w:w="709" w:type="dxa"/>
            <w:vAlign w:val="center"/>
          </w:tcPr>
          <w:p>
            <w:pPr>
              <w:spacing w:line="360" w:lineRule="exact"/>
              <w:jc w:val="center"/>
              <w:rPr>
                <w:rFonts w:hint="default" w:ascii="宋体" w:hAnsi="宋体" w:eastAsia="宋体" w:cs="仿宋"/>
                <w:color w:val="auto"/>
                <w:kern w:val="0"/>
                <w:szCs w:val="21"/>
                <w:lang w:val="en-US" w:eastAsia="zh-CN"/>
              </w:rPr>
            </w:pPr>
            <w:r>
              <w:rPr>
                <w:rFonts w:hint="eastAsia" w:ascii="宋体" w:hAnsi="宋体" w:cs="仿宋"/>
                <w:color w:val="auto"/>
                <w:kern w:val="0"/>
                <w:szCs w:val="21"/>
                <w:lang w:val="en-US" w:eastAsia="zh-CN"/>
              </w:rPr>
              <w:t>15</w:t>
            </w:r>
          </w:p>
        </w:tc>
        <w:tc>
          <w:tcPr>
            <w:tcW w:w="5953" w:type="dxa"/>
            <w:vAlign w:val="center"/>
          </w:tcPr>
          <w:p>
            <w:pPr>
              <w:pStyle w:val="95"/>
              <w:spacing w:line="360" w:lineRule="exact"/>
              <w:ind w:firstLine="0" w:firstLineChars="0"/>
              <w:rPr>
                <w:rFonts w:ascii="宋体" w:hAnsi="宋体"/>
                <w:color w:val="auto"/>
                <w:szCs w:val="21"/>
              </w:rPr>
            </w:pPr>
            <w:r>
              <w:rPr>
                <w:rFonts w:hint="eastAsia" w:ascii="宋体" w:hAnsi="宋体"/>
                <w:color w:val="auto"/>
                <w:szCs w:val="21"/>
              </w:rPr>
              <w:t>（一）评分内容：</w:t>
            </w:r>
          </w:p>
          <w:p>
            <w:pPr>
              <w:adjustRightInd w:val="0"/>
              <w:snapToGrid w:val="0"/>
              <w:spacing w:line="360" w:lineRule="exact"/>
              <w:rPr>
                <w:rFonts w:ascii="宋体" w:hAnsi="宋体"/>
                <w:color w:val="auto"/>
                <w:szCs w:val="21"/>
              </w:rPr>
            </w:pPr>
            <w:r>
              <w:rPr>
                <w:rFonts w:hint="eastAsia" w:ascii="宋体" w:hAnsi="宋体"/>
                <w:color w:val="auto"/>
                <w:szCs w:val="21"/>
              </w:rPr>
              <w:t>要求投标人提供质量保证措施及方案，包括：产品质量管控措施、</w:t>
            </w:r>
            <w:r>
              <w:rPr>
                <w:rFonts w:hint="eastAsia" w:ascii="宋体" w:hAnsi="宋体" w:cs="宋体"/>
                <w:color w:val="auto"/>
                <w:szCs w:val="21"/>
              </w:rPr>
              <w:t>食品的保存、运输各环节的质量保证措施及方案</w:t>
            </w:r>
            <w:r>
              <w:rPr>
                <w:rFonts w:hint="eastAsia" w:ascii="宋体" w:hAnsi="宋体"/>
                <w:color w:val="auto"/>
                <w:szCs w:val="21"/>
              </w:rPr>
              <w:t>，评标专家根据响应情况进行评审。</w:t>
            </w:r>
          </w:p>
          <w:p>
            <w:pPr>
              <w:adjustRightInd w:val="0"/>
              <w:snapToGrid w:val="0"/>
              <w:spacing w:line="360" w:lineRule="exact"/>
              <w:rPr>
                <w:rFonts w:ascii="宋体" w:hAnsi="宋体"/>
                <w:snapToGrid w:val="0"/>
                <w:color w:val="auto"/>
                <w:kern w:val="0"/>
                <w:szCs w:val="21"/>
              </w:rPr>
            </w:pPr>
            <w:r>
              <w:rPr>
                <w:rFonts w:hint="eastAsia" w:ascii="宋体" w:hAnsi="宋体"/>
                <w:snapToGrid w:val="0"/>
                <w:color w:val="auto"/>
                <w:kern w:val="0"/>
                <w:szCs w:val="21"/>
              </w:rPr>
              <w:t>评分标准：</w:t>
            </w:r>
          </w:p>
          <w:p>
            <w:pPr>
              <w:adjustRightInd w:val="0"/>
              <w:snapToGrid w:val="0"/>
              <w:spacing w:line="360" w:lineRule="exact"/>
              <w:rPr>
                <w:rFonts w:ascii="宋体" w:hAnsi="宋体"/>
                <w:color w:val="auto"/>
                <w:szCs w:val="21"/>
              </w:rPr>
            </w:pPr>
            <w:r>
              <w:rPr>
                <w:rFonts w:hint="eastAsia" w:ascii="宋体" w:hAnsi="宋体"/>
                <w:snapToGrid w:val="0"/>
                <w:color w:val="auto"/>
                <w:kern w:val="0"/>
                <w:szCs w:val="21"/>
              </w:rPr>
              <w:t>（1）</w:t>
            </w:r>
            <w:r>
              <w:rPr>
                <w:rFonts w:hint="eastAsia" w:ascii="宋体" w:hAnsi="宋体"/>
                <w:color w:val="auto"/>
                <w:szCs w:val="21"/>
              </w:rPr>
              <w:t>产品质量管控措施内容全面；</w:t>
            </w:r>
          </w:p>
          <w:p>
            <w:pPr>
              <w:adjustRightInd w:val="0"/>
              <w:snapToGrid w:val="0"/>
              <w:spacing w:line="360" w:lineRule="exact"/>
              <w:rPr>
                <w:rFonts w:ascii="宋体" w:hAnsi="宋体"/>
                <w:color w:val="auto"/>
                <w:szCs w:val="21"/>
              </w:rPr>
            </w:pPr>
            <w:r>
              <w:rPr>
                <w:rFonts w:hint="eastAsia" w:ascii="宋体" w:hAnsi="宋体"/>
                <w:color w:val="auto"/>
                <w:szCs w:val="21"/>
              </w:rPr>
              <w:t>（2）</w:t>
            </w:r>
            <w:r>
              <w:rPr>
                <w:rFonts w:hint="eastAsia" w:ascii="宋体" w:hAnsi="宋体" w:cs="宋体"/>
                <w:color w:val="auto"/>
                <w:szCs w:val="21"/>
              </w:rPr>
              <w:t>食品的保存</w:t>
            </w:r>
            <w:r>
              <w:rPr>
                <w:rFonts w:hint="eastAsia" w:ascii="宋体" w:hAnsi="宋体"/>
                <w:color w:val="auto"/>
                <w:szCs w:val="21"/>
              </w:rPr>
              <w:t>保障措施针对性强，科学合理；</w:t>
            </w:r>
          </w:p>
          <w:p>
            <w:pPr>
              <w:adjustRightInd w:val="0"/>
              <w:snapToGrid w:val="0"/>
              <w:spacing w:line="360" w:lineRule="exact"/>
              <w:rPr>
                <w:rFonts w:ascii="宋体" w:hAnsi="宋体"/>
                <w:snapToGrid w:val="0"/>
                <w:color w:val="auto"/>
                <w:kern w:val="0"/>
                <w:szCs w:val="21"/>
              </w:rPr>
            </w:pPr>
            <w:r>
              <w:rPr>
                <w:rFonts w:hint="eastAsia" w:ascii="宋体" w:hAnsi="宋体"/>
                <w:color w:val="auto"/>
                <w:szCs w:val="21"/>
              </w:rPr>
              <w:t>（3）</w:t>
            </w:r>
            <w:r>
              <w:rPr>
                <w:rFonts w:hint="eastAsia" w:ascii="宋体" w:hAnsi="宋体" w:cs="宋体"/>
                <w:color w:val="auto"/>
                <w:szCs w:val="21"/>
              </w:rPr>
              <w:t>运输各环节的质量保证措施及方案可操作性强</w:t>
            </w:r>
            <w:r>
              <w:rPr>
                <w:rFonts w:hint="eastAsia" w:ascii="宋体" w:hAnsi="宋体"/>
                <w:color w:val="auto"/>
                <w:szCs w:val="21"/>
              </w:rPr>
              <w:t>。</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（二）评分标准：</w:t>
            </w:r>
          </w:p>
          <w:p>
            <w:pPr>
              <w:tabs>
                <w:tab w:val="left" w:pos="175"/>
              </w:tabs>
              <w:spacing w:line="360" w:lineRule="exact"/>
              <w:ind w:left="33" w:leftChars="0"/>
              <w:jc w:val="left"/>
              <w:rPr>
                <w:rFonts w:ascii="宋体" w:hAnsi="宋体" w:cs="仿宋"/>
                <w:color w:val="auto"/>
                <w:szCs w:val="21"/>
              </w:rPr>
            </w:pPr>
            <w:r>
              <w:rPr>
                <w:rFonts w:hint="eastAsia" w:ascii="宋体" w:hAnsi="宋体" w:cs="仿宋"/>
                <w:color w:val="auto"/>
                <w:szCs w:val="21"/>
              </w:rPr>
              <w:t>满足以上三项要求得</w:t>
            </w:r>
            <w:r>
              <w:rPr>
                <w:rFonts w:hint="eastAsia" w:ascii="宋体" w:hAnsi="宋体" w:cs="仿宋"/>
                <w:color w:val="auto"/>
                <w:szCs w:val="21"/>
                <w:lang w:val="en-US" w:eastAsia="zh-CN"/>
              </w:rPr>
              <w:t>15</w:t>
            </w:r>
            <w:r>
              <w:rPr>
                <w:rFonts w:hint="eastAsia" w:ascii="宋体" w:hAnsi="宋体" w:cs="仿宋"/>
                <w:color w:val="auto"/>
                <w:szCs w:val="21"/>
              </w:rPr>
              <w:t>分，满足以上两项要求得</w:t>
            </w:r>
            <w:r>
              <w:rPr>
                <w:rFonts w:hint="eastAsia" w:ascii="宋体" w:hAnsi="宋体" w:cs="仿宋"/>
                <w:color w:val="auto"/>
                <w:szCs w:val="21"/>
                <w:lang w:val="en-US" w:eastAsia="zh-CN"/>
              </w:rPr>
              <w:t>10</w:t>
            </w:r>
            <w:r>
              <w:rPr>
                <w:rFonts w:hint="eastAsia" w:ascii="宋体" w:hAnsi="宋体" w:cs="仿宋"/>
                <w:color w:val="auto"/>
                <w:szCs w:val="21"/>
              </w:rPr>
              <w:t>分，满足以上一项要求得5分，其它情况不得分。</w:t>
            </w:r>
          </w:p>
        </w:tc>
        <w:tc>
          <w:tcPr>
            <w:tcW w:w="1187" w:type="dxa"/>
            <w:vAlign w:val="center"/>
          </w:tcPr>
          <w:p>
            <w:pPr>
              <w:spacing w:line="360" w:lineRule="exact"/>
              <w:jc w:val="center"/>
              <w:rPr>
                <w:rFonts w:ascii="宋体" w:hAnsi="宋体" w:cs="仿宋"/>
                <w:color w:val="auto"/>
                <w:szCs w:val="21"/>
              </w:rPr>
            </w:pPr>
            <w:r>
              <w:rPr>
                <w:rFonts w:hint="eastAsia" w:ascii="宋体" w:hAnsi="宋体" w:cs="仿宋"/>
                <w:color w:val="auto"/>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95" w:hRule="atLeast"/>
          <w:jc w:val="center"/>
        </w:trPr>
        <w:tc>
          <w:tcPr>
            <w:tcW w:w="754" w:type="dxa"/>
            <w:vAlign w:val="center"/>
          </w:tcPr>
          <w:p>
            <w:pPr>
              <w:autoSpaceDE w:val="0"/>
              <w:autoSpaceDN w:val="0"/>
              <w:adjustRightInd w:val="0"/>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3</w:t>
            </w:r>
          </w:p>
        </w:tc>
        <w:tc>
          <w:tcPr>
            <w:tcW w:w="1143" w:type="dxa"/>
            <w:vAlign w:val="center"/>
          </w:tcPr>
          <w:p>
            <w:pPr>
              <w:widowControl/>
              <w:spacing w:line="360" w:lineRule="exact"/>
              <w:jc w:val="center"/>
              <w:rPr>
                <w:rFonts w:ascii="宋体" w:hAnsi="宋体" w:eastAsia="宋体" w:cs="Times New Roman"/>
                <w:color w:val="auto"/>
                <w:kern w:val="2"/>
                <w:sz w:val="21"/>
                <w:szCs w:val="21"/>
                <w:lang w:val="en-US" w:eastAsia="zh-CN" w:bidi="ar-SA"/>
              </w:rPr>
            </w:pPr>
            <w:r>
              <w:rPr>
                <w:rFonts w:hint="eastAsia"/>
                <w:color w:val="auto"/>
              </w:rPr>
              <w:t>售后服务方案</w:t>
            </w:r>
          </w:p>
        </w:tc>
        <w:tc>
          <w:tcPr>
            <w:tcW w:w="709" w:type="dxa"/>
            <w:vAlign w:val="center"/>
          </w:tcPr>
          <w:p>
            <w:pPr>
              <w:widowControl/>
              <w:spacing w:line="360" w:lineRule="exact"/>
              <w:jc w:val="center"/>
              <w:rPr>
                <w:rFonts w:hint="default" w:ascii="宋体" w:hAnsi="宋体" w:eastAsia="宋体" w:cs="仿宋"/>
                <w:color w:val="auto"/>
                <w:kern w:val="0"/>
                <w:sz w:val="21"/>
                <w:szCs w:val="21"/>
                <w:lang w:val="en-US" w:eastAsia="zh-CN" w:bidi="ar-SA"/>
              </w:rPr>
            </w:pPr>
            <w:r>
              <w:rPr>
                <w:rFonts w:hint="eastAsia" w:ascii="宋体" w:hAnsi="宋体" w:eastAsia="宋体" w:cs="仿宋"/>
                <w:color w:val="auto"/>
                <w:kern w:val="0"/>
                <w:sz w:val="21"/>
                <w:szCs w:val="21"/>
                <w:lang w:val="en-US" w:eastAsia="zh-CN" w:bidi="ar-SA"/>
              </w:rPr>
              <w:t>7</w:t>
            </w:r>
          </w:p>
        </w:tc>
        <w:tc>
          <w:tcPr>
            <w:tcW w:w="5953" w:type="dxa"/>
            <w:vAlign w:val="center"/>
          </w:tcPr>
          <w:p>
            <w:pPr>
              <w:pStyle w:val="95"/>
              <w:spacing w:line="360" w:lineRule="exact"/>
              <w:ind w:firstLine="0" w:firstLineChars="0"/>
              <w:rPr>
                <w:rFonts w:ascii="宋体" w:hAnsi="宋体"/>
                <w:color w:val="auto"/>
                <w:szCs w:val="21"/>
              </w:rPr>
            </w:pPr>
            <w:r>
              <w:rPr>
                <w:rFonts w:hint="eastAsia" w:ascii="宋体" w:hAnsi="宋体"/>
                <w:color w:val="auto"/>
                <w:szCs w:val="21"/>
              </w:rPr>
              <w:t>（一）评分内容：</w:t>
            </w:r>
          </w:p>
          <w:p>
            <w:pPr>
              <w:widowControl/>
              <w:spacing w:line="360" w:lineRule="exact"/>
              <w:rPr>
                <w:rFonts w:ascii="宋体" w:hAnsi="宋体" w:cs="仿宋"/>
                <w:color w:val="auto"/>
                <w:szCs w:val="21"/>
              </w:rPr>
            </w:pPr>
            <w:r>
              <w:rPr>
                <w:rFonts w:hint="eastAsia" w:ascii="宋体" w:hAnsi="宋体" w:cs="仿宋"/>
                <w:color w:val="auto"/>
                <w:szCs w:val="21"/>
              </w:rPr>
              <w:t>投标人根据本项目的需求制定</w:t>
            </w:r>
            <w:r>
              <w:rPr>
                <w:rFonts w:hint="eastAsia"/>
                <w:color w:val="auto"/>
              </w:rPr>
              <w:t>售后服务方案</w:t>
            </w:r>
            <w:r>
              <w:rPr>
                <w:rFonts w:hint="eastAsia" w:ascii="宋体" w:hAnsi="宋体" w:cs="仿宋"/>
                <w:color w:val="auto"/>
                <w:szCs w:val="21"/>
              </w:rPr>
              <w:t>（包括但不限</w:t>
            </w:r>
            <w:r>
              <w:rPr>
                <w:rFonts w:hint="eastAsia" w:ascii="宋体" w:hAnsi="宋体" w:cs="仿宋"/>
                <w:color w:val="auto"/>
                <w:szCs w:val="21"/>
                <w:lang w:eastAsia="zh-CN"/>
              </w:rPr>
              <w:t>于</w:t>
            </w:r>
            <w:r>
              <w:rPr>
                <w:rFonts w:hint="eastAsia"/>
                <w:color w:val="auto"/>
              </w:rPr>
              <w:t>售后</w:t>
            </w:r>
            <w:r>
              <w:rPr>
                <w:rFonts w:hint="eastAsia" w:ascii="宋体" w:hAnsi="宋体" w:cs="仿宋"/>
                <w:color w:val="auto"/>
                <w:szCs w:val="21"/>
              </w:rPr>
              <w:t>服务机构</w:t>
            </w:r>
            <w:r>
              <w:rPr>
                <w:rFonts w:hint="eastAsia" w:ascii="宋体" w:hAnsi="宋体" w:cs="仿宋"/>
                <w:color w:val="auto"/>
                <w:szCs w:val="21"/>
                <w:lang w:eastAsia="zh-CN"/>
              </w:rPr>
              <w:t>、</w:t>
            </w:r>
            <w:r>
              <w:rPr>
                <w:rFonts w:hint="eastAsia"/>
                <w:kern w:val="2"/>
              </w:rPr>
              <w:t>出现质量问题的响应速度及处理完成时间</w:t>
            </w:r>
            <w:r>
              <w:rPr>
                <w:rFonts w:hint="eastAsia" w:ascii="宋体" w:hAnsi="宋体" w:cs="仿宋"/>
                <w:color w:val="auto"/>
                <w:szCs w:val="21"/>
              </w:rPr>
              <w:t>），根据响应情况进行评审：</w:t>
            </w:r>
          </w:p>
          <w:p>
            <w:pPr>
              <w:widowControl/>
              <w:spacing w:line="360" w:lineRule="exact"/>
              <w:rPr>
                <w:rFonts w:ascii="宋体" w:hAnsi="宋体" w:cs="仿宋"/>
                <w:color w:val="auto"/>
                <w:szCs w:val="21"/>
              </w:rPr>
            </w:pPr>
            <w:r>
              <w:rPr>
                <w:rFonts w:hint="eastAsia" w:ascii="宋体" w:hAnsi="宋体" w:cs="仿宋"/>
                <w:color w:val="auto"/>
                <w:szCs w:val="21"/>
              </w:rPr>
              <w:t>（1）</w:t>
            </w:r>
            <w:r>
              <w:rPr>
                <w:rFonts w:hint="eastAsia"/>
                <w:color w:val="auto"/>
              </w:rPr>
              <w:t>售后</w:t>
            </w:r>
            <w:r>
              <w:rPr>
                <w:rFonts w:hint="eastAsia" w:ascii="宋体" w:hAnsi="宋体" w:cs="仿宋"/>
                <w:color w:val="auto"/>
                <w:szCs w:val="21"/>
              </w:rPr>
              <w:t>服务机构设置</w:t>
            </w:r>
            <w:r>
              <w:rPr>
                <w:rFonts w:hint="eastAsia" w:ascii="宋体" w:hAnsi="宋体" w:cs="仿宋"/>
                <w:color w:val="auto"/>
                <w:szCs w:val="21"/>
                <w:lang w:eastAsia="zh-CN"/>
              </w:rPr>
              <w:t>合理</w:t>
            </w:r>
            <w:r>
              <w:rPr>
                <w:rFonts w:hint="eastAsia" w:ascii="宋体" w:hAnsi="宋体" w:cs="仿宋"/>
                <w:color w:val="auto"/>
                <w:szCs w:val="21"/>
              </w:rPr>
              <w:t>；</w:t>
            </w:r>
          </w:p>
          <w:p>
            <w:pPr>
              <w:widowControl/>
              <w:spacing w:line="360" w:lineRule="exact"/>
              <w:rPr>
                <w:rFonts w:ascii="宋体" w:hAnsi="宋体" w:cs="仿宋"/>
                <w:color w:val="auto"/>
                <w:szCs w:val="21"/>
              </w:rPr>
            </w:pPr>
            <w:r>
              <w:rPr>
                <w:rFonts w:hint="eastAsia" w:ascii="宋体" w:hAnsi="宋体" w:cs="仿宋"/>
                <w:color w:val="auto"/>
                <w:szCs w:val="21"/>
              </w:rPr>
              <w:t>（2）</w:t>
            </w:r>
            <w:r>
              <w:rPr>
                <w:rFonts w:hint="eastAsia"/>
                <w:kern w:val="2"/>
              </w:rPr>
              <w:t>出现质量问题响应</w:t>
            </w:r>
            <w:r>
              <w:rPr>
                <w:rFonts w:hint="eastAsia"/>
                <w:kern w:val="2"/>
                <w:lang w:eastAsia="zh-CN"/>
              </w:rPr>
              <w:t>及时</w:t>
            </w:r>
            <w:r>
              <w:rPr>
                <w:rFonts w:hint="eastAsia" w:ascii="宋体" w:hAnsi="宋体" w:cs="仿宋"/>
                <w:color w:val="auto"/>
                <w:szCs w:val="21"/>
              </w:rPr>
              <w:t>；</w:t>
            </w:r>
          </w:p>
          <w:p>
            <w:pPr>
              <w:widowControl/>
              <w:spacing w:line="360" w:lineRule="exact"/>
              <w:rPr>
                <w:rFonts w:ascii="宋体" w:hAnsi="宋体" w:cs="仿宋"/>
                <w:color w:val="auto"/>
                <w:szCs w:val="21"/>
              </w:rPr>
            </w:pPr>
            <w:r>
              <w:rPr>
                <w:rFonts w:hint="eastAsia" w:ascii="宋体" w:hAnsi="宋体" w:cs="仿宋"/>
                <w:color w:val="auto"/>
                <w:szCs w:val="21"/>
              </w:rPr>
              <w:t>（3）</w:t>
            </w:r>
            <w:r>
              <w:rPr>
                <w:rFonts w:hint="eastAsia"/>
                <w:kern w:val="2"/>
              </w:rPr>
              <w:t>处理完成</w:t>
            </w:r>
            <w:r>
              <w:rPr>
                <w:rFonts w:hint="eastAsia"/>
                <w:kern w:val="2"/>
                <w:lang w:eastAsia="zh-CN"/>
              </w:rPr>
              <w:t>时间高效快捷</w:t>
            </w:r>
            <w:r>
              <w:rPr>
                <w:rFonts w:hint="eastAsia" w:ascii="宋体" w:hAnsi="宋体" w:cs="仿宋"/>
                <w:color w:val="auto"/>
                <w:szCs w:val="21"/>
              </w:rPr>
              <w:t>。</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（二）评分标准：</w:t>
            </w:r>
          </w:p>
          <w:p>
            <w:pPr>
              <w:adjustRightInd w:val="0"/>
              <w:snapToGrid w:val="0"/>
              <w:spacing w:line="360" w:lineRule="exact"/>
              <w:rPr>
                <w:rFonts w:ascii="宋体" w:hAnsi="宋体" w:eastAsia="宋体" w:cs="仿宋"/>
                <w:color w:val="auto"/>
                <w:kern w:val="2"/>
                <w:sz w:val="21"/>
                <w:szCs w:val="21"/>
                <w:lang w:val="en-US" w:eastAsia="zh-CN" w:bidi="ar-SA"/>
              </w:rPr>
            </w:pPr>
            <w:r>
              <w:rPr>
                <w:rFonts w:hint="eastAsia" w:ascii="宋体" w:hAnsi="宋体" w:cs="仿宋"/>
                <w:color w:val="auto"/>
                <w:szCs w:val="21"/>
              </w:rPr>
              <w:t>满足以上三项要求得</w:t>
            </w:r>
            <w:r>
              <w:rPr>
                <w:rFonts w:hint="eastAsia" w:ascii="宋体" w:hAnsi="宋体" w:cs="仿宋"/>
                <w:color w:val="auto"/>
                <w:szCs w:val="21"/>
                <w:lang w:val="en-US" w:eastAsia="zh-CN"/>
              </w:rPr>
              <w:t>7</w:t>
            </w:r>
            <w:r>
              <w:rPr>
                <w:rFonts w:hint="eastAsia" w:ascii="宋体" w:hAnsi="宋体" w:cs="仿宋"/>
                <w:color w:val="auto"/>
                <w:szCs w:val="21"/>
              </w:rPr>
              <w:t>分，满足以上两项要求得</w:t>
            </w:r>
            <w:r>
              <w:rPr>
                <w:rFonts w:hint="eastAsia" w:ascii="宋体" w:hAnsi="宋体" w:cs="仿宋"/>
                <w:color w:val="auto"/>
                <w:szCs w:val="21"/>
                <w:lang w:val="en-US" w:eastAsia="zh-CN"/>
              </w:rPr>
              <w:t>4</w:t>
            </w:r>
            <w:r>
              <w:rPr>
                <w:rFonts w:hint="eastAsia" w:ascii="宋体" w:hAnsi="宋体" w:cs="仿宋"/>
                <w:color w:val="auto"/>
                <w:szCs w:val="21"/>
              </w:rPr>
              <w:t>分，满足以上一项要求得2分，其它情况不得分。</w:t>
            </w:r>
          </w:p>
        </w:tc>
        <w:tc>
          <w:tcPr>
            <w:tcW w:w="1187" w:type="dxa"/>
            <w:vAlign w:val="center"/>
          </w:tcPr>
          <w:p>
            <w:pPr>
              <w:autoSpaceDE w:val="0"/>
              <w:autoSpaceDN w:val="0"/>
              <w:adjustRightInd w:val="0"/>
              <w:spacing w:line="360" w:lineRule="exact"/>
              <w:jc w:val="center"/>
              <w:rPr>
                <w:rFonts w:ascii="宋体" w:hAnsi="宋体" w:eastAsia="宋体" w:cs="仿宋"/>
                <w:color w:val="auto"/>
                <w:kern w:val="2"/>
                <w:sz w:val="21"/>
                <w:szCs w:val="21"/>
                <w:lang w:val="en-US" w:eastAsia="zh-CN" w:bidi="ar-SA"/>
              </w:rPr>
            </w:pPr>
            <w:r>
              <w:rPr>
                <w:rFonts w:hint="eastAsia" w:ascii="宋体" w:hAnsi="宋体" w:cs="仿宋"/>
                <w:color w:val="auto"/>
                <w:szCs w:val="21"/>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54" w:type="dxa"/>
            <w:vAlign w:val="center"/>
          </w:tcPr>
          <w:p>
            <w:pPr>
              <w:autoSpaceDE w:val="0"/>
              <w:autoSpaceDN w:val="0"/>
              <w:adjustRightInd w:val="0"/>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4</w:t>
            </w:r>
          </w:p>
        </w:tc>
        <w:tc>
          <w:tcPr>
            <w:tcW w:w="1143" w:type="dxa"/>
            <w:vAlign w:val="center"/>
          </w:tcPr>
          <w:p>
            <w:pPr>
              <w:spacing w:line="360" w:lineRule="exact"/>
              <w:jc w:val="center"/>
              <w:rPr>
                <w:rFonts w:hint="eastAsia" w:ascii="Times New Roman" w:hAnsi="Times New Roman" w:eastAsia="宋体" w:cs="Times New Roman"/>
                <w:color w:val="auto"/>
                <w:kern w:val="2"/>
                <w:sz w:val="21"/>
                <w:szCs w:val="24"/>
                <w:lang w:val="en-US" w:eastAsia="zh-CN" w:bidi="ar-SA"/>
              </w:rPr>
            </w:pPr>
            <w:r>
              <w:rPr>
                <w:rFonts w:hint="eastAsia" w:ascii="宋体" w:hAnsi="宋体" w:cs="仿宋"/>
                <w:color w:val="auto"/>
                <w:szCs w:val="21"/>
              </w:rPr>
              <w:t>配送服务</w:t>
            </w:r>
            <w:r>
              <w:rPr>
                <w:rFonts w:hint="eastAsia" w:ascii="宋体" w:hAnsi="宋体" w:cs="仿宋"/>
                <w:color w:val="auto"/>
                <w:szCs w:val="21"/>
                <w:lang w:eastAsia="zh-CN"/>
              </w:rPr>
              <w:t>方案</w:t>
            </w:r>
          </w:p>
        </w:tc>
        <w:tc>
          <w:tcPr>
            <w:tcW w:w="709" w:type="dxa"/>
            <w:vAlign w:val="center"/>
          </w:tcPr>
          <w:p>
            <w:pPr>
              <w:spacing w:line="36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5</w:t>
            </w:r>
          </w:p>
        </w:tc>
        <w:tc>
          <w:tcPr>
            <w:tcW w:w="5953" w:type="dxa"/>
            <w:vAlign w:val="center"/>
          </w:tcPr>
          <w:p>
            <w:pPr>
              <w:pStyle w:val="95"/>
              <w:spacing w:line="360" w:lineRule="exact"/>
              <w:ind w:firstLine="0" w:firstLineChars="0"/>
              <w:rPr>
                <w:rFonts w:ascii="宋体" w:hAnsi="宋体"/>
                <w:color w:val="auto"/>
                <w:szCs w:val="21"/>
              </w:rPr>
            </w:pPr>
            <w:r>
              <w:rPr>
                <w:rFonts w:hint="eastAsia" w:ascii="宋体" w:hAnsi="宋体"/>
                <w:color w:val="auto"/>
                <w:szCs w:val="21"/>
              </w:rPr>
              <w:t>（一）评分内容：</w:t>
            </w:r>
          </w:p>
          <w:p>
            <w:pPr>
              <w:widowControl/>
              <w:spacing w:line="360" w:lineRule="exact"/>
              <w:rPr>
                <w:rFonts w:ascii="宋体" w:hAnsi="宋体" w:cs="仿宋"/>
                <w:color w:val="auto"/>
                <w:szCs w:val="21"/>
              </w:rPr>
            </w:pPr>
            <w:r>
              <w:rPr>
                <w:rFonts w:hint="eastAsia" w:ascii="宋体" w:hAnsi="宋体" w:cs="仿宋"/>
                <w:color w:val="auto"/>
                <w:szCs w:val="21"/>
              </w:rPr>
              <w:t>投标人根据本项目的需求制定配送服务</w:t>
            </w:r>
            <w:r>
              <w:rPr>
                <w:rFonts w:hint="eastAsia" w:ascii="宋体" w:hAnsi="宋体" w:cs="仿宋"/>
                <w:color w:val="auto"/>
                <w:szCs w:val="21"/>
                <w:lang w:eastAsia="zh-CN"/>
              </w:rPr>
              <w:t>方案</w:t>
            </w:r>
            <w:r>
              <w:rPr>
                <w:rFonts w:hint="eastAsia" w:ascii="宋体" w:hAnsi="宋体" w:cs="仿宋"/>
                <w:color w:val="auto"/>
                <w:szCs w:val="21"/>
              </w:rPr>
              <w:t>（包括但不限于</w:t>
            </w:r>
            <w:r>
              <w:rPr>
                <w:rFonts w:hint="eastAsia" w:ascii="宋体" w:hAnsi="宋体"/>
                <w:szCs w:val="21"/>
              </w:rPr>
              <w:t>配送流程</w:t>
            </w:r>
            <w:r>
              <w:rPr>
                <w:rFonts w:hint="eastAsia" w:ascii="宋体" w:hAnsi="宋体"/>
                <w:szCs w:val="21"/>
                <w:lang w:eastAsia="zh-CN"/>
              </w:rPr>
              <w:t>、</w:t>
            </w:r>
            <w:r>
              <w:rPr>
                <w:rFonts w:hint="eastAsia" w:ascii="宋体" w:hAnsi="宋体" w:cs="仿宋"/>
                <w:color w:val="auto"/>
                <w:szCs w:val="21"/>
              </w:rPr>
              <w:t>服务人员配置及配送响应时间），根据响应情况进行评审：</w:t>
            </w:r>
          </w:p>
          <w:p>
            <w:pPr>
              <w:widowControl/>
              <w:spacing w:line="360" w:lineRule="exact"/>
              <w:rPr>
                <w:rFonts w:ascii="宋体" w:hAnsi="宋体" w:cs="仿宋"/>
                <w:color w:val="auto"/>
                <w:szCs w:val="21"/>
              </w:rPr>
            </w:pPr>
            <w:r>
              <w:rPr>
                <w:rFonts w:hint="eastAsia" w:ascii="宋体" w:hAnsi="宋体" w:cs="仿宋"/>
                <w:color w:val="auto"/>
                <w:szCs w:val="21"/>
              </w:rPr>
              <w:t>（1）</w:t>
            </w:r>
            <w:r>
              <w:rPr>
                <w:rFonts w:hint="eastAsia" w:ascii="宋体" w:hAnsi="宋体"/>
                <w:szCs w:val="21"/>
              </w:rPr>
              <w:t>配送流程</w:t>
            </w:r>
            <w:r>
              <w:rPr>
                <w:rFonts w:hint="eastAsia" w:ascii="宋体" w:hAnsi="宋体"/>
                <w:szCs w:val="21"/>
                <w:lang w:eastAsia="zh-CN"/>
              </w:rPr>
              <w:t>科学完善，可实施性强</w:t>
            </w:r>
            <w:r>
              <w:rPr>
                <w:rFonts w:hint="eastAsia" w:ascii="宋体" w:hAnsi="宋体" w:cs="仿宋"/>
                <w:color w:val="auto"/>
                <w:szCs w:val="21"/>
              </w:rPr>
              <w:t>；</w:t>
            </w:r>
          </w:p>
          <w:p>
            <w:pPr>
              <w:widowControl/>
              <w:spacing w:line="360" w:lineRule="exact"/>
              <w:rPr>
                <w:rFonts w:ascii="宋体" w:hAnsi="宋体" w:cs="仿宋"/>
                <w:color w:val="auto"/>
                <w:szCs w:val="21"/>
              </w:rPr>
            </w:pPr>
            <w:r>
              <w:rPr>
                <w:rFonts w:hint="eastAsia" w:ascii="宋体" w:hAnsi="宋体" w:cs="仿宋"/>
                <w:color w:val="auto"/>
                <w:szCs w:val="21"/>
              </w:rPr>
              <w:t>（2）</w:t>
            </w:r>
            <w:r>
              <w:rPr>
                <w:rFonts w:hint="eastAsia"/>
                <w:color w:val="auto"/>
              </w:rPr>
              <w:t>服务人员配置满足项目需求</w:t>
            </w:r>
            <w:r>
              <w:rPr>
                <w:rFonts w:hint="eastAsia" w:ascii="宋体" w:hAnsi="宋体" w:cs="仿宋"/>
                <w:color w:val="auto"/>
                <w:szCs w:val="21"/>
              </w:rPr>
              <w:t>；</w:t>
            </w:r>
          </w:p>
          <w:p>
            <w:pPr>
              <w:widowControl/>
              <w:spacing w:line="360" w:lineRule="exact"/>
              <w:rPr>
                <w:rFonts w:ascii="宋体" w:hAnsi="宋体" w:cs="仿宋"/>
                <w:color w:val="auto"/>
                <w:szCs w:val="21"/>
              </w:rPr>
            </w:pPr>
            <w:r>
              <w:rPr>
                <w:rFonts w:hint="eastAsia" w:ascii="宋体" w:hAnsi="宋体" w:cs="仿宋"/>
                <w:color w:val="auto"/>
                <w:szCs w:val="21"/>
              </w:rPr>
              <w:t>（3）配送响应时间快捷高效。</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（二）评分标准：</w:t>
            </w:r>
          </w:p>
          <w:p>
            <w:pPr>
              <w:tabs>
                <w:tab w:val="left" w:pos="175"/>
              </w:tabs>
              <w:spacing w:line="360" w:lineRule="exact"/>
              <w:ind w:left="33" w:leftChars="0"/>
              <w:jc w:val="left"/>
              <w:rPr>
                <w:rFonts w:hint="eastAsia" w:ascii="宋体" w:hAnsi="宋体" w:eastAsia="宋体" w:cs="Times New Roman"/>
                <w:color w:val="auto"/>
                <w:kern w:val="2"/>
                <w:sz w:val="21"/>
                <w:szCs w:val="21"/>
                <w:lang w:val="en-US" w:eastAsia="zh-CN" w:bidi="ar-SA"/>
              </w:rPr>
            </w:pPr>
            <w:r>
              <w:rPr>
                <w:rFonts w:hint="eastAsia" w:ascii="宋体" w:hAnsi="宋体" w:cs="仿宋"/>
                <w:color w:val="auto"/>
                <w:szCs w:val="21"/>
              </w:rPr>
              <w:t>满足以上三项要求得</w:t>
            </w:r>
            <w:r>
              <w:rPr>
                <w:rFonts w:hint="eastAsia" w:ascii="宋体" w:hAnsi="宋体" w:cs="仿宋"/>
                <w:color w:val="auto"/>
                <w:szCs w:val="21"/>
                <w:lang w:val="en-US" w:eastAsia="zh-CN"/>
              </w:rPr>
              <w:t>5</w:t>
            </w:r>
            <w:r>
              <w:rPr>
                <w:rFonts w:hint="eastAsia" w:ascii="宋体" w:hAnsi="宋体" w:cs="仿宋"/>
                <w:color w:val="auto"/>
                <w:szCs w:val="21"/>
              </w:rPr>
              <w:t>分，满足以上两项要求得</w:t>
            </w:r>
            <w:r>
              <w:rPr>
                <w:rFonts w:hint="eastAsia" w:ascii="宋体" w:hAnsi="宋体" w:cs="仿宋"/>
                <w:color w:val="auto"/>
                <w:szCs w:val="21"/>
                <w:lang w:val="en-US" w:eastAsia="zh-CN"/>
              </w:rPr>
              <w:t>2</w:t>
            </w:r>
            <w:r>
              <w:rPr>
                <w:rFonts w:hint="eastAsia" w:ascii="宋体" w:hAnsi="宋体" w:cs="仿宋"/>
                <w:color w:val="auto"/>
                <w:szCs w:val="21"/>
              </w:rPr>
              <w:t>分，满足以上一项要求得</w:t>
            </w:r>
            <w:r>
              <w:rPr>
                <w:rFonts w:hint="eastAsia" w:ascii="宋体" w:hAnsi="宋体" w:cs="仿宋"/>
                <w:color w:val="auto"/>
                <w:szCs w:val="21"/>
                <w:lang w:val="en-US" w:eastAsia="zh-CN"/>
              </w:rPr>
              <w:t>1</w:t>
            </w:r>
            <w:r>
              <w:rPr>
                <w:rFonts w:hint="eastAsia" w:ascii="宋体" w:hAnsi="宋体" w:cs="仿宋"/>
                <w:color w:val="auto"/>
                <w:szCs w:val="21"/>
              </w:rPr>
              <w:t>分，其它情况不得分。</w:t>
            </w:r>
          </w:p>
        </w:tc>
        <w:tc>
          <w:tcPr>
            <w:tcW w:w="1187" w:type="dxa"/>
            <w:vAlign w:val="center"/>
          </w:tcPr>
          <w:p>
            <w:pPr>
              <w:spacing w:line="360" w:lineRule="exact"/>
              <w:jc w:val="center"/>
              <w:rPr>
                <w:rFonts w:hint="eastAsia" w:ascii="宋体" w:hAnsi="宋体" w:eastAsia="宋体" w:cs="仿宋"/>
                <w:color w:val="auto"/>
                <w:kern w:val="2"/>
                <w:sz w:val="21"/>
                <w:szCs w:val="21"/>
                <w:lang w:val="en-US" w:eastAsia="zh-CN" w:bidi="ar-SA"/>
              </w:rPr>
            </w:pPr>
            <w:r>
              <w:rPr>
                <w:rFonts w:hint="eastAsia" w:ascii="宋体" w:hAnsi="宋体" w:cs="仿宋"/>
                <w:color w:val="auto"/>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9" w:hRule="atLeast"/>
          <w:jc w:val="center"/>
        </w:trPr>
        <w:tc>
          <w:tcPr>
            <w:tcW w:w="8559" w:type="dxa"/>
            <w:gridSpan w:val="4"/>
            <w:vAlign w:val="center"/>
          </w:tcPr>
          <w:p>
            <w:pPr>
              <w:autoSpaceDE w:val="0"/>
              <w:autoSpaceDN w:val="0"/>
              <w:adjustRightInd w:val="0"/>
              <w:spacing w:line="360" w:lineRule="exact"/>
              <w:jc w:val="center"/>
              <w:rPr>
                <w:rFonts w:ascii="宋体" w:hAnsi="宋体" w:cs="仿宋"/>
                <w:b/>
                <w:color w:val="auto"/>
                <w:szCs w:val="21"/>
              </w:rPr>
            </w:pPr>
            <w:r>
              <w:rPr>
                <w:rFonts w:hint="eastAsia" w:ascii="宋体" w:hAnsi="宋体" w:cs="仿宋"/>
                <w:b/>
                <w:color w:val="auto"/>
                <w:szCs w:val="21"/>
                <w:lang w:val="zh-CN"/>
              </w:rPr>
              <w:t>三、商务部分</w:t>
            </w:r>
          </w:p>
        </w:tc>
        <w:tc>
          <w:tcPr>
            <w:tcW w:w="1187" w:type="dxa"/>
            <w:vAlign w:val="center"/>
          </w:tcPr>
          <w:p>
            <w:pPr>
              <w:autoSpaceDE w:val="0"/>
              <w:autoSpaceDN w:val="0"/>
              <w:adjustRightInd w:val="0"/>
              <w:spacing w:line="360" w:lineRule="exact"/>
              <w:jc w:val="center"/>
              <w:rPr>
                <w:rFonts w:hint="default" w:ascii="宋体" w:hAnsi="宋体" w:eastAsia="宋体" w:cs="仿宋"/>
                <w:b/>
                <w:color w:val="auto"/>
                <w:szCs w:val="21"/>
                <w:lang w:val="en-US" w:eastAsia="zh-CN"/>
              </w:rPr>
            </w:pPr>
            <w:r>
              <w:rPr>
                <w:rFonts w:hint="eastAsia" w:ascii="宋体" w:hAnsi="宋体" w:cs="仿宋"/>
                <w:b/>
                <w:color w:val="auto"/>
                <w:szCs w:val="21"/>
                <w:lang w:val="en-US" w:eastAsia="zh-CN"/>
              </w:rPr>
              <w:t>23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5" w:hRule="atLeast"/>
          <w:jc w:val="center"/>
        </w:trPr>
        <w:tc>
          <w:tcPr>
            <w:tcW w:w="754" w:type="dxa"/>
            <w:vAlign w:val="center"/>
          </w:tcPr>
          <w:p>
            <w:pPr>
              <w:autoSpaceDE w:val="0"/>
              <w:autoSpaceDN w:val="0"/>
              <w:adjustRightInd w:val="0"/>
              <w:spacing w:line="360" w:lineRule="exact"/>
              <w:jc w:val="center"/>
              <w:rPr>
                <w:rFonts w:ascii="宋体" w:hAnsi="宋体" w:cs="仿宋"/>
                <w:color w:val="auto"/>
                <w:szCs w:val="21"/>
              </w:rPr>
            </w:pPr>
            <w:r>
              <w:rPr>
                <w:rFonts w:hint="eastAsia" w:ascii="宋体" w:hAnsi="宋体" w:cs="仿宋"/>
                <w:color w:val="auto"/>
                <w:szCs w:val="21"/>
                <w:lang w:val="zh-CN"/>
              </w:rPr>
              <w:t>序号</w:t>
            </w:r>
          </w:p>
        </w:tc>
        <w:tc>
          <w:tcPr>
            <w:tcW w:w="1143" w:type="dxa"/>
            <w:vAlign w:val="center"/>
          </w:tcPr>
          <w:p>
            <w:pPr>
              <w:autoSpaceDE w:val="0"/>
              <w:autoSpaceDN w:val="0"/>
              <w:adjustRightInd w:val="0"/>
              <w:spacing w:line="360" w:lineRule="exact"/>
              <w:jc w:val="center"/>
              <w:rPr>
                <w:rFonts w:ascii="宋体" w:hAnsi="宋体" w:cs="仿宋"/>
                <w:color w:val="auto"/>
                <w:szCs w:val="21"/>
              </w:rPr>
            </w:pPr>
            <w:r>
              <w:rPr>
                <w:rFonts w:hint="eastAsia" w:ascii="宋体" w:hAnsi="宋体" w:cs="仿宋"/>
                <w:color w:val="auto"/>
                <w:szCs w:val="21"/>
                <w:lang w:val="zh-CN"/>
              </w:rPr>
              <w:t>内容</w:t>
            </w:r>
          </w:p>
        </w:tc>
        <w:tc>
          <w:tcPr>
            <w:tcW w:w="709" w:type="dxa"/>
            <w:vAlign w:val="center"/>
          </w:tcPr>
          <w:p>
            <w:pPr>
              <w:autoSpaceDE w:val="0"/>
              <w:autoSpaceDN w:val="0"/>
              <w:adjustRightInd w:val="0"/>
              <w:spacing w:line="360" w:lineRule="exact"/>
              <w:jc w:val="center"/>
              <w:rPr>
                <w:rFonts w:ascii="宋体" w:hAnsi="宋体" w:cs="仿宋"/>
                <w:color w:val="auto"/>
                <w:szCs w:val="21"/>
              </w:rPr>
            </w:pPr>
            <w:r>
              <w:rPr>
                <w:rFonts w:hint="eastAsia" w:ascii="宋体" w:hAnsi="宋体" w:cs="仿宋"/>
                <w:color w:val="auto"/>
                <w:szCs w:val="21"/>
                <w:lang w:val="zh-CN"/>
              </w:rPr>
              <w:t>权重</w:t>
            </w:r>
          </w:p>
        </w:tc>
        <w:tc>
          <w:tcPr>
            <w:tcW w:w="5953" w:type="dxa"/>
            <w:vAlign w:val="center"/>
          </w:tcPr>
          <w:p>
            <w:pPr>
              <w:autoSpaceDE w:val="0"/>
              <w:autoSpaceDN w:val="0"/>
              <w:adjustRightInd w:val="0"/>
              <w:spacing w:line="360" w:lineRule="exact"/>
              <w:jc w:val="center"/>
              <w:rPr>
                <w:rFonts w:ascii="宋体" w:hAnsi="宋体" w:cs="仿宋"/>
                <w:color w:val="auto"/>
                <w:szCs w:val="21"/>
              </w:rPr>
            </w:pPr>
            <w:r>
              <w:rPr>
                <w:rFonts w:hint="eastAsia" w:ascii="宋体" w:hAnsi="宋体" w:cs="仿宋"/>
                <w:color w:val="auto"/>
                <w:szCs w:val="21"/>
                <w:lang w:val="zh-CN"/>
              </w:rPr>
              <w:t>评分规则</w:t>
            </w:r>
          </w:p>
        </w:tc>
        <w:tc>
          <w:tcPr>
            <w:tcW w:w="1187" w:type="dxa"/>
            <w:vAlign w:val="center"/>
          </w:tcPr>
          <w:p>
            <w:pPr>
              <w:autoSpaceDE w:val="0"/>
              <w:autoSpaceDN w:val="0"/>
              <w:adjustRightInd w:val="0"/>
              <w:spacing w:line="360" w:lineRule="exact"/>
              <w:jc w:val="center"/>
              <w:rPr>
                <w:rFonts w:ascii="宋体" w:hAnsi="宋体" w:cs="仿宋"/>
                <w:color w:val="auto"/>
                <w:szCs w:val="21"/>
              </w:rPr>
            </w:pPr>
            <w:r>
              <w:rPr>
                <w:rFonts w:hint="eastAsia" w:ascii="宋体" w:hAnsi="宋体" w:cs="仿宋"/>
                <w:color w:val="auto"/>
                <w:szCs w:val="21"/>
                <w:lang w:val="zh-CN"/>
              </w:rPr>
              <w:t>评分方式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754" w:type="dxa"/>
            <w:vAlign w:val="center"/>
          </w:tcPr>
          <w:p>
            <w:pPr>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1</w:t>
            </w:r>
          </w:p>
        </w:tc>
        <w:tc>
          <w:tcPr>
            <w:tcW w:w="1143" w:type="dxa"/>
            <w:vAlign w:val="center"/>
          </w:tcPr>
          <w:p>
            <w:pPr>
              <w:spacing w:line="360" w:lineRule="exact"/>
              <w:jc w:val="center"/>
              <w:rPr>
                <w:rFonts w:hint="eastAsia"/>
              </w:rPr>
            </w:pPr>
            <w:r>
              <w:rPr>
                <w:rFonts w:hint="eastAsia"/>
              </w:rPr>
              <w:t>同类项目业绩情况</w:t>
            </w:r>
          </w:p>
          <w:p>
            <w:pPr>
              <w:pStyle w:val="2"/>
              <w:ind w:left="0" w:leftChars="0" w:firstLine="0" w:firstLineChars="0"/>
              <w:rPr>
                <w:rFonts w:hint="eastAsia" w:eastAsia="宋体"/>
                <w:lang w:eastAsia="zh-CN"/>
              </w:rPr>
            </w:pPr>
          </w:p>
        </w:tc>
        <w:tc>
          <w:tcPr>
            <w:tcW w:w="709" w:type="dxa"/>
            <w:vAlign w:val="center"/>
          </w:tcPr>
          <w:p>
            <w:pPr>
              <w:spacing w:line="360" w:lineRule="exact"/>
              <w:jc w:val="center"/>
              <w:rPr>
                <w:rFonts w:hint="default" w:ascii="宋体" w:hAnsi="宋体" w:eastAsia="宋体" w:cs="仿宋"/>
                <w:color w:val="auto"/>
                <w:szCs w:val="21"/>
                <w:lang w:val="en-US" w:eastAsia="zh-CN"/>
              </w:rPr>
            </w:pPr>
            <w:r>
              <w:rPr>
                <w:rFonts w:hint="eastAsia" w:ascii="宋体" w:hAnsi="宋体" w:cs="仿宋"/>
                <w:color w:val="auto"/>
                <w:szCs w:val="21"/>
                <w:lang w:val="en-US" w:eastAsia="zh-CN"/>
              </w:rPr>
              <w:t>10</w:t>
            </w:r>
          </w:p>
        </w:tc>
        <w:tc>
          <w:tcPr>
            <w:tcW w:w="5953" w:type="dxa"/>
            <w:vAlign w:val="center"/>
          </w:tcPr>
          <w:p>
            <w:pPr>
              <w:spacing w:line="360" w:lineRule="exact"/>
              <w:rPr>
                <w:rFonts w:ascii="宋体" w:hAnsi="宋体"/>
                <w:color w:val="auto"/>
                <w:szCs w:val="21"/>
              </w:rPr>
            </w:pPr>
            <w:r>
              <w:rPr>
                <w:rFonts w:hint="eastAsia" w:ascii="宋体" w:hAnsi="宋体"/>
                <w:color w:val="auto"/>
                <w:szCs w:val="21"/>
              </w:rPr>
              <w:t>（一）评分内容：</w:t>
            </w:r>
          </w:p>
          <w:p>
            <w:pPr>
              <w:widowControl/>
              <w:spacing w:line="360" w:lineRule="exact"/>
              <w:rPr>
                <w:rFonts w:ascii="宋体" w:hAnsi="宋体" w:cs="仿宋"/>
                <w:color w:val="auto"/>
                <w:szCs w:val="21"/>
              </w:rPr>
            </w:pPr>
            <w:r>
              <w:rPr>
                <w:rFonts w:hint="eastAsia" w:ascii="宋体" w:hAnsi="宋体" w:cs="宋体"/>
                <w:color w:val="auto"/>
                <w:szCs w:val="21"/>
                <w:lang w:val="en-US" w:eastAsia="zh-CN"/>
              </w:rPr>
              <w:t>2021</w:t>
            </w:r>
            <w:r>
              <w:rPr>
                <w:rFonts w:hint="eastAsia" w:ascii="宋体" w:hAnsi="宋体" w:cs="宋体"/>
                <w:color w:val="auto"/>
                <w:szCs w:val="21"/>
              </w:rPr>
              <w:t>年1月1日至本项目投标截止日（以合同签订日期为准），投标人</w:t>
            </w:r>
            <w:r>
              <w:rPr>
                <w:rFonts w:hint="eastAsia" w:ascii="宋体" w:hAnsi="宋体" w:cs="仿宋"/>
                <w:color w:val="auto"/>
                <w:szCs w:val="21"/>
              </w:rPr>
              <w:t>具有同类项目业绩的，每提供1个项目得</w:t>
            </w:r>
            <w:r>
              <w:rPr>
                <w:rFonts w:hint="eastAsia" w:ascii="宋体" w:hAnsi="宋体" w:cs="仿宋"/>
                <w:color w:val="auto"/>
                <w:szCs w:val="21"/>
                <w:lang w:val="en-US" w:eastAsia="zh-CN"/>
              </w:rPr>
              <w:t>2</w:t>
            </w:r>
            <w:r>
              <w:rPr>
                <w:rFonts w:hint="eastAsia" w:ascii="宋体" w:hAnsi="宋体" w:cs="仿宋"/>
                <w:color w:val="auto"/>
                <w:szCs w:val="21"/>
              </w:rPr>
              <w:t>分，最高得</w:t>
            </w:r>
            <w:r>
              <w:rPr>
                <w:rFonts w:hint="eastAsia" w:ascii="宋体" w:hAnsi="宋体" w:cs="仿宋"/>
                <w:color w:val="auto"/>
                <w:szCs w:val="21"/>
                <w:lang w:val="en-US" w:eastAsia="zh-CN"/>
              </w:rPr>
              <w:t>10</w:t>
            </w:r>
            <w:r>
              <w:rPr>
                <w:rFonts w:hint="eastAsia" w:ascii="宋体" w:hAnsi="宋体" w:cs="仿宋"/>
                <w:color w:val="auto"/>
                <w:szCs w:val="21"/>
              </w:rPr>
              <w:t>分。</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（二）评分依据：</w:t>
            </w:r>
          </w:p>
          <w:p>
            <w:pPr>
              <w:adjustRightInd w:val="0"/>
              <w:snapToGrid w:val="0"/>
              <w:spacing w:line="360" w:lineRule="exact"/>
              <w:rPr>
                <w:rFonts w:ascii="宋体" w:hAnsi="宋体"/>
                <w:color w:val="auto"/>
                <w:szCs w:val="21"/>
              </w:rPr>
            </w:pPr>
            <w:r>
              <w:rPr>
                <w:rFonts w:hint="eastAsia" w:ascii="宋体" w:hAnsi="宋体" w:cs="仿宋"/>
                <w:color w:val="auto"/>
                <w:szCs w:val="21"/>
              </w:rPr>
              <w:t>1.提供合同关键页（需</w:t>
            </w:r>
            <w:r>
              <w:rPr>
                <w:rFonts w:hint="eastAsia" w:asciiTheme="minorEastAsia" w:hAnsiTheme="minorEastAsia" w:eastAsiaTheme="minorEastAsia"/>
                <w:bCs/>
                <w:color w:val="auto"/>
                <w:szCs w:val="21"/>
              </w:rPr>
              <w:t>体现签订日期</w:t>
            </w:r>
            <w:r>
              <w:rPr>
                <w:rFonts w:hint="eastAsia" w:ascii="宋体" w:hAnsi="宋体" w:cs="仿宋"/>
                <w:color w:val="auto"/>
                <w:szCs w:val="21"/>
              </w:rPr>
              <w:t>）</w:t>
            </w:r>
            <w:r>
              <w:rPr>
                <w:rFonts w:hint="eastAsia" w:asciiTheme="minorEastAsia" w:hAnsiTheme="minorEastAsia" w:eastAsiaTheme="minorEastAsia"/>
                <w:bCs/>
                <w:color w:val="auto"/>
                <w:szCs w:val="21"/>
              </w:rPr>
              <w:t>且各项信息不得有任何遮挡</w:t>
            </w:r>
            <w:r>
              <w:rPr>
                <w:rFonts w:hint="eastAsia" w:ascii="宋体" w:hAnsi="宋体"/>
                <w:color w:val="auto"/>
                <w:szCs w:val="21"/>
              </w:rPr>
              <w:t>；</w:t>
            </w:r>
          </w:p>
          <w:p>
            <w:pPr>
              <w:widowControl/>
              <w:spacing w:line="360" w:lineRule="exact"/>
              <w:rPr>
                <w:rFonts w:asciiTheme="minorEastAsia" w:hAnsiTheme="minorEastAsia" w:eastAsiaTheme="minorEastAsia"/>
                <w:color w:val="auto"/>
                <w:szCs w:val="21"/>
              </w:rPr>
            </w:pPr>
            <w:r>
              <w:rPr>
                <w:rFonts w:hint="eastAsia" w:ascii="宋体" w:hAnsi="宋体"/>
                <w:color w:val="auto"/>
                <w:szCs w:val="21"/>
              </w:rPr>
              <w:t>2.</w:t>
            </w:r>
            <w:r>
              <w:rPr>
                <w:rFonts w:hint="eastAsia" w:ascii="宋体" w:hAnsi="宋体"/>
                <w:color w:val="auto"/>
                <w:kern w:val="0"/>
                <w:szCs w:val="21"/>
              </w:rPr>
              <w:t xml:space="preserve"> 以上</w:t>
            </w:r>
            <w:r>
              <w:rPr>
                <w:rFonts w:hint="eastAsia" w:ascii="宋体" w:hAnsi="宋体"/>
                <w:color w:val="auto"/>
                <w:szCs w:val="21"/>
              </w:rPr>
              <w:t>证明文件</w:t>
            </w:r>
            <w:r>
              <w:rPr>
                <w:rFonts w:hint="eastAsia" w:ascii="宋体" w:hAnsi="宋体"/>
                <w:color w:val="auto"/>
                <w:kern w:val="0"/>
                <w:szCs w:val="21"/>
              </w:rPr>
              <w:t>均提供复印件或扫描件加盖投标人公章，原件备查。</w:t>
            </w:r>
            <w:r>
              <w:rPr>
                <w:rFonts w:hint="eastAsia" w:ascii="宋体" w:hAnsi="宋体"/>
                <w:color w:val="auto"/>
                <w:szCs w:val="21"/>
              </w:rPr>
              <w:t>未按要求提供有效证明材料或提供不清晰导致评委无法识别的不计得分。</w:t>
            </w:r>
          </w:p>
        </w:tc>
        <w:tc>
          <w:tcPr>
            <w:tcW w:w="1187" w:type="dxa"/>
            <w:vAlign w:val="center"/>
          </w:tcPr>
          <w:p>
            <w:pPr>
              <w:spacing w:line="360" w:lineRule="exact"/>
              <w:jc w:val="center"/>
              <w:rPr>
                <w:rFonts w:ascii="宋体" w:hAnsi="宋体" w:cs="仿宋"/>
                <w:color w:val="auto"/>
                <w:szCs w:val="21"/>
                <w:lang w:val="zh-CN"/>
              </w:rPr>
            </w:pPr>
            <w:r>
              <w:rPr>
                <w:rFonts w:hint="eastAsia" w:ascii="宋体" w:hAnsi="宋体" w:cs="仿宋"/>
                <w:color w:val="auto"/>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754" w:type="dxa"/>
            <w:vAlign w:val="center"/>
          </w:tcPr>
          <w:p>
            <w:pPr>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2</w:t>
            </w:r>
          </w:p>
        </w:tc>
        <w:tc>
          <w:tcPr>
            <w:tcW w:w="1143" w:type="dxa"/>
            <w:vAlign w:val="center"/>
          </w:tcPr>
          <w:p>
            <w:pPr>
              <w:spacing w:line="360" w:lineRule="exact"/>
              <w:jc w:val="center"/>
              <w:rPr>
                <w:rFonts w:ascii="宋体" w:hAnsi="宋体" w:cs="仿宋"/>
                <w:color w:val="auto"/>
                <w:szCs w:val="21"/>
              </w:rPr>
            </w:pPr>
            <w:r>
              <w:rPr>
                <w:rFonts w:hint="eastAsia" w:ascii="宋体" w:hAnsi="宋体" w:cs="宋体"/>
                <w:color w:val="auto"/>
                <w:kern w:val="0"/>
                <w:szCs w:val="21"/>
              </w:rPr>
              <w:t>投标人资格情况及通过相关认证情况</w:t>
            </w:r>
          </w:p>
        </w:tc>
        <w:tc>
          <w:tcPr>
            <w:tcW w:w="709" w:type="dxa"/>
            <w:vAlign w:val="center"/>
          </w:tcPr>
          <w:p>
            <w:pPr>
              <w:spacing w:line="360" w:lineRule="exact"/>
              <w:jc w:val="center"/>
              <w:rPr>
                <w:rFonts w:hint="eastAsia" w:ascii="宋体" w:hAnsi="宋体" w:eastAsia="宋体" w:cs="仿宋"/>
                <w:color w:val="auto"/>
                <w:szCs w:val="21"/>
                <w:lang w:eastAsia="zh-CN"/>
              </w:rPr>
            </w:pPr>
            <w:r>
              <w:rPr>
                <w:rFonts w:hint="eastAsia" w:ascii="宋体" w:hAnsi="宋体" w:cs="仿宋"/>
                <w:color w:val="auto"/>
                <w:szCs w:val="21"/>
                <w:lang w:val="en-US" w:eastAsia="zh-CN"/>
              </w:rPr>
              <w:t>8</w:t>
            </w:r>
          </w:p>
        </w:tc>
        <w:tc>
          <w:tcPr>
            <w:tcW w:w="5953" w:type="dxa"/>
            <w:vAlign w:val="center"/>
          </w:tcPr>
          <w:p>
            <w:pPr>
              <w:spacing w:line="360" w:lineRule="exact"/>
              <w:rPr>
                <w:rFonts w:ascii="宋体" w:hAnsi="宋体"/>
                <w:color w:val="auto"/>
                <w:szCs w:val="21"/>
              </w:rPr>
            </w:pPr>
            <w:r>
              <w:rPr>
                <w:rFonts w:hint="eastAsia" w:ascii="宋体" w:hAnsi="宋体"/>
                <w:color w:val="auto"/>
                <w:szCs w:val="21"/>
              </w:rPr>
              <w:t>（一）评分内容：</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投标人具有质量管理体系认证证书、环境管理体系认证证书、职业健康安全管理体系认证证书</w:t>
            </w:r>
            <w:r>
              <w:rPr>
                <w:rFonts w:hint="eastAsia" w:ascii="宋体" w:hAnsi="宋体"/>
                <w:color w:val="auto"/>
                <w:kern w:val="0"/>
                <w:szCs w:val="21"/>
                <w:lang w:eastAsia="zh-CN"/>
              </w:rPr>
              <w:t>、食品安全管理体系认证证书</w:t>
            </w:r>
            <w:r>
              <w:rPr>
                <w:rFonts w:hint="eastAsia" w:ascii="宋体" w:hAnsi="宋体"/>
                <w:color w:val="auto"/>
                <w:kern w:val="0"/>
                <w:szCs w:val="21"/>
              </w:rPr>
              <w:t>。每提供1个有效认证证书得</w:t>
            </w:r>
            <w:r>
              <w:rPr>
                <w:rFonts w:hint="eastAsia" w:ascii="宋体" w:hAnsi="宋体"/>
                <w:color w:val="auto"/>
                <w:kern w:val="0"/>
                <w:szCs w:val="21"/>
                <w:lang w:val="en-US" w:eastAsia="zh-CN"/>
              </w:rPr>
              <w:t>2</w:t>
            </w:r>
            <w:r>
              <w:rPr>
                <w:rFonts w:hint="eastAsia" w:ascii="宋体" w:hAnsi="宋体"/>
                <w:color w:val="auto"/>
                <w:kern w:val="0"/>
                <w:szCs w:val="21"/>
              </w:rPr>
              <w:t>分，最高得</w:t>
            </w:r>
            <w:r>
              <w:rPr>
                <w:rFonts w:hint="eastAsia" w:ascii="宋体" w:hAnsi="宋体"/>
                <w:color w:val="auto"/>
                <w:kern w:val="0"/>
                <w:szCs w:val="21"/>
                <w:lang w:val="en-US" w:eastAsia="zh-CN"/>
              </w:rPr>
              <w:t>8</w:t>
            </w:r>
            <w:r>
              <w:rPr>
                <w:rFonts w:hint="eastAsia" w:ascii="宋体" w:hAnsi="宋体"/>
                <w:color w:val="auto"/>
                <w:kern w:val="0"/>
                <w:szCs w:val="21"/>
              </w:rPr>
              <w:t>分。</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（二）评分依据：</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1.提供有效认证证书（如认证证书注明年审要求的，必须按规定年审且证书在有效期内的方为有效；如未注明年审要求的，证书必须在有效期内的方为有效）；</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2.提供证书官网或权威机构【如：全国认证认可信息公共服务平台（cx.cnca.cn）】认证信息查询截图（截图需显示证书状态为有效）。</w:t>
            </w:r>
            <w:r>
              <w:rPr>
                <w:rFonts w:hint="eastAsia" w:ascii="宋体" w:hAnsi="宋体" w:cs="仿宋"/>
                <w:color w:val="auto"/>
                <w:szCs w:val="21"/>
                <w:lang w:val="zh-CN"/>
              </w:rPr>
              <w:t>相关证书在公开渠道无法查询的，投标人需提供颁发部门或者监管机构的证明材料，证明证书真实有效且为合法机构颁发；</w:t>
            </w:r>
          </w:p>
          <w:p>
            <w:pPr>
              <w:adjustRightInd w:val="0"/>
              <w:snapToGrid w:val="0"/>
              <w:spacing w:line="360" w:lineRule="exact"/>
              <w:rPr>
                <w:rFonts w:asciiTheme="minorEastAsia" w:hAnsiTheme="minorEastAsia" w:eastAsiaTheme="minorEastAsia"/>
                <w:color w:val="auto"/>
                <w:szCs w:val="21"/>
              </w:rPr>
            </w:pPr>
            <w:r>
              <w:rPr>
                <w:rFonts w:hint="eastAsia" w:ascii="宋体" w:hAnsi="宋体"/>
                <w:color w:val="auto"/>
                <w:kern w:val="0"/>
                <w:szCs w:val="21"/>
              </w:rPr>
              <w:t>3.</w:t>
            </w:r>
            <w:r>
              <w:rPr>
                <w:rFonts w:hint="eastAsia" w:ascii="宋体" w:hAnsi="宋体"/>
                <w:color w:val="auto"/>
                <w:szCs w:val="21"/>
              </w:rPr>
              <w:t xml:space="preserve"> 以上证明文件均</w:t>
            </w:r>
            <w:r>
              <w:rPr>
                <w:rFonts w:hint="eastAsia" w:ascii="宋体" w:hAnsi="宋体"/>
                <w:color w:val="auto"/>
                <w:kern w:val="0"/>
                <w:szCs w:val="21"/>
              </w:rPr>
              <w:t>提供复印件或扫描件（或官方网站截图）加盖投标人公章，原件备查。</w:t>
            </w:r>
            <w:r>
              <w:rPr>
                <w:rFonts w:hint="eastAsia" w:ascii="宋体" w:hAnsi="宋体" w:cs="仿宋"/>
                <w:color w:val="auto"/>
                <w:szCs w:val="21"/>
                <w:lang w:val="zh-CN"/>
              </w:rPr>
              <w:t>对于未提供证明文件，未提供查询记录且无其他证明材料的，或者提供不清晰导致评委无法判断的，均作不得分处理。</w:t>
            </w:r>
          </w:p>
        </w:tc>
        <w:tc>
          <w:tcPr>
            <w:tcW w:w="1187" w:type="dxa"/>
            <w:vAlign w:val="center"/>
          </w:tcPr>
          <w:p>
            <w:pPr>
              <w:spacing w:line="360" w:lineRule="exact"/>
              <w:jc w:val="center"/>
              <w:rPr>
                <w:rFonts w:ascii="宋体" w:hAnsi="宋体" w:cs="仿宋"/>
                <w:color w:val="auto"/>
                <w:szCs w:val="21"/>
                <w:lang w:val="zh-CN"/>
              </w:rPr>
            </w:pPr>
            <w:r>
              <w:rPr>
                <w:rFonts w:hint="eastAsia" w:ascii="宋体" w:hAnsi="宋体" w:cs="仿宋"/>
                <w:color w:val="auto"/>
                <w:szCs w:val="21"/>
                <w:lang w:val="zh-CN"/>
              </w:rPr>
              <w:t>专家打分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17" w:hRule="atLeast"/>
          <w:jc w:val="center"/>
        </w:trPr>
        <w:tc>
          <w:tcPr>
            <w:tcW w:w="754" w:type="dxa"/>
            <w:vAlign w:val="center"/>
          </w:tcPr>
          <w:p>
            <w:pPr>
              <w:autoSpaceDE w:val="0"/>
              <w:autoSpaceDN w:val="0"/>
              <w:adjustRightInd w:val="0"/>
              <w:spacing w:line="360" w:lineRule="exact"/>
              <w:jc w:val="center"/>
              <w:rPr>
                <w:rFonts w:hint="eastAsia" w:ascii="宋体" w:hAnsi="宋体" w:eastAsia="宋体" w:cs="仿宋"/>
                <w:color w:val="auto"/>
                <w:szCs w:val="21"/>
                <w:lang w:val="zh-CN" w:eastAsia="zh-CN"/>
              </w:rPr>
            </w:pPr>
            <w:r>
              <w:rPr>
                <w:rFonts w:hint="eastAsia" w:ascii="宋体" w:hAnsi="宋体" w:cs="仿宋"/>
                <w:color w:val="auto"/>
                <w:szCs w:val="21"/>
                <w:lang w:val="en-US" w:eastAsia="zh-CN"/>
              </w:rPr>
              <w:t>3</w:t>
            </w:r>
          </w:p>
        </w:tc>
        <w:tc>
          <w:tcPr>
            <w:tcW w:w="1143" w:type="dxa"/>
            <w:vAlign w:val="center"/>
          </w:tcPr>
          <w:p>
            <w:pPr>
              <w:spacing w:line="360" w:lineRule="exact"/>
              <w:jc w:val="center"/>
              <w:rPr>
                <w:rFonts w:ascii="宋体" w:hAnsi="宋体" w:cs="仿宋"/>
                <w:color w:val="auto"/>
                <w:szCs w:val="21"/>
              </w:rPr>
            </w:pPr>
            <w:r>
              <w:rPr>
                <w:rFonts w:hint="eastAsia" w:ascii="宋体" w:hAnsi="宋体" w:cs="仿宋"/>
                <w:color w:val="auto"/>
                <w:szCs w:val="21"/>
              </w:rPr>
              <w:t>诚信评审</w:t>
            </w:r>
          </w:p>
        </w:tc>
        <w:tc>
          <w:tcPr>
            <w:tcW w:w="709" w:type="dxa"/>
            <w:vAlign w:val="center"/>
          </w:tcPr>
          <w:p>
            <w:pPr>
              <w:spacing w:line="360" w:lineRule="exact"/>
              <w:jc w:val="center"/>
              <w:rPr>
                <w:rFonts w:ascii="宋体" w:hAnsi="宋体" w:cs="仿宋"/>
                <w:color w:val="auto"/>
                <w:szCs w:val="21"/>
              </w:rPr>
            </w:pPr>
            <w:r>
              <w:rPr>
                <w:rFonts w:hint="eastAsia" w:ascii="宋体" w:hAnsi="宋体" w:cs="仿宋"/>
                <w:color w:val="auto"/>
                <w:szCs w:val="21"/>
              </w:rPr>
              <w:t>5</w:t>
            </w:r>
          </w:p>
        </w:tc>
        <w:tc>
          <w:tcPr>
            <w:tcW w:w="5953" w:type="dxa"/>
            <w:vAlign w:val="center"/>
          </w:tcPr>
          <w:p>
            <w:pPr>
              <w:pStyle w:val="95"/>
              <w:spacing w:line="360" w:lineRule="exact"/>
              <w:ind w:firstLine="0" w:firstLineChars="0"/>
              <w:rPr>
                <w:rFonts w:ascii="宋体" w:hAnsi="宋体"/>
                <w:color w:val="auto"/>
                <w:szCs w:val="21"/>
              </w:rPr>
            </w:pPr>
            <w:r>
              <w:rPr>
                <w:rFonts w:hint="eastAsia" w:ascii="宋体" w:hAnsi="宋体"/>
                <w:color w:val="auto"/>
                <w:szCs w:val="21"/>
              </w:rPr>
              <w:t>（一）评分内容：</w:t>
            </w:r>
          </w:p>
          <w:p>
            <w:pPr>
              <w:adjustRightInd w:val="0"/>
              <w:snapToGrid w:val="0"/>
              <w:spacing w:line="360" w:lineRule="exact"/>
              <w:rPr>
                <w:rFonts w:ascii="宋体" w:hAnsi="宋体" w:cs="宋体"/>
                <w:color w:val="auto"/>
                <w:szCs w:val="21"/>
              </w:rPr>
            </w:pPr>
            <w:r>
              <w:rPr>
                <w:rFonts w:hint="eastAsia" w:ascii="宋体" w:hAnsi="宋体" w:cs="宋体"/>
                <w:color w:val="auto"/>
                <w:szCs w:val="21"/>
              </w:rPr>
              <w:t>投标人参与政府采购活动在诚信管理中受过主管部门通报处理且仍在实施期限内的本项不得分，</w:t>
            </w:r>
            <w:r>
              <w:rPr>
                <w:rFonts w:hint="eastAsia" w:asciiTheme="minorEastAsia" w:hAnsiTheme="minorEastAsia" w:eastAsiaTheme="minorEastAsia"/>
                <w:color w:val="auto"/>
                <w:kern w:val="0"/>
                <w:szCs w:val="21"/>
              </w:rPr>
              <w:t>否则得5分</w:t>
            </w:r>
            <w:r>
              <w:rPr>
                <w:rFonts w:hint="eastAsia" w:ascii="宋体" w:hAnsi="宋体" w:cs="宋体"/>
                <w:color w:val="auto"/>
                <w:szCs w:val="21"/>
              </w:rPr>
              <w:t>。</w:t>
            </w:r>
          </w:p>
          <w:p>
            <w:pPr>
              <w:autoSpaceDE w:val="0"/>
              <w:autoSpaceDN w:val="0"/>
              <w:adjustRightInd w:val="0"/>
              <w:spacing w:line="360" w:lineRule="exact"/>
              <w:jc w:val="left"/>
              <w:rPr>
                <w:rFonts w:ascii="宋体" w:hAnsi="宋体"/>
                <w:color w:val="auto"/>
                <w:kern w:val="0"/>
                <w:szCs w:val="21"/>
              </w:rPr>
            </w:pPr>
            <w:r>
              <w:rPr>
                <w:rFonts w:hint="eastAsia" w:ascii="宋体" w:hAnsi="宋体"/>
                <w:color w:val="auto"/>
                <w:kern w:val="0"/>
                <w:szCs w:val="21"/>
              </w:rPr>
              <w:t>（二）评分依据：</w:t>
            </w:r>
          </w:p>
          <w:p>
            <w:pPr>
              <w:tabs>
                <w:tab w:val="left" w:pos="175"/>
              </w:tabs>
              <w:spacing w:line="360" w:lineRule="exact"/>
              <w:ind w:left="33"/>
              <w:jc w:val="left"/>
              <w:rPr>
                <w:rFonts w:ascii="宋体" w:hAnsi="宋体" w:cs="仿宋"/>
                <w:color w:val="auto"/>
                <w:szCs w:val="21"/>
              </w:rPr>
            </w:pPr>
            <w:r>
              <w:rPr>
                <w:rFonts w:hint="eastAsia" w:ascii="宋体" w:hAnsi="宋体" w:cs="宋体"/>
                <w:bCs/>
                <w:color w:val="auto"/>
                <w:kern w:val="0"/>
                <w:szCs w:val="21"/>
              </w:rPr>
              <w:t>按招标文件格式如实提供</w:t>
            </w:r>
            <w:r>
              <w:rPr>
                <w:rFonts w:hint="eastAsia" w:ascii="宋体" w:hAnsi="宋体" w:cs="宋体"/>
                <w:color w:val="auto"/>
                <w:szCs w:val="21"/>
              </w:rPr>
              <w:t>《诚信承诺函》</w:t>
            </w:r>
            <w:r>
              <w:rPr>
                <w:rFonts w:hint="eastAsia" w:ascii="宋体" w:hAnsi="宋体" w:cs="宋体"/>
                <w:bCs/>
                <w:color w:val="auto"/>
                <w:kern w:val="0"/>
                <w:szCs w:val="21"/>
              </w:rPr>
              <w:t>原件加盖投标人公章，且承诺函格式及内容不得修改，否则不得分</w:t>
            </w:r>
            <w:r>
              <w:rPr>
                <w:rFonts w:hint="eastAsia" w:ascii="宋体" w:hAnsi="宋体" w:cs="宋体"/>
                <w:color w:val="auto"/>
                <w:szCs w:val="21"/>
              </w:rPr>
              <w:t>。</w:t>
            </w:r>
            <w:r>
              <w:rPr>
                <w:rFonts w:hint="eastAsia" w:ascii="宋体" w:hAnsi="宋体" w:cs="宋体"/>
                <w:bCs/>
                <w:color w:val="auto"/>
                <w:kern w:val="0"/>
                <w:szCs w:val="21"/>
              </w:rPr>
              <w:t>如若投标人承诺与实际情况不相符，将按虚假应标报相关主管部门处理</w:t>
            </w:r>
            <w:r>
              <w:rPr>
                <w:rFonts w:hint="eastAsia" w:ascii="宋体" w:hAnsi="宋体" w:cs="宋体"/>
                <w:color w:val="auto"/>
                <w:szCs w:val="21"/>
              </w:rPr>
              <w:t>。</w:t>
            </w:r>
          </w:p>
        </w:tc>
        <w:tc>
          <w:tcPr>
            <w:tcW w:w="1187" w:type="dxa"/>
            <w:vAlign w:val="center"/>
          </w:tcPr>
          <w:p>
            <w:pPr>
              <w:spacing w:line="360" w:lineRule="exact"/>
              <w:jc w:val="center"/>
              <w:rPr>
                <w:rFonts w:ascii="宋体" w:hAnsi="宋体" w:cs="仿宋"/>
                <w:color w:val="auto"/>
                <w:szCs w:val="21"/>
                <w:lang w:val="zh-CN"/>
              </w:rPr>
            </w:pPr>
            <w:r>
              <w:rPr>
                <w:rFonts w:hint="eastAsia" w:ascii="宋体" w:hAnsi="宋体" w:cs="仿宋"/>
                <w:color w:val="auto"/>
                <w:szCs w:val="21"/>
                <w:lang w:val="zh-CN"/>
              </w:rPr>
              <w:t>专家打分</w:t>
            </w:r>
          </w:p>
        </w:tc>
      </w:tr>
    </w:tbl>
    <w:p>
      <w:pPr>
        <w:pStyle w:val="5"/>
        <w:spacing w:before="0" w:after="0"/>
        <w:jc w:val="left"/>
        <w:rPr>
          <w:rFonts w:asciiTheme="minorEastAsia" w:hAnsiTheme="minorEastAsia"/>
          <w:bCs w:val="0"/>
          <w:sz w:val="21"/>
          <w:szCs w:val="21"/>
        </w:rPr>
      </w:pPr>
      <w:r>
        <w:rPr>
          <w:rFonts w:hint="eastAsia" w:asciiTheme="minorEastAsia" w:hAnsiTheme="minorEastAsia"/>
          <w:bCs w:val="0"/>
          <w:sz w:val="21"/>
          <w:szCs w:val="21"/>
        </w:rPr>
        <w:t>备注：</w:t>
      </w:r>
      <w:bookmarkEnd w:id="10"/>
      <w:bookmarkEnd w:id="11"/>
      <w:bookmarkEnd w:id="12"/>
      <w:bookmarkEnd w:id="13"/>
      <w:bookmarkEnd w:id="14"/>
    </w:p>
    <w:p>
      <w:pPr>
        <w:pStyle w:val="4"/>
        <w:spacing w:before="0" w:after="0"/>
      </w:pPr>
      <w:bookmarkStart w:id="15" w:name="_Toc73610145"/>
      <w:r>
        <w:rPr>
          <w:rFonts w:hint="eastAsia"/>
        </w:rPr>
        <w:t>1、资质证书有效期</w:t>
      </w:r>
      <w:bookmarkEnd w:id="15"/>
    </w:p>
    <w:p>
      <w:pPr>
        <w:spacing w:line="360" w:lineRule="auto"/>
        <w:ind w:firstLine="424" w:firstLineChars="202"/>
        <w:rPr>
          <w:rFonts w:asciiTheme="minorEastAsia" w:hAnsiTheme="minorEastAsia" w:eastAsiaTheme="minorEastAsia"/>
        </w:rPr>
      </w:pPr>
      <w:r>
        <w:rPr>
          <w:rFonts w:hint="eastAsia" w:asciiTheme="minorEastAsia" w:hAnsiTheme="minorEastAsia" w:eastAsiaTheme="minorEastAsia"/>
        </w:rPr>
        <w:t>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adjustRightInd w:val="0"/>
        <w:spacing w:line="360" w:lineRule="exact"/>
        <w:rPr>
          <w:rFonts w:asciiTheme="minorEastAsia" w:hAnsiTheme="minorEastAsia" w:eastAsiaTheme="minorEastAsia"/>
          <w:b/>
        </w:rPr>
      </w:pPr>
    </w:p>
    <w:p>
      <w:pPr>
        <w:pStyle w:val="4"/>
        <w:spacing w:before="0" w:after="0"/>
        <w:rPr>
          <w:rFonts w:asciiTheme="minorEastAsia" w:hAnsiTheme="minorEastAsia" w:eastAsiaTheme="minorEastAsia"/>
        </w:rPr>
      </w:pPr>
      <w:bookmarkStart w:id="16" w:name="_Toc73610146"/>
      <w:r>
        <w:rPr>
          <w:rFonts w:hint="eastAsia" w:asciiTheme="minorEastAsia" w:hAnsiTheme="minorEastAsia" w:eastAsiaTheme="minorEastAsia"/>
        </w:rPr>
        <w:t>2、政府采购优惠政策</w:t>
      </w:r>
      <w:bookmarkEnd w:id="16"/>
    </w:p>
    <w:p>
      <w:pPr>
        <w:adjustRightInd w:val="0"/>
        <w:snapToGrid w:val="0"/>
        <w:spacing w:line="360" w:lineRule="auto"/>
        <w:ind w:firstLine="424" w:firstLineChars="202"/>
        <w:rPr>
          <w:rFonts w:asciiTheme="minorEastAsia" w:hAnsiTheme="minorEastAsia" w:eastAsiaTheme="minorEastAsia"/>
          <w:szCs w:val="21"/>
        </w:rPr>
      </w:pPr>
      <w:r>
        <w:rPr>
          <w:rFonts w:hint="eastAsia" w:asciiTheme="minorEastAsia" w:hAnsiTheme="minorEastAsia" w:eastAsiaTheme="minorEastAsia"/>
        </w:rPr>
        <w:t>（1）根据</w:t>
      </w:r>
      <w:r>
        <w:rPr>
          <w:rFonts w:hint="eastAsia" w:ascii="宋体" w:hAnsi="宋体"/>
          <w:snapToGrid w:val="0"/>
          <w:szCs w:val="21"/>
        </w:rPr>
        <w:t>《财政部 工业和信息化部关于印发《政府采购促进中小企业发展管理办法》的通知》(财库〔2020〕46号)</w:t>
      </w:r>
      <w:r>
        <w:rPr>
          <w:rFonts w:hint="eastAsia" w:asciiTheme="minorEastAsia" w:hAnsiTheme="minorEastAsia" w:eastAsiaTheme="minorEastAsia"/>
        </w:rPr>
        <w:t>、《财政部 司法部关于政府采购支持监狱企业发展有关问题的通知》（财库〔2014〕68号）和《三部门联合发布关于促进残疾人就业政府采购政策的通知》（财库〔2017〕141号）的规定，对满足价格扣除条件且在投标文件中提交了符合政府采购优惠政策的证明材料的投标人，</w:t>
      </w:r>
      <w:r>
        <w:rPr>
          <w:rFonts w:hint="eastAsia" w:asciiTheme="minorEastAsia" w:hAnsiTheme="minorEastAsia" w:eastAsiaTheme="minorEastAsia"/>
          <w:b/>
        </w:rPr>
        <w:t>其投标报价扣除</w:t>
      </w:r>
      <w:r>
        <w:rPr>
          <w:rFonts w:hint="eastAsia" w:asciiTheme="minorEastAsia" w:hAnsiTheme="minorEastAsia" w:eastAsiaTheme="minorEastAsia"/>
          <w:b/>
          <w:u w:val="single"/>
        </w:rPr>
        <w:t xml:space="preserve"> 10 </w:t>
      </w:r>
      <w:r>
        <w:rPr>
          <w:rFonts w:hint="eastAsia" w:asciiTheme="minorEastAsia" w:hAnsiTheme="minorEastAsia" w:eastAsiaTheme="minorEastAsia"/>
          <w:b/>
        </w:rPr>
        <w:t>%（请在6%-10%范围内选择）后参与评审</w:t>
      </w:r>
      <w:r>
        <w:rPr>
          <w:rFonts w:hint="eastAsia" w:asciiTheme="minorEastAsia" w:hAnsiTheme="minorEastAsia" w:eastAsiaTheme="minorEastAsia"/>
        </w:rPr>
        <w:t>。对于同时属于小微企业、监狱企业或残疾人福利性单位的，不重复进行投标报价扣除。</w:t>
      </w:r>
    </w:p>
    <w:p>
      <w:pPr>
        <w:adjustRightInd w:val="0"/>
        <w:snapToGrid w:val="0"/>
        <w:spacing w:line="360" w:lineRule="auto"/>
        <w:ind w:firstLine="424" w:firstLineChars="202"/>
        <w:rPr>
          <w:rFonts w:asciiTheme="minorEastAsia" w:hAnsiTheme="minorEastAsia" w:eastAsiaTheme="minorEastAsia"/>
          <w:szCs w:val="21"/>
        </w:rPr>
      </w:pPr>
      <w:r>
        <w:rPr>
          <w:rFonts w:hint="eastAsia" w:asciiTheme="minorEastAsia" w:hAnsiTheme="minorEastAsia" w:eastAsiaTheme="minorEastAsia"/>
        </w:rPr>
        <w:t>（2）联合协议中约定，小型、微型企业的协议合同金额占到联合体协议合同总金额30%以上的，可给予</w:t>
      </w:r>
      <w:r>
        <w:rPr>
          <w:rFonts w:hint="eastAsia" w:asciiTheme="minorEastAsia" w:hAnsiTheme="minorEastAsia" w:eastAsiaTheme="minorEastAsia"/>
          <w:b/>
        </w:rPr>
        <w:t>联合体</w:t>
      </w:r>
      <w:r>
        <w:rPr>
          <w:rFonts w:hint="eastAsia" w:asciiTheme="minorEastAsia" w:hAnsiTheme="minorEastAsia" w:eastAsiaTheme="minorEastAsia"/>
          <w:b/>
          <w:u w:val="single"/>
        </w:rPr>
        <w:t xml:space="preserve"> / </w:t>
      </w:r>
      <w:r>
        <w:rPr>
          <w:rFonts w:hint="eastAsia" w:asciiTheme="minorEastAsia" w:hAnsiTheme="minorEastAsia" w:eastAsiaTheme="minorEastAsia"/>
          <w:b/>
        </w:rPr>
        <w:t>%（请在2</w:t>
      </w:r>
      <w:r>
        <w:rPr>
          <w:rFonts w:asciiTheme="minorEastAsia" w:hAnsiTheme="minorEastAsia" w:eastAsiaTheme="minorEastAsia"/>
          <w:b/>
        </w:rPr>
        <w:t>%-</w:t>
      </w:r>
      <w:r>
        <w:rPr>
          <w:rFonts w:hint="eastAsia" w:asciiTheme="minorEastAsia" w:hAnsiTheme="minorEastAsia" w:eastAsiaTheme="minorEastAsia"/>
          <w:b/>
        </w:rPr>
        <w:t>3</w:t>
      </w:r>
      <w:r>
        <w:rPr>
          <w:rFonts w:asciiTheme="minorEastAsia" w:hAnsiTheme="minorEastAsia" w:eastAsiaTheme="minorEastAsia"/>
          <w:b/>
        </w:rPr>
        <w:t>%</w:t>
      </w:r>
      <w:r>
        <w:rPr>
          <w:rFonts w:hint="eastAsia" w:asciiTheme="minorEastAsia" w:hAnsiTheme="minorEastAsia" w:eastAsiaTheme="minorEastAsia"/>
          <w:b/>
        </w:rPr>
        <w:t>范围内选择）</w:t>
      </w:r>
      <w:r>
        <w:rPr>
          <w:rFonts w:hint="eastAsia" w:asciiTheme="minorEastAsia" w:hAnsiTheme="minorEastAsia" w:eastAsiaTheme="minorEastAsia"/>
        </w:rPr>
        <w:t>的价格扣除。</w:t>
      </w:r>
    </w:p>
    <w:p>
      <w:pPr>
        <w:spacing w:line="360" w:lineRule="auto"/>
        <w:ind w:firstLine="424" w:firstLineChars="202"/>
        <w:jc w:val="left"/>
        <w:rPr>
          <w:rFonts w:asciiTheme="minorEastAsia" w:hAnsiTheme="minorEastAsia" w:eastAsiaTheme="minorEastAsia"/>
        </w:rPr>
      </w:pPr>
      <w:r>
        <w:rPr>
          <w:rFonts w:hint="eastAsia" w:asciiTheme="minorEastAsia" w:hAnsiTheme="minorEastAsia" w:eastAsiaTheme="minorEastAsia"/>
        </w:rPr>
        <w:t>联合体各方均为小型、微型企业、监狱企业和</w:t>
      </w:r>
      <w:r>
        <w:rPr>
          <w:rFonts w:hint="eastAsia" w:ascii="宋体" w:hAnsi="宋体"/>
        </w:rPr>
        <w:t>残疾人福利性单位</w:t>
      </w:r>
      <w:r>
        <w:rPr>
          <w:rFonts w:hint="eastAsia" w:asciiTheme="minorEastAsia" w:hAnsiTheme="minorEastAsia" w:eastAsiaTheme="minorEastAsia"/>
        </w:rPr>
        <w:t>的，联合体视同为小型、微型企业、监狱企业和</w:t>
      </w:r>
      <w:r>
        <w:rPr>
          <w:rFonts w:hint="eastAsia" w:ascii="宋体" w:hAnsi="宋体"/>
        </w:rPr>
        <w:t>残疾人福利性单位</w:t>
      </w:r>
      <w:r>
        <w:rPr>
          <w:rFonts w:hint="eastAsia" w:asciiTheme="minorEastAsia" w:hAnsiTheme="minorEastAsia" w:eastAsiaTheme="minorEastAsia"/>
        </w:rPr>
        <w:t>，均享受</w:t>
      </w:r>
      <w:r>
        <w:rPr>
          <w:rFonts w:hint="eastAsia" w:asciiTheme="minorEastAsia" w:hAnsiTheme="minorEastAsia" w:eastAsiaTheme="minorEastAsia"/>
          <w:b/>
          <w:bCs/>
        </w:rPr>
        <w:t>政府采购优惠政策</w:t>
      </w:r>
      <w:r>
        <w:rPr>
          <w:rFonts w:hint="eastAsia" w:asciiTheme="minorEastAsia" w:hAnsiTheme="minorEastAsia" w:eastAsiaTheme="minorEastAsia"/>
          <w:b/>
        </w:rPr>
        <w:t>第一款</w:t>
      </w:r>
      <w:r>
        <w:rPr>
          <w:rFonts w:hint="eastAsia" w:asciiTheme="minorEastAsia" w:hAnsiTheme="minorEastAsia" w:eastAsiaTheme="minorEastAsia"/>
        </w:rPr>
        <w:t>的优惠政策。</w:t>
      </w:r>
    </w:p>
    <w:p>
      <w:pPr>
        <w:spacing w:line="360" w:lineRule="auto"/>
        <w:ind w:firstLine="424" w:firstLineChars="202"/>
        <w:jc w:val="left"/>
        <w:rPr>
          <w:rFonts w:asciiTheme="minorEastAsia" w:hAnsiTheme="minorEastAsia" w:eastAsiaTheme="minorEastAsia"/>
        </w:rPr>
      </w:pPr>
      <w:r>
        <w:rPr>
          <w:rFonts w:hint="eastAsia" w:asciiTheme="minorEastAsia" w:hAnsiTheme="minorEastAsia" w:eastAsiaTheme="minorEastAsia"/>
        </w:rPr>
        <w:t>（3）优惠主体资格的认定资料为《中小企业声明函》、《残疾人福利性单位声明函》以及《监狱企业声明函》等承诺性质的资料（格式详见招标文件第三章）；监狱企业或者代理提供监狱企业货物的供应商如须享受优惠政策，除上述资料外，还须提供省级以上监狱管理局、戒毒管理局出具的监狱企业证明文件。</w:t>
      </w:r>
    </w:p>
    <w:p>
      <w:pPr>
        <w:spacing w:line="360" w:lineRule="auto"/>
        <w:ind w:firstLine="424" w:firstLineChars="202"/>
        <w:jc w:val="left"/>
        <w:rPr>
          <w:rFonts w:asciiTheme="minorEastAsia" w:hAnsiTheme="minorEastAsia" w:eastAsiaTheme="minorEastAsia"/>
          <w:szCs w:val="21"/>
        </w:rPr>
      </w:pPr>
      <w:r>
        <w:rPr>
          <w:rFonts w:hint="eastAsia" w:asciiTheme="minorEastAsia" w:hAnsiTheme="minorEastAsia" w:eastAsiaTheme="minorEastAsia"/>
        </w:rPr>
        <w:t>（4）投标产品属于《关于调整优化节能产品环境标志产品政府采购执行机制的通知》（财库〔2019〕9号）、《关于印发环境标志产品政府采购品目清单的通知》（财库〔2019〕18号）和《关于印发节能产品</w:t>
      </w:r>
      <w:r>
        <w:rPr>
          <w:rFonts w:hint="eastAsia" w:asciiTheme="minorEastAsia" w:hAnsiTheme="minorEastAsia" w:eastAsiaTheme="minorEastAsia"/>
          <w:szCs w:val="21"/>
        </w:rPr>
        <w:t>政府采购品目清单的通知》（财库〔2019〕19号）品目清单范围内的，</w:t>
      </w:r>
      <w:r>
        <w:rPr>
          <w:rFonts w:hint="eastAsia" w:asciiTheme="minorEastAsia" w:hAnsiTheme="minorEastAsia" w:eastAsiaTheme="minorEastAsia"/>
        </w:rPr>
        <w:t>应依据国家确定的认证机构出具的、处于有效期之内的节能产品、环境标志产品认证证书，对获得证书的产品实施政府优先采购或强制采购。</w:t>
      </w:r>
      <w:r>
        <w:rPr>
          <w:rFonts w:hint="eastAsia" w:asciiTheme="minorEastAsia" w:hAnsiTheme="minorEastAsia" w:eastAsiaTheme="minorEastAsia"/>
          <w:b/>
        </w:rPr>
        <w:t>对符合条件的获证产品（强制采购产品除外）</w:t>
      </w:r>
      <w:r>
        <w:rPr>
          <w:rFonts w:hint="eastAsia" w:asciiTheme="minorEastAsia" w:hAnsiTheme="minorEastAsia" w:eastAsiaTheme="minorEastAsia"/>
          <w:b/>
          <w:szCs w:val="21"/>
        </w:rPr>
        <w:t>，根据该投标产品报价给予</w:t>
      </w:r>
      <w:r>
        <w:rPr>
          <w:rFonts w:hint="eastAsia" w:asciiTheme="minorEastAsia" w:hAnsiTheme="minorEastAsia" w:eastAsiaTheme="minorEastAsia"/>
          <w:b/>
          <w:szCs w:val="21"/>
          <w:u w:val="single"/>
        </w:rPr>
        <w:t xml:space="preserve"> 1 </w:t>
      </w:r>
      <w:r>
        <w:rPr>
          <w:rFonts w:hint="eastAsia" w:asciiTheme="minorEastAsia" w:hAnsiTheme="minorEastAsia" w:eastAsiaTheme="minorEastAsia"/>
          <w:b/>
          <w:szCs w:val="21"/>
        </w:rPr>
        <w:t>%的价格扣除，用扣除后的价格参与价格分的评审</w:t>
      </w:r>
      <w:r>
        <w:rPr>
          <w:rFonts w:hint="eastAsia" w:asciiTheme="minorEastAsia" w:hAnsiTheme="minorEastAsia" w:eastAsiaTheme="minorEastAsia"/>
          <w:szCs w:val="21"/>
        </w:rPr>
        <w:t>（需按投标文件格式部分“列入政府优先采购清单的投标产品一览表”的要求提供证明材料，否则不予价格扣除）。</w:t>
      </w:r>
    </w:p>
    <w:p>
      <w:pPr>
        <w:spacing w:line="360" w:lineRule="auto"/>
        <w:ind w:firstLine="424" w:firstLineChars="202"/>
        <w:jc w:val="left"/>
      </w:pPr>
      <w:r>
        <w:rPr>
          <w:rFonts w:hint="eastAsia" w:asciiTheme="minorEastAsia" w:hAnsiTheme="minorEastAsia" w:eastAsiaTheme="minorEastAsia"/>
          <w:szCs w:val="21"/>
        </w:rPr>
        <w:t>（5）</w:t>
      </w:r>
      <w:r>
        <w:rPr>
          <w:rFonts w:hint="eastAsia" w:asciiTheme="minorEastAsia" w:hAnsiTheme="minorEastAsia" w:eastAsiaTheme="minorEastAsia"/>
        </w:rPr>
        <w:t>为缓解中小企业融资难题，深圳市推出政府采购订单融资改革举措。订单融资具体流程及试点金融机构订单融资服务承诺可参阅深圳市政府采购监管网（zfcg.sz.gov.cn）政府采购订单融资栏目</w:t>
      </w:r>
      <w:r>
        <w:rPr>
          <w:rFonts w:hint="eastAsia" w:asciiTheme="minorEastAsia" w:hAnsiTheme="minorEastAsia" w:eastAsiaTheme="minorEastAsia"/>
          <w:szCs w:val="21"/>
        </w:rPr>
        <w:t>。</w:t>
      </w:r>
    </w:p>
    <w:p>
      <w:pPr>
        <w:widowControl/>
        <w:jc w:val="left"/>
        <w:rPr>
          <w:sz w:val="32"/>
        </w:rPr>
      </w:pPr>
      <w:r>
        <w:rPr>
          <w:rFonts w:eastAsiaTheme="minorEastAsia"/>
          <w:b/>
          <w:kern w:val="44"/>
          <w:sz w:val="32"/>
          <w:szCs w:val="28"/>
        </w:rPr>
        <w:br w:type="page"/>
      </w:r>
    </w:p>
    <w:p>
      <w:pPr>
        <w:widowControl/>
        <w:jc w:val="left"/>
        <w:rPr>
          <w:rFonts w:eastAsiaTheme="minorEastAsia"/>
          <w:b/>
          <w:kern w:val="44"/>
          <w:sz w:val="32"/>
          <w:szCs w:val="28"/>
        </w:rPr>
      </w:pPr>
    </w:p>
    <w:p>
      <w:pPr>
        <w:pStyle w:val="3"/>
        <w:spacing w:beforeLines="50"/>
      </w:pPr>
      <w:bookmarkStart w:id="17" w:name="_Toc73610147"/>
      <w:r>
        <w:rPr>
          <w:rFonts w:hint="eastAsia"/>
        </w:rPr>
        <w:t>第五章  投标人须知前附表</w:t>
      </w:r>
      <w:bookmarkEnd w:id="17"/>
    </w:p>
    <w:p>
      <w:pPr>
        <w:autoSpaceDE w:val="0"/>
        <w:autoSpaceDN w:val="0"/>
        <w:adjustRightInd w:val="0"/>
        <w:spacing w:line="360" w:lineRule="auto"/>
        <w:ind w:firstLine="480" w:firstLineChars="200"/>
        <w:jc w:val="left"/>
      </w:pPr>
      <w:r>
        <w:rPr>
          <w:rFonts w:hint="eastAsia" w:ascii="仿宋_GB2312" w:eastAsia="仿宋_GB2312"/>
          <w:sz w:val="24"/>
        </w:rPr>
        <w:t>投标人须知前附表（以下简称“前附表”）是对招标文件第六章“投标人须知”的具体补充和说明，投标人须知和前附表有不一致之处，应以前附表为准。前附表的条款号与投标人须知条款号是一一对应的关系。</w:t>
      </w:r>
    </w:p>
    <w:tbl>
      <w:tblPr>
        <w:tblStyle w:val="51"/>
        <w:tblW w:w="1022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38"/>
        <w:gridCol w:w="1843"/>
        <w:gridCol w:w="652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项号</w:t>
            </w:r>
          </w:p>
        </w:tc>
        <w:tc>
          <w:tcPr>
            <w:tcW w:w="1038" w:type="dxa"/>
            <w:vAlign w:val="center"/>
          </w:tcPr>
          <w:p>
            <w:pPr>
              <w:pStyle w:val="27"/>
              <w:spacing w:line="360" w:lineRule="auto"/>
              <w:jc w:val="center"/>
              <w:rPr>
                <w:rFonts w:hAnsi="宋体"/>
              </w:rPr>
            </w:pPr>
            <w:r>
              <w:rPr>
                <w:rFonts w:hint="eastAsia" w:hAnsi="宋体"/>
              </w:rPr>
              <w:t>条款号</w:t>
            </w:r>
          </w:p>
        </w:tc>
        <w:tc>
          <w:tcPr>
            <w:tcW w:w="1843" w:type="dxa"/>
            <w:vAlign w:val="center"/>
          </w:tcPr>
          <w:p>
            <w:pPr>
              <w:pStyle w:val="27"/>
              <w:spacing w:line="360" w:lineRule="auto"/>
              <w:jc w:val="center"/>
              <w:rPr>
                <w:rFonts w:hAnsi="宋体"/>
              </w:rPr>
            </w:pPr>
            <w:r>
              <w:rPr>
                <w:rFonts w:hint="eastAsia" w:hAnsi="宋体"/>
              </w:rPr>
              <w:t>内容</w:t>
            </w:r>
          </w:p>
        </w:tc>
        <w:tc>
          <w:tcPr>
            <w:tcW w:w="6520" w:type="dxa"/>
          </w:tcPr>
          <w:p>
            <w:pPr>
              <w:pStyle w:val="27"/>
              <w:spacing w:line="360" w:lineRule="auto"/>
              <w:jc w:val="center"/>
              <w:rPr>
                <w:rFonts w:hAnsi="宋体"/>
              </w:rPr>
            </w:pPr>
            <w:r>
              <w:rPr>
                <w:rFonts w:hint="eastAsia" w:hAnsi="宋体"/>
              </w:rPr>
              <w:t>内容规定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Ansi="宋体"/>
              </w:rPr>
              <w:t>1</w:t>
            </w:r>
          </w:p>
        </w:tc>
        <w:tc>
          <w:tcPr>
            <w:tcW w:w="1038" w:type="dxa"/>
            <w:vAlign w:val="center"/>
          </w:tcPr>
          <w:p>
            <w:pPr>
              <w:pStyle w:val="27"/>
              <w:spacing w:line="360" w:lineRule="auto"/>
              <w:jc w:val="center"/>
              <w:rPr>
                <w:rFonts w:hAnsi="宋体"/>
              </w:rPr>
            </w:pPr>
            <w:r>
              <w:rPr>
                <w:rFonts w:hAnsi="宋体"/>
              </w:rPr>
              <w:t>1.1</w:t>
            </w:r>
          </w:p>
        </w:tc>
        <w:tc>
          <w:tcPr>
            <w:tcW w:w="1843" w:type="dxa"/>
            <w:vAlign w:val="center"/>
          </w:tcPr>
          <w:p>
            <w:pPr>
              <w:pStyle w:val="27"/>
              <w:spacing w:line="360" w:lineRule="exact"/>
              <w:jc w:val="center"/>
              <w:rPr>
                <w:rFonts w:hAnsi="宋体"/>
              </w:rPr>
            </w:pPr>
            <w:r>
              <w:rPr>
                <w:rFonts w:hint="eastAsia" w:hAnsi="宋体"/>
              </w:rPr>
              <w:t>项目名称</w:t>
            </w:r>
          </w:p>
        </w:tc>
        <w:tc>
          <w:tcPr>
            <w:tcW w:w="6520" w:type="dxa"/>
            <w:vAlign w:val="center"/>
          </w:tcPr>
          <w:p>
            <w:pPr>
              <w:pStyle w:val="27"/>
              <w:spacing w:line="360" w:lineRule="exact"/>
            </w:pPr>
            <w:r>
              <w:rPr>
                <w:rFonts w:hint="eastAsia" w:asciiTheme="minorEastAsia" w:hAnsiTheme="minorEastAsia" w:eastAsiaTheme="minorEastAsia"/>
              </w:rPr>
              <w:t>“防暑降温”物资采购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2</w:t>
            </w:r>
          </w:p>
        </w:tc>
        <w:tc>
          <w:tcPr>
            <w:tcW w:w="1038" w:type="dxa"/>
            <w:vAlign w:val="center"/>
          </w:tcPr>
          <w:p>
            <w:pPr>
              <w:pStyle w:val="27"/>
              <w:spacing w:line="360" w:lineRule="auto"/>
              <w:jc w:val="center"/>
              <w:rPr>
                <w:rFonts w:hAnsi="宋体"/>
              </w:rPr>
            </w:pPr>
            <w:r>
              <w:rPr>
                <w:rFonts w:hAnsi="宋体"/>
              </w:rPr>
              <w:t>2.1</w:t>
            </w:r>
          </w:p>
        </w:tc>
        <w:tc>
          <w:tcPr>
            <w:tcW w:w="1843" w:type="dxa"/>
            <w:vAlign w:val="center"/>
          </w:tcPr>
          <w:p>
            <w:pPr>
              <w:pStyle w:val="27"/>
              <w:spacing w:line="360" w:lineRule="exact"/>
              <w:jc w:val="center"/>
              <w:rPr>
                <w:rFonts w:hAnsi="宋体"/>
              </w:rPr>
            </w:pPr>
            <w:r>
              <w:rPr>
                <w:rFonts w:hint="eastAsia" w:hAnsi="宋体"/>
              </w:rPr>
              <w:t>采购人</w:t>
            </w:r>
          </w:p>
        </w:tc>
        <w:tc>
          <w:tcPr>
            <w:tcW w:w="6520" w:type="dxa"/>
            <w:vAlign w:val="center"/>
          </w:tcPr>
          <w:p>
            <w:pPr>
              <w:pStyle w:val="27"/>
              <w:spacing w:line="360" w:lineRule="exact"/>
              <w:rPr>
                <w:rFonts w:hAnsi="宋体"/>
                <w:szCs w:val="24"/>
              </w:rPr>
            </w:pPr>
            <w:r>
              <w:rPr>
                <w:rFonts w:hint="eastAsia" w:hAnsi="宋体"/>
                <w:snapToGrid w:val="0"/>
                <w:szCs w:val="21"/>
              </w:rPr>
              <w:t>北京大学深圳医院工会委员会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3</w:t>
            </w:r>
          </w:p>
        </w:tc>
        <w:tc>
          <w:tcPr>
            <w:tcW w:w="1038" w:type="dxa"/>
            <w:vAlign w:val="center"/>
          </w:tcPr>
          <w:p>
            <w:pPr>
              <w:pStyle w:val="27"/>
              <w:spacing w:line="360" w:lineRule="auto"/>
              <w:jc w:val="center"/>
              <w:rPr>
                <w:rFonts w:hAnsi="宋体"/>
              </w:rPr>
            </w:pPr>
            <w:r>
              <w:rPr>
                <w:rFonts w:hAnsi="宋体"/>
              </w:rPr>
              <w:t>2.2</w:t>
            </w:r>
          </w:p>
        </w:tc>
        <w:tc>
          <w:tcPr>
            <w:tcW w:w="1843" w:type="dxa"/>
            <w:vAlign w:val="center"/>
          </w:tcPr>
          <w:p>
            <w:pPr>
              <w:pStyle w:val="27"/>
              <w:spacing w:line="360" w:lineRule="exact"/>
              <w:jc w:val="center"/>
              <w:rPr>
                <w:rFonts w:hAnsi="宋体"/>
              </w:rPr>
            </w:pPr>
            <w:r>
              <w:rPr>
                <w:rFonts w:hint="eastAsia" w:hAnsi="宋体"/>
              </w:rPr>
              <w:t>招标代理机构</w:t>
            </w:r>
          </w:p>
        </w:tc>
        <w:tc>
          <w:tcPr>
            <w:tcW w:w="6520" w:type="dxa"/>
            <w:vAlign w:val="center"/>
          </w:tcPr>
          <w:p>
            <w:pPr>
              <w:pStyle w:val="27"/>
              <w:spacing w:line="360" w:lineRule="exact"/>
              <w:rPr>
                <w:rFonts w:hAnsi="宋体"/>
              </w:rPr>
            </w:pPr>
            <w:r>
              <w:rPr>
                <w:rFonts w:hAnsi="宋体"/>
              </w:rPr>
              <w:t>深圳市中正招标有限公司</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828" w:type="dxa"/>
            <w:vAlign w:val="center"/>
          </w:tcPr>
          <w:p>
            <w:pPr>
              <w:pStyle w:val="27"/>
              <w:spacing w:line="360" w:lineRule="auto"/>
              <w:jc w:val="center"/>
              <w:rPr>
                <w:rFonts w:hAnsi="宋体"/>
              </w:rPr>
            </w:pPr>
            <w:r>
              <w:rPr>
                <w:rFonts w:hint="eastAsia" w:hAnsi="宋体"/>
              </w:rPr>
              <w:t>4</w:t>
            </w:r>
          </w:p>
        </w:tc>
        <w:tc>
          <w:tcPr>
            <w:tcW w:w="1038" w:type="dxa"/>
            <w:vAlign w:val="center"/>
          </w:tcPr>
          <w:p>
            <w:pPr>
              <w:pStyle w:val="27"/>
              <w:spacing w:line="360" w:lineRule="auto"/>
              <w:jc w:val="center"/>
              <w:rPr>
                <w:rFonts w:hAnsi="宋体"/>
              </w:rPr>
            </w:pPr>
            <w:r>
              <w:rPr>
                <w:rFonts w:hint="eastAsia" w:hAnsi="宋体"/>
              </w:rPr>
              <w:t>3.1</w:t>
            </w:r>
          </w:p>
        </w:tc>
        <w:tc>
          <w:tcPr>
            <w:tcW w:w="1843" w:type="dxa"/>
            <w:vAlign w:val="center"/>
          </w:tcPr>
          <w:p>
            <w:pPr>
              <w:pStyle w:val="27"/>
              <w:spacing w:line="360" w:lineRule="exact"/>
              <w:jc w:val="center"/>
              <w:rPr>
                <w:rFonts w:hAnsi="宋体"/>
              </w:rPr>
            </w:pPr>
            <w:r>
              <w:rPr>
                <w:rFonts w:hint="eastAsia" w:hAnsi="宋体"/>
              </w:rPr>
              <w:t>资金来源</w:t>
            </w:r>
          </w:p>
        </w:tc>
        <w:tc>
          <w:tcPr>
            <w:tcW w:w="6520" w:type="dxa"/>
            <w:vAlign w:val="center"/>
          </w:tcPr>
          <w:p>
            <w:pPr>
              <w:pStyle w:val="27"/>
              <w:spacing w:line="360" w:lineRule="exact"/>
              <w:rPr>
                <w:rFonts w:hAnsi="宋体"/>
              </w:rPr>
            </w:pPr>
            <w:r>
              <w:rPr>
                <w:rFonts w:hint="eastAsia" w:hAnsi="宋体" w:cs="MS Mincho"/>
                <w:sz w:val="24"/>
                <w:szCs w:val="24"/>
              </w:rPr>
              <w:t>□</w:t>
            </w:r>
            <w:r>
              <w:rPr>
                <w:rFonts w:hint="eastAsia" w:hAnsi="宋体"/>
              </w:rPr>
              <w:t>财政资金/☑自筹资金/□其它资金</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28" w:type="dxa"/>
            <w:vAlign w:val="center"/>
          </w:tcPr>
          <w:p>
            <w:pPr>
              <w:pStyle w:val="27"/>
              <w:spacing w:line="360" w:lineRule="auto"/>
              <w:jc w:val="center"/>
              <w:rPr>
                <w:rFonts w:hAnsi="宋体"/>
              </w:rPr>
            </w:pPr>
            <w:r>
              <w:rPr>
                <w:rFonts w:hint="eastAsia" w:hAnsi="宋体"/>
              </w:rPr>
              <w:t>5</w:t>
            </w:r>
          </w:p>
        </w:tc>
        <w:tc>
          <w:tcPr>
            <w:tcW w:w="1038" w:type="dxa"/>
            <w:vAlign w:val="center"/>
          </w:tcPr>
          <w:p>
            <w:pPr>
              <w:pStyle w:val="27"/>
              <w:spacing w:line="360" w:lineRule="auto"/>
              <w:jc w:val="center"/>
              <w:rPr>
                <w:rFonts w:hAnsi="宋体"/>
              </w:rPr>
            </w:pPr>
            <w:r>
              <w:rPr>
                <w:rFonts w:hint="eastAsia" w:hAnsi="宋体"/>
              </w:rPr>
              <w:t>4.7</w:t>
            </w:r>
          </w:p>
        </w:tc>
        <w:tc>
          <w:tcPr>
            <w:tcW w:w="1843" w:type="dxa"/>
            <w:vAlign w:val="center"/>
          </w:tcPr>
          <w:p>
            <w:pPr>
              <w:pStyle w:val="27"/>
              <w:spacing w:line="360" w:lineRule="auto"/>
              <w:jc w:val="center"/>
              <w:rPr>
                <w:rFonts w:hAnsi="宋体"/>
              </w:rPr>
            </w:pPr>
            <w:r>
              <w:rPr>
                <w:rFonts w:hint="eastAsia" w:hAnsi="宋体"/>
              </w:rPr>
              <w:t>投标人资格要求</w:t>
            </w:r>
          </w:p>
        </w:tc>
        <w:tc>
          <w:tcPr>
            <w:tcW w:w="6520" w:type="dxa"/>
            <w:vAlign w:val="center"/>
          </w:tcPr>
          <w:p>
            <w:pPr>
              <w:pStyle w:val="27"/>
              <w:spacing w:line="360" w:lineRule="auto"/>
              <w:rPr>
                <w:rFonts w:hAnsi="宋体"/>
                <w:szCs w:val="21"/>
              </w:rPr>
            </w:pPr>
            <w:r>
              <w:rPr>
                <w:rFonts w:hint="eastAsia" w:hAnsi="宋体"/>
                <w:szCs w:val="21"/>
              </w:rPr>
              <w:t>详见《第一章 投标邀请》“申请人的资格要求”</w:t>
            </w:r>
          </w:p>
          <w:p>
            <w:pPr>
              <w:pStyle w:val="27"/>
              <w:spacing w:line="360" w:lineRule="auto"/>
              <w:rPr>
                <w:rFonts w:hAnsi="宋体"/>
                <w:b/>
                <w:bCs/>
                <w:szCs w:val="21"/>
              </w:rPr>
            </w:pPr>
            <w:r>
              <w:rPr>
                <w:rFonts w:hint="eastAsia" w:hAnsi="宋体"/>
                <w:b/>
                <w:bCs/>
                <w:szCs w:val="21"/>
              </w:rPr>
              <w:t>（投标人资格证明文件详见第七章 投标文件格式）</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6</w:t>
            </w:r>
          </w:p>
        </w:tc>
        <w:tc>
          <w:tcPr>
            <w:tcW w:w="1038" w:type="dxa"/>
            <w:vAlign w:val="center"/>
          </w:tcPr>
          <w:p>
            <w:pPr>
              <w:pStyle w:val="27"/>
              <w:spacing w:line="360" w:lineRule="auto"/>
              <w:jc w:val="center"/>
              <w:rPr>
                <w:rFonts w:hAnsi="宋体"/>
              </w:rPr>
            </w:pPr>
            <w:r>
              <w:rPr>
                <w:rFonts w:hint="eastAsia" w:hAnsi="宋体"/>
              </w:rPr>
              <w:t>4.8</w:t>
            </w:r>
          </w:p>
        </w:tc>
        <w:tc>
          <w:tcPr>
            <w:tcW w:w="1843" w:type="dxa"/>
            <w:vAlign w:val="center"/>
          </w:tcPr>
          <w:p>
            <w:pPr>
              <w:pStyle w:val="27"/>
              <w:spacing w:line="360" w:lineRule="auto"/>
              <w:jc w:val="center"/>
              <w:rPr>
                <w:rFonts w:hAnsi="宋体"/>
              </w:rPr>
            </w:pPr>
            <w:r>
              <w:rPr>
                <w:rFonts w:hint="eastAsia" w:hAnsi="宋体"/>
              </w:rPr>
              <w:t>联合体投标</w:t>
            </w:r>
          </w:p>
        </w:tc>
        <w:tc>
          <w:tcPr>
            <w:tcW w:w="6520" w:type="dxa"/>
          </w:tcPr>
          <w:p>
            <w:pPr>
              <w:pStyle w:val="27"/>
              <w:spacing w:line="360" w:lineRule="auto"/>
              <w:rPr>
                <w:rFonts w:hAnsi="宋体"/>
              </w:rPr>
            </w:pPr>
            <w:r>
              <w:rPr>
                <w:rFonts w:hint="eastAsia" w:hAnsi="宋体"/>
              </w:rPr>
              <w:t>不接受</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7</w:t>
            </w:r>
          </w:p>
        </w:tc>
        <w:tc>
          <w:tcPr>
            <w:tcW w:w="1038" w:type="dxa"/>
            <w:vAlign w:val="center"/>
          </w:tcPr>
          <w:p>
            <w:pPr>
              <w:pStyle w:val="27"/>
              <w:spacing w:line="360" w:lineRule="auto"/>
              <w:jc w:val="center"/>
              <w:rPr>
                <w:rFonts w:hAnsi="宋体"/>
              </w:rPr>
            </w:pPr>
            <w:r>
              <w:rPr>
                <w:rFonts w:hint="eastAsia" w:hAnsi="宋体"/>
              </w:rPr>
              <w:t>6.1</w:t>
            </w:r>
          </w:p>
        </w:tc>
        <w:tc>
          <w:tcPr>
            <w:tcW w:w="1843" w:type="dxa"/>
            <w:vAlign w:val="center"/>
          </w:tcPr>
          <w:p>
            <w:pPr>
              <w:pStyle w:val="27"/>
              <w:spacing w:line="360" w:lineRule="auto"/>
              <w:jc w:val="center"/>
              <w:rPr>
                <w:rFonts w:hAnsi="宋体"/>
              </w:rPr>
            </w:pPr>
            <w:r>
              <w:rPr>
                <w:rFonts w:hint="eastAsia" w:hAnsi="宋体"/>
              </w:rPr>
              <w:t>踏勘现场</w:t>
            </w:r>
          </w:p>
        </w:tc>
        <w:tc>
          <w:tcPr>
            <w:tcW w:w="6520" w:type="dxa"/>
          </w:tcPr>
          <w:p>
            <w:pPr>
              <w:pStyle w:val="27"/>
              <w:spacing w:line="360" w:lineRule="auto"/>
              <w:rPr>
                <w:rFonts w:hAnsi="宋体"/>
              </w:rPr>
            </w:pPr>
            <w:r>
              <w:rPr>
                <w:rFonts w:hint="eastAsia" w:hAnsi="宋体"/>
              </w:rPr>
              <w:t>不统一组织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828" w:type="dxa"/>
            <w:vAlign w:val="center"/>
          </w:tcPr>
          <w:p>
            <w:pPr>
              <w:pStyle w:val="27"/>
              <w:spacing w:line="360" w:lineRule="auto"/>
              <w:jc w:val="center"/>
              <w:rPr>
                <w:rFonts w:hAnsi="宋体"/>
              </w:rPr>
            </w:pPr>
            <w:r>
              <w:rPr>
                <w:rFonts w:hint="eastAsia" w:hAnsi="宋体"/>
              </w:rPr>
              <w:t>8</w:t>
            </w:r>
          </w:p>
        </w:tc>
        <w:tc>
          <w:tcPr>
            <w:tcW w:w="1038" w:type="dxa"/>
            <w:vAlign w:val="center"/>
          </w:tcPr>
          <w:p>
            <w:pPr>
              <w:pStyle w:val="27"/>
              <w:spacing w:line="360" w:lineRule="auto"/>
              <w:jc w:val="center"/>
              <w:rPr>
                <w:rFonts w:hAnsi="宋体"/>
              </w:rPr>
            </w:pPr>
            <w:r>
              <w:rPr>
                <w:rFonts w:hAnsi="宋体"/>
              </w:rPr>
              <w:t>1</w:t>
            </w:r>
            <w:r>
              <w:rPr>
                <w:rFonts w:hint="eastAsia" w:hAnsi="宋体"/>
              </w:rPr>
              <w:t>4</w:t>
            </w:r>
            <w:r>
              <w:rPr>
                <w:rFonts w:hAnsi="宋体"/>
              </w:rPr>
              <w:t>.1</w:t>
            </w:r>
          </w:p>
        </w:tc>
        <w:tc>
          <w:tcPr>
            <w:tcW w:w="1843" w:type="dxa"/>
            <w:vAlign w:val="center"/>
          </w:tcPr>
          <w:p>
            <w:pPr>
              <w:pStyle w:val="27"/>
              <w:spacing w:line="360" w:lineRule="auto"/>
              <w:jc w:val="center"/>
              <w:rPr>
                <w:rFonts w:hAnsi="宋体"/>
              </w:rPr>
            </w:pPr>
            <w:r>
              <w:rPr>
                <w:rFonts w:hint="eastAsia" w:hAnsi="宋体"/>
              </w:rPr>
              <w:t>投标有效期</w:t>
            </w:r>
          </w:p>
        </w:tc>
        <w:tc>
          <w:tcPr>
            <w:tcW w:w="6520" w:type="dxa"/>
          </w:tcPr>
          <w:p>
            <w:pPr>
              <w:pStyle w:val="27"/>
              <w:spacing w:line="360" w:lineRule="auto"/>
              <w:rPr>
                <w:rFonts w:hAnsi="宋体"/>
              </w:rPr>
            </w:pPr>
            <w:r>
              <w:rPr>
                <w:rFonts w:hint="eastAsia" w:hAnsi="宋体"/>
              </w:rPr>
              <w:t>90</w:t>
            </w:r>
            <w:r>
              <w:rPr>
                <w:rFonts w:hAnsi="宋体"/>
              </w:rPr>
              <w:t>日历天（从投标截止之日算起）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8" w:type="dxa"/>
            <w:vAlign w:val="center"/>
          </w:tcPr>
          <w:p>
            <w:pPr>
              <w:pStyle w:val="27"/>
              <w:spacing w:line="360" w:lineRule="auto"/>
              <w:jc w:val="center"/>
              <w:rPr>
                <w:rFonts w:hAnsi="宋体"/>
              </w:rPr>
            </w:pPr>
            <w:r>
              <w:rPr>
                <w:rFonts w:hint="eastAsia" w:hAnsi="宋体"/>
              </w:rPr>
              <w:t>9</w:t>
            </w:r>
          </w:p>
        </w:tc>
        <w:tc>
          <w:tcPr>
            <w:tcW w:w="1038" w:type="dxa"/>
            <w:vAlign w:val="center"/>
          </w:tcPr>
          <w:p>
            <w:pPr>
              <w:pStyle w:val="27"/>
              <w:spacing w:line="360" w:lineRule="auto"/>
              <w:jc w:val="center"/>
              <w:rPr>
                <w:rFonts w:hAnsi="宋体"/>
              </w:rPr>
            </w:pPr>
            <w:r>
              <w:rPr>
                <w:rFonts w:hAnsi="宋体"/>
              </w:rPr>
              <w:t>1</w:t>
            </w:r>
            <w:r>
              <w:rPr>
                <w:rFonts w:hint="eastAsia" w:hAnsi="宋体"/>
              </w:rPr>
              <w:t>5</w:t>
            </w:r>
            <w:r>
              <w:rPr>
                <w:rFonts w:hAnsi="宋体"/>
              </w:rPr>
              <w:t>.</w:t>
            </w:r>
            <w:r>
              <w:rPr>
                <w:rFonts w:hint="eastAsia" w:hAnsi="宋体"/>
              </w:rPr>
              <w:t>2</w:t>
            </w:r>
          </w:p>
        </w:tc>
        <w:tc>
          <w:tcPr>
            <w:tcW w:w="1843" w:type="dxa"/>
            <w:vAlign w:val="center"/>
          </w:tcPr>
          <w:p>
            <w:pPr>
              <w:pStyle w:val="27"/>
              <w:spacing w:line="360" w:lineRule="auto"/>
              <w:jc w:val="center"/>
              <w:rPr>
                <w:rFonts w:hAnsi="宋体"/>
              </w:rPr>
            </w:pPr>
            <w:r>
              <w:rPr>
                <w:rFonts w:hint="eastAsia" w:hAnsi="宋体"/>
              </w:rPr>
              <w:t>投标保证金</w:t>
            </w:r>
          </w:p>
        </w:tc>
        <w:tc>
          <w:tcPr>
            <w:tcW w:w="6520" w:type="dxa"/>
            <w:vAlign w:val="center"/>
          </w:tcPr>
          <w:p>
            <w:pPr>
              <w:tabs>
                <w:tab w:val="left" w:pos="915"/>
              </w:tabs>
              <w:spacing w:line="360" w:lineRule="exact"/>
              <w:rPr>
                <w:rFonts w:hAnsi="宋体"/>
              </w:rPr>
            </w:pPr>
            <w:r>
              <w:rPr>
                <w:rFonts w:hint="eastAsia" w:hAnsi="宋体"/>
              </w:rPr>
              <w:t>不要求向招标代理机构提交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828" w:type="dxa"/>
            <w:vAlign w:val="center"/>
          </w:tcPr>
          <w:p>
            <w:pPr>
              <w:pStyle w:val="27"/>
              <w:spacing w:line="360" w:lineRule="auto"/>
              <w:jc w:val="center"/>
              <w:rPr>
                <w:rFonts w:hAnsi="宋体"/>
              </w:rPr>
            </w:pPr>
            <w:r>
              <w:rPr>
                <w:rFonts w:hint="eastAsia" w:hAnsi="宋体"/>
              </w:rPr>
              <w:t>10</w:t>
            </w:r>
          </w:p>
        </w:tc>
        <w:tc>
          <w:tcPr>
            <w:tcW w:w="1038" w:type="dxa"/>
            <w:vAlign w:val="center"/>
          </w:tcPr>
          <w:p>
            <w:pPr>
              <w:pStyle w:val="27"/>
              <w:spacing w:line="360" w:lineRule="auto"/>
              <w:jc w:val="center"/>
              <w:rPr>
                <w:rFonts w:hAnsi="宋体"/>
              </w:rPr>
            </w:pPr>
            <w:r>
              <w:rPr>
                <w:rFonts w:hint="eastAsia" w:hAnsi="宋体"/>
              </w:rPr>
              <w:t>16.1</w:t>
            </w:r>
          </w:p>
        </w:tc>
        <w:tc>
          <w:tcPr>
            <w:tcW w:w="1843" w:type="dxa"/>
            <w:vAlign w:val="center"/>
          </w:tcPr>
          <w:p>
            <w:pPr>
              <w:pStyle w:val="27"/>
              <w:spacing w:line="360" w:lineRule="auto"/>
              <w:jc w:val="center"/>
              <w:rPr>
                <w:rFonts w:hAnsi="宋体"/>
              </w:rPr>
            </w:pPr>
            <w:r>
              <w:rPr>
                <w:rFonts w:hint="eastAsia" w:hAnsi="宋体"/>
              </w:rPr>
              <w:t>投标预备会</w:t>
            </w:r>
          </w:p>
          <w:p>
            <w:pPr>
              <w:pStyle w:val="27"/>
              <w:spacing w:line="360" w:lineRule="auto"/>
              <w:jc w:val="center"/>
              <w:rPr>
                <w:rFonts w:hAnsi="宋体"/>
              </w:rPr>
            </w:pPr>
            <w:r>
              <w:rPr>
                <w:rFonts w:hint="eastAsia" w:hAnsi="宋体"/>
              </w:rPr>
              <w:t>（答疑会）</w:t>
            </w:r>
          </w:p>
        </w:tc>
        <w:tc>
          <w:tcPr>
            <w:tcW w:w="6520" w:type="dxa"/>
            <w:vAlign w:val="center"/>
          </w:tcPr>
          <w:p>
            <w:pPr>
              <w:pStyle w:val="27"/>
              <w:spacing w:line="360" w:lineRule="auto"/>
              <w:rPr>
                <w:rFonts w:hAnsi="宋体"/>
              </w:rPr>
            </w:pPr>
            <w:r>
              <w:rPr>
                <w:rFonts w:hint="eastAsia" w:hAnsi="宋体"/>
              </w:rPr>
              <w:t>不召开</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11</w:t>
            </w:r>
          </w:p>
        </w:tc>
        <w:tc>
          <w:tcPr>
            <w:tcW w:w="1038" w:type="dxa"/>
            <w:vAlign w:val="center"/>
          </w:tcPr>
          <w:p>
            <w:pPr>
              <w:pStyle w:val="27"/>
              <w:spacing w:line="360" w:lineRule="auto"/>
              <w:jc w:val="center"/>
              <w:rPr>
                <w:rFonts w:hAnsi="宋体"/>
              </w:rPr>
            </w:pPr>
            <w:r>
              <w:rPr>
                <w:rFonts w:hAnsi="宋体"/>
              </w:rPr>
              <w:t>1</w:t>
            </w:r>
            <w:r>
              <w:rPr>
                <w:rFonts w:hint="eastAsia" w:hAnsi="宋体"/>
              </w:rPr>
              <w:t>7</w:t>
            </w:r>
            <w:r>
              <w:rPr>
                <w:rFonts w:hAnsi="宋体"/>
              </w:rPr>
              <w:t>.1</w:t>
            </w:r>
          </w:p>
        </w:tc>
        <w:tc>
          <w:tcPr>
            <w:tcW w:w="1843" w:type="dxa"/>
            <w:vAlign w:val="center"/>
          </w:tcPr>
          <w:p>
            <w:pPr>
              <w:pStyle w:val="27"/>
              <w:spacing w:line="360" w:lineRule="auto"/>
              <w:jc w:val="center"/>
              <w:rPr>
                <w:rFonts w:hAnsi="宋体"/>
              </w:rPr>
            </w:pPr>
            <w:r>
              <w:rPr>
                <w:rFonts w:hint="eastAsia" w:hAnsi="宋体"/>
              </w:rPr>
              <w:t>投标文件份数</w:t>
            </w:r>
          </w:p>
        </w:tc>
        <w:tc>
          <w:tcPr>
            <w:tcW w:w="6520" w:type="dxa"/>
          </w:tcPr>
          <w:p>
            <w:pPr>
              <w:pStyle w:val="27"/>
              <w:spacing w:line="360" w:lineRule="auto"/>
              <w:rPr>
                <w:rFonts w:hAnsi="宋体"/>
              </w:rPr>
            </w:pPr>
            <w:r>
              <w:rPr>
                <w:rFonts w:asciiTheme="minorEastAsia" w:hAnsiTheme="minorEastAsia" w:eastAsiaTheme="minorEastAsia"/>
              </w:rPr>
              <w:t>正本1份，副本</w:t>
            </w:r>
            <w:r>
              <w:rPr>
                <w:rFonts w:hint="eastAsia" w:asciiTheme="minorEastAsia" w:hAnsiTheme="minorEastAsia" w:eastAsiaTheme="minorEastAsia"/>
              </w:rPr>
              <w:t>5</w:t>
            </w:r>
            <w:r>
              <w:rPr>
                <w:rFonts w:asciiTheme="minorEastAsia" w:hAnsiTheme="minorEastAsia" w:eastAsiaTheme="minorEastAsia"/>
              </w:rPr>
              <w:t>份，</w:t>
            </w:r>
            <w:r>
              <w:rPr>
                <w:rFonts w:hint="eastAsia" w:asciiTheme="minorEastAsia" w:hAnsiTheme="minorEastAsia" w:eastAsiaTheme="minorEastAsia"/>
              </w:rPr>
              <w:t>电子</w:t>
            </w:r>
            <w:r>
              <w:rPr>
                <w:rFonts w:asciiTheme="minorEastAsia" w:hAnsiTheme="minorEastAsia" w:eastAsiaTheme="minorEastAsia"/>
              </w:rPr>
              <w:t>备份光盘（或U盘）1份</w:t>
            </w:r>
            <w:r>
              <w:rPr>
                <w:rFonts w:hint="eastAsia" w:asciiTheme="minorEastAsia" w:hAnsiTheme="minorEastAsia" w:eastAsiaTheme="minorEastAsia"/>
              </w:rPr>
              <w:t>（内容为投标文件正本盖章扫描件）。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12</w:t>
            </w:r>
          </w:p>
        </w:tc>
        <w:tc>
          <w:tcPr>
            <w:tcW w:w="1038" w:type="dxa"/>
            <w:vAlign w:val="center"/>
          </w:tcPr>
          <w:p>
            <w:pPr>
              <w:pStyle w:val="27"/>
              <w:spacing w:line="360" w:lineRule="auto"/>
              <w:jc w:val="center"/>
              <w:rPr>
                <w:rFonts w:hAnsi="宋体"/>
              </w:rPr>
            </w:pPr>
            <w:r>
              <w:rPr>
                <w:rFonts w:hAnsi="宋体"/>
              </w:rPr>
              <w:t>1</w:t>
            </w:r>
            <w:r>
              <w:rPr>
                <w:rFonts w:hint="eastAsia" w:hAnsi="宋体"/>
              </w:rPr>
              <w:t>8</w:t>
            </w:r>
            <w:r>
              <w:rPr>
                <w:rFonts w:hAnsi="宋体"/>
              </w:rPr>
              <w:t>.</w:t>
            </w:r>
            <w:r>
              <w:rPr>
                <w:rFonts w:hint="eastAsia" w:hAnsi="宋体"/>
              </w:rPr>
              <w:t>8</w:t>
            </w:r>
          </w:p>
        </w:tc>
        <w:tc>
          <w:tcPr>
            <w:tcW w:w="1843" w:type="dxa"/>
            <w:vAlign w:val="center"/>
          </w:tcPr>
          <w:p>
            <w:pPr>
              <w:pStyle w:val="27"/>
              <w:spacing w:line="360" w:lineRule="auto"/>
              <w:jc w:val="center"/>
              <w:rPr>
                <w:rFonts w:hAnsi="宋体"/>
              </w:rPr>
            </w:pPr>
            <w:r>
              <w:rPr>
                <w:rFonts w:hint="eastAsia" w:hAnsi="宋体"/>
              </w:rPr>
              <w:t>开标</w:t>
            </w:r>
          </w:p>
        </w:tc>
        <w:tc>
          <w:tcPr>
            <w:tcW w:w="6520" w:type="dxa"/>
          </w:tcPr>
          <w:p>
            <w:pPr>
              <w:pStyle w:val="27"/>
              <w:spacing w:line="360" w:lineRule="auto"/>
              <w:rPr>
                <w:rFonts w:hAnsi="宋体"/>
                <w:b/>
                <w:color w:val="000000" w:themeColor="text1"/>
              </w:rPr>
            </w:pPr>
            <w:r>
              <w:rPr>
                <w:rFonts w:hAnsi="宋体"/>
                <w:b/>
                <w:color w:val="000000" w:themeColor="text1"/>
              </w:rPr>
              <w:t>时间：</w:t>
            </w:r>
            <w:r>
              <w:rPr>
                <w:rFonts w:hint="eastAsia" w:hAnsi="宋体"/>
                <w:b/>
                <w:snapToGrid w:val="0"/>
                <w:color w:val="000000" w:themeColor="text1"/>
                <w:szCs w:val="18"/>
              </w:rPr>
              <w:t>2022年</w:t>
            </w:r>
            <w:r>
              <w:rPr>
                <w:rFonts w:hint="eastAsia" w:hAnsi="宋体"/>
                <w:b/>
                <w:snapToGrid w:val="0"/>
                <w:color w:val="000000" w:themeColor="text1"/>
                <w:szCs w:val="18"/>
                <w:lang w:val="en-US" w:eastAsia="zh-CN"/>
              </w:rPr>
              <w:t>7</w:t>
            </w:r>
            <w:r>
              <w:rPr>
                <w:rFonts w:hint="eastAsia" w:hAnsi="宋体"/>
                <w:b/>
                <w:snapToGrid w:val="0"/>
                <w:color w:val="000000" w:themeColor="text1"/>
                <w:szCs w:val="18"/>
              </w:rPr>
              <w:t>月</w:t>
            </w:r>
            <w:r>
              <w:rPr>
                <w:rFonts w:hint="eastAsia" w:hAnsi="宋体"/>
                <w:b/>
                <w:snapToGrid w:val="0"/>
                <w:color w:val="000000" w:themeColor="text1"/>
                <w:szCs w:val="18"/>
                <w:lang w:val="en-US" w:eastAsia="zh-CN"/>
              </w:rPr>
              <w:t>12</w:t>
            </w:r>
            <w:r>
              <w:rPr>
                <w:rFonts w:hint="eastAsia" w:hAnsi="宋体"/>
                <w:b/>
                <w:snapToGrid w:val="0"/>
                <w:color w:val="000000" w:themeColor="text1"/>
                <w:szCs w:val="18"/>
              </w:rPr>
              <w:t>日</w:t>
            </w:r>
            <w:r>
              <w:rPr>
                <w:rFonts w:hint="eastAsia" w:hAnsi="宋体"/>
                <w:b/>
                <w:snapToGrid w:val="0"/>
                <w:color w:val="000000" w:themeColor="text1"/>
                <w:szCs w:val="18"/>
                <w:lang w:val="en-US" w:eastAsia="zh-CN"/>
              </w:rPr>
              <w:t>09</w:t>
            </w:r>
            <w:r>
              <w:rPr>
                <w:rFonts w:hint="eastAsia" w:hAnsi="宋体"/>
                <w:b/>
                <w:snapToGrid w:val="0"/>
                <w:color w:val="000000" w:themeColor="text1"/>
                <w:szCs w:val="18"/>
              </w:rPr>
              <w:t>点</w:t>
            </w:r>
            <w:r>
              <w:rPr>
                <w:rFonts w:hint="eastAsia" w:hAnsi="宋体"/>
                <w:b/>
                <w:snapToGrid w:val="0"/>
                <w:color w:val="000000" w:themeColor="text1"/>
                <w:szCs w:val="18"/>
                <w:lang w:val="en-US" w:eastAsia="zh-CN"/>
              </w:rPr>
              <w:t>30</w:t>
            </w:r>
            <w:r>
              <w:rPr>
                <w:rFonts w:hint="eastAsia" w:hAnsi="宋体"/>
                <w:b/>
                <w:snapToGrid w:val="0"/>
                <w:color w:val="000000" w:themeColor="text1"/>
                <w:szCs w:val="18"/>
              </w:rPr>
              <w:t>分</w:t>
            </w:r>
            <w:r>
              <w:rPr>
                <w:rFonts w:hAnsi="宋体"/>
                <w:b/>
                <w:color w:val="000000" w:themeColor="text1"/>
              </w:rPr>
              <w:t>（北京时间）</w:t>
            </w:r>
          </w:p>
          <w:p>
            <w:pPr>
              <w:pStyle w:val="27"/>
              <w:spacing w:line="360" w:lineRule="auto"/>
              <w:rPr>
                <w:rFonts w:hAnsi="宋体"/>
              </w:rPr>
            </w:pPr>
            <w:r>
              <w:rPr>
                <w:rFonts w:hAnsi="宋体"/>
              </w:rPr>
              <w:t>地点：</w:t>
            </w:r>
            <w:r>
              <w:rPr>
                <w:rFonts w:hint="eastAsia" w:hAnsi="宋体"/>
                <w:snapToGrid w:val="0"/>
              </w:rPr>
              <w:t>深圳市福田区民田路171号新华保险大厦903中正招标会议室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13</w:t>
            </w:r>
          </w:p>
        </w:tc>
        <w:tc>
          <w:tcPr>
            <w:tcW w:w="1038" w:type="dxa"/>
            <w:vAlign w:val="center"/>
          </w:tcPr>
          <w:p>
            <w:pPr>
              <w:pStyle w:val="27"/>
              <w:spacing w:line="360" w:lineRule="auto"/>
              <w:jc w:val="center"/>
              <w:rPr>
                <w:rFonts w:hAnsi="宋体"/>
              </w:rPr>
            </w:pPr>
            <w:r>
              <w:rPr>
                <w:rFonts w:hAnsi="宋体"/>
              </w:rPr>
              <w:t>1</w:t>
            </w:r>
            <w:r>
              <w:rPr>
                <w:rFonts w:hint="eastAsia" w:hAnsi="宋体"/>
              </w:rPr>
              <w:t>9</w:t>
            </w:r>
            <w:r>
              <w:rPr>
                <w:rFonts w:hAnsi="宋体"/>
              </w:rPr>
              <w:t>.</w:t>
            </w:r>
            <w:r>
              <w:rPr>
                <w:rFonts w:hint="eastAsia" w:hAnsi="宋体"/>
              </w:rPr>
              <w:t>2</w:t>
            </w:r>
          </w:p>
        </w:tc>
        <w:tc>
          <w:tcPr>
            <w:tcW w:w="1843" w:type="dxa"/>
            <w:vAlign w:val="center"/>
          </w:tcPr>
          <w:p>
            <w:pPr>
              <w:pStyle w:val="27"/>
              <w:spacing w:line="360" w:lineRule="auto"/>
              <w:jc w:val="center"/>
              <w:rPr>
                <w:rFonts w:hAnsi="宋体"/>
              </w:rPr>
            </w:pPr>
            <w:r>
              <w:rPr>
                <w:rFonts w:hint="eastAsia" w:hAnsi="宋体"/>
              </w:rPr>
              <w:t>投标截止时间</w:t>
            </w:r>
          </w:p>
        </w:tc>
        <w:tc>
          <w:tcPr>
            <w:tcW w:w="6520" w:type="dxa"/>
          </w:tcPr>
          <w:p>
            <w:pPr>
              <w:pStyle w:val="27"/>
              <w:spacing w:line="360" w:lineRule="auto"/>
              <w:rPr>
                <w:rFonts w:hAnsi="宋体"/>
                <w:b/>
              </w:rPr>
            </w:pPr>
            <w:r>
              <w:rPr>
                <w:rFonts w:hint="eastAsia" w:hAnsi="宋体"/>
                <w:b/>
                <w:snapToGrid w:val="0"/>
                <w:color w:val="000000" w:themeColor="text1"/>
                <w:szCs w:val="18"/>
              </w:rPr>
              <w:t>2022年</w:t>
            </w:r>
            <w:r>
              <w:rPr>
                <w:rFonts w:hint="eastAsia" w:hAnsi="宋体"/>
                <w:b/>
                <w:snapToGrid w:val="0"/>
                <w:color w:val="000000" w:themeColor="text1"/>
                <w:szCs w:val="18"/>
                <w:lang w:val="en-US" w:eastAsia="zh-CN"/>
              </w:rPr>
              <w:t>7</w:t>
            </w:r>
            <w:r>
              <w:rPr>
                <w:rFonts w:hint="eastAsia" w:hAnsi="宋体"/>
                <w:b/>
                <w:snapToGrid w:val="0"/>
                <w:color w:val="000000" w:themeColor="text1"/>
                <w:szCs w:val="18"/>
              </w:rPr>
              <w:t>月</w:t>
            </w:r>
            <w:r>
              <w:rPr>
                <w:rFonts w:hint="eastAsia" w:hAnsi="宋体"/>
                <w:b/>
                <w:snapToGrid w:val="0"/>
                <w:color w:val="000000" w:themeColor="text1"/>
                <w:szCs w:val="18"/>
                <w:lang w:val="en-US" w:eastAsia="zh-CN"/>
              </w:rPr>
              <w:t>12</w:t>
            </w:r>
            <w:r>
              <w:rPr>
                <w:rFonts w:hint="eastAsia" w:hAnsi="宋体"/>
                <w:b/>
                <w:snapToGrid w:val="0"/>
                <w:color w:val="000000" w:themeColor="text1"/>
                <w:szCs w:val="18"/>
              </w:rPr>
              <w:t>日</w:t>
            </w:r>
            <w:r>
              <w:rPr>
                <w:rFonts w:hint="eastAsia" w:hAnsi="宋体"/>
                <w:b/>
                <w:snapToGrid w:val="0"/>
                <w:color w:val="000000" w:themeColor="text1"/>
                <w:szCs w:val="18"/>
                <w:lang w:val="en-US" w:eastAsia="zh-CN"/>
              </w:rPr>
              <w:t>09</w:t>
            </w:r>
            <w:r>
              <w:rPr>
                <w:rFonts w:hint="eastAsia" w:hAnsi="宋体"/>
                <w:b/>
                <w:snapToGrid w:val="0"/>
                <w:color w:val="000000" w:themeColor="text1"/>
                <w:szCs w:val="18"/>
              </w:rPr>
              <w:t>点</w:t>
            </w:r>
            <w:r>
              <w:rPr>
                <w:rFonts w:hint="eastAsia" w:hAnsi="宋体"/>
                <w:b/>
                <w:snapToGrid w:val="0"/>
                <w:color w:val="000000" w:themeColor="text1"/>
                <w:szCs w:val="18"/>
                <w:lang w:val="en-US" w:eastAsia="zh-CN"/>
              </w:rPr>
              <w:t>30</w:t>
            </w:r>
            <w:r>
              <w:rPr>
                <w:rFonts w:hint="eastAsia" w:hAnsi="宋体"/>
                <w:b/>
                <w:snapToGrid w:val="0"/>
                <w:color w:val="000000" w:themeColor="text1"/>
                <w:szCs w:val="18"/>
              </w:rPr>
              <w:t>分</w:t>
            </w:r>
            <w:r>
              <w:rPr>
                <w:rFonts w:hAnsi="宋体"/>
                <w:b/>
                <w:color w:val="000000" w:themeColor="text1"/>
              </w:rPr>
              <w:t>（北京时间）</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14</w:t>
            </w:r>
          </w:p>
        </w:tc>
        <w:tc>
          <w:tcPr>
            <w:tcW w:w="1038" w:type="dxa"/>
            <w:vAlign w:val="center"/>
          </w:tcPr>
          <w:p>
            <w:pPr>
              <w:pStyle w:val="27"/>
              <w:spacing w:line="360" w:lineRule="auto"/>
              <w:jc w:val="center"/>
              <w:rPr>
                <w:rFonts w:hAnsi="宋体"/>
              </w:rPr>
            </w:pPr>
            <w:r>
              <w:rPr>
                <w:rFonts w:hint="eastAsia" w:hAnsi="宋体"/>
              </w:rPr>
              <w:t>26</w:t>
            </w:r>
            <w:r>
              <w:rPr>
                <w:rFonts w:hAnsi="宋体"/>
              </w:rPr>
              <w:t>.</w:t>
            </w:r>
            <w:r>
              <w:rPr>
                <w:rFonts w:hint="eastAsia" w:hAnsi="宋体"/>
              </w:rPr>
              <w:t>3</w:t>
            </w:r>
          </w:p>
        </w:tc>
        <w:tc>
          <w:tcPr>
            <w:tcW w:w="1843" w:type="dxa"/>
            <w:vAlign w:val="center"/>
          </w:tcPr>
          <w:p>
            <w:pPr>
              <w:pStyle w:val="27"/>
              <w:spacing w:line="360" w:lineRule="auto"/>
              <w:jc w:val="center"/>
              <w:rPr>
                <w:rFonts w:hAnsi="宋体"/>
              </w:rPr>
            </w:pPr>
            <w:r>
              <w:rPr>
                <w:rFonts w:hint="eastAsia" w:hAnsi="宋体"/>
              </w:rPr>
              <w:t>评标办法</w:t>
            </w:r>
          </w:p>
        </w:tc>
        <w:tc>
          <w:tcPr>
            <w:tcW w:w="6520" w:type="dxa"/>
          </w:tcPr>
          <w:p>
            <w:pPr>
              <w:pStyle w:val="27"/>
              <w:spacing w:line="360" w:lineRule="auto"/>
              <w:rPr>
                <w:rFonts w:hAnsi="宋体"/>
              </w:rPr>
            </w:pPr>
            <w:r>
              <w:rPr>
                <w:rFonts w:hint="eastAsia" w:hAnsi="宋体"/>
              </w:rPr>
              <w:t>综合评分法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15</w:t>
            </w:r>
          </w:p>
        </w:tc>
        <w:tc>
          <w:tcPr>
            <w:tcW w:w="1038" w:type="dxa"/>
            <w:vAlign w:val="center"/>
          </w:tcPr>
          <w:p>
            <w:pPr>
              <w:pStyle w:val="27"/>
              <w:spacing w:line="360" w:lineRule="auto"/>
              <w:jc w:val="center"/>
              <w:rPr>
                <w:rFonts w:hAnsi="宋体"/>
              </w:rPr>
            </w:pPr>
            <w:r>
              <w:rPr>
                <w:rFonts w:hint="eastAsia" w:hAnsi="宋体"/>
              </w:rPr>
              <w:t>33</w:t>
            </w:r>
            <w:r>
              <w:rPr>
                <w:rFonts w:hAnsi="宋体"/>
              </w:rPr>
              <w:t>.1</w:t>
            </w:r>
          </w:p>
        </w:tc>
        <w:tc>
          <w:tcPr>
            <w:tcW w:w="1843" w:type="dxa"/>
            <w:vAlign w:val="center"/>
          </w:tcPr>
          <w:p>
            <w:pPr>
              <w:pStyle w:val="27"/>
              <w:spacing w:line="360" w:lineRule="auto"/>
              <w:jc w:val="center"/>
              <w:rPr>
                <w:snapToGrid w:val="0"/>
                <w:kern w:val="0"/>
              </w:rPr>
            </w:pPr>
            <w:r>
              <w:rPr>
                <w:rFonts w:hint="eastAsia"/>
                <w:snapToGrid w:val="0"/>
                <w:kern w:val="0"/>
              </w:rPr>
              <w:t>履约保证金</w:t>
            </w:r>
          </w:p>
        </w:tc>
        <w:tc>
          <w:tcPr>
            <w:tcW w:w="6520" w:type="dxa"/>
          </w:tcPr>
          <w:p>
            <w:pPr>
              <w:pStyle w:val="27"/>
              <w:spacing w:line="360" w:lineRule="auto"/>
              <w:rPr>
                <w:rFonts w:hAnsi="宋体"/>
              </w:rPr>
            </w:pPr>
            <w:r>
              <w:rPr>
                <w:rFonts w:hint="eastAsia"/>
                <w:snapToGrid w:val="0"/>
                <w:kern w:val="0"/>
              </w:rPr>
              <w:t>按签订的合同条款执行</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8" w:type="dxa"/>
            <w:vAlign w:val="center"/>
          </w:tcPr>
          <w:p>
            <w:pPr>
              <w:pStyle w:val="27"/>
              <w:spacing w:line="360" w:lineRule="auto"/>
              <w:jc w:val="center"/>
              <w:rPr>
                <w:rFonts w:hAnsi="宋体"/>
              </w:rPr>
            </w:pPr>
            <w:r>
              <w:rPr>
                <w:rFonts w:hint="eastAsia" w:hAnsi="宋体"/>
              </w:rPr>
              <w:t>16</w:t>
            </w:r>
          </w:p>
        </w:tc>
        <w:tc>
          <w:tcPr>
            <w:tcW w:w="1038" w:type="dxa"/>
            <w:vAlign w:val="center"/>
          </w:tcPr>
          <w:p>
            <w:pPr>
              <w:pStyle w:val="27"/>
              <w:spacing w:line="360" w:lineRule="auto"/>
              <w:jc w:val="center"/>
              <w:rPr>
                <w:rFonts w:hAnsi="宋体"/>
              </w:rPr>
            </w:pPr>
            <w:r>
              <w:rPr>
                <w:rFonts w:hint="eastAsia" w:hAnsi="宋体"/>
              </w:rPr>
              <w:t>34</w:t>
            </w:r>
            <w:r>
              <w:rPr>
                <w:rFonts w:hAnsi="宋体"/>
              </w:rPr>
              <w:t>.</w:t>
            </w:r>
            <w:r>
              <w:rPr>
                <w:rFonts w:hint="eastAsia" w:hAnsi="宋体"/>
              </w:rPr>
              <w:t>1</w:t>
            </w:r>
          </w:p>
        </w:tc>
        <w:tc>
          <w:tcPr>
            <w:tcW w:w="1843" w:type="dxa"/>
            <w:vAlign w:val="center"/>
          </w:tcPr>
          <w:p>
            <w:pPr>
              <w:pStyle w:val="27"/>
              <w:spacing w:line="360" w:lineRule="auto"/>
              <w:jc w:val="center"/>
              <w:rPr>
                <w:rFonts w:hAnsi="宋体"/>
              </w:rPr>
            </w:pPr>
            <w:r>
              <w:rPr>
                <w:rFonts w:hint="eastAsia" w:hAnsi="宋体"/>
              </w:rPr>
              <w:t>中标服务费</w:t>
            </w:r>
          </w:p>
        </w:tc>
        <w:tc>
          <w:tcPr>
            <w:tcW w:w="6520" w:type="dxa"/>
          </w:tcPr>
          <w:p>
            <w:pPr>
              <w:pStyle w:val="27"/>
              <w:spacing w:line="360" w:lineRule="auto"/>
              <w:rPr>
                <w:rFonts w:hAnsi="宋体"/>
              </w:rPr>
            </w:pPr>
            <w:r>
              <w:rPr>
                <w:rFonts w:hint="eastAsia" w:asciiTheme="minorEastAsia" w:hAnsiTheme="minorEastAsia" w:eastAsiaTheme="minorEastAsia"/>
                <w:szCs w:val="21"/>
              </w:rPr>
              <w:t>按深财购[2018]27号文件的代理费用参考标准（</w:t>
            </w:r>
            <w:r>
              <w:rPr>
                <w:rFonts w:hint="eastAsia" w:asciiTheme="minorEastAsia" w:hAnsiTheme="minorEastAsia" w:eastAsiaTheme="minorEastAsia"/>
              </w:rPr>
              <w:t>详见《投标人须知》</w:t>
            </w:r>
            <w:r>
              <w:rPr>
                <w:rFonts w:hint="eastAsia" w:asciiTheme="minorEastAsia" w:hAnsiTheme="minorEastAsia" w:eastAsiaTheme="minorEastAsia"/>
                <w:szCs w:val="21"/>
              </w:rPr>
              <w:t>），本项目中标服务费为</w:t>
            </w:r>
            <w:r>
              <w:rPr>
                <w:rFonts w:hint="eastAsia" w:asciiTheme="minorEastAsia" w:hAnsiTheme="minorEastAsia" w:eastAsiaTheme="minorEastAsia"/>
              </w:rPr>
              <w:t>人民币16,870.00元，</w:t>
            </w:r>
            <w:r>
              <w:rPr>
                <w:rFonts w:hint="eastAsia" w:asciiTheme="minorEastAsia" w:hAnsiTheme="minorEastAsia" w:eastAsiaTheme="minorEastAsia"/>
                <w:szCs w:val="21"/>
              </w:rPr>
              <w:t>向中标供应商收取</w:t>
            </w:r>
            <w:r>
              <w:rPr>
                <w:rFonts w:hint="eastAsia" w:asciiTheme="minorEastAsia" w:hAnsiTheme="minorEastAsia" w:eastAsiaTheme="minorEastAsia"/>
              </w:rPr>
              <w:t>。</w:t>
            </w:r>
          </w:p>
        </w:tc>
      </w:tr>
    </w:tbl>
    <w:p>
      <w:pPr>
        <w:widowControl/>
        <w:jc w:val="left"/>
      </w:pPr>
      <w:r>
        <w:br w:type="page"/>
      </w:r>
    </w:p>
    <w:p/>
    <w:p>
      <w:pPr>
        <w:pStyle w:val="3"/>
      </w:pPr>
      <w:bookmarkStart w:id="18" w:name="_Toc73610148"/>
      <w:r>
        <w:rPr>
          <w:rFonts w:hint="eastAsia"/>
        </w:rPr>
        <w:t>第六章  投标人须知</w:t>
      </w:r>
      <w:bookmarkEnd w:id="18"/>
    </w:p>
    <w:p>
      <w:pPr>
        <w:pStyle w:val="5"/>
        <w:spacing w:before="0" w:after="0"/>
      </w:pPr>
      <w:bookmarkStart w:id="19" w:name="_Toc73610149"/>
      <w:r>
        <w:rPr>
          <w:rFonts w:hint="eastAsia"/>
        </w:rPr>
        <w:t>一、说</w:t>
      </w:r>
      <w:r>
        <w:t xml:space="preserve">  </w:t>
      </w:r>
      <w:r>
        <w:rPr>
          <w:rFonts w:hint="eastAsia"/>
        </w:rPr>
        <w:t>明</w:t>
      </w:r>
      <w:bookmarkEnd w:id="19"/>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适用范围</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本招标文件仅适用于投标人须知前附表（以下简称“前附表”）第1项所叙述项目的货物、工程及服务采购。</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1.2  上述采购按照</w:t>
      </w:r>
      <w:r>
        <w:rPr>
          <w:rFonts w:hint="eastAsia" w:asciiTheme="minorEastAsia" w:hAnsiTheme="minorEastAsia"/>
          <w:szCs w:val="21"/>
        </w:rPr>
        <w:t>《中华人民共和国政府采购法》、《深圳经济特区政府采购条例》</w:t>
      </w:r>
      <w:r>
        <w:rPr>
          <w:rFonts w:hint="eastAsia" w:asciiTheme="minorEastAsia" w:hAnsiTheme="minorEastAsia" w:eastAsiaTheme="minorEastAsia"/>
          <w:snapToGrid w:val="0"/>
          <w:kern w:val="0"/>
        </w:rPr>
        <w:t>及有关招投标法规、规章、规定通过招标来择优选定投标人。</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 </w:t>
      </w:r>
      <w:r>
        <w:rPr>
          <w:rFonts w:hint="eastAsia" w:asciiTheme="minorEastAsia" w:hAnsiTheme="minorEastAsia" w:eastAsiaTheme="minorEastAsia"/>
          <w:b/>
          <w:snapToGrid w:val="0"/>
          <w:kern w:val="0"/>
        </w:rPr>
        <w:t>定义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”系指前附表第2项所述。</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”系前附表第3项所述。</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“投标人”系指向</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提交投标文件的供应商。</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“货物”系指投标人按招标文件规定，向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提供的设备及材料。</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  “工程”系指投标人按招标文件规定，向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提供的设备及材料的安装。</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6  “服务”系指投标人按招标文件规定，向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提供符合方案的服务。</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 资金来源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  采购资金通过前附表第4 项的方式获得，并用于采购合同下的合格支付。</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合格的投标人</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4.1  </w:t>
      </w:r>
      <w:r>
        <w:rPr>
          <w:rFonts w:hint="eastAsia" w:asciiTheme="minorEastAsia" w:hAnsiTheme="minorEastAsia" w:eastAsiaTheme="minorEastAsia"/>
          <w:snapToGrid w:val="0"/>
          <w:kern w:val="0"/>
        </w:rPr>
        <w:t>具有独立承担民事责任的能力。</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4.2  </w:t>
      </w:r>
      <w:r>
        <w:rPr>
          <w:rFonts w:hint="eastAsia" w:asciiTheme="minorEastAsia" w:hAnsiTheme="minorEastAsia" w:eastAsiaTheme="minorEastAsia"/>
          <w:snapToGrid w:val="0"/>
          <w:kern w:val="0"/>
        </w:rPr>
        <w:t>具有良好的商业信誉和健全的财务会计制度。</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4.3  具有履行合同所必需的设备和专业技术能力。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4.4  有依法缴纳税收和社会保障资金的良好记录。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4.5  参加政府采购活动近三年内，在经营活动中没有重大违法记录。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4.6  法律、行政法规规定的其他条件。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4.7  符合前附表第5项规定的条件。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  联合体投标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4.8.1　以下有关联合体投标的条款仅适用于允许投标人组成联合体投标的项目。是否允许联合体投标以《投标人须知前附表》中第6项的规定或说明为准。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4.8.2  由两个或两个以上的自然人、法人或者其他组织可以组成一个联合体，以一个供应商的身份共同投标时，应符合以下原则：</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（1）投标联合体各方参加政府采购活动应当具备下列条件：</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1、具有独立承担民事责任的能力；</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2、具有良好的商业信誉和健全的财务会计制度；</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3、具有履行合同所必需的设备和专业技术能力；</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4、有依法缴纳税收和社会保障资金的良好记录；</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5、参加政府采购活动前三年内，在经营活动中没有重大违法记录；</w:t>
      </w:r>
      <w:r>
        <w:rPr>
          <w:rFonts w:asciiTheme="minorEastAsia" w:hAnsiTheme="minorEastAsia" w:eastAsiaTheme="minorEastAsia"/>
          <w:snapToGrid w:val="0"/>
          <w:kern w:val="0"/>
        </w:rPr>
        <w:t xml:space="preserve"> </w:t>
      </w:r>
    </w:p>
    <w:p>
      <w:pPr>
        <w:adjustRightInd w:val="0"/>
        <w:spacing w:line="360" w:lineRule="auto"/>
        <w:ind w:firstLine="567" w:firstLineChars="270"/>
        <w:rPr>
          <w:rFonts w:asciiTheme="minorEastAsia" w:hAnsiTheme="minorEastAsia" w:eastAsiaTheme="minorEastAsia"/>
          <w:snapToGrid w:val="0"/>
          <w:kern w:val="0"/>
        </w:rPr>
      </w:pPr>
      <w:r>
        <w:rPr>
          <w:rFonts w:hint="eastAsia" w:asciiTheme="minorEastAsia" w:hAnsiTheme="minorEastAsia" w:eastAsiaTheme="minorEastAsia"/>
          <w:snapToGrid w:val="0"/>
          <w:kern w:val="0"/>
        </w:rPr>
        <w:t>6、法律、行政法规规定的其他条件。</w:t>
      </w:r>
      <w:r>
        <w:rPr>
          <w:rFonts w:asciiTheme="minorEastAsia" w:hAnsiTheme="minorEastAsia" w:eastAsiaTheme="minorEastAsia"/>
          <w:snapToGrid w:val="0"/>
          <w:kern w:val="0"/>
        </w:rPr>
        <w:t xml:space="preserve">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（2）投标联合体各方必须有一方先行注册成深圳市政府采购中心供应商。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（3）联合体中有同类资质的供应商按照联合体分工承担相同工作的，应当按照资质等级较低的供应商确定资质等级。</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（4）是否允许联合体参加投标，应当由采购人和采购代理机构根据项目的实际情况和潜在供应商的数量自主决定，如果决定接受联合体投标则应当在采购公告中明示。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（5）采购人根据采购项目的特殊要求规定投标人特定条件的，联合体各方中至少应当有一方符合采购人规定的特定条件。对于招标公告</w:t>
      </w:r>
      <w:r>
        <w:rPr>
          <w:rFonts w:asciiTheme="minorEastAsia" w:hAnsiTheme="minorEastAsia" w:eastAsiaTheme="minorEastAsia"/>
          <w:snapToGrid w:val="0"/>
          <w:kern w:val="0"/>
        </w:rPr>
        <w:t>对投标人</w:t>
      </w:r>
      <w:r>
        <w:rPr>
          <w:rFonts w:hint="eastAsia" w:asciiTheme="minorEastAsia" w:hAnsiTheme="minorEastAsia" w:eastAsiaTheme="minorEastAsia"/>
          <w:snapToGrid w:val="0"/>
          <w:kern w:val="0"/>
        </w:rPr>
        <w:t>某一资格</w:t>
      </w:r>
      <w:r>
        <w:rPr>
          <w:rFonts w:asciiTheme="minorEastAsia" w:hAnsiTheme="minorEastAsia" w:eastAsiaTheme="minorEastAsia"/>
          <w:snapToGrid w:val="0"/>
          <w:kern w:val="0"/>
        </w:rPr>
        <w:t>有</w:t>
      </w:r>
      <w:r>
        <w:rPr>
          <w:rFonts w:hint="eastAsia" w:asciiTheme="minorEastAsia" w:hAnsiTheme="minorEastAsia" w:eastAsiaTheme="minorEastAsia"/>
          <w:snapToGrid w:val="0"/>
          <w:kern w:val="0"/>
        </w:rPr>
        <w:t>要求</w:t>
      </w:r>
      <w:r>
        <w:rPr>
          <w:rFonts w:asciiTheme="minorEastAsia" w:hAnsiTheme="minorEastAsia" w:eastAsiaTheme="minorEastAsia"/>
          <w:snapToGrid w:val="0"/>
          <w:kern w:val="0"/>
        </w:rPr>
        <w:t>的，</w:t>
      </w:r>
      <w:r>
        <w:rPr>
          <w:rFonts w:hint="eastAsia" w:asciiTheme="minorEastAsia" w:hAnsiTheme="minorEastAsia" w:eastAsiaTheme="minorEastAsia"/>
          <w:snapToGrid w:val="0"/>
          <w:kern w:val="0"/>
        </w:rPr>
        <w:t>按照联合体各方中最低资质等级确定联合体的资质等级；联合体各方的不同资质可优势互补。</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（6）投标人的投标文件及中标后签署的合同协议对联合体各方均具法律约束力。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（7）联合体各方应当签订共同投标协议，明确约定各方拟承担的工作和责任，该共同投标协议应作为投标文件不可缺的组成部分。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（8）联合体中标后，联合体各方应当共同与采购人签订合同，就中标项目向采购人承担连带责任。</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（9）联合体的各方应当共同推荐一联合体投标授权代表，由联合体各方提交一份授权书，证明其有资格代表联合体各方签署投标文件，该授权书应作为投标文件不可缺的组成部分。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以联合体形式参加政府采购活动的，联合体各方不得再单独参加或者与其他供应商另外组成联合体参加同一合同项下的政府采购活动，出现上述情况者，其投标和与此有关的联合体、总包单位的投标将被拒绝。</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（11）本次招标中“投标人”一词亦指联合体各方，《投标人须知前附表》另有规定或说明的除外。</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投标费用的承担</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无论招标投标过程中的做法和结果如何，投标人自行承担所有与参加投标有关的全部费用。</w:t>
      </w:r>
    </w:p>
    <w:p>
      <w:pPr>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6.  踏勘现场</w:t>
      </w:r>
    </w:p>
    <w:p>
      <w:pPr>
        <w:spacing w:line="360" w:lineRule="auto"/>
        <w:rPr>
          <w:rFonts w:asciiTheme="minorEastAsia" w:hAnsiTheme="minorEastAsia" w:eastAsiaTheme="minorEastAsia"/>
        </w:rPr>
      </w:pPr>
      <w:r>
        <w:rPr>
          <w:rFonts w:hint="eastAsia" w:asciiTheme="minorEastAsia" w:hAnsiTheme="minorEastAsia" w:eastAsiaTheme="minorEastAsia"/>
        </w:rPr>
        <w:t xml:space="preserve">6.1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将按前附表第7项的规定，组织投标人对现场及周围环境进行踏勘，以便投标人获取须自己负责的有关编制投标文件和签署合同所需的所有资料。踏勘现场所发生的费用由投标人自己承担。</w:t>
      </w:r>
    </w:p>
    <w:p>
      <w:pPr>
        <w:spacing w:line="360" w:lineRule="auto"/>
        <w:rPr>
          <w:rFonts w:asciiTheme="minorEastAsia" w:hAnsiTheme="minorEastAsia" w:eastAsiaTheme="minorEastAsia"/>
        </w:rPr>
      </w:pPr>
      <w:r>
        <w:rPr>
          <w:rFonts w:hint="eastAsia" w:asciiTheme="minorEastAsia" w:hAnsiTheme="minorEastAsia" w:eastAsiaTheme="minorEastAsia"/>
        </w:rPr>
        <w:t xml:space="preserve">6.2 </w:t>
      </w:r>
      <w:r>
        <w:rPr>
          <w:rFonts w:hint="eastAsia" w:asciiTheme="minorEastAsia" w:hAnsiTheme="minorEastAsia" w:eastAsiaTheme="minorEastAsia"/>
          <w:bCs/>
        </w:rPr>
        <w:t xml:space="preserve"> 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向投标人提供的有关现场的资料和数据，是</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现有的能使投标人利用的资料。</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对投标人由此而做出的推论、理解和结论概不负责。</w:t>
      </w:r>
    </w:p>
    <w:p>
      <w:pPr>
        <w:spacing w:line="360" w:lineRule="auto"/>
        <w:rPr>
          <w:rFonts w:asciiTheme="minorEastAsia" w:hAnsiTheme="minorEastAsia" w:eastAsiaTheme="minorEastAsia"/>
        </w:rPr>
      </w:pPr>
      <w:r>
        <w:rPr>
          <w:rFonts w:hint="eastAsia" w:asciiTheme="minorEastAsia" w:hAnsiTheme="minorEastAsia" w:eastAsiaTheme="minorEastAsia"/>
        </w:rPr>
        <w:t>6.3  投标人及其人员经过</w:t>
      </w:r>
      <w:r>
        <w:rPr>
          <w:rFonts w:hint="eastAsia" w:asciiTheme="minorEastAsia" w:hAnsiTheme="minorEastAsia" w:eastAsiaTheme="minorEastAsia"/>
          <w:bCs/>
        </w:rPr>
        <w:t>采购人</w:t>
      </w:r>
      <w:r>
        <w:rPr>
          <w:rFonts w:hint="eastAsia" w:asciiTheme="minorEastAsia" w:hAnsiTheme="minorEastAsia" w:eastAsiaTheme="minorEastAsia"/>
        </w:rPr>
        <w:t>和</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的允许，可为踏勘目的进入</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rPr>
        <w:t>的现场，但投标人及其人员不得因此使</w:t>
      </w:r>
      <w:r>
        <w:rPr>
          <w:rFonts w:hint="eastAsia" w:asciiTheme="minorEastAsia" w:hAnsiTheme="minorEastAsia" w:eastAsiaTheme="minorEastAsia"/>
          <w:bCs/>
        </w:rPr>
        <w:t>采购人</w:t>
      </w:r>
      <w:r>
        <w:rPr>
          <w:rFonts w:hint="eastAsia" w:asciiTheme="minorEastAsia" w:hAnsiTheme="minorEastAsia" w:eastAsiaTheme="minorEastAsia"/>
        </w:rPr>
        <w:t>及其人员承担有关的责任和蒙受损失。投标人并应对由此次踏勘现场面造成的死亡、人身伤害、财产损失、损害以及任何其它损失、损害和引起的费用和开支承担责任。</w:t>
      </w:r>
    </w:p>
    <w:p>
      <w:pPr>
        <w:spacing w:line="360" w:lineRule="auto"/>
        <w:rPr>
          <w:rFonts w:asciiTheme="minorEastAsia" w:hAnsiTheme="minorEastAsia" w:eastAsiaTheme="minorEastAsia"/>
        </w:rPr>
      </w:pPr>
      <w:r>
        <w:rPr>
          <w:rFonts w:hint="eastAsia" w:asciiTheme="minorEastAsia" w:hAnsiTheme="minorEastAsia" w:eastAsiaTheme="minorEastAsia"/>
        </w:rPr>
        <w:t>6.4   如果投标人认为需要再次进行现场踏勘，</w:t>
      </w:r>
      <w:r>
        <w:rPr>
          <w:rFonts w:hint="eastAsia" w:asciiTheme="minorEastAsia" w:hAnsiTheme="minorEastAsia" w:eastAsiaTheme="minorEastAsia"/>
          <w:bCs/>
        </w:rPr>
        <w:t>采购人</w:t>
      </w:r>
      <w:r>
        <w:rPr>
          <w:rFonts w:hint="eastAsia" w:asciiTheme="minorEastAsia" w:hAnsiTheme="minorEastAsia" w:eastAsiaTheme="minorEastAsia"/>
        </w:rPr>
        <w:t>将予以支持，费用自理。</w:t>
      </w:r>
    </w:p>
    <w:p>
      <w:pPr>
        <w:adjustRightInd w:val="0"/>
        <w:spacing w:line="360" w:lineRule="auto"/>
        <w:jc w:val="center"/>
        <w:rPr>
          <w:rFonts w:asciiTheme="minorEastAsia" w:hAnsiTheme="minorEastAsia" w:eastAsiaTheme="minorEastAsia"/>
          <w:b/>
          <w:snapToGrid w:val="0"/>
          <w:kern w:val="0"/>
        </w:rPr>
      </w:pPr>
      <w:bookmarkStart w:id="20" w:name="q5"/>
      <w:bookmarkEnd w:id="20"/>
    </w:p>
    <w:p>
      <w:pPr>
        <w:pStyle w:val="5"/>
        <w:spacing w:before="0" w:after="0"/>
      </w:pPr>
      <w:bookmarkStart w:id="21" w:name="_Toc73610150"/>
      <w:r>
        <w:rPr>
          <w:rFonts w:hint="eastAsia"/>
        </w:rPr>
        <w:t>二、招标文件说明</w:t>
      </w:r>
      <w:bookmarkEnd w:id="21"/>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7</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招标文件的构成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7</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招标文件是用以阐明所需设备及服务的情况，以及招标、投标程序和相应的合同条款。招标文件由下述部份组成：</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第一章 投标邀请；</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第二章 项目需求；</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第三章 投标文件初审；</w:t>
      </w:r>
      <w:r>
        <w:rPr>
          <w:rFonts w:asciiTheme="minorEastAsia" w:hAnsiTheme="minorEastAsia" w:eastAsiaTheme="minorEastAsia"/>
          <w:snapToGrid w:val="0"/>
          <w:kern w:val="0"/>
        </w:rPr>
        <w:t xml:space="preserve"> </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第四章 评标方法和标准；</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第五章 投标人须知前附表；</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第六章 投标人须知；</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第七章 投标文件格式；</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第八章 合同条款；</w:t>
      </w:r>
    </w:p>
    <w:p>
      <w:pPr>
        <w:adjustRightInd w:val="0"/>
        <w:spacing w:line="360" w:lineRule="auto"/>
        <w:ind w:firstLine="424" w:firstLineChars="202"/>
        <w:rPr>
          <w:rFonts w:asciiTheme="minorEastAsia" w:hAnsiTheme="minorEastAsia" w:eastAsiaTheme="minorEastAsia"/>
          <w:snapToGrid w:val="0"/>
          <w:kern w:val="0"/>
        </w:rPr>
      </w:pPr>
      <w:r>
        <w:rPr>
          <w:rFonts w:hint="eastAsia" w:asciiTheme="minorEastAsia" w:hAnsiTheme="minorEastAsia" w:eastAsiaTheme="minorEastAsia"/>
          <w:snapToGrid w:val="0"/>
          <w:kern w:val="0"/>
        </w:rPr>
        <w:t>第九章 附件。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招标文件的澄清及修改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8.1  投标人对招标文件如有疑点，可要求澄清，应在投标截止日5日前按投标邀请中载明的地址以书面形式（包括信函、传真，下同）通知到招标代理机构。招标代理机构将视情况确定采用适当方式予以澄清或以书面形式予以答复，并在其认为必要时，将不标明查询来源的书面答复发给已购买招标文件的每一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8.2  在投标截止日3日前，招标代理机构可主动或依据投标人要求澄清的问题修改招标文件，并以书面形式通知所有购买招标文件的每一投标人，对方在收到该通知后应立即以书面的形式予以确认。</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为了使投标人在准备投标文件时有合理的时间考虑招标文件的修改，</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可酌情推迟投标截止时间和开标时间，并以书面形式通知已购买招标文件的每一投标人。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招标文件的修改将构成招标文件的一部分，对投标人有约束力。</w:t>
      </w:r>
    </w:p>
    <w:p>
      <w:pPr>
        <w:adjustRightInd w:val="0"/>
        <w:spacing w:line="360" w:lineRule="auto"/>
        <w:ind w:firstLine="600"/>
        <w:jc w:val="center"/>
        <w:rPr>
          <w:rFonts w:asciiTheme="minorEastAsia" w:hAnsiTheme="minorEastAsia" w:eastAsiaTheme="minorEastAsia"/>
          <w:b/>
          <w:snapToGrid w:val="0"/>
          <w:kern w:val="0"/>
        </w:rPr>
      </w:pPr>
    </w:p>
    <w:p>
      <w:pPr>
        <w:pStyle w:val="5"/>
        <w:spacing w:before="0" w:after="0"/>
      </w:pPr>
      <w:bookmarkStart w:id="22" w:name="q6"/>
      <w:bookmarkEnd w:id="22"/>
      <w:bookmarkStart w:id="23" w:name="_Toc73610151"/>
      <w:r>
        <w:rPr>
          <w:rFonts w:hint="eastAsia"/>
        </w:rPr>
        <w:t>三、投标文件的编写</w:t>
      </w:r>
      <w:bookmarkEnd w:id="23"/>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投标语言及计量单位</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投标文件及投标人和</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就投标交换的文件和往来的信件，应以中文书写。</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除在招标文件的设计思路和方案中另有规定外，计量单位应使用中华人民共和国法定计量单位（国际单位制和国家选定的其他计量单位）。</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投标文件的组成</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投标文件应包括下列部分：</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（1）目录</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（2）评标指引表</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（3）</w:t>
      </w:r>
      <w:r>
        <w:rPr>
          <w:rFonts w:hint="eastAsia" w:asciiTheme="minorEastAsia" w:hAnsiTheme="minorEastAsia" w:eastAsiaTheme="minorEastAsia"/>
          <w:snapToGrid w:val="0"/>
          <w:kern w:val="0"/>
          <w:szCs w:val="21"/>
        </w:rPr>
        <w:t>投标人资格证明文件</w:t>
      </w:r>
      <w:r>
        <w:rPr>
          <w:rFonts w:hint="eastAsia" w:asciiTheme="minorEastAsia" w:hAnsiTheme="minorEastAsia" w:eastAsiaTheme="minorEastAsia"/>
          <w:snapToGrid w:val="0"/>
          <w:kern w:val="0"/>
        </w:rPr>
        <w:t>（投标文件格式1）</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snapToGrid w:val="0"/>
          <w:kern w:val="0"/>
          <w:szCs w:val="21"/>
        </w:rPr>
        <w:t>法定代表人证明书及授权委托书</w:t>
      </w:r>
      <w:r>
        <w:rPr>
          <w:rFonts w:hint="eastAsia" w:asciiTheme="minorEastAsia" w:hAnsiTheme="minorEastAsia" w:eastAsiaTheme="minorEastAsia"/>
          <w:snapToGrid w:val="0"/>
          <w:kern w:val="0"/>
        </w:rPr>
        <w:t>（投标文件格式2）</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（5）投标函（投标文件格式3） </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（6）</w:t>
      </w:r>
      <w:r>
        <w:rPr>
          <w:rFonts w:hint="eastAsia" w:asciiTheme="minorEastAsia" w:hAnsiTheme="minorEastAsia" w:eastAsiaTheme="minorEastAsia"/>
          <w:snapToGrid w:val="0"/>
          <w:kern w:val="0"/>
          <w:szCs w:val="21"/>
        </w:rPr>
        <w:t>评分中涉及的承诺及声明函</w:t>
      </w:r>
      <w:r>
        <w:rPr>
          <w:rFonts w:hint="eastAsia" w:asciiTheme="minorEastAsia" w:hAnsiTheme="minorEastAsia" w:eastAsiaTheme="minorEastAsia"/>
          <w:snapToGrid w:val="0"/>
          <w:kern w:val="0"/>
        </w:rPr>
        <w:t>（投标文件格式4）</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（7）报价表（投标文件格式6）</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（8）</w:t>
      </w:r>
      <w:r>
        <w:rPr>
          <w:rFonts w:hint="eastAsia" w:ascii="宋体" w:hAnsi="宋体"/>
          <w:szCs w:val="21"/>
        </w:rPr>
        <w:t>质量方案</w:t>
      </w:r>
      <w:r>
        <w:rPr>
          <w:rFonts w:hint="eastAsia" w:asciiTheme="minorEastAsia" w:hAnsiTheme="minorEastAsia" w:eastAsiaTheme="minorEastAsia"/>
          <w:snapToGrid w:val="0"/>
          <w:kern w:val="0"/>
        </w:rPr>
        <w:t>（投标文件格式7）</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（9）</w:t>
      </w:r>
      <w:r>
        <w:rPr>
          <w:rFonts w:hint="eastAsia" w:ascii="宋体" w:hAnsi="宋体" w:cs="宋体"/>
          <w:kern w:val="0"/>
          <w:szCs w:val="21"/>
        </w:rPr>
        <w:t>技术保障措施</w:t>
      </w:r>
      <w:r>
        <w:rPr>
          <w:rFonts w:hint="eastAsia" w:asciiTheme="minorEastAsia" w:hAnsiTheme="minorEastAsia" w:eastAsiaTheme="minorEastAsia"/>
          <w:snapToGrid w:val="0"/>
          <w:kern w:val="0"/>
        </w:rPr>
        <w:t>（投标文件格式8）</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（10）</w:t>
      </w:r>
      <w:r>
        <w:rPr>
          <w:rFonts w:hint="eastAsia"/>
        </w:rPr>
        <w:t>售后服务方案</w:t>
      </w:r>
      <w:r>
        <w:rPr>
          <w:rFonts w:hint="eastAsia" w:asciiTheme="minorEastAsia" w:hAnsiTheme="minorEastAsia" w:eastAsiaTheme="minorEastAsia"/>
          <w:snapToGrid w:val="0"/>
          <w:kern w:val="0"/>
        </w:rPr>
        <w:t>（投标文件格式9）</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投标人资格</w:t>
      </w:r>
      <w:r>
        <w:rPr>
          <w:rFonts w:hint="eastAsia" w:asciiTheme="minorEastAsia" w:hAnsiTheme="minorEastAsia" w:eastAsiaTheme="minorEastAsia"/>
          <w:snapToGrid w:val="0"/>
          <w:kern w:val="0"/>
        </w:rPr>
        <w:t>声明 （投标文件格式10）</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（12）偏离表（投标文件格式11）</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（13）招标文件要求的其他资料或投标人认为需要补充的资料（投标文件格式12）</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（14）装有“法定代表人证明书、法定代表人授权书”和“开标一览表”单独密封的信封</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（15）装有</w:t>
      </w:r>
      <w:r>
        <w:rPr>
          <w:rFonts w:hint="eastAsia" w:asciiTheme="minorEastAsia" w:hAnsiTheme="minorEastAsia" w:eastAsiaTheme="minorEastAsia"/>
        </w:rPr>
        <w:t>电子</w:t>
      </w:r>
      <w:r>
        <w:rPr>
          <w:rFonts w:asciiTheme="minorEastAsia" w:hAnsiTheme="minorEastAsia" w:eastAsiaTheme="minorEastAsia"/>
        </w:rPr>
        <w:t>备份光盘（或U盘）</w:t>
      </w:r>
      <w:r>
        <w:rPr>
          <w:rFonts w:hint="eastAsia" w:asciiTheme="minorEastAsia" w:hAnsiTheme="minorEastAsia" w:eastAsiaTheme="minorEastAsia"/>
        </w:rPr>
        <w:t>（内容为投标文件正本盖章扫描件）</w:t>
      </w:r>
      <w:r>
        <w:rPr>
          <w:rFonts w:hint="eastAsia" w:asciiTheme="minorEastAsia" w:hAnsiTheme="minorEastAsia" w:eastAsiaTheme="minorEastAsia"/>
          <w:snapToGrid w:val="0"/>
          <w:kern w:val="0"/>
        </w:rPr>
        <w:t>单独密封的信封</w:t>
      </w:r>
    </w:p>
    <w:p>
      <w:pPr>
        <w:adjustRightInd w:val="0"/>
        <w:spacing w:line="360" w:lineRule="auto"/>
        <w:ind w:left="945" w:leftChars="100" w:hanging="735" w:hangingChars="350"/>
        <w:rPr>
          <w:rFonts w:asciiTheme="minorEastAsia" w:hAnsiTheme="minorEastAsia" w:eastAsiaTheme="minorEastAsia"/>
          <w:snapToGrid w:val="0"/>
          <w:kern w:val="0"/>
        </w:rPr>
      </w:pPr>
      <w:r>
        <w:rPr>
          <w:rFonts w:hint="eastAsia" w:asciiTheme="minorEastAsia" w:hAnsiTheme="minorEastAsia" w:eastAsiaTheme="minorEastAsia"/>
          <w:snapToGrid w:val="0"/>
          <w:kern w:val="0"/>
        </w:rPr>
        <w:t>（16）产品样品或产品样板（如有）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11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投标文件格式</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11</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投标文件必须毫无遗漏地包括本须知第10条规定的内容，投标人提交的投标文件必须毫无例外地使用招标文件所提供投标文件格式（表格可以按同样格式扩展）。</w:t>
      </w:r>
      <w:r>
        <w:rPr>
          <w:rFonts w:hint="eastAsia" w:asciiTheme="minorEastAsia" w:hAnsiTheme="minorEastAsia" w:eastAsiaTheme="minorEastAsia"/>
        </w:rPr>
        <w:t>如没有相应格式的，由投标人根据招标要求自行编制。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投标报价</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12.1</w:t>
      </w:r>
      <w:r>
        <w:rPr>
          <w:rFonts w:hint="eastAsia" w:asciiTheme="minorEastAsia" w:hAnsiTheme="minorEastAsia" w:eastAsiaTheme="minorEastAsia"/>
          <w:snapToGrid w:val="0"/>
          <w:kern w:val="0"/>
        </w:rPr>
        <w:t xml:space="preserve">  投标报价应为到指定地点价，以人民币为结算单位。</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12.</w:t>
      </w:r>
      <w:r>
        <w:rPr>
          <w:rFonts w:hint="eastAsia" w:asciiTheme="minorEastAsia" w:hAnsiTheme="minorEastAsia" w:eastAsiaTheme="minorEastAsia"/>
          <w:snapToGrid w:val="0"/>
          <w:kern w:val="0"/>
        </w:rPr>
        <w:t>2</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人应分别在招标文件所附的“开标一览表”（投标文件格式4）和“报价表”（投标文件格式5）上写明投标货物的单价和投标总价。投标人对每种项目只允许有一个报价，招标代理机构不接受有任何选择的报价。</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12.3  </w:t>
      </w:r>
      <w:r>
        <w:rPr>
          <w:rFonts w:hint="eastAsia" w:asciiTheme="minorEastAsia" w:hAnsiTheme="minorEastAsia" w:eastAsiaTheme="minorEastAsia"/>
          <w:snapToGrid w:val="0"/>
          <w:kern w:val="0"/>
        </w:rPr>
        <w:t>此报价作为评标委员会评标标准，但不能限制</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以其它方式签订合同的权力。</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投标人资格的证明文件</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投标人必须提交证明其有资格进行投标，和中标后有能力履行合同的证明文件（投标文件格式1与格式9），作为投标文件的一部分。</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投标有效期</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投标文件的有效期按前附表第8项规定。</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特殊情况下，</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可于投标有效期期满之前，要求投标人同意延长投标有效期。投标人可以拒绝或同意上述要求，但要求与答复均须是书面文件。对于同意该要求的投标人，</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既不要求也不允许其修改投标文件。</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15. </w:t>
      </w:r>
      <w:r>
        <w:rPr>
          <w:rFonts w:hint="eastAsia" w:asciiTheme="minorEastAsia" w:hAnsiTheme="minorEastAsia" w:eastAsiaTheme="minorEastAsia"/>
          <w:b/>
          <w:snapToGrid w:val="0"/>
          <w:kern w:val="0"/>
        </w:rPr>
        <w:t>投标保证金（本项目不适用）</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投标保证金为投标文件的组成部份之一。</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15.2 </w:t>
      </w:r>
      <w:r>
        <w:rPr>
          <w:rFonts w:hint="eastAsia" w:asciiTheme="minorEastAsia" w:hAnsiTheme="minorEastAsia" w:eastAsiaTheme="minorEastAsia"/>
          <w:snapToGrid w:val="0"/>
          <w:kern w:val="0"/>
        </w:rPr>
        <w:t xml:space="preserve"> 投标人应向</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提交一笔不少于前附表第9项所规定的投标保证金。</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15.3</w:t>
      </w:r>
      <w:r>
        <w:rPr>
          <w:rFonts w:hint="eastAsia" w:asciiTheme="minorEastAsia" w:hAnsiTheme="minorEastAsia" w:eastAsiaTheme="minorEastAsia"/>
          <w:snapToGrid w:val="0"/>
          <w:kern w:val="0"/>
        </w:rPr>
        <w:t xml:space="preserve">  投标保证金用于保护本次招标免受投标人的行为而引起的风险。</w:t>
      </w:r>
    </w:p>
    <w:p>
      <w:pPr>
        <w:adjustRightInd w:val="0"/>
        <w:spacing w:line="360" w:lineRule="auto"/>
        <w:ind w:left="630" w:hanging="630" w:hangingChars="300"/>
        <w:rPr>
          <w:rFonts w:asciiTheme="minorEastAsia" w:hAnsiTheme="minorEastAsia" w:eastAsiaTheme="minorEastAsia"/>
          <w:snapToGrid w:val="0"/>
          <w:kern w:val="0"/>
        </w:rPr>
      </w:pPr>
      <w:r>
        <w:rPr>
          <w:rFonts w:asciiTheme="minorEastAsia" w:hAnsiTheme="minorEastAsia" w:eastAsiaTheme="minorEastAsia"/>
          <w:snapToGrid w:val="0"/>
          <w:kern w:val="0"/>
        </w:rPr>
        <w:t>15.</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投标保证金应以支票、银行转账或招标机构能够接受的其它非现金形式提交。（注：投标保证金必须从投标供应商基本账户转出，否则属于隐瞒真实情况，提供虚假资料。）</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15.5  </w:t>
      </w:r>
      <w:r>
        <w:rPr>
          <w:rFonts w:hint="eastAsia" w:asciiTheme="minorEastAsia" w:hAnsiTheme="minorEastAsia" w:eastAsiaTheme="minorEastAsia"/>
          <w:snapToGrid w:val="0"/>
          <w:kern w:val="0"/>
        </w:rPr>
        <w:t>未按规定提交投标保证金的投标，将被视为无效投标。</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15.6 </w:t>
      </w:r>
      <w:r>
        <w:rPr>
          <w:rFonts w:hint="eastAsia" w:asciiTheme="minorEastAsia" w:hAnsiTheme="minorEastAsia" w:eastAsiaTheme="minorEastAsia"/>
          <w:snapToGrid w:val="0"/>
          <w:kern w:val="0"/>
        </w:rPr>
        <w:t xml:space="preserve"> 未中标的投标人的投标保证金，招标代理机构将在中标通知书发出且收到投标人的《投标保证金退还申请表》后5个工作日内退还。</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15.7 </w:t>
      </w:r>
      <w:r>
        <w:rPr>
          <w:rFonts w:hint="eastAsia" w:asciiTheme="minorEastAsia" w:hAnsiTheme="minorEastAsia" w:eastAsiaTheme="minorEastAsia"/>
          <w:snapToGrid w:val="0"/>
          <w:kern w:val="0"/>
        </w:rPr>
        <w:t xml:space="preserve"> 中标人的投标保证金，招标代理机构将在中标人签订合同并支付中标服务费后5个工作日内退还。</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15.</w:t>
      </w:r>
      <w:r>
        <w:rPr>
          <w:rFonts w:asciiTheme="minorEastAsia" w:hAnsiTheme="minorEastAsia" w:eastAsiaTheme="minorEastAsia"/>
          <w:snapToGrid w:val="0"/>
          <w:kern w:val="0"/>
        </w:rPr>
        <w:t>8</w:t>
      </w:r>
      <w:r>
        <w:rPr>
          <w:rFonts w:hint="eastAsia" w:asciiTheme="minorEastAsia" w:hAnsiTheme="minorEastAsia" w:eastAsiaTheme="minorEastAsia"/>
          <w:snapToGrid w:val="0"/>
          <w:kern w:val="0"/>
        </w:rPr>
        <w:t xml:space="preserve">  发生以下情况投标保证金将被没收：</w:t>
      </w:r>
    </w:p>
    <w:p>
      <w:pPr>
        <w:adjustRightInd w:val="0"/>
        <w:spacing w:line="360" w:lineRule="auto"/>
        <w:ind w:left="630" w:hanging="630" w:hanging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已递交了投标保证金的投标人放弃投标，而没有在投标保证金递交截止时间前书面通知招标代理机构的；</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开标后投标人在投标有效期内撤回投标；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 投标人串通投标或者以其他弄虚作假方式投标；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 如果中标人未能做到：</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按本须知第31条规定签订合同；或</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按本须知第32条规定提供履约保证金；或</w:t>
      </w:r>
    </w:p>
    <w:p>
      <w:pPr>
        <w:adjustRightInd w:val="0"/>
        <w:spacing w:line="360" w:lineRule="auto"/>
        <w:ind w:firstLine="630" w:firstLineChars="3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按本须知第33条规定缴纳中标服务费。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（5） 法律法规规定的其它情况。</w:t>
      </w:r>
    </w:p>
    <w:p>
      <w:pPr>
        <w:tabs>
          <w:tab w:val="left" w:pos="330"/>
        </w:tabs>
        <w:spacing w:line="360" w:lineRule="auto"/>
        <w:rPr>
          <w:rFonts w:asciiTheme="minorEastAsia" w:hAnsiTheme="minorEastAsia" w:eastAsiaTheme="minorEastAsia"/>
          <w:b/>
        </w:rPr>
      </w:pPr>
      <w:r>
        <w:rPr>
          <w:rFonts w:hint="eastAsia" w:asciiTheme="minorEastAsia" w:hAnsiTheme="minorEastAsia" w:eastAsiaTheme="minorEastAsia"/>
          <w:b/>
        </w:rPr>
        <w:t>16. 投标预备会（</w:t>
      </w:r>
      <w:r>
        <w:rPr>
          <w:rFonts w:hint="eastAsia" w:asciiTheme="minorEastAsia" w:hAnsiTheme="minorEastAsia" w:eastAsiaTheme="minorEastAsia"/>
          <w:b/>
          <w:snapToGrid w:val="0"/>
          <w:kern w:val="0"/>
        </w:rPr>
        <w:t>答疑会）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16.1  投标预备会（答疑会），如</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认为有必要召开投标预备会，投标人应按照前附表第10项规定的或</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另行书面通知的时间和地点，派出代表出席</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主持的投标预备会。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16.2  投标预备会的目的是澄清、解答投标人在查阅招标文件后和现场踏勘中可能提出的任何方面的问题。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16.3  投标人提出的与投标有关的任何</w:t>
      </w:r>
      <w:r>
        <w:rPr>
          <w:rFonts w:hint="eastAsia" w:cs="宋体" w:asciiTheme="minorEastAsia" w:hAnsiTheme="minorEastAsia" w:eastAsiaTheme="minorEastAsia"/>
          <w:bCs/>
          <w:snapToGrid w:val="0"/>
          <w:kern w:val="0"/>
        </w:rPr>
        <w:t>招标</w:t>
      </w:r>
      <w:r>
        <w:rPr>
          <w:rFonts w:hint="eastAsia" w:asciiTheme="minorEastAsia" w:hAnsiTheme="minorEastAsia" w:eastAsiaTheme="minorEastAsia"/>
          <w:snapToGrid w:val="0"/>
          <w:kern w:val="0"/>
        </w:rPr>
        <w:t>问题须以书面形式给</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。在投标预备会上，</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将做出澄清和解答。</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16.4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在投标预备会上所做出的澄清和解答，以书面答复为准，投标人在收到投标答疑纪要时应以书面形式予以确认。答疑纪要的有效性规定按照本须知第8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2、8</w:t>
      </w:r>
      <w:r>
        <w:rPr>
          <w:rFonts w:asciiTheme="minorEastAsia" w:hAnsiTheme="minorEastAsia" w:eastAsiaTheme="minorEastAsia"/>
          <w:snapToGrid w:val="0"/>
          <w:kern w:val="0"/>
        </w:rPr>
        <w:t>.4</w:t>
      </w:r>
      <w:r>
        <w:rPr>
          <w:rFonts w:hint="eastAsia" w:asciiTheme="minorEastAsia" w:hAnsiTheme="minorEastAsia" w:eastAsiaTheme="minorEastAsia"/>
          <w:snapToGrid w:val="0"/>
          <w:kern w:val="0"/>
        </w:rPr>
        <w:t>款规定执行。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16.5  未出席投标预备会不作为否定投标人资格的理由。</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17. </w:t>
      </w:r>
      <w:r>
        <w:rPr>
          <w:rFonts w:hint="eastAsia" w:asciiTheme="minorEastAsia" w:hAnsiTheme="minorEastAsia" w:eastAsiaTheme="minorEastAsia"/>
          <w:b/>
          <w:snapToGrid w:val="0"/>
          <w:kern w:val="0"/>
        </w:rPr>
        <w:t>投标文件的份数和签署</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17.1  </w:t>
      </w:r>
      <w:r>
        <w:rPr>
          <w:rFonts w:hint="eastAsia" w:asciiTheme="minorEastAsia" w:hAnsiTheme="minorEastAsia" w:eastAsiaTheme="minorEastAsia"/>
          <w:snapToGrid w:val="0"/>
          <w:kern w:val="0"/>
        </w:rPr>
        <w:t xml:space="preserve">投标文件数量按前附表第11项所述，须在每一份投标文件上明确注明“正本”或“副本”字样。一旦正本和副本有差异，以正本为准。 </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17.2  </w:t>
      </w:r>
      <w:r>
        <w:rPr>
          <w:rFonts w:hint="eastAsia" w:asciiTheme="minorEastAsia" w:hAnsiTheme="minorEastAsia" w:eastAsiaTheme="minorEastAsia"/>
          <w:snapToGrid w:val="0"/>
          <w:kern w:val="0"/>
        </w:rPr>
        <w:t>为了便于投标文件保存，需提交一份投标文件备份光盘（或U盘）。</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投标文件正本及开标一览表须打印，并经法定代表人或其授权代表签字和盖章，投标文件的副本可采用正本复印件。</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除投标人对错处做必要修改外，投标文件中不许有加行、涂抹或改写，如有修改遗漏处，必须由投标人法定代表人或其授权代表签字和盖章。</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17.</w:t>
      </w:r>
      <w:r>
        <w:rPr>
          <w:rFonts w:hint="eastAsia" w:asciiTheme="minorEastAsia" w:hAnsiTheme="minorEastAsia" w:eastAsiaTheme="minorEastAsia"/>
          <w:snapToGrid w:val="0"/>
          <w:kern w:val="0"/>
        </w:rPr>
        <w:t>5</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电报、电话、传真形式的投标概不接受。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17.6  投标文件不符合上述规定，为无效投标。</w:t>
      </w:r>
    </w:p>
    <w:p>
      <w:pPr>
        <w:adjustRightInd w:val="0"/>
        <w:spacing w:line="360" w:lineRule="auto"/>
        <w:rPr>
          <w:rFonts w:asciiTheme="minorEastAsia" w:hAnsiTheme="minorEastAsia" w:eastAsiaTheme="minorEastAsia"/>
          <w:snapToGrid w:val="0"/>
          <w:kern w:val="0"/>
        </w:rPr>
      </w:pPr>
    </w:p>
    <w:p>
      <w:pPr>
        <w:pStyle w:val="5"/>
        <w:spacing w:before="0" w:after="0"/>
      </w:pPr>
      <w:bookmarkStart w:id="24" w:name="q7"/>
      <w:bookmarkEnd w:id="24"/>
      <w:bookmarkStart w:id="25" w:name="_Toc73610152"/>
      <w:r>
        <w:rPr>
          <w:rFonts w:hint="eastAsia"/>
        </w:rPr>
        <w:t>四、投标文件的递交</w:t>
      </w:r>
      <w:bookmarkEnd w:id="25"/>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18.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投标文件的密封和标记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18.1 须在每一份投标文件封面上明确注明“正本”或“副本”字样。一旦正本和副本有差异，以正本为准。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18.2  </w:t>
      </w:r>
      <w:r>
        <w:rPr>
          <w:rFonts w:hint="eastAsia"/>
          <w:snapToGrid w:val="0"/>
          <w:kern w:val="0"/>
        </w:rPr>
        <w:t>投标人应将投标文件备份文件光盘密封于一信封，在信封上注明“备份光盘（或U盘）”。</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18.3  将投标文件“正本”、“副本”和密封好的</w:t>
      </w:r>
      <w:r>
        <w:rPr>
          <w:rFonts w:hint="eastAsia"/>
          <w:snapToGrid w:val="0"/>
          <w:kern w:val="0"/>
        </w:rPr>
        <w:t>“备份光盘（或U盘）”一起封装在同一个外层包封中，同时还应在封套上载明以下信息</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注明：“投标文件正本、副本和</w:t>
      </w:r>
      <w:r>
        <w:rPr>
          <w:rFonts w:hint="eastAsia"/>
          <w:snapToGrid w:val="0"/>
          <w:kern w:val="0"/>
        </w:rPr>
        <w:t>备份光盘（或U盘）</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18.4</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投标人应将“法定代表人证明书、法定代表人授权委托证明书”和“开标一览表”单独密封于一信封，在递交投标文件时单独交与</w:t>
      </w:r>
      <w:r>
        <w:rPr>
          <w:rFonts w:hint="eastAsia"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，在信封上应：</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  写明</w:t>
      </w:r>
      <w:r>
        <w:rPr>
          <w:rFonts w:hint="eastAsia"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  注明下列识别标志：</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a.  项目编号；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b.  项目名称；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c.  投标人名称；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d.  注明：“开标一览表”和“法定代表人证明书、法定代表人授权委托证明书”</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e.  </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年</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月</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日</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时</w:t>
      </w:r>
      <w:r>
        <w:rPr>
          <w:rFonts w:hint="eastAsia" w:asciiTheme="minorEastAsia" w:hAnsiTheme="minorEastAsia" w:eastAsiaTheme="minorEastAsia"/>
          <w:snapToGrid w:val="0"/>
          <w:kern w:val="0"/>
          <w:u w:val="single"/>
        </w:rPr>
        <w:t xml:space="preserve">      </w:t>
      </w:r>
      <w:r>
        <w:rPr>
          <w:rFonts w:hint="eastAsia" w:asciiTheme="minorEastAsia" w:hAnsiTheme="minorEastAsia" w:eastAsiaTheme="minorEastAsia"/>
          <w:snapToGrid w:val="0"/>
          <w:kern w:val="0"/>
        </w:rPr>
        <w:t>分（开标时间）前不得开封。</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18.5  除了按本须知第18.3和18.4款所要求的识别字样外，在所有投标文件密封袋上还应写明投标人的名称与地址、邮政编码，以便投标按本须知第20条宣布“迟到”时，投标文件可以原封退回。</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18.6  如果投标文件没有按本投标须知第18.1款、第18.2款、第18.3款和第18.4款规定进行标记和密封，招标代理机构将拒收或者告知投标人，招标代理机构将不承担投标文件错放或提前开封的责任。对由此造成的提前开封的投标文件将予以拒绝，并退还给投标人。</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18.7  所有投标文件的密封袋的封口处应加盖投标人印章。</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18.8  投标人应按18.1～18.7中的规定进行密封和标记后，将投标文件按照前附表第12项中注明的地址送至招标代理机构。</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18.9  投标人按招标文件要求如需提供实物，应随投标文件一起递交。</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1</w:t>
      </w:r>
      <w:r>
        <w:rPr>
          <w:rFonts w:hint="eastAsia" w:asciiTheme="minorEastAsia" w:hAnsiTheme="minorEastAsia" w:eastAsiaTheme="minorEastAsia"/>
          <w:b/>
          <w:snapToGrid w:val="0"/>
          <w:kern w:val="0"/>
        </w:rPr>
        <w:t>9</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递交投标文件的时间、地点以及截止时间</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递交投标文件的地点与开标仪式的地点相同。</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所有投标文件都必须按</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在前附表第</w:t>
      </w:r>
      <w:bookmarkStart w:id="26" w:name="_Hlt35050056"/>
      <w:bookmarkEnd w:id="26"/>
      <w:r>
        <w:rPr>
          <w:rFonts w:hint="eastAsia" w:asciiTheme="minorEastAsia" w:hAnsiTheme="minorEastAsia" w:eastAsiaTheme="minorEastAsia"/>
          <w:snapToGrid w:val="0"/>
          <w:kern w:val="0"/>
        </w:rPr>
        <w:t>13项中规定的投标截止时间之前送至</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出现第8</w:t>
      </w:r>
      <w:r>
        <w:rPr>
          <w:rFonts w:asciiTheme="minorEastAsia" w:hAnsiTheme="minorEastAsia" w:eastAsiaTheme="minorEastAsia"/>
          <w:snapToGrid w:val="0"/>
          <w:kern w:val="0"/>
        </w:rPr>
        <w:t>.3</w:t>
      </w:r>
      <w:r>
        <w:rPr>
          <w:rFonts w:hint="eastAsia" w:asciiTheme="minorEastAsia" w:hAnsiTheme="minorEastAsia" w:eastAsiaTheme="minorEastAsia"/>
          <w:snapToGrid w:val="0"/>
          <w:kern w:val="0"/>
        </w:rPr>
        <w:t>款因招标文件修改或其他原因推迟投标截止时，则按</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修改通知规定的时间递交。</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9</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4</w:t>
      </w:r>
      <w:r>
        <w:rPr>
          <w:rFonts w:asciiTheme="minorEastAsia" w:hAnsiTheme="minorEastAsia" w:eastAsiaTheme="minorEastAsia"/>
          <w:snapToGrid w:val="0"/>
          <w:kern w:val="0"/>
        </w:rPr>
        <w:t xml:space="preserve">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rPr>
        <w:t>在投标截止时间前30分钟开始接收投标文件。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迟交的投标文件</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20</w:t>
      </w:r>
      <w:r>
        <w:rPr>
          <w:rFonts w:asciiTheme="minorEastAsia" w:hAnsiTheme="minorEastAsia" w:eastAsiaTheme="minorEastAsia"/>
          <w:snapToGrid w:val="0"/>
          <w:kern w:val="0"/>
        </w:rPr>
        <w:t xml:space="preserve">.1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将拒绝接收在投标截止时间后递交的投标文件。</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21. 投标文件的修改和撤销</w:t>
      </w:r>
    </w:p>
    <w:p>
      <w:pPr>
        <w:tabs>
          <w:tab w:val="left" w:pos="0"/>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21.1  投标人在提交投标文件后可对其投标文件进行修改或撤销，但</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须在投标截止时间之前收到该修改或撤销的书面通知，该通知须有经正式授权的投标人代表签字。</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21.2</w:t>
      </w:r>
      <w:r>
        <w:rPr>
          <w:rFonts w:hint="eastAsia" w:asciiTheme="minorEastAsia" w:hAnsiTheme="minorEastAsia" w:eastAsiaTheme="minorEastAsia"/>
          <w:snapToGrid w:val="0"/>
          <w:kern w:val="0"/>
        </w:rPr>
        <w:t xml:space="preserve">  投标人对投标文件修改的书面材料或撤销的通知应按本须知第17条和第18条规定进行编写、密封、标注和递交，并注明“修改投标文件”或“撤销投标”字样。</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21.3</w:t>
      </w:r>
      <w:r>
        <w:rPr>
          <w:rFonts w:hint="eastAsia" w:asciiTheme="minorEastAsia" w:hAnsiTheme="minorEastAsia" w:eastAsiaTheme="minorEastAsia"/>
          <w:snapToGrid w:val="0"/>
          <w:kern w:val="0"/>
        </w:rPr>
        <w:t xml:space="preserve">  投标截止时间以后不得修改投标文件。</w:t>
      </w:r>
    </w:p>
    <w:p>
      <w:pPr>
        <w:tabs>
          <w:tab w:val="left" w:pos="0"/>
        </w:tabs>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21.4</w:t>
      </w:r>
      <w:r>
        <w:rPr>
          <w:rFonts w:hint="eastAsia" w:asciiTheme="minorEastAsia" w:hAnsiTheme="minorEastAsia" w:eastAsiaTheme="minorEastAsia"/>
          <w:snapToGrid w:val="0"/>
          <w:kern w:val="0"/>
        </w:rPr>
        <w:t xml:space="preserve">  投标人不得在开标时间起到投标文件有效期满前撤销投标文件。</w:t>
      </w:r>
    </w:p>
    <w:p>
      <w:pPr>
        <w:tabs>
          <w:tab w:val="left" w:pos="0"/>
        </w:tabs>
        <w:adjustRightInd w:val="0"/>
        <w:spacing w:line="360" w:lineRule="auto"/>
        <w:rPr>
          <w:rFonts w:asciiTheme="minorEastAsia" w:hAnsiTheme="minorEastAsia" w:eastAsiaTheme="minorEastAsia"/>
          <w:snapToGrid w:val="0"/>
          <w:kern w:val="0"/>
        </w:rPr>
      </w:pPr>
    </w:p>
    <w:p>
      <w:pPr>
        <w:pStyle w:val="5"/>
        <w:spacing w:before="0" w:after="0"/>
      </w:pPr>
      <w:bookmarkStart w:id="27" w:name="q8"/>
      <w:bookmarkEnd w:id="27"/>
      <w:bookmarkStart w:id="28" w:name="_Toc73610153"/>
      <w:r>
        <w:rPr>
          <w:rFonts w:hint="eastAsia"/>
        </w:rPr>
        <w:t>五、开标和评标</w:t>
      </w:r>
      <w:bookmarkEnd w:id="28"/>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开标</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22.1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在前附表第12项规定的时间和地点公开开标。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  开标时，</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将检查投标文件的密封情况，在确认无误后拆封唱标。唱标主要内容为下面几点并做好唱标记录。</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 xml:space="preserve">.1 </w:t>
      </w:r>
      <w:r>
        <w:rPr>
          <w:rFonts w:hint="eastAsia" w:asciiTheme="minorEastAsia" w:hAnsiTheme="minorEastAsia" w:eastAsiaTheme="minorEastAsia"/>
          <w:snapToGrid w:val="0"/>
          <w:kern w:val="0"/>
        </w:rPr>
        <w:t xml:space="preserve"> 投标文件中“开标一览表”的内容。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22.2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 xml:space="preserve">2  </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认为合适的其他内容。</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23</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评标委员会</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3</w:t>
      </w:r>
      <w:r>
        <w:rPr>
          <w:rFonts w:asciiTheme="minorEastAsia" w:hAnsiTheme="minorEastAsia" w:eastAsiaTheme="minorEastAsia"/>
          <w:snapToGrid w:val="0"/>
          <w:kern w:val="0"/>
        </w:rPr>
        <w:t>.1</w:t>
      </w:r>
      <w:r>
        <w:rPr>
          <w:rFonts w:hint="eastAsia" w:cs="宋体" w:asciiTheme="minorEastAsia" w:hAnsiTheme="minorEastAsia" w:eastAsiaTheme="minorEastAsia"/>
          <w:bCs/>
          <w:snapToGrid w:val="0"/>
          <w:kern w:val="0"/>
        </w:rPr>
        <w:t>招标代理机构</w:t>
      </w:r>
      <w:r>
        <w:rPr>
          <w:rFonts w:hint="eastAsia" w:asciiTheme="minorEastAsia" w:hAnsiTheme="minorEastAsia" w:eastAsiaTheme="minorEastAsia"/>
          <w:snapToGrid w:val="0"/>
          <w:kern w:val="0"/>
        </w:rPr>
        <w:t>将根据招标采购货物的特点组建评标委员会，其成员由</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代表</w:t>
      </w:r>
      <w:r>
        <w:rPr>
          <w:rFonts w:hint="eastAsia" w:cs="宋体" w:asciiTheme="minorEastAsia" w:hAnsiTheme="minorEastAsia" w:eastAsiaTheme="minorEastAsia"/>
          <w:bCs/>
          <w:snapToGrid w:val="0"/>
          <w:kern w:val="0"/>
        </w:rPr>
        <w:t>和有关技术、经济等方面的</w:t>
      </w:r>
      <w:r>
        <w:rPr>
          <w:rFonts w:hint="eastAsia" w:asciiTheme="minorEastAsia" w:hAnsiTheme="minorEastAsia" w:eastAsiaTheme="minorEastAsia"/>
          <w:snapToGrid w:val="0"/>
          <w:kern w:val="0"/>
        </w:rPr>
        <w:t>专家组成。评标委员会对投标文件进行审查、质疑、评估和比较。</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23</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评标期间，投标人应由法定代表人或其授权代表参加询标。</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24. </w:t>
      </w:r>
      <w:r>
        <w:rPr>
          <w:rFonts w:hint="eastAsia" w:asciiTheme="minorEastAsia" w:hAnsiTheme="minorEastAsia" w:eastAsiaTheme="minorEastAsia"/>
          <w:b/>
          <w:snapToGrid w:val="0"/>
          <w:kern w:val="0"/>
        </w:rPr>
        <w:t>对投标文件的审查和响应性的确定</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24.1  招标机构就投标文件中的资格证明等内容对投标供应商进行资格审查，审查不合格的，认定其投标无效。</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24.2  评标委员会将审查投标文件是否完整、总体编排是否有序、文件签署是否合格、有无计算上的错误等。</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24.3  算术错误将按以下方法更正（次序排先者优先）：</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（1）开标一览表内容与投标文件中相应内容不一致的，以开标一览表为准；</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（2）</w:t>
      </w:r>
      <w:r>
        <w:rPr>
          <w:rFonts w:hint="eastAsia" w:asciiTheme="minorEastAsia" w:hAnsiTheme="minorEastAsia" w:eastAsiaTheme="minorEastAsia"/>
          <w:szCs w:val="21"/>
        </w:rPr>
        <w:t>大写金额和小写金额不一致的，以大写金额为准；</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（3）</w:t>
      </w:r>
      <w:r>
        <w:rPr>
          <w:rFonts w:hint="eastAsia" w:asciiTheme="minorEastAsia" w:hAnsiTheme="minorEastAsia" w:eastAsiaTheme="minorEastAsia"/>
          <w:szCs w:val="21"/>
        </w:rPr>
        <w:t>单价金额小数点或者百分比有明显错位的，以开标一览表的总价为准，并修改单价；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（4）</w:t>
      </w:r>
      <w:r>
        <w:rPr>
          <w:rFonts w:hint="eastAsia" w:asciiTheme="minorEastAsia" w:hAnsiTheme="minorEastAsia" w:eastAsiaTheme="minorEastAsia"/>
          <w:szCs w:val="21"/>
        </w:rPr>
        <w:t>总价金额与按单价汇总金额不一致的，以单价金额计算结果为准。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zCs w:val="21"/>
        </w:rPr>
        <w:t xml:space="preserve">    同时出现两种以上不一致的，按照前款规定的顺序修正。修正后的报价按照本须知25.2条的规定，经投标人确认后产生约束力，投标人不确认的，其投标无效</w:t>
      </w:r>
      <w:r>
        <w:rPr>
          <w:rFonts w:hint="eastAsia" w:asciiTheme="minorEastAsia" w:hAnsiTheme="minorEastAsia" w:eastAsiaTheme="minorEastAsia"/>
          <w:snapToGrid w:val="0"/>
          <w:kern w:val="0"/>
        </w:rPr>
        <w:t>。</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24.4  在对投标文件进行详细评估之前，评标委员会将依据投标人提供的“资格证明文件”审查投标人的财务、技术和生产能力。如果确定投标人无资格履行合同，其投标将被拒绝。</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24.5  评标委员会将确定每份投标是否对招标文件的要求，作出了实质性的响应而没有重大偏离。实质性响应的投标是指符合招标文件的所有条款、条件和规定，且没有重大偏离或保留。重大偏离或保留系指影响到招标文件规定的范围、质量和性能，或限制了采购人的权力和投标人的义务的规定。而纠正这些偏离将影响到其它提交实质性响应投标的投标人的公平竞争地位。</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24.6  评标委员会判断投标文件的响应性，仅基于招标文件和投标文件本身而不靠外部证据。</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24.7  评标委员会将拒绝被确定为非实质性响应的投标人。投标人不能通过修正或撤销不符之处，而使其投标成为实质性响应的投标。</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24.8  评标委员会允许修改投标中不构成重大偏离的、微小的、非正规、不一致或不规则的地方。</w:t>
      </w:r>
    </w:p>
    <w:p>
      <w:pPr>
        <w:adjustRightInd w:val="0"/>
        <w:spacing w:line="360" w:lineRule="auto"/>
        <w:rPr>
          <w:rFonts w:asciiTheme="minorEastAsia" w:hAnsiTheme="minorEastAsia" w:eastAsiaTheme="minorEastAsia"/>
          <w:szCs w:val="21"/>
        </w:rPr>
      </w:pPr>
      <w:r>
        <w:rPr>
          <w:rFonts w:hint="eastAsia" w:asciiTheme="minorEastAsia" w:hAnsiTheme="minorEastAsia" w:eastAsiaTheme="minorEastAsia"/>
          <w:snapToGrid w:val="0"/>
          <w:kern w:val="0"/>
        </w:rPr>
        <w:t xml:space="preserve">24.9  </w:t>
      </w:r>
      <w:r>
        <w:rPr>
          <w:rFonts w:hint="eastAsia" w:asciiTheme="minorEastAsia" w:hAnsiTheme="minorEastAsia" w:eastAsiaTheme="minorEastAsia"/>
          <w:szCs w:val="21"/>
        </w:rPr>
        <w:t>根据《中华人民共和国财政部令第</w:t>
      </w:r>
      <w:r>
        <w:rPr>
          <w:rFonts w:asciiTheme="minorEastAsia" w:hAnsiTheme="minorEastAsia" w:eastAsiaTheme="minorEastAsia"/>
          <w:szCs w:val="21"/>
        </w:rPr>
        <w:t>87</w:t>
      </w:r>
      <w:r>
        <w:rPr>
          <w:rFonts w:hint="eastAsia" w:asciiTheme="minorEastAsia" w:hAnsiTheme="minorEastAsia" w:eastAsiaTheme="minorEastAsia"/>
          <w:szCs w:val="21"/>
        </w:rPr>
        <w:t>号</w:t>
      </w:r>
      <w:r>
        <w:rPr>
          <w:rFonts w:asciiTheme="minorEastAsia" w:hAnsiTheme="minorEastAsia" w:eastAsiaTheme="minorEastAsia"/>
          <w:szCs w:val="21"/>
        </w:rPr>
        <w:t>-</w:t>
      </w:r>
      <w:r>
        <w:rPr>
          <w:rFonts w:hint="eastAsia" w:asciiTheme="minorEastAsia" w:hAnsiTheme="minorEastAsia" w:eastAsiaTheme="minor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24.10  </w:t>
      </w:r>
      <w:r>
        <w:rPr>
          <w:rFonts w:hint="eastAsia"/>
          <w:snapToGrid w:val="0"/>
          <w:kern w:val="0"/>
        </w:rPr>
        <w:t>评标委员会成员对需要共同认定的事项存在争议的，应当按照少数服从多数的原则作出结论。持不同意见的评标委员会成员应当在评标报告上签署不同意见及理由，否则视为同意评标报告</w:t>
      </w:r>
      <w:r>
        <w:rPr>
          <w:rFonts w:hint="eastAsia" w:asciiTheme="minorEastAsia" w:hAnsiTheme="minorEastAsia" w:eastAsiaTheme="minorEastAsia"/>
          <w:szCs w:val="21"/>
        </w:rPr>
        <w:t>。</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5</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投标文件的澄清</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25.1  对于投标文件中含义不明确、同类问题表述不一致或者有明显文字和计算错误的内容，评标委员会应当以书面形式要求投标人作出必要的澄清、说明或者补正。</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25.2  投标人的澄清、说明或者补正应当采用书面形式，并加盖公章，或者由法定代表人或其授权的代表签字。投标人的澄清、说明或者补正不得超出投标文件的范围或者改变投标文件的实质性内容。</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26. </w:t>
      </w:r>
      <w:r>
        <w:rPr>
          <w:rFonts w:hint="eastAsia" w:asciiTheme="minorEastAsia" w:hAnsiTheme="minorEastAsia" w:eastAsiaTheme="minorEastAsia"/>
          <w:b/>
          <w:snapToGrid w:val="0"/>
          <w:kern w:val="0"/>
        </w:rPr>
        <w:t>评标方法和详细评审</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26.1 评标委员会将按照本须知第24条规定只对确定为实质上响应的投标文件进行评价和比较。</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 xml:space="preserve">26.2 </w:t>
      </w:r>
      <w:r>
        <w:rPr>
          <w:rFonts w:hint="eastAsia" w:asciiTheme="minorEastAsia" w:hAnsiTheme="minorEastAsia" w:eastAsiaTheme="minorEastAsia"/>
          <w:snapToGrid w:val="0"/>
          <w:kern w:val="0"/>
        </w:rPr>
        <w:t>评标的基础应是本须知第</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2条规定的投标报价。</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26.3评标委员会按 “第四章 评标方法和标准”所述进行详细评审，并推荐中标候选人。</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 xml:space="preserve">27. </w:t>
      </w:r>
      <w:r>
        <w:rPr>
          <w:rFonts w:hint="eastAsia" w:asciiTheme="minorEastAsia" w:hAnsiTheme="minorEastAsia" w:eastAsiaTheme="minorEastAsia"/>
          <w:b/>
          <w:snapToGrid w:val="0"/>
          <w:kern w:val="0"/>
        </w:rPr>
        <w:t>评标报告</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b/>
          <w:snapToGrid w:val="0"/>
          <w:kern w:val="0"/>
        </w:rPr>
        <w:t xml:space="preserve">    </w:t>
      </w:r>
      <w:r>
        <w:rPr>
          <w:rFonts w:hint="eastAsia" w:asciiTheme="minorEastAsia" w:hAnsiTheme="minorEastAsia" w:eastAsiaTheme="minorEastAsia"/>
          <w:snapToGrid w:val="0"/>
          <w:kern w:val="0"/>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8</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保密及其它注意事项</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评标是招标工作的重要环节，评标工作在评委会内独立进行。评委会将遵照评标原则，公正、平等地对待所有投标人。</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评标期间，评委会将对投标文件中有关问题分别向投标人进行询问。各投标人应予以认真答复。重要或复杂问题的答复需以书面形式，并经法定代表人或授权人签署。澄清文件将作为投标文件的组成部份。</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.3  </w:t>
      </w:r>
      <w:r>
        <w:rPr>
          <w:rFonts w:hint="eastAsia" w:asciiTheme="minorEastAsia" w:hAnsiTheme="minorEastAsia" w:eastAsiaTheme="minorEastAsia"/>
          <w:snapToGrid w:val="0"/>
          <w:kern w:val="0"/>
        </w:rPr>
        <w:t>在开标、投标期间，投标人不得向评委询问评标情况，不得进行旨在影响评标结果的活动。</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 xml:space="preserve">.4  </w:t>
      </w:r>
      <w:r>
        <w:rPr>
          <w:rFonts w:hint="eastAsia" w:asciiTheme="minorEastAsia" w:hAnsiTheme="minorEastAsia" w:eastAsiaTheme="minorEastAsia"/>
          <w:snapToGrid w:val="0"/>
          <w:kern w:val="0"/>
        </w:rPr>
        <w:t>为保证定标的公正性，在评标过程中，评委不得与投标人私下交换意见。在招标工作结束后，凡与评标情况有接触的任何人，不得也不应将评标情况扩散出评委人员之外。</w:t>
      </w:r>
    </w:p>
    <w:p>
      <w:pPr>
        <w:adjustRightInd w:val="0"/>
        <w:spacing w:line="360" w:lineRule="auto"/>
        <w:rPr>
          <w:rFonts w:asciiTheme="minorEastAsia" w:hAnsiTheme="minorEastAsia" w:eastAsiaTheme="minorEastAsia"/>
          <w:snapToGrid w:val="0"/>
          <w:kern w:val="0"/>
        </w:rPr>
      </w:pP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8</w:t>
      </w:r>
      <w:r>
        <w:rPr>
          <w:rFonts w:asciiTheme="minorEastAsia" w:hAnsiTheme="minorEastAsia" w:eastAsiaTheme="minorEastAsia"/>
          <w:snapToGrid w:val="0"/>
          <w:kern w:val="0"/>
        </w:rPr>
        <w:t>.5</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评委会不向落标方解释落标原因，不退还投标文件。</w:t>
      </w:r>
    </w:p>
    <w:p>
      <w:pPr>
        <w:adjustRightInd w:val="0"/>
        <w:spacing w:line="360" w:lineRule="auto"/>
        <w:ind w:left="357"/>
        <w:jc w:val="center"/>
        <w:rPr>
          <w:rFonts w:asciiTheme="minorEastAsia" w:hAnsiTheme="minorEastAsia" w:eastAsiaTheme="minorEastAsia"/>
          <w:b/>
          <w:snapToGrid w:val="0"/>
          <w:kern w:val="0"/>
        </w:rPr>
      </w:pPr>
      <w:bookmarkStart w:id="29" w:name="q9"/>
      <w:bookmarkEnd w:id="29"/>
    </w:p>
    <w:p>
      <w:pPr>
        <w:pStyle w:val="5"/>
        <w:spacing w:before="0" w:after="0"/>
      </w:pPr>
      <w:bookmarkStart w:id="30" w:name="_Toc73610154"/>
      <w:r>
        <w:rPr>
          <w:rFonts w:hint="eastAsia"/>
        </w:rPr>
        <w:t>六、授予合同</w:t>
      </w:r>
      <w:bookmarkEnd w:id="30"/>
    </w:p>
    <w:p>
      <w:pPr>
        <w:adjustRightInd w:val="0"/>
        <w:spacing w:line="360" w:lineRule="auto"/>
        <w:rPr>
          <w:rFonts w:asciiTheme="minorEastAsia" w:hAnsiTheme="minorEastAsia" w:eastAsiaTheme="minorEastAsia"/>
          <w:b/>
          <w:snapToGrid w:val="0"/>
          <w:kern w:val="0"/>
        </w:rPr>
      </w:pPr>
      <w:r>
        <w:rPr>
          <w:rFonts w:asciiTheme="minorEastAsia" w:hAnsiTheme="minorEastAsia" w:eastAsiaTheme="minorEastAsia"/>
          <w:b/>
          <w:snapToGrid w:val="0"/>
          <w:kern w:val="0"/>
        </w:rPr>
        <w:t>2</w:t>
      </w:r>
      <w:r>
        <w:rPr>
          <w:rFonts w:hint="eastAsia" w:asciiTheme="minorEastAsia" w:hAnsiTheme="minorEastAsia" w:eastAsiaTheme="minorEastAsia"/>
          <w:b/>
          <w:snapToGrid w:val="0"/>
          <w:kern w:val="0"/>
        </w:rPr>
        <w:t>9．合同授予标准</w:t>
      </w:r>
    </w:p>
    <w:p>
      <w:pPr>
        <w:tabs>
          <w:tab w:val="left" w:pos="5688"/>
        </w:tabs>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    本项目采购合同授予经采购人确定的中标人。</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30</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中标通知</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30.1  招标机构在发出《中标通知书》之前，将中标结果通过政府采购指定网站进行公示。中标结果公示期满无异议或者异议不成立的，招标机构将发出《中标通知书》。《中标通知书》一经发出即发生法律效力。</w:t>
      </w:r>
      <w:r>
        <w:rPr>
          <w:rFonts w:asciiTheme="minorEastAsia" w:hAnsiTheme="minorEastAsia" w:eastAsiaTheme="minorEastAsia"/>
          <w:snapToGrid w:val="0"/>
          <w:kern w:val="0"/>
        </w:rPr>
        <w:t xml:space="preserve"> </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 xml:space="preserve"> 《中标通知书》将作为签订合同的重要依据。</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30.3  中标人向招标代理机构支付中标服务费后，领取《中标通知书》。</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31</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授予合同时变更数量的权力</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31</w:t>
      </w:r>
      <w:r>
        <w:rPr>
          <w:rFonts w:asciiTheme="minorEastAsia" w:hAnsiTheme="minorEastAsia" w:eastAsiaTheme="minorEastAsia"/>
          <w:snapToGrid w:val="0"/>
          <w:kern w:val="0"/>
        </w:rPr>
        <w:t xml:space="preserve">.1  </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在签订合同时，有权对招标文件中列明的货物或服务的数量，在法定范围内，依法定程序予以增加或减少。</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32</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签订合同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  中标人应按《中标通知书》或按</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指定的时间、地点与</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签订合同。</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32</w:t>
      </w:r>
      <w:r>
        <w:rPr>
          <w:rFonts w:asciiTheme="minorEastAsia" w:hAnsiTheme="minorEastAsia" w:eastAsiaTheme="minorEastAsia"/>
          <w:snapToGrid w:val="0"/>
          <w:kern w:val="0"/>
        </w:rPr>
        <w:t xml:space="preserve">.2  </w:t>
      </w:r>
      <w:r>
        <w:rPr>
          <w:rFonts w:hint="eastAsia" w:asciiTheme="minorEastAsia" w:hAnsiTheme="minorEastAsia" w:eastAsiaTheme="minorEastAsia"/>
          <w:snapToGrid w:val="0"/>
          <w:kern w:val="0"/>
        </w:rPr>
        <w:t>招标文件、中标人的投标文件及其澄清文件等，均为签订合同的依据。</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33</w:t>
      </w:r>
      <w:r>
        <w:rPr>
          <w:rFonts w:asciiTheme="minorEastAsia" w:hAnsiTheme="minorEastAsia" w:eastAsiaTheme="minorEastAsia"/>
          <w:b/>
          <w:snapToGrid w:val="0"/>
          <w:kern w:val="0"/>
        </w:rPr>
        <w:t>.</w:t>
      </w:r>
      <w:r>
        <w:rPr>
          <w:rFonts w:hint="eastAsia" w:asciiTheme="minorEastAsia" w:hAnsiTheme="minorEastAsia" w:eastAsiaTheme="minorEastAsia"/>
          <w:b/>
          <w:snapToGrid w:val="0"/>
          <w:kern w:val="0"/>
        </w:rPr>
        <w:t xml:space="preserve">  履约保证金</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33</w:t>
      </w:r>
      <w:r>
        <w:rPr>
          <w:rFonts w:asciiTheme="minorEastAsia" w:hAnsiTheme="minorEastAsia" w:eastAsiaTheme="minorEastAsia"/>
          <w:snapToGrid w:val="0"/>
          <w:kern w:val="0"/>
        </w:rPr>
        <w:t>.1</w:t>
      </w:r>
      <w:r>
        <w:rPr>
          <w:rFonts w:hint="eastAsia" w:asciiTheme="minorEastAsia" w:hAnsiTheme="minorEastAsia" w:eastAsiaTheme="minorEastAsia"/>
          <w:snapToGrid w:val="0"/>
          <w:kern w:val="0"/>
        </w:rPr>
        <w:t xml:space="preserve"> </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中标人须按招标文件的规定或根据合同条款的规定向</w:t>
      </w:r>
      <w:r>
        <w:rPr>
          <w:rFonts w:hint="eastAsia" w:asciiTheme="minorEastAsia" w:hAnsiTheme="minorEastAsia" w:eastAsiaTheme="minorEastAsia"/>
          <w:bCs/>
          <w:snapToGrid w:val="0"/>
          <w:kern w:val="0"/>
        </w:rPr>
        <w:t>采购人</w:t>
      </w:r>
      <w:r>
        <w:rPr>
          <w:rFonts w:hint="eastAsia" w:asciiTheme="minorEastAsia" w:hAnsiTheme="minorEastAsia" w:eastAsiaTheme="minorEastAsia"/>
          <w:snapToGrid w:val="0"/>
          <w:kern w:val="0"/>
        </w:rPr>
        <w:t>提交前附表第15项规定的履约保证金。</w:t>
      </w:r>
    </w:p>
    <w:p>
      <w:pPr>
        <w:adjustRightInd w:val="0"/>
        <w:spacing w:line="360" w:lineRule="auto"/>
        <w:rPr>
          <w:rFonts w:asciiTheme="minorEastAsia" w:hAnsiTheme="minorEastAsia" w:eastAsiaTheme="minorEastAsia"/>
          <w:b/>
          <w:snapToGrid w:val="0"/>
          <w:kern w:val="0"/>
        </w:rPr>
      </w:pPr>
      <w:r>
        <w:rPr>
          <w:rFonts w:hint="eastAsia" w:asciiTheme="minorEastAsia" w:hAnsiTheme="minorEastAsia" w:eastAsiaTheme="minorEastAsia"/>
          <w:b/>
          <w:snapToGrid w:val="0"/>
          <w:kern w:val="0"/>
        </w:rPr>
        <w:t>34</w:t>
      </w:r>
      <w:r>
        <w:rPr>
          <w:rFonts w:asciiTheme="minorEastAsia" w:hAnsiTheme="minorEastAsia" w:eastAsiaTheme="minorEastAsia"/>
          <w:b/>
          <w:snapToGrid w:val="0"/>
          <w:kern w:val="0"/>
        </w:rPr>
        <w:t xml:space="preserve">. </w:t>
      </w:r>
      <w:r>
        <w:rPr>
          <w:rFonts w:hint="eastAsia" w:asciiTheme="minorEastAsia" w:hAnsiTheme="minorEastAsia" w:eastAsiaTheme="minorEastAsia"/>
          <w:b/>
          <w:snapToGrid w:val="0"/>
          <w:kern w:val="0"/>
        </w:rPr>
        <w:t>中标服务费</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w:t>
      </w:r>
      <w:r>
        <w:rPr>
          <w:rFonts w:hint="eastAsia" w:asciiTheme="minorEastAsia" w:hAnsiTheme="minorEastAsia" w:eastAsiaTheme="minorEastAsia"/>
          <w:snapToGrid w:val="0"/>
          <w:kern w:val="0"/>
        </w:rPr>
        <w:t>1</w:t>
      </w:r>
      <w:r>
        <w:rPr>
          <w:rFonts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中标服务费按前附表第16项所述。</w:t>
      </w:r>
    </w:p>
    <w:p>
      <w:pPr>
        <w:adjustRightInd w:val="0"/>
        <w:spacing w:line="36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34</w:t>
      </w:r>
      <w:r>
        <w:rPr>
          <w:rFonts w:asciiTheme="minorEastAsia" w:hAnsiTheme="minorEastAsia" w:eastAsiaTheme="minorEastAsia"/>
          <w:snapToGrid w:val="0"/>
          <w:kern w:val="0"/>
        </w:rPr>
        <w:t>.2</w:t>
      </w:r>
      <w:r>
        <w:rPr>
          <w:rFonts w:hint="eastAsia" w:asciiTheme="minorEastAsia" w:hAnsiTheme="minorEastAsia" w:eastAsiaTheme="minorEastAsia"/>
          <w:snapToGrid w:val="0"/>
          <w:kern w:val="0"/>
        </w:rPr>
        <w:t xml:space="preserve">  中标服务费金额按下列方法计算：</w:t>
      </w:r>
    </w:p>
    <w:tbl>
      <w:tblPr>
        <w:tblStyle w:val="5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131"/>
        <w:gridCol w:w="1897"/>
        <w:gridCol w:w="1898"/>
        <w:gridCol w:w="189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75" w:hRule="atLeast"/>
          <w:jc w:val="center"/>
        </w:trPr>
        <w:tc>
          <w:tcPr>
            <w:tcW w:w="2131" w:type="dxa"/>
          </w:tcPr>
          <w:p>
            <w:pPr>
              <w:spacing w:line="360" w:lineRule="auto"/>
              <w:ind w:firstLine="420" w:firstLineChars="200"/>
              <w:rPr>
                <w:rFonts w:asciiTheme="minorEastAsia" w:hAnsiTheme="minorEastAsia" w:eastAsiaTheme="minorEastAsia"/>
              </w:rPr>
            </w:pPr>
            <w:r>
              <w:rPr>
                <w:rFonts w:asciiTheme="minorEastAsia" w:hAnsiTheme="minorEastAsia" w:eastAsiaTheme="minorEastAsia"/>
              </w:rPr>
              <w:pict>
                <v:shape id="__TH_B3733" o:spid="_x0000_s3091" o:spt="202" type="#_x0000_t202" style="position:absolute;left:0pt;margin-left:56.4pt;margin-top:43.5pt;height:9.4pt;width:4.3pt;z-index:251674624;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元</w:t>
                        </w:r>
                      </w:p>
                    </w:txbxContent>
                  </v:textbox>
                </v:shape>
              </w:pict>
            </w:r>
            <w:r>
              <w:rPr>
                <w:rFonts w:asciiTheme="minorEastAsia" w:hAnsiTheme="minorEastAsia" w:eastAsiaTheme="minorEastAsia"/>
              </w:rPr>
              <w:pict>
                <v:shape id="__TH_B3632" o:spid="_x0000_s3090" o:spt="202" type="#_x0000_t202" style="position:absolute;left:0pt;margin-left:44.55pt;margin-top:42.35pt;height:9.4pt;width:9.85pt;z-index:251673600;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万</w:t>
                        </w:r>
                      </w:p>
                    </w:txbxContent>
                  </v:textbox>
                </v:shape>
              </w:pict>
            </w:r>
            <w:r>
              <w:rPr>
                <w:rFonts w:asciiTheme="minorEastAsia" w:hAnsiTheme="minorEastAsia" w:eastAsiaTheme="minorEastAsia"/>
              </w:rPr>
              <w:pict>
                <v:shape id="__TH_B3531" o:spid="_x0000_s3089" o:spt="202" type="#_x0000_t202" style="position:absolute;left:0pt;margin-left:38.45pt;margin-top:41.2pt;height:9.4pt;width:3.9pt;z-index:251672576;mso-width-relative:page;mso-height-relative:page;" filled="f" stroked="f" coordsize="21600,21600">
                  <v:path/>
                  <v:fill on="f" focussize="0,0"/>
                  <v:stroke on="f" joinstyle="miter"/>
                  <v:imagedata o:title=""/>
                  <o:lock v:ext="edit"/>
                  <v:textbox inset="0mm,0mm,0mm,0mm">
                    <w:txbxContent>
                      <w:p>
                        <w:pPr>
                          <w:snapToGrid w:val="0"/>
                          <w:rPr>
                            <w:sz w:val="15"/>
                          </w:rPr>
                        </w:pPr>
                        <w:r>
                          <w:rPr>
                            <w:sz w:val="15"/>
                          </w:rPr>
                          <w:t>(</w:t>
                        </w:r>
                      </w:p>
                    </w:txbxContent>
                  </v:textbox>
                </v:shape>
              </w:pict>
            </w:r>
            <w:r>
              <w:rPr>
                <w:rFonts w:asciiTheme="minorEastAsia" w:hAnsiTheme="minorEastAsia" w:eastAsiaTheme="minorEastAsia"/>
              </w:rPr>
              <w:pict>
                <v:shape id="__TH_B3430" o:spid="_x0000_s3088" o:spt="202" type="#_x0000_t202" style="position:absolute;left:0pt;margin-left:26.35pt;margin-top:40.05pt;height:9.4pt;width:9.9pt;z-index:251671552;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额</w:t>
                        </w:r>
                      </w:p>
                    </w:txbxContent>
                  </v:textbox>
                </v:shape>
              </w:pict>
            </w:r>
            <w:r>
              <w:rPr>
                <w:rFonts w:asciiTheme="minorEastAsia" w:hAnsiTheme="minorEastAsia" w:eastAsiaTheme="minorEastAsia"/>
              </w:rPr>
              <w:pict>
                <v:shape id="__TH_B3329" o:spid="_x0000_s3087" o:spt="202" type="#_x0000_t202" style="position:absolute;left:0pt;margin-left:17.3pt;margin-top:38.9pt;height:9.4pt;width:9.85pt;z-index:251670528;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金</w:t>
                        </w:r>
                      </w:p>
                    </w:txbxContent>
                  </v:textbox>
                </v:shape>
              </w:pict>
            </w:r>
            <w:r>
              <w:rPr>
                <w:rFonts w:asciiTheme="minorEastAsia" w:hAnsiTheme="minorEastAsia" w:eastAsiaTheme="minorEastAsia"/>
              </w:rPr>
              <w:pict>
                <v:shape id="__TH_B3228" o:spid="_x0000_s3086" o:spt="202" type="#_x0000_t202" style="position:absolute;left:0pt;margin-left:8.2pt;margin-top:37.75pt;height:9.4pt;width:9.9pt;z-index:251669504;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标</w:t>
                        </w:r>
                      </w:p>
                    </w:txbxContent>
                  </v:textbox>
                </v:shape>
              </w:pict>
            </w:r>
            <w:r>
              <w:rPr>
                <w:rFonts w:asciiTheme="minorEastAsia" w:hAnsiTheme="minorEastAsia" w:eastAsiaTheme="minorEastAsia"/>
              </w:rPr>
              <w:pict>
                <v:shape id="__TH_B3127" o:spid="_x0000_s3085" o:spt="202" type="#_x0000_t202" style="position:absolute;left:0pt;margin-left:-0.85pt;margin-top:36.6pt;height:9.4pt;width:9.85pt;z-index:251668480;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中</w:t>
                        </w:r>
                      </w:p>
                    </w:txbxContent>
                  </v:textbox>
                </v:shape>
              </w:pict>
            </w:r>
            <w:r>
              <w:rPr>
                <w:rFonts w:asciiTheme="minorEastAsia" w:hAnsiTheme="minorEastAsia" w:eastAsiaTheme="minorEastAsia"/>
              </w:rPr>
              <w:pict>
                <v:shape id="__TH_B2226" o:spid="_x0000_s3084" o:spt="202" type="#_x0000_t202" style="position:absolute;left:0pt;margin-left:63.4pt;margin-top:32.05pt;height:9.35pt;width:9.85pt;z-index:251667456;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率</w:t>
                        </w:r>
                      </w:p>
                    </w:txbxContent>
                  </v:textbox>
                </v:shape>
              </w:pict>
            </w:r>
            <w:r>
              <w:rPr>
                <w:rFonts w:asciiTheme="minorEastAsia" w:hAnsiTheme="minorEastAsia" w:eastAsiaTheme="minorEastAsia"/>
              </w:rPr>
              <w:pict>
                <v:shape id="__TH_B2125" o:spid="_x0000_s3083" o:spt="202" type="#_x0000_t202" style="position:absolute;left:0pt;margin-left:19.95pt;margin-top:10.05pt;height:9.4pt;width:9.9pt;z-index:251666432;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费</w:t>
                        </w:r>
                      </w:p>
                    </w:txbxContent>
                  </v:textbox>
                </v:shape>
              </w:pict>
            </w:r>
            <w:r>
              <w:rPr>
                <w:rFonts w:asciiTheme="minorEastAsia" w:hAnsiTheme="minorEastAsia" w:eastAsiaTheme="minorEastAsia"/>
              </w:rPr>
              <w:pict>
                <v:shape id="__TH_B1424" o:spid="_x0000_s3082" o:spt="202" type="#_x0000_t202" style="position:absolute;left:0pt;margin-left:88.65pt;margin-top:32.35pt;height:9.35pt;width:9.85pt;z-index:251665408;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型</w:t>
                        </w:r>
                      </w:p>
                    </w:txbxContent>
                  </v:textbox>
                </v:shape>
              </w:pict>
            </w:r>
            <w:r>
              <w:rPr>
                <w:rFonts w:asciiTheme="minorEastAsia" w:hAnsiTheme="minorEastAsia" w:eastAsiaTheme="minorEastAsia"/>
              </w:rPr>
              <w:pict>
                <v:shape id="__TH_B1323" o:spid="_x0000_s3081" o:spt="202" type="#_x0000_t202" style="position:absolute;left:0pt;margin-left:83.95pt;margin-top:22.8pt;height:9.4pt;width:9.85pt;z-index:251664384;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类</w:t>
                        </w:r>
                      </w:p>
                    </w:txbxContent>
                  </v:textbox>
                </v:shape>
              </w:pict>
            </w:r>
            <w:r>
              <w:rPr>
                <w:rFonts w:asciiTheme="minorEastAsia" w:hAnsiTheme="minorEastAsia" w:eastAsiaTheme="minorEastAsia"/>
              </w:rPr>
              <w:pict>
                <v:shape id="__TH_B1222" o:spid="_x0000_s3080" o:spt="202" type="#_x0000_t202" style="position:absolute;left:0pt;margin-left:79.25pt;margin-top:13.3pt;height:9.4pt;width:9.85pt;z-index:251663360;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务</w:t>
                        </w:r>
                      </w:p>
                    </w:txbxContent>
                  </v:textbox>
                </v:shape>
              </w:pict>
            </w:r>
            <w:r>
              <w:rPr>
                <w:rFonts w:asciiTheme="minorEastAsia" w:hAnsiTheme="minorEastAsia" w:eastAsiaTheme="minorEastAsia"/>
              </w:rPr>
              <w:pict>
                <v:shape id="__TH_B1121" o:spid="_x0000_s3079" o:spt="202" type="#_x0000_t202" style="position:absolute;left:0pt;margin-left:74.55pt;margin-top:3.8pt;height:9.4pt;width:9.85pt;z-index:251662336;mso-width-relative:page;mso-height-relative:page;" filled="f" stroked="f" coordsize="21600,21600">
                  <v:path/>
                  <v:fill on="f" focussize="0,0"/>
                  <v:stroke on="f" joinstyle="miter"/>
                  <v:imagedata o:title=""/>
                  <o:lock v:ext="edit"/>
                  <v:textbox inset="0mm,0mm,0mm,0mm">
                    <w:txbxContent>
                      <w:p>
                        <w:pPr>
                          <w:snapToGrid w:val="0"/>
                          <w:rPr>
                            <w:sz w:val="15"/>
                          </w:rPr>
                        </w:pPr>
                        <w:r>
                          <w:rPr>
                            <w:rFonts w:hint="eastAsia"/>
                            <w:sz w:val="15"/>
                          </w:rPr>
                          <w:t>服</w:t>
                        </w:r>
                      </w:p>
                    </w:txbxContent>
                  </v:textbox>
                </v:shape>
              </w:pict>
            </w:r>
            <w:r>
              <w:rPr>
                <w:rFonts w:asciiTheme="minorEastAsia" w:hAnsiTheme="minorEastAsia" w:eastAsiaTheme="minorEastAsia"/>
              </w:rPr>
              <w:pict>
                <v:line id="__TH_L20" o:spid="_x0000_s3078" o:spt="20" style="position:absolute;left:0pt;margin-left:-5.15pt;margin-top:26.85pt;height:26.8pt;width:106pt;z-index:251661312;mso-width-relative:page;mso-height-relative:page;" coordsize="21600,21600">
                  <v:path arrowok="t"/>
                  <v:fill focussize="0,0"/>
                  <v:stroke weight="0.5pt"/>
                  <v:imagedata o:title=""/>
                  <o:lock v:ext="edit"/>
                </v:line>
              </w:pict>
            </w:r>
            <w:r>
              <w:rPr>
                <w:rFonts w:asciiTheme="minorEastAsia" w:hAnsiTheme="minorEastAsia" w:eastAsiaTheme="minorEastAsia"/>
              </w:rPr>
              <w:pict>
                <v:line id="__TH_L19" o:spid="_x0000_s3077" o:spt="20" style="position:absolute;left:0pt;margin-left:47.85pt;margin-top:0pt;height:53.65pt;width:53pt;z-index:251660288;mso-width-relative:page;mso-height-relative:page;" coordsize="21600,21600">
                  <v:path arrowok="t"/>
                  <v:fill focussize="0,0"/>
                  <v:stroke weight="0.5pt"/>
                  <v:imagedata o:title=""/>
                  <o:lock v:ext="edit"/>
                </v:line>
              </w:pict>
            </w:r>
          </w:p>
        </w:tc>
        <w:tc>
          <w:tcPr>
            <w:tcW w:w="1897" w:type="dxa"/>
            <w:tcBorders>
              <w:righ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工程招标</w:t>
            </w:r>
          </w:p>
        </w:tc>
        <w:tc>
          <w:tcPr>
            <w:tcW w:w="1898" w:type="dxa"/>
            <w:tcBorders>
              <w:left w:val="single" w:color="auto" w:sz="4" w:space="0"/>
              <w:righ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货物招标</w:t>
            </w:r>
          </w:p>
        </w:tc>
        <w:tc>
          <w:tcPr>
            <w:tcW w:w="1898" w:type="dxa"/>
            <w:tcBorders>
              <w:left w:val="single" w:color="auto" w:sz="4" w:space="0"/>
            </w:tcBorders>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服务招标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1.00%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1.50%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1.50%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100-500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0.70%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1.10%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0.80%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500-1000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0.55%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0.80%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0.45%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1000-5000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0.35%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0.50%</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5000-10000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0.20%</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0.25%</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10000-100000</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0.05%</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2131" w:type="dxa"/>
          </w:tcPr>
          <w:p>
            <w:pPr>
              <w:spacing w:line="360" w:lineRule="auto"/>
              <w:rPr>
                <w:rFonts w:asciiTheme="minorEastAsia" w:hAnsiTheme="minorEastAsia" w:eastAsiaTheme="minorEastAsia"/>
              </w:rPr>
            </w:pPr>
            <w:r>
              <w:rPr>
                <w:rFonts w:hint="eastAsia" w:asciiTheme="minorEastAsia" w:hAnsiTheme="minorEastAsia" w:eastAsiaTheme="minorEastAsia"/>
              </w:rPr>
              <w:t>100000以上</w:t>
            </w:r>
          </w:p>
        </w:tc>
        <w:tc>
          <w:tcPr>
            <w:tcW w:w="1897" w:type="dxa"/>
            <w:tcBorders>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c>
          <w:tcPr>
            <w:tcW w:w="1898" w:type="dxa"/>
            <w:tcBorders>
              <w:left w:val="single" w:color="auto" w:sz="4" w:space="0"/>
              <w:righ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c>
          <w:tcPr>
            <w:tcW w:w="1898" w:type="dxa"/>
            <w:tcBorders>
              <w:left w:val="single" w:color="auto" w:sz="4" w:space="0"/>
            </w:tcBorders>
          </w:tcPr>
          <w:p>
            <w:pPr>
              <w:spacing w:line="360" w:lineRule="auto"/>
              <w:jc w:val="center"/>
              <w:rPr>
                <w:rFonts w:asciiTheme="minorEastAsia" w:hAnsiTheme="minorEastAsia" w:eastAsiaTheme="minorEastAsia"/>
              </w:rPr>
            </w:pPr>
            <w:r>
              <w:rPr>
                <w:rFonts w:asciiTheme="minorEastAsia" w:hAnsiTheme="minorEastAsia" w:eastAsiaTheme="minorEastAsia"/>
              </w:rPr>
              <w:t>0.01%</w:t>
            </w:r>
          </w:p>
        </w:tc>
      </w:tr>
    </w:tbl>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注：1、中标服务费按差额定率累进法计算。例如：某货物类项目中标金额为1000万元，计算中标服务费如下：</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100万元×1.5%=1.5万元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（500-100）万元×1.1%=4.4万元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（1000-500）×0.8%=4万元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合计收费=1.5+4.4+4＝9.9（万元）</w:t>
      </w:r>
    </w:p>
    <w:p>
      <w:pPr>
        <w:jc w:val="center"/>
        <w:rPr>
          <w:b/>
          <w:sz w:val="52"/>
          <w:szCs w:val="52"/>
        </w:rPr>
      </w:pPr>
    </w:p>
    <w:p/>
    <w:p/>
    <w:p/>
    <w:p/>
    <w:p/>
    <w:p/>
    <w:p/>
    <w:p>
      <w:pPr>
        <w:widowControl/>
        <w:jc w:val="left"/>
      </w:pPr>
      <w:r>
        <w:br w:type="page"/>
      </w:r>
    </w:p>
    <w:p/>
    <w:p>
      <w:pPr>
        <w:pStyle w:val="3"/>
      </w:pPr>
      <w:bookmarkStart w:id="31" w:name="_Toc73610155"/>
      <w:r>
        <w:rPr>
          <w:rFonts w:hint="eastAsia"/>
        </w:rPr>
        <w:t>第七章  投标文件格式</w:t>
      </w:r>
      <w:bookmarkEnd w:id="31"/>
    </w:p>
    <w:p>
      <w:pPr>
        <w:jc w:val="center"/>
        <w:rPr>
          <w:b/>
          <w:sz w:val="52"/>
          <w:szCs w:val="52"/>
        </w:rPr>
      </w:pPr>
    </w:p>
    <w:p>
      <w:pPr>
        <w:pStyle w:val="5"/>
        <w:spacing w:line="400" w:lineRule="exact"/>
        <w:rPr>
          <w:rFonts w:ascii="仿宋" w:hAnsi="仿宋" w:eastAsia="仿宋"/>
        </w:rPr>
      </w:pPr>
      <w:bookmarkStart w:id="32" w:name="_Toc31468"/>
      <w:bookmarkStart w:id="33" w:name="_Toc11772"/>
      <w:bookmarkStart w:id="34" w:name="_Toc44690431"/>
      <w:bookmarkStart w:id="35" w:name="_Toc44690704"/>
      <w:bookmarkStart w:id="36" w:name="_Toc14934"/>
      <w:bookmarkStart w:id="37" w:name="_Toc44691163"/>
      <w:bookmarkStart w:id="38" w:name="_Toc73610156"/>
      <w:bookmarkStart w:id="39" w:name="_Toc44691395"/>
      <w:bookmarkStart w:id="40" w:name="_Toc25194"/>
      <w:r>
        <w:rPr>
          <w:rFonts w:hint="eastAsia" w:ascii="仿宋" w:hAnsi="仿宋" w:eastAsia="仿宋"/>
        </w:rPr>
        <w:t>投标文件编制说明</w:t>
      </w:r>
      <w:bookmarkEnd w:id="32"/>
      <w:bookmarkEnd w:id="33"/>
      <w:bookmarkEnd w:id="34"/>
      <w:bookmarkEnd w:id="35"/>
      <w:bookmarkEnd w:id="36"/>
      <w:bookmarkEnd w:id="37"/>
      <w:bookmarkEnd w:id="38"/>
      <w:bookmarkEnd w:id="39"/>
      <w:bookmarkEnd w:id="40"/>
    </w:p>
    <w:tbl>
      <w:tblPr>
        <w:tblStyle w:val="52"/>
        <w:tblW w:w="100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957"/>
        <w:gridCol w:w="3004"/>
        <w:gridCol w:w="4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序号</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名称</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内容规定</w:t>
            </w:r>
          </w:p>
        </w:tc>
        <w:tc>
          <w:tcPr>
            <w:tcW w:w="4161"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1</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投标文件的组成</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详见第六章“投标人须知”第10条</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1.1 投标人选取本章相应格式编制投标文件，如没有相应格式的，由投标人根据招标要求自行编制。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2</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投标文件的密封和标记</w:t>
            </w:r>
          </w:p>
        </w:tc>
        <w:tc>
          <w:tcPr>
            <w:tcW w:w="3004"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详见第六章“投标人须知”第18条</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投标文件应按以下两部分，分别密封包装和标记：</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2.1 投标文件正本、副本和密封好的备份光盘（或U盘）（封包1）；</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2.2 法定代表人证明书、法定代表人授权委托证明书和开标一览表（封包2）。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3</w:t>
            </w:r>
          </w:p>
        </w:tc>
        <w:tc>
          <w:tcPr>
            <w:tcW w:w="1957" w:type="dxa"/>
            <w:vAlign w:val="center"/>
          </w:tcPr>
          <w:p>
            <w:pPr>
              <w:spacing w:line="360" w:lineRule="auto"/>
              <w:jc w:val="center"/>
              <w:rPr>
                <w:rFonts w:asciiTheme="minorEastAsia" w:hAnsiTheme="minorEastAsia" w:eastAsiaTheme="minorEastAsia"/>
              </w:rPr>
            </w:pPr>
            <w:r>
              <w:rPr>
                <w:rFonts w:hint="eastAsia" w:asciiTheme="minorEastAsia" w:hAnsiTheme="minorEastAsia" w:eastAsiaTheme="minorEastAsia"/>
              </w:rPr>
              <w:t>投标文件的签字和盖章</w:t>
            </w:r>
          </w:p>
        </w:tc>
        <w:tc>
          <w:tcPr>
            <w:tcW w:w="3004" w:type="dxa"/>
            <w:vAlign w:val="center"/>
          </w:tcPr>
          <w:p>
            <w:pPr>
              <w:spacing w:line="360" w:lineRule="auto"/>
              <w:jc w:val="left"/>
              <w:rPr>
                <w:rFonts w:asciiTheme="minorEastAsia" w:hAnsiTheme="minorEastAsia" w:eastAsiaTheme="minorEastAsia"/>
              </w:rPr>
            </w:pPr>
            <w:r>
              <w:rPr>
                <w:rFonts w:hint="eastAsia" w:asciiTheme="minorEastAsia" w:hAnsiTheme="minorEastAsia" w:eastAsiaTheme="minorEastAsia"/>
              </w:rPr>
              <w:t>投标文件应按招标文件要求签字和盖章（包括投标文件格式要求、评标标准对证明文件的要求等）。</w:t>
            </w:r>
          </w:p>
        </w:tc>
        <w:tc>
          <w:tcPr>
            <w:tcW w:w="4161" w:type="dxa"/>
            <w:vAlign w:val="center"/>
          </w:tcPr>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3.1 公章指投标人经备案的行政公章，不包括“投标专用章”、“业务专用章”、“合同专用章”、“财务专用章”等。</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3.2 投标文件中，复印件或扫描件应加盖公章。</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3.3 投标文件应加盖骑缝章。</w:t>
            </w:r>
          </w:p>
          <w:p>
            <w:pPr>
              <w:spacing w:line="360" w:lineRule="auto"/>
              <w:ind w:firstLine="4" w:firstLineChars="2"/>
              <w:rPr>
                <w:rFonts w:asciiTheme="minorEastAsia" w:hAnsiTheme="minorEastAsia" w:eastAsiaTheme="minorEastAsia"/>
              </w:rPr>
            </w:pPr>
            <w:r>
              <w:rPr>
                <w:rFonts w:hint="eastAsia" w:asciiTheme="minorEastAsia" w:hAnsiTheme="minorEastAsia" w:eastAsiaTheme="minorEastAsia"/>
              </w:rPr>
              <w:t>3.4 签字方式可以是手写方式、盖人名章方式或盖手签章方式。</w:t>
            </w:r>
          </w:p>
        </w:tc>
      </w:tr>
    </w:tbl>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p>
    <w:p>
      <w:pPr>
        <w:jc w:val="center"/>
        <w:rPr>
          <w:b/>
          <w:sz w:val="52"/>
          <w:szCs w:val="52"/>
        </w:rPr>
      </w:pPr>
    </w:p>
    <w:p/>
    <w:p/>
    <w:p/>
    <w:p/>
    <w:p/>
    <w:p/>
    <w:p>
      <w:pPr>
        <w:jc w:val="center"/>
        <w:rPr>
          <w:b/>
          <w:bCs/>
          <w:sz w:val="52"/>
        </w:rPr>
      </w:pPr>
    </w:p>
    <w:p>
      <w:pPr>
        <w:jc w:val="center"/>
        <w:rPr>
          <w:b/>
          <w:bCs/>
          <w:sz w:val="52"/>
        </w:rPr>
      </w:pPr>
      <w:r>
        <w:rPr>
          <w:rFonts w:hint="eastAsia"/>
          <w:b/>
          <w:bCs/>
          <w:sz w:val="52"/>
        </w:rPr>
        <w:t>投 标 文 件</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rFonts w:ascii="宋体" w:hAnsi="宋体"/>
          <w:b/>
          <w:bCs/>
          <w:sz w:val="30"/>
          <w:szCs w:val="30"/>
        </w:rPr>
      </w:pPr>
      <w:r>
        <w:rPr>
          <w:rFonts w:hint="eastAsia" w:ascii="宋体" w:hAnsi="宋体"/>
          <w:b/>
          <w:bCs/>
          <w:sz w:val="30"/>
          <w:szCs w:val="30"/>
        </w:rPr>
        <w:t>（正本/副本）</w:t>
      </w: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jc w:val="center"/>
        <w:rPr>
          <w:b/>
          <w:bCs/>
        </w:rPr>
      </w:pPr>
    </w:p>
    <w:p>
      <w:pPr>
        <w:spacing w:line="480" w:lineRule="auto"/>
        <w:ind w:firstLine="1275" w:firstLineChars="529"/>
        <w:rPr>
          <w:b/>
          <w:bCs/>
          <w:sz w:val="24"/>
          <w:u w:val="single"/>
        </w:rPr>
      </w:pPr>
      <w:r>
        <w:rPr>
          <w:rFonts w:hint="eastAsia"/>
          <w:b/>
          <w:bCs/>
          <w:sz w:val="24"/>
        </w:rPr>
        <w:t>项 目  名 称：</w:t>
      </w:r>
      <w:r>
        <w:rPr>
          <w:rFonts w:hint="eastAsia"/>
          <w:b/>
          <w:bCs/>
          <w:sz w:val="24"/>
          <w:u w:val="single"/>
        </w:rPr>
        <w:t xml:space="preserve">                                      </w:t>
      </w:r>
    </w:p>
    <w:p>
      <w:pPr>
        <w:spacing w:line="480" w:lineRule="auto"/>
        <w:ind w:firstLine="1275" w:firstLineChars="529"/>
        <w:rPr>
          <w:b/>
          <w:bCs/>
          <w:sz w:val="24"/>
          <w:u w:val="single"/>
        </w:rPr>
      </w:pPr>
      <w:r>
        <w:rPr>
          <w:rFonts w:hint="eastAsia"/>
          <w:b/>
          <w:bCs/>
          <w:sz w:val="24"/>
        </w:rPr>
        <w:t>项 目  编 号：</w:t>
      </w:r>
      <w:r>
        <w:rPr>
          <w:rFonts w:hint="eastAsia"/>
          <w:b/>
          <w:bCs/>
          <w:sz w:val="24"/>
          <w:u w:val="single"/>
        </w:rPr>
        <w:t xml:space="preserve">                                      </w:t>
      </w:r>
    </w:p>
    <w:p>
      <w:pPr>
        <w:spacing w:line="480" w:lineRule="auto"/>
        <w:ind w:firstLine="1275" w:firstLineChars="529"/>
        <w:rPr>
          <w:b/>
          <w:bCs/>
          <w:sz w:val="24"/>
        </w:rPr>
      </w:pPr>
      <w:r>
        <w:rPr>
          <w:rFonts w:hint="eastAsia"/>
          <w:b/>
          <w:bCs/>
          <w:sz w:val="24"/>
        </w:rPr>
        <w:t>法定代表人或</w:t>
      </w:r>
    </w:p>
    <w:p>
      <w:pPr>
        <w:spacing w:line="480" w:lineRule="auto"/>
        <w:ind w:firstLine="1275" w:firstLineChars="529"/>
        <w:rPr>
          <w:sz w:val="24"/>
          <w:u w:val="dotted"/>
        </w:rPr>
      </w:pPr>
      <w:r>
        <w:rPr>
          <w:rFonts w:hint="eastAsia"/>
          <w:b/>
          <w:bCs/>
          <w:sz w:val="24"/>
        </w:rPr>
        <w:t>委 托 代理人：</w:t>
      </w:r>
      <w:r>
        <w:rPr>
          <w:rFonts w:hint="eastAsia"/>
          <w:sz w:val="24"/>
          <w:u w:val="single"/>
        </w:rPr>
        <w:t xml:space="preserve">                                      </w:t>
      </w:r>
    </w:p>
    <w:p>
      <w:pPr>
        <w:spacing w:line="480" w:lineRule="auto"/>
        <w:ind w:firstLine="1275" w:firstLineChars="529"/>
        <w:rPr>
          <w:b/>
          <w:bCs/>
          <w:sz w:val="24"/>
          <w:u w:val="dotted"/>
        </w:rPr>
      </w:pPr>
      <w:r>
        <w:rPr>
          <w:rFonts w:hint="eastAsia"/>
          <w:b/>
          <w:bCs/>
          <w:sz w:val="24"/>
        </w:rPr>
        <w:t>投   标   人：</w:t>
      </w:r>
      <w:r>
        <w:rPr>
          <w:rFonts w:hint="eastAsia"/>
          <w:b/>
          <w:bCs/>
          <w:sz w:val="24"/>
          <w:u w:val="single"/>
        </w:rPr>
        <w:t xml:space="preserve">                                      </w:t>
      </w:r>
    </w:p>
    <w:p>
      <w:pPr>
        <w:spacing w:line="480" w:lineRule="auto"/>
        <w:ind w:firstLine="1275" w:firstLineChars="529"/>
        <w:rPr>
          <w:b/>
          <w:bCs/>
        </w:rPr>
      </w:pPr>
      <w:r>
        <w:rPr>
          <w:rFonts w:hint="eastAsia"/>
          <w:b/>
          <w:bCs/>
          <w:sz w:val="24"/>
        </w:rPr>
        <w:t>日        期：</w:t>
      </w:r>
      <w:r>
        <w:rPr>
          <w:rFonts w:hint="eastAsia"/>
          <w:sz w:val="24"/>
          <w:u w:val="single"/>
        </w:rPr>
        <w:t xml:space="preserve">              </w:t>
      </w:r>
      <w:r>
        <w:rPr>
          <w:rFonts w:hint="eastAsia"/>
          <w:b/>
          <w:bCs/>
          <w:sz w:val="24"/>
        </w:rPr>
        <w:t>年</w:t>
      </w:r>
      <w:r>
        <w:rPr>
          <w:rFonts w:hint="eastAsia"/>
          <w:sz w:val="24"/>
          <w:u w:val="single"/>
        </w:rPr>
        <w:t xml:space="preserve">         </w:t>
      </w:r>
      <w:r>
        <w:rPr>
          <w:rFonts w:hint="eastAsia"/>
          <w:b/>
          <w:bCs/>
          <w:sz w:val="24"/>
        </w:rPr>
        <w:t>月</w:t>
      </w:r>
      <w:r>
        <w:rPr>
          <w:rFonts w:hint="eastAsia"/>
          <w:sz w:val="24"/>
          <w:u w:val="single"/>
        </w:rPr>
        <w:t xml:space="preserve">         </w:t>
      </w:r>
      <w:r>
        <w:rPr>
          <w:rFonts w:hint="eastAsia"/>
          <w:b/>
          <w:bCs/>
          <w:sz w:val="24"/>
        </w:rPr>
        <w:t>日</w:t>
      </w:r>
    </w:p>
    <w:p>
      <w:pPr>
        <w:rPr>
          <w:rFonts w:ascii="仿宋" w:hAnsi="仿宋" w:eastAsia="仿宋"/>
        </w:rPr>
      </w:pPr>
      <w:bookmarkStart w:id="41" w:name="_投标文件格式（第一册）"/>
      <w:bookmarkEnd w:id="41"/>
      <w:bookmarkStart w:id="42" w:name="q0"/>
      <w:r>
        <w:rPr>
          <w:rFonts w:ascii="仿宋" w:hAnsi="仿宋" w:eastAsia="仿宋"/>
        </w:rPr>
        <w:br w:type="page"/>
      </w:r>
    </w:p>
    <w:p>
      <w:pPr>
        <w:pStyle w:val="5"/>
        <w:spacing w:line="400" w:lineRule="exact"/>
        <w:rPr>
          <w:rFonts w:ascii="仿宋" w:hAnsi="仿宋" w:eastAsia="仿宋"/>
        </w:rPr>
      </w:pPr>
      <w:bookmarkStart w:id="43" w:name="_Toc73610157"/>
      <w:r>
        <w:rPr>
          <w:rFonts w:hint="eastAsia" w:ascii="仿宋" w:hAnsi="仿宋" w:eastAsia="仿宋"/>
        </w:rPr>
        <w:t>投标文件格式</w:t>
      </w:r>
      <w:bookmarkEnd w:id="43"/>
    </w:p>
    <w:bookmarkEnd w:id="42"/>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目录（自拟）</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评标指引表</w:t>
      </w:r>
    </w:p>
    <w:p>
      <w:pPr>
        <w:numPr>
          <w:ilvl w:val="0"/>
          <w:numId w:val="5"/>
        </w:numPr>
        <w:adjustRightInd w:val="0"/>
        <w:spacing w:line="360" w:lineRule="auto"/>
        <w:rPr>
          <w:snapToGrid w:val="0"/>
          <w:kern w:val="0"/>
          <w:szCs w:val="21"/>
        </w:rPr>
      </w:pPr>
      <w:r>
        <w:rPr>
          <w:rFonts w:hint="eastAsia"/>
          <w:snapToGrid w:val="0"/>
          <w:kern w:val="0"/>
          <w:szCs w:val="21"/>
        </w:rPr>
        <w:t>投标人资格证明文件（格式1）</w:t>
      </w:r>
    </w:p>
    <w:p>
      <w:pPr>
        <w:numPr>
          <w:ilvl w:val="0"/>
          <w:numId w:val="5"/>
        </w:numPr>
        <w:adjustRightInd w:val="0"/>
        <w:spacing w:line="360" w:lineRule="auto"/>
        <w:rPr>
          <w:snapToGrid w:val="0"/>
          <w:kern w:val="0"/>
          <w:szCs w:val="21"/>
        </w:rPr>
      </w:pPr>
      <w:r>
        <w:rPr>
          <w:rFonts w:hint="eastAsia"/>
          <w:snapToGrid w:val="0"/>
          <w:kern w:val="0"/>
          <w:szCs w:val="21"/>
        </w:rPr>
        <w:t>法定代表人证明书及授权委托书</w:t>
      </w:r>
      <w:r>
        <w:rPr>
          <w:rFonts w:hint="eastAsia" w:ascii="宋体" w:hAnsi="宋体"/>
          <w:snapToGrid w:val="0"/>
          <w:kern w:val="0"/>
          <w:szCs w:val="21"/>
        </w:rPr>
        <w:t>（格式2）</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投标函（格式3）</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评分中涉及的承诺及声明函（格式4）</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开标一览表（格式5）</w:t>
      </w:r>
    </w:p>
    <w:p>
      <w:pPr>
        <w:adjustRightInd w:val="0"/>
        <w:spacing w:line="360" w:lineRule="auto"/>
        <w:ind w:firstLine="422" w:firstLineChars="200"/>
        <w:rPr>
          <w:rFonts w:ascii="宋体" w:hAnsi="宋体"/>
          <w:b/>
          <w:bCs/>
          <w:snapToGrid w:val="0"/>
          <w:kern w:val="0"/>
          <w:szCs w:val="21"/>
        </w:rPr>
      </w:pPr>
      <w:r>
        <w:rPr>
          <w:rFonts w:hint="eastAsia" w:ascii="宋体" w:hAnsi="宋体"/>
          <w:b/>
          <w:snapToGrid w:val="0"/>
          <w:kern w:val="0"/>
          <w:szCs w:val="21"/>
        </w:rPr>
        <w:t>注：此表应与“法定代表人证明书、法定代表人授权委托证明书”一起密封于一信封，在递交投标文件时单独交与</w:t>
      </w:r>
      <w:r>
        <w:rPr>
          <w:rFonts w:hint="eastAsia" w:ascii="宋体" w:hAnsi="宋体"/>
          <w:b/>
          <w:bCs/>
          <w:snapToGrid w:val="0"/>
          <w:kern w:val="0"/>
          <w:szCs w:val="21"/>
        </w:rPr>
        <w:t>招标代理机构。</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报价表（格式6）</w:t>
      </w:r>
    </w:p>
    <w:p>
      <w:pPr>
        <w:numPr>
          <w:ilvl w:val="0"/>
          <w:numId w:val="5"/>
        </w:numPr>
        <w:adjustRightInd w:val="0"/>
        <w:spacing w:line="360" w:lineRule="auto"/>
        <w:rPr>
          <w:rFonts w:ascii="宋体" w:hAnsi="宋体"/>
          <w:snapToGrid w:val="0"/>
          <w:kern w:val="0"/>
          <w:szCs w:val="21"/>
        </w:rPr>
      </w:pPr>
      <w:r>
        <w:rPr>
          <w:rFonts w:hint="eastAsia" w:ascii="宋体" w:hAnsi="宋体" w:cs="宋体"/>
          <w:color w:val="auto"/>
          <w:szCs w:val="21"/>
          <w:lang w:eastAsia="zh-CN"/>
        </w:rPr>
        <w:t>兑换</w:t>
      </w:r>
      <w:r>
        <w:rPr>
          <w:rFonts w:hint="eastAsia" w:ascii="宋体" w:hAnsi="宋体" w:cs="宋体"/>
          <w:color w:val="auto"/>
          <w:szCs w:val="21"/>
        </w:rPr>
        <w:t>方案</w:t>
      </w:r>
      <w:r>
        <w:rPr>
          <w:rFonts w:hint="eastAsia" w:ascii="宋体" w:hAnsi="宋体"/>
          <w:snapToGrid w:val="0"/>
          <w:kern w:val="0"/>
          <w:szCs w:val="21"/>
        </w:rPr>
        <w:t>（格式7）</w:t>
      </w:r>
    </w:p>
    <w:p>
      <w:pPr>
        <w:numPr>
          <w:ilvl w:val="0"/>
          <w:numId w:val="5"/>
        </w:numPr>
        <w:adjustRightInd w:val="0"/>
        <w:spacing w:line="360" w:lineRule="auto"/>
        <w:rPr>
          <w:rFonts w:ascii="宋体" w:hAnsi="宋体"/>
          <w:snapToGrid w:val="0"/>
          <w:kern w:val="0"/>
          <w:szCs w:val="21"/>
        </w:rPr>
      </w:pPr>
      <w:r>
        <w:rPr>
          <w:rFonts w:hint="eastAsia" w:ascii="宋体" w:hAnsi="宋体" w:cs="仿宋"/>
          <w:color w:val="auto"/>
          <w:szCs w:val="21"/>
        </w:rPr>
        <w:t>质量保障措施及方案</w:t>
      </w:r>
      <w:r>
        <w:rPr>
          <w:rFonts w:hint="eastAsia" w:ascii="宋体" w:hAnsi="宋体"/>
          <w:snapToGrid w:val="0"/>
          <w:kern w:val="0"/>
          <w:szCs w:val="21"/>
        </w:rPr>
        <w:t>（格式8）</w:t>
      </w:r>
    </w:p>
    <w:p>
      <w:pPr>
        <w:numPr>
          <w:ilvl w:val="0"/>
          <w:numId w:val="5"/>
        </w:numPr>
        <w:adjustRightInd w:val="0"/>
        <w:spacing w:line="360" w:lineRule="auto"/>
        <w:rPr>
          <w:rFonts w:ascii="宋体" w:hAnsi="宋体"/>
          <w:snapToGrid w:val="0"/>
          <w:kern w:val="0"/>
          <w:szCs w:val="21"/>
        </w:rPr>
      </w:pPr>
      <w:r>
        <w:rPr>
          <w:rFonts w:hint="eastAsia"/>
        </w:rPr>
        <w:t>售后服务方案</w:t>
      </w:r>
      <w:r>
        <w:rPr>
          <w:rFonts w:hint="eastAsia" w:ascii="宋体" w:hAnsi="宋体"/>
          <w:snapToGrid w:val="0"/>
          <w:kern w:val="0"/>
          <w:szCs w:val="21"/>
        </w:rPr>
        <w:t>（格式9）</w:t>
      </w:r>
    </w:p>
    <w:p>
      <w:pPr>
        <w:numPr>
          <w:ilvl w:val="0"/>
          <w:numId w:val="5"/>
        </w:numPr>
        <w:adjustRightInd w:val="0"/>
        <w:spacing w:line="360" w:lineRule="auto"/>
        <w:rPr>
          <w:rFonts w:ascii="宋体" w:hAnsi="宋体"/>
          <w:snapToGrid w:val="0"/>
          <w:kern w:val="0"/>
          <w:szCs w:val="21"/>
        </w:rPr>
      </w:pPr>
      <w:r>
        <w:rPr>
          <w:rFonts w:hint="eastAsia" w:ascii="宋体" w:hAnsi="宋体" w:cs="仿宋"/>
          <w:color w:val="auto"/>
          <w:szCs w:val="21"/>
        </w:rPr>
        <w:t>配送服务</w:t>
      </w:r>
      <w:r>
        <w:rPr>
          <w:rFonts w:hint="eastAsia" w:ascii="宋体" w:hAnsi="宋体"/>
          <w:snapToGrid w:val="0"/>
          <w:kern w:val="0"/>
        </w:rPr>
        <w:t>（</w:t>
      </w:r>
      <w:r>
        <w:rPr>
          <w:rFonts w:ascii="宋体" w:hAnsi="宋体"/>
          <w:snapToGrid w:val="0"/>
          <w:kern w:val="0"/>
        </w:rPr>
        <w:t>格式</w:t>
      </w:r>
      <w:r>
        <w:rPr>
          <w:rFonts w:hint="eastAsia" w:ascii="宋体" w:hAnsi="宋体"/>
          <w:snapToGrid w:val="0"/>
          <w:kern w:val="0"/>
        </w:rPr>
        <w:t>10</w:t>
      </w:r>
      <w:r>
        <w:rPr>
          <w:rFonts w:ascii="宋体" w:hAnsi="宋体"/>
          <w:snapToGrid w:val="0"/>
          <w:kern w:val="0"/>
        </w:rPr>
        <w:t>）</w:t>
      </w:r>
    </w:p>
    <w:p>
      <w:pPr>
        <w:numPr>
          <w:ilvl w:val="0"/>
          <w:numId w:val="5"/>
        </w:numPr>
        <w:adjustRightInd w:val="0"/>
        <w:spacing w:line="360" w:lineRule="auto"/>
        <w:rPr>
          <w:rFonts w:ascii="宋体" w:hAnsi="宋体"/>
          <w:snapToGrid w:val="0"/>
          <w:kern w:val="0"/>
          <w:szCs w:val="21"/>
        </w:rPr>
      </w:pPr>
      <w:r>
        <w:rPr>
          <w:rFonts w:ascii="宋体" w:hAnsi="宋体"/>
          <w:snapToGrid w:val="0"/>
          <w:kern w:val="0"/>
        </w:rPr>
        <w:t>投标人资格</w:t>
      </w:r>
      <w:r>
        <w:rPr>
          <w:rFonts w:hint="eastAsia" w:ascii="宋体" w:hAnsi="宋体"/>
          <w:snapToGrid w:val="0"/>
          <w:kern w:val="0"/>
        </w:rPr>
        <w:t>声</w:t>
      </w:r>
      <w:r>
        <w:rPr>
          <w:rFonts w:ascii="宋体" w:hAnsi="宋体"/>
          <w:snapToGrid w:val="0"/>
          <w:kern w:val="0"/>
        </w:rPr>
        <w:t>明</w:t>
      </w:r>
      <w:r>
        <w:rPr>
          <w:rFonts w:hint="eastAsia" w:ascii="宋体" w:hAnsi="宋体"/>
          <w:snapToGrid w:val="0"/>
          <w:kern w:val="0"/>
        </w:rPr>
        <w:t>（</w:t>
      </w:r>
      <w:r>
        <w:rPr>
          <w:rFonts w:ascii="宋体" w:hAnsi="宋体"/>
          <w:snapToGrid w:val="0"/>
          <w:kern w:val="0"/>
        </w:rPr>
        <w:t>格式</w:t>
      </w:r>
      <w:r>
        <w:rPr>
          <w:rFonts w:hint="eastAsia" w:ascii="宋体" w:hAnsi="宋体"/>
          <w:snapToGrid w:val="0"/>
          <w:kern w:val="0"/>
          <w:lang w:val="en-US" w:eastAsia="zh-CN"/>
        </w:rPr>
        <w:t>11</w:t>
      </w:r>
      <w:r>
        <w:rPr>
          <w:rFonts w:ascii="宋体" w:hAnsi="宋体"/>
          <w:snapToGrid w:val="0"/>
          <w:kern w:val="0"/>
        </w:rPr>
        <w:t>）</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szCs w:val="21"/>
        </w:rPr>
        <w:t>偏离</w:t>
      </w:r>
      <w:r>
        <w:rPr>
          <w:rFonts w:ascii="宋体" w:hAnsi="宋体"/>
          <w:snapToGrid w:val="0"/>
          <w:kern w:val="0"/>
          <w:szCs w:val="21"/>
        </w:rPr>
        <w:t>表（格式</w:t>
      </w:r>
      <w:r>
        <w:rPr>
          <w:rFonts w:hint="eastAsia" w:ascii="宋体" w:hAnsi="宋体"/>
          <w:snapToGrid w:val="0"/>
          <w:kern w:val="0"/>
          <w:szCs w:val="21"/>
          <w:lang w:val="en-US" w:eastAsia="zh-CN"/>
        </w:rPr>
        <w:t>12</w:t>
      </w:r>
      <w:r>
        <w:rPr>
          <w:rFonts w:ascii="宋体" w:hAnsi="宋体"/>
          <w:snapToGrid w:val="0"/>
          <w:kern w:val="0"/>
          <w:szCs w:val="21"/>
        </w:rPr>
        <w:t>）</w:t>
      </w:r>
    </w:p>
    <w:p>
      <w:pPr>
        <w:numPr>
          <w:ilvl w:val="0"/>
          <w:numId w:val="5"/>
        </w:numPr>
        <w:adjustRightInd w:val="0"/>
        <w:spacing w:line="360" w:lineRule="auto"/>
        <w:rPr>
          <w:rFonts w:ascii="宋体" w:hAnsi="宋体"/>
          <w:snapToGrid w:val="0"/>
          <w:kern w:val="0"/>
          <w:szCs w:val="21"/>
        </w:rPr>
      </w:pPr>
      <w:r>
        <w:rPr>
          <w:rFonts w:hint="eastAsia" w:ascii="宋体" w:hAnsi="宋体"/>
          <w:snapToGrid w:val="0"/>
          <w:kern w:val="0"/>
        </w:rPr>
        <w:t>招标文件要求的其他资料或投标人认为需要补充的资料</w:t>
      </w:r>
      <w:r>
        <w:rPr>
          <w:rFonts w:hint="eastAsia" w:ascii="宋体" w:hAnsi="宋体"/>
          <w:snapToGrid w:val="0"/>
          <w:kern w:val="0"/>
          <w:szCs w:val="21"/>
        </w:rPr>
        <w:t>（格式</w:t>
      </w:r>
      <w:r>
        <w:rPr>
          <w:rFonts w:hint="eastAsia" w:ascii="宋体" w:hAnsi="宋体"/>
          <w:snapToGrid w:val="0"/>
          <w:kern w:val="0"/>
          <w:szCs w:val="21"/>
          <w:lang w:val="en-US" w:eastAsia="zh-CN"/>
        </w:rPr>
        <w:t>13</w:t>
      </w:r>
      <w:r>
        <w:rPr>
          <w:rFonts w:hint="eastAsia" w:ascii="宋体" w:hAnsi="宋体"/>
          <w:snapToGrid w:val="0"/>
          <w:kern w:val="0"/>
          <w:szCs w:val="21"/>
        </w:rPr>
        <w:t>）</w:t>
      </w:r>
    </w:p>
    <w:p>
      <w:pPr>
        <w:adjustRightInd w:val="0"/>
        <w:spacing w:line="300" w:lineRule="auto"/>
        <w:ind w:left="-2"/>
        <w:rPr>
          <w:rFonts w:ascii="宋体" w:hAnsi="宋体"/>
          <w:snapToGrid w:val="0"/>
          <w:kern w:val="0"/>
          <w:szCs w:val="21"/>
        </w:rPr>
      </w:pPr>
    </w:p>
    <w:p>
      <w:pPr>
        <w:adjustRightInd w:val="0"/>
        <w:spacing w:line="300" w:lineRule="auto"/>
        <w:ind w:left="-2"/>
        <w:rPr>
          <w:rFonts w:ascii="宋体" w:hAnsi="宋体"/>
          <w:snapToGrid w:val="0"/>
          <w:kern w:val="0"/>
          <w:szCs w:val="21"/>
        </w:rPr>
      </w:pPr>
    </w:p>
    <w:p>
      <w:pPr>
        <w:adjustRightInd w:val="0"/>
        <w:spacing w:line="300" w:lineRule="auto"/>
        <w:ind w:left="-2"/>
        <w:rPr>
          <w:rFonts w:ascii="宋体" w:hAnsi="宋体"/>
          <w:snapToGrid w:val="0"/>
          <w:kern w:val="0"/>
          <w:szCs w:val="21"/>
        </w:rPr>
      </w:pPr>
    </w:p>
    <w:p>
      <w:pPr>
        <w:ind w:hanging="2"/>
        <w:rPr>
          <w:b/>
          <w:bCs/>
          <w:sz w:val="28"/>
        </w:rPr>
      </w:pPr>
    </w:p>
    <w:p>
      <w:pPr>
        <w:adjustRightInd w:val="0"/>
        <w:snapToGrid w:val="0"/>
        <w:spacing w:line="300" w:lineRule="auto"/>
        <w:jc w:val="center"/>
      </w:pPr>
      <w:bookmarkStart w:id="44" w:name="_格式1__投标人资格证明文件"/>
      <w:bookmarkEnd w:id="44"/>
      <w:r>
        <w:br w:type="page"/>
      </w:r>
    </w:p>
    <w:p>
      <w:pPr>
        <w:adjustRightInd w:val="0"/>
        <w:snapToGrid w:val="0"/>
        <w:spacing w:line="300" w:lineRule="auto"/>
        <w:jc w:val="center"/>
      </w:pPr>
    </w:p>
    <w:p>
      <w:pPr>
        <w:pStyle w:val="5"/>
        <w:spacing w:line="400" w:lineRule="exact"/>
        <w:rPr>
          <w:rFonts w:ascii="仿宋" w:hAnsi="仿宋" w:eastAsia="仿宋"/>
        </w:rPr>
      </w:pPr>
      <w:bookmarkStart w:id="45" w:name="_Toc73610158"/>
      <w:r>
        <w:rPr>
          <w:rFonts w:hint="eastAsia" w:ascii="仿宋" w:hAnsi="仿宋" w:eastAsia="仿宋"/>
        </w:rPr>
        <w:t>评标指引表</w:t>
      </w:r>
      <w:bookmarkEnd w:id="45"/>
    </w:p>
    <w:p>
      <w:pPr>
        <w:jc w:val="center"/>
        <w:rPr>
          <w:b/>
          <w:szCs w:val="21"/>
        </w:rPr>
      </w:pPr>
    </w:p>
    <w:p>
      <w:pPr>
        <w:spacing w:line="360" w:lineRule="auto"/>
        <w:ind w:firstLine="420" w:firstLineChars="200"/>
        <w:rPr>
          <w:rFonts w:ascii="宋体" w:hAnsi="宋体"/>
          <w:szCs w:val="21"/>
        </w:rPr>
      </w:pPr>
      <w:r>
        <w:rPr>
          <w:rFonts w:hint="eastAsia" w:ascii="宋体" w:hAnsi="宋体"/>
          <w:szCs w:val="21"/>
        </w:rPr>
        <w:t>为方便参与该项目的评委专家的评标，快速找到评标事项与该项目投标文件所对应的位置，请投标人参照下表格式，编制本项目评标指引表。</w:t>
      </w:r>
    </w:p>
    <w:p>
      <w:pPr>
        <w:spacing w:line="360" w:lineRule="auto"/>
        <w:ind w:firstLine="420" w:firstLineChars="200"/>
        <w:rPr>
          <w:rFonts w:ascii="宋体" w:hAnsi="宋体"/>
          <w:szCs w:val="21"/>
        </w:rPr>
      </w:pP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4854"/>
        <w:gridCol w:w="2169"/>
        <w:gridCol w:w="1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9552" w:type="dxa"/>
            <w:gridSpan w:val="4"/>
            <w:vAlign w:val="center"/>
          </w:tcPr>
          <w:p>
            <w:pPr>
              <w:spacing w:line="36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综合评分指引（参见第四章  评标方法和标准）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57" w:type="dxa"/>
            <w:vAlign w:val="center"/>
          </w:tcPr>
          <w:p>
            <w:pPr>
              <w:spacing w:line="360" w:lineRule="exact"/>
              <w:jc w:val="center"/>
              <w:rPr>
                <w:rFonts w:ascii="宋体" w:hAnsi="宋体"/>
                <w:szCs w:val="21"/>
              </w:rPr>
            </w:pPr>
            <w:r>
              <w:rPr>
                <w:rFonts w:hint="eastAsia" w:ascii="宋体" w:hAnsi="宋体"/>
                <w:szCs w:val="21"/>
              </w:rPr>
              <w:t>评分类别</w:t>
            </w:r>
          </w:p>
        </w:tc>
        <w:tc>
          <w:tcPr>
            <w:tcW w:w="4854" w:type="dxa"/>
            <w:vAlign w:val="center"/>
          </w:tcPr>
          <w:p>
            <w:pPr>
              <w:spacing w:line="360" w:lineRule="exact"/>
              <w:jc w:val="center"/>
              <w:rPr>
                <w:rFonts w:asciiTheme="minorEastAsia" w:hAnsiTheme="minorEastAsia" w:eastAsiaTheme="minorEastAsia"/>
                <w:szCs w:val="21"/>
              </w:rPr>
            </w:pPr>
            <w:r>
              <w:rPr>
                <w:rFonts w:hint="eastAsia" w:asciiTheme="minorEastAsia" w:hAnsiTheme="minorEastAsia" w:eastAsiaTheme="minorEastAsia"/>
                <w:szCs w:val="21"/>
              </w:rPr>
              <w:t>评分内容</w:t>
            </w:r>
          </w:p>
        </w:tc>
        <w:tc>
          <w:tcPr>
            <w:tcW w:w="2169" w:type="dxa"/>
            <w:vAlign w:val="center"/>
          </w:tcPr>
          <w:p>
            <w:pPr>
              <w:spacing w:line="360" w:lineRule="exact"/>
              <w:jc w:val="center"/>
              <w:rPr>
                <w:rFonts w:ascii="宋体" w:hAnsi="宋体"/>
                <w:szCs w:val="21"/>
              </w:rPr>
            </w:pPr>
            <w:r>
              <w:rPr>
                <w:rFonts w:hint="eastAsia" w:ascii="宋体" w:hAnsi="宋体"/>
                <w:szCs w:val="21"/>
              </w:rPr>
              <w:t>证明文件起止页码</w:t>
            </w:r>
          </w:p>
        </w:tc>
        <w:tc>
          <w:tcPr>
            <w:tcW w:w="1472" w:type="dxa"/>
            <w:vAlign w:val="center"/>
          </w:tcPr>
          <w:p>
            <w:pPr>
              <w:spacing w:line="36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057" w:type="dxa"/>
            <w:vAlign w:val="center"/>
          </w:tcPr>
          <w:p>
            <w:pPr>
              <w:spacing w:line="360" w:lineRule="exact"/>
              <w:jc w:val="center"/>
              <w:rPr>
                <w:rFonts w:ascii="宋体" w:hAnsi="宋体"/>
                <w:szCs w:val="21"/>
              </w:rPr>
            </w:pPr>
            <w:r>
              <w:rPr>
                <w:rFonts w:hint="eastAsia" w:ascii="宋体" w:hAnsi="宋体"/>
                <w:szCs w:val="21"/>
              </w:rPr>
              <w:t>价格部分</w:t>
            </w:r>
          </w:p>
        </w:tc>
        <w:tc>
          <w:tcPr>
            <w:tcW w:w="4854" w:type="dxa"/>
            <w:vAlign w:val="center"/>
          </w:tcPr>
          <w:p>
            <w:pPr>
              <w:rPr>
                <w:rFonts w:asciiTheme="minorEastAsia" w:hAnsiTheme="minorEastAsia" w:eastAsiaTheme="minorEastAsia"/>
              </w:rPr>
            </w:pPr>
            <w:r>
              <w:rPr>
                <w:rFonts w:hint="eastAsia" w:asciiTheme="minorEastAsia" w:hAnsiTheme="minorEastAsia" w:eastAsiaTheme="minorEastAsia"/>
                <w:szCs w:val="21"/>
              </w:rPr>
              <w:t>《节能产品政府采购品目清单》或《环境标志产品政府采购品目清单》中列示的产品，或</w:t>
            </w:r>
            <w:r>
              <w:rPr>
                <w:rFonts w:hint="eastAsia" w:asciiTheme="minorEastAsia" w:hAnsiTheme="minorEastAsia" w:eastAsiaTheme="minorEastAsia"/>
                <w:snapToGrid w:val="0"/>
                <w:kern w:val="0"/>
                <w:szCs w:val="21"/>
              </w:rPr>
              <w:t>小型企业、微型企业、监狱企业、残疾人福利性单位证明文件</w:t>
            </w:r>
            <w:r>
              <w:rPr>
                <w:rFonts w:hint="eastAsia" w:asciiTheme="minorEastAsia" w:hAnsiTheme="minorEastAsia" w:eastAsiaTheme="minorEastAsia"/>
                <w:szCs w:val="21"/>
              </w:rPr>
              <w:t>，详见“第四章  评标方法和标准”政府采购</w:t>
            </w:r>
            <w:r>
              <w:rPr>
                <w:rFonts w:hint="eastAsia" w:asciiTheme="minorEastAsia" w:hAnsiTheme="minorEastAsia" w:eastAsiaTheme="minorEastAsia"/>
                <w:bCs/>
                <w:szCs w:val="21"/>
              </w:rPr>
              <w:t>优惠政策。</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restart"/>
            <w:vAlign w:val="center"/>
          </w:tcPr>
          <w:p>
            <w:pPr>
              <w:spacing w:line="360" w:lineRule="exact"/>
              <w:jc w:val="center"/>
              <w:rPr>
                <w:rFonts w:ascii="宋体" w:hAnsi="宋体"/>
                <w:szCs w:val="21"/>
              </w:rPr>
            </w:pPr>
            <w:r>
              <w:rPr>
                <w:rFonts w:hint="eastAsia" w:ascii="宋体" w:hAnsi="宋体"/>
                <w:szCs w:val="21"/>
              </w:rPr>
              <w:t>技术部分</w:t>
            </w:r>
          </w:p>
        </w:tc>
        <w:tc>
          <w:tcPr>
            <w:tcW w:w="4854" w:type="dxa"/>
          </w:tcPr>
          <w:p>
            <w:pPr>
              <w:spacing w:line="360" w:lineRule="exact"/>
              <w:jc w:val="center"/>
              <w:rPr>
                <w:rFonts w:ascii="宋体" w:hAnsi="宋体"/>
                <w:szCs w:val="21"/>
              </w:rPr>
            </w:pPr>
            <w:r>
              <w:rPr>
                <w:rFonts w:hint="eastAsia" w:ascii="宋体" w:hAnsi="宋体"/>
                <w:szCs w:val="21"/>
              </w:rPr>
              <w:t>1.……</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2.……</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057" w:type="dxa"/>
            <w:vMerge w:val="continue"/>
            <w:vAlign w:val="center"/>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restart"/>
            <w:vAlign w:val="center"/>
          </w:tcPr>
          <w:p>
            <w:pPr>
              <w:spacing w:line="360" w:lineRule="exact"/>
              <w:jc w:val="center"/>
              <w:rPr>
                <w:rFonts w:ascii="宋体" w:hAnsi="宋体"/>
                <w:szCs w:val="21"/>
              </w:rPr>
            </w:pPr>
            <w:r>
              <w:rPr>
                <w:rFonts w:hint="eastAsia" w:ascii="宋体" w:hAnsi="宋体"/>
                <w:szCs w:val="21"/>
              </w:rPr>
              <w:t>商务部分</w:t>
            </w:r>
          </w:p>
        </w:tc>
        <w:tc>
          <w:tcPr>
            <w:tcW w:w="4854" w:type="dxa"/>
          </w:tcPr>
          <w:p>
            <w:pPr>
              <w:spacing w:line="360" w:lineRule="exact"/>
              <w:jc w:val="center"/>
              <w:rPr>
                <w:rFonts w:ascii="宋体" w:hAnsi="宋体"/>
                <w:szCs w:val="21"/>
              </w:rPr>
            </w:pPr>
            <w:r>
              <w:rPr>
                <w:rFonts w:hint="eastAsia" w:ascii="宋体" w:hAnsi="宋体"/>
                <w:szCs w:val="21"/>
              </w:rPr>
              <w:t>1.……</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continue"/>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2.……</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057" w:type="dxa"/>
            <w:vMerge w:val="continue"/>
          </w:tcPr>
          <w:p>
            <w:pPr>
              <w:spacing w:line="360" w:lineRule="exact"/>
              <w:jc w:val="center"/>
              <w:rPr>
                <w:rFonts w:ascii="宋体" w:hAnsi="宋体"/>
                <w:szCs w:val="21"/>
              </w:rPr>
            </w:pPr>
          </w:p>
        </w:tc>
        <w:tc>
          <w:tcPr>
            <w:tcW w:w="4854" w:type="dxa"/>
          </w:tcPr>
          <w:p>
            <w:pPr>
              <w:spacing w:line="360" w:lineRule="exact"/>
              <w:jc w:val="center"/>
              <w:rPr>
                <w:rFonts w:ascii="宋体" w:hAnsi="宋体"/>
                <w:szCs w:val="21"/>
              </w:rPr>
            </w:pPr>
            <w:r>
              <w:rPr>
                <w:rFonts w:hint="eastAsia" w:ascii="宋体" w:hAnsi="宋体"/>
                <w:szCs w:val="21"/>
              </w:rPr>
              <w:t>……</w:t>
            </w:r>
          </w:p>
        </w:tc>
        <w:tc>
          <w:tcPr>
            <w:tcW w:w="2169" w:type="dxa"/>
            <w:vAlign w:val="center"/>
          </w:tcPr>
          <w:p>
            <w:pPr>
              <w:spacing w:line="360" w:lineRule="exact"/>
              <w:jc w:val="center"/>
              <w:rPr>
                <w:rFonts w:ascii="宋体" w:hAnsi="宋体"/>
                <w:b/>
                <w:szCs w:val="21"/>
              </w:rPr>
            </w:pPr>
          </w:p>
        </w:tc>
        <w:tc>
          <w:tcPr>
            <w:tcW w:w="1472" w:type="dxa"/>
            <w:vAlign w:val="center"/>
          </w:tcPr>
          <w:p>
            <w:pPr>
              <w:spacing w:line="360" w:lineRule="exact"/>
              <w:jc w:val="center"/>
              <w:rPr>
                <w:rFonts w:ascii="宋体" w:hAnsi="宋体"/>
                <w:b/>
                <w:szCs w:val="21"/>
              </w:rPr>
            </w:pPr>
          </w:p>
        </w:tc>
      </w:tr>
    </w:tbl>
    <w:p>
      <w:pPr>
        <w:pStyle w:val="27"/>
        <w:spacing w:line="360" w:lineRule="auto"/>
        <w:ind w:firstLine="424" w:firstLineChars="201"/>
        <w:rPr>
          <w:rFonts w:hAnsi="宋体"/>
          <w:b/>
          <w:szCs w:val="21"/>
        </w:rPr>
      </w:pPr>
    </w:p>
    <w:p>
      <w:pPr>
        <w:pStyle w:val="27"/>
        <w:spacing w:line="360" w:lineRule="auto"/>
        <w:ind w:firstLine="424" w:firstLineChars="201"/>
        <w:rPr>
          <w:b/>
        </w:rPr>
      </w:pPr>
      <w:r>
        <w:rPr>
          <w:rFonts w:hint="eastAsia" w:hAnsi="宋体"/>
          <w:b/>
          <w:szCs w:val="21"/>
        </w:rPr>
        <w:t>注：请投标人按照招标文件规定的审查和评分内容，自上而下的顺序填写本表</w:t>
      </w:r>
      <w:r>
        <w:rPr>
          <w:rFonts w:hint="eastAsia"/>
          <w:b/>
          <w:szCs w:val="21"/>
        </w:rPr>
        <w:t>。因项目次序混乱而影响评标结果者，投标人自负其责。</w:t>
      </w:r>
    </w:p>
    <w:p>
      <w:pPr>
        <w:pStyle w:val="4"/>
        <w:jc w:val="center"/>
      </w:pPr>
    </w:p>
    <w:p/>
    <w:p/>
    <w:p/>
    <w:p/>
    <w:p/>
    <w:p/>
    <w:p/>
    <w:p/>
    <w:p/>
    <w:p/>
    <w:p>
      <w:pPr>
        <w:widowControl/>
        <w:jc w:val="left"/>
      </w:pPr>
      <w:r>
        <w:br w:type="page"/>
      </w:r>
    </w:p>
    <w:p/>
    <w:p>
      <w:pPr>
        <w:pStyle w:val="7"/>
        <w:numPr>
          <w:ilvl w:val="0"/>
          <w:numId w:val="0"/>
        </w:numPr>
        <w:tabs>
          <w:tab w:val="clear" w:pos="2111"/>
        </w:tabs>
        <w:spacing w:before="120" w:after="120"/>
        <w:ind w:left="-1" w:leftChars="-1" w:hanging="1"/>
        <w:jc w:val="center"/>
        <w:rPr>
          <w:rFonts w:asciiTheme="minorEastAsia" w:hAnsiTheme="minorEastAsia" w:eastAsiaTheme="minorEastAsia"/>
          <w:snapToGrid w:val="0"/>
          <w:kern w:val="0"/>
          <w:sz w:val="24"/>
        </w:rPr>
      </w:pPr>
      <w:bookmarkStart w:id="46" w:name="_Toc44691396"/>
      <w:bookmarkStart w:id="47" w:name="_Toc44690705"/>
      <w:bookmarkStart w:id="48" w:name="_Toc44690432"/>
      <w:bookmarkStart w:id="49" w:name="_Toc44691164"/>
      <w:r>
        <w:rPr>
          <w:rFonts w:hint="eastAsia" w:asciiTheme="minorEastAsia" w:hAnsiTheme="minorEastAsia" w:eastAsiaTheme="minorEastAsia"/>
          <w:sz w:val="24"/>
        </w:rPr>
        <w:t>格式1  投标人资格证明文件</w:t>
      </w:r>
      <w:bookmarkEnd w:id="46"/>
      <w:bookmarkEnd w:id="47"/>
      <w:bookmarkEnd w:id="48"/>
      <w:bookmarkEnd w:id="49"/>
    </w:p>
    <w:p>
      <w:pPr>
        <w:adjustRightInd w:val="0"/>
        <w:snapToGrid w:val="0"/>
        <w:spacing w:line="360" w:lineRule="auto"/>
        <w:rPr>
          <w:rFonts w:ascii="宋体" w:hAnsi="宋体"/>
          <w:bCs/>
          <w:snapToGrid w:val="0"/>
          <w:kern w:val="0"/>
          <w:szCs w:val="21"/>
        </w:rPr>
      </w:pPr>
    </w:p>
    <w:p>
      <w:pPr>
        <w:adjustRightInd w:val="0"/>
        <w:snapToGrid w:val="0"/>
        <w:spacing w:line="360" w:lineRule="auto"/>
        <w:ind w:firstLine="424" w:firstLineChars="202"/>
        <w:rPr>
          <w:rFonts w:ascii="宋体" w:hAnsi="宋体"/>
          <w:bCs/>
          <w:snapToGrid w:val="0"/>
          <w:kern w:val="0"/>
          <w:szCs w:val="21"/>
        </w:rPr>
      </w:pPr>
      <w:r>
        <w:rPr>
          <w:rFonts w:hint="eastAsia" w:ascii="宋体" w:hAnsi="宋体"/>
          <w:bCs/>
          <w:snapToGrid w:val="0"/>
          <w:kern w:val="0"/>
          <w:szCs w:val="21"/>
        </w:rPr>
        <w:t>1、</w:t>
      </w:r>
      <w:r>
        <w:rPr>
          <w:rFonts w:ascii="宋体" w:hAnsi="宋体"/>
          <w:bCs/>
          <w:snapToGrid w:val="0"/>
          <w:kern w:val="0"/>
          <w:szCs w:val="21"/>
        </w:rPr>
        <w:t>营业执照</w:t>
      </w:r>
      <w:r>
        <w:rPr>
          <w:rFonts w:hint="eastAsia" w:ascii="宋体" w:hAnsi="宋体"/>
          <w:bCs/>
          <w:snapToGrid w:val="0"/>
          <w:kern w:val="0"/>
          <w:szCs w:val="21"/>
        </w:rPr>
        <w:t>或法人证书</w:t>
      </w:r>
      <w:r>
        <w:rPr>
          <w:rFonts w:hint="eastAsia" w:hAnsi="宋体"/>
          <w:szCs w:val="21"/>
        </w:rPr>
        <w:t>等证明材料</w:t>
      </w:r>
      <w:r>
        <w:rPr>
          <w:rFonts w:hint="eastAsia" w:ascii="宋体" w:hAnsi="宋体"/>
          <w:bCs/>
          <w:snapToGrid w:val="0"/>
          <w:kern w:val="0"/>
          <w:szCs w:val="21"/>
        </w:rPr>
        <w:t>（复印件或扫描件）</w:t>
      </w:r>
    </w:p>
    <w:p>
      <w:pPr>
        <w:adjustRightInd w:val="0"/>
        <w:snapToGrid w:val="0"/>
        <w:spacing w:line="360" w:lineRule="auto"/>
        <w:ind w:firstLine="424" w:firstLineChars="202"/>
        <w:rPr>
          <w:rFonts w:ascii="宋体" w:hAnsi="宋体"/>
        </w:rPr>
      </w:pPr>
      <w:r>
        <w:rPr>
          <w:rFonts w:hint="eastAsia" w:ascii="宋体" w:hAnsi="宋体"/>
          <w:bCs/>
          <w:snapToGrid w:val="0"/>
          <w:kern w:val="0"/>
          <w:szCs w:val="21"/>
        </w:rPr>
        <w:t>2、</w:t>
      </w:r>
      <w:r>
        <w:rPr>
          <w:rFonts w:hint="eastAsia"/>
          <w:szCs w:val="21"/>
        </w:rPr>
        <w:t>政府采购投标及履约承诺函</w:t>
      </w:r>
    </w:p>
    <w:p>
      <w:pPr>
        <w:adjustRightInd w:val="0"/>
        <w:snapToGrid w:val="0"/>
        <w:spacing w:line="360" w:lineRule="auto"/>
        <w:ind w:firstLine="424" w:firstLineChars="202"/>
        <w:rPr>
          <w:rFonts w:ascii="宋体" w:hAnsi="宋体"/>
        </w:rPr>
      </w:pPr>
      <w:r>
        <w:rPr>
          <w:rFonts w:hint="eastAsia" w:ascii="宋体" w:hAnsi="宋体"/>
        </w:rPr>
        <w:t>3、股东构成审查表</w:t>
      </w:r>
    </w:p>
    <w:p>
      <w:pPr>
        <w:adjustRightInd w:val="0"/>
        <w:snapToGrid w:val="0"/>
        <w:spacing w:line="360" w:lineRule="auto"/>
        <w:ind w:firstLine="424" w:firstLineChars="202"/>
        <w:rPr>
          <w:rFonts w:ascii="宋体" w:hAnsi="宋体"/>
        </w:rPr>
      </w:pPr>
      <w:r>
        <w:rPr>
          <w:rFonts w:hint="eastAsia" w:ascii="宋体" w:hAnsi="宋体"/>
        </w:rPr>
        <w:t>4、其它资格证明材料（如有，按第一章投标邀请“申请人的资格要求”提供）</w:t>
      </w:r>
    </w:p>
    <w:p>
      <w:pPr>
        <w:adjustRightInd w:val="0"/>
        <w:snapToGrid w:val="0"/>
        <w:spacing w:line="360" w:lineRule="auto"/>
        <w:rPr>
          <w:rFonts w:ascii="宋体" w:hAnsi="宋体"/>
          <w:bCs/>
          <w:snapToGrid w:val="0"/>
          <w:kern w:val="0"/>
        </w:rPr>
      </w:pPr>
    </w:p>
    <w:p>
      <w:pPr>
        <w:adjustRightInd w:val="0"/>
        <w:snapToGrid w:val="0"/>
        <w:spacing w:line="360" w:lineRule="auto"/>
        <w:ind w:firstLine="424" w:firstLineChars="201"/>
        <w:rPr>
          <w:rFonts w:ascii="楷体_GB2312" w:eastAsia="楷体_GB2312"/>
          <w:b/>
          <w:bCs/>
          <w:snapToGrid w:val="0"/>
          <w:kern w:val="0"/>
          <w:szCs w:val="21"/>
        </w:rPr>
      </w:pPr>
      <w:r>
        <w:rPr>
          <w:rFonts w:hint="eastAsia" w:ascii="楷体_GB2312" w:eastAsia="楷体_GB2312"/>
          <w:b/>
          <w:bCs/>
          <w:snapToGrid w:val="0"/>
          <w:kern w:val="0"/>
          <w:szCs w:val="21"/>
        </w:rPr>
        <w:t>注：投标人提供的以上资料若为复印件或扫描件需加盖公章</w:t>
      </w:r>
    </w:p>
    <w:p>
      <w:pPr>
        <w:adjustRightInd w:val="0"/>
        <w:snapToGrid w:val="0"/>
        <w:spacing w:line="300" w:lineRule="auto"/>
        <w:jc w:val="right"/>
        <w:rPr>
          <w:snapToGrid w:val="0"/>
          <w:kern w:val="0"/>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adjustRightInd w:val="0"/>
        <w:snapToGrid w:val="0"/>
        <w:spacing w:line="300" w:lineRule="auto"/>
        <w:jc w:val="center"/>
        <w:rPr>
          <w:b/>
          <w:snapToGrid w:val="0"/>
          <w:sz w:val="32"/>
          <w:szCs w:val="32"/>
        </w:rPr>
      </w:pPr>
    </w:p>
    <w:p>
      <w:pPr>
        <w:widowControl/>
        <w:jc w:val="left"/>
        <w:rPr>
          <w:b/>
          <w:snapToGrid w:val="0"/>
          <w:sz w:val="32"/>
          <w:szCs w:val="32"/>
        </w:rPr>
      </w:pPr>
      <w:r>
        <w:rPr>
          <w:b/>
          <w:snapToGrid w:val="0"/>
          <w:sz w:val="32"/>
          <w:szCs w:val="32"/>
        </w:rPr>
        <w:br w:type="page"/>
      </w:r>
    </w:p>
    <w:p>
      <w:pPr>
        <w:adjustRightInd w:val="0"/>
        <w:snapToGrid w:val="0"/>
        <w:spacing w:line="300" w:lineRule="auto"/>
        <w:jc w:val="center"/>
        <w:rPr>
          <w:b/>
          <w:snapToGrid w:val="0"/>
          <w:sz w:val="32"/>
          <w:szCs w:val="32"/>
        </w:rPr>
      </w:pPr>
    </w:p>
    <w:p>
      <w:pPr>
        <w:adjustRightInd w:val="0"/>
        <w:spacing w:line="300" w:lineRule="auto"/>
        <w:ind w:hanging="2"/>
        <w:jc w:val="center"/>
      </w:pPr>
      <w:r>
        <w:rPr>
          <w:rFonts w:hint="eastAsia"/>
          <w:b/>
          <w:snapToGrid w:val="0"/>
          <w:kern w:val="0"/>
          <w:sz w:val="28"/>
        </w:rPr>
        <w:t>政府采购投标及履约承诺函</w:t>
      </w:r>
    </w:p>
    <w:p>
      <w:pPr>
        <w:spacing w:line="400" w:lineRule="exact"/>
        <w:rPr>
          <w:rFonts w:ascii="宋体" w:hAnsi="宋体" w:cs="Courier New"/>
          <w:snapToGrid w:val="0"/>
          <w:szCs w:val="18"/>
        </w:rPr>
      </w:pPr>
      <w:r>
        <w:rPr>
          <w:rFonts w:hint="eastAsia" w:ascii="宋体" w:hAnsi="宋体" w:cs="Courier New"/>
          <w:snapToGrid w:val="0"/>
          <w:szCs w:val="18"/>
        </w:rPr>
        <w:t>深圳市中正招标有限公司：</w:t>
      </w:r>
    </w:p>
    <w:p>
      <w:pPr>
        <w:spacing w:line="400" w:lineRule="exact"/>
        <w:ind w:firstLine="420" w:firstLineChars="200"/>
        <w:rPr>
          <w:rFonts w:ascii="宋体" w:hAnsi="宋体" w:cs="Courier New"/>
          <w:snapToGrid w:val="0"/>
          <w:szCs w:val="18"/>
        </w:rPr>
      </w:pPr>
      <w:r>
        <w:rPr>
          <w:rFonts w:hint="eastAsia" w:ascii="宋体" w:hAnsi="宋体" w:cs="Courier New"/>
          <w:snapToGrid w:val="0"/>
          <w:szCs w:val="18"/>
        </w:rPr>
        <w:t>我单位承诺：</w:t>
      </w:r>
    </w:p>
    <w:p>
      <w:pPr>
        <w:spacing w:line="400" w:lineRule="exact"/>
        <w:ind w:firstLine="420" w:firstLineChars="200"/>
        <w:rPr>
          <w:rFonts w:ascii="宋体" w:hAnsi="宋体"/>
          <w:szCs w:val="21"/>
        </w:rPr>
      </w:pPr>
      <w:r>
        <w:rPr>
          <w:rFonts w:hint="eastAsia" w:ascii="宋体" w:hAnsi="宋体"/>
          <w:szCs w:val="21"/>
        </w:rPr>
        <w:t>1.我单位满足《中华人民共和国政府采购法》第二十二条规定的条件。</w:t>
      </w:r>
    </w:p>
    <w:p>
      <w:pPr>
        <w:spacing w:line="400" w:lineRule="exact"/>
        <w:ind w:firstLine="420" w:firstLineChars="200"/>
        <w:rPr>
          <w:rFonts w:ascii="宋体" w:hAnsi="宋体"/>
          <w:szCs w:val="21"/>
        </w:rPr>
      </w:pPr>
      <w:r>
        <w:rPr>
          <w:rFonts w:hint="eastAsia" w:ascii="宋体" w:hAnsi="宋体"/>
          <w:szCs w:val="21"/>
        </w:rPr>
        <w:t>2.我单位参与本项目投标前三年内，在经营活动中没有重大违法记录。</w:t>
      </w:r>
    </w:p>
    <w:p>
      <w:pPr>
        <w:spacing w:line="400" w:lineRule="exact"/>
        <w:ind w:firstLine="420" w:firstLineChars="200"/>
        <w:rPr>
          <w:rFonts w:ascii="宋体" w:hAnsi="宋体"/>
          <w:szCs w:val="21"/>
        </w:rPr>
      </w:pPr>
      <w:r>
        <w:rPr>
          <w:rFonts w:hint="eastAsia" w:ascii="宋体" w:hAnsi="宋体"/>
          <w:szCs w:val="21"/>
        </w:rPr>
        <w:t>3.我单位参与本项目</w:t>
      </w:r>
      <w:r>
        <w:rPr>
          <w:rFonts w:hint="eastAsia"/>
        </w:rPr>
        <w:t>政府采购活动时不存在被有关部门禁止参与政府采购活动且在有效期内的情况；</w:t>
      </w:r>
      <w:r>
        <w:rPr>
          <w:rFonts w:hint="eastAsia" w:ascii="宋体" w:hAnsi="宋体" w:cs="Courier New"/>
          <w:snapToGrid w:val="0"/>
          <w:szCs w:val="18"/>
        </w:rPr>
        <w:t>与其他投标供应商不存在“单位负责人为同一人或者存在直接控股、管理关系”的情况；</w:t>
      </w:r>
      <w:r>
        <w:rPr>
          <w:rFonts w:hint="eastAsia" w:asciiTheme="minorEastAsia" w:hAnsiTheme="minorEastAsia" w:eastAsiaTheme="minorEastAsia"/>
          <w:snapToGrid w:val="0"/>
        </w:rPr>
        <w:t>除单一来源采购项目外，为采购项目提供整体设计、规范编制或者项目管理、监理、检测等服务的供应商，不得再参加该采购项目的其他采购活动</w:t>
      </w:r>
      <w:r>
        <w:rPr>
          <w:rFonts w:hint="eastAsia"/>
        </w:rPr>
        <w:t>。</w:t>
      </w:r>
    </w:p>
    <w:p>
      <w:pPr>
        <w:spacing w:line="400" w:lineRule="exact"/>
        <w:ind w:firstLine="420" w:firstLineChars="200"/>
        <w:rPr>
          <w:rFonts w:ascii="宋体" w:hAnsi="宋体"/>
          <w:szCs w:val="21"/>
        </w:rPr>
      </w:pPr>
      <w:r>
        <w:rPr>
          <w:rFonts w:hint="eastAsia" w:ascii="宋体" w:hAnsi="宋体"/>
          <w:szCs w:val="21"/>
        </w:rPr>
        <w:t>4.我单位承诺不非法转包或分包。</w:t>
      </w:r>
    </w:p>
    <w:p>
      <w:pPr>
        <w:spacing w:line="400" w:lineRule="exact"/>
        <w:ind w:firstLine="420" w:firstLineChars="200"/>
        <w:rPr>
          <w:rFonts w:ascii="宋体" w:hAnsi="宋体"/>
          <w:szCs w:val="21"/>
        </w:rPr>
      </w:pPr>
      <w:r>
        <w:rPr>
          <w:rFonts w:hint="eastAsia" w:ascii="宋体" w:hAnsi="宋体"/>
          <w:szCs w:val="21"/>
        </w:rPr>
        <w:t>5.我单位本招标项目所提供的货物或服务未侵犯知识产权。</w:t>
      </w:r>
    </w:p>
    <w:p>
      <w:pPr>
        <w:spacing w:line="400" w:lineRule="exact"/>
        <w:ind w:firstLine="420" w:firstLineChars="200"/>
        <w:rPr>
          <w:rFonts w:ascii="宋体" w:hAnsi="宋体"/>
          <w:szCs w:val="21"/>
        </w:rPr>
      </w:pPr>
      <w:r>
        <w:rPr>
          <w:rFonts w:hint="eastAsia" w:ascii="宋体" w:hAnsi="宋体"/>
          <w:szCs w:val="21"/>
        </w:rPr>
        <w:t>6.我单位参与该项目投标，严格遵循公平竞争的原则，不恶意串通，不妨碍其他投标人的竞争行为，不损害采购人或者其他投标人的合法权益。我单位已清楚，如违反上述要求，将作投标无效处理。</w:t>
      </w:r>
    </w:p>
    <w:p>
      <w:pPr>
        <w:spacing w:line="400" w:lineRule="exact"/>
        <w:ind w:firstLine="420" w:firstLineChars="200"/>
        <w:rPr>
          <w:rFonts w:ascii="宋体" w:hAnsi="宋体"/>
          <w:szCs w:val="21"/>
        </w:rPr>
      </w:pPr>
      <w:r>
        <w:rPr>
          <w:rFonts w:hint="eastAsia" w:ascii="宋体" w:hAnsi="宋体"/>
          <w:szCs w:val="21"/>
        </w:rPr>
        <w:t>7.我单位如果中标，做到守信，不偷工减料，依照本项目招标文件需求内容、签署的采购合同及本单位在投标中所作的一切承诺履约。</w:t>
      </w:r>
    </w:p>
    <w:p>
      <w:pPr>
        <w:spacing w:line="400" w:lineRule="exact"/>
        <w:ind w:firstLine="420" w:firstLineChars="200"/>
        <w:rPr>
          <w:rFonts w:ascii="宋体" w:hAnsi="宋体"/>
          <w:szCs w:val="21"/>
        </w:rPr>
      </w:pPr>
      <w:r>
        <w:rPr>
          <w:rFonts w:hint="eastAsia" w:ascii="宋体" w:hAnsi="宋体"/>
          <w:szCs w:val="21"/>
        </w:rPr>
        <w:t>8.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spacing w:line="400" w:lineRule="exact"/>
        <w:ind w:firstLine="420" w:firstLineChars="200"/>
        <w:rPr>
          <w:rFonts w:ascii="宋体" w:hAnsi="宋体"/>
          <w:szCs w:val="21"/>
        </w:rPr>
      </w:pPr>
      <w:r>
        <w:rPr>
          <w:rFonts w:hint="eastAsia" w:ascii="宋体" w:hAnsi="宋体"/>
          <w:szCs w:val="21"/>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spacing w:line="400" w:lineRule="exact"/>
        <w:ind w:firstLine="420" w:firstLineChars="200"/>
        <w:rPr>
          <w:rFonts w:ascii="宋体" w:hAnsi="宋体"/>
          <w:szCs w:val="21"/>
        </w:rPr>
      </w:pPr>
      <w:r>
        <w:rPr>
          <w:rFonts w:hint="eastAsia" w:ascii="宋体" w:hAnsi="宋体"/>
          <w:szCs w:val="21"/>
        </w:rPr>
        <w:t>10.我单位获得中标、成交资格后无正当理由放弃中标、成交资格的，自愿接受政府采购主管部门将我单位放弃中标、成交资格的信息公示在深圳市政府采购监管网，公示期一年，一切不利后果我单位均自愿承担。</w:t>
      </w:r>
    </w:p>
    <w:p>
      <w:pPr>
        <w:spacing w:line="400" w:lineRule="exact"/>
        <w:ind w:firstLine="420" w:firstLineChars="200"/>
        <w:rPr>
          <w:rFonts w:ascii="宋体" w:hAnsi="宋体"/>
          <w:szCs w:val="21"/>
        </w:rPr>
      </w:pPr>
      <w:r>
        <w:rPr>
          <w:rFonts w:hint="eastAsia" w:ascii="宋体" w:hAnsi="宋体"/>
          <w:szCs w:val="21"/>
        </w:rPr>
        <w:t>以上承诺，如有违反，愿依照相关法律法规处理，并承担由此给采购人带来的损失。</w:t>
      </w:r>
    </w:p>
    <w:p>
      <w:pPr>
        <w:spacing w:line="360" w:lineRule="auto"/>
        <w:ind w:firstLine="600"/>
        <w:rPr>
          <w:rFonts w:cs="Courier New"/>
          <w:snapToGrid w:val="0"/>
          <w:szCs w:val="18"/>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ind w:right="420"/>
        <w:rPr>
          <w:snapToGrid w:val="0"/>
          <w:kern w:val="0"/>
        </w:rPr>
      </w:pPr>
    </w:p>
    <w:p>
      <w:pPr>
        <w:adjustRightInd w:val="0"/>
        <w:snapToGrid w:val="0"/>
        <w:spacing w:line="360" w:lineRule="auto"/>
        <w:ind w:firstLine="600"/>
        <w:jc w:val="right"/>
      </w:pPr>
      <w:r>
        <w:rPr>
          <w:rFonts w:hint="eastAsia"/>
        </w:rPr>
        <w:t>年     月    日</w:t>
      </w:r>
      <w:r>
        <w:br w:type="page"/>
      </w:r>
    </w:p>
    <w:p>
      <w:pPr>
        <w:adjustRightInd w:val="0"/>
        <w:snapToGrid w:val="0"/>
        <w:spacing w:line="360" w:lineRule="auto"/>
        <w:ind w:firstLine="600"/>
        <w:jc w:val="right"/>
      </w:pPr>
    </w:p>
    <w:p>
      <w:pPr>
        <w:pStyle w:val="4"/>
        <w:spacing w:before="0" w:after="0" w:line="360" w:lineRule="auto"/>
        <w:jc w:val="center"/>
        <w:rPr>
          <w:rFonts w:asciiTheme="minorEastAsia" w:hAnsiTheme="minorEastAsia" w:eastAsiaTheme="minorEastAsia"/>
          <w:kern w:val="0"/>
          <w:sz w:val="28"/>
          <w:szCs w:val="28"/>
        </w:rPr>
      </w:pPr>
      <w:bookmarkStart w:id="50" w:name="_Toc73610159"/>
      <w:r>
        <w:rPr>
          <w:rFonts w:hint="eastAsia" w:asciiTheme="minorEastAsia" w:hAnsiTheme="minorEastAsia" w:eastAsiaTheme="minorEastAsia"/>
          <w:kern w:val="0"/>
          <w:sz w:val="28"/>
          <w:szCs w:val="28"/>
        </w:rPr>
        <w:t>股东构成审查表</w:t>
      </w:r>
      <w:bookmarkEnd w:id="50"/>
    </w:p>
    <w:p/>
    <w:p>
      <w:pPr>
        <w:spacing w:line="360" w:lineRule="auto"/>
        <w:rPr>
          <w:rFonts w:asciiTheme="minorEastAsia" w:hAnsiTheme="minorEastAsia" w:eastAsiaTheme="minorEastAsia"/>
          <w:szCs w:val="21"/>
          <w:u w:val="single"/>
        </w:rPr>
      </w:pPr>
      <w:r>
        <w:rPr>
          <w:rFonts w:hint="eastAsia" w:asciiTheme="minorEastAsia" w:hAnsiTheme="minorEastAsia" w:eastAsiaTheme="minorEastAsia"/>
          <w:snapToGrid w:val="0"/>
          <w:szCs w:val="21"/>
        </w:rPr>
        <w:t>项目</w:t>
      </w:r>
      <w:r>
        <w:rPr>
          <w:rFonts w:hint="eastAsia" w:asciiTheme="minorEastAsia" w:hAnsiTheme="minorEastAsia" w:eastAsiaTheme="minorEastAsia"/>
          <w:szCs w:val="21"/>
        </w:rPr>
        <w:t>名称：</w:t>
      </w:r>
      <w:r>
        <w:rPr>
          <w:rFonts w:hint="eastAsia" w:asciiTheme="minorEastAsia" w:hAnsiTheme="minorEastAsia" w:eastAsiaTheme="minorEastAsia"/>
          <w:szCs w:val="21"/>
          <w:u w:val="single"/>
        </w:rPr>
        <w:t xml:space="preserve">                </w:t>
      </w:r>
    </w:p>
    <w:p>
      <w:pPr>
        <w:spacing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项目编号：</w:t>
      </w:r>
      <w:r>
        <w:rPr>
          <w:rFonts w:hint="eastAsia" w:asciiTheme="minorEastAsia" w:hAnsiTheme="minorEastAsia" w:eastAsiaTheme="minorEastAsia"/>
          <w:szCs w:val="21"/>
          <w:u w:val="single"/>
        </w:rPr>
        <w:t xml:space="preserve">                </w:t>
      </w:r>
    </w:p>
    <w:tbl>
      <w:tblPr>
        <w:tblStyle w:val="51"/>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244"/>
        <w:gridCol w:w="1748"/>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01"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5244"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投标人股东构成审查内容</w:t>
            </w:r>
          </w:p>
        </w:tc>
        <w:tc>
          <w:tcPr>
            <w:tcW w:w="1748"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投标人响应情况</w:t>
            </w:r>
          </w:p>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（是或否）</w:t>
            </w:r>
          </w:p>
        </w:tc>
        <w:tc>
          <w:tcPr>
            <w:tcW w:w="2222" w:type="dxa"/>
            <w:vAlign w:val="center"/>
          </w:tcPr>
          <w:p>
            <w:pPr>
              <w:spacing w:line="360" w:lineRule="auto"/>
              <w:jc w:val="center"/>
              <w:rPr>
                <w:rFonts w:asciiTheme="minorEastAsia" w:hAnsiTheme="minorEastAsia" w:eastAsiaTheme="minorEastAsia"/>
                <w:b/>
                <w:szCs w:val="21"/>
              </w:rPr>
            </w:pPr>
            <w:r>
              <w:rPr>
                <w:rFonts w:hint="eastAsia" w:asciiTheme="minorEastAsia" w:hAnsiTheme="minorEastAsia" w:eastAsiaTheme="minorEastAsia"/>
                <w:b/>
                <w:szCs w:val="21"/>
              </w:rPr>
              <w:t>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10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5244"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是否存在“与投标供应商单位负责人（法定代表人）为同一人的不同单位”</w:t>
            </w:r>
          </w:p>
        </w:tc>
        <w:tc>
          <w:tcPr>
            <w:tcW w:w="1748" w:type="dxa"/>
            <w:vAlign w:val="center"/>
          </w:tcPr>
          <w:p>
            <w:pPr>
              <w:spacing w:line="360" w:lineRule="auto"/>
              <w:jc w:val="center"/>
              <w:rPr>
                <w:rFonts w:asciiTheme="minorEastAsia" w:hAnsiTheme="minorEastAsia" w:eastAsiaTheme="minorEastAsia"/>
                <w:szCs w:val="21"/>
              </w:rPr>
            </w:pPr>
          </w:p>
        </w:tc>
        <w:tc>
          <w:tcPr>
            <w:tcW w:w="2222" w:type="dxa"/>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10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5244"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是否存在“与投标供应商存在管理关系的不同单位”</w:t>
            </w:r>
          </w:p>
        </w:tc>
        <w:tc>
          <w:tcPr>
            <w:tcW w:w="1748" w:type="dxa"/>
            <w:vAlign w:val="center"/>
          </w:tcPr>
          <w:p>
            <w:pPr>
              <w:spacing w:line="360" w:lineRule="auto"/>
              <w:jc w:val="center"/>
              <w:rPr>
                <w:rFonts w:asciiTheme="minorEastAsia" w:hAnsiTheme="minorEastAsia" w:eastAsiaTheme="minorEastAsia"/>
                <w:szCs w:val="21"/>
              </w:rPr>
            </w:pPr>
          </w:p>
        </w:tc>
        <w:tc>
          <w:tcPr>
            <w:tcW w:w="2222" w:type="dxa"/>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10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5244"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投标供应商是否有控股的子公司</w:t>
            </w:r>
          </w:p>
        </w:tc>
        <w:tc>
          <w:tcPr>
            <w:tcW w:w="1748" w:type="dxa"/>
            <w:vAlign w:val="center"/>
          </w:tcPr>
          <w:p>
            <w:pPr>
              <w:spacing w:line="360" w:lineRule="auto"/>
              <w:jc w:val="center"/>
              <w:rPr>
                <w:rFonts w:asciiTheme="minorEastAsia" w:hAnsiTheme="minorEastAsia" w:eastAsiaTheme="minorEastAsia"/>
                <w:szCs w:val="21"/>
              </w:rPr>
            </w:pPr>
          </w:p>
        </w:tc>
        <w:tc>
          <w:tcPr>
            <w:tcW w:w="2222" w:type="dxa"/>
            <w:vAlign w:val="center"/>
          </w:tcPr>
          <w:p>
            <w:pPr>
              <w:spacing w:line="360" w:lineRule="auto"/>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10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5244" w:type="dxa"/>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股东情况：控股投标供应商的股东名单</w:t>
            </w:r>
          </w:p>
        </w:tc>
        <w:tc>
          <w:tcPr>
            <w:tcW w:w="1748"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w:t>
            </w:r>
          </w:p>
        </w:tc>
        <w:tc>
          <w:tcPr>
            <w:tcW w:w="2222" w:type="dxa"/>
            <w:vAlign w:val="center"/>
          </w:tcPr>
          <w:p>
            <w:pPr>
              <w:spacing w:line="360" w:lineRule="auto"/>
              <w:jc w:val="center"/>
              <w:rPr>
                <w:rFonts w:asciiTheme="minorEastAsia" w:hAnsiTheme="minorEastAsia" w:eastAsiaTheme="minorEastAsia"/>
                <w:szCs w:val="21"/>
              </w:rPr>
            </w:pPr>
          </w:p>
        </w:tc>
      </w:tr>
    </w:tbl>
    <w:p>
      <w:pPr>
        <w:spacing w:line="360" w:lineRule="auto"/>
        <w:rPr>
          <w:rFonts w:asciiTheme="minorEastAsia" w:hAnsiTheme="minorEastAsia" w:eastAsiaTheme="minorEastAsia"/>
          <w:b/>
          <w:color w:val="FF0000"/>
          <w:szCs w:val="21"/>
        </w:rPr>
      </w:pPr>
      <w:r>
        <w:rPr>
          <w:rFonts w:hint="eastAsia" w:asciiTheme="minorEastAsia" w:hAnsiTheme="minorEastAsia" w:eastAsiaTheme="minorEastAsia"/>
          <w:b/>
          <w:color w:val="FF0000"/>
          <w:szCs w:val="21"/>
        </w:rPr>
        <w:t>注：</w:t>
      </w:r>
    </w:p>
    <w:p>
      <w:pPr>
        <w:spacing w:line="360" w:lineRule="auto"/>
        <w:rPr>
          <w:rFonts w:asciiTheme="minorEastAsia" w:hAnsiTheme="minorEastAsia" w:eastAsiaTheme="minorEastAsia"/>
          <w:b/>
          <w:color w:val="FF0000"/>
          <w:szCs w:val="21"/>
        </w:rPr>
      </w:pPr>
      <w:r>
        <w:rPr>
          <w:rFonts w:hint="eastAsia" w:asciiTheme="minorEastAsia" w:hAnsiTheme="minorEastAsia" w:eastAsiaTheme="minorEastAsia"/>
          <w:b/>
          <w:color w:val="FF0000"/>
          <w:szCs w:val="21"/>
        </w:rPr>
        <w:t>1、响应情况为“是”，需在“名单”栏中提供相应的单位、子公司和股东的名单；响应情况为“否”，在“名单”栏填写“无”；第4项“股东情况”无需填写响应情况，仅需列明股东名单即可（如有）。</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2、管理关系是指：投标供应商与特定企业之间因通过间接控股、投资关系、协议或者其他安排，存在实际管理关系。</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控股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pPr>
        <w:spacing w:line="360" w:lineRule="auto"/>
        <w:rPr>
          <w:rFonts w:ascii="仿宋_GB2312" w:eastAsia="仿宋_GB2312" w:hAnsiTheme="minorEastAsia"/>
          <w:b/>
          <w:color w:val="FF0000"/>
          <w:sz w:val="24"/>
        </w:rPr>
      </w:pPr>
      <w:r>
        <w:rPr>
          <w:rFonts w:hint="eastAsia" w:ascii="仿宋_GB2312" w:eastAsia="仿宋_GB2312" w:hAnsiTheme="minorEastAsia"/>
          <w:b/>
          <w:color w:val="FF0000"/>
          <w:sz w:val="24"/>
        </w:rPr>
        <w:t>根据《中华人民共和国政府采购法实施条例》第十八条规定：“单位负责人为同一人或者存在直接控股、管理关系的不同供应商，不得参加同一合同项下的政府采购活动。”</w:t>
      </w:r>
    </w:p>
    <w:p>
      <w:pPr>
        <w:spacing w:line="300" w:lineRule="auto"/>
        <w:rPr>
          <w:rFonts w:asciiTheme="minorEastAsia" w:hAnsiTheme="minorEastAsia" w:eastAsiaTheme="minorEastAsia"/>
          <w:szCs w:val="21"/>
        </w:rPr>
      </w:pPr>
    </w:p>
    <w:p>
      <w:pPr>
        <w:spacing w:line="300" w:lineRule="auto"/>
        <w:rPr>
          <w:rFonts w:asciiTheme="minorEastAsia" w:hAnsiTheme="minorEastAsia" w:eastAsiaTheme="minorEastAsia"/>
          <w:snapToGrid w:val="0"/>
          <w:szCs w:val="21"/>
        </w:rPr>
      </w:pPr>
      <w:r>
        <w:rPr>
          <w:rFonts w:hint="eastAsia" w:asciiTheme="minorEastAsia" w:hAnsiTheme="minorEastAsia" w:eastAsiaTheme="minorEastAsia"/>
          <w:snapToGrid w:val="0"/>
          <w:szCs w:val="21"/>
        </w:rPr>
        <w:t>投标单位：（盖章）</w:t>
      </w:r>
    </w:p>
    <w:p>
      <w:pPr>
        <w:spacing w:line="300" w:lineRule="auto"/>
        <w:rPr>
          <w:rFonts w:asciiTheme="minorEastAsia" w:hAnsiTheme="minorEastAsia" w:eastAsiaTheme="minorEastAsia"/>
          <w:snapToGrid w:val="0"/>
          <w:szCs w:val="21"/>
        </w:rPr>
      </w:pPr>
    </w:p>
    <w:p>
      <w:pPr>
        <w:spacing w:line="300" w:lineRule="auto"/>
        <w:rPr>
          <w:rFonts w:asciiTheme="minorEastAsia" w:hAnsiTheme="minorEastAsia" w:eastAsiaTheme="minorEastAsia"/>
          <w:snapToGrid w:val="0"/>
          <w:szCs w:val="21"/>
        </w:rPr>
      </w:pPr>
    </w:p>
    <w:p>
      <w:pPr>
        <w:spacing w:line="300" w:lineRule="auto"/>
        <w:rPr>
          <w:rFonts w:asciiTheme="minorEastAsia" w:hAnsiTheme="minorEastAsia" w:eastAsiaTheme="minorEastAsia"/>
          <w:snapToGrid w:val="0"/>
          <w:szCs w:val="21"/>
        </w:rPr>
      </w:pPr>
      <w:r>
        <w:rPr>
          <w:rFonts w:hint="eastAsia" w:asciiTheme="minorEastAsia" w:hAnsiTheme="minorEastAsia" w:eastAsiaTheme="minorEastAsia"/>
          <w:snapToGrid w:val="0"/>
          <w:szCs w:val="21"/>
        </w:rPr>
        <w:t>授权代表或法定代表人：（签字）</w:t>
      </w:r>
    </w:p>
    <w:p>
      <w:pPr>
        <w:spacing w:line="360" w:lineRule="auto"/>
        <w:ind w:firstLine="600"/>
        <w:jc w:val="right"/>
        <w:rPr>
          <w:b/>
          <w:snapToGrid w:val="0"/>
          <w:sz w:val="32"/>
          <w:szCs w:val="32"/>
        </w:rPr>
      </w:pPr>
      <w:r>
        <w:rPr>
          <w:rFonts w:hint="eastAsia" w:asciiTheme="minorEastAsia" w:hAnsiTheme="minorEastAsia" w:eastAsiaTheme="minorEastAsia"/>
          <w:szCs w:val="21"/>
        </w:rPr>
        <w:t>年     月    日</w:t>
      </w:r>
      <w:r>
        <w:rPr>
          <w:b/>
          <w:snapToGrid w:val="0"/>
          <w:sz w:val="32"/>
          <w:szCs w:val="32"/>
        </w:rPr>
        <w:br w:type="page"/>
      </w:r>
    </w:p>
    <w:p>
      <w:pPr>
        <w:adjustRightInd w:val="0"/>
        <w:snapToGrid w:val="0"/>
        <w:spacing w:line="300" w:lineRule="auto"/>
        <w:jc w:val="center"/>
        <w:rPr>
          <w:b/>
          <w:snapToGrid w:val="0"/>
          <w:sz w:val="32"/>
          <w:szCs w:val="32"/>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napToGrid w:val="0"/>
          <w:kern w:val="0"/>
          <w:sz w:val="24"/>
        </w:rPr>
      </w:pPr>
      <w:r>
        <w:rPr>
          <w:rFonts w:hint="eastAsia" w:asciiTheme="minorEastAsia" w:hAnsiTheme="minorEastAsia" w:eastAsiaTheme="minorEastAsia"/>
          <w:sz w:val="24"/>
        </w:rPr>
        <w:t>格式2  法定代表人证明书及授权委托书</w:t>
      </w:r>
    </w:p>
    <w:p>
      <w:pPr>
        <w:adjustRightInd w:val="0"/>
        <w:snapToGrid w:val="0"/>
        <w:spacing w:line="300" w:lineRule="auto"/>
        <w:jc w:val="center"/>
        <w:rPr>
          <w:b/>
          <w:snapToGrid w:val="0"/>
          <w:sz w:val="32"/>
          <w:szCs w:val="32"/>
        </w:rPr>
      </w:pPr>
    </w:p>
    <w:p>
      <w:pPr>
        <w:tabs>
          <w:tab w:val="left" w:pos="450"/>
        </w:tabs>
        <w:jc w:val="center"/>
        <w:rPr>
          <w:rFonts w:ascii="宋体" w:hAnsi="宋体"/>
          <w:b/>
          <w:sz w:val="28"/>
          <w:szCs w:val="28"/>
        </w:rPr>
      </w:pPr>
      <w:r>
        <w:rPr>
          <w:rFonts w:hint="eastAsia" w:ascii="宋体" w:hAnsi="宋体"/>
          <w:b/>
          <w:sz w:val="28"/>
          <w:szCs w:val="28"/>
        </w:rPr>
        <w:t>法定代表人证明书（参考）</w:t>
      </w:r>
    </w:p>
    <w:p>
      <w:pPr>
        <w:spacing w:line="400" w:lineRule="exact"/>
        <w:rPr>
          <w:rFonts w:ascii="宋体" w:hAnsi="宋体"/>
          <w:bCs/>
          <w:sz w:val="28"/>
        </w:rPr>
      </w:pPr>
    </w:p>
    <w:p>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ascii="宋体" w:hAnsi="宋体"/>
          <w:u w:val="single"/>
        </w:rPr>
        <w:t xml:space="preserve">         </w:t>
      </w:r>
      <w:r>
        <w:rPr>
          <w:rFonts w:hint="eastAsia" w:ascii="宋体" w:hAnsi="宋体"/>
        </w:rPr>
        <w:t>职务，为法定代表人，特此证明。</w:t>
      </w:r>
    </w:p>
    <w:p>
      <w:pPr>
        <w:spacing w:line="480" w:lineRule="auto"/>
        <w:ind w:firstLine="420" w:firstLineChars="200"/>
        <w:rPr>
          <w:rFonts w:ascii="宋体" w:hAnsi="宋体"/>
        </w:rPr>
      </w:pPr>
      <w:r>
        <w:rPr>
          <w:rFonts w:hint="eastAsia" w:ascii="宋体" w:hAnsi="宋体"/>
        </w:rPr>
        <w:t>有效日期与本公司投标文件中标注的投标有效期相同。</w:t>
      </w:r>
      <w:r>
        <w:rPr>
          <w:rFonts w:ascii="宋体" w:hAnsi="宋体"/>
        </w:rPr>
        <w:t xml:space="preserve">  </w:t>
      </w:r>
      <w:r>
        <w:rPr>
          <w:rFonts w:hint="eastAsia" w:ascii="宋体" w:hAnsi="宋体"/>
        </w:rPr>
        <w:t>签发日期：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r>
        <w:rPr>
          <w:rFonts w:ascii="宋体" w:hAnsi="宋体"/>
        </w:rPr>
        <w:t xml:space="preserve">             </w:t>
      </w:r>
    </w:p>
    <w:p>
      <w:pPr>
        <w:spacing w:line="480" w:lineRule="auto"/>
        <w:ind w:firstLine="420" w:firstLineChars="200"/>
        <w:rPr>
          <w:rFonts w:ascii="宋体" w:hAnsi="宋体"/>
        </w:rPr>
      </w:pPr>
      <w:r>
        <w:rPr>
          <w:rFonts w:hint="eastAsia" w:ascii="宋体" w:hAnsi="宋体"/>
        </w:rPr>
        <w:t>附：</w:t>
      </w:r>
    </w:p>
    <w:p>
      <w:pPr>
        <w:spacing w:line="480" w:lineRule="auto"/>
        <w:ind w:firstLine="840" w:firstLineChars="400"/>
        <w:rPr>
          <w:rFonts w:ascii="宋体" w:hAnsi="宋体"/>
        </w:rPr>
      </w:pPr>
      <w:r>
        <w:rPr>
          <w:rFonts w:hint="eastAsia" w:ascii="宋体" w:hAnsi="宋体"/>
        </w:rPr>
        <w:t xml:space="preserve">营业执照（注册号）：                       </w:t>
      </w:r>
    </w:p>
    <w:p>
      <w:pPr>
        <w:spacing w:line="480" w:lineRule="auto"/>
        <w:ind w:firstLine="840" w:firstLineChars="400"/>
        <w:rPr>
          <w:rFonts w:ascii="宋体" w:hAnsi="宋体"/>
        </w:rPr>
      </w:pPr>
      <w:r>
        <w:rPr>
          <w:rFonts w:hint="eastAsia" w:ascii="宋体" w:hAnsi="宋体"/>
        </w:rPr>
        <w:t>经济性质：</w:t>
      </w:r>
    </w:p>
    <w:p>
      <w:pPr>
        <w:spacing w:line="480" w:lineRule="auto"/>
        <w:ind w:firstLine="840" w:firstLineChars="400"/>
        <w:rPr>
          <w:rFonts w:ascii="宋体" w:hAnsi="宋体"/>
        </w:rPr>
      </w:pPr>
      <w:r>
        <w:rPr>
          <w:rFonts w:hint="eastAsia" w:ascii="宋体" w:hAnsi="宋体"/>
        </w:rPr>
        <w:t>主营（产）：</w:t>
      </w:r>
    </w:p>
    <w:p>
      <w:pPr>
        <w:spacing w:line="480" w:lineRule="auto"/>
        <w:ind w:firstLine="840" w:firstLineChars="400"/>
        <w:rPr>
          <w:rFonts w:ascii="宋体" w:hAnsi="宋体"/>
        </w:rPr>
      </w:pPr>
      <w:r>
        <w:rPr>
          <w:rFonts w:hint="eastAsia" w:ascii="宋体" w:hAnsi="宋体"/>
        </w:rPr>
        <w:t>兼营（产）：</w:t>
      </w:r>
    </w:p>
    <w:p>
      <w:pPr>
        <w:spacing w:line="480" w:lineRule="auto"/>
        <w:ind w:firstLine="960" w:firstLineChars="400"/>
        <w:rPr>
          <w:rFonts w:ascii="宋体" w:hAnsi="宋体"/>
          <w:sz w:val="24"/>
        </w:rPr>
      </w:pPr>
    </w:p>
    <w:p>
      <w:pPr>
        <w:spacing w:line="500" w:lineRule="exact"/>
        <w:rPr>
          <w:rFonts w:ascii="宋体"/>
          <w:b/>
          <w:bCs/>
        </w:rPr>
      </w:pPr>
      <w:r>
        <w:rPr>
          <w:rFonts w:ascii="宋体"/>
          <w:b/>
          <w:bCs/>
        </w:rPr>
        <w:pict>
          <v:rect id="Rectangle 5" o:spid="_x0000_s3096" o:spt="1" style="position:absolute;left:0pt;margin-left:250.65pt;margin-top:10.75pt;height:156pt;width:243pt;z-index:251678720;mso-width-relative:page;mso-height-relative:page;" coordsize="21600,21600">
            <v:path/>
            <v:fill focussize="0,0"/>
            <v:stroke/>
            <v:imagedata o:title=""/>
            <o:lock v:ext="edit"/>
            <v:textbox>
              <w:txbxContent>
                <w:p>
                  <w:pPr>
                    <w:ind w:firstLine="1260" w:firstLineChars="600"/>
                  </w:pPr>
                  <w:r>
                    <w:rPr>
                      <w:rFonts w:hint="eastAsia"/>
                    </w:rPr>
                    <w:t xml:space="preserve">     法定代表人</w:t>
                  </w:r>
                </w:p>
                <w:p>
                  <w:pPr>
                    <w:ind w:firstLine="1050" w:firstLineChars="500"/>
                  </w:pPr>
                  <w:r>
                    <w:rPr>
                      <w:rFonts w:hint="eastAsia"/>
                    </w:rPr>
                    <w:t xml:space="preserve"> 居民身份证复印件粘贴处</w:t>
                  </w:r>
                </w:p>
                <w:p>
                  <w:pPr>
                    <w:ind w:firstLine="1050" w:firstLineChars="500"/>
                  </w:pPr>
                </w:p>
                <w:p>
                  <w:pPr>
                    <w:ind w:firstLine="1785" w:firstLineChars="850"/>
                  </w:pPr>
                  <w:r>
                    <w:rPr>
                      <w:rFonts w:hint="eastAsia"/>
                    </w:rPr>
                    <w:t>（反面）</w:t>
                  </w:r>
                </w:p>
                <w:p>
                  <w:pPr>
                    <w:ind w:firstLine="1050" w:firstLineChars="500"/>
                  </w:pPr>
                </w:p>
                <w:p/>
              </w:txbxContent>
            </v:textbox>
          </v:rect>
        </w:pict>
      </w:r>
      <w:r>
        <w:rPr>
          <w:rFonts w:ascii="宋体"/>
          <w:b/>
          <w:bCs/>
        </w:rPr>
        <w:pict>
          <v:rect id="Rectangle 4" o:spid="_x0000_s3095" o:spt="1" style="position:absolute;left:0pt;margin-left:-11.85pt;margin-top:10.75pt;height:156pt;width:243pt;z-index:251677696;mso-width-relative:page;mso-height-relative:page;" coordsize="21600,21600">
            <v:path/>
            <v:fill focussize="0,0"/>
            <v:stroke/>
            <v:imagedata o:title=""/>
            <o:lock v:ext="edit"/>
            <v:textbox>
              <w:txbxContent>
                <w:p>
                  <w:pPr>
                    <w:ind w:firstLine="1260" w:firstLineChars="600"/>
                    <w:jc w:val="left"/>
                  </w:pPr>
                  <w:r>
                    <w:rPr>
                      <w:rFonts w:hint="eastAsia"/>
                    </w:rPr>
                    <w:t xml:space="preserve">     法定代表人</w:t>
                  </w:r>
                </w:p>
                <w:p>
                  <w:pPr>
                    <w:ind w:firstLine="1050" w:firstLineChars="500"/>
                    <w:jc w:val="left"/>
                  </w:pPr>
                  <w:r>
                    <w:rPr>
                      <w:rFonts w:hint="eastAsia"/>
                    </w:rPr>
                    <w:t xml:space="preserve"> 居民身份证复印件粘贴处</w:t>
                  </w:r>
                </w:p>
                <w:p>
                  <w:pPr>
                    <w:ind w:firstLine="1050" w:firstLineChars="500"/>
                    <w:jc w:val="left"/>
                  </w:pPr>
                </w:p>
                <w:p>
                  <w:pPr>
                    <w:ind w:firstLine="1785" w:firstLineChars="850"/>
                    <w:jc w:val="left"/>
                  </w:pPr>
                  <w:r>
                    <w:rPr>
                      <w:rFonts w:hint="eastAsia"/>
                    </w:rPr>
                    <w:t>（正面）</w:t>
                  </w:r>
                </w:p>
                <w:p>
                  <w:pPr>
                    <w:ind w:firstLine="1050" w:firstLineChars="500"/>
                    <w:jc w:val="left"/>
                  </w:pPr>
                </w:p>
                <w:p>
                  <w:pPr>
                    <w:jc w:val="left"/>
                  </w:pPr>
                </w:p>
              </w:txbxContent>
            </v:textbox>
          </v:rect>
        </w:pict>
      </w: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p>
    <w:p>
      <w:pPr>
        <w:spacing w:line="500" w:lineRule="exact"/>
        <w:rPr>
          <w:rFonts w:ascii="宋体"/>
          <w:b/>
          <w:bCs/>
        </w:rPr>
      </w:pPr>
      <w:r>
        <w:rPr>
          <w:rFonts w:hint="eastAsia" w:ascii="宋体"/>
          <w:b/>
          <w:bCs/>
        </w:rPr>
        <w:t xml:space="preserve">                         </w:t>
      </w:r>
    </w:p>
    <w:p>
      <w:pPr>
        <w:spacing w:line="360" w:lineRule="auto"/>
        <w:ind w:firstLine="539" w:firstLineChars="257"/>
      </w:pPr>
    </w:p>
    <w:p>
      <w:pPr>
        <w:spacing w:line="360" w:lineRule="auto"/>
        <w:ind w:firstLine="539" w:firstLineChars="257"/>
      </w:pPr>
      <w:r>
        <w:rPr>
          <w:rFonts w:hint="eastAsia"/>
        </w:rPr>
        <w:t>单位名称：（公章）：</w:t>
      </w:r>
      <w:r>
        <w:rPr>
          <w:rFonts w:hint="eastAsia"/>
          <w:u w:val="single"/>
        </w:rPr>
        <w:t xml:space="preserve">                                         </w:t>
      </w:r>
    </w:p>
    <w:p>
      <w:pPr>
        <w:spacing w:line="360" w:lineRule="auto"/>
        <w:ind w:firstLine="539" w:firstLineChars="257"/>
      </w:pPr>
    </w:p>
    <w:p>
      <w:pPr>
        <w:spacing w:line="360" w:lineRule="auto"/>
        <w:ind w:firstLine="539" w:firstLineChars="257"/>
      </w:pPr>
      <w:r>
        <w:rPr>
          <w:rFonts w:hint="eastAsia"/>
        </w:rPr>
        <w:t>日期：</w:t>
      </w:r>
      <w:r>
        <w:rPr>
          <w:rFonts w:hint="eastAsia"/>
          <w:u w:val="single"/>
        </w:rPr>
        <w:t xml:space="preserve">         </w:t>
      </w:r>
      <w:r>
        <w:rPr>
          <w:rFonts w:hint="eastAsia"/>
        </w:rPr>
        <w:t>年</w:t>
      </w:r>
      <w:r>
        <w:rPr>
          <w:rFonts w:hint="eastAsia"/>
          <w:u w:val="single"/>
        </w:rPr>
        <w:t xml:space="preserve">     </w:t>
      </w:r>
      <w:r>
        <w:rPr>
          <w:rFonts w:hint="eastAsia"/>
        </w:rPr>
        <w:t xml:space="preserve">月 </w:t>
      </w:r>
      <w:r>
        <w:rPr>
          <w:rFonts w:hint="eastAsia"/>
          <w:u w:val="single"/>
        </w:rPr>
        <w:t xml:space="preserve">      </w:t>
      </w:r>
      <w:r>
        <w:rPr>
          <w:rFonts w:hint="eastAsia"/>
        </w:rPr>
        <w:t>日</w:t>
      </w:r>
    </w:p>
    <w:p>
      <w:pPr>
        <w:widowControl/>
        <w:jc w:val="left"/>
        <w:rPr>
          <w:b/>
          <w:bCs/>
          <w:sz w:val="28"/>
        </w:rPr>
      </w:pPr>
      <w:r>
        <w:rPr>
          <w:b/>
          <w:bCs/>
          <w:sz w:val="28"/>
        </w:rPr>
        <w:br w:type="page"/>
      </w:r>
    </w:p>
    <w:p>
      <w:pPr>
        <w:ind w:firstLine="2249" w:firstLineChars="800"/>
        <w:rPr>
          <w:b/>
          <w:bCs/>
          <w:sz w:val="28"/>
        </w:rPr>
      </w:pPr>
    </w:p>
    <w:p>
      <w:pPr>
        <w:jc w:val="center"/>
        <w:rPr>
          <w:b/>
          <w:bCs/>
          <w:sz w:val="28"/>
        </w:rPr>
      </w:pPr>
      <w:r>
        <w:rPr>
          <w:rFonts w:hint="eastAsia"/>
          <w:b/>
          <w:bCs/>
          <w:sz w:val="28"/>
        </w:rPr>
        <w:t>法定代表人授权委托证明书（参考）</w:t>
      </w:r>
    </w:p>
    <w:p/>
    <w:p>
      <w:pPr>
        <w:rPr>
          <w:b/>
          <w:bCs/>
        </w:rPr>
      </w:pPr>
      <w:r>
        <w:rPr>
          <w:rFonts w:hint="eastAsia"/>
        </w:rPr>
        <w:t>深圳市中正招标有限公司</w:t>
      </w:r>
      <w:r>
        <w:rPr>
          <w:rFonts w:hint="eastAsia"/>
          <w:b/>
          <w:bCs/>
        </w:rPr>
        <w:t>：</w:t>
      </w:r>
    </w:p>
    <w:p>
      <w:pPr>
        <w:ind w:firstLine="630"/>
      </w:pPr>
    </w:p>
    <w:p>
      <w:pPr>
        <w:adjustRightInd w:val="0"/>
        <w:snapToGrid w:val="0"/>
        <w:spacing w:line="360" w:lineRule="auto"/>
        <w:ind w:firstLine="629"/>
      </w:pPr>
      <w:r>
        <w:rPr>
          <w:rFonts w:hint="eastAsia"/>
        </w:rPr>
        <w:t>现委派</w:t>
      </w:r>
      <w:r>
        <w:rPr>
          <w:rFonts w:hint="eastAsia"/>
          <w:u w:val="single"/>
        </w:rPr>
        <w:t xml:space="preserve">  （姓名、职务） </w:t>
      </w:r>
      <w:r>
        <w:rPr>
          <w:rFonts w:hint="eastAsia"/>
        </w:rPr>
        <w:t>参加贵公司组织的</w:t>
      </w:r>
      <w:r>
        <w:rPr>
          <w:rFonts w:hint="eastAsia"/>
          <w:b/>
          <w:bCs/>
          <w:u w:val="single"/>
        </w:rPr>
        <w:t xml:space="preserve">  </w:t>
      </w:r>
      <w:r>
        <w:rPr>
          <w:rFonts w:hint="eastAsia"/>
          <w:u w:val="single"/>
        </w:rPr>
        <w:t xml:space="preserve">（招标项目名称、编号） </w:t>
      </w:r>
      <w:r>
        <w:rPr>
          <w:rFonts w:hint="eastAsia"/>
        </w:rPr>
        <w:t>招标活动，全权代表我单位处理投标的有关事宜。</w:t>
      </w:r>
    </w:p>
    <w:p>
      <w:pPr>
        <w:adjustRightInd w:val="0"/>
        <w:snapToGrid w:val="0"/>
        <w:spacing w:line="360" w:lineRule="auto"/>
        <w:ind w:firstLine="629"/>
      </w:pPr>
    </w:p>
    <w:p>
      <w:pPr>
        <w:ind w:firstLine="630"/>
      </w:pPr>
    </w:p>
    <w:p>
      <w:pPr>
        <w:adjustRightInd w:val="0"/>
        <w:snapToGrid w:val="0"/>
        <w:spacing w:line="360" w:lineRule="auto"/>
        <w:ind w:firstLine="629"/>
        <w:rPr>
          <w:b/>
          <w:bCs/>
        </w:rPr>
      </w:pPr>
      <w:r>
        <w:rPr>
          <w:rFonts w:hint="eastAsia"/>
          <w:b/>
          <w:bCs/>
        </w:rPr>
        <w:t>附授权代表情况：</w:t>
      </w:r>
    </w:p>
    <w:p>
      <w:pPr>
        <w:adjustRightInd w:val="0"/>
        <w:snapToGrid w:val="0"/>
        <w:spacing w:line="360" w:lineRule="auto"/>
        <w:ind w:firstLine="629"/>
      </w:pPr>
      <w:r>
        <w:rPr>
          <w:rFonts w:hint="eastAsia"/>
        </w:rPr>
        <w:t>姓名：</w:t>
      </w:r>
      <w:r>
        <w:rPr>
          <w:rFonts w:hint="eastAsia"/>
          <w:b/>
          <w:bCs/>
        </w:rPr>
        <w:t xml:space="preserve">    </w:t>
      </w:r>
      <w:r>
        <w:rPr>
          <w:rFonts w:hint="eastAsia"/>
        </w:rPr>
        <w:t xml:space="preserve">            性别：</w:t>
      </w:r>
      <w:r>
        <w:rPr>
          <w:rFonts w:hint="eastAsia"/>
          <w:b/>
          <w:bCs/>
        </w:rPr>
        <w:t xml:space="preserve"> </w:t>
      </w:r>
    </w:p>
    <w:p>
      <w:pPr>
        <w:adjustRightInd w:val="0"/>
        <w:snapToGrid w:val="0"/>
        <w:spacing w:line="360" w:lineRule="auto"/>
        <w:ind w:firstLine="629"/>
        <w:rPr>
          <w:b/>
          <w:bCs/>
        </w:rPr>
      </w:pPr>
      <w:r>
        <w:rPr>
          <w:rFonts w:hint="eastAsia"/>
        </w:rPr>
        <w:t>年龄：</w:t>
      </w:r>
      <w:r>
        <w:rPr>
          <w:rFonts w:hint="eastAsia"/>
          <w:b/>
          <w:bCs/>
        </w:rPr>
        <w:t xml:space="preserve"> </w:t>
      </w:r>
      <w:r>
        <w:rPr>
          <w:rFonts w:hint="eastAsia"/>
        </w:rPr>
        <w:t xml:space="preserve">            </w:t>
      </w:r>
    </w:p>
    <w:p>
      <w:pPr>
        <w:adjustRightInd w:val="0"/>
        <w:snapToGrid w:val="0"/>
        <w:spacing w:line="360" w:lineRule="auto"/>
        <w:ind w:firstLine="629"/>
      </w:pPr>
      <w:r>
        <w:rPr>
          <w:rFonts w:hint="eastAsia"/>
        </w:rPr>
        <w:t>职务：</w:t>
      </w:r>
    </w:p>
    <w:p>
      <w:pPr>
        <w:adjustRightInd w:val="0"/>
        <w:snapToGrid w:val="0"/>
        <w:spacing w:line="360" w:lineRule="auto"/>
        <w:ind w:firstLine="629"/>
      </w:pPr>
      <w:r>
        <w:rPr>
          <w:rFonts w:hint="eastAsia"/>
        </w:rPr>
        <w:t>身份证号码：</w:t>
      </w:r>
    </w:p>
    <w:p>
      <w:pPr>
        <w:adjustRightInd w:val="0"/>
        <w:snapToGrid w:val="0"/>
        <w:spacing w:line="360" w:lineRule="auto"/>
        <w:ind w:firstLine="629"/>
        <w:rPr>
          <w:b/>
          <w:bCs/>
        </w:rPr>
      </w:pPr>
      <w:r>
        <w:rPr>
          <w:rFonts w:hint="eastAsia"/>
        </w:rPr>
        <w:t>邮编：</w:t>
      </w:r>
      <w:r>
        <w:rPr>
          <w:rFonts w:hint="eastAsia"/>
          <w:b/>
          <w:bCs/>
        </w:rPr>
        <w:t xml:space="preserve"> </w:t>
      </w:r>
    </w:p>
    <w:p>
      <w:pPr>
        <w:adjustRightInd w:val="0"/>
        <w:snapToGrid w:val="0"/>
        <w:spacing w:line="360" w:lineRule="auto"/>
        <w:ind w:firstLine="629"/>
      </w:pPr>
      <w:r>
        <w:rPr>
          <w:rFonts w:hint="eastAsia"/>
        </w:rPr>
        <w:t>通讯地址：</w:t>
      </w:r>
      <w:r>
        <w:rPr>
          <w:rFonts w:hint="eastAsia"/>
          <w:b/>
          <w:bCs/>
        </w:rPr>
        <w:t xml:space="preserve"> </w:t>
      </w:r>
    </w:p>
    <w:p>
      <w:pPr>
        <w:adjustRightInd w:val="0"/>
        <w:snapToGrid w:val="0"/>
        <w:spacing w:line="360" w:lineRule="auto"/>
        <w:ind w:firstLine="629"/>
      </w:pPr>
      <w:r>
        <w:rPr>
          <w:rFonts w:hint="eastAsia"/>
        </w:rPr>
        <w:t>电话：</w:t>
      </w:r>
    </w:p>
    <w:p>
      <w:pPr>
        <w:adjustRightInd w:val="0"/>
        <w:snapToGrid w:val="0"/>
        <w:spacing w:line="360" w:lineRule="auto"/>
        <w:ind w:firstLine="629"/>
      </w:pPr>
      <w:r>
        <w:rPr>
          <w:rFonts w:hint="eastAsia"/>
        </w:rPr>
        <w:t xml:space="preserve"> </w:t>
      </w:r>
    </w:p>
    <w:p>
      <w:pPr>
        <w:ind w:firstLine="630"/>
      </w:pPr>
      <w:r>
        <w:rPr>
          <w:rFonts w:hint="eastAsia"/>
        </w:rPr>
        <w:t>单位名称：（公章）</w:t>
      </w:r>
    </w:p>
    <w:p>
      <w:pPr>
        <w:ind w:firstLine="630"/>
      </w:pPr>
    </w:p>
    <w:p>
      <w:pPr>
        <w:ind w:firstLine="630"/>
      </w:pPr>
      <w:r>
        <w:rPr>
          <w:rFonts w:hint="eastAsia"/>
        </w:rPr>
        <w:t>法定代表人：（签字）</w:t>
      </w:r>
    </w:p>
    <w:p>
      <w:pPr>
        <w:ind w:firstLine="630"/>
      </w:pPr>
    </w:p>
    <w:p>
      <w:pPr>
        <w:adjustRightInd w:val="0"/>
        <w:snapToGrid w:val="0"/>
        <w:spacing w:line="300" w:lineRule="auto"/>
        <w:ind w:firstLine="5317" w:firstLineChars="2532"/>
      </w:pPr>
      <w:r>
        <w:rPr>
          <w:rFonts w:hint="eastAsia"/>
        </w:rPr>
        <w:t>年</w:t>
      </w:r>
      <w:r>
        <w:rPr>
          <w:rFonts w:hint="eastAsia"/>
          <w:b/>
          <w:bCs/>
        </w:rPr>
        <w:t xml:space="preserve">    </w:t>
      </w:r>
      <w:r>
        <w:rPr>
          <w:rFonts w:hint="eastAsia"/>
        </w:rPr>
        <w:t>月</w:t>
      </w:r>
      <w:r>
        <w:rPr>
          <w:rFonts w:hint="eastAsia"/>
          <w:b/>
          <w:bCs/>
        </w:rPr>
        <w:t xml:space="preserve">   </w:t>
      </w:r>
      <w:r>
        <w:rPr>
          <w:rFonts w:hint="eastAsia"/>
        </w:rPr>
        <w:t>日</w:t>
      </w:r>
    </w:p>
    <w:p>
      <w:pPr>
        <w:spacing w:line="440" w:lineRule="exact"/>
        <w:rPr>
          <w:rFonts w:ascii="黑体" w:eastAsia="黑体"/>
        </w:rPr>
      </w:pPr>
      <w:bookmarkStart w:id="51" w:name="_Toc226217114"/>
      <w:r>
        <w:rPr>
          <w:rFonts w:ascii="宋体"/>
        </w:rPr>
        <w:pict>
          <v:rect id="Rectangle 2" o:spid="_x0000_s3093" o:spt="1" style="position:absolute;left:0pt;margin-left:-10.35pt;margin-top:5.6pt;height:156pt;width:243pt;z-index:251675648;mso-width-relative:page;mso-height-relative:page;" coordsize="21600,21600">
            <v:path/>
            <v:fill focussize="0,0"/>
            <v:stroke/>
            <v:imagedata o:title=""/>
            <o:lock v:ext="edit"/>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jc w:val="center"/>
                  </w:pPr>
                  <w:r>
                    <w:rPr>
                      <w:rFonts w:hint="eastAsia"/>
                    </w:rPr>
                    <w:t>（正面）</w:t>
                  </w:r>
                </w:p>
              </w:txbxContent>
            </v:textbox>
          </v:rect>
        </w:pict>
      </w:r>
      <w:r>
        <w:rPr>
          <w:rFonts w:ascii="黑体" w:eastAsia="黑体"/>
        </w:rPr>
        <w:pict>
          <v:rect id="Rectangle 3" o:spid="_x0000_s3094" o:spt="1" style="position:absolute;left:0pt;margin-left:249.9pt;margin-top:5.6pt;height:156pt;width:243pt;z-index:251676672;mso-width-relative:page;mso-height-relative:page;" coordsize="21600,21600">
            <v:path/>
            <v:fill focussize="0,0"/>
            <v:stroke/>
            <v:imagedata o:title=""/>
            <o:lock v:ext="edit"/>
            <v:textbox>
              <w:txbxContent>
                <w:p>
                  <w:pPr>
                    <w:ind w:firstLine="1260" w:firstLineChars="600"/>
                  </w:pPr>
                  <w:r>
                    <w:rPr>
                      <w:rFonts w:hint="eastAsia"/>
                    </w:rPr>
                    <w:t>被授权人（授权代表）</w:t>
                  </w:r>
                </w:p>
                <w:p>
                  <w:pPr>
                    <w:ind w:firstLine="1050" w:firstLineChars="500"/>
                  </w:pPr>
                  <w:r>
                    <w:rPr>
                      <w:rFonts w:hint="eastAsia"/>
                    </w:rPr>
                    <w:t>居民身份证复印件粘贴处</w:t>
                  </w:r>
                </w:p>
                <w:p>
                  <w:pPr>
                    <w:ind w:firstLine="1050" w:firstLineChars="500"/>
                  </w:pPr>
                </w:p>
                <w:p>
                  <w:pPr>
                    <w:ind w:firstLine="1785" w:firstLineChars="850"/>
                  </w:pPr>
                  <w:r>
                    <w:rPr>
                      <w:rFonts w:hint="eastAsia"/>
                    </w:rPr>
                    <w:t>（反面）</w:t>
                  </w:r>
                </w:p>
                <w:p/>
              </w:txbxContent>
            </v:textbox>
          </v:rect>
        </w:pict>
      </w:r>
      <w:bookmarkEnd w:id="51"/>
    </w:p>
    <w:p>
      <w:pPr>
        <w:spacing w:line="440" w:lineRule="exact"/>
        <w:rPr>
          <w:rFonts w:ascii="黑体" w:eastAsia="黑体"/>
        </w:rPr>
      </w:pPr>
    </w:p>
    <w:p>
      <w:pPr>
        <w:spacing w:line="440" w:lineRule="exact"/>
        <w:rPr>
          <w:rFonts w:ascii="黑体" w:eastAsia="黑体"/>
        </w:rPr>
      </w:pPr>
    </w:p>
    <w:p>
      <w:pPr>
        <w:spacing w:line="440" w:lineRule="exact"/>
        <w:rPr>
          <w:rFonts w:ascii="黑体" w:eastAsia="黑体"/>
        </w:rPr>
      </w:pPr>
    </w:p>
    <w:p>
      <w:pPr>
        <w:spacing w:line="440" w:lineRule="exact"/>
        <w:rPr>
          <w:rFonts w:ascii="黑体" w:eastAsia="黑体"/>
        </w:rPr>
      </w:pPr>
    </w:p>
    <w:p>
      <w:pPr>
        <w:tabs>
          <w:tab w:val="left" w:pos="5115"/>
        </w:tabs>
        <w:spacing w:line="440" w:lineRule="exact"/>
        <w:rPr>
          <w:rFonts w:ascii="黑体" w:eastAsia="黑体"/>
        </w:rPr>
      </w:pPr>
      <w:r>
        <w:rPr>
          <w:rFonts w:ascii="黑体" w:eastAsia="黑体"/>
        </w:rPr>
        <w:tab/>
      </w:r>
    </w:p>
    <w:p>
      <w:pPr>
        <w:spacing w:line="440" w:lineRule="exact"/>
        <w:rPr>
          <w:rFonts w:ascii="黑体" w:eastAsia="黑体"/>
        </w:rPr>
      </w:pPr>
    </w:p>
    <w:p>
      <w:pPr>
        <w:adjustRightInd w:val="0"/>
        <w:snapToGrid w:val="0"/>
        <w:spacing w:line="300" w:lineRule="auto"/>
        <w:ind w:firstLine="5008" w:firstLineChars="2385"/>
      </w:pPr>
    </w:p>
    <w:p>
      <w:pPr>
        <w:adjustRightInd w:val="0"/>
        <w:snapToGrid w:val="0"/>
        <w:spacing w:line="300" w:lineRule="auto"/>
      </w:pPr>
    </w:p>
    <w:p>
      <w:pPr>
        <w:adjustRightInd w:val="0"/>
        <w:snapToGrid w:val="0"/>
        <w:spacing w:line="300" w:lineRule="auto"/>
      </w:pPr>
    </w:p>
    <w:p>
      <w:pPr>
        <w:adjustRightInd w:val="0"/>
        <w:snapToGrid w:val="0"/>
        <w:spacing w:line="300" w:lineRule="auto"/>
      </w:pPr>
      <w:r>
        <w:rPr>
          <w:rFonts w:hint="eastAsia" w:asciiTheme="majorEastAsia" w:hAnsiTheme="majorEastAsia" w:eastAsiaTheme="majorEastAsia"/>
          <w:b/>
          <w:sz w:val="24"/>
        </w:rPr>
        <w:t>注：法定代表人证明书和法定代表人授权委托证明书除装订于投标文件中外，还须另置一份按“投标人须知”18.4项要求单独密封。</w:t>
      </w:r>
    </w:p>
    <w:p>
      <w:pPr>
        <w:widowControl/>
        <w:jc w:val="left"/>
      </w:pPr>
      <w:r>
        <w:br w:type="page"/>
      </w:r>
    </w:p>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格式3  投</w:t>
      </w:r>
      <w:r>
        <w:rPr>
          <w:rFonts w:asciiTheme="minorEastAsia" w:hAnsiTheme="minorEastAsia" w:eastAsiaTheme="minorEastAsia"/>
          <w:sz w:val="24"/>
        </w:rPr>
        <w:t xml:space="preserve"> </w:t>
      </w:r>
      <w:r>
        <w:rPr>
          <w:rFonts w:hint="eastAsia" w:asciiTheme="minorEastAsia" w:hAnsiTheme="minorEastAsia" w:eastAsiaTheme="minorEastAsia"/>
          <w:sz w:val="24"/>
        </w:rPr>
        <w:t>标</w:t>
      </w:r>
      <w:r>
        <w:rPr>
          <w:rFonts w:asciiTheme="minorEastAsia" w:hAnsiTheme="minorEastAsia" w:eastAsiaTheme="minorEastAsia"/>
          <w:sz w:val="24"/>
        </w:rPr>
        <w:t xml:space="preserve"> </w:t>
      </w:r>
      <w:r>
        <w:rPr>
          <w:rFonts w:hint="eastAsia" w:asciiTheme="minorEastAsia" w:hAnsiTheme="minorEastAsia" w:eastAsiaTheme="minorEastAsia"/>
          <w:sz w:val="24"/>
        </w:rPr>
        <w:t>函</w:t>
      </w:r>
    </w:p>
    <w:p>
      <w:pPr>
        <w:adjustRightInd w:val="0"/>
        <w:snapToGrid w:val="0"/>
        <w:spacing w:line="312" w:lineRule="auto"/>
      </w:pPr>
    </w:p>
    <w:p>
      <w:pPr>
        <w:adjustRightInd w:val="0"/>
        <w:snapToGrid w:val="0"/>
        <w:spacing w:line="360" w:lineRule="auto"/>
        <w:rPr>
          <w:rFonts w:asciiTheme="minorEastAsia" w:hAnsiTheme="minorEastAsia" w:eastAsiaTheme="minorEastAsia"/>
          <w:b/>
          <w:bCs/>
        </w:rPr>
      </w:pPr>
      <w:r>
        <w:rPr>
          <w:rFonts w:asciiTheme="minorEastAsia" w:hAnsiTheme="minorEastAsia" w:eastAsiaTheme="minorEastAsia"/>
        </w:rPr>
        <w:t>深圳市中正招标有限公司：</w:t>
      </w:r>
    </w:p>
    <w:p>
      <w:pPr>
        <w:adjustRightInd w:val="0"/>
        <w:snapToGrid w:val="0"/>
        <w:spacing w:line="360" w:lineRule="auto"/>
        <w:rPr>
          <w:rFonts w:asciiTheme="minorEastAsia" w:hAnsiTheme="minorEastAsia" w:eastAsiaTheme="minorEastAsia"/>
        </w:rPr>
      </w:pPr>
      <w:r>
        <w:rPr>
          <w:rFonts w:asciiTheme="minorEastAsia" w:hAnsiTheme="minorEastAsia" w:eastAsiaTheme="minorEastAsia"/>
        </w:rPr>
        <w:t xml:space="preserve">    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收到</w:t>
      </w:r>
      <w:r>
        <w:rPr>
          <w:rFonts w:hint="eastAsia" w:asciiTheme="minorEastAsia" w:hAnsiTheme="minorEastAsia" w:eastAsiaTheme="minorEastAsia"/>
        </w:rPr>
        <w:t>贵单位</w:t>
      </w:r>
      <w:r>
        <w:rPr>
          <w:rFonts w:asciiTheme="minorEastAsia" w:hAnsiTheme="minorEastAsia" w:eastAsiaTheme="minorEastAsia"/>
        </w:rPr>
        <w:t>组织的</w:t>
      </w:r>
      <w:r>
        <w:rPr>
          <w:rFonts w:asciiTheme="minorEastAsia" w:hAnsiTheme="minorEastAsia" w:eastAsiaTheme="minorEastAsia"/>
          <w:b/>
          <w:bCs/>
          <w:u w:val="single"/>
        </w:rPr>
        <w:t xml:space="preserve"> </w:t>
      </w:r>
      <w:r>
        <w:rPr>
          <w:rFonts w:asciiTheme="minorEastAsia" w:hAnsiTheme="minorEastAsia" w:eastAsiaTheme="minorEastAsia"/>
          <w:u w:val="single"/>
        </w:rPr>
        <w:t xml:space="preserve">（招标项目名称） </w:t>
      </w:r>
      <w:r>
        <w:rPr>
          <w:rFonts w:asciiTheme="minorEastAsia" w:hAnsiTheme="minorEastAsia" w:eastAsiaTheme="minorEastAsia"/>
        </w:rPr>
        <w:t>招标文件，经详细研究，我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决定参加该项目</w:t>
      </w:r>
      <w:r>
        <w:rPr>
          <w:rFonts w:asciiTheme="minorEastAsia" w:hAnsiTheme="minorEastAsia" w:eastAsiaTheme="minorEastAsia"/>
          <w:u w:val="single"/>
        </w:rPr>
        <w:t xml:space="preserve"> （项目编号）  </w:t>
      </w:r>
      <w:r>
        <w:rPr>
          <w:rFonts w:asciiTheme="minorEastAsia" w:hAnsiTheme="minorEastAsia" w:eastAsiaTheme="minorEastAsia"/>
        </w:rPr>
        <w:t>招标的有关活动，并投标。为此，我</w:t>
      </w:r>
      <w:r>
        <w:rPr>
          <w:rFonts w:hint="eastAsia" w:cs="Courier New" w:asciiTheme="minorEastAsia" w:hAnsiTheme="minorEastAsia" w:eastAsiaTheme="minorEastAsia"/>
          <w:snapToGrid w:val="0"/>
          <w:szCs w:val="18"/>
        </w:rPr>
        <w:t>单位</w:t>
      </w:r>
      <w:r>
        <w:rPr>
          <w:rFonts w:asciiTheme="minorEastAsia" w:hAnsiTheme="minorEastAsia" w:eastAsiaTheme="minorEastAsia"/>
        </w:rPr>
        <w:t>谨郑重声明以下诸点，并对之负法律责任。</w:t>
      </w:r>
    </w:p>
    <w:p>
      <w:pPr>
        <w:spacing w:line="360" w:lineRule="auto"/>
        <w:ind w:firstLine="424" w:firstLineChars="202"/>
        <w:jc w:val="left"/>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1．</w:t>
      </w:r>
      <w:r>
        <w:rPr>
          <w:rFonts w:hint="eastAsia" w:asciiTheme="minorEastAsia" w:hAnsiTheme="minorEastAsia" w:eastAsiaTheme="minorEastAsia"/>
          <w:szCs w:val="21"/>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szCs w:val="21"/>
        </w:rPr>
        <w:t>愿以《开标一览表》中填写的投标报价并</w:t>
      </w:r>
      <w:r>
        <w:rPr>
          <w:rFonts w:hint="eastAsia" w:cs="Courier New" w:asciiTheme="minorEastAsia" w:hAnsiTheme="minorEastAsia" w:eastAsiaTheme="minorEastAsia"/>
          <w:snapToGrid w:val="0"/>
          <w:szCs w:val="18"/>
        </w:rPr>
        <w:t>按照招标文件中的一切要求，承担上述项目的全部工作。</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2．我单位提交的投标文件为：投标书正本一份，副本五份，电子备份光盘（或U盘）一份（内容为投标文件正本盖章扫描件）。</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3．如果我单位投标书被接受，我单位将履行招标文件中规定的每一项要求，按期、按质、按量完成任务。</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4．我单位愿意提供招标代理机构在招标文件中要求的所有资料，且</w:t>
      </w:r>
      <w:r>
        <w:rPr>
          <w:rFonts w:hint="eastAsia" w:asciiTheme="minorEastAsia" w:hAnsiTheme="minorEastAsia" w:eastAsiaTheme="minorEastAsia"/>
        </w:rPr>
        <w:t>所递交的投标文件在投标有效期（即</w:t>
      </w:r>
      <w:r>
        <w:rPr>
          <w:rFonts w:hint="eastAsia" w:asciiTheme="minorEastAsia" w:hAnsiTheme="minorEastAsia" w:eastAsiaTheme="minorEastAsia"/>
          <w:u w:val="single"/>
        </w:rPr>
        <w:t>90</w:t>
      </w:r>
      <w:r>
        <w:rPr>
          <w:rFonts w:hint="eastAsia" w:asciiTheme="minorEastAsia" w:hAnsiTheme="minorEastAsia" w:eastAsiaTheme="minorEastAsia"/>
        </w:rPr>
        <w:t>日历天）内有效，在此期间内我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的投标有可能中标，我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将受此约束。</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5．我单位理解，最低报价不是中标的唯一条件。</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6．我单位愿按《中华人民共和国民法典》履行自己的全部责任。</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7．我单位同意招标文件之规定，遵守有关招标的各项规定。</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8</w:t>
      </w:r>
      <w:r>
        <w:rPr>
          <w:rFonts w:cs="Courier New" w:asciiTheme="minorEastAsia" w:hAnsiTheme="minorEastAsia" w:eastAsiaTheme="minorEastAsia"/>
          <w:snapToGrid w:val="0"/>
          <w:szCs w:val="18"/>
        </w:rPr>
        <w:t>.</w:t>
      </w:r>
      <w:r>
        <w:rPr>
          <w:rFonts w:hint="eastAsia" w:cs="Courier New" w:asciiTheme="minorEastAsia" w:hAnsiTheme="minorEastAsia" w:eastAsiaTheme="minorEastAsia"/>
          <w:snapToGrid w:val="0"/>
          <w:szCs w:val="18"/>
        </w:rPr>
        <w:t xml:space="preserve"> </w:t>
      </w:r>
      <w:r>
        <w:rPr>
          <w:rFonts w:hint="eastAsia" w:asciiTheme="minorEastAsia" w:hAnsiTheme="minorEastAsia" w:eastAsiaTheme="minorEastAsia"/>
        </w:rPr>
        <w:t>我</w:t>
      </w:r>
      <w:r>
        <w:rPr>
          <w:rFonts w:hint="eastAsia" w:cs="Courier New" w:asciiTheme="minorEastAsia" w:hAnsiTheme="minorEastAsia" w:eastAsiaTheme="minorEastAsia"/>
          <w:snapToGrid w:val="0"/>
          <w:szCs w:val="18"/>
        </w:rPr>
        <w:t>单位</w:t>
      </w:r>
      <w:r>
        <w:rPr>
          <w:rFonts w:hint="eastAsia" w:asciiTheme="minorEastAsia" w:hAnsiTheme="minorEastAsia" w:eastAsiaTheme="minorEastAsia"/>
        </w:rPr>
        <w:t>同意中标后向招标代理机构支付招标文件要求数额的中标服务费。</w:t>
      </w:r>
    </w:p>
    <w:p>
      <w:pPr>
        <w:spacing w:line="360" w:lineRule="auto"/>
        <w:ind w:firstLine="424" w:firstLineChars="202"/>
        <w:rPr>
          <w:rFonts w:cs="Courier New" w:asciiTheme="minorEastAsia" w:hAnsiTheme="minorEastAsia" w:eastAsiaTheme="minorEastAsia"/>
          <w:snapToGrid w:val="0"/>
          <w:szCs w:val="18"/>
        </w:rPr>
      </w:pPr>
      <w:r>
        <w:rPr>
          <w:rFonts w:hint="eastAsia" w:cs="Courier New" w:asciiTheme="minorEastAsia" w:hAnsiTheme="minorEastAsia" w:eastAsiaTheme="minorEastAsia"/>
          <w:snapToGrid w:val="0"/>
          <w:szCs w:val="18"/>
        </w:rPr>
        <w:t>9．所有有关本标书的函电，请按下列地址联系：</w:t>
      </w:r>
    </w:p>
    <w:p>
      <w:pPr>
        <w:adjustRightInd w:val="0"/>
        <w:snapToGrid w:val="0"/>
        <w:spacing w:line="360" w:lineRule="auto"/>
        <w:ind w:firstLine="600"/>
      </w:pPr>
    </w:p>
    <w:p>
      <w:pPr>
        <w:adjustRightInd w:val="0"/>
        <w:snapToGrid w:val="0"/>
        <w:spacing w:line="360" w:lineRule="auto"/>
        <w:ind w:firstLine="426"/>
      </w:pPr>
      <w:r>
        <w:t>单    位： （盖章）</w:t>
      </w:r>
    </w:p>
    <w:p>
      <w:pPr>
        <w:adjustRightInd w:val="0"/>
        <w:snapToGrid w:val="0"/>
        <w:spacing w:line="360" w:lineRule="auto"/>
        <w:ind w:firstLine="426"/>
      </w:pPr>
      <w:r>
        <w:rPr>
          <w:rFonts w:hint="eastAsia"/>
        </w:rPr>
        <w:t>授权代表： （签字）</w:t>
      </w:r>
    </w:p>
    <w:p>
      <w:pPr>
        <w:adjustRightInd w:val="0"/>
        <w:snapToGrid w:val="0"/>
        <w:spacing w:line="360" w:lineRule="auto"/>
        <w:ind w:firstLine="426"/>
      </w:pPr>
      <w:r>
        <w:t xml:space="preserve">地    址： </w:t>
      </w:r>
    </w:p>
    <w:p>
      <w:pPr>
        <w:adjustRightInd w:val="0"/>
        <w:snapToGrid w:val="0"/>
        <w:spacing w:line="360" w:lineRule="auto"/>
        <w:ind w:firstLine="426"/>
      </w:pPr>
      <w:r>
        <w:t xml:space="preserve">电    话：     </w:t>
      </w:r>
    </w:p>
    <w:p>
      <w:pPr>
        <w:adjustRightInd w:val="0"/>
        <w:snapToGrid w:val="0"/>
        <w:spacing w:line="360" w:lineRule="auto"/>
        <w:ind w:firstLine="426"/>
      </w:pPr>
      <w:r>
        <w:t>传    真：</w:t>
      </w:r>
    </w:p>
    <w:p>
      <w:pPr>
        <w:adjustRightInd w:val="0"/>
        <w:snapToGrid w:val="0"/>
        <w:spacing w:line="360" w:lineRule="auto"/>
        <w:ind w:firstLine="426"/>
      </w:pPr>
      <w:r>
        <w:t>邮    编：</w:t>
      </w:r>
    </w:p>
    <w:p>
      <w:pPr>
        <w:adjustRightInd w:val="0"/>
        <w:snapToGrid w:val="0"/>
        <w:spacing w:line="360" w:lineRule="auto"/>
        <w:ind w:firstLine="426"/>
      </w:pPr>
      <w:r>
        <w:t xml:space="preserve">联 系 人： </w:t>
      </w:r>
    </w:p>
    <w:p>
      <w:pPr>
        <w:adjustRightInd w:val="0"/>
        <w:snapToGrid w:val="0"/>
        <w:spacing w:line="360" w:lineRule="auto"/>
        <w:ind w:firstLine="600"/>
      </w:pPr>
    </w:p>
    <w:p>
      <w:pPr>
        <w:adjustRightInd w:val="0"/>
        <w:snapToGrid w:val="0"/>
        <w:spacing w:line="360" w:lineRule="auto"/>
        <w:ind w:firstLine="600"/>
        <w:jc w:val="right"/>
      </w:pPr>
      <w:r>
        <w:rPr>
          <w:rFonts w:hint="eastAsia"/>
        </w:rPr>
        <w:t>年     月    日</w:t>
      </w:r>
    </w:p>
    <w:p>
      <w:pPr>
        <w:adjustRightInd w:val="0"/>
        <w:snapToGrid w:val="0"/>
        <w:spacing w:line="360" w:lineRule="auto"/>
        <w:ind w:firstLine="600"/>
        <w:jc w:val="right"/>
      </w:pPr>
    </w:p>
    <w:p>
      <w:pPr>
        <w:tabs>
          <w:tab w:val="left" w:pos="450"/>
        </w:tabs>
        <w:adjustRightInd w:val="0"/>
        <w:spacing w:line="300" w:lineRule="auto"/>
        <w:ind w:hanging="2"/>
        <w:rPr>
          <w:b/>
          <w:snapToGrid w:val="0"/>
          <w:kern w:val="0"/>
          <w:sz w:val="28"/>
        </w:rPr>
      </w:pPr>
      <w:r>
        <w:rPr>
          <w:rFonts w:asciiTheme="minorEastAsia" w:hAnsiTheme="minorEastAsia" w:eastAsiaTheme="minorEastAsia"/>
          <w:sz w:val="24"/>
        </w:rPr>
        <w:br w:type="page"/>
      </w: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格式4  评分中涉及的承诺及声明函</w:t>
      </w:r>
    </w:p>
    <w:p>
      <w:pPr>
        <w:adjustRightInd w:val="0"/>
        <w:spacing w:line="300" w:lineRule="auto"/>
        <w:ind w:hanging="2"/>
        <w:jc w:val="center"/>
        <w:rPr>
          <w:b/>
          <w:snapToGrid w:val="0"/>
          <w:kern w:val="0"/>
          <w:sz w:val="28"/>
        </w:rPr>
      </w:pPr>
      <w:r>
        <w:rPr>
          <w:rFonts w:hint="eastAsia"/>
          <w:b/>
          <w:snapToGrid w:val="0"/>
          <w:kern w:val="0"/>
          <w:sz w:val="28"/>
        </w:rPr>
        <w:t>诚信承诺函</w:t>
      </w:r>
    </w:p>
    <w:p>
      <w:pPr>
        <w:pStyle w:val="414"/>
        <w:keepNext w:val="0"/>
        <w:adjustRightInd/>
        <w:spacing w:before="0" w:after="0" w:line="240" w:lineRule="auto"/>
        <w:outlineLvl w:val="2"/>
        <w:rPr>
          <w:rFonts w:hAnsi="宋体"/>
          <w:szCs w:val="24"/>
        </w:rPr>
      </w:pPr>
    </w:p>
    <w:p>
      <w:pPr>
        <w:spacing w:line="360" w:lineRule="auto"/>
        <w:rPr>
          <w:rFonts w:cs="Courier New"/>
          <w:snapToGrid w:val="0"/>
          <w:szCs w:val="18"/>
        </w:rPr>
      </w:pPr>
      <w:r>
        <w:rPr>
          <w:rFonts w:hint="eastAsia" w:cs="Courier New"/>
          <w:snapToGrid w:val="0"/>
          <w:szCs w:val="18"/>
        </w:rPr>
        <w:t>深圳市中正招标有限公司：</w:t>
      </w:r>
    </w:p>
    <w:p>
      <w:pPr>
        <w:spacing w:line="360" w:lineRule="auto"/>
        <w:ind w:firstLine="420" w:firstLineChars="200"/>
        <w:rPr>
          <w:rFonts w:cs="Courier New"/>
          <w:snapToGrid w:val="0"/>
          <w:szCs w:val="18"/>
        </w:rPr>
      </w:pPr>
      <w:r>
        <w:rPr>
          <w:rFonts w:hint="eastAsia" w:cs="Courier New"/>
          <w:snapToGrid w:val="0"/>
          <w:szCs w:val="18"/>
        </w:rPr>
        <w:t>我单位承诺，在参与政府采购活动中不存在出现诚信相关问题且在相关主管部门处理措施实施期限内，如若投标文件与事实情况不符，我单位自愿承担“隐瞒真实情况，提供虚假资料”以及其他一切不利的法律后果。</w:t>
      </w:r>
    </w:p>
    <w:p>
      <w:pPr>
        <w:spacing w:line="360" w:lineRule="auto"/>
        <w:ind w:firstLine="420" w:firstLineChars="200"/>
        <w:rPr>
          <w:rFonts w:cs="Courier New"/>
          <w:snapToGrid w:val="0"/>
          <w:szCs w:val="18"/>
        </w:rPr>
      </w:pPr>
      <w:r>
        <w:rPr>
          <w:rFonts w:hint="eastAsia" w:cs="Courier New"/>
          <w:snapToGrid w:val="0"/>
          <w:szCs w:val="18"/>
        </w:rPr>
        <w:t>我单位承诺，在参加政府采购活动中没有出现下列行为之一：</w:t>
      </w:r>
    </w:p>
    <w:p>
      <w:pPr>
        <w:spacing w:line="360" w:lineRule="auto"/>
        <w:ind w:firstLine="420" w:firstLineChars="200"/>
        <w:rPr>
          <w:rFonts w:cs="Courier New"/>
          <w:snapToGrid w:val="0"/>
          <w:szCs w:val="18"/>
        </w:rPr>
      </w:pPr>
      <w:r>
        <w:rPr>
          <w:rFonts w:hint="eastAsia" w:cs="Courier New"/>
          <w:snapToGrid w:val="0"/>
          <w:szCs w:val="18"/>
        </w:rPr>
        <w:t>（一）投标截止后，无正当理由撤销其投标行为，导致项目无法正常开评标的；</w:t>
      </w:r>
    </w:p>
    <w:p>
      <w:pPr>
        <w:spacing w:line="360" w:lineRule="auto"/>
        <w:ind w:firstLine="420" w:firstLineChars="200"/>
        <w:rPr>
          <w:rFonts w:cs="Courier New"/>
          <w:snapToGrid w:val="0"/>
          <w:szCs w:val="18"/>
        </w:rPr>
      </w:pPr>
      <w:r>
        <w:rPr>
          <w:rFonts w:hint="eastAsia" w:cs="Courier New"/>
          <w:snapToGrid w:val="0"/>
          <w:szCs w:val="18"/>
        </w:rPr>
        <w:t>（二）未按《采购条例》规定签订、履行采购合同，严重影响采购人日常工作的；</w:t>
      </w:r>
    </w:p>
    <w:p>
      <w:pPr>
        <w:spacing w:line="360" w:lineRule="auto"/>
        <w:ind w:firstLine="420" w:firstLineChars="200"/>
        <w:rPr>
          <w:rFonts w:cs="Courier New"/>
          <w:snapToGrid w:val="0"/>
          <w:szCs w:val="18"/>
        </w:rPr>
      </w:pPr>
      <w:r>
        <w:rPr>
          <w:rFonts w:hint="eastAsia" w:cs="Courier New"/>
          <w:snapToGrid w:val="0"/>
          <w:szCs w:val="18"/>
        </w:rPr>
        <w:t>（三）在投标文件中未说明且未经采购人同意，将中标项目分包给他人，情节严重的；</w:t>
      </w:r>
    </w:p>
    <w:p>
      <w:pPr>
        <w:spacing w:line="360" w:lineRule="auto"/>
        <w:ind w:firstLine="420" w:firstLineChars="200"/>
        <w:rPr>
          <w:rFonts w:cs="Courier New"/>
          <w:snapToGrid w:val="0"/>
          <w:szCs w:val="18"/>
        </w:rPr>
      </w:pPr>
      <w:r>
        <w:rPr>
          <w:rFonts w:hint="eastAsia" w:cs="Courier New"/>
          <w:snapToGrid w:val="0"/>
          <w:szCs w:val="18"/>
        </w:rPr>
        <w:t>（四）严重违反合同约定，擅自降低货物质量等次和售后服务，货物、工程或者服务存在严重质量问题的；</w:t>
      </w:r>
    </w:p>
    <w:p>
      <w:pPr>
        <w:spacing w:line="360" w:lineRule="auto"/>
        <w:ind w:firstLine="420" w:firstLineChars="200"/>
        <w:rPr>
          <w:rFonts w:cs="Courier New"/>
          <w:snapToGrid w:val="0"/>
          <w:szCs w:val="18"/>
        </w:rPr>
      </w:pPr>
      <w:r>
        <w:rPr>
          <w:rFonts w:hint="eastAsia" w:cs="Courier New"/>
          <w:snapToGrid w:val="0"/>
          <w:szCs w:val="18"/>
        </w:rPr>
        <w:t>（五）严重违反合同约定，未能完成全部货物、服务或工程项目，中途停止配送或者变相增加费用的；</w:t>
      </w:r>
    </w:p>
    <w:p>
      <w:pPr>
        <w:spacing w:line="360" w:lineRule="auto"/>
        <w:ind w:firstLine="420" w:firstLineChars="200"/>
        <w:rPr>
          <w:rFonts w:cs="Courier New"/>
          <w:snapToGrid w:val="0"/>
          <w:szCs w:val="18"/>
        </w:rPr>
      </w:pPr>
      <w:r>
        <w:rPr>
          <w:rFonts w:hint="eastAsia" w:cs="Courier New"/>
          <w:snapToGrid w:val="0"/>
          <w:szCs w:val="18"/>
        </w:rPr>
        <w:t>（六）捏造事实、提供虚假材料进行质疑的；</w:t>
      </w:r>
    </w:p>
    <w:p>
      <w:pPr>
        <w:spacing w:line="360" w:lineRule="auto"/>
        <w:ind w:firstLine="420" w:firstLineChars="200"/>
        <w:rPr>
          <w:rFonts w:cs="Courier New"/>
          <w:snapToGrid w:val="0"/>
          <w:szCs w:val="18"/>
        </w:rPr>
      </w:pPr>
      <w:r>
        <w:rPr>
          <w:rFonts w:hint="eastAsia" w:cs="Courier New"/>
          <w:snapToGrid w:val="0"/>
          <w:szCs w:val="18"/>
        </w:rPr>
        <w:t>（七）假冒他人名义质疑的；</w:t>
      </w:r>
    </w:p>
    <w:p>
      <w:pPr>
        <w:spacing w:line="360" w:lineRule="auto"/>
        <w:ind w:firstLine="420" w:firstLineChars="200"/>
        <w:rPr>
          <w:rFonts w:cs="Courier New"/>
          <w:snapToGrid w:val="0"/>
          <w:szCs w:val="18"/>
        </w:rPr>
      </w:pPr>
      <w:r>
        <w:rPr>
          <w:rFonts w:hint="eastAsia" w:cs="Courier New"/>
          <w:snapToGrid w:val="0"/>
          <w:szCs w:val="18"/>
        </w:rPr>
        <w:t>（八）无正当理由拒不配合进行质疑调查的。</w:t>
      </w:r>
    </w:p>
    <w:p>
      <w:pPr>
        <w:spacing w:line="360" w:lineRule="auto"/>
        <w:ind w:firstLine="420" w:firstLineChars="200"/>
        <w:rPr>
          <w:rFonts w:cs="Courier New"/>
          <w:snapToGrid w:val="0"/>
          <w:szCs w:val="18"/>
        </w:rPr>
      </w:pPr>
      <w:r>
        <w:rPr>
          <w:rFonts w:hint="eastAsia" w:cs="Courier New"/>
          <w:snapToGrid w:val="0"/>
          <w:szCs w:val="18"/>
        </w:rPr>
        <w:t>特此承诺。</w:t>
      </w:r>
    </w:p>
    <w:p>
      <w:pPr>
        <w:spacing w:line="360" w:lineRule="auto"/>
        <w:ind w:firstLine="420" w:firstLineChars="200"/>
        <w:rPr>
          <w:rFonts w:cs="Courier New"/>
          <w:snapToGrid w:val="0"/>
          <w:szCs w:val="18"/>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60" w:lineRule="auto"/>
        <w:ind w:firstLine="600"/>
        <w:jc w:val="right"/>
      </w:pPr>
      <w:r>
        <w:rPr>
          <w:rFonts w:hint="eastAsia"/>
        </w:rPr>
        <w:t>年     月    日</w:t>
      </w:r>
    </w:p>
    <w:p/>
    <w:p/>
    <w:p>
      <w:pPr>
        <w:adjustRightInd w:val="0"/>
        <w:spacing w:line="300" w:lineRule="auto"/>
        <w:ind w:hanging="2"/>
        <w:jc w:val="center"/>
        <w:rPr>
          <w:b/>
          <w:snapToGrid w:val="0"/>
          <w:kern w:val="0"/>
          <w:sz w:val="28"/>
        </w:rPr>
      </w:pPr>
    </w:p>
    <w:p>
      <w:pPr>
        <w:widowControl/>
        <w:jc w:val="left"/>
        <w:rPr>
          <w:b/>
          <w:snapToGrid w:val="0"/>
          <w:kern w:val="0"/>
          <w:sz w:val="28"/>
        </w:rPr>
      </w:pPr>
      <w:r>
        <w:rPr>
          <w:b/>
          <w:snapToGrid w:val="0"/>
          <w:kern w:val="0"/>
          <w:sz w:val="28"/>
        </w:rPr>
        <w:br w:type="page"/>
      </w:r>
    </w:p>
    <w:p>
      <w:pPr>
        <w:adjustRightInd w:val="0"/>
        <w:spacing w:line="300" w:lineRule="auto"/>
        <w:ind w:hanging="2"/>
        <w:jc w:val="center"/>
        <w:rPr>
          <w:b/>
          <w:snapToGrid w:val="0"/>
          <w:kern w:val="0"/>
          <w:sz w:val="28"/>
        </w:rPr>
      </w:pPr>
      <w:r>
        <w:rPr>
          <w:rFonts w:hint="eastAsia"/>
          <w:b/>
          <w:snapToGrid w:val="0"/>
          <w:kern w:val="0"/>
          <w:sz w:val="28"/>
        </w:rPr>
        <w:t>履约承诺函</w:t>
      </w:r>
    </w:p>
    <w:p>
      <w:pPr>
        <w:rPr>
          <w:rFonts w:ascii="宋体" w:hAnsi="宋体"/>
          <w:szCs w:val="21"/>
        </w:rPr>
      </w:pPr>
    </w:p>
    <w:p>
      <w:pPr>
        <w:rPr>
          <w:rFonts w:ascii="宋体" w:hAnsi="宋体"/>
          <w:szCs w:val="21"/>
        </w:rPr>
      </w:pPr>
      <w:r>
        <w:rPr>
          <w:rFonts w:hint="eastAsia" w:ascii="宋体" w:hAnsi="宋体"/>
          <w:szCs w:val="21"/>
        </w:rPr>
        <w:t>深圳市中正招标有限公司：</w:t>
      </w:r>
    </w:p>
    <w:p>
      <w:pPr>
        <w:spacing w:line="360" w:lineRule="auto"/>
        <w:ind w:firstLine="420" w:firstLineChars="200"/>
        <w:rPr>
          <w:rFonts w:ascii="宋体" w:hAnsi="宋体"/>
          <w:szCs w:val="21"/>
        </w:rPr>
      </w:pPr>
      <w:r>
        <w:rPr>
          <w:rFonts w:hint="eastAsia" w:ascii="宋体" w:hAnsi="宋体"/>
          <w:szCs w:val="21"/>
        </w:rPr>
        <w:t>我公司承诺在本项目投标截止日前一年内,我公司在深圳公共资源交易中心没有出现履约评价为“差”的记录。</w:t>
      </w:r>
    </w:p>
    <w:p>
      <w:pPr>
        <w:spacing w:line="360" w:lineRule="auto"/>
        <w:ind w:firstLine="420" w:firstLineChars="200"/>
        <w:rPr>
          <w:rFonts w:ascii="宋体" w:hAnsi="宋体"/>
          <w:szCs w:val="21"/>
        </w:rPr>
      </w:pPr>
      <w:r>
        <w:rPr>
          <w:rFonts w:hint="eastAsia" w:ascii="宋体" w:hAnsi="宋体"/>
          <w:szCs w:val="21"/>
        </w:rPr>
        <w:t>如若投标文件与实际情况不符，我公司自愿承担“隐瞒真实情况，提供虚假资料”以及其他一切不利的法律后果。</w:t>
      </w:r>
    </w:p>
    <w:p>
      <w:pPr>
        <w:spacing w:line="360" w:lineRule="auto"/>
        <w:ind w:firstLine="420" w:firstLineChars="200"/>
        <w:rPr>
          <w:rFonts w:ascii="宋体" w:hAnsi="宋体"/>
          <w:szCs w:val="21"/>
        </w:rPr>
      </w:pPr>
      <w:r>
        <w:rPr>
          <w:rFonts w:hint="eastAsia" w:ascii="宋体" w:hAnsi="宋体"/>
          <w:szCs w:val="21"/>
        </w:rPr>
        <w:t>特此承诺。</w:t>
      </w:r>
    </w:p>
    <w:p>
      <w:pPr>
        <w:spacing w:line="360" w:lineRule="auto"/>
        <w:ind w:right="480" w:firstLine="3360" w:firstLineChars="1600"/>
        <w:rPr>
          <w:rFonts w:ascii="宋体" w:hAnsi="宋体"/>
          <w:szCs w:val="21"/>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授权代表或法人代表：（签字）</w:t>
      </w:r>
    </w:p>
    <w:p>
      <w:pPr>
        <w:adjustRightInd w:val="0"/>
        <w:snapToGrid w:val="0"/>
        <w:spacing w:line="300" w:lineRule="auto"/>
        <w:ind w:right="420"/>
        <w:rPr>
          <w:snapToGrid w:val="0"/>
          <w:kern w:val="0"/>
        </w:rPr>
      </w:pPr>
    </w:p>
    <w:p>
      <w:pPr>
        <w:adjustRightInd w:val="0"/>
        <w:snapToGrid w:val="0"/>
        <w:spacing w:line="300" w:lineRule="auto"/>
        <w:ind w:right="420"/>
        <w:rPr>
          <w:snapToGrid w:val="0"/>
          <w:kern w:val="0"/>
        </w:rPr>
      </w:pPr>
    </w:p>
    <w:p>
      <w:pPr>
        <w:adjustRightInd w:val="0"/>
        <w:snapToGrid w:val="0"/>
        <w:spacing w:line="360" w:lineRule="auto"/>
        <w:ind w:firstLine="600"/>
        <w:jc w:val="right"/>
      </w:pPr>
      <w:r>
        <w:rPr>
          <w:rFonts w:hint="eastAsia"/>
        </w:rPr>
        <w:t>年     月     日</w:t>
      </w:r>
    </w:p>
    <w:p>
      <w:pPr>
        <w:adjustRightInd w:val="0"/>
        <w:spacing w:line="300" w:lineRule="auto"/>
        <w:ind w:hanging="2"/>
        <w:jc w:val="center"/>
        <w:rPr>
          <w:b/>
          <w:snapToGrid w:val="0"/>
          <w:kern w:val="0"/>
          <w:sz w:val="28"/>
        </w:rPr>
      </w:pPr>
    </w:p>
    <w:p>
      <w:pPr>
        <w:pStyle w:val="6"/>
        <w:tabs>
          <w:tab w:val="left" w:pos="0"/>
        </w:tabs>
        <w:jc w:val="center"/>
        <w:rPr>
          <w:rFonts w:ascii="宋体" w:hAnsi="宋体" w:eastAsia="宋体"/>
        </w:rPr>
      </w:pPr>
      <w:r>
        <w:rPr>
          <w:rFonts w:hint="eastAsia" w:ascii="宋体" w:hAnsi="宋体" w:eastAsia="宋体"/>
        </w:rPr>
        <w:t>中小企业声明函</w:t>
      </w:r>
    </w:p>
    <w:p>
      <w:pPr>
        <w:pStyle w:val="21"/>
        <w:spacing w:line="302" w:lineRule="auto"/>
        <w:ind w:right="-1" w:firstLine="412"/>
        <w:rPr>
          <w:rFonts w:asciiTheme="minorEastAsia" w:hAnsiTheme="minorEastAsia" w:eastAsiaTheme="minorEastAsia"/>
          <w:szCs w:val="21"/>
        </w:rPr>
      </w:pPr>
      <w:r>
        <w:rPr>
          <w:rFonts w:asciiTheme="minorEastAsia" w:hAnsiTheme="minorEastAsia" w:eastAsiaTheme="minorEastAsia"/>
          <w:szCs w:val="21"/>
        </w:rPr>
        <w:t>本公司（联合体）郑重声明，根据《政府采购促进中小企业发展管理办法》（财库</w:t>
      </w:r>
      <w:r>
        <w:rPr>
          <w:rFonts w:hint="eastAsia" w:asciiTheme="minorEastAsia" w:hAnsiTheme="minorEastAsia" w:eastAsiaTheme="minorEastAsia"/>
          <w:szCs w:val="21"/>
        </w:rPr>
        <w:t>﹝</w:t>
      </w:r>
      <w:r>
        <w:rPr>
          <w:rFonts w:asciiTheme="minorEastAsia" w:hAnsiTheme="minorEastAsia" w:eastAsiaTheme="minorEastAsia"/>
          <w:szCs w:val="21"/>
        </w:rPr>
        <w:t>2020</w:t>
      </w:r>
      <w:r>
        <w:rPr>
          <w:rFonts w:hint="eastAsia" w:asciiTheme="minorEastAsia" w:hAnsiTheme="minorEastAsia" w:eastAsiaTheme="minorEastAsia"/>
          <w:szCs w:val="21"/>
        </w:rPr>
        <w:t>﹞</w:t>
      </w:r>
      <w:r>
        <w:rPr>
          <w:rFonts w:asciiTheme="minorEastAsia" w:hAnsiTheme="minorEastAsia" w:eastAsiaTheme="minorEastAsia"/>
          <w:szCs w:val="21"/>
        </w:rPr>
        <w:t>46 号）的规定，本公司（联合体）参加</w:t>
      </w:r>
      <w:r>
        <w:rPr>
          <w:rFonts w:asciiTheme="minorEastAsia" w:hAnsiTheme="minorEastAsia" w:eastAsiaTheme="minorEastAsia"/>
          <w:szCs w:val="21"/>
          <w:u w:val="single"/>
        </w:rPr>
        <w:t>（单位名称）</w:t>
      </w:r>
      <w:r>
        <w:rPr>
          <w:rFonts w:asciiTheme="minorEastAsia" w:hAnsiTheme="minorEastAsia" w:eastAsiaTheme="minorEastAsia"/>
          <w:szCs w:val="21"/>
        </w:rPr>
        <w:t>的</w:t>
      </w:r>
      <w:r>
        <w:rPr>
          <w:rFonts w:asciiTheme="minorEastAsia" w:hAnsiTheme="minorEastAsia" w:eastAsiaTheme="minorEastAsia"/>
          <w:szCs w:val="21"/>
          <w:u w:val="single"/>
        </w:rPr>
        <w:t>（项目名称）</w:t>
      </w:r>
      <w:r>
        <w:rPr>
          <w:rFonts w:asciiTheme="minorEastAsia" w:hAnsiTheme="minorEastAsia" w:eastAsiaTheme="minorEastAsia"/>
          <w:szCs w:val="21"/>
        </w:rPr>
        <w:t>采购活动，</w:t>
      </w:r>
      <w:r>
        <w:rPr>
          <w:rFonts w:hint="eastAsia" w:asciiTheme="minorEastAsia" w:hAnsiTheme="minorEastAsia" w:eastAsiaTheme="minorEastAsia"/>
          <w:szCs w:val="21"/>
        </w:rPr>
        <w:t>提供的货物全部由符合政策要求的中小企业制造</w:t>
      </w:r>
      <w:r>
        <w:rPr>
          <w:rFonts w:asciiTheme="minorEastAsia" w:hAnsiTheme="minorEastAsia" w:eastAsiaTheme="minorEastAsia"/>
          <w:szCs w:val="21"/>
        </w:rPr>
        <w:t>。相关企业（含联合体中的中小企业、签订分包意向协议的中小企业）的具体情况如下：</w:t>
      </w:r>
    </w:p>
    <w:p>
      <w:pPr>
        <w:pStyle w:val="21"/>
        <w:spacing w:line="302" w:lineRule="auto"/>
        <w:ind w:right="-1" w:firstLine="412"/>
        <w:rPr>
          <w:rFonts w:asciiTheme="minorEastAsia" w:hAnsiTheme="minorEastAsia" w:eastAsiaTheme="minorEastAsia"/>
          <w:szCs w:val="21"/>
        </w:rPr>
      </w:pPr>
      <w:r>
        <w:rPr>
          <w:rFonts w:hint="eastAsia" w:asciiTheme="minorEastAsia" w:hAnsiTheme="minorEastAsia" w:eastAsiaTheme="minorEastAsia"/>
          <w:szCs w:val="21"/>
        </w:rPr>
        <w:t xml:space="preserve">1. </w:t>
      </w:r>
      <w:r>
        <w:rPr>
          <w:rFonts w:asciiTheme="minorEastAsia" w:hAnsiTheme="minorEastAsia" w:eastAsiaTheme="minorEastAsia"/>
          <w:szCs w:val="21"/>
          <w:u w:val="single"/>
        </w:rPr>
        <w:t>（标的名称）</w:t>
      </w:r>
      <w:r>
        <w:rPr>
          <w:rFonts w:asciiTheme="minorEastAsia" w:hAnsiTheme="minorEastAsia" w:eastAsiaTheme="minorEastAsia"/>
          <w:szCs w:val="21"/>
        </w:rPr>
        <w:t>，属于</w:t>
      </w:r>
      <w:r>
        <w:rPr>
          <w:rFonts w:asciiTheme="minorEastAsia" w:hAnsiTheme="minorEastAsia" w:eastAsiaTheme="minorEastAsia"/>
          <w:szCs w:val="21"/>
          <w:u w:val="single"/>
        </w:rPr>
        <w:t>（采购文件中明确的所属行业）</w:t>
      </w:r>
      <w:r>
        <w:rPr>
          <w:rFonts w:hint="eastAsia" w:asciiTheme="minorEastAsia" w:hAnsiTheme="minorEastAsia" w:eastAsiaTheme="minorEastAsia"/>
          <w:szCs w:val="21"/>
        </w:rPr>
        <w:t>行业</w:t>
      </w:r>
      <w:r>
        <w:rPr>
          <w:rFonts w:asciiTheme="minorEastAsia" w:hAnsiTheme="minorEastAsia" w:eastAsiaTheme="minorEastAsia"/>
          <w:szCs w:val="21"/>
        </w:rPr>
        <w:t>；</w:t>
      </w:r>
      <w:r>
        <w:rPr>
          <w:rFonts w:hint="eastAsia" w:asciiTheme="minorEastAsia" w:hAnsiTheme="minorEastAsia" w:eastAsiaTheme="minorEastAsia"/>
          <w:szCs w:val="21"/>
        </w:rPr>
        <w:t>制造商</w:t>
      </w:r>
      <w:r>
        <w:rPr>
          <w:rFonts w:asciiTheme="minorEastAsia" w:hAnsiTheme="minorEastAsia" w:eastAsiaTheme="minorEastAsia"/>
          <w:szCs w:val="21"/>
        </w:rPr>
        <w:t>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pPr>
        <w:pStyle w:val="21"/>
        <w:spacing w:line="302" w:lineRule="auto"/>
        <w:ind w:right="-1" w:firstLine="412"/>
        <w:rPr>
          <w:rFonts w:asciiTheme="minorEastAsia" w:hAnsiTheme="minorEastAsia" w:eastAsiaTheme="minorEastAsia"/>
          <w:szCs w:val="21"/>
        </w:rPr>
      </w:pPr>
      <w:r>
        <w:rPr>
          <w:rFonts w:hint="eastAsia" w:asciiTheme="minorEastAsia" w:hAnsiTheme="minorEastAsia" w:eastAsiaTheme="minorEastAsia"/>
          <w:szCs w:val="21"/>
        </w:rPr>
        <w:t xml:space="preserve">2. </w:t>
      </w:r>
      <w:r>
        <w:rPr>
          <w:rFonts w:asciiTheme="minorEastAsia" w:hAnsiTheme="minorEastAsia" w:eastAsiaTheme="minorEastAsia"/>
          <w:szCs w:val="21"/>
          <w:u w:val="single"/>
        </w:rPr>
        <w:t>（标的名称）</w:t>
      </w:r>
      <w:r>
        <w:rPr>
          <w:rFonts w:asciiTheme="minorEastAsia" w:hAnsiTheme="minorEastAsia" w:eastAsiaTheme="minorEastAsia"/>
          <w:szCs w:val="21"/>
        </w:rPr>
        <w:t>，属于</w:t>
      </w:r>
      <w:r>
        <w:rPr>
          <w:rFonts w:asciiTheme="minorEastAsia" w:hAnsiTheme="minorEastAsia" w:eastAsiaTheme="minorEastAsia"/>
          <w:szCs w:val="21"/>
          <w:u w:val="single"/>
        </w:rPr>
        <w:t>（采购文件中明确的所属行业）</w:t>
      </w:r>
      <w:r>
        <w:rPr>
          <w:rFonts w:hint="eastAsia" w:asciiTheme="minorEastAsia" w:hAnsiTheme="minorEastAsia" w:eastAsiaTheme="minorEastAsia"/>
          <w:szCs w:val="21"/>
        </w:rPr>
        <w:t>行业</w:t>
      </w:r>
      <w:r>
        <w:rPr>
          <w:rFonts w:asciiTheme="minorEastAsia" w:hAnsiTheme="minorEastAsia" w:eastAsiaTheme="minorEastAsia"/>
          <w:szCs w:val="21"/>
        </w:rPr>
        <w:t>；</w:t>
      </w:r>
      <w:r>
        <w:rPr>
          <w:rFonts w:hint="eastAsia" w:asciiTheme="minorEastAsia" w:hAnsiTheme="minorEastAsia" w:eastAsiaTheme="minorEastAsia"/>
          <w:szCs w:val="21"/>
        </w:rPr>
        <w:t>制造商</w:t>
      </w:r>
      <w:r>
        <w:rPr>
          <w:rFonts w:asciiTheme="minorEastAsia" w:hAnsiTheme="minorEastAsia" w:eastAsiaTheme="minorEastAsia"/>
          <w:szCs w:val="21"/>
        </w:rPr>
        <w:t>为</w:t>
      </w:r>
      <w:r>
        <w:rPr>
          <w:rFonts w:asciiTheme="minorEastAsia" w:hAnsiTheme="minorEastAsia" w:eastAsiaTheme="minorEastAsia"/>
          <w:szCs w:val="21"/>
          <w:u w:val="single"/>
        </w:rPr>
        <w:t>（企业名称）</w:t>
      </w:r>
      <w:r>
        <w:rPr>
          <w:rFonts w:asciiTheme="minorEastAsia" w:hAnsiTheme="minorEastAsia" w:eastAsiaTheme="minorEastAsia"/>
          <w:szCs w:val="21"/>
        </w:rPr>
        <w:t>，从业人员</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asciiTheme="minorEastAsia" w:hAnsiTheme="minorEastAsia" w:eastAsiaTheme="minorEastAsia"/>
          <w:szCs w:val="21"/>
        </w:rPr>
        <w:t>人，营业收入为</w:t>
      </w:r>
      <w:r>
        <w:rPr>
          <w:rFonts w:asciiTheme="minorEastAsia" w:hAnsiTheme="minorEastAsia" w:eastAsiaTheme="minorEastAsia"/>
          <w:szCs w:val="21"/>
          <w:u w:val="single"/>
        </w:rPr>
        <w:t xml:space="preserve"> </w:t>
      </w:r>
      <w:r>
        <w:rPr>
          <w:rFonts w:asciiTheme="minorEastAsia" w:hAnsiTheme="minorEastAsia" w:eastAsiaTheme="minorEastAsia"/>
          <w:szCs w:val="21"/>
          <w:u w:val="single"/>
        </w:rPr>
        <w:tab/>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万元，资产总额为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万元，属于</w:t>
      </w:r>
      <w:r>
        <w:rPr>
          <w:rFonts w:asciiTheme="minorEastAsia" w:hAnsiTheme="minorEastAsia" w:eastAsiaTheme="minorEastAsia"/>
          <w:szCs w:val="21"/>
          <w:u w:val="single"/>
        </w:rPr>
        <w:t>（中型企业、小型企业、微型企业）</w:t>
      </w:r>
      <w:r>
        <w:rPr>
          <w:rFonts w:asciiTheme="minorEastAsia" w:hAnsiTheme="minorEastAsia" w:eastAsiaTheme="minorEastAsia"/>
          <w:szCs w:val="21"/>
        </w:rPr>
        <w:t>；</w:t>
      </w:r>
    </w:p>
    <w:p>
      <w:pPr>
        <w:pStyle w:val="21"/>
        <w:spacing w:before="11"/>
        <w:ind w:right="-1" w:firstLine="424" w:firstLineChars="202"/>
        <w:rPr>
          <w:rFonts w:asciiTheme="minorEastAsia" w:hAnsiTheme="minorEastAsia" w:eastAsiaTheme="minorEastAsia"/>
          <w:szCs w:val="21"/>
        </w:rPr>
      </w:pPr>
      <w:r>
        <w:rPr>
          <w:rFonts w:asciiTheme="minorEastAsia" w:hAnsiTheme="minorEastAsia" w:eastAsiaTheme="minorEastAsia"/>
          <w:szCs w:val="21"/>
        </w:rPr>
        <w:t>……</w:t>
      </w:r>
    </w:p>
    <w:p>
      <w:pPr>
        <w:pStyle w:val="21"/>
        <w:spacing w:before="108" w:line="304" w:lineRule="auto"/>
        <w:ind w:right="-1" w:firstLine="408"/>
        <w:rPr>
          <w:rFonts w:asciiTheme="minorEastAsia" w:hAnsiTheme="minorEastAsia" w:eastAsiaTheme="minorEastAsia"/>
          <w:szCs w:val="21"/>
        </w:rPr>
      </w:pPr>
      <w:r>
        <w:rPr>
          <w:rFonts w:asciiTheme="minorEastAsia" w:hAnsiTheme="minorEastAsia" w:eastAsiaTheme="minorEastAsia"/>
          <w:szCs w:val="21"/>
        </w:rPr>
        <w:t>以上企业，不属于大企业的分支机构，不存在控股股东为大企业的情形，也不存在与大企业的负责人为同一人的情形。</w:t>
      </w:r>
    </w:p>
    <w:p>
      <w:pPr>
        <w:spacing w:line="360" w:lineRule="auto"/>
        <w:ind w:right="-1" w:firstLine="420" w:firstLineChars="200"/>
        <w:rPr>
          <w:rFonts w:asciiTheme="minorEastAsia" w:hAnsiTheme="minorEastAsia" w:eastAsiaTheme="minorEastAsia"/>
          <w:szCs w:val="21"/>
        </w:rPr>
      </w:pPr>
      <w:r>
        <w:rPr>
          <w:rFonts w:asciiTheme="minorEastAsia" w:hAnsiTheme="minorEastAsia" w:eastAsiaTheme="minorEastAsia"/>
          <w:szCs w:val="21"/>
        </w:rPr>
        <w:t>本企业对上述声明内容的真实性负责。如有虚假，将依法承担相应责任</w:t>
      </w:r>
      <w:r>
        <w:rPr>
          <w:rFonts w:hint="eastAsia" w:asciiTheme="minorEastAsia" w:hAnsiTheme="minorEastAsia" w:eastAsiaTheme="minorEastAsia"/>
          <w:szCs w:val="21"/>
        </w:rPr>
        <w:t>。</w:t>
      </w:r>
    </w:p>
    <w:p>
      <w:pPr>
        <w:spacing w:line="360" w:lineRule="auto"/>
        <w:ind w:right="-1" w:firstLine="420" w:firstLineChars="200"/>
        <w:rPr>
          <w:rFonts w:asciiTheme="minorEastAsia" w:hAnsiTheme="minorEastAsia" w:eastAsiaTheme="minorEastAsia"/>
          <w:szCs w:val="21"/>
        </w:rPr>
      </w:pPr>
      <w:r>
        <w:rPr>
          <w:rFonts w:asciiTheme="minorEastAsia" w:hAnsiTheme="minorEastAsia" w:eastAsiaTheme="minorEastAsia"/>
          <w:szCs w:val="21"/>
        </w:rPr>
        <w:t>本企业</w:t>
      </w:r>
      <w:r>
        <w:rPr>
          <w:rFonts w:hint="eastAsia" w:asciiTheme="minorEastAsia" w:hAnsiTheme="minorEastAsia" w:eastAsiaTheme="minorEastAsia"/>
          <w:szCs w:val="21"/>
        </w:rPr>
        <w:t>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pPr>
        <w:spacing w:line="360" w:lineRule="auto"/>
        <w:ind w:firstLine="420" w:firstLineChars="200"/>
        <w:jc w:val="right"/>
        <w:rPr>
          <w:rFonts w:ascii="宋体" w:hAnsi="宋体"/>
          <w:szCs w:val="21"/>
        </w:rPr>
      </w:pPr>
      <w:r>
        <w:rPr>
          <w:rFonts w:hint="eastAsia" w:ascii="宋体" w:hAnsi="宋体"/>
          <w:szCs w:val="21"/>
        </w:rPr>
        <w:t>投标人名称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pPr>
        <w:spacing w:line="360" w:lineRule="auto"/>
        <w:ind w:firstLine="420" w:firstLineChars="200"/>
        <w:rPr>
          <w:rFonts w:ascii="宋体" w:hAnsi="宋体"/>
          <w:szCs w:val="21"/>
        </w:rPr>
      </w:pPr>
      <w:r>
        <w:rPr>
          <w:rFonts w:hint="eastAsia" w:ascii="宋体" w:hAnsi="宋体"/>
          <w:szCs w:val="21"/>
        </w:rPr>
        <w:t>备注：</w:t>
      </w:r>
    </w:p>
    <w:p>
      <w:pPr>
        <w:spacing w:line="360" w:lineRule="auto"/>
        <w:ind w:firstLine="420" w:firstLineChars="200"/>
        <w:rPr>
          <w:rFonts w:ascii="宋体" w:hAnsi="宋体"/>
          <w:szCs w:val="21"/>
        </w:rPr>
      </w:pPr>
      <w:r>
        <w:rPr>
          <w:rFonts w:hint="eastAsia" w:ascii="宋体" w:hAnsi="宋体"/>
          <w:szCs w:val="21"/>
        </w:rPr>
        <w:t>1、填写前请认真阅读《工业和信息化部、国家统计局、国家发展和改革委员会、财政部关于印发中小企业划型标准规定的通知》</w:t>
      </w:r>
      <w:r>
        <w:rPr>
          <w:rFonts w:ascii="宋体" w:hAnsi="宋体"/>
          <w:szCs w:val="21"/>
        </w:rPr>
        <w:t>(</w:t>
      </w:r>
      <w:r>
        <w:rPr>
          <w:rFonts w:hint="eastAsia" w:ascii="宋体" w:hAnsi="宋体"/>
          <w:szCs w:val="21"/>
        </w:rPr>
        <w:t>工信部联企业〔</w:t>
      </w:r>
      <w:r>
        <w:rPr>
          <w:rFonts w:ascii="宋体" w:hAnsi="宋体"/>
          <w:szCs w:val="21"/>
        </w:rPr>
        <w:t>2011</w:t>
      </w:r>
      <w:r>
        <w:rPr>
          <w:rFonts w:hint="eastAsia" w:ascii="宋体" w:hAnsi="宋体"/>
          <w:szCs w:val="21"/>
        </w:rPr>
        <w:t>〕</w:t>
      </w:r>
      <w:r>
        <w:rPr>
          <w:rFonts w:ascii="宋体" w:hAnsi="宋体"/>
          <w:szCs w:val="21"/>
        </w:rPr>
        <w:t>300</w:t>
      </w:r>
      <w:r>
        <w:rPr>
          <w:rFonts w:hint="eastAsia" w:ascii="宋体" w:hAnsi="宋体"/>
          <w:szCs w:val="21"/>
        </w:rPr>
        <w:t>号</w:t>
      </w:r>
      <w:r>
        <w:rPr>
          <w:rFonts w:ascii="宋体" w:hAnsi="宋体"/>
          <w:szCs w:val="21"/>
        </w:rPr>
        <w:t>)</w:t>
      </w:r>
      <w:r>
        <w:rPr>
          <w:rFonts w:hint="eastAsia" w:ascii="宋体" w:hAnsi="宋体"/>
          <w:szCs w:val="21"/>
        </w:rPr>
        <w:t>和《财政部 工业和信息化部关于印发《政府采购促进中小企业发展管理办法》的通知》</w:t>
      </w:r>
      <w:r>
        <w:rPr>
          <w:rFonts w:ascii="宋体" w:hAnsi="宋体"/>
          <w:szCs w:val="21"/>
        </w:rPr>
        <w:t>(</w:t>
      </w:r>
      <w:r>
        <w:rPr>
          <w:rFonts w:hint="eastAsia" w:ascii="宋体" w:hAnsi="宋体"/>
          <w:szCs w:val="21"/>
        </w:rPr>
        <w:t>财库〔2020〕46号</w:t>
      </w:r>
      <w:r>
        <w:rPr>
          <w:rFonts w:ascii="宋体" w:hAnsi="宋体"/>
          <w:szCs w:val="21"/>
        </w:rPr>
        <w:t>)</w:t>
      </w:r>
      <w:r>
        <w:rPr>
          <w:rFonts w:hint="eastAsia" w:ascii="宋体" w:hAnsi="宋体"/>
          <w:szCs w:val="21"/>
        </w:rPr>
        <w:t>相关规定。如不符合前述相关规定所确定的</w:t>
      </w:r>
      <w:r>
        <w:rPr>
          <w:rFonts w:hint="eastAsia" w:ascii="宋体" w:hAnsi="宋体"/>
          <w:b/>
          <w:szCs w:val="21"/>
        </w:rPr>
        <w:t>小型和微型企业</w:t>
      </w:r>
      <w:r>
        <w:rPr>
          <w:rFonts w:hint="eastAsia" w:ascii="宋体" w:hAnsi="宋体"/>
          <w:szCs w:val="21"/>
        </w:rPr>
        <w:t>，则不需要在投标文件中提供本《中小企业声明函》；若符合前述相关规定所确定的小型和微型企业，在投标文件中没有提供本《中小企业声明函》，视为在本项目中放弃政府采购政策扶持，不进行价格扣除。</w:t>
      </w:r>
    </w:p>
    <w:p>
      <w:pPr>
        <w:spacing w:line="360" w:lineRule="auto"/>
        <w:ind w:firstLine="420" w:firstLineChars="200"/>
        <w:rPr>
          <w:rFonts w:ascii="宋体" w:hAnsi="宋体"/>
          <w:szCs w:val="21"/>
        </w:rPr>
      </w:pPr>
      <w:r>
        <w:rPr>
          <w:rFonts w:hint="eastAsia" w:ascii="宋体" w:hAnsi="宋体"/>
          <w:szCs w:val="21"/>
        </w:rPr>
        <w:t>2、从业人员、营业收入、资产总额填报上一年度数据，无上一年度数据的新成立企业可不填报。</w:t>
      </w:r>
    </w:p>
    <w:p>
      <w:pPr>
        <w:spacing w:line="360" w:lineRule="auto"/>
        <w:ind w:firstLine="420" w:firstLineChars="200"/>
        <w:rPr>
          <w:rFonts w:ascii="宋体" w:hAnsi="宋体"/>
          <w:szCs w:val="21"/>
        </w:rPr>
      </w:pPr>
      <w:r>
        <w:rPr>
          <w:rFonts w:hint="eastAsia" w:ascii="宋体" w:hAnsi="宋体"/>
          <w:szCs w:val="21"/>
        </w:rPr>
        <w:t>3、供应商提供的货物既有中小企业制造货物，也有大型企业制造货物的，不享受中小企业扶持政策。</w:t>
      </w:r>
    </w:p>
    <w:p>
      <w:pPr>
        <w:pStyle w:val="6"/>
        <w:tabs>
          <w:tab w:val="left" w:pos="0"/>
        </w:tabs>
        <w:jc w:val="center"/>
        <w:rPr>
          <w:rFonts w:ascii="宋体" w:hAnsi="宋体" w:eastAsia="宋体"/>
        </w:rPr>
      </w:pPr>
      <w:r>
        <w:rPr>
          <w:rFonts w:hint="eastAsia" w:ascii="宋体" w:hAnsi="宋体" w:eastAsia="宋体"/>
        </w:rPr>
        <w:t>监狱企业声明函</w:t>
      </w:r>
    </w:p>
    <w:p>
      <w:pPr>
        <w:spacing w:line="360" w:lineRule="auto"/>
        <w:ind w:firstLine="420" w:firstLineChars="200"/>
        <w:rPr>
          <w:rFonts w:ascii="宋体" w:hAnsi="宋体"/>
          <w:szCs w:val="21"/>
        </w:rPr>
      </w:pPr>
      <w:r>
        <w:rPr>
          <w:rFonts w:hint="eastAsia" w:ascii="宋体" w:hAnsi="宋体"/>
          <w:szCs w:val="21"/>
        </w:rPr>
        <w:t>本单位郑重声明，根据《财政部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jc w:val="right"/>
        <w:rPr>
          <w:rFonts w:ascii="宋体" w:hAnsi="宋体"/>
          <w:szCs w:val="21"/>
        </w:rPr>
      </w:pPr>
      <w:r>
        <w:rPr>
          <w:rFonts w:hint="eastAsia" w:ascii="宋体" w:hAnsi="宋体"/>
          <w:szCs w:val="21"/>
        </w:rPr>
        <w:t>投标人名称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pPr>
        <w:spacing w:line="360" w:lineRule="auto"/>
        <w:ind w:firstLine="420" w:firstLineChars="200"/>
        <w:jc w:val="right"/>
        <w:rPr>
          <w:rFonts w:ascii="宋体" w:hAnsi="宋体"/>
          <w:szCs w:val="21"/>
        </w:rPr>
      </w:pPr>
    </w:p>
    <w:p>
      <w:pPr>
        <w:spacing w:after="60" w:line="360" w:lineRule="auto"/>
        <w:ind w:firstLine="422" w:firstLineChars="200"/>
        <w:rPr>
          <w:rFonts w:ascii="宋体" w:hAnsi="宋体"/>
          <w:b/>
          <w:szCs w:val="21"/>
        </w:rPr>
      </w:pPr>
      <w:r>
        <w:rPr>
          <w:rFonts w:hint="eastAsia" w:ascii="宋体" w:hAnsi="宋体"/>
          <w:b/>
          <w:szCs w:val="21"/>
        </w:rPr>
        <w:t>附：省级以上监狱管理局、戒毒管理局（含新疆生产建设兵团）出具的监狱企业证明文件。</w:t>
      </w:r>
    </w:p>
    <w:p>
      <w:pPr>
        <w:spacing w:line="360" w:lineRule="auto"/>
        <w:ind w:left="723" w:hanging="723" w:hangingChars="300"/>
        <w:rPr>
          <w:b/>
          <w:sz w:val="24"/>
        </w:rPr>
      </w:pPr>
    </w:p>
    <w:p>
      <w:pPr>
        <w:spacing w:line="360" w:lineRule="auto"/>
        <w:ind w:firstLine="424" w:firstLineChars="202"/>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政府采购政策扶持，不进行价格扣除。</w:t>
      </w:r>
    </w:p>
    <w:p>
      <w:pPr>
        <w:pStyle w:val="6"/>
        <w:tabs>
          <w:tab w:val="left" w:pos="0"/>
        </w:tabs>
        <w:jc w:val="center"/>
        <w:rPr>
          <w:rFonts w:ascii="宋体" w:hAnsi="宋体" w:eastAsia="宋体"/>
        </w:rPr>
      </w:pPr>
      <w:r>
        <w:rPr>
          <w:rFonts w:hint="eastAsia" w:ascii="宋体" w:hAnsi="宋体" w:eastAsia="宋体"/>
        </w:rPr>
        <w:t>残疾人福利性单位声明函</w:t>
      </w: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ind w:firstLine="420" w:firstLineChars="200"/>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pPr>
        <w:spacing w:line="360" w:lineRule="auto"/>
        <w:ind w:firstLine="420" w:firstLineChars="200"/>
        <w:jc w:val="right"/>
        <w:rPr>
          <w:rFonts w:ascii="宋体" w:hAnsi="宋体"/>
          <w:szCs w:val="21"/>
        </w:rPr>
      </w:pPr>
      <w:r>
        <w:rPr>
          <w:rFonts w:hint="eastAsia" w:ascii="宋体" w:hAnsi="宋体"/>
          <w:szCs w:val="21"/>
        </w:rPr>
        <w:t>投标人名称</w:t>
      </w:r>
      <w:r>
        <w:rPr>
          <w:rFonts w:ascii="宋体" w:hAnsi="宋体"/>
          <w:szCs w:val="21"/>
        </w:rPr>
        <w:t>(</w:t>
      </w:r>
      <w:r>
        <w:rPr>
          <w:rFonts w:hint="eastAsia" w:ascii="宋体" w:hAnsi="宋体"/>
          <w:szCs w:val="21"/>
        </w:rPr>
        <w:t>公章</w:t>
      </w:r>
      <w:r>
        <w:rPr>
          <w:rFonts w:ascii="宋体" w:hAnsi="宋体"/>
          <w:szCs w:val="21"/>
        </w:rPr>
        <w:t>)</w:t>
      </w:r>
      <w:r>
        <w:rPr>
          <w:rFonts w:hint="eastAsia" w:ascii="宋体" w:hAnsi="宋体"/>
          <w:szCs w:val="21"/>
        </w:rPr>
        <w:t>：</w:t>
      </w:r>
      <w:r>
        <w:rPr>
          <w:rFonts w:ascii="宋体" w:hAnsi="宋体"/>
          <w:szCs w:val="21"/>
        </w:rPr>
        <w:t>________</w:t>
      </w:r>
    </w:p>
    <w:p>
      <w:pPr>
        <w:spacing w:line="360" w:lineRule="auto"/>
        <w:ind w:firstLine="420" w:firstLineChars="200"/>
        <w:jc w:val="right"/>
        <w:rPr>
          <w:rFonts w:ascii="宋体" w:hAnsi="宋体"/>
          <w:szCs w:val="21"/>
        </w:rPr>
      </w:pPr>
      <w:r>
        <w:rPr>
          <w:rFonts w:hint="eastAsia" w:ascii="宋体" w:hAnsi="宋体"/>
          <w:szCs w:val="21"/>
        </w:rPr>
        <w:t>日期：</w:t>
      </w:r>
      <w:r>
        <w:rPr>
          <w:rFonts w:ascii="宋体" w:hAnsi="宋体"/>
          <w:szCs w:val="21"/>
        </w:rPr>
        <w:t>________________</w:t>
      </w:r>
    </w:p>
    <w:p>
      <w:pPr>
        <w:spacing w:line="360" w:lineRule="auto"/>
        <w:jc w:val="left"/>
        <w:rPr>
          <w:rFonts w:ascii="宋体" w:hAnsi="宋体"/>
          <w:szCs w:val="21"/>
        </w:rPr>
      </w:pPr>
      <w:r>
        <w:rPr>
          <w:rFonts w:hint="eastAsia" w:ascii="宋体" w:hAnsi="宋体"/>
          <w:szCs w:val="21"/>
        </w:rPr>
        <w:t xml:space="preserve">    备注：填写前请认真阅读《财政部、民政部、中国残疾人联合会关于促进残疾人就业政府采购政策的通知》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政府采购政策扶持，不进行价格扣除。</w:t>
      </w:r>
    </w:p>
    <w:p>
      <w:pPr>
        <w:pStyle w:val="6"/>
        <w:tabs>
          <w:tab w:val="left" w:pos="0"/>
        </w:tabs>
        <w:jc w:val="center"/>
        <w:rPr>
          <w:rFonts w:ascii="宋体" w:hAnsi="宋体" w:eastAsia="宋体"/>
        </w:rPr>
      </w:pPr>
      <w:r>
        <w:rPr>
          <w:rFonts w:hint="eastAsia" w:ascii="宋体" w:hAnsi="宋体" w:eastAsia="宋体"/>
        </w:rPr>
        <w:t>列入政府优先采购清单的投标产品一览表</w:t>
      </w:r>
    </w:p>
    <w:tbl>
      <w:tblPr>
        <w:tblStyle w:val="5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213"/>
        <w:gridCol w:w="1840"/>
        <w:gridCol w:w="818"/>
        <w:gridCol w:w="989"/>
        <w:gridCol w:w="1080"/>
        <w:gridCol w:w="1464"/>
        <w:gridCol w:w="1503"/>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vMerge w:val="restart"/>
            <w:vAlign w:val="center"/>
          </w:tcPr>
          <w:p>
            <w:pPr>
              <w:rPr>
                <w:b/>
                <w:szCs w:val="21"/>
              </w:rPr>
            </w:pPr>
            <w:r>
              <w:rPr>
                <w:rFonts w:hint="eastAsia"/>
                <w:b/>
                <w:szCs w:val="21"/>
              </w:rPr>
              <w:t>序号</w:t>
            </w:r>
          </w:p>
        </w:tc>
        <w:tc>
          <w:tcPr>
            <w:tcW w:w="1213" w:type="dxa"/>
            <w:vMerge w:val="restart"/>
            <w:vAlign w:val="center"/>
          </w:tcPr>
          <w:p>
            <w:pPr>
              <w:jc w:val="center"/>
              <w:rPr>
                <w:b/>
                <w:szCs w:val="21"/>
              </w:rPr>
            </w:pPr>
            <w:r>
              <w:rPr>
                <w:rFonts w:hint="eastAsia"/>
                <w:b/>
                <w:szCs w:val="21"/>
              </w:rPr>
              <w:t>投标产品名称</w:t>
            </w:r>
          </w:p>
        </w:tc>
        <w:tc>
          <w:tcPr>
            <w:tcW w:w="1840" w:type="dxa"/>
            <w:vMerge w:val="restart"/>
            <w:vAlign w:val="center"/>
          </w:tcPr>
          <w:p>
            <w:pPr>
              <w:jc w:val="center"/>
              <w:rPr>
                <w:b/>
                <w:szCs w:val="21"/>
              </w:rPr>
            </w:pPr>
            <w:r>
              <w:rPr>
                <w:rFonts w:hint="eastAsia"/>
                <w:b/>
                <w:szCs w:val="21"/>
              </w:rPr>
              <w:t>规格及型号</w:t>
            </w:r>
          </w:p>
        </w:tc>
        <w:tc>
          <w:tcPr>
            <w:tcW w:w="4351" w:type="dxa"/>
            <w:gridSpan w:val="4"/>
          </w:tcPr>
          <w:p>
            <w:pPr>
              <w:jc w:val="center"/>
              <w:rPr>
                <w:b/>
                <w:szCs w:val="21"/>
              </w:rPr>
            </w:pPr>
            <w:r>
              <w:rPr>
                <w:rFonts w:hint="eastAsia"/>
                <w:b/>
                <w:szCs w:val="21"/>
              </w:rPr>
              <w:t>该投标产品报价及占投标总价的比例</w:t>
            </w:r>
          </w:p>
        </w:tc>
        <w:tc>
          <w:tcPr>
            <w:tcW w:w="1503" w:type="dxa"/>
            <w:vMerge w:val="restart"/>
            <w:vAlign w:val="center"/>
          </w:tcPr>
          <w:p>
            <w:pPr>
              <w:rPr>
                <w:b/>
                <w:szCs w:val="21"/>
              </w:rPr>
            </w:pPr>
            <w:r>
              <w:rPr>
                <w:rFonts w:hint="eastAsia"/>
                <w:b/>
                <w:szCs w:val="21"/>
              </w:rPr>
              <w:t>属于优先采购清单的类别</w:t>
            </w:r>
          </w:p>
        </w:tc>
        <w:tc>
          <w:tcPr>
            <w:tcW w:w="720" w:type="dxa"/>
            <w:vMerge w:val="restart"/>
            <w:vAlign w:val="center"/>
          </w:tcPr>
          <w:p>
            <w:pP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vMerge w:val="continue"/>
            <w:vAlign w:val="center"/>
          </w:tcPr>
          <w:p>
            <w:pPr>
              <w:rPr>
                <w:szCs w:val="21"/>
              </w:rPr>
            </w:pPr>
          </w:p>
        </w:tc>
        <w:tc>
          <w:tcPr>
            <w:tcW w:w="1213" w:type="dxa"/>
            <w:vMerge w:val="continue"/>
            <w:vAlign w:val="center"/>
          </w:tcPr>
          <w:p>
            <w:pPr>
              <w:rPr>
                <w:szCs w:val="21"/>
              </w:rPr>
            </w:pPr>
          </w:p>
        </w:tc>
        <w:tc>
          <w:tcPr>
            <w:tcW w:w="1840" w:type="dxa"/>
            <w:vMerge w:val="continue"/>
            <w:vAlign w:val="center"/>
          </w:tcPr>
          <w:p>
            <w:pPr>
              <w:rPr>
                <w:szCs w:val="21"/>
              </w:rPr>
            </w:pPr>
          </w:p>
        </w:tc>
        <w:tc>
          <w:tcPr>
            <w:tcW w:w="818" w:type="dxa"/>
            <w:vAlign w:val="center"/>
          </w:tcPr>
          <w:p>
            <w:pPr>
              <w:rPr>
                <w:szCs w:val="21"/>
              </w:rPr>
            </w:pPr>
            <w:r>
              <w:rPr>
                <w:rFonts w:hint="eastAsia"/>
                <w:szCs w:val="21"/>
              </w:rPr>
              <w:t>数量</w:t>
            </w:r>
          </w:p>
        </w:tc>
        <w:tc>
          <w:tcPr>
            <w:tcW w:w="989" w:type="dxa"/>
            <w:vAlign w:val="center"/>
          </w:tcPr>
          <w:p>
            <w:pPr>
              <w:rPr>
                <w:szCs w:val="21"/>
              </w:rPr>
            </w:pPr>
            <w:r>
              <w:rPr>
                <w:rFonts w:hint="eastAsia"/>
                <w:szCs w:val="21"/>
              </w:rPr>
              <w:t>投标单价（元）</w:t>
            </w:r>
          </w:p>
        </w:tc>
        <w:tc>
          <w:tcPr>
            <w:tcW w:w="1080" w:type="dxa"/>
            <w:vAlign w:val="center"/>
          </w:tcPr>
          <w:p>
            <w:pPr>
              <w:rPr>
                <w:szCs w:val="21"/>
              </w:rPr>
            </w:pPr>
            <w:r>
              <w:rPr>
                <w:rFonts w:hint="eastAsia"/>
                <w:szCs w:val="21"/>
              </w:rPr>
              <w:t>投标合计报价（元）</w:t>
            </w:r>
          </w:p>
        </w:tc>
        <w:tc>
          <w:tcPr>
            <w:tcW w:w="1464" w:type="dxa"/>
            <w:vAlign w:val="center"/>
          </w:tcPr>
          <w:p>
            <w:pPr>
              <w:rPr>
                <w:szCs w:val="21"/>
              </w:rPr>
            </w:pPr>
            <w:r>
              <w:rPr>
                <w:rFonts w:hint="eastAsia"/>
                <w:szCs w:val="21"/>
              </w:rPr>
              <w:t>占投标总价的比例（%）</w:t>
            </w:r>
          </w:p>
        </w:tc>
        <w:tc>
          <w:tcPr>
            <w:tcW w:w="1503" w:type="dxa"/>
            <w:vMerge w:val="continue"/>
            <w:vAlign w:val="center"/>
          </w:tcPr>
          <w:p>
            <w:pPr>
              <w:rPr>
                <w:szCs w:val="21"/>
              </w:rPr>
            </w:pPr>
          </w:p>
        </w:tc>
        <w:tc>
          <w:tcPr>
            <w:tcW w:w="720"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0" w:type="dxa"/>
          </w:tcPr>
          <w:p>
            <w:pPr>
              <w:rPr>
                <w:rFonts w:ascii="宋体" w:hAnsi="宋体"/>
                <w:szCs w:val="21"/>
              </w:rPr>
            </w:pPr>
            <w:r>
              <w:rPr>
                <w:rFonts w:hint="eastAsia" w:ascii="宋体" w:hAnsi="宋体"/>
                <w:szCs w:val="21"/>
              </w:rPr>
              <w:t>1</w:t>
            </w:r>
          </w:p>
        </w:tc>
        <w:tc>
          <w:tcPr>
            <w:tcW w:w="1213" w:type="dxa"/>
          </w:tcPr>
          <w:p>
            <w:pPr>
              <w:rPr>
                <w:szCs w:val="21"/>
              </w:rPr>
            </w:pPr>
          </w:p>
        </w:tc>
        <w:tc>
          <w:tcPr>
            <w:tcW w:w="1840" w:type="dxa"/>
          </w:tcPr>
          <w:p>
            <w:pPr>
              <w:rPr>
                <w:szCs w:val="21"/>
              </w:rPr>
            </w:pPr>
          </w:p>
        </w:tc>
        <w:tc>
          <w:tcPr>
            <w:tcW w:w="818" w:type="dxa"/>
          </w:tcPr>
          <w:p>
            <w:pPr>
              <w:rPr>
                <w:szCs w:val="21"/>
              </w:rPr>
            </w:pPr>
          </w:p>
        </w:tc>
        <w:tc>
          <w:tcPr>
            <w:tcW w:w="989" w:type="dxa"/>
          </w:tcPr>
          <w:p>
            <w:pPr>
              <w:rPr>
                <w:szCs w:val="21"/>
              </w:rPr>
            </w:pPr>
          </w:p>
        </w:tc>
        <w:tc>
          <w:tcPr>
            <w:tcW w:w="1080" w:type="dxa"/>
          </w:tcPr>
          <w:p>
            <w:pPr>
              <w:rPr>
                <w:szCs w:val="21"/>
              </w:rPr>
            </w:pPr>
          </w:p>
        </w:tc>
        <w:tc>
          <w:tcPr>
            <w:tcW w:w="1464" w:type="dxa"/>
          </w:tcPr>
          <w:p>
            <w:pPr>
              <w:rPr>
                <w:szCs w:val="21"/>
              </w:rPr>
            </w:pPr>
          </w:p>
        </w:tc>
        <w:tc>
          <w:tcPr>
            <w:tcW w:w="1503" w:type="dxa"/>
          </w:tcPr>
          <w:p>
            <w:pPr>
              <w:rPr>
                <w:szCs w:val="21"/>
              </w:rPr>
            </w:pPr>
          </w:p>
        </w:tc>
        <w:tc>
          <w:tcPr>
            <w:tcW w:w="72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40" w:type="dxa"/>
          </w:tcPr>
          <w:p>
            <w:pPr>
              <w:rPr>
                <w:rFonts w:ascii="宋体" w:hAnsi="宋体"/>
                <w:szCs w:val="21"/>
              </w:rPr>
            </w:pPr>
            <w:r>
              <w:rPr>
                <w:rFonts w:hint="eastAsia" w:ascii="宋体" w:hAnsi="宋体"/>
                <w:szCs w:val="21"/>
              </w:rPr>
              <w:t>2</w:t>
            </w:r>
          </w:p>
        </w:tc>
        <w:tc>
          <w:tcPr>
            <w:tcW w:w="1213" w:type="dxa"/>
          </w:tcPr>
          <w:p>
            <w:pPr>
              <w:rPr>
                <w:szCs w:val="21"/>
              </w:rPr>
            </w:pPr>
          </w:p>
        </w:tc>
        <w:tc>
          <w:tcPr>
            <w:tcW w:w="1840" w:type="dxa"/>
          </w:tcPr>
          <w:p>
            <w:pPr>
              <w:rPr>
                <w:szCs w:val="21"/>
              </w:rPr>
            </w:pPr>
          </w:p>
        </w:tc>
        <w:tc>
          <w:tcPr>
            <w:tcW w:w="818" w:type="dxa"/>
          </w:tcPr>
          <w:p>
            <w:pPr>
              <w:rPr>
                <w:szCs w:val="21"/>
              </w:rPr>
            </w:pPr>
          </w:p>
        </w:tc>
        <w:tc>
          <w:tcPr>
            <w:tcW w:w="989" w:type="dxa"/>
          </w:tcPr>
          <w:p>
            <w:pPr>
              <w:rPr>
                <w:szCs w:val="21"/>
              </w:rPr>
            </w:pPr>
          </w:p>
        </w:tc>
        <w:tc>
          <w:tcPr>
            <w:tcW w:w="1080" w:type="dxa"/>
          </w:tcPr>
          <w:p>
            <w:pPr>
              <w:rPr>
                <w:szCs w:val="21"/>
              </w:rPr>
            </w:pPr>
          </w:p>
        </w:tc>
        <w:tc>
          <w:tcPr>
            <w:tcW w:w="1464" w:type="dxa"/>
          </w:tcPr>
          <w:p>
            <w:pPr>
              <w:rPr>
                <w:szCs w:val="21"/>
              </w:rPr>
            </w:pPr>
          </w:p>
        </w:tc>
        <w:tc>
          <w:tcPr>
            <w:tcW w:w="1503" w:type="dxa"/>
          </w:tcPr>
          <w:p>
            <w:pPr>
              <w:rPr>
                <w:szCs w:val="21"/>
              </w:rPr>
            </w:pPr>
          </w:p>
        </w:tc>
        <w:tc>
          <w:tcPr>
            <w:tcW w:w="720" w:type="dxa"/>
          </w:tcPr>
          <w:p>
            <w:pPr>
              <w:rPr>
                <w:szCs w:val="21"/>
              </w:rPr>
            </w:pPr>
          </w:p>
        </w:tc>
      </w:tr>
    </w:tbl>
    <w:p>
      <w:pPr>
        <w:spacing w:line="360" w:lineRule="auto"/>
        <w:rPr>
          <w:szCs w:val="21"/>
        </w:rPr>
      </w:pPr>
      <w:r>
        <w:rPr>
          <w:rFonts w:hint="eastAsia"/>
          <w:szCs w:val="21"/>
        </w:rPr>
        <w:t>注</w:t>
      </w:r>
      <w:r>
        <w:rPr>
          <w:rFonts w:hint="eastAsia" w:ascii="宋体" w:hAnsi="宋体"/>
          <w:szCs w:val="21"/>
        </w:rPr>
        <w:t xml:space="preserve">：1. </w:t>
      </w:r>
      <w:r>
        <w:rPr>
          <w:rFonts w:hint="eastAsia"/>
          <w:szCs w:val="21"/>
        </w:rPr>
        <w:t>投标人的投标产品若不属于招标文件第四章“政府采购</w:t>
      </w:r>
      <w:r>
        <w:rPr>
          <w:rFonts w:hint="eastAsia"/>
          <w:bCs/>
          <w:szCs w:val="21"/>
        </w:rPr>
        <w:t>优惠政策”</w:t>
      </w:r>
      <w:r>
        <w:rPr>
          <w:rFonts w:hint="eastAsia"/>
          <w:szCs w:val="21"/>
        </w:rPr>
        <w:t>中所述清单或目录范围内，则无需填写该表。</w:t>
      </w:r>
    </w:p>
    <w:p>
      <w:pPr>
        <w:spacing w:line="360" w:lineRule="auto"/>
        <w:rPr>
          <w:rFonts w:ascii="宋体" w:hAnsi="宋体"/>
          <w:szCs w:val="21"/>
        </w:rPr>
      </w:pPr>
      <w:r>
        <w:rPr>
          <w:rFonts w:hint="eastAsia" w:ascii="宋体" w:hAnsi="宋体"/>
          <w:szCs w:val="21"/>
        </w:rPr>
        <w:t>2. “该投标产品报价及占投标总价的比例”栏中须准确填报该投标产品的投标单价、数量、投标合计报价及占</w:t>
      </w:r>
      <w:r>
        <w:rPr>
          <w:rFonts w:hint="eastAsia"/>
          <w:szCs w:val="21"/>
        </w:rPr>
        <w:t>投标总</w:t>
      </w:r>
      <w:r>
        <w:rPr>
          <w:rFonts w:hint="eastAsia" w:ascii="宋体" w:hAnsi="宋体"/>
          <w:szCs w:val="21"/>
        </w:rPr>
        <w:t>价的比例。</w:t>
      </w:r>
    </w:p>
    <w:p>
      <w:pPr>
        <w:spacing w:line="360" w:lineRule="auto"/>
        <w:rPr>
          <w:rFonts w:ascii="宋体" w:hAnsi="宋体"/>
          <w:szCs w:val="21"/>
        </w:rPr>
      </w:pPr>
      <w:r>
        <w:rPr>
          <w:rFonts w:hint="eastAsia" w:ascii="宋体" w:hAnsi="宋体"/>
          <w:szCs w:val="21"/>
        </w:rPr>
        <w:t>3. “属于优先采购清单的类别”栏中填写“《节能产品政府采购品目清单》”、“《环境标志产品政府采购品目清单》”（以</w:t>
      </w:r>
      <w:r>
        <w:rPr>
          <w:rFonts w:hint="eastAsia" w:ascii="宋体" w:hAnsi="宋体"/>
          <w:bCs/>
          <w:szCs w:val="21"/>
        </w:rPr>
        <w:t>中国政府采购网（http://www.ccgp.gov.cn/）最新一期查询结果为准</w:t>
      </w:r>
      <w:r>
        <w:rPr>
          <w:rFonts w:hint="eastAsia" w:ascii="宋体" w:hAnsi="宋体"/>
          <w:szCs w:val="21"/>
        </w:rPr>
        <w:t>）。</w:t>
      </w:r>
    </w:p>
    <w:p>
      <w:pPr>
        <w:spacing w:line="360" w:lineRule="auto"/>
        <w:jc w:val="left"/>
      </w:pPr>
      <w:r>
        <w:rPr>
          <w:rFonts w:hint="eastAsia" w:ascii="宋体" w:hAnsi="宋体"/>
          <w:b/>
          <w:szCs w:val="21"/>
        </w:rPr>
        <w:t>4. 对上表所列</w:t>
      </w:r>
      <w:r>
        <w:rPr>
          <w:rFonts w:ascii="宋体" w:hAnsi="宋体"/>
          <w:b/>
          <w:szCs w:val="21"/>
        </w:rPr>
        <w:t>属于</w:t>
      </w:r>
      <w:r>
        <w:rPr>
          <w:rFonts w:hint="eastAsia" w:ascii="宋体" w:hAnsi="宋体"/>
          <w:b/>
          <w:szCs w:val="21"/>
        </w:rPr>
        <w:t>《关于调整优化节能产品环境标志产品政府采购执行机制的通知》（财库〔2019〕9号）、《关于印发环境标志产品政府采购品目清单的通知》（财库〔2019〕18号）和《关于印发节能产品政府采购品目清单的通知》（财库〔2019〕19号）</w:t>
      </w:r>
      <w:r>
        <w:rPr>
          <w:rFonts w:ascii="宋体" w:hAnsi="宋体"/>
          <w:b/>
          <w:szCs w:val="21"/>
        </w:rPr>
        <w:t>品目清单范围</w:t>
      </w:r>
      <w:r>
        <w:rPr>
          <w:rFonts w:hint="eastAsia" w:ascii="宋体" w:hAnsi="宋体"/>
          <w:b/>
          <w:szCs w:val="21"/>
        </w:rPr>
        <w:t>内</w:t>
      </w:r>
      <w:r>
        <w:rPr>
          <w:rFonts w:ascii="宋体" w:hAnsi="宋体"/>
          <w:b/>
          <w:szCs w:val="21"/>
        </w:rPr>
        <w:t>的</w:t>
      </w:r>
      <w:r>
        <w:rPr>
          <w:rFonts w:hint="eastAsia" w:ascii="宋体" w:hAnsi="宋体"/>
          <w:b/>
          <w:szCs w:val="21"/>
        </w:rPr>
        <w:t>产品，投标人须提供</w:t>
      </w:r>
      <w:r>
        <w:rPr>
          <w:rFonts w:ascii="宋体" w:hAnsi="宋体"/>
          <w:b/>
          <w:szCs w:val="21"/>
        </w:rPr>
        <w:t>国家确定的认证机构出具的、处于有效期之内的节能产品、环境标志产品认证证书，</w:t>
      </w:r>
      <w:r>
        <w:rPr>
          <w:rFonts w:hint="eastAsia" w:ascii="宋体" w:hAnsi="宋体"/>
          <w:b/>
          <w:szCs w:val="21"/>
        </w:rPr>
        <w:t>以及相应的品目清单，并显著标识投标产品所处位置。</w:t>
      </w:r>
      <w:r>
        <w:rPr>
          <w:rFonts w:hint="eastAsia" w:ascii="宋体" w:hAnsi="宋体"/>
          <w:szCs w:val="21"/>
        </w:rPr>
        <w:t>提供以上证明材料的扫描件或复印件加盖投标人公章，提供的证书若存在不齐全、已过有效期或其他未被评标委员会接受的瑕疵将不予认可。</w:t>
      </w:r>
      <w:r>
        <w:t xml:space="preserve">                                       </w:t>
      </w:r>
      <w:r>
        <w:rPr>
          <w:b/>
          <w:bCs/>
        </w:rPr>
        <w:t xml:space="preserve">  </w:t>
      </w:r>
    </w:p>
    <w:p>
      <w:pPr>
        <w:adjustRightInd w:val="0"/>
        <w:snapToGrid w:val="0"/>
        <w:spacing w:line="360" w:lineRule="auto"/>
        <w:ind w:firstLine="600"/>
        <w:jc w:val="right"/>
      </w:pPr>
    </w:p>
    <w:p>
      <w:pPr>
        <w:adjustRightInd w:val="0"/>
        <w:snapToGrid w:val="0"/>
        <w:spacing w:line="360" w:lineRule="auto"/>
        <w:ind w:firstLine="600"/>
        <w:jc w:val="right"/>
      </w:pPr>
    </w:p>
    <w:p>
      <w:pPr>
        <w:adjustRightInd w:val="0"/>
        <w:snapToGrid w:val="0"/>
        <w:spacing w:line="360" w:lineRule="auto"/>
        <w:ind w:firstLine="600"/>
        <w:jc w:val="left"/>
      </w:pPr>
    </w:p>
    <w:p>
      <w:pPr>
        <w:adjustRightInd w:val="0"/>
        <w:snapToGrid w:val="0"/>
        <w:spacing w:line="360" w:lineRule="auto"/>
        <w:ind w:firstLine="600"/>
        <w:jc w:val="left"/>
      </w:pPr>
    </w:p>
    <w:p>
      <w:pPr>
        <w:widowControl/>
        <w:jc w:val="left"/>
      </w:pPr>
      <w:r>
        <w:br w:type="page"/>
      </w:r>
    </w:p>
    <w:p>
      <w:pPr>
        <w:adjustRightInd w:val="0"/>
        <w:snapToGrid w:val="0"/>
        <w:spacing w:line="360" w:lineRule="auto"/>
        <w:ind w:firstLine="600"/>
        <w:jc w:val="left"/>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52" w:name="_Toc44690706"/>
      <w:bookmarkStart w:id="53" w:name="_Toc44691165"/>
      <w:bookmarkStart w:id="54" w:name="_Toc44691397"/>
      <w:bookmarkStart w:id="55" w:name="_Toc44690433"/>
      <w:r>
        <w:rPr>
          <w:rFonts w:hint="eastAsia" w:asciiTheme="minorEastAsia" w:hAnsiTheme="minorEastAsia" w:eastAsiaTheme="minorEastAsia"/>
          <w:sz w:val="24"/>
        </w:rPr>
        <w:t>格式5  开标一览表</w:t>
      </w:r>
      <w:bookmarkEnd w:id="52"/>
      <w:bookmarkEnd w:id="53"/>
      <w:bookmarkEnd w:id="54"/>
      <w:bookmarkEnd w:id="55"/>
    </w:p>
    <w:p>
      <w:pPr>
        <w:adjustRightInd w:val="0"/>
        <w:snapToGrid w:val="0"/>
        <w:spacing w:line="360" w:lineRule="auto"/>
        <w:rPr>
          <w:bCs/>
          <w:snapToGrid w:val="0"/>
          <w:kern w:val="0"/>
        </w:rPr>
      </w:pPr>
    </w:p>
    <w:p>
      <w:pPr>
        <w:adjustRightInd w:val="0"/>
        <w:snapToGrid w:val="0"/>
        <w:spacing w:line="360" w:lineRule="auto"/>
        <w:rPr>
          <w:bCs/>
          <w:snapToGrid w:val="0"/>
          <w:kern w:val="0"/>
        </w:rPr>
      </w:pPr>
      <w:r>
        <w:rPr>
          <w:bCs/>
          <w:snapToGrid w:val="0"/>
          <w:kern w:val="0"/>
        </w:rPr>
        <w:t>项目名称：</w:t>
      </w:r>
      <w:r>
        <w:rPr>
          <w:bCs/>
          <w:snapToGrid w:val="0"/>
          <w:kern w:val="0"/>
          <w:u w:val="single"/>
        </w:rPr>
        <w:t xml:space="preserve">                      </w:t>
      </w:r>
      <w:r>
        <w:rPr>
          <w:bCs/>
          <w:snapToGrid w:val="0"/>
          <w:kern w:val="0"/>
        </w:rPr>
        <w:t xml:space="preserve">                </w:t>
      </w:r>
    </w:p>
    <w:p>
      <w:pPr>
        <w:adjustRightInd w:val="0"/>
        <w:snapToGrid w:val="0"/>
        <w:spacing w:line="360" w:lineRule="auto"/>
        <w:rPr>
          <w:bCs/>
          <w:snapToGrid w:val="0"/>
          <w:kern w:val="0"/>
        </w:rPr>
      </w:pPr>
      <w:r>
        <w:rPr>
          <w:rFonts w:hint="eastAsia"/>
          <w:bCs/>
          <w:snapToGrid w:val="0"/>
          <w:kern w:val="0"/>
        </w:rPr>
        <w:t>项目</w:t>
      </w:r>
      <w:r>
        <w:rPr>
          <w:bCs/>
          <w:snapToGrid w:val="0"/>
          <w:kern w:val="0"/>
        </w:rPr>
        <w:t>编号：</w:t>
      </w:r>
      <w:r>
        <w:rPr>
          <w:bCs/>
          <w:snapToGrid w:val="0"/>
          <w:kern w:val="0"/>
          <w:u w:val="single"/>
        </w:rPr>
        <w:t xml:space="preserve">                      </w:t>
      </w:r>
      <w:r>
        <w:rPr>
          <w:bCs/>
          <w:snapToGrid w:val="0"/>
          <w:kern w:val="0"/>
        </w:rPr>
        <w:t xml:space="preserve">                                                                          </w:t>
      </w:r>
    </w:p>
    <w:tbl>
      <w:tblPr>
        <w:tblStyle w:val="51"/>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1"/>
        <w:gridCol w:w="3121"/>
        <w:gridCol w:w="226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cantSplit/>
          <w:trHeight w:val="720" w:hRule="atLeast"/>
          <w:jc w:val="center"/>
        </w:trPr>
        <w:tc>
          <w:tcPr>
            <w:tcW w:w="4251"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snapToGrid w:val="0"/>
                <w:kern w:val="0"/>
              </w:rPr>
              <w:t>项目名称</w:t>
            </w:r>
          </w:p>
        </w:tc>
        <w:tc>
          <w:tcPr>
            <w:tcW w:w="3121"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rFonts w:hint="eastAsia"/>
                <w:snapToGrid w:val="0"/>
                <w:kern w:val="0"/>
              </w:rPr>
              <w:t>兑换率</w:t>
            </w:r>
          </w:p>
        </w:tc>
        <w:tc>
          <w:tcPr>
            <w:tcW w:w="2261" w:type="dxa"/>
            <w:tcBorders>
              <w:top w:val="double" w:color="auto" w:sz="4" w:space="0"/>
              <w:bottom w:val="single" w:color="auto" w:sz="4" w:space="0"/>
            </w:tcBorders>
            <w:vAlign w:val="center"/>
          </w:tcPr>
          <w:p>
            <w:pPr>
              <w:adjustRightInd w:val="0"/>
              <w:snapToGrid w:val="0"/>
              <w:spacing w:line="360" w:lineRule="auto"/>
              <w:jc w:val="center"/>
              <w:rPr>
                <w:snapToGrid w:val="0"/>
                <w:kern w:val="0"/>
              </w:rPr>
            </w:pPr>
            <w:r>
              <w:rPr>
                <w:rFonts w:hint="eastAsia"/>
                <w:snapToGrid w:val="0"/>
                <w:kern w:val="0"/>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419" w:hRule="atLeast"/>
          <w:jc w:val="center"/>
        </w:trPr>
        <w:tc>
          <w:tcPr>
            <w:tcW w:w="4251" w:type="dxa"/>
            <w:tcBorders>
              <w:top w:val="single" w:color="auto" w:sz="4" w:space="0"/>
            </w:tcBorders>
            <w:vAlign w:val="center"/>
          </w:tcPr>
          <w:p>
            <w:pPr>
              <w:adjustRightInd w:val="0"/>
              <w:snapToGrid w:val="0"/>
              <w:spacing w:line="360" w:lineRule="auto"/>
              <w:jc w:val="center"/>
            </w:pPr>
            <w:r>
              <w:rPr>
                <w:rFonts w:hint="eastAsia"/>
              </w:rPr>
              <w:t>“防暑降温”物资采购</w:t>
            </w:r>
          </w:p>
        </w:tc>
        <w:tc>
          <w:tcPr>
            <w:tcW w:w="3121" w:type="dxa"/>
            <w:tcBorders>
              <w:top w:val="single" w:color="auto" w:sz="4" w:space="0"/>
            </w:tcBorders>
            <w:vAlign w:val="center"/>
          </w:tcPr>
          <w:p>
            <w:pPr>
              <w:adjustRightInd w:val="0"/>
              <w:snapToGrid w:val="0"/>
              <w:spacing w:line="360" w:lineRule="auto"/>
              <w:rPr>
                <w:snapToGrid w:val="0"/>
                <w:kern w:val="0"/>
                <w:u w:val="single"/>
              </w:rPr>
            </w:pPr>
          </w:p>
        </w:tc>
        <w:tc>
          <w:tcPr>
            <w:tcW w:w="2261" w:type="dxa"/>
            <w:tcBorders>
              <w:top w:val="single" w:color="auto" w:sz="4" w:space="0"/>
            </w:tcBorders>
            <w:vAlign w:val="center"/>
          </w:tcPr>
          <w:p>
            <w:pPr>
              <w:adjustRightInd w:val="0"/>
              <w:snapToGrid w:val="0"/>
              <w:spacing w:line="360" w:lineRule="auto"/>
              <w:jc w:val="center"/>
              <w:rPr>
                <w:snapToGrid w:val="0"/>
                <w:kern w:val="0"/>
              </w:rPr>
            </w:pPr>
          </w:p>
        </w:tc>
      </w:tr>
    </w:tbl>
    <w:p>
      <w:pPr>
        <w:adjustRightInd w:val="0"/>
        <w:snapToGrid w:val="0"/>
        <w:spacing w:line="360" w:lineRule="auto"/>
        <w:rPr>
          <w:snapToGrid w:val="0"/>
          <w:kern w:val="0"/>
        </w:rPr>
      </w:pPr>
    </w:p>
    <w:p>
      <w:pPr>
        <w:adjustRightInd w:val="0"/>
        <w:snapToGrid w:val="0"/>
        <w:spacing w:line="360" w:lineRule="auto"/>
        <w:rPr>
          <w:snapToGrid w:val="0"/>
          <w:kern w:val="0"/>
        </w:rPr>
      </w:pPr>
    </w:p>
    <w:p>
      <w:pPr>
        <w:adjustRightInd w:val="0"/>
        <w:snapToGrid w:val="0"/>
        <w:spacing w:line="360" w:lineRule="auto"/>
        <w:rPr>
          <w:snapToGrid w:val="0"/>
          <w:kern w:val="0"/>
        </w:rPr>
      </w:pPr>
      <w:r>
        <w:rPr>
          <w:snapToGrid w:val="0"/>
          <w:kern w:val="0"/>
        </w:rPr>
        <w:t>投标单位：（盖章）</w:t>
      </w:r>
    </w:p>
    <w:p>
      <w:pPr>
        <w:adjustRightInd w:val="0"/>
        <w:snapToGrid w:val="0"/>
        <w:spacing w:line="360" w:lineRule="auto"/>
        <w:rPr>
          <w:snapToGrid w:val="0"/>
          <w:kern w:val="0"/>
        </w:rPr>
      </w:pPr>
    </w:p>
    <w:p>
      <w:pPr>
        <w:adjustRightInd w:val="0"/>
        <w:snapToGrid w:val="0"/>
        <w:spacing w:line="360" w:lineRule="auto"/>
        <w:rPr>
          <w:snapToGrid w:val="0"/>
          <w:kern w:val="0"/>
        </w:rPr>
      </w:pPr>
    </w:p>
    <w:p>
      <w:pPr>
        <w:adjustRightInd w:val="0"/>
        <w:snapToGrid w:val="0"/>
        <w:spacing w:line="360" w:lineRule="auto"/>
        <w:rPr>
          <w:snapToGrid w:val="0"/>
          <w:kern w:val="0"/>
        </w:rPr>
      </w:pPr>
      <w:r>
        <w:rPr>
          <w:snapToGrid w:val="0"/>
          <w:kern w:val="0"/>
        </w:rPr>
        <w:t>法定代表人或授权代表：（签字）</w:t>
      </w:r>
    </w:p>
    <w:p>
      <w:pPr>
        <w:adjustRightInd w:val="0"/>
        <w:snapToGrid w:val="0"/>
        <w:spacing w:line="360" w:lineRule="auto"/>
        <w:ind w:firstLine="6825" w:firstLineChars="3250"/>
        <w:rPr>
          <w:snapToGrid w:val="0"/>
          <w:kern w:val="0"/>
        </w:rPr>
      </w:pPr>
      <w:r>
        <w:rPr>
          <w:snapToGrid w:val="0"/>
          <w:kern w:val="0"/>
        </w:rPr>
        <w:t>年    月    日</w:t>
      </w:r>
    </w:p>
    <w:p>
      <w:pPr>
        <w:adjustRightInd w:val="0"/>
        <w:snapToGrid w:val="0"/>
        <w:spacing w:line="360" w:lineRule="auto"/>
        <w:ind w:firstLine="1050" w:firstLineChars="500"/>
        <w:rPr>
          <w:snapToGrid w:val="0"/>
          <w:kern w:val="0"/>
        </w:rPr>
      </w:pPr>
    </w:p>
    <w:p>
      <w:pPr>
        <w:adjustRightInd w:val="0"/>
        <w:spacing w:line="312" w:lineRule="auto"/>
        <w:rPr>
          <w:rFonts w:ascii="宋体" w:hAnsi="宋体"/>
          <w:bCs/>
        </w:rPr>
      </w:pPr>
      <w:r>
        <w:rPr>
          <w:rFonts w:ascii="宋体" w:hAnsi="宋体"/>
          <w:snapToGrid w:val="0"/>
          <w:kern w:val="0"/>
        </w:rPr>
        <w:t>注：1、</w:t>
      </w:r>
      <w:r>
        <w:rPr>
          <w:rFonts w:hint="eastAsia" w:ascii="宋体" w:hAnsi="宋体"/>
          <w:szCs w:val="21"/>
        </w:rPr>
        <w:t>本项目采取“兑换率”进行投标报价。兑换率=300/防暑降温物资兑换券面额</w:t>
      </w:r>
      <w:r>
        <w:rPr>
          <w:rFonts w:ascii="宋体" w:hAnsi="宋体"/>
          <w:bCs/>
        </w:rPr>
        <w:t>。</w:t>
      </w:r>
      <w:r>
        <w:rPr>
          <w:rFonts w:hint="eastAsia" w:ascii="宋体" w:hAnsi="宋体"/>
          <w:bCs/>
        </w:rPr>
        <w:t>兑换率采用小数报价，最多保留两位小数，且不能大于1（即最高报价上限为1），否则将导致投标无效。</w:t>
      </w:r>
    </w:p>
    <w:p>
      <w:pPr>
        <w:adjustRightInd w:val="0"/>
        <w:spacing w:line="312" w:lineRule="auto"/>
        <w:ind w:left="2" w:firstLine="424" w:firstLineChars="202"/>
        <w:rPr>
          <w:rFonts w:ascii="宋体" w:hAnsi="宋体"/>
          <w:bCs/>
        </w:rPr>
      </w:pPr>
      <w:r>
        <w:rPr>
          <w:rFonts w:ascii="宋体" w:hAnsi="宋体"/>
          <w:bCs/>
        </w:rPr>
        <w:t>2、</w:t>
      </w:r>
      <w:r>
        <w:rPr>
          <w:rFonts w:hint="eastAsia" w:ascii="宋体" w:hAnsi="宋体"/>
          <w:bCs/>
        </w:rPr>
        <w:t>投标</w:t>
      </w:r>
      <w:r>
        <w:rPr>
          <w:rFonts w:hint="eastAsia"/>
          <w:snapToGrid w:val="0"/>
          <w:kern w:val="0"/>
        </w:rPr>
        <w:t>报</w:t>
      </w:r>
      <w:r>
        <w:rPr>
          <w:rFonts w:hint="eastAsia" w:ascii="宋体" w:hAnsi="宋体"/>
          <w:bCs/>
        </w:rPr>
        <w:t>价必须是完成该项目的一切费用总和，包含产品、运输、保险、售后服务及国家规定的各项税费等全部费用。</w:t>
      </w:r>
    </w:p>
    <w:p>
      <w:pPr>
        <w:adjustRightInd w:val="0"/>
        <w:spacing w:line="312" w:lineRule="auto"/>
        <w:ind w:left="2" w:firstLine="424" w:firstLineChars="202"/>
        <w:rPr>
          <w:rFonts w:ascii="宋体" w:hAnsi="宋体"/>
          <w:bCs/>
        </w:rPr>
      </w:pPr>
      <w:r>
        <w:rPr>
          <w:rFonts w:hint="eastAsia" w:ascii="宋体" w:hAnsi="宋体"/>
          <w:szCs w:val="21"/>
        </w:rPr>
        <w:t>3、根据《中华人民共和国财政部令第</w:t>
      </w:r>
      <w:r>
        <w:rPr>
          <w:rFonts w:ascii="宋体" w:hAnsi="宋体"/>
          <w:szCs w:val="21"/>
        </w:rPr>
        <w:t>87</w:t>
      </w:r>
      <w:r>
        <w:rPr>
          <w:rFonts w:hint="eastAsia" w:ascii="宋体" w:hAnsi="宋体"/>
          <w:szCs w:val="21"/>
        </w:rPr>
        <w:t>号</w:t>
      </w:r>
      <w:r>
        <w:rPr>
          <w:rFonts w:ascii="宋体"/>
          <w:szCs w:val="21"/>
        </w:rPr>
        <w:t>-</w:t>
      </w:r>
      <w:r>
        <w:rPr>
          <w:rFonts w:hint="eastAsia" w:ascii="宋体" w:hAnsi="宋体"/>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adjustRightInd w:val="0"/>
        <w:spacing w:line="312" w:lineRule="auto"/>
        <w:ind w:left="2" w:firstLine="420" w:firstLineChars="200"/>
        <w:rPr>
          <w:rFonts w:ascii="宋体" w:hAnsi="宋体"/>
          <w:szCs w:val="21"/>
        </w:rPr>
      </w:pPr>
      <w:r>
        <w:rPr>
          <w:rFonts w:hint="eastAsia" w:ascii="宋体" w:hAnsi="宋体"/>
          <w:szCs w:val="21"/>
        </w:rPr>
        <w:t>4、</w:t>
      </w:r>
      <w:r>
        <w:rPr>
          <w:rFonts w:ascii="宋体" w:hAnsi="宋体"/>
          <w:snapToGrid w:val="0"/>
          <w:kern w:val="0"/>
        </w:rPr>
        <w:t>此表应经法定代表人或其授权委托人签名，并加盖公章。</w:t>
      </w:r>
    </w:p>
    <w:p>
      <w:pPr>
        <w:adjustRightInd w:val="0"/>
        <w:spacing w:line="312" w:lineRule="auto"/>
        <w:ind w:firstLine="437"/>
      </w:pPr>
      <w:r>
        <w:rPr>
          <w:rFonts w:hint="eastAsia" w:ascii="宋体" w:hAnsi="宋体"/>
          <w:b/>
          <w:snapToGrid w:val="0"/>
          <w:kern w:val="0"/>
          <w:sz w:val="24"/>
        </w:rPr>
        <w:t>5、</w:t>
      </w:r>
      <w:r>
        <w:rPr>
          <w:rFonts w:ascii="宋体" w:hAnsi="宋体"/>
          <w:b/>
          <w:snapToGrid w:val="0"/>
          <w:kern w:val="0"/>
          <w:sz w:val="24"/>
        </w:rPr>
        <w:t>此表</w:t>
      </w:r>
      <w:r>
        <w:rPr>
          <w:rFonts w:hint="eastAsia" w:ascii="宋体" w:hAnsi="宋体"/>
          <w:b/>
          <w:snapToGrid w:val="0"/>
          <w:kern w:val="0"/>
          <w:sz w:val="24"/>
        </w:rPr>
        <w:t>无</w:t>
      </w:r>
      <w:r>
        <w:rPr>
          <w:rFonts w:ascii="宋体" w:hAnsi="宋体"/>
          <w:b/>
          <w:snapToGrid w:val="0"/>
          <w:kern w:val="0"/>
          <w:sz w:val="24"/>
        </w:rPr>
        <w:t>需装订于正副本内，应按“投标人须知”18.</w:t>
      </w:r>
      <w:r>
        <w:rPr>
          <w:rFonts w:hint="eastAsia" w:ascii="宋体" w:hAnsi="宋体"/>
          <w:b/>
          <w:snapToGrid w:val="0"/>
          <w:kern w:val="0"/>
          <w:sz w:val="24"/>
        </w:rPr>
        <w:t>4</w:t>
      </w:r>
      <w:r>
        <w:rPr>
          <w:rFonts w:ascii="宋体" w:hAnsi="宋体"/>
          <w:b/>
          <w:snapToGrid w:val="0"/>
          <w:kern w:val="0"/>
          <w:sz w:val="24"/>
        </w:rPr>
        <w:t>项要求单独密封。</w:t>
      </w:r>
    </w:p>
    <w:p>
      <w:pPr>
        <w:pStyle w:val="29"/>
        <w:adjustRightInd w:val="0"/>
        <w:snapToGrid w:val="0"/>
        <w:spacing w:line="312" w:lineRule="auto"/>
        <w:jc w:val="center"/>
        <w:rPr>
          <w:rFonts w:ascii="Times New Roman" w:hAnsi="Times New Roman"/>
          <w:b/>
          <w:sz w:val="28"/>
        </w:rPr>
      </w:pPr>
    </w:p>
    <w:p/>
    <w:p/>
    <w:p/>
    <w:p/>
    <w:p>
      <w:pPr>
        <w:widowControl/>
        <w:jc w:val="left"/>
      </w:pPr>
      <w:r>
        <w:br w:type="page"/>
      </w:r>
    </w:p>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56" w:name="_Toc44691398"/>
      <w:bookmarkStart w:id="57" w:name="_Toc44690434"/>
      <w:bookmarkStart w:id="58" w:name="_Toc44690707"/>
      <w:bookmarkStart w:id="59" w:name="_Toc44691166"/>
      <w:r>
        <w:rPr>
          <w:rFonts w:hint="eastAsia" w:asciiTheme="minorEastAsia" w:hAnsiTheme="minorEastAsia" w:eastAsiaTheme="minorEastAsia"/>
          <w:sz w:val="24"/>
        </w:rPr>
        <w:t>格式6  报价表</w:t>
      </w:r>
      <w:bookmarkEnd w:id="56"/>
      <w:bookmarkEnd w:id="57"/>
      <w:bookmarkEnd w:id="58"/>
      <w:bookmarkEnd w:id="59"/>
    </w:p>
    <w:p>
      <w:pPr>
        <w:spacing w:line="300" w:lineRule="auto"/>
        <w:rPr>
          <w:rFonts w:ascii="楷体_GB2312" w:eastAsia="楷体_GB2312"/>
          <w:b/>
          <w:sz w:val="24"/>
        </w:rPr>
      </w:pPr>
      <w:r>
        <w:rPr>
          <w:rFonts w:hint="eastAsia" w:ascii="楷体_GB2312" w:eastAsia="楷体_GB2312"/>
          <w:b/>
          <w:sz w:val="24"/>
        </w:rPr>
        <w:t>1   报价要求</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1.1  </w:t>
      </w:r>
      <w:r>
        <w:rPr>
          <w:rFonts w:hint="eastAsia" w:ascii="宋体" w:hAnsi="宋体"/>
          <w:szCs w:val="21"/>
        </w:rPr>
        <w:t>本项目采取“兑换率”进行投标报价。兑换率=300/防暑降温物资兑换券面额</w:t>
      </w:r>
      <w:r>
        <w:rPr>
          <w:rFonts w:ascii="宋体" w:hAnsi="宋体"/>
          <w:bCs/>
        </w:rPr>
        <w:t>。</w:t>
      </w:r>
      <w:r>
        <w:rPr>
          <w:rFonts w:hint="eastAsia" w:ascii="宋体" w:hAnsi="宋体"/>
          <w:bCs/>
        </w:rPr>
        <w:t>兑换率采用小数报价，最多保留两位小数，且不能大于1（即最高报价上限为1），否则将导致投标无效</w:t>
      </w:r>
      <w:r>
        <w:rPr>
          <w:rFonts w:hint="eastAsia" w:asciiTheme="minorEastAsia" w:hAnsiTheme="minorEastAsia" w:eastAsiaTheme="minorEastAsia"/>
          <w:snapToGrid w:val="0"/>
          <w:kern w:val="0"/>
        </w:rPr>
        <w:t>。</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 xml:space="preserve">1.2  </w:t>
      </w:r>
      <w:r>
        <w:rPr>
          <w:rFonts w:hint="eastAsia" w:ascii="宋体" w:hAnsi="宋体"/>
          <w:bCs/>
        </w:rPr>
        <w:t>投标</w:t>
      </w:r>
      <w:r>
        <w:rPr>
          <w:rFonts w:hint="eastAsia"/>
          <w:snapToGrid w:val="0"/>
          <w:kern w:val="0"/>
        </w:rPr>
        <w:t>报</w:t>
      </w:r>
      <w:r>
        <w:rPr>
          <w:rFonts w:hint="eastAsia" w:ascii="宋体" w:hAnsi="宋体"/>
          <w:bCs/>
        </w:rPr>
        <w:t>价必须是完成该项目的一切费用总和，包含产品、运输、保险、售后服务及国家规定的各项税费等全部费用</w:t>
      </w:r>
      <w:r>
        <w:rPr>
          <w:rFonts w:hint="eastAsia" w:asciiTheme="minorEastAsia" w:hAnsiTheme="minorEastAsia" w:eastAsiaTheme="minorEastAsia"/>
          <w:snapToGrid w:val="0"/>
          <w:kern w:val="0"/>
        </w:rPr>
        <w:t>。</w:t>
      </w:r>
    </w:p>
    <w:p>
      <w:pPr>
        <w:spacing w:line="300" w:lineRule="auto"/>
        <w:rPr>
          <w:rFonts w:asciiTheme="minorEastAsia" w:hAnsiTheme="minorEastAsia" w:eastAsiaTheme="minorEastAsia"/>
          <w:snapToGrid w:val="0"/>
          <w:kern w:val="0"/>
        </w:rPr>
      </w:pPr>
      <w:r>
        <w:rPr>
          <w:rFonts w:hint="eastAsia" w:asciiTheme="minorEastAsia" w:hAnsiTheme="minorEastAsia" w:eastAsiaTheme="minorEastAsia"/>
          <w:snapToGrid w:val="0"/>
          <w:kern w:val="0"/>
        </w:rPr>
        <w:t>1.3 此表应经法定代表人或授权委托人签名，并加盖公章。</w:t>
      </w:r>
    </w:p>
    <w:p>
      <w:pPr>
        <w:adjustRightInd w:val="0"/>
        <w:snapToGrid w:val="0"/>
        <w:spacing w:line="300" w:lineRule="auto"/>
        <w:rPr>
          <w:snapToGrid w:val="0"/>
          <w:kern w:val="0"/>
        </w:rPr>
      </w:pPr>
    </w:p>
    <w:p>
      <w:pPr>
        <w:spacing w:line="300" w:lineRule="auto"/>
        <w:rPr>
          <w:rFonts w:eastAsia="楷体_GB2312"/>
          <w:b/>
          <w:sz w:val="24"/>
        </w:rPr>
      </w:pPr>
      <w:r>
        <w:rPr>
          <w:rFonts w:hint="eastAsia" w:eastAsia="楷体_GB2312"/>
          <w:b/>
          <w:sz w:val="24"/>
        </w:rPr>
        <w:t>2   报价表</w:t>
      </w:r>
    </w:p>
    <w:p>
      <w:pPr>
        <w:adjustRightInd w:val="0"/>
        <w:snapToGrid w:val="0"/>
        <w:spacing w:line="300" w:lineRule="auto"/>
        <w:jc w:val="center"/>
        <w:rPr>
          <w:rFonts w:asciiTheme="minorEastAsia" w:hAnsiTheme="minorEastAsia" w:eastAsiaTheme="minorEastAsia"/>
          <w:bCs/>
          <w:snapToGrid w:val="0"/>
          <w:kern w:val="0"/>
          <w:sz w:val="24"/>
          <w:u w:val="single"/>
        </w:rPr>
      </w:pPr>
    </w:p>
    <w:p>
      <w:pPr>
        <w:adjustRightInd w:val="0"/>
        <w:snapToGrid w:val="0"/>
        <w:spacing w:line="300" w:lineRule="auto"/>
        <w:rPr>
          <w:rFonts w:asciiTheme="minorEastAsia" w:hAnsiTheme="minorEastAsia" w:eastAsiaTheme="minorEastAsia"/>
          <w:bCs/>
          <w:snapToGrid w:val="0"/>
          <w:kern w:val="0"/>
          <w:u w:val="single"/>
        </w:rPr>
      </w:pPr>
      <w:r>
        <w:rPr>
          <w:rFonts w:hint="eastAsia" w:asciiTheme="minorEastAsia" w:hAnsiTheme="minorEastAsia" w:eastAsiaTheme="minorEastAsia"/>
          <w:bCs/>
          <w:snapToGrid w:val="0"/>
          <w:kern w:val="0"/>
        </w:rPr>
        <w:t>项目名称：</w:t>
      </w:r>
      <w:r>
        <w:rPr>
          <w:rFonts w:hint="eastAsia" w:asciiTheme="minorEastAsia" w:hAnsiTheme="minorEastAsia" w:eastAsiaTheme="minorEastAsia"/>
          <w:bCs/>
          <w:snapToGrid w:val="0"/>
          <w:kern w:val="0"/>
          <w:u w:val="single"/>
        </w:rPr>
        <w:t xml:space="preserve">               </w:t>
      </w:r>
    </w:p>
    <w:p>
      <w:pPr>
        <w:adjustRightInd w:val="0"/>
        <w:snapToGrid w:val="0"/>
        <w:spacing w:line="300" w:lineRule="auto"/>
        <w:rPr>
          <w:rFonts w:asciiTheme="minorEastAsia" w:hAnsiTheme="minorEastAsia" w:eastAsiaTheme="minorEastAsia"/>
          <w:bCs/>
          <w:snapToGrid w:val="0"/>
          <w:kern w:val="0"/>
        </w:rPr>
      </w:pPr>
      <w:r>
        <w:rPr>
          <w:rFonts w:hint="eastAsia" w:asciiTheme="minorEastAsia" w:hAnsiTheme="minorEastAsia" w:eastAsiaTheme="minorEastAsia"/>
          <w:bCs/>
          <w:snapToGrid w:val="0"/>
          <w:kern w:val="0"/>
        </w:rPr>
        <w:t>项目编号：</w:t>
      </w:r>
      <w:r>
        <w:rPr>
          <w:rFonts w:hint="eastAsia" w:asciiTheme="minorEastAsia" w:hAnsiTheme="minorEastAsia" w:eastAsiaTheme="minorEastAsia"/>
          <w:bCs/>
          <w:snapToGrid w:val="0"/>
          <w:kern w:val="0"/>
          <w:u w:val="single"/>
        </w:rPr>
        <w:t xml:space="preserve">               </w:t>
      </w:r>
      <w:r>
        <w:rPr>
          <w:rFonts w:hint="eastAsia" w:asciiTheme="minorEastAsia" w:hAnsiTheme="minorEastAsia" w:eastAsiaTheme="minorEastAsia"/>
          <w:bCs/>
          <w:snapToGrid w:val="0"/>
          <w:kern w:val="0"/>
        </w:rPr>
        <w:t xml:space="preserve">  </w:t>
      </w:r>
    </w:p>
    <w:tbl>
      <w:tblPr>
        <w:tblStyle w:val="51"/>
        <w:tblW w:w="957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4439"/>
        <w:gridCol w:w="389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cantSplit/>
          <w:trHeight w:val="597" w:hRule="atLeast"/>
          <w:jc w:val="center"/>
        </w:trPr>
        <w:tc>
          <w:tcPr>
            <w:tcW w:w="12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序号</w:t>
            </w:r>
          </w:p>
        </w:tc>
        <w:tc>
          <w:tcPr>
            <w:tcW w:w="44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名称</w:t>
            </w:r>
          </w:p>
        </w:tc>
        <w:tc>
          <w:tcPr>
            <w:tcW w:w="3892"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报价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246"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snapToGrid w:val="0"/>
                <w:kern w:val="0"/>
              </w:rPr>
              <w:t>1</w:t>
            </w:r>
          </w:p>
        </w:tc>
        <w:tc>
          <w:tcPr>
            <w:tcW w:w="4439" w:type="dxa"/>
            <w:vAlign w:val="center"/>
          </w:tcPr>
          <w:p>
            <w:pPr>
              <w:adjustRightInd w:val="0"/>
              <w:snapToGrid w:val="0"/>
              <w:spacing w:line="300" w:lineRule="auto"/>
              <w:jc w:val="center"/>
              <w:rPr>
                <w:rFonts w:asciiTheme="minorEastAsia" w:hAnsiTheme="minorEastAsia" w:eastAsiaTheme="minorEastAsia"/>
                <w:snapToGrid w:val="0"/>
                <w:kern w:val="0"/>
              </w:rPr>
            </w:pPr>
            <w:r>
              <w:rPr>
                <w:rFonts w:hint="eastAsia" w:asciiTheme="minorEastAsia" w:hAnsiTheme="minorEastAsia" w:eastAsiaTheme="minorEastAsia"/>
                <w:bCs/>
              </w:rPr>
              <w:t>兑换率</w:t>
            </w:r>
          </w:p>
        </w:tc>
        <w:tc>
          <w:tcPr>
            <w:tcW w:w="3892" w:type="dxa"/>
            <w:vAlign w:val="center"/>
          </w:tcPr>
          <w:p>
            <w:pPr>
              <w:adjustRightInd w:val="0"/>
              <w:snapToGrid w:val="0"/>
              <w:spacing w:line="300" w:lineRule="auto"/>
              <w:jc w:val="center"/>
              <w:rPr>
                <w:rFonts w:asciiTheme="minorEastAsia" w:hAnsiTheme="minorEastAsia" w:eastAsiaTheme="minorEastAsia"/>
                <w:snapToGrid w:val="0"/>
                <w:kern w:val="0"/>
              </w:rPr>
            </w:pPr>
          </w:p>
        </w:tc>
      </w:tr>
    </w:tbl>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备注：1、</w:t>
      </w:r>
      <w:r>
        <w:rPr>
          <w:rFonts w:hint="eastAsia" w:asciiTheme="minorEastAsia" w:hAnsiTheme="minorEastAsia" w:eastAsiaTheme="minorEastAsia"/>
          <w:bCs/>
          <w:szCs w:val="21"/>
        </w:rPr>
        <w:t>本表格仅为指导性范本，供应商可根据项目具体情况对各分项内容进行调整。</w:t>
      </w:r>
    </w:p>
    <w:p>
      <w:pPr>
        <w:adjustRightInd w:val="0"/>
        <w:spacing w:line="360" w:lineRule="auto"/>
        <w:jc w:val="left"/>
        <w:rPr>
          <w:rFonts w:asciiTheme="minorEastAsia" w:hAnsiTheme="minorEastAsia" w:eastAsiaTheme="minorEastAsia"/>
          <w:snapToGrid w:val="0"/>
          <w:kern w:val="0"/>
          <w:szCs w:val="21"/>
        </w:rPr>
      </w:pPr>
      <w:r>
        <w:rPr>
          <w:rFonts w:hint="eastAsia" w:asciiTheme="minorEastAsia" w:hAnsiTheme="minorEastAsia" w:eastAsiaTheme="minorEastAsia"/>
          <w:szCs w:val="21"/>
        </w:rPr>
        <w:t xml:space="preserve">      2、</w:t>
      </w:r>
      <w:r>
        <w:rPr>
          <w:rFonts w:hint="eastAsia" w:asciiTheme="minorEastAsia" w:hAnsiTheme="minorEastAsia" w:eastAsiaTheme="minorEastAsia"/>
        </w:rPr>
        <w:t>开标一览表中的投标</w:t>
      </w:r>
      <w:r>
        <w:rPr>
          <w:rFonts w:hint="eastAsia"/>
          <w:snapToGrid w:val="0"/>
          <w:kern w:val="0"/>
        </w:rPr>
        <w:t>报</w:t>
      </w:r>
      <w:r>
        <w:rPr>
          <w:rFonts w:hint="eastAsia" w:asciiTheme="minorEastAsia" w:hAnsiTheme="minorEastAsia" w:eastAsiaTheme="minorEastAsia"/>
        </w:rPr>
        <w:t>价应与本表中的报价一致</w:t>
      </w:r>
      <w:r>
        <w:rPr>
          <w:rFonts w:hint="eastAsia" w:asciiTheme="minorEastAsia" w:hAnsiTheme="minorEastAsia" w:eastAsiaTheme="minorEastAsia"/>
          <w:szCs w:val="21"/>
        </w:rPr>
        <w:t>。</w:t>
      </w:r>
    </w:p>
    <w:p>
      <w:pPr>
        <w:adjustRightInd w:val="0"/>
        <w:snapToGrid w:val="0"/>
        <w:spacing w:line="300" w:lineRule="auto"/>
        <w:rPr>
          <w:rFonts w:asciiTheme="minorEastAsia" w:hAnsiTheme="minorEastAsia" w:eastAsiaTheme="minorEastAsia"/>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pPr>
      <w:r>
        <w:rPr>
          <w:rFonts w:hint="eastAsia"/>
          <w:snapToGrid w:val="0"/>
          <w:kern w:val="0"/>
        </w:rPr>
        <w:t>年    月   日</w:t>
      </w:r>
    </w:p>
    <w:p/>
    <w:p>
      <w:pPr>
        <w:widowControl/>
        <w:jc w:val="left"/>
        <w:rPr>
          <w:rFonts w:asciiTheme="minorEastAsia" w:hAnsiTheme="minorEastAsia" w:eastAsiaTheme="minorEastAsia"/>
          <w:b/>
          <w:sz w:val="24"/>
        </w:rPr>
      </w:pPr>
      <w:bookmarkStart w:id="60" w:name="_Toc44690435"/>
      <w:bookmarkStart w:id="61" w:name="_Toc44691167"/>
      <w:bookmarkStart w:id="62" w:name="_Toc44690708"/>
      <w:bookmarkStart w:id="63" w:name="_Toc44691399"/>
      <w:r>
        <w:rPr>
          <w:rFonts w:asciiTheme="minorEastAsia" w:hAnsiTheme="minorEastAsia" w:eastAsiaTheme="minorEastAsia"/>
          <w:sz w:val="24"/>
        </w:rPr>
        <w:br w:type="page"/>
      </w: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 xml:space="preserve">格式7  </w:t>
      </w:r>
      <w:bookmarkEnd w:id="60"/>
      <w:bookmarkEnd w:id="61"/>
      <w:bookmarkEnd w:id="62"/>
      <w:bookmarkEnd w:id="63"/>
      <w:r>
        <w:rPr>
          <w:rFonts w:hint="eastAsia" w:asciiTheme="minorEastAsia" w:hAnsiTheme="minorEastAsia" w:eastAsiaTheme="minorEastAsia"/>
          <w:sz w:val="24"/>
        </w:rPr>
        <w:t>兑换方案</w:t>
      </w:r>
    </w:p>
    <w:p>
      <w:pPr>
        <w:pStyle w:val="8"/>
      </w:pPr>
    </w:p>
    <w:p>
      <w:pPr>
        <w:spacing w:line="360" w:lineRule="auto"/>
        <w:ind w:left="420"/>
        <w:rPr>
          <w:rFonts w:hint="eastAsia" w:ascii="宋体" w:hAnsi="宋体"/>
          <w:b/>
          <w:bCs/>
        </w:rPr>
      </w:pPr>
      <w:r>
        <w:rPr>
          <w:rFonts w:hint="eastAsia" w:ascii="宋体" w:hAnsi="宋体"/>
          <w:b/>
          <w:bCs/>
        </w:rPr>
        <w:t>主要内容应包括但不限于以下内容（格式自定）：</w:t>
      </w:r>
    </w:p>
    <w:p>
      <w:pPr>
        <w:spacing w:line="360" w:lineRule="auto"/>
        <w:ind w:left="420"/>
        <w:rPr>
          <w:rFonts w:hint="eastAsia" w:ascii="宋体" w:hAnsi="宋体" w:eastAsia="宋体"/>
          <w:lang w:eastAsia="zh-CN"/>
        </w:rPr>
      </w:pPr>
      <w:r>
        <w:rPr>
          <w:rFonts w:hint="eastAsia" w:ascii="宋体" w:hAnsi="宋体"/>
        </w:rPr>
        <w:t>1、</w:t>
      </w:r>
      <w:r>
        <w:rPr>
          <w:rFonts w:hint="eastAsia" w:ascii="宋体" w:hAnsi="宋体"/>
          <w:color w:val="auto"/>
          <w:szCs w:val="21"/>
          <w:lang w:eastAsia="zh-CN"/>
        </w:rPr>
        <w:t>产品种类；</w:t>
      </w:r>
    </w:p>
    <w:p>
      <w:pPr>
        <w:spacing w:line="360" w:lineRule="auto"/>
        <w:ind w:left="420"/>
        <w:rPr>
          <w:rFonts w:hint="eastAsia" w:ascii="宋体" w:hAnsi="宋体" w:eastAsia="宋体"/>
          <w:lang w:eastAsia="zh-CN"/>
        </w:rPr>
      </w:pPr>
      <w:r>
        <w:rPr>
          <w:rFonts w:hint="eastAsia" w:ascii="宋体" w:hAnsi="宋体"/>
        </w:rPr>
        <w:t>2、</w:t>
      </w:r>
      <w:r>
        <w:rPr>
          <w:rFonts w:hint="eastAsia" w:ascii="宋体" w:hAnsi="宋体" w:cs="宋体"/>
          <w:color w:val="auto"/>
          <w:szCs w:val="21"/>
          <w:lang w:eastAsia="zh-CN"/>
        </w:rPr>
        <w:t>产品</w:t>
      </w:r>
      <w:r>
        <w:rPr>
          <w:rFonts w:hint="eastAsia" w:ascii="宋体" w:hAnsi="宋体"/>
          <w:color w:val="auto"/>
          <w:szCs w:val="21"/>
          <w:lang w:eastAsia="zh-CN"/>
        </w:rPr>
        <w:t>组合；</w:t>
      </w:r>
    </w:p>
    <w:p>
      <w:pPr>
        <w:spacing w:line="360" w:lineRule="auto"/>
        <w:ind w:left="420"/>
        <w:rPr>
          <w:rFonts w:hint="eastAsia" w:ascii="宋体" w:hAnsi="宋体"/>
          <w:szCs w:val="21"/>
          <w:lang w:eastAsia="zh-CN"/>
        </w:rPr>
      </w:pPr>
      <w:r>
        <w:rPr>
          <w:rFonts w:hint="eastAsia" w:ascii="宋体" w:hAnsi="宋体"/>
        </w:rPr>
        <w:t>3、</w:t>
      </w:r>
      <w:r>
        <w:rPr>
          <w:rFonts w:hint="eastAsia" w:ascii="宋体" w:hAnsi="宋体"/>
          <w:szCs w:val="21"/>
        </w:rPr>
        <w:t>产品</w:t>
      </w:r>
      <w:r>
        <w:rPr>
          <w:rFonts w:hint="eastAsia" w:ascii="宋体" w:hAnsi="宋体"/>
          <w:szCs w:val="21"/>
          <w:lang w:eastAsia="zh-CN"/>
        </w:rPr>
        <w:t>兑换方案；</w:t>
      </w:r>
    </w:p>
    <w:p>
      <w:pPr>
        <w:spacing w:line="360" w:lineRule="auto"/>
        <w:ind w:left="420"/>
        <w:rPr>
          <w:rFonts w:ascii="宋体" w:hAnsi="宋体"/>
        </w:rPr>
      </w:pPr>
      <w:r>
        <w:rPr>
          <w:rFonts w:hint="eastAsia" w:ascii="宋体" w:hAnsi="宋体"/>
          <w:szCs w:val="21"/>
          <w:lang w:val="en-US" w:eastAsia="zh-CN"/>
        </w:rPr>
        <w:t>4、</w:t>
      </w:r>
      <w:r>
        <w:rPr>
          <w:rFonts w:hint="eastAsia" w:ascii="宋体" w:hAnsi="宋体"/>
          <w:szCs w:val="21"/>
          <w:lang w:eastAsia="zh-CN"/>
        </w:rPr>
        <w:t>投标人认为对投标有利的其他资料。</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rPr>
          <w:snapToGrid w:val="0"/>
          <w:kern w:val="0"/>
        </w:rPr>
      </w:pPr>
      <w:r>
        <w:rPr>
          <w:rFonts w:hint="eastAsia"/>
          <w:snapToGrid w:val="0"/>
          <w:kern w:val="0"/>
        </w:rPr>
        <w:t>年    月   日</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widowControl/>
        <w:jc w:val="left"/>
        <w:rPr>
          <w:b/>
          <w:szCs w:val="21"/>
        </w:rPr>
      </w:pPr>
      <w:r>
        <w:rPr>
          <w:b/>
          <w:szCs w:val="21"/>
        </w:rPr>
        <w:br w:type="page"/>
      </w:r>
    </w:p>
    <w:p>
      <w:pPr>
        <w:pStyle w:val="29"/>
        <w:adjustRightInd w:val="0"/>
        <w:snapToGrid w:val="0"/>
        <w:spacing w:line="312" w:lineRule="auto"/>
        <w:jc w:val="left"/>
        <w:rPr>
          <w:rFonts w:ascii="Times New Roman" w:hAnsi="Times New Roman"/>
          <w:b/>
          <w:sz w:val="21"/>
          <w:szCs w:val="21"/>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asciiTheme="minorEastAsia" w:hAnsiTheme="minorEastAsia" w:eastAsiaTheme="minorEastAsia"/>
          <w:sz w:val="24"/>
        </w:rPr>
        <w:t>格式</w:t>
      </w:r>
      <w:r>
        <w:rPr>
          <w:rFonts w:hint="eastAsia" w:asciiTheme="minorEastAsia" w:hAnsiTheme="minorEastAsia" w:eastAsiaTheme="minorEastAsia"/>
          <w:sz w:val="24"/>
        </w:rPr>
        <w:t>8</w:t>
      </w:r>
      <w:r>
        <w:rPr>
          <w:rFonts w:asciiTheme="minorEastAsia" w:hAnsiTheme="minorEastAsia" w:eastAsiaTheme="minorEastAsia"/>
          <w:sz w:val="24"/>
        </w:rPr>
        <w:t xml:space="preserve">  </w:t>
      </w:r>
      <w:r>
        <w:rPr>
          <w:rFonts w:hint="eastAsia" w:asciiTheme="minorEastAsia" w:hAnsiTheme="minorEastAsia" w:eastAsiaTheme="minorEastAsia"/>
          <w:sz w:val="24"/>
        </w:rPr>
        <w:t>质量保障措施及方案</w:t>
      </w:r>
    </w:p>
    <w:p/>
    <w:p>
      <w:pPr>
        <w:spacing w:line="360" w:lineRule="auto"/>
        <w:ind w:left="420"/>
        <w:rPr>
          <w:rFonts w:hint="eastAsia" w:ascii="宋体" w:hAnsi="宋体"/>
          <w:b/>
          <w:bCs/>
        </w:rPr>
      </w:pPr>
      <w:r>
        <w:rPr>
          <w:rFonts w:hint="eastAsia" w:ascii="宋体" w:hAnsi="宋体"/>
          <w:b/>
          <w:bCs/>
        </w:rPr>
        <w:t>主要内容应包括但不限于以下内容（格式自定）：</w:t>
      </w:r>
    </w:p>
    <w:p>
      <w:pPr>
        <w:spacing w:line="360" w:lineRule="auto"/>
        <w:ind w:left="420"/>
        <w:rPr>
          <w:rFonts w:hint="eastAsia" w:ascii="宋体" w:hAnsi="宋体" w:eastAsia="宋体"/>
          <w:lang w:eastAsia="zh-CN"/>
        </w:rPr>
      </w:pPr>
      <w:r>
        <w:rPr>
          <w:rFonts w:hint="eastAsia" w:ascii="宋体" w:hAnsi="宋体"/>
        </w:rPr>
        <w:t>1、</w:t>
      </w:r>
      <w:r>
        <w:rPr>
          <w:rFonts w:hint="eastAsia" w:ascii="宋体" w:hAnsi="宋体"/>
          <w:color w:val="auto"/>
          <w:szCs w:val="21"/>
        </w:rPr>
        <w:t>产品质量管控措施</w:t>
      </w:r>
      <w:r>
        <w:rPr>
          <w:rFonts w:hint="eastAsia" w:ascii="宋体" w:hAnsi="宋体"/>
          <w:color w:val="auto"/>
          <w:szCs w:val="21"/>
          <w:lang w:eastAsia="zh-CN"/>
        </w:rPr>
        <w:t>；</w:t>
      </w:r>
    </w:p>
    <w:p>
      <w:pPr>
        <w:spacing w:line="360" w:lineRule="auto"/>
        <w:ind w:left="420"/>
        <w:rPr>
          <w:rFonts w:hint="eastAsia" w:ascii="宋体" w:hAnsi="宋体" w:eastAsia="宋体"/>
          <w:lang w:eastAsia="zh-CN"/>
        </w:rPr>
      </w:pPr>
      <w:r>
        <w:rPr>
          <w:rFonts w:hint="eastAsia" w:ascii="宋体" w:hAnsi="宋体"/>
        </w:rPr>
        <w:t>2、</w:t>
      </w:r>
      <w:r>
        <w:rPr>
          <w:rFonts w:hint="eastAsia" w:ascii="宋体" w:hAnsi="宋体" w:cs="宋体"/>
          <w:color w:val="auto"/>
          <w:szCs w:val="21"/>
        </w:rPr>
        <w:t>食品的保存</w:t>
      </w:r>
      <w:r>
        <w:rPr>
          <w:rFonts w:hint="eastAsia" w:ascii="宋体" w:hAnsi="宋体"/>
          <w:color w:val="auto"/>
          <w:szCs w:val="21"/>
        </w:rPr>
        <w:t>保障措施</w:t>
      </w:r>
      <w:r>
        <w:rPr>
          <w:rFonts w:hint="eastAsia" w:ascii="宋体" w:hAnsi="宋体"/>
          <w:color w:val="auto"/>
          <w:szCs w:val="21"/>
          <w:lang w:eastAsia="zh-CN"/>
        </w:rPr>
        <w:t>；</w:t>
      </w:r>
    </w:p>
    <w:p>
      <w:pPr>
        <w:spacing w:line="360" w:lineRule="auto"/>
        <w:ind w:left="420"/>
        <w:rPr>
          <w:rFonts w:hint="eastAsia" w:ascii="宋体" w:hAnsi="宋体"/>
          <w:szCs w:val="21"/>
          <w:lang w:eastAsia="zh-CN"/>
        </w:rPr>
      </w:pPr>
      <w:r>
        <w:rPr>
          <w:rFonts w:hint="eastAsia" w:ascii="宋体" w:hAnsi="宋体"/>
        </w:rPr>
        <w:t>3、</w:t>
      </w:r>
      <w:r>
        <w:rPr>
          <w:rFonts w:hint="eastAsia" w:ascii="宋体" w:hAnsi="宋体" w:cs="宋体"/>
          <w:color w:val="auto"/>
          <w:szCs w:val="21"/>
        </w:rPr>
        <w:t>运输各环节的质量保证措施及方案</w:t>
      </w:r>
      <w:r>
        <w:rPr>
          <w:rFonts w:hint="eastAsia" w:ascii="宋体" w:hAnsi="宋体"/>
          <w:szCs w:val="21"/>
          <w:lang w:eastAsia="zh-CN"/>
        </w:rPr>
        <w:t>；</w:t>
      </w:r>
    </w:p>
    <w:p>
      <w:pPr>
        <w:spacing w:line="360" w:lineRule="auto"/>
        <w:ind w:left="420"/>
        <w:rPr>
          <w:rFonts w:ascii="宋体" w:hAnsi="宋体"/>
        </w:rPr>
      </w:pPr>
      <w:r>
        <w:rPr>
          <w:rFonts w:hint="eastAsia" w:ascii="宋体" w:hAnsi="宋体"/>
          <w:szCs w:val="21"/>
          <w:lang w:val="en-US" w:eastAsia="zh-CN"/>
        </w:rPr>
        <w:t>4、</w:t>
      </w:r>
      <w:r>
        <w:rPr>
          <w:rFonts w:hint="eastAsia" w:ascii="宋体" w:hAnsi="宋体"/>
          <w:szCs w:val="21"/>
          <w:lang w:eastAsia="zh-CN"/>
        </w:rPr>
        <w:t>投标人认为对投标有利的其他资料。</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rPr>
          <w:snapToGrid w:val="0"/>
          <w:kern w:val="0"/>
        </w:rPr>
      </w:pPr>
      <w:r>
        <w:rPr>
          <w:rFonts w:hint="eastAsia"/>
          <w:snapToGrid w:val="0"/>
          <w:kern w:val="0"/>
        </w:rPr>
        <w:t>年    月   日</w:t>
      </w:r>
    </w:p>
    <w:p>
      <w:pPr>
        <w:pStyle w:val="4"/>
        <w:spacing w:before="0"/>
        <w:rPr>
          <w:rFonts w:ascii="宋体" w:hAnsi="宋体"/>
          <w:sz w:val="28"/>
        </w:rPr>
      </w:pPr>
    </w:p>
    <w:p/>
    <w:p/>
    <w:p/>
    <w:p/>
    <w:p/>
    <w:p/>
    <w:p/>
    <w:p/>
    <w:p>
      <w:pPr>
        <w:widowControl/>
        <w:jc w:val="left"/>
        <w:rPr>
          <w:rFonts w:asciiTheme="minorEastAsia" w:hAnsiTheme="minorEastAsia" w:eastAsiaTheme="minorEastAsia"/>
          <w:b/>
          <w:sz w:val="24"/>
        </w:rPr>
      </w:pPr>
      <w:bookmarkStart w:id="64" w:name="_Toc44690436"/>
      <w:bookmarkStart w:id="65" w:name="_Toc44691168"/>
      <w:bookmarkStart w:id="66" w:name="_Toc44691400"/>
      <w:bookmarkStart w:id="67" w:name="_Toc44690709"/>
      <w:r>
        <w:rPr>
          <w:rFonts w:asciiTheme="minorEastAsia" w:hAnsiTheme="minorEastAsia" w:eastAsiaTheme="minorEastAsia"/>
          <w:sz w:val="24"/>
        </w:rPr>
        <w:br w:type="page"/>
      </w: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 xml:space="preserve">格式9  </w:t>
      </w:r>
      <w:bookmarkEnd w:id="64"/>
      <w:bookmarkEnd w:id="65"/>
      <w:bookmarkEnd w:id="66"/>
      <w:bookmarkEnd w:id="67"/>
      <w:r>
        <w:rPr>
          <w:rFonts w:hint="eastAsia" w:asciiTheme="minorEastAsia" w:hAnsiTheme="minorEastAsia" w:eastAsiaTheme="minorEastAsia"/>
          <w:sz w:val="24"/>
        </w:rPr>
        <w:t>售后服务方案</w:t>
      </w:r>
    </w:p>
    <w:p>
      <w:pPr>
        <w:adjustRightInd w:val="0"/>
        <w:snapToGrid w:val="0"/>
        <w:spacing w:line="360" w:lineRule="auto"/>
        <w:rPr>
          <w:rFonts w:ascii="宋体" w:hAnsi="宋体"/>
        </w:rPr>
      </w:pPr>
    </w:p>
    <w:p>
      <w:pPr>
        <w:spacing w:line="360" w:lineRule="auto"/>
        <w:ind w:left="420"/>
        <w:rPr>
          <w:rFonts w:hint="eastAsia" w:ascii="宋体" w:hAnsi="宋体"/>
          <w:b/>
          <w:bCs/>
        </w:rPr>
      </w:pPr>
      <w:r>
        <w:rPr>
          <w:rFonts w:hint="eastAsia" w:ascii="宋体" w:hAnsi="宋体"/>
          <w:b/>
          <w:bCs/>
        </w:rPr>
        <w:t>主要内容应包括但不限于以下内容（格式自定）：</w:t>
      </w:r>
    </w:p>
    <w:p>
      <w:pPr>
        <w:spacing w:line="360" w:lineRule="auto"/>
        <w:ind w:left="420"/>
        <w:rPr>
          <w:rFonts w:hint="eastAsia" w:ascii="宋体" w:hAnsi="宋体" w:eastAsia="宋体"/>
          <w:lang w:eastAsia="zh-CN"/>
        </w:rPr>
      </w:pPr>
      <w:r>
        <w:rPr>
          <w:rFonts w:hint="eastAsia" w:ascii="宋体" w:hAnsi="宋体"/>
        </w:rPr>
        <w:t>1、</w:t>
      </w:r>
      <w:r>
        <w:rPr>
          <w:rFonts w:hint="eastAsia"/>
          <w:color w:val="auto"/>
        </w:rPr>
        <w:t>售后</w:t>
      </w:r>
      <w:r>
        <w:rPr>
          <w:rFonts w:hint="eastAsia" w:ascii="宋体" w:hAnsi="宋体" w:cs="仿宋"/>
          <w:color w:val="auto"/>
          <w:szCs w:val="21"/>
        </w:rPr>
        <w:t>服务机构设置</w:t>
      </w:r>
      <w:r>
        <w:rPr>
          <w:rFonts w:hint="eastAsia" w:ascii="宋体" w:hAnsi="宋体"/>
          <w:color w:val="auto"/>
          <w:szCs w:val="21"/>
          <w:lang w:eastAsia="zh-CN"/>
        </w:rPr>
        <w:t>；</w:t>
      </w:r>
    </w:p>
    <w:p>
      <w:pPr>
        <w:spacing w:line="360" w:lineRule="auto"/>
        <w:ind w:left="420"/>
        <w:rPr>
          <w:rFonts w:hint="eastAsia" w:ascii="宋体" w:hAnsi="宋体" w:eastAsia="宋体"/>
          <w:lang w:eastAsia="zh-CN"/>
        </w:rPr>
      </w:pPr>
      <w:r>
        <w:rPr>
          <w:rFonts w:hint="eastAsia" w:ascii="宋体" w:hAnsi="宋体"/>
        </w:rPr>
        <w:t>2、</w:t>
      </w:r>
      <w:r>
        <w:rPr>
          <w:rFonts w:hint="eastAsia"/>
          <w:kern w:val="2"/>
        </w:rPr>
        <w:t>出现质量问题响应</w:t>
      </w:r>
      <w:r>
        <w:rPr>
          <w:rFonts w:hint="eastAsia" w:ascii="宋体" w:hAnsi="宋体"/>
          <w:color w:val="auto"/>
          <w:szCs w:val="21"/>
          <w:lang w:eastAsia="zh-CN"/>
        </w:rPr>
        <w:t>；</w:t>
      </w:r>
    </w:p>
    <w:p>
      <w:pPr>
        <w:spacing w:line="360" w:lineRule="auto"/>
        <w:ind w:left="420"/>
        <w:rPr>
          <w:rFonts w:hint="eastAsia" w:ascii="宋体" w:hAnsi="宋体"/>
          <w:szCs w:val="21"/>
          <w:lang w:eastAsia="zh-CN"/>
        </w:rPr>
      </w:pPr>
      <w:r>
        <w:rPr>
          <w:rFonts w:hint="eastAsia" w:ascii="宋体" w:hAnsi="宋体"/>
        </w:rPr>
        <w:t>3、</w:t>
      </w:r>
      <w:r>
        <w:rPr>
          <w:rFonts w:hint="eastAsia"/>
          <w:kern w:val="2"/>
        </w:rPr>
        <w:t>处理完成</w:t>
      </w:r>
      <w:r>
        <w:rPr>
          <w:rFonts w:hint="eastAsia"/>
          <w:kern w:val="2"/>
          <w:lang w:eastAsia="zh-CN"/>
        </w:rPr>
        <w:t>时间</w:t>
      </w:r>
      <w:r>
        <w:rPr>
          <w:rFonts w:hint="eastAsia" w:ascii="宋体" w:hAnsi="宋体"/>
          <w:szCs w:val="21"/>
          <w:lang w:eastAsia="zh-CN"/>
        </w:rPr>
        <w:t>；</w:t>
      </w:r>
    </w:p>
    <w:p>
      <w:pPr>
        <w:spacing w:line="360" w:lineRule="auto"/>
        <w:ind w:left="420"/>
        <w:rPr>
          <w:rFonts w:ascii="宋体" w:hAnsi="宋体"/>
        </w:rPr>
      </w:pPr>
      <w:r>
        <w:rPr>
          <w:rFonts w:hint="eastAsia" w:ascii="宋体" w:hAnsi="宋体"/>
          <w:szCs w:val="21"/>
          <w:lang w:val="en-US" w:eastAsia="zh-CN"/>
        </w:rPr>
        <w:t>4、</w:t>
      </w:r>
      <w:r>
        <w:rPr>
          <w:rFonts w:hint="eastAsia" w:ascii="宋体" w:hAnsi="宋体"/>
          <w:szCs w:val="21"/>
          <w:lang w:eastAsia="zh-CN"/>
        </w:rPr>
        <w:t>投标人认为对投标有利的其他资料。</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bookmarkStart w:id="87" w:name="_GoBack"/>
      <w:bookmarkEnd w:id="87"/>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rPr>
          <w:snapToGrid w:val="0"/>
          <w:kern w:val="0"/>
        </w:rPr>
      </w:pPr>
      <w:r>
        <w:rPr>
          <w:rFonts w:hint="eastAsia"/>
          <w:snapToGrid w:val="0"/>
          <w:kern w:val="0"/>
        </w:rPr>
        <w:t>年    月   日</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tabs>
          <w:tab w:val="left" w:pos="480"/>
        </w:tabs>
        <w:adjustRightInd w:val="0"/>
        <w:snapToGrid w:val="0"/>
        <w:spacing w:line="300" w:lineRule="auto"/>
        <w:rPr>
          <w:snapToGrid w:val="0"/>
          <w:kern w:val="0"/>
        </w:rPr>
      </w:pPr>
      <w:r>
        <w:rPr>
          <w:snapToGrid w:val="0"/>
          <w:kern w:val="0"/>
        </w:rPr>
        <w:tab/>
      </w:r>
    </w:p>
    <w:p>
      <w:pPr>
        <w:tabs>
          <w:tab w:val="left" w:pos="480"/>
        </w:tabs>
        <w:adjustRightInd w:val="0"/>
        <w:snapToGrid w:val="0"/>
        <w:spacing w:line="300" w:lineRule="auto"/>
        <w:rPr>
          <w:snapToGrid w:val="0"/>
          <w:kern w:val="0"/>
        </w:rPr>
      </w:pPr>
    </w:p>
    <w:p>
      <w:pPr>
        <w:tabs>
          <w:tab w:val="left" w:pos="480"/>
        </w:tabs>
        <w:adjustRightInd w:val="0"/>
        <w:snapToGrid w:val="0"/>
        <w:spacing w:line="300" w:lineRule="auto"/>
        <w:rPr>
          <w:snapToGrid w:val="0"/>
          <w:kern w:val="0"/>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10</w:t>
      </w:r>
      <w:r>
        <w:rPr>
          <w:rFonts w:hint="eastAsia" w:asciiTheme="minorEastAsia" w:hAnsiTheme="minorEastAsia" w:eastAsiaTheme="minorEastAsia"/>
          <w:sz w:val="24"/>
        </w:rPr>
        <w:t xml:space="preserve">  配送服务</w:t>
      </w:r>
    </w:p>
    <w:p>
      <w:pPr>
        <w:adjustRightInd w:val="0"/>
        <w:snapToGrid w:val="0"/>
        <w:spacing w:line="360" w:lineRule="auto"/>
        <w:rPr>
          <w:rFonts w:ascii="宋体" w:hAnsi="宋体"/>
        </w:rPr>
      </w:pPr>
    </w:p>
    <w:p>
      <w:pPr>
        <w:spacing w:line="360" w:lineRule="auto"/>
        <w:ind w:left="420"/>
        <w:rPr>
          <w:rFonts w:hint="eastAsia" w:ascii="宋体" w:hAnsi="宋体"/>
          <w:b/>
          <w:bCs/>
        </w:rPr>
      </w:pPr>
      <w:r>
        <w:rPr>
          <w:rFonts w:hint="eastAsia" w:ascii="宋体" w:hAnsi="宋体"/>
          <w:b/>
          <w:bCs/>
        </w:rPr>
        <w:t>主要内容应包括但不限于以下内容（格式自定）：</w:t>
      </w:r>
    </w:p>
    <w:p>
      <w:pPr>
        <w:spacing w:line="360" w:lineRule="auto"/>
        <w:ind w:left="420"/>
        <w:rPr>
          <w:rFonts w:hint="eastAsia" w:ascii="宋体" w:hAnsi="宋体" w:eastAsia="宋体"/>
          <w:lang w:eastAsia="zh-CN"/>
        </w:rPr>
      </w:pPr>
      <w:r>
        <w:rPr>
          <w:rFonts w:hint="eastAsia" w:ascii="宋体" w:hAnsi="宋体"/>
        </w:rPr>
        <w:t>1、</w:t>
      </w:r>
      <w:r>
        <w:rPr>
          <w:rFonts w:hint="eastAsia" w:ascii="宋体" w:hAnsi="宋体"/>
          <w:szCs w:val="21"/>
        </w:rPr>
        <w:t>配送流程</w:t>
      </w:r>
      <w:r>
        <w:rPr>
          <w:rFonts w:hint="eastAsia" w:ascii="宋体" w:hAnsi="宋体"/>
          <w:color w:val="auto"/>
          <w:szCs w:val="21"/>
          <w:lang w:eastAsia="zh-CN"/>
        </w:rPr>
        <w:t>；</w:t>
      </w:r>
    </w:p>
    <w:p>
      <w:pPr>
        <w:spacing w:line="360" w:lineRule="auto"/>
        <w:ind w:left="420"/>
        <w:rPr>
          <w:rFonts w:hint="eastAsia" w:ascii="宋体" w:hAnsi="宋体" w:eastAsia="宋体"/>
          <w:lang w:eastAsia="zh-CN"/>
        </w:rPr>
      </w:pPr>
      <w:r>
        <w:rPr>
          <w:rFonts w:hint="eastAsia" w:ascii="宋体" w:hAnsi="宋体"/>
        </w:rPr>
        <w:t>2、</w:t>
      </w:r>
      <w:r>
        <w:rPr>
          <w:rFonts w:hint="eastAsia"/>
          <w:color w:val="auto"/>
        </w:rPr>
        <w:t>服务人员配置</w:t>
      </w:r>
      <w:r>
        <w:rPr>
          <w:rFonts w:hint="eastAsia" w:ascii="宋体" w:hAnsi="宋体"/>
          <w:color w:val="auto"/>
          <w:szCs w:val="21"/>
          <w:lang w:eastAsia="zh-CN"/>
        </w:rPr>
        <w:t>；</w:t>
      </w:r>
    </w:p>
    <w:p>
      <w:pPr>
        <w:spacing w:line="360" w:lineRule="auto"/>
        <w:ind w:left="420"/>
        <w:rPr>
          <w:rFonts w:hint="eastAsia" w:ascii="宋体" w:hAnsi="宋体"/>
          <w:szCs w:val="21"/>
          <w:lang w:eastAsia="zh-CN"/>
        </w:rPr>
      </w:pPr>
      <w:r>
        <w:rPr>
          <w:rFonts w:hint="eastAsia" w:ascii="宋体" w:hAnsi="宋体"/>
        </w:rPr>
        <w:t>3、</w:t>
      </w:r>
      <w:r>
        <w:rPr>
          <w:rFonts w:hint="eastAsia" w:ascii="宋体" w:hAnsi="宋体" w:cs="仿宋"/>
          <w:color w:val="auto"/>
          <w:szCs w:val="21"/>
        </w:rPr>
        <w:t>配送响应时间</w:t>
      </w:r>
      <w:r>
        <w:rPr>
          <w:rFonts w:hint="eastAsia" w:ascii="宋体" w:hAnsi="宋体"/>
          <w:szCs w:val="21"/>
          <w:lang w:eastAsia="zh-CN"/>
        </w:rPr>
        <w:t>；</w:t>
      </w:r>
    </w:p>
    <w:p>
      <w:pPr>
        <w:spacing w:line="360" w:lineRule="auto"/>
        <w:ind w:left="420"/>
        <w:rPr>
          <w:rFonts w:ascii="宋体" w:hAnsi="宋体"/>
        </w:rPr>
      </w:pPr>
      <w:r>
        <w:rPr>
          <w:rFonts w:hint="eastAsia" w:ascii="宋体" w:hAnsi="宋体"/>
          <w:szCs w:val="21"/>
          <w:lang w:val="en-US" w:eastAsia="zh-CN"/>
        </w:rPr>
        <w:t>4、</w:t>
      </w:r>
      <w:r>
        <w:rPr>
          <w:rFonts w:hint="eastAsia" w:ascii="宋体" w:hAnsi="宋体"/>
          <w:szCs w:val="21"/>
          <w:lang w:eastAsia="zh-CN"/>
        </w:rPr>
        <w:t>投标人认为对投标有利的其他资料。</w:t>
      </w: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jc w:val="right"/>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法定代表人或授权代表：（签字）</w:t>
      </w:r>
    </w:p>
    <w:p>
      <w:pPr>
        <w:adjustRightInd w:val="0"/>
        <w:snapToGrid w:val="0"/>
        <w:spacing w:line="300" w:lineRule="auto"/>
        <w:rPr>
          <w:snapToGrid w:val="0"/>
          <w:kern w:val="0"/>
        </w:rPr>
      </w:pPr>
    </w:p>
    <w:p>
      <w:pPr>
        <w:adjustRightInd w:val="0"/>
        <w:snapToGrid w:val="0"/>
        <w:spacing w:line="300" w:lineRule="auto"/>
        <w:rPr>
          <w:snapToGrid w:val="0"/>
          <w:kern w:val="0"/>
        </w:rPr>
      </w:pPr>
    </w:p>
    <w:p>
      <w:pPr>
        <w:wordWrap w:val="0"/>
        <w:adjustRightInd w:val="0"/>
        <w:snapToGrid w:val="0"/>
        <w:spacing w:line="300" w:lineRule="auto"/>
        <w:jc w:val="right"/>
        <w:rPr>
          <w:snapToGrid w:val="0"/>
          <w:kern w:val="0"/>
        </w:rPr>
      </w:pPr>
      <w:r>
        <w:rPr>
          <w:rFonts w:hint="eastAsia"/>
          <w:snapToGrid w:val="0"/>
          <w:kern w:val="0"/>
        </w:rPr>
        <w:t>年    月   日</w:t>
      </w:r>
    </w:p>
    <w:p>
      <w:pPr>
        <w:adjustRightInd w:val="0"/>
        <w:snapToGrid w:val="0"/>
        <w:spacing w:line="300" w:lineRule="auto"/>
        <w:jc w:val="right"/>
        <w:rPr>
          <w:snapToGrid w:val="0"/>
          <w:kern w:val="0"/>
        </w:rPr>
      </w:pPr>
    </w:p>
    <w:p>
      <w:pPr>
        <w:tabs>
          <w:tab w:val="left" w:pos="1200"/>
        </w:tabs>
        <w:adjustRightInd w:val="0"/>
        <w:snapToGrid w:val="0"/>
        <w:spacing w:line="300" w:lineRule="auto"/>
        <w:rPr>
          <w:snapToGrid w:val="0"/>
          <w:kern w:val="0"/>
        </w:rPr>
      </w:pPr>
    </w:p>
    <w:p>
      <w:pPr>
        <w:tabs>
          <w:tab w:val="left" w:pos="1200"/>
        </w:tabs>
        <w:adjustRightInd w:val="0"/>
        <w:snapToGrid w:val="0"/>
        <w:spacing w:line="300" w:lineRule="auto"/>
        <w:rPr>
          <w:snapToGrid w:val="0"/>
          <w:kern w:val="0"/>
        </w:rPr>
      </w:pPr>
      <w:r>
        <w:rPr>
          <w:snapToGrid w:val="0"/>
          <w:kern w:val="0"/>
        </w:rPr>
        <w:br w:type="page"/>
      </w:r>
    </w:p>
    <w:p>
      <w:pPr>
        <w:tabs>
          <w:tab w:val="left" w:pos="1200"/>
        </w:tabs>
        <w:adjustRightInd w:val="0"/>
        <w:snapToGrid w:val="0"/>
        <w:spacing w:line="300" w:lineRule="auto"/>
        <w:rPr>
          <w:snapToGrid w:val="0"/>
          <w:kern w:val="0"/>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bookmarkStart w:id="68" w:name="q15"/>
      <w:bookmarkEnd w:id="68"/>
      <w:bookmarkStart w:id="69" w:name="_格式2__投标保证金凭证"/>
      <w:bookmarkEnd w:id="69"/>
      <w:bookmarkStart w:id="70" w:name="_格式4__"/>
      <w:bookmarkEnd w:id="70"/>
      <w:bookmarkStart w:id="71" w:name="_格式5__"/>
      <w:bookmarkEnd w:id="71"/>
      <w:bookmarkStart w:id="72" w:name="_格式3__"/>
      <w:bookmarkEnd w:id="72"/>
      <w:bookmarkStart w:id="73" w:name="q17"/>
      <w:bookmarkEnd w:id="73"/>
      <w:bookmarkStart w:id="74" w:name="q16"/>
      <w:bookmarkEnd w:id="74"/>
      <w:r>
        <w:rPr>
          <w:rFonts w:asciiTheme="minorEastAsia" w:hAnsiTheme="minorEastAsia" w:eastAsiaTheme="minorEastAsia"/>
          <w:sz w:val="24"/>
        </w:rPr>
        <w:tab/>
      </w:r>
      <w:bookmarkStart w:id="75" w:name="_Toc44691169"/>
      <w:bookmarkStart w:id="76" w:name="_Toc44690437"/>
      <w:bookmarkStart w:id="77" w:name="_Toc44690710"/>
      <w:bookmarkStart w:id="78" w:name="_Toc44691401"/>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11</w:t>
      </w:r>
      <w:r>
        <w:rPr>
          <w:rFonts w:hint="eastAsia" w:asciiTheme="minorEastAsia" w:hAnsiTheme="minorEastAsia" w:eastAsiaTheme="minorEastAsia"/>
          <w:sz w:val="24"/>
        </w:rPr>
        <w:t xml:space="preserve">  投标人资格声明</w:t>
      </w:r>
      <w:bookmarkEnd w:id="75"/>
      <w:bookmarkEnd w:id="76"/>
      <w:bookmarkEnd w:id="77"/>
      <w:bookmarkEnd w:id="78"/>
    </w:p>
    <w:p>
      <w:pPr>
        <w:snapToGrid w:val="0"/>
        <w:spacing w:line="300" w:lineRule="auto"/>
        <w:rPr>
          <w:rFonts w:ascii="宋体" w:hAnsi="宋体"/>
        </w:rPr>
      </w:pPr>
    </w:p>
    <w:p>
      <w:pPr>
        <w:adjustRightInd w:val="0"/>
        <w:snapToGrid w:val="0"/>
        <w:spacing w:line="360" w:lineRule="auto"/>
        <w:rPr>
          <w:rFonts w:ascii="宋体" w:hAnsi="宋体"/>
          <w:bCs/>
          <w:snapToGrid w:val="0"/>
          <w:kern w:val="0"/>
        </w:rPr>
      </w:pPr>
      <w:r>
        <w:rPr>
          <w:rFonts w:ascii="宋体" w:hAnsi="宋体"/>
          <w:bCs/>
          <w:snapToGrid w:val="0"/>
          <w:kern w:val="0"/>
        </w:rPr>
        <w:t>1、投标人资格声明</w:t>
      </w:r>
      <w:r>
        <w:rPr>
          <w:rFonts w:hint="eastAsia" w:ascii="宋体" w:hAnsi="宋体"/>
          <w:bCs/>
          <w:snapToGrid w:val="0"/>
          <w:kern w:val="0"/>
        </w:rPr>
        <w:t>；</w:t>
      </w:r>
    </w:p>
    <w:p>
      <w:pPr>
        <w:adjustRightInd w:val="0"/>
        <w:snapToGrid w:val="0"/>
        <w:spacing w:line="360" w:lineRule="auto"/>
        <w:rPr>
          <w:rFonts w:ascii="宋体" w:hAnsi="宋体"/>
          <w:bCs/>
          <w:snapToGrid w:val="0"/>
          <w:kern w:val="0"/>
        </w:rPr>
      </w:pPr>
      <w:r>
        <w:rPr>
          <w:rFonts w:hint="eastAsia" w:ascii="宋体" w:hAnsi="宋体"/>
          <w:bCs/>
          <w:snapToGrid w:val="0"/>
          <w:kern w:val="0"/>
        </w:rPr>
        <w:t>2、投标人基本情况简介，格式自拟，包括但不限于经营范围、依法纳税记录等；</w:t>
      </w:r>
    </w:p>
    <w:p>
      <w:pPr>
        <w:adjustRightInd w:val="0"/>
        <w:snapToGrid w:val="0"/>
        <w:spacing w:line="360" w:lineRule="auto"/>
        <w:rPr>
          <w:rFonts w:ascii="宋体" w:hAnsi="宋体"/>
          <w:snapToGrid w:val="0"/>
          <w:kern w:val="0"/>
          <w:szCs w:val="21"/>
        </w:rPr>
      </w:pPr>
      <w:r>
        <w:rPr>
          <w:rFonts w:hint="eastAsia" w:ascii="宋体" w:hAnsi="宋体"/>
          <w:bCs/>
          <w:snapToGrid w:val="0"/>
          <w:kern w:val="0"/>
          <w:szCs w:val="21"/>
        </w:rPr>
        <w:t>3、</w:t>
      </w:r>
      <w:r>
        <w:rPr>
          <w:rFonts w:hint="eastAsia" w:ascii="宋体" w:hAnsi="宋体"/>
          <w:bCs/>
          <w:snapToGrid w:val="0"/>
          <w:kern w:val="0"/>
        </w:rPr>
        <w:t>投标人认为有必要提供的其他文件。</w:t>
      </w:r>
    </w:p>
    <w:p>
      <w:pPr>
        <w:adjustRightInd w:val="0"/>
        <w:snapToGrid w:val="0"/>
        <w:spacing w:line="360" w:lineRule="auto"/>
        <w:rPr>
          <w:bCs/>
          <w:snapToGrid w:val="0"/>
          <w:kern w:val="0"/>
        </w:rPr>
      </w:pPr>
    </w:p>
    <w:p>
      <w:pPr>
        <w:adjustRightInd w:val="0"/>
        <w:snapToGrid w:val="0"/>
        <w:spacing w:line="360" w:lineRule="auto"/>
        <w:rPr>
          <w:rFonts w:eastAsia="楷体_GB2312"/>
          <w:b/>
          <w:bCs/>
          <w:snapToGrid w:val="0"/>
          <w:kern w:val="0"/>
        </w:rPr>
      </w:pPr>
      <w:r>
        <w:rPr>
          <w:rFonts w:hint="eastAsia" w:eastAsia="楷体_GB2312"/>
          <w:b/>
          <w:bCs/>
          <w:snapToGrid w:val="0"/>
          <w:kern w:val="0"/>
        </w:rPr>
        <w:t>注：投标人提供的以上资料若为复印件或扫描件需加盖投标人公章</w:t>
      </w:r>
    </w:p>
    <w:p>
      <w:pPr>
        <w:adjustRightInd w:val="0"/>
        <w:snapToGrid w:val="0"/>
        <w:spacing w:line="360" w:lineRule="auto"/>
        <w:rPr>
          <w:bCs/>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jc w:val="center"/>
        <w:rPr>
          <w:snapToGrid w:val="0"/>
          <w:kern w:val="0"/>
        </w:rPr>
      </w:pPr>
    </w:p>
    <w:p>
      <w:pPr>
        <w:widowControl/>
        <w:jc w:val="left"/>
        <w:rPr>
          <w:snapToGrid w:val="0"/>
          <w:kern w:val="0"/>
        </w:rPr>
      </w:pPr>
      <w:r>
        <w:rPr>
          <w:snapToGrid w:val="0"/>
          <w:kern w:val="0"/>
        </w:rPr>
        <w:br w:type="page"/>
      </w:r>
    </w:p>
    <w:p>
      <w:pPr>
        <w:jc w:val="center"/>
        <w:rPr>
          <w:snapToGrid w:val="0"/>
          <w:kern w:val="0"/>
        </w:rPr>
      </w:pPr>
    </w:p>
    <w:p>
      <w:pPr>
        <w:jc w:val="center"/>
        <w:rPr>
          <w:b/>
          <w:bCs/>
          <w:sz w:val="28"/>
        </w:rPr>
      </w:pPr>
      <w:bookmarkStart w:id="79" w:name="_格式7__投标人资格声明"/>
      <w:bookmarkEnd w:id="79"/>
      <w:bookmarkStart w:id="80" w:name="q40"/>
      <w:r>
        <w:rPr>
          <w:rFonts w:hint="eastAsia"/>
          <w:b/>
          <w:bCs/>
          <w:sz w:val="28"/>
        </w:rPr>
        <w:t>投标人资格声明</w:t>
      </w:r>
    </w:p>
    <w:p>
      <w:pPr>
        <w:snapToGrid w:val="0"/>
        <w:spacing w:line="300" w:lineRule="auto"/>
        <w:rPr>
          <w:rFonts w:ascii="宋体" w:hAnsi="宋体"/>
        </w:rPr>
      </w:pPr>
    </w:p>
    <w:p>
      <w:pPr>
        <w:snapToGrid w:val="0"/>
        <w:spacing w:line="300" w:lineRule="auto"/>
        <w:rPr>
          <w:rFonts w:ascii="宋体" w:hAnsi="宋体"/>
        </w:rPr>
      </w:pPr>
      <w:r>
        <w:rPr>
          <w:rFonts w:hint="eastAsia" w:ascii="宋体" w:hAnsi="宋体"/>
        </w:rPr>
        <w:t>1、名称及其它情况：</w:t>
      </w:r>
    </w:p>
    <w:p>
      <w:pPr>
        <w:snapToGrid w:val="0"/>
        <w:spacing w:line="300" w:lineRule="auto"/>
        <w:ind w:left="420"/>
        <w:rPr>
          <w:rFonts w:ascii="宋体" w:hAnsi="宋体"/>
          <w:u w:val="single"/>
        </w:rPr>
      </w:pPr>
      <w:r>
        <w:rPr>
          <w:rFonts w:hint="eastAsia" w:ascii="宋体" w:hAnsi="宋体"/>
        </w:rPr>
        <w:t>⑴、名称：</w:t>
      </w:r>
      <w:r>
        <w:rPr>
          <w:rFonts w:hint="eastAsia" w:ascii="宋体" w:hAnsi="宋体"/>
          <w:u w:val="single"/>
        </w:rPr>
        <w:t xml:space="preserve">                                 </w:t>
      </w:r>
    </w:p>
    <w:p>
      <w:pPr>
        <w:snapToGrid w:val="0"/>
        <w:spacing w:line="300" w:lineRule="auto"/>
        <w:ind w:left="420"/>
        <w:rPr>
          <w:rFonts w:ascii="宋体" w:hAnsi="宋体"/>
          <w:bCs/>
        </w:rPr>
      </w:pPr>
      <w:r>
        <w:rPr>
          <w:rFonts w:hint="eastAsia" w:ascii="宋体" w:hAnsi="宋体"/>
          <w:bCs/>
        </w:rPr>
        <w:t>⑵、地址：</w:t>
      </w:r>
      <w:r>
        <w:rPr>
          <w:rFonts w:hint="eastAsia" w:ascii="宋体" w:hAnsi="宋体"/>
          <w:b/>
          <w:u w:val="single"/>
        </w:rPr>
        <w:t xml:space="preserve">                                        </w:t>
      </w:r>
      <w:r>
        <w:rPr>
          <w:rFonts w:hint="eastAsia" w:ascii="宋体" w:hAnsi="宋体"/>
          <w:bCs/>
          <w:u w:val="single"/>
        </w:rPr>
        <w:t xml:space="preserve"> </w:t>
      </w:r>
    </w:p>
    <w:p>
      <w:pPr>
        <w:snapToGrid w:val="0"/>
        <w:spacing w:line="300" w:lineRule="auto"/>
        <w:ind w:left="420"/>
        <w:rPr>
          <w:rFonts w:ascii="宋体" w:hAnsi="宋体"/>
          <w:b/>
          <w:u w:val="single"/>
        </w:rPr>
      </w:pPr>
      <w:r>
        <w:rPr>
          <w:rFonts w:hint="eastAsia" w:ascii="宋体" w:hAnsi="宋体"/>
          <w:bCs/>
        </w:rPr>
        <w:t>⑶、成立和/或注册日期：</w:t>
      </w:r>
      <w:r>
        <w:rPr>
          <w:rFonts w:hint="eastAsia" w:ascii="宋体" w:hAnsi="宋体"/>
          <w:b/>
          <w:u w:val="single"/>
        </w:rPr>
        <w:t xml:space="preserve">                            </w:t>
      </w:r>
    </w:p>
    <w:p>
      <w:pPr>
        <w:snapToGrid w:val="0"/>
        <w:spacing w:line="300" w:lineRule="auto"/>
        <w:ind w:left="420"/>
        <w:rPr>
          <w:rFonts w:ascii="宋体" w:hAnsi="宋体"/>
          <w:b/>
          <w:u w:val="single"/>
        </w:rPr>
      </w:pPr>
      <w:r>
        <w:rPr>
          <w:rFonts w:ascii="宋体" w:hAnsi="宋体"/>
          <w:bCs/>
        </w:rPr>
        <w:fldChar w:fldCharType="begin"/>
      </w:r>
      <w:r>
        <w:rPr>
          <w:rFonts w:ascii="宋体" w:hAnsi="宋体"/>
          <w:bCs/>
        </w:rPr>
        <w:instrText xml:space="preserve"> </w:instrText>
      </w:r>
      <w:r>
        <w:rPr>
          <w:rFonts w:hint="eastAsia" w:ascii="宋体" w:hAnsi="宋体"/>
          <w:bCs/>
        </w:rPr>
        <w:instrText xml:space="preserve">= 4 \* GB2</w:instrText>
      </w:r>
      <w:r>
        <w:rPr>
          <w:rFonts w:ascii="宋体" w:hAnsi="宋体"/>
          <w:bCs/>
        </w:rPr>
        <w:instrText xml:space="preserve"> </w:instrText>
      </w:r>
      <w:r>
        <w:rPr>
          <w:rFonts w:ascii="宋体" w:hAnsi="宋体"/>
          <w:bCs/>
        </w:rPr>
        <w:fldChar w:fldCharType="separate"/>
      </w:r>
      <w:r>
        <w:rPr>
          <w:rFonts w:hint="eastAsia" w:ascii="宋体" w:hAnsi="宋体"/>
          <w:bCs/>
        </w:rPr>
        <w:t>⑷</w:t>
      </w:r>
      <w:r>
        <w:rPr>
          <w:rFonts w:ascii="宋体" w:hAnsi="宋体"/>
          <w:bCs/>
        </w:rPr>
        <w:fldChar w:fldCharType="end"/>
      </w:r>
      <w:r>
        <w:rPr>
          <w:rFonts w:hint="eastAsia" w:ascii="宋体" w:hAnsi="宋体"/>
          <w:bCs/>
        </w:rPr>
        <w:t>、企业性质：</w:t>
      </w:r>
      <w:r>
        <w:rPr>
          <w:rFonts w:hint="eastAsia" w:ascii="宋体" w:hAnsi="宋体"/>
          <w:b/>
          <w:u w:val="single"/>
        </w:rPr>
        <w:t xml:space="preserve">                                     </w:t>
      </w:r>
    </w:p>
    <w:p>
      <w:pPr>
        <w:snapToGrid w:val="0"/>
        <w:spacing w:line="300" w:lineRule="auto"/>
        <w:ind w:left="708" w:hanging="707" w:hangingChars="337"/>
        <w:rPr>
          <w:rFonts w:ascii="宋体" w:hAnsi="宋体"/>
          <w:bCs/>
        </w:rPr>
      </w:pPr>
      <w:r>
        <w:rPr>
          <w:rFonts w:hint="eastAsia" w:ascii="宋体" w:hAnsi="宋体"/>
          <w:bCs/>
        </w:rPr>
        <w:t>2、近三年主要客户的名称和地址：</w:t>
      </w:r>
    </w:p>
    <w:p>
      <w:pPr>
        <w:snapToGrid w:val="0"/>
        <w:spacing w:line="300" w:lineRule="auto"/>
        <w:ind w:left="990"/>
        <w:rPr>
          <w:rFonts w:ascii="宋体" w:hAnsi="宋体"/>
          <w:bCs/>
        </w:rPr>
      </w:pPr>
      <w:r>
        <w:rPr>
          <w:rFonts w:hint="eastAsia" w:ascii="宋体" w:hAnsi="宋体"/>
          <w:bCs/>
        </w:rPr>
        <w:t>名称和地址                          项目名称</w:t>
      </w:r>
    </w:p>
    <w:p>
      <w:pPr>
        <w:snapToGrid w:val="0"/>
        <w:spacing w:line="300" w:lineRule="auto"/>
        <w:rPr>
          <w:rFonts w:ascii="宋体" w:hAnsi="宋体"/>
          <w:bCs/>
          <w:u w:val="single"/>
        </w:rPr>
      </w:pPr>
      <w:r>
        <w:rPr>
          <w:rFonts w:hint="eastAsia" w:ascii="宋体" w:hAnsi="宋体"/>
          <w:bCs/>
        </w:rPr>
        <w:t xml:space="preserve">      </w:t>
      </w: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
          <w:u w:val="single"/>
        </w:rPr>
      </w:pPr>
      <w:r>
        <w:rPr>
          <w:rFonts w:hint="eastAsia" w:ascii="宋体" w:hAnsi="宋体"/>
          <w:bCs/>
        </w:rPr>
        <w:t xml:space="preserve">   </w:t>
      </w:r>
      <w:r>
        <w:rPr>
          <w:rFonts w:hint="eastAsia" w:ascii="宋体" w:hAnsi="宋体"/>
          <w:b/>
        </w:rPr>
        <w:t xml:space="preserve">   </w:t>
      </w: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Cs/>
          <w:u w:val="single"/>
        </w:rPr>
      </w:pPr>
      <w:r>
        <w:rPr>
          <w:rFonts w:hint="eastAsia" w:ascii="宋体" w:hAnsi="宋体"/>
          <w:bCs/>
        </w:rPr>
        <w:t xml:space="preserve">      </w:t>
      </w: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Cs/>
        </w:rPr>
      </w:pPr>
      <w:r>
        <w:rPr>
          <w:rFonts w:hint="eastAsia" w:ascii="宋体" w:hAnsi="宋体"/>
          <w:bCs/>
        </w:rPr>
        <w:t>3、近三年的营业额：</w:t>
      </w:r>
    </w:p>
    <w:p>
      <w:pPr>
        <w:snapToGrid w:val="0"/>
        <w:spacing w:line="300" w:lineRule="auto"/>
        <w:ind w:firstLine="420" w:firstLineChars="200"/>
        <w:rPr>
          <w:rFonts w:ascii="宋体" w:hAnsi="宋体"/>
          <w:bCs/>
        </w:rPr>
      </w:pPr>
      <w:r>
        <w:rPr>
          <w:rFonts w:hint="eastAsia" w:ascii="宋体" w:hAnsi="宋体"/>
          <w:bCs/>
        </w:rPr>
        <w:t>年份                国内                    国外                  总额</w:t>
      </w:r>
    </w:p>
    <w:p>
      <w:pPr>
        <w:snapToGrid w:val="0"/>
        <w:spacing w:line="300" w:lineRule="auto"/>
        <w:rPr>
          <w:rFonts w:ascii="宋体" w:hAnsi="宋体"/>
          <w:bCs/>
        </w:rPr>
      </w:pP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
          <w:u w:val="single"/>
        </w:rPr>
      </w:pP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Cs/>
        </w:rPr>
      </w:pPr>
      <w:r>
        <w:rPr>
          <w:rFonts w:hint="eastAsia" w:ascii="宋体" w:hAnsi="宋体"/>
          <w:bCs/>
          <w:u w:val="single"/>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r>
        <w:rPr>
          <w:rFonts w:hint="eastAsia" w:ascii="宋体" w:hAnsi="宋体"/>
          <w:b/>
        </w:rPr>
        <w:t xml:space="preserve">        </w:t>
      </w:r>
      <w:r>
        <w:rPr>
          <w:rFonts w:hint="eastAsia" w:ascii="宋体" w:hAnsi="宋体"/>
          <w:b/>
          <w:u w:val="single"/>
        </w:rPr>
        <w:t xml:space="preserve">                </w:t>
      </w:r>
    </w:p>
    <w:p>
      <w:pPr>
        <w:snapToGrid w:val="0"/>
        <w:spacing w:line="300" w:lineRule="auto"/>
        <w:rPr>
          <w:rFonts w:ascii="宋体" w:hAnsi="宋体"/>
          <w:bCs/>
        </w:rPr>
      </w:pPr>
      <w:r>
        <w:rPr>
          <w:rFonts w:hint="eastAsia" w:ascii="宋体" w:hAnsi="宋体"/>
          <w:bCs/>
        </w:rPr>
        <w:t>4、有关开户银行的名称和地址：</w:t>
      </w:r>
      <w:r>
        <w:rPr>
          <w:rFonts w:hint="eastAsia" w:ascii="宋体" w:hAnsi="宋体"/>
          <w:bCs/>
          <w:u w:val="single"/>
        </w:rPr>
        <w:t xml:space="preserve">                                                    </w:t>
      </w:r>
      <w:r>
        <w:rPr>
          <w:rFonts w:hint="eastAsia" w:ascii="宋体" w:hAnsi="宋体"/>
          <w:bCs/>
        </w:rPr>
        <w:t xml:space="preserve"> </w:t>
      </w:r>
    </w:p>
    <w:p>
      <w:pPr>
        <w:snapToGrid w:val="0"/>
        <w:spacing w:line="300" w:lineRule="auto"/>
        <w:rPr>
          <w:rFonts w:ascii="宋体" w:hAnsi="宋体"/>
          <w:b/>
          <w:u w:val="single"/>
        </w:rPr>
      </w:pPr>
      <w:r>
        <w:rPr>
          <w:rFonts w:hint="eastAsia" w:ascii="宋体" w:hAnsi="宋体"/>
          <w:bCs/>
        </w:rPr>
        <w:t>5、其他情况：</w:t>
      </w:r>
      <w:r>
        <w:rPr>
          <w:rFonts w:hint="eastAsia" w:ascii="宋体" w:hAnsi="宋体"/>
          <w:bCs/>
          <w:u w:val="single"/>
        </w:rPr>
        <w:t xml:space="preserve">                                                                    </w:t>
      </w:r>
    </w:p>
    <w:p>
      <w:pPr>
        <w:snapToGrid w:val="0"/>
        <w:spacing w:line="300" w:lineRule="auto"/>
        <w:ind w:left="105" w:leftChars="50" w:firstLine="472" w:firstLineChars="225"/>
        <w:rPr>
          <w:rFonts w:ascii="宋体" w:hAnsi="宋体"/>
          <w:bCs/>
        </w:rPr>
      </w:pPr>
      <w:r>
        <w:rPr>
          <w:rFonts w:hint="eastAsia" w:ascii="宋体" w:hAnsi="宋体"/>
          <w:bCs/>
        </w:rPr>
        <w:t>兹证明上述声明是真实、正确的，并提供了全部能提供的资料和数据，我愿遵照贵方要求出示有关证明文件。</w:t>
      </w:r>
    </w:p>
    <w:p>
      <w:pPr>
        <w:snapToGrid w:val="0"/>
        <w:spacing w:line="300" w:lineRule="auto"/>
        <w:ind w:left="560"/>
        <w:rPr>
          <w:rFonts w:ascii="宋体" w:hAnsi="宋体"/>
          <w:bCs/>
        </w:rPr>
      </w:pPr>
    </w:p>
    <w:p>
      <w:pPr>
        <w:snapToGrid w:val="0"/>
        <w:spacing w:line="300" w:lineRule="auto"/>
        <w:ind w:left="560"/>
        <w:rPr>
          <w:rFonts w:ascii="宋体" w:hAnsi="宋体"/>
          <w:bCs/>
          <w:u w:val="single"/>
        </w:rPr>
      </w:pPr>
      <w:r>
        <w:rPr>
          <w:rFonts w:hint="eastAsia" w:ascii="宋体" w:hAnsi="宋体"/>
        </w:rPr>
        <w:t>投标单位</w:t>
      </w:r>
      <w:r>
        <w:rPr>
          <w:rFonts w:hint="eastAsia" w:ascii="宋体" w:hAnsi="宋体"/>
          <w:bCs/>
        </w:rPr>
        <w:t>名称（加盖公章）：</w:t>
      </w:r>
      <w:r>
        <w:rPr>
          <w:rFonts w:hint="eastAsia" w:ascii="宋体" w:hAnsi="宋体"/>
          <w:b/>
          <w:u w:val="single"/>
        </w:rPr>
        <w:t xml:space="preserve">                     </w:t>
      </w:r>
    </w:p>
    <w:p>
      <w:pPr>
        <w:snapToGrid w:val="0"/>
        <w:spacing w:line="300" w:lineRule="auto"/>
        <w:ind w:left="560"/>
        <w:rPr>
          <w:rFonts w:ascii="宋体" w:hAnsi="宋体"/>
          <w:bCs/>
          <w:u w:val="single"/>
        </w:rPr>
      </w:pPr>
      <w:r>
        <w:rPr>
          <w:rFonts w:hint="eastAsia" w:ascii="宋体" w:hAnsi="宋体"/>
          <w:bCs/>
        </w:rPr>
        <w:t>授权代表或法定代表人签字：</w:t>
      </w:r>
      <w:r>
        <w:rPr>
          <w:rFonts w:hint="eastAsia" w:ascii="宋体" w:hAnsi="宋体"/>
          <w:bCs/>
          <w:u w:val="single"/>
        </w:rPr>
        <w:t xml:space="preserve">                     </w:t>
      </w:r>
    </w:p>
    <w:p>
      <w:pPr>
        <w:snapToGrid w:val="0"/>
        <w:spacing w:line="300" w:lineRule="auto"/>
        <w:ind w:left="560"/>
        <w:rPr>
          <w:rFonts w:ascii="宋体" w:hAnsi="宋体"/>
          <w:bCs/>
          <w:u w:val="single"/>
        </w:rPr>
      </w:pPr>
      <w:r>
        <w:rPr>
          <w:rFonts w:hint="eastAsia" w:ascii="宋体" w:hAnsi="宋体"/>
          <w:bCs/>
        </w:rPr>
        <w:t>授权代表的职务：</w:t>
      </w:r>
      <w:r>
        <w:rPr>
          <w:rFonts w:hint="eastAsia" w:ascii="宋体" w:hAnsi="宋体"/>
          <w:bCs/>
          <w:u w:val="single"/>
        </w:rPr>
        <w:t xml:space="preserve">                   </w:t>
      </w:r>
    </w:p>
    <w:p>
      <w:pPr>
        <w:snapToGrid w:val="0"/>
        <w:spacing w:line="300" w:lineRule="auto"/>
        <w:ind w:left="560"/>
        <w:rPr>
          <w:rFonts w:ascii="宋体" w:hAnsi="宋体"/>
          <w:bCs/>
          <w:u w:val="single"/>
        </w:rPr>
      </w:pPr>
      <w:r>
        <w:rPr>
          <w:rFonts w:hint="eastAsia" w:ascii="宋体" w:hAnsi="宋体"/>
          <w:bCs/>
        </w:rPr>
        <w:t>电话：</w:t>
      </w:r>
      <w:r>
        <w:rPr>
          <w:rFonts w:hint="eastAsia" w:ascii="宋体" w:hAnsi="宋体"/>
          <w:bCs/>
          <w:u w:val="single"/>
        </w:rPr>
        <w:t xml:space="preserve">                             </w:t>
      </w:r>
    </w:p>
    <w:p>
      <w:pPr>
        <w:snapToGrid w:val="0"/>
        <w:spacing w:line="300" w:lineRule="auto"/>
        <w:ind w:left="560"/>
        <w:rPr>
          <w:rFonts w:ascii="宋体" w:hAnsi="宋体"/>
          <w:bCs/>
          <w:u w:val="single"/>
        </w:rPr>
      </w:pPr>
      <w:r>
        <w:rPr>
          <w:rFonts w:hint="eastAsia" w:ascii="宋体" w:hAnsi="宋体"/>
          <w:bCs/>
        </w:rPr>
        <w:t>传真：</w:t>
      </w:r>
      <w:r>
        <w:rPr>
          <w:rFonts w:hint="eastAsia" w:ascii="宋体" w:hAnsi="宋体"/>
          <w:bCs/>
          <w:u w:val="single"/>
        </w:rPr>
        <w:t xml:space="preserve">                             </w:t>
      </w:r>
    </w:p>
    <w:p>
      <w:pPr>
        <w:snapToGrid w:val="0"/>
        <w:spacing w:line="300" w:lineRule="auto"/>
        <w:ind w:left="560"/>
        <w:rPr>
          <w:rFonts w:ascii="宋体" w:hAnsi="宋体"/>
          <w:bCs/>
        </w:rPr>
      </w:pPr>
      <w:r>
        <w:rPr>
          <w:rFonts w:hint="eastAsia" w:ascii="宋体" w:hAnsi="宋体"/>
          <w:bCs/>
        </w:rPr>
        <w:t>日期：</w:t>
      </w:r>
      <w:r>
        <w:rPr>
          <w:rFonts w:hint="eastAsia"/>
          <w:snapToGrid w:val="0"/>
          <w:kern w:val="0"/>
          <w:u w:val="single"/>
        </w:rPr>
        <w:t>　　　　　　　　　　　　　　　</w:t>
      </w:r>
      <w:r>
        <w:rPr>
          <w:rFonts w:hint="eastAsia" w:ascii="宋体" w:hAnsi="宋体"/>
          <w:bCs/>
        </w:rPr>
        <w:t xml:space="preserve"> </w:t>
      </w:r>
    </w:p>
    <w:p>
      <w:pPr>
        <w:spacing w:line="360" w:lineRule="auto"/>
        <w:jc w:val="center"/>
        <w:rPr>
          <w:b/>
          <w:sz w:val="28"/>
        </w:rPr>
      </w:pPr>
    </w:p>
    <w:p>
      <w:pPr>
        <w:spacing w:line="360" w:lineRule="auto"/>
        <w:jc w:val="center"/>
        <w:rPr>
          <w:b/>
          <w:sz w:val="28"/>
        </w:rPr>
      </w:pPr>
    </w:p>
    <w:p>
      <w:pPr>
        <w:spacing w:line="360" w:lineRule="auto"/>
        <w:jc w:val="center"/>
        <w:rPr>
          <w:b/>
          <w:sz w:val="28"/>
        </w:rPr>
      </w:pPr>
    </w:p>
    <w:p>
      <w:pPr>
        <w:spacing w:line="360" w:lineRule="auto"/>
        <w:jc w:val="center"/>
        <w:rPr>
          <w:b/>
          <w:sz w:val="28"/>
        </w:rPr>
      </w:pPr>
    </w:p>
    <w:p>
      <w:pPr>
        <w:spacing w:line="360" w:lineRule="auto"/>
        <w:jc w:val="center"/>
        <w:rPr>
          <w:b/>
          <w:sz w:val="28"/>
        </w:rPr>
      </w:pPr>
    </w:p>
    <w:p>
      <w:pPr>
        <w:spacing w:line="360" w:lineRule="auto"/>
        <w:jc w:val="center"/>
        <w:rPr>
          <w:b/>
          <w:sz w:val="28"/>
        </w:rPr>
      </w:pPr>
    </w:p>
    <w:p>
      <w:pPr>
        <w:widowControl/>
        <w:jc w:val="left"/>
        <w:rPr>
          <w:b/>
          <w:szCs w:val="21"/>
        </w:rPr>
      </w:pPr>
      <w:r>
        <w:rPr>
          <w:b/>
          <w:szCs w:val="21"/>
        </w:rPr>
        <w:br w:type="page"/>
      </w:r>
    </w:p>
    <w:p>
      <w:pPr>
        <w:spacing w:line="360" w:lineRule="auto"/>
        <w:jc w:val="center"/>
        <w:rPr>
          <w:b/>
          <w:szCs w:val="21"/>
        </w:rP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12</w:t>
      </w:r>
      <w:r>
        <w:rPr>
          <w:rFonts w:hint="eastAsia" w:asciiTheme="minorEastAsia" w:hAnsiTheme="minorEastAsia" w:eastAsiaTheme="minorEastAsia"/>
          <w:sz w:val="24"/>
        </w:rPr>
        <w:t xml:space="preserve">  偏离表</w:t>
      </w:r>
    </w:p>
    <w:bookmarkEnd w:id="80"/>
    <w:p>
      <w:pPr>
        <w:spacing w:line="360" w:lineRule="auto"/>
        <w:jc w:val="center"/>
      </w:pPr>
    </w:p>
    <w:p>
      <w:pPr>
        <w:snapToGrid w:val="0"/>
        <w:spacing w:line="360" w:lineRule="auto"/>
        <w:jc w:val="center"/>
        <w:rPr>
          <w:b/>
        </w:rPr>
      </w:pPr>
      <w:r>
        <w:rPr>
          <w:rFonts w:hint="eastAsia"/>
          <w:b/>
        </w:rPr>
        <w:t>技术要求偏离表</w:t>
      </w:r>
    </w:p>
    <w:tbl>
      <w:tblPr>
        <w:tblStyle w:val="51"/>
        <w:tblW w:w="9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482"/>
        <w:gridCol w:w="1701"/>
        <w:gridCol w:w="1275"/>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r>
              <w:rPr>
                <w:rFonts w:hint="eastAsia" w:ascii="宋体" w:hAnsi="宋体"/>
                <w:szCs w:val="21"/>
              </w:rPr>
              <w:t>序号</w:t>
            </w:r>
          </w:p>
        </w:tc>
        <w:tc>
          <w:tcPr>
            <w:tcW w:w="2482" w:type="dxa"/>
            <w:vAlign w:val="center"/>
          </w:tcPr>
          <w:p>
            <w:pPr>
              <w:spacing w:line="360" w:lineRule="auto"/>
              <w:jc w:val="center"/>
              <w:rPr>
                <w:rFonts w:ascii="宋体" w:hAnsi="宋体"/>
                <w:szCs w:val="21"/>
              </w:rPr>
            </w:pPr>
            <w:r>
              <w:rPr>
                <w:rFonts w:hint="eastAsia" w:ascii="宋体" w:hAnsi="宋体"/>
                <w:szCs w:val="21"/>
              </w:rPr>
              <w:t>招标技术要求</w:t>
            </w:r>
          </w:p>
        </w:tc>
        <w:tc>
          <w:tcPr>
            <w:tcW w:w="1701" w:type="dxa"/>
            <w:vAlign w:val="center"/>
          </w:tcPr>
          <w:p>
            <w:pPr>
              <w:spacing w:line="360" w:lineRule="auto"/>
              <w:jc w:val="center"/>
              <w:rPr>
                <w:rFonts w:ascii="宋体" w:hAnsi="宋体"/>
                <w:szCs w:val="21"/>
              </w:rPr>
            </w:pPr>
            <w:r>
              <w:rPr>
                <w:rFonts w:hint="eastAsia" w:ascii="宋体" w:hAnsi="宋体"/>
                <w:szCs w:val="21"/>
              </w:rPr>
              <w:t>投标技术响应</w:t>
            </w:r>
          </w:p>
        </w:tc>
        <w:tc>
          <w:tcPr>
            <w:tcW w:w="1275" w:type="dxa"/>
            <w:vAlign w:val="center"/>
          </w:tcPr>
          <w:p>
            <w:pPr>
              <w:spacing w:line="360" w:lineRule="auto"/>
              <w:jc w:val="center"/>
              <w:rPr>
                <w:rFonts w:ascii="宋体" w:hAnsi="宋体"/>
                <w:szCs w:val="21"/>
              </w:rPr>
            </w:pPr>
            <w:r>
              <w:rPr>
                <w:rFonts w:hint="eastAsia" w:ascii="宋体" w:hAnsi="宋体"/>
                <w:szCs w:val="21"/>
              </w:rPr>
              <w:t>偏离情况</w:t>
            </w:r>
          </w:p>
        </w:tc>
        <w:tc>
          <w:tcPr>
            <w:tcW w:w="3381" w:type="dxa"/>
            <w:vAlign w:val="center"/>
          </w:tcPr>
          <w:p>
            <w:pPr>
              <w:spacing w:line="360" w:lineRule="auto"/>
              <w:jc w:val="center"/>
              <w:rPr>
                <w:rFonts w:ascii="宋体" w:hAnsi="宋体"/>
                <w:szCs w:val="21"/>
              </w:rPr>
            </w:pPr>
            <w:r>
              <w:rPr>
                <w:rFonts w:hint="eastAsia" w:ascii="宋体" w:hAnsi="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3381" w:type="dxa"/>
            <w:vAlign w:val="center"/>
          </w:tcPr>
          <w:p>
            <w:pPr>
              <w:jc w:val="center"/>
              <w:rPr>
                <w:rFonts w:ascii="宋体" w:hAnsi="宋体"/>
                <w:szCs w:val="21"/>
              </w:rPr>
            </w:pPr>
            <w:r>
              <w:rPr>
                <w:rFonts w:hint="eastAsia" w:ascii="宋体" w:hAnsi="宋体"/>
                <w:szCs w:val="21"/>
              </w:rPr>
              <w:t>如需附证明文件，应在</w:t>
            </w:r>
            <w:r>
              <w:rPr>
                <w:rFonts w:hint="eastAsia"/>
                <w:szCs w:val="21"/>
              </w:rPr>
              <w:t>“说明”</w:t>
            </w:r>
            <w:r>
              <w:rPr>
                <w:rFonts w:hint="eastAsia" w:ascii="宋体" w:hAnsi="宋体"/>
                <w:szCs w:val="21"/>
              </w:rPr>
              <w:t>栏填写证明文件对应名称和页码。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3381"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3381" w:type="dxa"/>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51" w:type="dxa"/>
            <w:vAlign w:val="center"/>
          </w:tcPr>
          <w:p>
            <w:pPr>
              <w:spacing w:line="360" w:lineRule="auto"/>
              <w:jc w:val="center"/>
              <w:rPr>
                <w:rFonts w:ascii="宋体" w:hAnsi="宋体"/>
                <w:szCs w:val="21"/>
              </w:rPr>
            </w:pPr>
          </w:p>
        </w:tc>
        <w:tc>
          <w:tcPr>
            <w:tcW w:w="2482" w:type="dxa"/>
            <w:vAlign w:val="center"/>
          </w:tcPr>
          <w:p>
            <w:pPr>
              <w:spacing w:line="360" w:lineRule="auto"/>
              <w:jc w:val="center"/>
              <w:rPr>
                <w:rFonts w:ascii="宋体" w:hAnsi="宋体"/>
                <w:szCs w:val="21"/>
              </w:rPr>
            </w:pPr>
          </w:p>
        </w:tc>
        <w:tc>
          <w:tcPr>
            <w:tcW w:w="1701" w:type="dxa"/>
            <w:vAlign w:val="center"/>
          </w:tcPr>
          <w:p>
            <w:pPr>
              <w:spacing w:line="360" w:lineRule="auto"/>
              <w:jc w:val="center"/>
              <w:rPr>
                <w:rFonts w:ascii="宋体" w:hAnsi="宋体"/>
                <w:szCs w:val="21"/>
              </w:rPr>
            </w:pPr>
          </w:p>
        </w:tc>
        <w:tc>
          <w:tcPr>
            <w:tcW w:w="1275" w:type="dxa"/>
            <w:vAlign w:val="center"/>
          </w:tcPr>
          <w:p>
            <w:pPr>
              <w:spacing w:line="360" w:lineRule="auto"/>
              <w:jc w:val="center"/>
              <w:rPr>
                <w:rFonts w:ascii="宋体" w:hAnsi="宋体"/>
                <w:szCs w:val="21"/>
              </w:rPr>
            </w:pPr>
          </w:p>
        </w:tc>
        <w:tc>
          <w:tcPr>
            <w:tcW w:w="3381" w:type="dxa"/>
            <w:vAlign w:val="center"/>
          </w:tcPr>
          <w:p>
            <w:pPr>
              <w:spacing w:line="360" w:lineRule="auto"/>
              <w:jc w:val="center"/>
              <w:rPr>
                <w:rFonts w:ascii="宋体" w:hAnsi="宋体"/>
                <w:szCs w:val="21"/>
              </w:rPr>
            </w:pPr>
          </w:p>
        </w:tc>
      </w:tr>
    </w:tbl>
    <w:p>
      <w:pPr>
        <w:spacing w:line="400" w:lineRule="exact"/>
        <w:rPr>
          <w:rFonts w:ascii="宋体" w:hAnsi="宋体" w:cs="Arial"/>
          <w:b/>
          <w:bCs/>
          <w:szCs w:val="21"/>
        </w:rPr>
      </w:pPr>
      <w:r>
        <w:rPr>
          <w:rFonts w:hint="eastAsia" w:ascii="宋体" w:hAnsi="宋体" w:cs="Arial"/>
          <w:bCs/>
          <w:szCs w:val="21"/>
        </w:rPr>
        <w:t>备注：1、“</w:t>
      </w:r>
      <w:r>
        <w:rPr>
          <w:rFonts w:hint="eastAsia" w:ascii="宋体" w:hAnsi="宋体"/>
          <w:szCs w:val="21"/>
        </w:rPr>
        <w:t>招标技术要求</w:t>
      </w:r>
      <w:r>
        <w:rPr>
          <w:rFonts w:hint="eastAsia" w:ascii="宋体" w:hAnsi="宋体" w:cs="Arial"/>
          <w:bCs/>
          <w:szCs w:val="21"/>
        </w:rPr>
        <w:t>”一栏逐一列出招标文件第二章《项目需求》中“</w:t>
      </w:r>
      <w:r>
        <w:rPr>
          <w:rFonts w:hint="eastAsia" w:ascii="宋体" w:hAnsi="宋体" w:cs="Arial"/>
          <w:b/>
          <w:bCs/>
          <w:szCs w:val="21"/>
        </w:rPr>
        <w:t>二、</w:t>
      </w:r>
      <w:r>
        <w:rPr>
          <w:rFonts w:hint="eastAsia" w:ascii="宋体" w:hAnsi="宋体"/>
          <w:b/>
          <w:bCs/>
          <w:snapToGrid w:val="0"/>
          <w:szCs w:val="21"/>
        </w:rPr>
        <w:t>技术要求</w:t>
      </w:r>
      <w:r>
        <w:rPr>
          <w:rFonts w:hint="eastAsia" w:ascii="宋体" w:hAnsi="宋体" w:cs="Arial"/>
          <w:bCs/>
          <w:szCs w:val="21"/>
        </w:rPr>
        <w:t>”的内容；“</w:t>
      </w:r>
      <w:r>
        <w:rPr>
          <w:rFonts w:hint="eastAsia" w:ascii="宋体" w:hAnsi="宋体"/>
          <w:szCs w:val="21"/>
        </w:rPr>
        <w:t>投标技术响应</w:t>
      </w:r>
      <w:r>
        <w:rPr>
          <w:rFonts w:hint="eastAsia" w:ascii="宋体" w:hAnsi="宋体" w:cs="Arial"/>
          <w:bCs/>
          <w:szCs w:val="21"/>
        </w:rPr>
        <w:t>”一栏应详细填写投标产品的具体参数响应情况。</w:t>
      </w:r>
    </w:p>
    <w:p>
      <w:pPr>
        <w:spacing w:line="400" w:lineRule="exact"/>
        <w:ind w:firstLine="424" w:firstLineChars="202"/>
        <w:rPr>
          <w:rFonts w:ascii="宋体" w:hAnsi="宋体" w:cs="Arial"/>
          <w:bCs/>
          <w:szCs w:val="21"/>
        </w:rPr>
      </w:pPr>
      <w:r>
        <w:rPr>
          <w:rFonts w:hint="eastAsia" w:ascii="宋体" w:hAnsi="宋体" w:cs="Arial"/>
          <w:bCs/>
          <w:szCs w:val="21"/>
        </w:rPr>
        <w:t>2、“偏离情况”栏中应如实填写“正偏离”、“负偏离”或“无偏离”。</w:t>
      </w:r>
      <w:r>
        <w:rPr>
          <w:rFonts w:hint="eastAsia" w:ascii="宋体" w:hAnsi="宋体"/>
          <w:kern w:val="0"/>
          <w:szCs w:val="21"/>
        </w:rPr>
        <w:t>★</w:t>
      </w:r>
      <w:r>
        <w:rPr>
          <w:rFonts w:hint="eastAsia" w:asciiTheme="minorEastAsia" w:hAnsiTheme="minorEastAsia" w:eastAsiaTheme="minorEastAsia"/>
          <w:szCs w:val="21"/>
        </w:rPr>
        <w:t>条款为不可负偏离条款，投标文件响应为“负偏离”或未响应的，投标文件将按无效投标处理。</w:t>
      </w:r>
    </w:p>
    <w:p>
      <w:pPr>
        <w:spacing w:line="400" w:lineRule="exact"/>
        <w:ind w:firstLine="424" w:firstLineChars="202"/>
        <w:rPr>
          <w:rFonts w:asciiTheme="minorEastAsia" w:hAnsiTheme="minorEastAsia" w:eastAsiaTheme="minorEastAsia"/>
          <w:szCs w:val="21"/>
        </w:rPr>
      </w:pPr>
      <w:r>
        <w:rPr>
          <w:rFonts w:hint="eastAsia" w:ascii="宋体" w:hAnsi="宋体" w:cs="Arial"/>
          <w:bCs/>
          <w:szCs w:val="21"/>
        </w:rPr>
        <w:t>3、</w:t>
      </w:r>
      <w:r>
        <w:rPr>
          <w:rFonts w:hint="eastAsia" w:asciiTheme="minorEastAsia" w:hAnsiTheme="minorEastAsia" w:eastAsiaTheme="minorEastAsia"/>
          <w:b/>
          <w:szCs w:val="21"/>
        </w:rPr>
        <w:t>投标产品的技术参数应按</w:t>
      </w:r>
      <w:r>
        <w:rPr>
          <w:rFonts w:hint="eastAsia" w:ascii="宋体" w:hAnsi="宋体" w:cs="Arial"/>
          <w:b/>
          <w:bCs/>
          <w:szCs w:val="21"/>
        </w:rPr>
        <w:t>招标文件第二章《项目需求》中“二、</w:t>
      </w:r>
      <w:r>
        <w:rPr>
          <w:rFonts w:hint="eastAsia" w:ascii="宋体" w:hAnsi="宋体"/>
          <w:b/>
          <w:bCs/>
          <w:snapToGrid w:val="0"/>
          <w:szCs w:val="21"/>
        </w:rPr>
        <w:t>技术要求</w:t>
      </w:r>
      <w:r>
        <w:rPr>
          <w:rFonts w:hint="eastAsia" w:ascii="宋体" w:hAnsi="宋体" w:cs="Arial"/>
          <w:b/>
          <w:bCs/>
          <w:szCs w:val="21"/>
        </w:rPr>
        <w:t>”</w:t>
      </w:r>
      <w:r>
        <w:rPr>
          <w:rFonts w:hint="eastAsia" w:asciiTheme="minorEastAsia" w:hAnsiTheme="minorEastAsia" w:eastAsiaTheme="minorEastAsia"/>
          <w:b/>
          <w:szCs w:val="21"/>
        </w:rPr>
        <w:t>中的要求提供相应的证明资料，以证明投标人响应的真实性。</w:t>
      </w:r>
      <w:r>
        <w:rPr>
          <w:rFonts w:hint="eastAsia" w:asciiTheme="minorEastAsia" w:hAnsiTheme="minorEastAsia" w:eastAsiaTheme="minorEastAsia"/>
          <w:szCs w:val="21"/>
        </w:rPr>
        <w:t>证明资料包括制造商公布的产品说明书、产品彩页和我国政府机构出具的产品检验和核准证件等。投标人应在“说明”一栏中列出技术参数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spacing w:line="40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4、证明资料（均为复印件或扫描件）的提供要求：</w:t>
      </w:r>
    </w:p>
    <w:p>
      <w:pPr>
        <w:spacing w:line="400" w:lineRule="exac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 xml:space="preserve">（1）产品说明书或彩页应为制造商公布或出具的中文产品说明书或彩页；提供外文说明书或彩页的，需同时提供加盖制造商公章的对应中文翻译说明，评标依据以中文翻译内容为准，外文说明书或彩页仅供参考； </w:t>
      </w:r>
    </w:p>
    <w:p>
      <w:pPr>
        <w:spacing w:line="400" w:lineRule="exact"/>
        <w:ind w:firstLine="424" w:firstLineChars="202"/>
        <w:rPr>
          <w:rFonts w:ascii="宋体" w:hAnsi="宋体" w:cs="Arial"/>
          <w:b/>
          <w:bCs/>
          <w:szCs w:val="21"/>
        </w:rPr>
      </w:pPr>
      <w:r>
        <w:rPr>
          <w:rFonts w:hint="eastAsia" w:asciiTheme="minorEastAsia" w:hAnsiTheme="minorEastAsia" w:eastAsiaTheme="minorEastAsia"/>
          <w:szCs w:val="21"/>
        </w:rPr>
        <w:t>（2）我国政府机构出具的产品检验和核准证件应为证件正面、背面和附件标注的全部具体内容</w:t>
      </w:r>
      <w:r>
        <w:rPr>
          <w:rFonts w:hint="eastAsia" w:ascii="宋体" w:hAnsi="宋体" w:cs="Arial"/>
          <w:bCs/>
          <w:szCs w:val="21"/>
        </w:rPr>
        <w:t>。</w:t>
      </w:r>
    </w:p>
    <w:p>
      <w:pPr>
        <w:adjustRightInd w:val="0"/>
        <w:snapToGrid w:val="0"/>
        <w:spacing w:line="360" w:lineRule="auto"/>
        <w:rPr>
          <w:bCs/>
          <w:snapToGrid w:val="0"/>
        </w:rPr>
      </w:pPr>
    </w:p>
    <w:p>
      <w:pPr>
        <w:snapToGrid w:val="0"/>
        <w:spacing w:line="360" w:lineRule="auto"/>
        <w:jc w:val="center"/>
        <w:rPr>
          <w:b/>
        </w:rPr>
      </w:pPr>
      <w:r>
        <w:rPr>
          <w:rFonts w:hint="eastAsia"/>
          <w:b/>
        </w:rPr>
        <w:t>商务条款偏离表</w:t>
      </w:r>
    </w:p>
    <w:tbl>
      <w:tblPr>
        <w:tblStyle w:val="51"/>
        <w:tblW w:w="9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077"/>
        <w:gridCol w:w="2735"/>
        <w:gridCol w:w="1801"/>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8" w:type="dxa"/>
            <w:vAlign w:val="center"/>
          </w:tcPr>
          <w:p>
            <w:pPr>
              <w:spacing w:line="360" w:lineRule="auto"/>
              <w:jc w:val="center"/>
              <w:rPr>
                <w:rFonts w:ascii="宋体" w:hAnsi="宋体"/>
                <w:szCs w:val="21"/>
              </w:rPr>
            </w:pPr>
            <w:r>
              <w:rPr>
                <w:rFonts w:hint="eastAsia" w:ascii="宋体" w:hAnsi="宋体"/>
                <w:szCs w:val="21"/>
              </w:rPr>
              <w:t>序号</w:t>
            </w:r>
          </w:p>
        </w:tc>
        <w:tc>
          <w:tcPr>
            <w:tcW w:w="3077" w:type="dxa"/>
            <w:vAlign w:val="center"/>
          </w:tcPr>
          <w:p>
            <w:pPr>
              <w:spacing w:line="360" w:lineRule="auto"/>
              <w:jc w:val="center"/>
              <w:rPr>
                <w:rFonts w:ascii="宋体" w:hAnsi="宋体"/>
                <w:szCs w:val="21"/>
              </w:rPr>
            </w:pPr>
            <w:r>
              <w:rPr>
                <w:rFonts w:hint="eastAsia" w:ascii="宋体" w:hAnsi="宋体"/>
                <w:szCs w:val="21"/>
              </w:rPr>
              <w:t>招标商务需求</w:t>
            </w:r>
          </w:p>
        </w:tc>
        <w:tc>
          <w:tcPr>
            <w:tcW w:w="2735" w:type="dxa"/>
            <w:vAlign w:val="center"/>
          </w:tcPr>
          <w:p>
            <w:pPr>
              <w:spacing w:line="360" w:lineRule="auto"/>
              <w:jc w:val="center"/>
              <w:rPr>
                <w:rFonts w:ascii="宋体" w:hAnsi="宋体"/>
                <w:szCs w:val="21"/>
              </w:rPr>
            </w:pPr>
            <w:r>
              <w:rPr>
                <w:rFonts w:hint="eastAsia" w:ascii="宋体" w:hAnsi="宋体"/>
                <w:szCs w:val="21"/>
              </w:rPr>
              <w:t>投标商务响应</w:t>
            </w:r>
          </w:p>
        </w:tc>
        <w:tc>
          <w:tcPr>
            <w:tcW w:w="1801" w:type="dxa"/>
            <w:vAlign w:val="center"/>
          </w:tcPr>
          <w:p>
            <w:pPr>
              <w:spacing w:line="360" w:lineRule="auto"/>
              <w:jc w:val="center"/>
              <w:rPr>
                <w:rFonts w:ascii="宋体" w:hAnsi="宋体"/>
                <w:szCs w:val="21"/>
              </w:rPr>
            </w:pPr>
            <w:r>
              <w:rPr>
                <w:rFonts w:hint="eastAsia" w:ascii="宋体" w:hAnsi="宋体"/>
                <w:szCs w:val="21"/>
              </w:rPr>
              <w:t>偏离情况</w:t>
            </w:r>
          </w:p>
        </w:tc>
        <w:tc>
          <w:tcPr>
            <w:tcW w:w="1515" w:type="dxa"/>
            <w:vAlign w:val="center"/>
          </w:tcPr>
          <w:p>
            <w:pPr>
              <w:spacing w:line="360" w:lineRule="auto"/>
              <w:jc w:val="center"/>
              <w:rPr>
                <w:rFonts w:ascii="宋体" w:hAnsi="宋体"/>
                <w:szCs w:val="21"/>
              </w:rPr>
            </w:pPr>
            <w:r>
              <w:rPr>
                <w:rFonts w:hint="eastAsia" w:ascii="宋体" w:hAnsi="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bCs/>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rPr>
                <w:rFonts w:ascii="宋体" w:hAnsi="宋体" w:cs="宋体"/>
                <w:szCs w:val="21"/>
              </w:rPr>
            </w:pPr>
            <w:r>
              <w:rPr>
                <w:rFonts w:hint="eastAsia" w:ascii="宋体" w:hAnsi="宋体"/>
                <w:szCs w:val="21"/>
              </w:rPr>
              <w:t>如需附证明文件，应在</w:t>
            </w:r>
            <w:r>
              <w:rPr>
                <w:rFonts w:hint="eastAsia"/>
                <w:szCs w:val="21"/>
              </w:rPr>
              <w:t>“说明”</w:t>
            </w:r>
            <w:r>
              <w:rPr>
                <w:rFonts w:hint="eastAsia" w:ascii="宋体" w:hAnsi="宋体"/>
                <w:szCs w:val="21"/>
              </w:rPr>
              <w:t>栏填写证明文件对应名称和页码。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cs="宋体"/>
                <w:b/>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bCs/>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708" w:type="dxa"/>
            <w:vAlign w:val="center"/>
          </w:tcPr>
          <w:p>
            <w:pPr>
              <w:spacing w:line="360" w:lineRule="auto"/>
              <w:jc w:val="center"/>
              <w:rPr>
                <w:rFonts w:ascii="宋体" w:hAnsi="宋体" w:cs="宋体"/>
                <w:bCs/>
                <w:szCs w:val="21"/>
              </w:rPr>
            </w:pPr>
          </w:p>
        </w:tc>
        <w:tc>
          <w:tcPr>
            <w:tcW w:w="3077" w:type="dxa"/>
          </w:tcPr>
          <w:p>
            <w:pPr>
              <w:spacing w:line="360" w:lineRule="auto"/>
              <w:rPr>
                <w:rFonts w:ascii="宋体" w:hAnsi="宋体" w:cs="宋体"/>
                <w:b/>
                <w:szCs w:val="21"/>
              </w:rPr>
            </w:pPr>
          </w:p>
        </w:tc>
        <w:tc>
          <w:tcPr>
            <w:tcW w:w="2735" w:type="dxa"/>
          </w:tcPr>
          <w:p>
            <w:pPr>
              <w:spacing w:line="360" w:lineRule="auto"/>
              <w:rPr>
                <w:rFonts w:ascii="宋体" w:hAnsi="宋体" w:cs="宋体"/>
                <w:szCs w:val="21"/>
              </w:rPr>
            </w:pPr>
          </w:p>
        </w:tc>
        <w:tc>
          <w:tcPr>
            <w:tcW w:w="1801" w:type="dxa"/>
          </w:tcPr>
          <w:p>
            <w:pPr>
              <w:spacing w:line="360" w:lineRule="auto"/>
              <w:rPr>
                <w:rFonts w:ascii="宋体" w:hAnsi="宋体" w:cs="宋体"/>
                <w:szCs w:val="21"/>
              </w:rPr>
            </w:pPr>
          </w:p>
        </w:tc>
        <w:tc>
          <w:tcPr>
            <w:tcW w:w="1515" w:type="dxa"/>
          </w:tcPr>
          <w:p>
            <w:pPr>
              <w:spacing w:line="360" w:lineRule="auto"/>
              <w:rPr>
                <w:rFonts w:ascii="宋体" w:hAnsi="宋体" w:cs="宋体"/>
                <w:szCs w:val="21"/>
              </w:rPr>
            </w:pPr>
          </w:p>
        </w:tc>
      </w:tr>
    </w:tbl>
    <w:p>
      <w:pPr>
        <w:spacing w:line="400" w:lineRule="exact"/>
        <w:rPr>
          <w:rFonts w:ascii="宋体" w:hAnsi="宋体" w:cs="Arial"/>
          <w:bCs/>
          <w:szCs w:val="21"/>
        </w:rPr>
      </w:pPr>
      <w:r>
        <w:rPr>
          <w:rFonts w:hint="eastAsia" w:ascii="宋体" w:hAnsi="宋体" w:cs="Arial"/>
          <w:bCs/>
          <w:szCs w:val="21"/>
        </w:rPr>
        <w:t>备注：1、“</w:t>
      </w:r>
      <w:r>
        <w:rPr>
          <w:rFonts w:hint="eastAsia" w:ascii="宋体" w:hAnsi="宋体"/>
          <w:szCs w:val="21"/>
        </w:rPr>
        <w:t>招标商务需求</w:t>
      </w:r>
      <w:r>
        <w:rPr>
          <w:rFonts w:hint="eastAsia" w:ascii="宋体" w:hAnsi="宋体" w:cs="Arial"/>
          <w:bCs/>
          <w:szCs w:val="21"/>
        </w:rPr>
        <w:t>”一栏逐一列出招标文件第二章《项目需求》中“</w:t>
      </w:r>
      <w:r>
        <w:rPr>
          <w:rFonts w:hint="eastAsia" w:ascii="宋体" w:hAnsi="宋体" w:cs="Arial"/>
          <w:b/>
          <w:bCs/>
          <w:szCs w:val="21"/>
        </w:rPr>
        <w:t>三、商务要求</w:t>
      </w:r>
      <w:r>
        <w:rPr>
          <w:rFonts w:hint="eastAsia" w:ascii="宋体" w:hAnsi="宋体" w:cs="Arial"/>
          <w:bCs/>
          <w:szCs w:val="21"/>
        </w:rPr>
        <w:t>”的内容；“</w:t>
      </w:r>
      <w:r>
        <w:rPr>
          <w:rFonts w:hint="eastAsia" w:ascii="宋体" w:hAnsi="宋体"/>
          <w:szCs w:val="21"/>
        </w:rPr>
        <w:t>投标商务响应</w:t>
      </w:r>
      <w:r>
        <w:rPr>
          <w:rFonts w:hint="eastAsia" w:ascii="宋体" w:hAnsi="宋体" w:cs="Arial"/>
          <w:bCs/>
          <w:szCs w:val="21"/>
        </w:rPr>
        <w:t>”一栏应详细填写投标商务条款的响应内容。</w:t>
      </w:r>
    </w:p>
    <w:p>
      <w:pPr>
        <w:spacing w:line="400" w:lineRule="exact"/>
        <w:ind w:firstLine="420" w:firstLineChars="200"/>
      </w:pPr>
      <w:r>
        <w:rPr>
          <w:rFonts w:hint="eastAsia" w:ascii="宋体" w:hAnsi="宋体" w:cs="Arial"/>
          <w:bCs/>
          <w:szCs w:val="21"/>
        </w:rPr>
        <w:t>2、“偏离情况”栏中应如实填写“正偏离”、“负偏离”或“无偏离”</w:t>
      </w:r>
      <w:r>
        <w:rPr>
          <w:rFonts w:hint="eastAsia"/>
        </w:rPr>
        <w:t>。</w:t>
      </w:r>
      <w:r>
        <w:rPr>
          <w:rFonts w:hint="eastAsia" w:ascii="宋体" w:hAnsi="宋体"/>
          <w:kern w:val="0"/>
          <w:szCs w:val="21"/>
        </w:rPr>
        <w:t>★</w:t>
      </w:r>
      <w:r>
        <w:rPr>
          <w:rFonts w:hint="eastAsia" w:asciiTheme="minorEastAsia" w:hAnsiTheme="minorEastAsia" w:eastAsiaTheme="minorEastAsia"/>
          <w:szCs w:val="21"/>
        </w:rPr>
        <w:t>条款为不可负偏离条款，投标文件响应为“负偏离”或未响应的，投标文件将按无效投标处理。</w:t>
      </w:r>
    </w:p>
    <w:p>
      <w:pPr>
        <w:spacing w:line="400" w:lineRule="exact"/>
        <w:ind w:firstLine="420" w:firstLineChars="200"/>
      </w:pPr>
      <w:r>
        <w:rPr>
          <w:rFonts w:hint="eastAsia" w:asciiTheme="minorEastAsia" w:hAnsiTheme="minorEastAsia" w:eastAsiaTheme="minorEastAsia"/>
          <w:szCs w:val="21"/>
        </w:rPr>
        <w:t>3、投标人应在“说明”一栏中列出商务条款的证明资料名称，并注明该证明资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w:t>
      </w:r>
    </w:p>
    <w:p>
      <w:pPr>
        <w:spacing w:line="400" w:lineRule="exact"/>
        <w:ind w:firstLine="420" w:firstLineChars="200"/>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投标单位：（盖章）</w:t>
      </w: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p>
    <w:p>
      <w:pPr>
        <w:adjustRightInd w:val="0"/>
        <w:snapToGrid w:val="0"/>
        <w:spacing w:line="300" w:lineRule="auto"/>
        <w:rPr>
          <w:snapToGrid w:val="0"/>
          <w:kern w:val="0"/>
        </w:rPr>
      </w:pPr>
      <w:r>
        <w:rPr>
          <w:rFonts w:hint="eastAsia"/>
          <w:snapToGrid w:val="0"/>
          <w:kern w:val="0"/>
        </w:rPr>
        <w:t>授权代表或法定代表人：（签字）</w:t>
      </w:r>
    </w:p>
    <w:p>
      <w:pPr>
        <w:adjustRightInd w:val="0"/>
        <w:snapToGrid w:val="0"/>
        <w:spacing w:line="300" w:lineRule="auto"/>
        <w:rPr>
          <w:snapToGrid w:val="0"/>
          <w:kern w:val="0"/>
        </w:rPr>
      </w:pPr>
    </w:p>
    <w:p>
      <w:pPr>
        <w:adjustRightInd w:val="0"/>
        <w:snapToGrid w:val="0"/>
        <w:spacing w:line="300" w:lineRule="auto"/>
        <w:ind w:right="420"/>
        <w:jc w:val="center"/>
      </w:pPr>
      <w:r>
        <w:rPr>
          <w:rFonts w:hint="eastAsia"/>
          <w:snapToGrid w:val="0"/>
          <w:kern w:val="0"/>
        </w:rPr>
        <w:t xml:space="preserve">                                                            年    月    日</w:t>
      </w:r>
      <w:r>
        <w:br w:type="page"/>
      </w:r>
    </w:p>
    <w:p>
      <w:pPr>
        <w:adjustRightInd w:val="0"/>
        <w:snapToGrid w:val="0"/>
        <w:spacing w:line="300" w:lineRule="auto"/>
        <w:ind w:right="420"/>
        <w:jc w:val="center"/>
      </w:pPr>
    </w:p>
    <w:p>
      <w:pPr>
        <w:pStyle w:val="7"/>
        <w:numPr>
          <w:ilvl w:val="0"/>
          <w:numId w:val="0"/>
        </w:numPr>
        <w:tabs>
          <w:tab w:val="clear" w:pos="2111"/>
        </w:tabs>
        <w:spacing w:before="120" w:after="120"/>
        <w:ind w:left="-1" w:leftChars="-1" w:hanging="1"/>
        <w:jc w:val="center"/>
        <w:rPr>
          <w:rFonts w:asciiTheme="minorEastAsia" w:hAnsiTheme="minorEastAsia" w:eastAsiaTheme="minorEastAsia"/>
          <w:sz w:val="24"/>
        </w:rPr>
      </w:pPr>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13</w:t>
      </w:r>
      <w:r>
        <w:rPr>
          <w:rFonts w:hint="eastAsia" w:asciiTheme="minorEastAsia" w:hAnsiTheme="minorEastAsia" w:eastAsiaTheme="minorEastAsia"/>
          <w:sz w:val="24"/>
        </w:rPr>
        <w:t xml:space="preserve">  招标文件要求的其他资料或投标人认为需要补充的资料</w:t>
      </w:r>
    </w:p>
    <w:p>
      <w:pPr>
        <w:spacing w:line="360" w:lineRule="auto"/>
        <w:jc w:val="center"/>
      </w:pPr>
    </w:p>
    <w:p>
      <w:pPr>
        <w:spacing w:line="360" w:lineRule="auto"/>
        <w:ind w:firstLine="420" w:firstLineChars="200"/>
      </w:pPr>
      <w:r>
        <w:rPr>
          <w:szCs w:val="20"/>
        </w:rPr>
        <w:t>投标人</w:t>
      </w:r>
      <w:r>
        <w:rPr>
          <w:rFonts w:hint="eastAsia"/>
          <w:szCs w:val="20"/>
        </w:rPr>
        <w:t>须</w:t>
      </w:r>
      <w:r>
        <w:rPr>
          <w:szCs w:val="20"/>
        </w:rPr>
        <w:t>按要求编制投标文件，提供的内容要详细、真实、可靠。若提供的资料不齐，将导致扣分；若严重缺项、漏项，其投标将被拒绝。</w:t>
      </w:r>
    </w:p>
    <w:p>
      <w:pPr>
        <w:adjustRightInd w:val="0"/>
        <w:snapToGrid w:val="0"/>
        <w:spacing w:line="360" w:lineRule="auto"/>
        <w:ind w:firstLine="420" w:firstLineChars="200"/>
        <w:rPr>
          <w:bCs/>
          <w:snapToGrid w:val="0"/>
          <w:kern w:val="0"/>
        </w:rPr>
      </w:pPr>
    </w:p>
    <w:p>
      <w:pPr>
        <w:adjustRightInd w:val="0"/>
        <w:snapToGrid w:val="0"/>
        <w:spacing w:line="300" w:lineRule="auto"/>
        <w:ind w:firstLine="420" w:firstLineChars="200"/>
        <w:rPr>
          <w:b/>
          <w:snapToGrid w:val="0"/>
          <w:kern w:val="0"/>
          <w:sz w:val="24"/>
        </w:rPr>
      </w:pPr>
      <w:r>
        <w:rPr>
          <w:rFonts w:hint="eastAsia"/>
          <w:bCs/>
          <w:snapToGrid w:val="0"/>
          <w:kern w:val="0"/>
        </w:rPr>
        <w:t>注：如需提供补充资料，本部分资料格式不做统一规定，由投标人自行设计。</w:t>
      </w:r>
    </w:p>
    <w:p>
      <w:pPr>
        <w:pStyle w:val="3"/>
        <w:keepNext w:val="0"/>
        <w:rPr>
          <w:b w:val="0"/>
          <w:snapToGrid w:val="0"/>
          <w:kern w:val="0"/>
          <w:sz w:val="52"/>
          <w:szCs w:val="52"/>
        </w:rPr>
      </w:pPr>
    </w:p>
    <w:p/>
    <w:p/>
    <w:p/>
    <w:p/>
    <w:p/>
    <w:p/>
    <w:p/>
    <w:p/>
    <w:p/>
    <w:p/>
    <w:p/>
    <w:p/>
    <w:p/>
    <w:p/>
    <w:p/>
    <w:p/>
    <w:p/>
    <w:p/>
    <w:p>
      <w:pPr>
        <w:tabs>
          <w:tab w:val="left" w:pos="1875"/>
        </w:tabs>
      </w:pPr>
      <w:r>
        <w:tab/>
      </w: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widowControl/>
        <w:jc w:val="left"/>
      </w:pPr>
      <w:r>
        <w:br w:type="page"/>
      </w:r>
    </w:p>
    <w:p>
      <w:pPr>
        <w:tabs>
          <w:tab w:val="left" w:pos="1875"/>
        </w:tabs>
      </w:pPr>
    </w:p>
    <w:p>
      <w:pPr>
        <w:tabs>
          <w:tab w:val="left" w:pos="1875"/>
        </w:tabs>
      </w:pPr>
    </w:p>
    <w:p>
      <w:pPr>
        <w:pStyle w:val="3"/>
        <w:spacing w:before="0" w:after="0"/>
      </w:pPr>
      <w:bookmarkStart w:id="81" w:name="_Toc73610160"/>
      <w:r>
        <w:rPr>
          <w:rFonts w:hint="eastAsia"/>
        </w:rPr>
        <w:t>第八章  合同条款</w:t>
      </w:r>
      <w:bookmarkEnd w:id="81"/>
    </w:p>
    <w:p>
      <w:pPr>
        <w:jc w:val="center"/>
        <w:rPr>
          <w:b/>
          <w:szCs w:val="21"/>
        </w:rPr>
      </w:pPr>
    </w:p>
    <w:p>
      <w:pPr>
        <w:adjustRightInd w:val="0"/>
        <w:snapToGrid w:val="0"/>
        <w:spacing w:after="60" w:line="360" w:lineRule="auto"/>
        <w:jc w:val="center"/>
        <w:rPr>
          <w:b/>
          <w:snapToGrid w:val="0"/>
          <w:kern w:val="0"/>
          <w:sz w:val="24"/>
        </w:rPr>
      </w:pPr>
      <w:r>
        <w:rPr>
          <w:rFonts w:hint="eastAsia"/>
          <w:b/>
          <w:snapToGrid w:val="0"/>
          <w:kern w:val="0"/>
          <w:sz w:val="24"/>
        </w:rPr>
        <w:t>（拟签订的合同文本）</w:t>
      </w:r>
    </w:p>
    <w:p>
      <w:pPr>
        <w:pStyle w:val="27"/>
        <w:spacing w:line="360" w:lineRule="auto"/>
        <w:ind w:firstLine="482" w:firstLineChars="200"/>
        <w:rPr>
          <w:rFonts w:ascii="Times New Roman" w:hAnsi="Times New Roman"/>
          <w:b/>
          <w:sz w:val="24"/>
        </w:rPr>
      </w:pPr>
      <w:r>
        <w:rPr>
          <w:rFonts w:hint="eastAsia" w:ascii="Times New Roman" w:hAnsi="Times New Roman"/>
          <w:b/>
          <w:sz w:val="24"/>
        </w:rPr>
        <w:t>重要说明：采购人在签订合同前有权依据招标文件要求和项目实际情况对以下合同内容进行删改或补充。</w:t>
      </w:r>
    </w:p>
    <w:p>
      <w:pPr>
        <w:adjustRightInd w:val="0"/>
        <w:snapToGrid w:val="0"/>
        <w:spacing w:line="360" w:lineRule="auto"/>
        <w:jc w:val="center"/>
        <w:rPr>
          <w:b/>
          <w:snapToGrid w:val="0"/>
          <w:kern w:val="0"/>
          <w:sz w:val="28"/>
        </w:rPr>
      </w:pPr>
    </w:p>
    <w:p>
      <w:pPr>
        <w:spacing w:line="360" w:lineRule="auto"/>
        <w:rPr>
          <w:rFonts w:asciiTheme="minorEastAsia" w:hAnsiTheme="minorEastAsia"/>
          <w:b/>
          <w:bCs/>
          <w:szCs w:val="21"/>
        </w:rPr>
      </w:pPr>
      <w:r>
        <w:rPr>
          <w:rFonts w:hint="eastAsia" w:asciiTheme="minorEastAsia" w:hAnsiTheme="minorEastAsia"/>
          <w:b/>
          <w:bCs/>
          <w:szCs w:val="21"/>
        </w:rPr>
        <w:t>甲方（采购人）：</w:t>
      </w:r>
    </w:p>
    <w:p>
      <w:pPr>
        <w:spacing w:line="360" w:lineRule="auto"/>
        <w:rPr>
          <w:rFonts w:asciiTheme="minorEastAsia" w:hAnsiTheme="minorEastAsia"/>
          <w:szCs w:val="21"/>
        </w:rPr>
      </w:pPr>
      <w:r>
        <w:rPr>
          <w:rFonts w:hint="eastAsia" w:asciiTheme="minorEastAsia" w:hAnsiTheme="minorEastAsia"/>
          <w:b/>
          <w:bCs/>
          <w:szCs w:val="21"/>
        </w:rPr>
        <w:t>乙方（中标人）：</w:t>
      </w:r>
    </w:p>
    <w:p>
      <w:pPr>
        <w:snapToGrid w:val="0"/>
        <w:spacing w:line="360" w:lineRule="auto"/>
        <w:ind w:firstLine="420" w:firstLineChars="200"/>
        <w:rPr>
          <w:rFonts w:ascii="宋体" w:hAnsi="宋体"/>
          <w:szCs w:val="21"/>
        </w:rPr>
      </w:pPr>
    </w:p>
    <w:p>
      <w:pPr>
        <w:snapToGrid w:val="0"/>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招标项目（项目编号__________________）的中标结果，由_______________________单位为中标人。</w:t>
      </w:r>
      <w:r>
        <w:rPr>
          <w:rFonts w:hint="eastAsia" w:asciiTheme="minorEastAsia" w:hAnsiTheme="minorEastAsia"/>
          <w:szCs w:val="21"/>
        </w:rPr>
        <w:t>根据《中华人民共和国政府采购法》、《深圳经济特区政府采购条例》、《中华人民共和国民法典》之规定</w:t>
      </w:r>
      <w:r>
        <w:rPr>
          <w:rFonts w:hint="eastAsia" w:ascii="宋体" w:hAnsi="宋体"/>
          <w:szCs w:val="21"/>
        </w:rPr>
        <w:t>，经_______________________（以下简称采购人）和_______________________（以下简称中标人）协商，就_______________________</w:t>
      </w:r>
      <w:r>
        <w:rPr>
          <w:rFonts w:hint="eastAsia" w:ascii="宋体" w:hAnsi="宋体"/>
          <w:bCs/>
          <w:snapToGrid w:val="0"/>
          <w:kern w:val="0"/>
          <w:szCs w:val="21"/>
          <w:lang w:val="zh-CN"/>
        </w:rPr>
        <w:t>项目</w:t>
      </w:r>
      <w:r>
        <w:rPr>
          <w:rFonts w:hint="eastAsia" w:ascii="宋体" w:hAnsi="宋体"/>
          <w:szCs w:val="21"/>
        </w:rPr>
        <w:t>，达成以下合同条款：</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第一条</w:t>
      </w:r>
      <w:r>
        <w:rPr>
          <w:rFonts w:asciiTheme="minorEastAsia" w:hAnsiTheme="minorEastAsia"/>
          <w:b/>
          <w:szCs w:val="21"/>
        </w:rPr>
        <w:t xml:space="preserve">  </w:t>
      </w:r>
      <w:r>
        <w:rPr>
          <w:rFonts w:hint="eastAsia" w:asciiTheme="minorEastAsia" w:hAnsiTheme="minorEastAsia"/>
          <w:b/>
          <w:szCs w:val="21"/>
        </w:rPr>
        <w:t>合同标的</w:t>
      </w:r>
    </w:p>
    <w:p>
      <w:pPr>
        <w:spacing w:line="360" w:lineRule="auto"/>
        <w:ind w:firstLine="420" w:firstLineChars="200"/>
        <w:rPr>
          <w:rFonts w:asciiTheme="minorEastAsia" w:hAnsiTheme="minorEastAsia"/>
          <w:szCs w:val="21"/>
        </w:rPr>
      </w:pPr>
      <w:r>
        <w:rPr>
          <w:rFonts w:hint="eastAsia" w:asciiTheme="minorEastAsia" w:hAnsiTheme="minorEastAsia"/>
          <w:szCs w:val="21"/>
        </w:rPr>
        <w:t>货物名称、规格型号、制造商、产地、单位、数量、单价、合同价，详见</w:t>
      </w:r>
      <w:r>
        <w:rPr>
          <w:rFonts w:asciiTheme="minorEastAsia" w:hAnsiTheme="minorEastAsia"/>
          <w:b/>
          <w:szCs w:val="21"/>
          <w:u w:val="single"/>
        </w:rPr>
        <w:t xml:space="preserve">                  </w:t>
      </w:r>
      <w:r>
        <w:rPr>
          <w:rFonts w:hint="eastAsia" w:asciiTheme="minorEastAsia" w:hAnsiTheme="minorEastAsia"/>
          <w:szCs w:val="21"/>
        </w:rPr>
        <w:t>。</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第二条</w:t>
      </w:r>
      <w:r>
        <w:rPr>
          <w:rFonts w:asciiTheme="minorEastAsia" w:hAnsiTheme="minorEastAsia"/>
          <w:b/>
          <w:szCs w:val="21"/>
        </w:rPr>
        <w:t xml:space="preserve">  </w:t>
      </w:r>
      <w:r>
        <w:rPr>
          <w:rFonts w:hint="eastAsia" w:asciiTheme="minorEastAsia" w:hAnsiTheme="minorEastAsia"/>
          <w:b/>
          <w:szCs w:val="21"/>
        </w:rPr>
        <w:t>合同价款</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本合同项下总价款为</w:t>
      </w:r>
      <w:r>
        <w:rPr>
          <w:rFonts w:asciiTheme="minorEastAsia" w:hAnsiTheme="minorEastAsia"/>
          <w:szCs w:val="21"/>
          <w:u w:val="single"/>
        </w:rPr>
        <w:t xml:space="preserve">              </w:t>
      </w:r>
      <w:r>
        <w:rPr>
          <w:rFonts w:hint="eastAsia" w:asciiTheme="minorEastAsia" w:hAnsiTheme="minorEastAsia"/>
          <w:szCs w:val="21"/>
        </w:rPr>
        <w:t>（大写）人民币，分项价款详见</w:t>
      </w:r>
      <w:r>
        <w:rPr>
          <w:rFonts w:asciiTheme="minorEastAsia" w:hAnsiTheme="minorEastAsia"/>
          <w:b/>
          <w:szCs w:val="21"/>
          <w:u w:val="single"/>
        </w:rPr>
        <w:t xml:space="preserve">          </w:t>
      </w:r>
      <w:r>
        <w:rPr>
          <w:rFonts w:hint="eastAsia" w:asciiTheme="minorEastAsia" w:hAnsiTheme="minorEastAsia"/>
          <w:szCs w:val="21"/>
        </w:rPr>
        <w:t>。本合同总价款已包括乙方为履行本合同义务所发生的一切费用，系固定不变价格，且不随通货膨胀的影响而波动。</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第三条</w:t>
      </w:r>
      <w:r>
        <w:rPr>
          <w:rFonts w:asciiTheme="minorEastAsia" w:hAnsiTheme="minorEastAsia"/>
          <w:b/>
          <w:szCs w:val="21"/>
        </w:rPr>
        <w:t xml:space="preserve">  </w:t>
      </w:r>
      <w:r>
        <w:rPr>
          <w:rFonts w:hint="eastAsia" w:asciiTheme="minorEastAsia" w:hAnsiTheme="minorEastAsia"/>
          <w:b/>
          <w:szCs w:val="21"/>
        </w:rPr>
        <w:t>交货时间、地点和交货状态</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3.1交货时间：</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3.2交货地点：</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3.3交货状态：</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第四条</w:t>
      </w:r>
      <w:r>
        <w:rPr>
          <w:rFonts w:asciiTheme="minorEastAsia" w:hAnsiTheme="minorEastAsia"/>
          <w:b/>
          <w:szCs w:val="21"/>
        </w:rPr>
        <w:t xml:space="preserve">  </w:t>
      </w:r>
      <w:r>
        <w:rPr>
          <w:rFonts w:hint="eastAsia" w:asciiTheme="minorEastAsia" w:hAnsiTheme="minorEastAsia"/>
          <w:b/>
          <w:szCs w:val="21"/>
        </w:rPr>
        <w:t>质量标准和要求</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4.1乙方所提供的货物质量标准按照国家标准或者行业标准或者企业标准明确。没有国家标准、行业标准或企业标准的，按照通常标准或者符合合同目的的特定标准确定。</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4.2乙方应保证货物是全新、未使用过的原装合格正品（包括零部件），并完全符合甲方要求的质量、规格和性能的要求。如货物安装或配置了软件的，乙方保证相关软件均为正版软件。</w:t>
      </w:r>
    </w:p>
    <w:p>
      <w:pPr>
        <w:spacing w:line="360" w:lineRule="auto"/>
        <w:ind w:firstLine="420" w:firstLineChars="200"/>
        <w:jc w:val="left"/>
        <w:rPr>
          <w:rFonts w:asciiTheme="minorEastAsia" w:hAnsiTheme="minorEastAsia"/>
          <w:szCs w:val="21"/>
        </w:rPr>
      </w:pPr>
      <w:r>
        <w:rPr>
          <w:rFonts w:asciiTheme="minorEastAsia" w:hAnsiTheme="minorEastAsia"/>
          <w:szCs w:val="21"/>
        </w:rPr>
        <w:t>4.3乙方保证交货时一并提供货物的质量合格凭证或文件。</w:t>
      </w:r>
    </w:p>
    <w:p>
      <w:pPr>
        <w:spacing w:line="360" w:lineRule="auto"/>
        <w:ind w:firstLine="420" w:firstLineChars="200"/>
        <w:jc w:val="left"/>
        <w:rPr>
          <w:rFonts w:asciiTheme="minorEastAsia" w:hAnsiTheme="minorEastAsia"/>
          <w:szCs w:val="21"/>
        </w:rPr>
      </w:pPr>
      <w:r>
        <w:rPr>
          <w:rFonts w:asciiTheme="minorEastAsia" w:hAnsiTheme="minorEastAsia"/>
          <w:szCs w:val="21"/>
        </w:rPr>
        <w:t>4.4乙方所提供的全部货物均应按照标准保护措施进行包装，包装应适用于远距离运输、防潮、防震、防锈、防野蛮装卸等要求，以确保货物安全无损抵运指定交货地点。</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第五条</w:t>
      </w:r>
      <w:r>
        <w:rPr>
          <w:rFonts w:asciiTheme="minorEastAsia" w:hAnsiTheme="minorEastAsia"/>
          <w:b/>
          <w:szCs w:val="21"/>
        </w:rPr>
        <w:t xml:space="preserve">  </w:t>
      </w:r>
      <w:r>
        <w:rPr>
          <w:rFonts w:hint="eastAsia" w:asciiTheme="minorEastAsia" w:hAnsiTheme="minorEastAsia"/>
          <w:b/>
          <w:szCs w:val="21"/>
        </w:rPr>
        <w:t>权利保证</w:t>
      </w:r>
    </w:p>
    <w:p>
      <w:pPr>
        <w:spacing w:line="360" w:lineRule="auto"/>
        <w:ind w:firstLine="420" w:firstLineChars="200"/>
        <w:jc w:val="left"/>
        <w:rPr>
          <w:rFonts w:asciiTheme="minorEastAsia" w:hAnsiTheme="minorEastAsia"/>
          <w:szCs w:val="21"/>
        </w:rPr>
      </w:pPr>
      <w:r>
        <w:rPr>
          <w:rFonts w:asciiTheme="minorEastAsia" w:hAnsiTheme="minorEastAsia"/>
          <w:szCs w:val="21"/>
        </w:rPr>
        <w:t>5.1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ind w:firstLine="420" w:firstLineChars="200"/>
        <w:jc w:val="left"/>
        <w:rPr>
          <w:rFonts w:asciiTheme="minorEastAsia" w:hAnsiTheme="minorEastAsia"/>
          <w:szCs w:val="21"/>
        </w:rPr>
      </w:pPr>
      <w:r>
        <w:rPr>
          <w:rFonts w:asciiTheme="minorEastAsia" w:hAnsiTheme="minorEastAsia"/>
          <w:szCs w:val="21"/>
        </w:rPr>
        <w:t>5.2乙方应保证其提供的货物不存在任何未曾向甲方透漏的担保物权，如抵押权、质押权、留置权等。</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第六条</w:t>
      </w:r>
      <w:r>
        <w:rPr>
          <w:rFonts w:asciiTheme="minorEastAsia" w:hAnsiTheme="minorEastAsia"/>
          <w:b/>
          <w:szCs w:val="21"/>
        </w:rPr>
        <w:t xml:space="preserve">  </w:t>
      </w:r>
      <w:r>
        <w:rPr>
          <w:rFonts w:hint="eastAsia" w:asciiTheme="minorEastAsia" w:hAnsiTheme="minorEastAsia"/>
          <w:b/>
          <w:szCs w:val="21"/>
        </w:rPr>
        <w:t>质量保障</w:t>
      </w:r>
    </w:p>
    <w:p>
      <w:pPr>
        <w:spacing w:line="360" w:lineRule="auto"/>
        <w:ind w:firstLine="420" w:firstLineChars="200"/>
        <w:jc w:val="left"/>
        <w:rPr>
          <w:rFonts w:asciiTheme="minorEastAsia" w:hAnsiTheme="minorEastAsia"/>
          <w:szCs w:val="21"/>
        </w:rPr>
      </w:pPr>
      <w:r>
        <w:rPr>
          <w:rFonts w:asciiTheme="minorEastAsia" w:hAnsiTheme="minorEastAsia"/>
          <w:szCs w:val="21"/>
        </w:rPr>
        <w:t>6.1乙方应保证其提供的货物是全新的，未使用过的，并且完全符合合同规定的质量、规格和性能要求。乙方应保证其提供的货物在正确安装、正常使用和保养条件下，在其使用寿命期限内应具有很满意的性能。在货物最终交付验收后的质量保证期限内，乙方应对由于设计、工艺或材料的缺陷而产生的故障承担责任。</w:t>
      </w:r>
    </w:p>
    <w:p>
      <w:pPr>
        <w:spacing w:line="360" w:lineRule="auto"/>
        <w:ind w:firstLine="420" w:firstLineChars="200"/>
        <w:jc w:val="left"/>
        <w:rPr>
          <w:rFonts w:asciiTheme="minorEastAsia" w:hAnsiTheme="minorEastAsia"/>
          <w:szCs w:val="21"/>
        </w:rPr>
      </w:pPr>
      <w:r>
        <w:rPr>
          <w:rFonts w:asciiTheme="minorEastAsia" w:hAnsiTheme="minorEastAsia"/>
          <w:szCs w:val="21"/>
        </w:rPr>
        <w:t>6.2在质量保证期限内，如果货物的质量或规格与合同不符，或者证实货物存在缺陷的，包括潜在的缺陷或者使用不符合要求的材料等，甲方可根据本合同追究乙方相应违约责任。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6.3质量保证金：乙方应向甲方交纳</w:t>
      </w:r>
      <w:r>
        <w:rPr>
          <w:rFonts w:asciiTheme="minorEastAsia" w:hAnsiTheme="minorEastAsia"/>
          <w:szCs w:val="21"/>
          <w:u w:val="single"/>
        </w:rPr>
        <w:t xml:space="preserve">     </w:t>
      </w:r>
      <w:r>
        <w:rPr>
          <w:rFonts w:hint="eastAsia" w:asciiTheme="minorEastAsia" w:hAnsiTheme="minorEastAsia"/>
          <w:szCs w:val="21"/>
        </w:rPr>
        <w:t>元质量保证金，也可以采用支票或者甲方认可的银行出具的保函。质量保证金应在合同签订之日起</w:t>
      </w:r>
      <w:r>
        <w:rPr>
          <w:rFonts w:asciiTheme="minorEastAsia" w:hAnsiTheme="minorEastAsia"/>
          <w:szCs w:val="21"/>
          <w:u w:val="single"/>
        </w:rPr>
        <w:t xml:space="preserve">   </w:t>
      </w:r>
      <w:r>
        <w:rPr>
          <w:rFonts w:hint="eastAsia" w:asciiTheme="minorEastAsia" w:hAnsiTheme="minorEastAsia"/>
          <w:szCs w:val="21"/>
        </w:rPr>
        <w:t>日内一次性支付给甲方。验收合格后</w:t>
      </w:r>
      <w:r>
        <w:rPr>
          <w:rFonts w:asciiTheme="minorEastAsia" w:hAnsiTheme="minorEastAsia"/>
          <w:szCs w:val="21"/>
          <w:u w:val="single"/>
        </w:rPr>
        <w:t xml:space="preserve">   </w:t>
      </w:r>
      <w:r>
        <w:rPr>
          <w:rFonts w:hint="eastAsia" w:asciiTheme="minorEastAsia" w:hAnsiTheme="minorEastAsia"/>
          <w:szCs w:val="21"/>
        </w:rPr>
        <w:t>日内，甲方一次性将质量保证金无息退还给乙方。</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第七条</w:t>
      </w:r>
      <w:r>
        <w:rPr>
          <w:rFonts w:asciiTheme="minorEastAsia" w:hAnsiTheme="minorEastAsia"/>
          <w:b/>
          <w:szCs w:val="21"/>
        </w:rPr>
        <w:t xml:space="preserve">  </w:t>
      </w:r>
      <w:r>
        <w:rPr>
          <w:rFonts w:hint="eastAsia" w:asciiTheme="minorEastAsia" w:hAnsiTheme="minorEastAsia"/>
          <w:b/>
          <w:szCs w:val="21"/>
        </w:rPr>
        <w:t>交货和验收</w:t>
      </w:r>
    </w:p>
    <w:p>
      <w:pPr>
        <w:spacing w:line="360" w:lineRule="auto"/>
        <w:ind w:firstLine="420" w:firstLineChars="200"/>
        <w:jc w:val="left"/>
        <w:rPr>
          <w:rFonts w:asciiTheme="minorEastAsia" w:hAnsiTheme="minorEastAsia"/>
          <w:szCs w:val="21"/>
        </w:rPr>
      </w:pPr>
      <w:r>
        <w:rPr>
          <w:rFonts w:asciiTheme="minorEastAsia" w:hAnsiTheme="minorEastAsia"/>
          <w:szCs w:val="21"/>
        </w:rPr>
        <w:t>7.1乙方应按照本合同或招投标文件规定的时间和方式向甲方交付货物，交货地点由甲方指定。因交货产生的费用由乙方自行承担。</w:t>
      </w:r>
    </w:p>
    <w:p>
      <w:pPr>
        <w:spacing w:line="360" w:lineRule="auto"/>
        <w:ind w:firstLine="420" w:firstLineChars="200"/>
        <w:jc w:val="left"/>
        <w:rPr>
          <w:rFonts w:asciiTheme="minorEastAsia" w:hAnsiTheme="minorEastAsia"/>
          <w:szCs w:val="21"/>
        </w:rPr>
      </w:pPr>
      <w:r>
        <w:rPr>
          <w:rFonts w:asciiTheme="minorEastAsia" w:hAnsiTheme="minorEastAsia"/>
          <w:szCs w:val="21"/>
        </w:rPr>
        <w:t>7.2乙方交付的货物应当完全符合招投标文件所规定的货物、数量、质量和规格要求。乙方提供的货物不符合招投标文件和合同规定的，甲方有权拒收货物，由此引起的风险，由乙方承担。</w:t>
      </w:r>
    </w:p>
    <w:p>
      <w:pPr>
        <w:spacing w:line="360" w:lineRule="auto"/>
        <w:ind w:firstLine="420" w:firstLineChars="200"/>
        <w:jc w:val="left"/>
        <w:rPr>
          <w:rFonts w:asciiTheme="minorEastAsia" w:hAnsiTheme="minorEastAsia"/>
          <w:szCs w:val="21"/>
        </w:rPr>
      </w:pPr>
      <w:r>
        <w:rPr>
          <w:rFonts w:asciiTheme="minorEastAsia" w:hAnsiTheme="minorEastAsia"/>
          <w:szCs w:val="21"/>
        </w:rPr>
        <w:t>7.3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7.4甲方应当在到货后的</w:t>
      </w:r>
      <w:r>
        <w:rPr>
          <w:rFonts w:asciiTheme="minorEastAsia" w:hAnsiTheme="minorEastAsia"/>
          <w:szCs w:val="21"/>
          <w:u w:val="single"/>
        </w:rPr>
        <w:t xml:space="preserve">       </w:t>
      </w:r>
      <w:r>
        <w:rPr>
          <w:rFonts w:hint="eastAsia" w:asciiTheme="minorEastAsia" w:hAnsiTheme="minorEastAsia"/>
          <w:szCs w:val="21"/>
        </w:rPr>
        <w:t>个工作日内对货物进行验收；需要乙方对货物或系统进行安装调试的，甲方应在货物安装调试完毕后的</w:t>
      </w:r>
      <w:r>
        <w:rPr>
          <w:rFonts w:asciiTheme="minorEastAsia" w:hAnsiTheme="minorEastAsia"/>
          <w:szCs w:val="21"/>
          <w:u w:val="single"/>
        </w:rPr>
        <w:t xml:space="preserve">       </w:t>
      </w:r>
      <w:r>
        <w:rPr>
          <w:rFonts w:hint="eastAsia" w:asciiTheme="minorEastAsia" w:hAnsiTheme="minorEastAsia"/>
          <w:szCs w:val="21"/>
        </w:rPr>
        <w:t>个工作日内进行质量验收。</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第八条</w:t>
      </w:r>
      <w:r>
        <w:rPr>
          <w:rFonts w:asciiTheme="minorEastAsia" w:hAnsiTheme="minorEastAsia"/>
          <w:b/>
          <w:szCs w:val="21"/>
        </w:rPr>
        <w:t xml:space="preserve">  </w:t>
      </w:r>
      <w:r>
        <w:rPr>
          <w:rFonts w:hint="eastAsia" w:asciiTheme="minorEastAsia" w:hAnsiTheme="minorEastAsia"/>
          <w:b/>
          <w:szCs w:val="21"/>
        </w:rPr>
        <w:t>保修及其他服务</w:t>
      </w:r>
    </w:p>
    <w:p>
      <w:pPr>
        <w:spacing w:line="360" w:lineRule="auto"/>
        <w:ind w:firstLine="420" w:firstLineChars="200"/>
        <w:jc w:val="left"/>
        <w:rPr>
          <w:rFonts w:asciiTheme="minorEastAsia" w:hAnsiTheme="minorEastAsia"/>
          <w:szCs w:val="21"/>
        </w:rPr>
      </w:pPr>
      <w:r>
        <w:rPr>
          <w:rFonts w:asciiTheme="minorEastAsia" w:hAnsiTheme="minorEastAsia"/>
          <w:szCs w:val="21"/>
        </w:rPr>
        <w:t>8.1乙方应按照国家有关法律法规规章和“三包”规定和招标文件的要求及乙方在投标文件的相关承诺提供保修及其他服务。</w:t>
      </w:r>
    </w:p>
    <w:p>
      <w:pPr>
        <w:spacing w:line="360" w:lineRule="auto"/>
        <w:ind w:firstLine="420" w:firstLineChars="200"/>
        <w:jc w:val="left"/>
        <w:rPr>
          <w:rFonts w:asciiTheme="minorEastAsia" w:hAnsiTheme="minorEastAsia"/>
          <w:szCs w:val="21"/>
        </w:rPr>
      </w:pPr>
      <w:r>
        <w:rPr>
          <w:rFonts w:asciiTheme="minorEastAsia" w:hAnsiTheme="minorEastAsia"/>
          <w:szCs w:val="21"/>
        </w:rPr>
        <w:t>8.2保修期内，乙方负责对其提供的货物进行维修和系统维护，不再收取任何费用。</w:t>
      </w:r>
      <w:r>
        <w:rPr>
          <w:rFonts w:hint="eastAsia" w:asciiTheme="minorEastAsia" w:hAnsiTheme="minorEastAsia"/>
          <w:szCs w:val="21"/>
        </w:rPr>
        <w:t>所有货物保修服务方式均为乙方上门保修，即由乙方派员到货物使用现场维修，由此产生的一切费用均由乙方承担。保修期后的货物维护另行协商。</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第九条</w:t>
      </w:r>
      <w:r>
        <w:rPr>
          <w:rFonts w:asciiTheme="minorEastAsia" w:hAnsiTheme="minorEastAsia"/>
          <w:b/>
          <w:szCs w:val="21"/>
        </w:rPr>
        <w:t xml:space="preserve">  </w:t>
      </w:r>
      <w:r>
        <w:rPr>
          <w:rFonts w:hint="eastAsia" w:asciiTheme="minorEastAsia" w:hAnsiTheme="minorEastAsia"/>
          <w:b/>
          <w:szCs w:val="21"/>
        </w:rPr>
        <w:t>履约保证金</w:t>
      </w:r>
    </w:p>
    <w:p>
      <w:pPr>
        <w:spacing w:line="360" w:lineRule="auto"/>
        <w:ind w:firstLine="420" w:firstLineChars="200"/>
        <w:jc w:val="left"/>
        <w:rPr>
          <w:rFonts w:asciiTheme="minorEastAsia" w:hAnsiTheme="minorEastAsia"/>
          <w:szCs w:val="21"/>
        </w:rPr>
      </w:pPr>
      <w:r>
        <w:rPr>
          <w:rFonts w:asciiTheme="minorEastAsia" w:hAnsiTheme="minorEastAsia"/>
          <w:szCs w:val="21"/>
        </w:rPr>
        <w:t>9.1乙方应在签订本合同之日，向甲方或甲方指定的机构提交履约保证金_________元。</w:t>
      </w:r>
    </w:p>
    <w:p>
      <w:pPr>
        <w:spacing w:line="360" w:lineRule="auto"/>
        <w:ind w:firstLine="420" w:firstLineChars="200"/>
        <w:jc w:val="left"/>
        <w:rPr>
          <w:rFonts w:asciiTheme="minorEastAsia" w:hAnsiTheme="minorEastAsia"/>
          <w:szCs w:val="21"/>
        </w:rPr>
      </w:pPr>
      <w:r>
        <w:rPr>
          <w:rFonts w:asciiTheme="minorEastAsia" w:hAnsiTheme="minorEastAsia"/>
          <w:szCs w:val="21"/>
        </w:rPr>
        <w:t>9.2如乙方未能履行合同规定的义务，甲方有权从履约保证金中取得补偿。</w:t>
      </w:r>
    </w:p>
    <w:p>
      <w:pPr>
        <w:spacing w:line="360" w:lineRule="auto"/>
        <w:ind w:firstLine="420" w:firstLineChars="200"/>
        <w:jc w:val="left"/>
        <w:rPr>
          <w:rFonts w:asciiTheme="minorEastAsia" w:hAnsiTheme="minorEastAsia"/>
          <w:szCs w:val="21"/>
        </w:rPr>
      </w:pPr>
      <w:r>
        <w:rPr>
          <w:rFonts w:asciiTheme="minorEastAsia" w:hAnsiTheme="minorEastAsia"/>
          <w:szCs w:val="21"/>
        </w:rPr>
        <w:t>9.3甲方在乙方履行完毕本合同项下全部义务后______天内无息退还乙方。</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第十条</w:t>
      </w:r>
      <w:r>
        <w:rPr>
          <w:rFonts w:asciiTheme="minorEastAsia" w:hAnsiTheme="minorEastAsia"/>
          <w:b/>
          <w:szCs w:val="21"/>
        </w:rPr>
        <w:t xml:space="preserve">  </w:t>
      </w:r>
      <w:r>
        <w:rPr>
          <w:rFonts w:hint="eastAsia" w:asciiTheme="minorEastAsia" w:hAnsiTheme="minorEastAsia"/>
          <w:b/>
          <w:szCs w:val="21"/>
        </w:rPr>
        <w:t>货款支付</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10.1本合同以人民币付款。</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10.2付款条件：</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10.3付款方式和时间：</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第十一条</w:t>
      </w:r>
      <w:r>
        <w:rPr>
          <w:rFonts w:asciiTheme="minorEastAsia" w:hAnsiTheme="minorEastAsia"/>
          <w:b/>
          <w:szCs w:val="21"/>
        </w:rPr>
        <w:t xml:space="preserve">  </w:t>
      </w:r>
      <w:r>
        <w:rPr>
          <w:rFonts w:hint="eastAsia" w:asciiTheme="minorEastAsia" w:hAnsiTheme="minorEastAsia"/>
          <w:b/>
          <w:szCs w:val="21"/>
        </w:rPr>
        <w:t>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11.1甲方无正当理由拒收货物、拒付货物款的，由甲方向乙方偿付合同总价的【】%违约金。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11.2甲方未按合同规定的期限向乙方支付货款的，每逾期1天甲方向乙方偿付欠款总额的【】‰滞纳金，但累计滞纳金总额不超过欠款总额的【】%。</w:t>
      </w:r>
    </w:p>
    <w:p>
      <w:pPr>
        <w:spacing w:line="360" w:lineRule="auto"/>
        <w:ind w:firstLine="420" w:firstLineChars="200"/>
        <w:jc w:val="left"/>
        <w:rPr>
          <w:rFonts w:asciiTheme="minorEastAsia" w:hAnsiTheme="minorEastAsia"/>
          <w:szCs w:val="21"/>
        </w:rPr>
      </w:pPr>
      <w:r>
        <w:rPr>
          <w:rFonts w:asciiTheme="minorEastAsia" w:hAnsiTheme="minorEastAsia"/>
          <w:szCs w:val="21"/>
        </w:rPr>
        <w:t>11.3乙方逾期交付货物的</w:t>
      </w:r>
      <w:r>
        <w:rPr>
          <w:rFonts w:hint="eastAsia" w:asciiTheme="minorEastAsia" w:hAnsiTheme="minorEastAsia"/>
          <w:szCs w:val="21"/>
        </w:rPr>
        <w:t>，</w:t>
      </w:r>
      <w:r>
        <w:rPr>
          <w:rFonts w:asciiTheme="minorEastAsia" w:hAnsiTheme="minorEastAsia"/>
          <w:szCs w:val="21"/>
        </w:rPr>
        <w:t>每逾期1天，乙方向甲方偿付逾期交货部分货款总额的</w:t>
      </w:r>
      <w:r>
        <w:rPr>
          <w:rFonts w:hint="eastAsia" w:asciiTheme="minorEastAsia" w:hAnsiTheme="minorEastAsia"/>
          <w:szCs w:val="21"/>
        </w:rPr>
        <w:t>【】</w:t>
      </w:r>
      <w:r>
        <w:rPr>
          <w:rFonts w:asciiTheme="minorEastAsia" w:hAnsiTheme="minorEastAsia"/>
          <w:szCs w:val="21"/>
        </w:rPr>
        <w:t>‰的滞纳金</w:t>
      </w:r>
      <w:r>
        <w:rPr>
          <w:rFonts w:hint="eastAsia" w:asciiTheme="minorEastAsia" w:hAnsiTheme="minorEastAsia"/>
          <w:szCs w:val="21"/>
        </w:rPr>
        <w:t>。如乙方逾期交货达</w:t>
      </w:r>
      <w:r>
        <w:rPr>
          <w:rFonts w:asciiTheme="minorEastAsia" w:hAnsiTheme="minorEastAsia"/>
          <w:szCs w:val="21"/>
          <w:u w:val="single"/>
        </w:rPr>
        <w:t xml:space="preserve">    </w:t>
      </w:r>
      <w:r>
        <w:rPr>
          <w:rFonts w:hint="eastAsia" w:asciiTheme="minorEastAsia" w:hAnsiTheme="minorEastAsia"/>
          <w:szCs w:val="21"/>
        </w:rPr>
        <w:t>天，甲方有权解除合同，履约保证金不予退回，同时乙方应向甲方支付合同总价【】％的违约金。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11.4乙方所交付的货物品种、型号、规格不符合合同规定的，甲方有权拒收。甲方拒收的，乙方应向甲方支付货款总额【】%的违约金。</w:t>
      </w:r>
    </w:p>
    <w:p>
      <w:pPr>
        <w:spacing w:line="360" w:lineRule="auto"/>
        <w:ind w:firstLine="420" w:firstLineChars="200"/>
        <w:jc w:val="left"/>
        <w:rPr>
          <w:rFonts w:asciiTheme="minorEastAsia" w:hAnsiTheme="minorEastAsia"/>
          <w:szCs w:val="21"/>
        </w:rPr>
      </w:pPr>
      <w:r>
        <w:rPr>
          <w:rFonts w:asciiTheme="minorEastAsia" w:hAnsiTheme="minorEastAsia"/>
          <w:szCs w:val="21"/>
        </w:rPr>
        <w:t>11.5在乙方承诺的或国家规定的质量保证期内（取两者中最长的期限），如经乙方两次维修</w:t>
      </w:r>
      <w:r>
        <w:rPr>
          <w:rFonts w:hint="eastAsia" w:asciiTheme="minorEastAsia" w:hAnsiTheme="minorEastAsia"/>
          <w:szCs w:val="21"/>
        </w:rPr>
        <w:t>或更换</w:t>
      </w:r>
      <w:r>
        <w:rPr>
          <w:rFonts w:asciiTheme="minorEastAsia" w:hAnsiTheme="minorEastAsia"/>
          <w:szCs w:val="21"/>
        </w:rPr>
        <w:t>，货物仍不能达到合同约定</w:t>
      </w:r>
      <w:r>
        <w:rPr>
          <w:rFonts w:hint="eastAsia" w:asciiTheme="minorEastAsia" w:hAnsiTheme="minorEastAsia"/>
          <w:szCs w:val="21"/>
        </w:rPr>
        <w:t>的</w:t>
      </w:r>
      <w:r>
        <w:rPr>
          <w:rFonts w:asciiTheme="minorEastAsia" w:hAnsiTheme="minorEastAsia"/>
          <w:szCs w:val="21"/>
        </w:rPr>
        <w:t>质量标准，甲方有权退货，乙方</w:t>
      </w:r>
      <w:r>
        <w:rPr>
          <w:rFonts w:hint="eastAsia" w:asciiTheme="minorEastAsia" w:hAnsiTheme="minorEastAsia"/>
          <w:szCs w:val="21"/>
        </w:rPr>
        <w:t>应</w:t>
      </w:r>
      <w:r>
        <w:rPr>
          <w:rFonts w:asciiTheme="minorEastAsia" w:hAnsiTheme="minorEastAsia"/>
          <w:szCs w:val="21"/>
        </w:rPr>
        <w:t>退回全部货款</w:t>
      </w:r>
      <w:r>
        <w:rPr>
          <w:rFonts w:hint="eastAsia" w:asciiTheme="minorEastAsia" w:hAnsiTheme="minorEastAsia"/>
          <w:szCs w:val="21"/>
        </w:rPr>
        <w:t>并</w:t>
      </w:r>
      <w:r>
        <w:rPr>
          <w:rFonts w:asciiTheme="minorEastAsia" w:hAnsiTheme="minorEastAsia"/>
          <w:szCs w:val="21"/>
        </w:rPr>
        <w:t>赔偿甲方因此遭受的损失。</w:t>
      </w:r>
    </w:p>
    <w:p>
      <w:pPr>
        <w:spacing w:line="360" w:lineRule="auto"/>
        <w:ind w:firstLine="420" w:firstLineChars="200"/>
        <w:jc w:val="left"/>
        <w:rPr>
          <w:rFonts w:asciiTheme="minorEastAsia" w:hAnsiTheme="minorEastAsia"/>
          <w:szCs w:val="21"/>
        </w:rPr>
      </w:pPr>
      <w:r>
        <w:rPr>
          <w:rFonts w:asciiTheme="minorEastAsia" w:hAnsiTheme="minorEastAsia"/>
          <w:szCs w:val="21"/>
        </w:rPr>
        <w:t>11.6乙方未履行本合同项下的其他义务或违反其在投标文件中的相关承诺的，应按合同总价款的【】%向甲方承担违约责任。</w:t>
      </w:r>
    </w:p>
    <w:p>
      <w:pPr>
        <w:spacing w:line="360" w:lineRule="auto"/>
        <w:ind w:firstLine="420" w:firstLineChars="200"/>
        <w:jc w:val="left"/>
        <w:rPr>
          <w:rFonts w:asciiTheme="minorEastAsia" w:hAnsiTheme="minorEastAsia"/>
          <w:szCs w:val="21"/>
        </w:rPr>
      </w:pPr>
      <w:r>
        <w:rPr>
          <w:rFonts w:asciiTheme="minorEastAsia" w:hAnsiTheme="minorEastAsia"/>
          <w:szCs w:val="21"/>
        </w:rPr>
        <w:t>11.7乙方在承担上述一项或多项违约责任后，仍应继续履行合同规定的义务（甲方解除合同的除外）。甲方未能及时追究乙方的任何一项违约责任并不表明甲方放弃追究乙方该项或其他违约责任。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第十二条</w:t>
      </w:r>
      <w:r>
        <w:rPr>
          <w:rFonts w:asciiTheme="minorEastAsia" w:hAnsiTheme="minorEastAsia"/>
          <w:b/>
          <w:szCs w:val="21"/>
        </w:rPr>
        <w:t xml:space="preserve">  </w:t>
      </w:r>
      <w:r>
        <w:rPr>
          <w:rFonts w:hint="eastAsia" w:asciiTheme="minorEastAsia" w:hAnsiTheme="minorEastAsia"/>
          <w:b/>
          <w:szCs w:val="21"/>
        </w:rPr>
        <w:t>合同的变更、解除或终止</w:t>
      </w:r>
    </w:p>
    <w:p>
      <w:pPr>
        <w:spacing w:line="360" w:lineRule="auto"/>
        <w:ind w:firstLine="420" w:firstLineChars="200"/>
        <w:jc w:val="left"/>
        <w:rPr>
          <w:rFonts w:asciiTheme="minorEastAsia" w:hAnsiTheme="minorEastAsia"/>
          <w:szCs w:val="21"/>
        </w:rPr>
      </w:pPr>
      <w:r>
        <w:rPr>
          <w:rFonts w:asciiTheme="minorEastAsia" w:hAnsiTheme="minorEastAsia"/>
          <w:szCs w:val="21"/>
        </w:rPr>
        <w:t>12.1在合同履行中，甲方需追加与合同标的项目的货物、工程或者服务的，应按照《深圳经济特区政府采购条例》第四十条、第四十八条规定办理相关手续。</w:t>
      </w:r>
    </w:p>
    <w:p>
      <w:pPr>
        <w:spacing w:line="360" w:lineRule="auto"/>
        <w:ind w:firstLine="420" w:firstLineChars="200"/>
        <w:jc w:val="left"/>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2</w:t>
      </w:r>
      <w:r>
        <w:rPr>
          <w:rFonts w:asciiTheme="minorEastAsia" w:hAnsiTheme="minorEastAsia"/>
          <w:szCs w:val="21"/>
        </w:rPr>
        <w:t>除《中华人民共和国政府采购法》第49条、第50条第二款规定的情形外，本合同一经签订，甲乙双方不得擅自变更、中止或终止合同。</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第十三条</w:t>
      </w:r>
      <w:r>
        <w:rPr>
          <w:rFonts w:asciiTheme="minorEastAsia" w:hAnsiTheme="minorEastAsia"/>
          <w:b/>
          <w:szCs w:val="21"/>
        </w:rPr>
        <w:t xml:space="preserve">  </w:t>
      </w:r>
      <w:r>
        <w:rPr>
          <w:rFonts w:hint="eastAsia" w:asciiTheme="minorEastAsia" w:hAnsiTheme="minorEastAsia"/>
          <w:b/>
          <w:szCs w:val="21"/>
        </w:rPr>
        <w:t>争议的解决</w:t>
      </w:r>
    </w:p>
    <w:p>
      <w:pPr>
        <w:spacing w:line="360" w:lineRule="auto"/>
        <w:ind w:firstLine="420" w:firstLineChars="200"/>
        <w:jc w:val="left"/>
        <w:rPr>
          <w:rFonts w:asciiTheme="minorEastAsia" w:hAnsiTheme="minorEastAsia"/>
          <w:szCs w:val="21"/>
        </w:rPr>
      </w:pPr>
      <w:r>
        <w:rPr>
          <w:rFonts w:asciiTheme="minorEastAsia" w:hAnsiTheme="minorEastAsia"/>
          <w:szCs w:val="21"/>
        </w:rPr>
        <w:t>13.1因货物的质量问题发生争议的，应当邀请国家认可的质量检测机构对货物质量进行鉴定。货物符合标准的，鉴定费由甲方承担；货物不符合质量标准的，鉴定费由乙方承担。</w:t>
      </w:r>
    </w:p>
    <w:p>
      <w:pPr>
        <w:spacing w:line="360" w:lineRule="auto"/>
        <w:ind w:firstLine="420" w:firstLineChars="200"/>
        <w:jc w:val="left"/>
        <w:rPr>
          <w:rFonts w:asciiTheme="minorEastAsia" w:hAnsiTheme="minorEastAsia"/>
          <w:szCs w:val="21"/>
        </w:rPr>
      </w:pPr>
      <w:r>
        <w:rPr>
          <w:rFonts w:asciiTheme="minorEastAsia" w:hAnsiTheme="minorEastAsia"/>
          <w:szCs w:val="21"/>
        </w:rPr>
        <w:t>13.2因履行本合同引起的或与本合同有关的争议，甲、乙双方应首先通过友好协商解决，如果协商不能解决争议，则向甲方所在地有管辖权的人民法院提起诉讼。</w:t>
      </w:r>
    </w:p>
    <w:p>
      <w:pPr>
        <w:spacing w:line="360" w:lineRule="auto"/>
        <w:ind w:firstLine="422" w:firstLineChars="200"/>
        <w:jc w:val="left"/>
        <w:rPr>
          <w:rFonts w:asciiTheme="minorEastAsia" w:hAnsiTheme="minorEastAsia"/>
          <w:b/>
          <w:szCs w:val="21"/>
        </w:rPr>
      </w:pPr>
      <w:r>
        <w:rPr>
          <w:rFonts w:hint="eastAsia" w:asciiTheme="minorEastAsia" w:hAnsiTheme="minorEastAsia"/>
          <w:b/>
          <w:szCs w:val="21"/>
        </w:rPr>
        <w:t>第十四条</w:t>
      </w:r>
      <w:r>
        <w:rPr>
          <w:rFonts w:asciiTheme="minorEastAsia" w:hAnsiTheme="minorEastAsia"/>
          <w:b/>
          <w:szCs w:val="21"/>
        </w:rPr>
        <w:t xml:space="preserve">  </w:t>
      </w:r>
      <w:r>
        <w:rPr>
          <w:rFonts w:hint="eastAsia" w:asciiTheme="minorEastAsia" w:hAnsiTheme="minorEastAsia"/>
          <w:b/>
          <w:szCs w:val="21"/>
        </w:rPr>
        <w:t>合同生效及其他</w:t>
      </w:r>
    </w:p>
    <w:p>
      <w:pPr>
        <w:spacing w:line="360" w:lineRule="auto"/>
        <w:ind w:firstLine="420" w:firstLineChars="200"/>
        <w:jc w:val="left"/>
        <w:rPr>
          <w:rFonts w:asciiTheme="minorEastAsia" w:hAnsiTheme="minorEastAsia"/>
          <w:szCs w:val="21"/>
        </w:rPr>
      </w:pPr>
      <w:r>
        <w:rPr>
          <w:rFonts w:asciiTheme="minorEastAsia" w:hAnsiTheme="minorEastAsia"/>
          <w:szCs w:val="21"/>
        </w:rPr>
        <w:t>14.1下列文件均为本合同的组成部分：</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1）</w:t>
      </w:r>
      <w:r>
        <w:rPr>
          <w:rFonts w:hint="eastAsia" w:asciiTheme="minorEastAsia" w:hAnsiTheme="minorEastAsia"/>
          <w:szCs w:val="21"/>
        </w:rPr>
        <w:t>招标文件、答疑及补充通知；</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2）乙方的投标文件；</w:t>
      </w:r>
    </w:p>
    <w:p>
      <w:pPr>
        <w:spacing w:line="360" w:lineRule="auto"/>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3）本合同执行中甲乙双方共同签署的补充与修正文件。</w:t>
      </w:r>
    </w:p>
    <w:p>
      <w:pPr>
        <w:spacing w:line="360" w:lineRule="auto"/>
        <w:ind w:firstLine="420" w:firstLineChars="200"/>
        <w:jc w:val="left"/>
        <w:rPr>
          <w:rFonts w:asciiTheme="minorEastAsia" w:hAnsiTheme="minorEastAsia"/>
          <w:szCs w:val="21"/>
        </w:rPr>
      </w:pPr>
      <w:r>
        <w:rPr>
          <w:rFonts w:asciiTheme="minorEastAsia" w:hAnsiTheme="minorEastAsia"/>
          <w:szCs w:val="21"/>
        </w:rPr>
        <w:t>14.2本合同一式</w:t>
      </w:r>
      <w:r>
        <w:rPr>
          <w:rFonts w:asciiTheme="minorEastAsia" w:hAnsiTheme="minorEastAsia"/>
          <w:szCs w:val="21"/>
          <w:u w:val="single"/>
        </w:rPr>
        <w:t xml:space="preserve">     </w:t>
      </w:r>
      <w:r>
        <w:rPr>
          <w:rFonts w:hint="eastAsia" w:asciiTheme="minorEastAsia" w:hAnsiTheme="minorEastAsia"/>
          <w:szCs w:val="21"/>
        </w:rPr>
        <w:t>份，甲、乙方双方各执</w:t>
      </w:r>
      <w:r>
        <w:rPr>
          <w:rFonts w:asciiTheme="minorEastAsia" w:hAnsiTheme="minorEastAsia"/>
          <w:szCs w:val="21"/>
          <w:u w:val="single"/>
        </w:rPr>
        <w:t xml:space="preserve">     </w:t>
      </w:r>
      <w:r>
        <w:rPr>
          <w:rFonts w:hint="eastAsia" w:asciiTheme="minorEastAsia" w:hAnsiTheme="minorEastAsia"/>
          <w:szCs w:val="21"/>
        </w:rPr>
        <w:t>份，具有同等法律效力。本合同自双方签字并盖章之日起生效。</w:t>
      </w:r>
    </w:p>
    <w:p>
      <w:pPr>
        <w:snapToGrid w:val="0"/>
        <w:spacing w:line="360" w:lineRule="auto"/>
        <w:ind w:firstLine="420" w:firstLineChars="200"/>
        <w:rPr>
          <w:rFonts w:ascii="宋体" w:hAnsi="宋体"/>
          <w:szCs w:val="21"/>
        </w:rPr>
      </w:pPr>
      <w:r>
        <w:rPr>
          <w:rFonts w:asciiTheme="minorEastAsia" w:hAnsiTheme="minorEastAsia"/>
          <w:szCs w:val="21"/>
        </w:rPr>
        <w:t>14.</w:t>
      </w:r>
      <w:r>
        <w:rPr>
          <w:rFonts w:hint="eastAsia" w:asciiTheme="minorEastAsia" w:hAnsiTheme="minorEastAsia"/>
          <w:szCs w:val="21"/>
        </w:rPr>
        <w:t>3</w:t>
      </w:r>
      <w:r>
        <w:rPr>
          <w:rFonts w:hint="eastAsia" w:ascii="宋体" w:hAnsi="宋体"/>
          <w:szCs w:val="21"/>
        </w:rPr>
        <w:t>本合同未尽事宜，双方友好协商，达成解决方案，经双方签字后，可作为本合同的有效附件。</w:t>
      </w:r>
    </w:p>
    <w:p>
      <w:pPr>
        <w:spacing w:line="360" w:lineRule="auto"/>
        <w:ind w:firstLine="420" w:firstLineChars="200"/>
        <w:jc w:val="left"/>
        <w:rPr>
          <w:rFonts w:asciiTheme="minorEastAsia" w:hAnsiTheme="minorEastAsia"/>
          <w:szCs w:val="21"/>
        </w:rPr>
      </w:pPr>
    </w:p>
    <w:p>
      <w:pPr>
        <w:pStyle w:val="27"/>
        <w:snapToGrid w:val="0"/>
        <w:spacing w:line="360" w:lineRule="auto"/>
        <w:ind w:firstLine="420" w:firstLineChars="200"/>
        <w:rPr>
          <w:rFonts w:hAnsi="宋体"/>
          <w:szCs w:val="21"/>
        </w:rPr>
      </w:pPr>
      <w:r>
        <w:rPr>
          <w:rFonts w:hint="eastAsia" w:hAnsi="宋体"/>
          <w:szCs w:val="21"/>
        </w:rPr>
        <w:t>附件：</w:t>
      </w:r>
    </w:p>
    <w:p>
      <w:pPr>
        <w:snapToGrid w:val="0"/>
        <w:spacing w:line="360" w:lineRule="auto"/>
        <w:ind w:firstLine="420" w:firstLineChars="200"/>
        <w:rPr>
          <w:rFonts w:ascii="宋体" w:hAnsi="宋体"/>
          <w:szCs w:val="21"/>
        </w:rPr>
      </w:pPr>
      <w:r>
        <w:rPr>
          <w:rFonts w:hint="eastAsia" w:ascii="宋体" w:hAnsi="宋体"/>
          <w:szCs w:val="21"/>
        </w:rPr>
        <w:t>1、《中标通知书》</w:t>
      </w:r>
    </w:p>
    <w:p>
      <w:pPr>
        <w:snapToGrid w:val="0"/>
        <w:spacing w:line="360" w:lineRule="auto"/>
        <w:ind w:firstLine="420" w:firstLineChars="200"/>
        <w:rPr>
          <w:rFonts w:ascii="宋体" w:hAnsi="宋体"/>
          <w:szCs w:val="21"/>
        </w:rPr>
      </w:pPr>
      <w:r>
        <w:rPr>
          <w:rFonts w:hint="eastAsia" w:ascii="宋体" w:hAnsi="宋体"/>
          <w:szCs w:val="21"/>
        </w:rPr>
        <w:t>2、《投标文件》</w:t>
      </w:r>
    </w:p>
    <w:p>
      <w:pPr>
        <w:snapToGrid w:val="0"/>
        <w:spacing w:line="360" w:lineRule="auto"/>
        <w:ind w:firstLine="420" w:firstLineChars="200"/>
        <w:rPr>
          <w:rFonts w:ascii="宋体" w:hAnsi="宋体"/>
          <w:szCs w:val="21"/>
        </w:rPr>
      </w:pPr>
      <w:r>
        <w:rPr>
          <w:rFonts w:hint="eastAsia" w:ascii="宋体" w:hAnsi="宋体"/>
          <w:szCs w:val="21"/>
        </w:rPr>
        <w:t>3、《招标文件》</w:t>
      </w:r>
    </w:p>
    <w:p>
      <w:pPr>
        <w:spacing w:line="360" w:lineRule="auto"/>
        <w:ind w:firstLine="420" w:firstLineChars="200"/>
        <w:jc w:val="left"/>
        <w:rPr>
          <w:rFonts w:asciiTheme="minorEastAsia" w:hAnsiTheme="minorEastAsia"/>
          <w:szCs w:val="21"/>
        </w:rPr>
      </w:pP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甲方（采购人）：</w:t>
      </w:r>
      <w:r>
        <w:rPr>
          <w:rFonts w:asciiTheme="minorEastAsia" w:hAnsiTheme="minorEastAsia"/>
          <w:szCs w:val="21"/>
        </w:rPr>
        <w:t>（盖</w:t>
      </w:r>
      <w:r>
        <w:rPr>
          <w:rFonts w:hint="eastAsia" w:asciiTheme="minorEastAsia" w:hAnsiTheme="minorEastAsia"/>
          <w:szCs w:val="21"/>
        </w:rPr>
        <w:t>公</w:t>
      </w:r>
      <w:r>
        <w:rPr>
          <w:rFonts w:asciiTheme="minorEastAsia" w:hAnsiTheme="minorEastAsia"/>
          <w:szCs w:val="21"/>
        </w:rPr>
        <w:t xml:space="preserve">章）  </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乙方（</w:t>
      </w:r>
      <w:r>
        <w:rPr>
          <w:rFonts w:hint="eastAsia" w:asciiTheme="minorEastAsia" w:hAnsiTheme="minorEastAsia"/>
          <w:szCs w:val="21"/>
        </w:rPr>
        <w:t>中标人</w:t>
      </w:r>
      <w:r>
        <w:rPr>
          <w:rFonts w:asciiTheme="minorEastAsia" w:hAnsiTheme="minorEastAsia"/>
          <w:szCs w:val="21"/>
        </w:rPr>
        <w:t>）：（盖</w:t>
      </w:r>
      <w:r>
        <w:rPr>
          <w:rFonts w:hint="eastAsia" w:asciiTheme="minorEastAsia" w:hAnsiTheme="minorEastAsia"/>
          <w:szCs w:val="21"/>
        </w:rPr>
        <w:t>公</w:t>
      </w:r>
      <w:r>
        <w:rPr>
          <w:rFonts w:asciiTheme="minorEastAsia" w:hAnsiTheme="minorEastAsia"/>
          <w:szCs w:val="21"/>
        </w:rPr>
        <w:t>章）</w:t>
      </w: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法定代表人（签字或盖私章）：</w:t>
      </w:r>
      <w:r>
        <w:rPr>
          <w:rFonts w:asciiTheme="minorEastAsia" w:hAnsiTheme="minorEastAsia"/>
          <w:szCs w:val="21"/>
        </w:rPr>
        <w:t xml:space="preserve">                 法定代表人</w:t>
      </w:r>
      <w:r>
        <w:rPr>
          <w:rFonts w:hint="eastAsia" w:asciiTheme="minorEastAsia" w:hAnsiTheme="minorEastAsia"/>
          <w:szCs w:val="21"/>
        </w:rPr>
        <w:t>（签字或盖私章）</w:t>
      </w:r>
      <w:r>
        <w:rPr>
          <w:rFonts w:asciiTheme="minorEastAsia" w:hAnsiTheme="minorEastAsia"/>
          <w:szCs w:val="21"/>
        </w:rPr>
        <w:t xml:space="preserve">： </w:t>
      </w:r>
    </w:p>
    <w:p>
      <w:pPr>
        <w:spacing w:line="360" w:lineRule="auto"/>
        <w:ind w:firstLine="424" w:firstLineChars="202"/>
        <w:jc w:val="left"/>
        <w:rPr>
          <w:rFonts w:asciiTheme="minorEastAsia" w:hAnsiTheme="minorEastAsia"/>
          <w:szCs w:val="21"/>
        </w:rPr>
      </w:pPr>
      <w:r>
        <w:rPr>
          <w:rFonts w:hint="eastAsia" w:asciiTheme="minorEastAsia" w:hAnsiTheme="minorEastAsia"/>
          <w:szCs w:val="21"/>
        </w:rPr>
        <w:t>委托代理人：</w:t>
      </w:r>
      <w:r>
        <w:rPr>
          <w:rFonts w:asciiTheme="minorEastAsia" w:hAnsiTheme="minorEastAsia"/>
          <w:szCs w:val="21"/>
        </w:rPr>
        <w:t xml:space="preserve">                </w:t>
      </w:r>
      <w:r>
        <w:rPr>
          <w:rFonts w:hint="eastAsia" w:asciiTheme="minorEastAsia" w:hAnsiTheme="minorEastAsia"/>
          <w:szCs w:val="21"/>
        </w:rPr>
        <w:t xml:space="preserve">              </w:t>
      </w:r>
      <w:r>
        <w:rPr>
          <w:rFonts w:asciiTheme="minorEastAsia" w:hAnsiTheme="minorEastAsia"/>
          <w:szCs w:val="21"/>
        </w:rPr>
        <w:t xml:space="preserve">  委托代理人：</w:t>
      </w:r>
    </w:p>
    <w:p>
      <w:pPr>
        <w:ind w:firstLine="424" w:firstLineChars="202"/>
        <w:rPr>
          <w:rFonts w:asciiTheme="minorEastAsia" w:hAnsiTheme="minorEastAsia"/>
          <w:b/>
          <w:szCs w:val="21"/>
        </w:rPr>
      </w:pPr>
      <w:r>
        <w:rPr>
          <w:rFonts w:hint="eastAsia" w:asciiTheme="minorEastAsia" w:hAnsiTheme="minorEastAsia"/>
          <w:szCs w:val="21"/>
        </w:rPr>
        <w:t>日期：</w:t>
      </w:r>
      <w:r>
        <w:rPr>
          <w:rFonts w:asciiTheme="minorEastAsia" w:hAnsiTheme="minorEastAsia"/>
          <w:szCs w:val="21"/>
        </w:rPr>
        <w:t xml:space="preserve">   年     月    日    </w:t>
      </w:r>
      <w:r>
        <w:rPr>
          <w:rFonts w:hint="eastAsia" w:asciiTheme="minorEastAsia" w:hAnsiTheme="minorEastAsia"/>
          <w:szCs w:val="21"/>
        </w:rPr>
        <w:t xml:space="preserve">              </w:t>
      </w:r>
      <w:r>
        <w:rPr>
          <w:rFonts w:asciiTheme="minorEastAsia" w:hAnsiTheme="minorEastAsia"/>
          <w:szCs w:val="21"/>
        </w:rPr>
        <w:t xml:space="preserve">  日期：   年     月    日</w:t>
      </w:r>
    </w:p>
    <w:p>
      <w:pPr>
        <w:jc w:val="center"/>
        <w:rPr>
          <w:b/>
          <w:sz w:val="52"/>
          <w:szCs w:val="52"/>
        </w:rPr>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tabs>
          <w:tab w:val="left" w:pos="1875"/>
        </w:tabs>
      </w:pPr>
    </w:p>
    <w:p>
      <w:pPr>
        <w:pStyle w:val="3"/>
      </w:pPr>
      <w:bookmarkStart w:id="82" w:name="_Toc73610161"/>
      <w:r>
        <w:rPr>
          <w:rFonts w:hint="eastAsia"/>
        </w:rPr>
        <w:t>第九章  附件</w:t>
      </w:r>
      <w:bookmarkEnd w:id="82"/>
    </w:p>
    <w:p>
      <w:pPr>
        <w:pStyle w:val="4"/>
        <w:spacing w:before="0" w:after="0"/>
        <w:jc w:val="center"/>
      </w:pPr>
      <w:bookmarkStart w:id="83" w:name="_Toc73610162"/>
      <w:r>
        <w:rPr>
          <w:rFonts w:hint="eastAsia"/>
        </w:rPr>
        <w:t>一、财政部 工业和信息化部关于印发《政府采购促进中小企业发展管理办法》的通知</w:t>
      </w:r>
      <w:bookmarkEnd w:id="83"/>
    </w:p>
    <w:p>
      <w:pPr>
        <w:pStyle w:val="46"/>
        <w:shd w:val="clear" w:color="auto" w:fill="FFFFFF"/>
        <w:spacing w:line="360" w:lineRule="auto"/>
        <w:jc w:val="center"/>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财库〔2020〕46号</w:t>
      </w:r>
    </w:p>
    <w:p>
      <w:pPr>
        <w:pStyle w:val="46"/>
        <w:shd w:val="clear" w:color="auto" w:fill="FFFFFF"/>
        <w:spacing w:before="0" w:beforeAutospacing="0" w:after="0" w:afterAutospacing="0" w:line="360" w:lineRule="auto"/>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各中央预算单位办公厅（室），各省、自治区、直辖市、计划单列市财政厅（局）、工业和信息化主管部门，新疆生产建设兵团财政局、工业和信息化主管部门：</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附件：政府采购促进中小企业发展管理办法</w:t>
      </w:r>
    </w:p>
    <w:p>
      <w:pPr>
        <w:pStyle w:val="46"/>
        <w:shd w:val="clear" w:color="auto" w:fill="FFFFFF"/>
        <w:spacing w:before="0" w:beforeAutospacing="0" w:after="0" w:afterAutospacing="0" w:line="360" w:lineRule="auto"/>
        <w:jc w:val="right"/>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财　　政　　部</w:t>
      </w:r>
    </w:p>
    <w:p>
      <w:pPr>
        <w:pStyle w:val="46"/>
        <w:shd w:val="clear" w:color="auto" w:fill="FFFFFF"/>
        <w:spacing w:before="0" w:beforeAutospacing="0" w:after="0" w:afterAutospacing="0" w:line="360" w:lineRule="auto"/>
        <w:jc w:val="right"/>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工业和信息化部</w:t>
      </w:r>
    </w:p>
    <w:p>
      <w:pPr>
        <w:pStyle w:val="46"/>
        <w:shd w:val="clear" w:color="auto" w:fill="FFFFFF"/>
        <w:spacing w:before="0" w:beforeAutospacing="0" w:after="0" w:afterAutospacing="0" w:line="360" w:lineRule="auto"/>
        <w:jc w:val="right"/>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2020年12月18日</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p>
    <w:p>
      <w:pPr>
        <w:pStyle w:val="46"/>
        <w:shd w:val="clear" w:color="auto" w:fill="FFFFFF"/>
        <w:spacing w:before="0" w:beforeAutospacing="0" w:after="0" w:afterAutospacing="0" w:line="360" w:lineRule="auto"/>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附件</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p>
    <w:p>
      <w:pPr>
        <w:pStyle w:val="46"/>
        <w:shd w:val="clear" w:color="auto" w:fill="FFFFFF"/>
        <w:spacing w:before="0" w:beforeAutospacing="0" w:after="0" w:afterAutospacing="0" w:line="360" w:lineRule="auto"/>
        <w:jc w:val="center"/>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政府采购促进中小企业发展管理办法</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第一条</w:t>
      </w:r>
      <w:r>
        <w:rPr>
          <w:rFonts w:hint="eastAsia" w:asciiTheme="minorEastAsia" w:hAnsiTheme="minorEastAsia" w:eastAsiaTheme="minorEastAsia"/>
          <w:color w:val="333333"/>
          <w:sz w:val="21"/>
          <w:szCs w:val="21"/>
        </w:rPr>
        <w:t>　为了发挥政府采购的政策功能，促进中小企业健康发展，根据《中华人民共和国政府采购法》、《中华人民共和国中小企业促进法》等有关法律法规，制定本办法。</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第二条</w:t>
      </w:r>
      <w:r>
        <w:rPr>
          <w:rFonts w:hint="eastAsia" w:asciiTheme="minorEastAsia" w:hAnsiTheme="minorEastAsia" w:eastAsiaTheme="minorEastAsia"/>
          <w:color w:val="333333"/>
          <w:sz w:val="21"/>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符合中小企业划分标准的个体工商户，在政府采购活动中视同中小企业。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第三条</w:t>
      </w:r>
      <w:r>
        <w:rPr>
          <w:rFonts w:hint="eastAsia" w:asciiTheme="minorEastAsia" w:hAnsiTheme="minorEastAsia" w:eastAsiaTheme="minorEastAsia"/>
          <w:color w:val="333333"/>
          <w:sz w:val="21"/>
          <w:szCs w:val="21"/>
        </w:rPr>
        <w:t>　采购人在政府采购活动中应当通过加强采购需求管理，落实预留采购份额、价格评审优惠、优先采购等措施，提高中小企业在政府采购中的份额，支持中小企业发展。</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第四条</w:t>
      </w:r>
      <w:r>
        <w:rPr>
          <w:rFonts w:hint="eastAsia" w:asciiTheme="minorEastAsia" w:hAnsiTheme="minorEastAsia" w:eastAsiaTheme="minorEastAsia"/>
          <w:color w:val="333333"/>
          <w:sz w:val="21"/>
          <w:szCs w:val="21"/>
        </w:rPr>
        <w:t>　在政府采购活动中，供应商提供的货物、工程或者服务符合下列情形的，享受本办法规定的中小企业扶持政策：</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（一）在货物采购项目中，货物由中小企业制造，即货物由中小企业生产且使用该中小企业商号或者注册商标；</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（二）在工程采购项目中，工程由中小企业承建，即工程施工单位为中小企业；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（三）在服务采购项目中，服务由中小企业承接，即提供服务的人员为中小企业依照《中华人民共和国劳动合同法》订立劳动合同的从业人员。</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在货物采购项目中，供应商提供的货物既有中小企业制造货物，也有大型企业制造货物的，不享受本办法规定的中小企业扶持政策。</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以联合体形式参加政府采购活动，联合体各方均为中小企业的，联合体视同中小企业。其中，联合体各方均为小微企业的，联合体视同小微企业。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第五条</w:t>
      </w:r>
      <w:r>
        <w:rPr>
          <w:rFonts w:hint="eastAsia" w:asciiTheme="minorEastAsia" w:hAnsiTheme="minorEastAsia" w:eastAsiaTheme="minorEastAsia"/>
          <w:color w:val="333333"/>
          <w:sz w:val="21"/>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第六条</w:t>
      </w:r>
      <w:r>
        <w:rPr>
          <w:rFonts w:hint="eastAsia" w:asciiTheme="minorEastAsia" w:hAnsiTheme="minorEastAsia" w:eastAsiaTheme="minorEastAsia"/>
          <w:color w:val="333333"/>
          <w:sz w:val="21"/>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符合下列情形之一的，可不专门面向中小企业预留采购份额：</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（一）法律法规和国家有关政策明确规定优先或者应当面向事业单位、社会组织等非企业主体采购的；</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（二）因确需使用不可替代的专利、专有技术，基础设施限制，或者提供特定公共服务等原因，只能从中小企业之外的供应商处采购的；</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（三）按照本办法规定预留采购份额无法确保充分供应、充分竞争，或者存在可能影响政府采购目标实现的情形；</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（四）框架协议采购项目；</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（五）省级以上人民政府财政部门规定的其他情形。</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除上述情形外，其他均为适宜由中小企业提供的情形。</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第七条</w:t>
      </w:r>
      <w:r>
        <w:rPr>
          <w:rFonts w:hint="eastAsia" w:asciiTheme="minorEastAsia" w:hAnsiTheme="minorEastAsia" w:eastAsiaTheme="minorEastAsia"/>
          <w:color w:val="333333"/>
          <w:sz w:val="21"/>
          <w:szCs w:val="21"/>
        </w:rPr>
        <w:t>　采购限额标准以上，200万元以下的货物和服务采购项目、400万元以下的工程采购项目，适宜由中小企业提供的，采购人应当专门面向中小企业采购。</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第八条</w:t>
      </w:r>
      <w:r>
        <w:rPr>
          <w:rFonts w:hint="eastAsia" w:asciiTheme="minorEastAsia" w:hAnsiTheme="minorEastAsia" w:eastAsiaTheme="minorEastAsia"/>
          <w:color w:val="333333"/>
          <w:sz w:val="21"/>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（一）将采购项目整体或者设置采购包专门面向中小企业采购；</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（二）要求供应商以联合体形式参加采购活动，且联合体中中小企业承担的部分达到一定比例；</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（三）要求获得采购合同的供应商将采购项目中的一定比例分包给一家或者多家中小企业。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组成联合体或者接受分包合同的中小企业与联合体内其他企业、分包企业之间不得存在直接控股、管理关系。</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第九条</w:t>
      </w:r>
      <w:r>
        <w:rPr>
          <w:rFonts w:hint="eastAsia" w:asciiTheme="minorEastAsia" w:hAnsiTheme="minorEastAsia" w:eastAsiaTheme="minorEastAsia"/>
          <w:color w:val="333333"/>
          <w:sz w:val="21"/>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第十条</w:t>
      </w:r>
      <w:r>
        <w:rPr>
          <w:rFonts w:hint="eastAsia" w:asciiTheme="minorEastAsia" w:hAnsiTheme="minorEastAsia" w:eastAsiaTheme="minorEastAsia"/>
          <w:color w:val="333333"/>
          <w:sz w:val="21"/>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第十一条</w:t>
      </w:r>
      <w:r>
        <w:rPr>
          <w:rFonts w:hint="eastAsia" w:asciiTheme="minorEastAsia" w:hAnsiTheme="minorEastAsia" w:eastAsiaTheme="minorEastAsia"/>
          <w:color w:val="333333"/>
          <w:sz w:val="21"/>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第十二条</w:t>
      </w:r>
      <w:r>
        <w:rPr>
          <w:rFonts w:hint="eastAsia" w:asciiTheme="minorEastAsia" w:hAnsiTheme="minorEastAsia" w:eastAsiaTheme="minorEastAsia"/>
          <w:color w:val="333333"/>
          <w:sz w:val="21"/>
          <w:szCs w:val="21"/>
        </w:rPr>
        <w:t>　采购项目涉及中小企业采购的，采购文件应当明确以下内容：</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（一）预留份额的采购项目或者采购包，明确该项目或相关采购包专门面向中小企业采购，以及相关标的及预算金额；</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（二）要求以联合体形式参加或者合同分包的，明确联合协议或者分包意向协议中中小企业合同金额应当达到的比例，并作为供应商资格条件；</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（三）非预留份额的采购项目或者采购包，明确有关价格扣除比例或者价格分加分比例；</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（四）规定依据本办法规定享受扶持政策获得政府采购合同的，小微企业不得将合同分包给大中型企业，中型企业不得将合同分包给大型企业；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（五）采购人认为具备相关条件的，明确对中小企业在资金支付期限、预付款比例等方面的优惠措施；</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（六）明确采购标的对应的中小企业划分标准所属行业；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（七）法律法规和省级以上人民政府财政部门规定的其他事项。</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第十三条</w:t>
      </w:r>
      <w:r>
        <w:rPr>
          <w:rFonts w:hint="eastAsia" w:asciiTheme="minorEastAsia" w:hAnsiTheme="minorEastAsia" w:eastAsiaTheme="minorEastAsia"/>
          <w:color w:val="333333"/>
          <w:sz w:val="21"/>
          <w:szCs w:val="21"/>
        </w:rPr>
        <w:t>　中标、成交供应商享受本办法规定的中小企业扶持政策的，采购人、采购代理机构应当随中标、成交结果公开中标、成交供应商的《中小企业声明函》。</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适用招标投标法的政府采购工程建设项目，应当在公示中标候选人时公开中标候选人的《中小企业声明函》。</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第十四条</w:t>
      </w:r>
      <w:r>
        <w:rPr>
          <w:rFonts w:hint="eastAsia" w:asciiTheme="minorEastAsia" w:hAnsiTheme="minorEastAsia" w:eastAsiaTheme="minorEastAsia"/>
          <w:color w:val="333333"/>
          <w:sz w:val="21"/>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第十五条</w:t>
      </w:r>
      <w:r>
        <w:rPr>
          <w:rFonts w:hint="eastAsia" w:asciiTheme="minorEastAsia" w:hAnsiTheme="minorEastAsia" w:eastAsiaTheme="minorEastAsia"/>
          <w:color w:val="333333"/>
          <w:sz w:val="21"/>
          <w:szCs w:val="21"/>
        </w:rPr>
        <w:t>　鼓励各地区、各部门在采购活动中允许中小企业引入信用担保手段，为中小企业在投标（响应）保证、履约保证等方面提供专业化服务。鼓励中小企业依法合规通过政府采购合同融资。</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第十六条</w:t>
      </w:r>
      <w:r>
        <w:rPr>
          <w:rFonts w:hint="eastAsia" w:asciiTheme="minorEastAsia" w:hAnsiTheme="minorEastAsia" w:eastAsiaTheme="minorEastAsia"/>
          <w:color w:val="333333"/>
          <w:sz w:val="21"/>
          <w:szCs w:val="21"/>
        </w:rPr>
        <w:t>　政府采购监督检查、投诉处理及政府采购行政处罚中对中小企业的认定，由货物制造商或者工程、服务供应商注册登记所在地的县级以上人民政府中小企业主管部门负责。</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中小企业主管部门应当在收到财政部门或者有关招标投标行政监督部门关于协助开展中小企业认定函后10个工作日内做出书面答复。</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第十七条</w:t>
      </w:r>
      <w:r>
        <w:rPr>
          <w:rFonts w:hint="eastAsia" w:asciiTheme="minorEastAsia" w:hAnsiTheme="minorEastAsia" w:eastAsiaTheme="minorEastAsia"/>
          <w:color w:val="333333"/>
          <w:sz w:val="21"/>
          <w:szCs w:val="21"/>
        </w:rPr>
        <w:t>　各地区、各部门应当对涉及中小企业采购的预算项目实施全过程绩效管理，合理设置绩效目标和指标，落实扶持中小企业有关政策要求，定期开展绩效监控和评价，强化绩效评价结果应用。</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第十八条</w:t>
      </w:r>
      <w:r>
        <w:rPr>
          <w:rFonts w:hint="eastAsia" w:asciiTheme="minorEastAsia" w:hAnsiTheme="minorEastAsia" w:eastAsiaTheme="minorEastAsia"/>
          <w:color w:val="333333"/>
          <w:sz w:val="21"/>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第十九条</w:t>
      </w:r>
      <w:r>
        <w:rPr>
          <w:rFonts w:hint="eastAsia" w:asciiTheme="minorEastAsia" w:hAnsiTheme="minorEastAsia" w:eastAsiaTheme="minorEastAsia"/>
          <w:color w:val="333333"/>
          <w:sz w:val="21"/>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第二十条</w:t>
      </w:r>
      <w:r>
        <w:rPr>
          <w:rFonts w:hint="eastAsia" w:asciiTheme="minorEastAsia" w:hAnsiTheme="minorEastAsia" w:eastAsiaTheme="minorEastAsia"/>
          <w:color w:val="333333"/>
          <w:sz w:val="21"/>
          <w:szCs w:val="21"/>
        </w:rPr>
        <w:t>　供应商按照本办法规定提供声明函内容不实的，属于提供虚假材料谋取中标、成交，依照《中华人民共和国政府采购法》等国家有关规定追究相应责任。</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color w:val="333333"/>
          <w:sz w:val="21"/>
          <w:szCs w:val="21"/>
        </w:rPr>
        <w:t>适用招标投标法的政府采购工程建设项目，投标人按照本办法规定提供声明函内容不实的，属于弄虚作假骗取中标，依照《中华人民共和国招标投标法》等国家有关规定追究相应责任。</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第二十一条</w:t>
      </w:r>
      <w:r>
        <w:rPr>
          <w:rFonts w:hint="eastAsia" w:asciiTheme="minorEastAsia" w:hAnsiTheme="minorEastAsia" w:eastAsiaTheme="minorEastAsia"/>
          <w:color w:val="333333"/>
          <w:sz w:val="21"/>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第二十二条</w:t>
      </w:r>
      <w:r>
        <w:rPr>
          <w:rFonts w:hint="eastAsia" w:asciiTheme="minorEastAsia" w:hAnsiTheme="minorEastAsia" w:eastAsiaTheme="minorEastAsia"/>
          <w:color w:val="333333"/>
          <w:sz w:val="21"/>
          <w:szCs w:val="21"/>
        </w:rPr>
        <w:t>　对外援助项目、国家相关资格或者资质管理制度另有规定的项目，不适用本办法。</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第二十三条</w:t>
      </w:r>
      <w:r>
        <w:rPr>
          <w:rFonts w:hint="eastAsia" w:asciiTheme="minorEastAsia" w:hAnsiTheme="minorEastAsia" w:eastAsiaTheme="minorEastAsia"/>
          <w:color w:val="333333"/>
          <w:sz w:val="21"/>
          <w:szCs w:val="21"/>
        </w:rPr>
        <w:t>　关于视同中小企业的其他主体的政府采购扶持政策，由财政部会同有关部门另行规定。</w:t>
      </w:r>
    </w:p>
    <w:p>
      <w:pPr>
        <w:pStyle w:val="46"/>
        <w:shd w:val="clear" w:color="auto" w:fill="FFFFFF"/>
        <w:spacing w:before="0" w:beforeAutospacing="0" w:after="0" w:afterAutospacing="0" w:line="360" w:lineRule="auto"/>
        <w:ind w:firstLine="480"/>
        <w:jc w:val="both"/>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第二十四条</w:t>
      </w:r>
      <w:r>
        <w:rPr>
          <w:rFonts w:hint="eastAsia" w:asciiTheme="minorEastAsia" w:hAnsiTheme="minorEastAsia" w:eastAsiaTheme="minorEastAsia"/>
          <w:color w:val="333333"/>
          <w:sz w:val="21"/>
          <w:szCs w:val="21"/>
        </w:rPr>
        <w:t>　省级财政部门可以会同中小企业主管部门根据本办法的规定制定具体实施办法。</w:t>
      </w:r>
    </w:p>
    <w:p>
      <w:pPr>
        <w:pStyle w:val="46"/>
        <w:shd w:val="clear" w:color="auto" w:fill="FFFFFF"/>
        <w:spacing w:before="0" w:beforeAutospacing="0" w:after="0" w:afterAutospacing="0" w:line="360" w:lineRule="auto"/>
        <w:ind w:firstLine="480"/>
        <w:rPr>
          <w:rFonts w:asciiTheme="minorEastAsia" w:hAnsiTheme="minorEastAsia" w:eastAsiaTheme="minorEastAsia"/>
          <w:color w:val="333333"/>
          <w:sz w:val="21"/>
          <w:szCs w:val="21"/>
        </w:rPr>
      </w:pPr>
      <w:r>
        <w:rPr>
          <w:rFonts w:hint="eastAsia" w:asciiTheme="minorEastAsia" w:hAnsiTheme="minorEastAsia" w:eastAsiaTheme="minorEastAsia"/>
          <w:b/>
          <w:bCs/>
          <w:color w:val="333333"/>
          <w:sz w:val="21"/>
          <w:szCs w:val="21"/>
        </w:rPr>
        <w:t>第二十五条</w:t>
      </w:r>
      <w:r>
        <w:rPr>
          <w:rFonts w:hint="eastAsia" w:asciiTheme="minorEastAsia" w:hAnsiTheme="minorEastAsia" w:eastAsiaTheme="minorEastAsia"/>
          <w:color w:val="333333"/>
          <w:sz w:val="21"/>
          <w:szCs w:val="21"/>
        </w:rPr>
        <w:t>　本办法自2021年1月1日起施行。《财政部 工业和信息化部关于印发〈政府采购促进中小企业发展暂行办法〉的通知》（财库〔2011〕181号）同时废止。</w:t>
      </w:r>
    </w:p>
    <w:p>
      <w:pPr>
        <w:pStyle w:val="46"/>
        <w:shd w:val="clear" w:color="auto" w:fill="FFFFFF"/>
        <w:spacing w:before="0" w:beforeAutospacing="0" w:after="0" w:afterAutospacing="0" w:line="360" w:lineRule="auto"/>
        <w:ind w:firstLine="480"/>
        <w:rPr>
          <w:rFonts w:asciiTheme="minorEastAsia" w:hAnsiTheme="minorEastAsia" w:eastAsiaTheme="minorEastAsia"/>
          <w:color w:val="333333"/>
          <w:sz w:val="21"/>
          <w:szCs w:val="21"/>
        </w:rPr>
      </w:pPr>
    </w:p>
    <w:p>
      <w:pPr>
        <w:spacing w:line="360" w:lineRule="auto"/>
        <w:rPr>
          <w:rFonts w:asciiTheme="minorEastAsia" w:hAnsiTheme="minorEastAsia" w:eastAsiaTheme="minorEastAsia"/>
          <w:szCs w:val="21"/>
        </w:rPr>
      </w:pPr>
    </w:p>
    <w:p>
      <w:pPr>
        <w:pStyle w:val="4"/>
        <w:spacing w:before="0" w:after="0"/>
        <w:jc w:val="center"/>
      </w:pPr>
      <w:bookmarkStart w:id="84" w:name="_Toc73610163"/>
      <w:r>
        <w:rPr>
          <w:rFonts w:hint="eastAsia"/>
        </w:rPr>
        <w:t>二、关于印发中小企业划型标准规定的通知</w:t>
      </w:r>
      <w:bookmarkEnd w:id="84"/>
    </w:p>
    <w:p>
      <w:pPr>
        <w:pStyle w:val="46"/>
        <w:shd w:val="clear" w:color="auto" w:fill="FFFFFF"/>
        <w:spacing w:line="360" w:lineRule="auto"/>
        <w:jc w:val="center"/>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工信部联企业〔2011〕300号</w:t>
      </w:r>
    </w:p>
    <w:p>
      <w:pPr>
        <w:pStyle w:val="46"/>
        <w:shd w:val="clear" w:color="auto" w:fill="FFFFFF"/>
        <w:spacing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各省、自治区、直辖市人民政府，国务院各部委、各直属机构及有关单位：</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pStyle w:val="46"/>
        <w:shd w:val="clear" w:color="auto" w:fill="FFFFFF"/>
        <w:spacing w:line="360" w:lineRule="auto"/>
        <w:jc w:val="right"/>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工业和信息化部　国家统计局</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国家发展和改革委员会　财政部</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二○一一年六月十八日</w:t>
      </w:r>
    </w:p>
    <w:p>
      <w:pPr>
        <w:pStyle w:val="46"/>
        <w:shd w:val="clear" w:color="auto" w:fill="FFFFFF"/>
        <w:spacing w:line="360" w:lineRule="auto"/>
        <w:jc w:val="center"/>
        <w:rPr>
          <w:rFonts w:asciiTheme="minorEastAsia" w:hAnsiTheme="minorEastAsia" w:eastAsiaTheme="minorEastAsia"/>
          <w:color w:val="000000"/>
          <w:sz w:val="21"/>
          <w:szCs w:val="21"/>
        </w:rPr>
      </w:pPr>
      <w:r>
        <w:rPr>
          <w:rStyle w:val="54"/>
          <w:rFonts w:hint="eastAsia" w:asciiTheme="minorEastAsia" w:hAnsiTheme="minorEastAsia" w:eastAsiaTheme="minorEastAsia"/>
          <w:color w:val="000000"/>
          <w:sz w:val="21"/>
          <w:szCs w:val="21"/>
        </w:rPr>
        <w:t>中小企业划型标准规定</w:t>
      </w:r>
    </w:p>
    <w:p>
      <w:pPr>
        <w:pStyle w:val="46"/>
        <w:shd w:val="clear" w:color="auto" w:fill="FFFFFF"/>
        <w:spacing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一、根据《中华人民共和国中小企业促进法》和《国务院关于进一步促进中小企业发展的若干意见》(国发〔2009〕36号)，制定本规定。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二、中小企业划分为中型、小型、微型三种类型，具体标准根据企业从业人员、营业收入、资产总额等指标，结合行业特点制定。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四、各行业划型标准为：</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（一）农、林、牧、渔业。营业收入20000万元以下的为中小微型企业。其中，营业收入500万元及以上的为中型企业，营业收入50万元及以上的为小型企业，营业收入50万元以下的为微型企业。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（十六）其他未列明行业。从业人员300人以下的为中小微型企业。其中，从业人员100人及以上的为中型企业；从业人员10人及以上的为小型企业；从业人员10人以下的为微型企业。</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五、企业类型的划分以统计部门的统计数据为依据。</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六、本规定适用于在中华人民共和国境内依法设立的各类所有制和各种组织形式的企业。个体工商户和本规定以外的行业，参照本规定进行划型。</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八、本规定由工业和信息化部、国家统计局会同有关部门根据《国民经济行业分类》修订情况和企业发展变化情况适时修订。</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九、本规定由工业和信息化部、国家统计局会同有关部门负责解释。</w:t>
      </w:r>
      <w:r>
        <w:rPr>
          <w:rFonts w:hint="eastAsia" w:asciiTheme="minorEastAsia" w:hAnsiTheme="minorEastAsia" w:eastAsiaTheme="minorEastAsia"/>
          <w:color w:val="000000"/>
          <w:sz w:val="21"/>
          <w:szCs w:val="21"/>
        </w:rPr>
        <w:br w:type="textWrapping"/>
      </w:r>
      <w:r>
        <w:rPr>
          <w:rFonts w:hint="eastAsia" w:asciiTheme="minorEastAsia" w:hAnsiTheme="minorEastAsia" w:eastAsiaTheme="minorEastAsia"/>
          <w:color w:val="000000"/>
          <w:sz w:val="21"/>
          <w:szCs w:val="21"/>
        </w:rPr>
        <w:t>　　十、本规定自发布之日起执行，原国家经贸委、原国家计委、财政部和国家统计局2003年颁布的《中小企业标准暂行规定》同时废止。</w:t>
      </w:r>
    </w:p>
    <w:p>
      <w:pPr>
        <w:pStyle w:val="46"/>
        <w:shd w:val="clear" w:color="auto" w:fill="FFFFFF"/>
        <w:spacing w:line="360" w:lineRule="auto"/>
        <w:rPr>
          <w:rFonts w:asciiTheme="minorEastAsia" w:hAnsiTheme="minorEastAsia" w:eastAsiaTheme="minorEastAsia"/>
          <w:color w:val="000000"/>
          <w:sz w:val="21"/>
          <w:szCs w:val="21"/>
        </w:rPr>
      </w:pPr>
    </w:p>
    <w:p>
      <w:pPr>
        <w:pStyle w:val="4"/>
        <w:spacing w:before="0" w:after="0"/>
        <w:jc w:val="center"/>
        <w:rPr>
          <w:rFonts w:asciiTheme="minorEastAsia" w:hAnsiTheme="minorEastAsia" w:eastAsiaTheme="minorEastAsia"/>
        </w:rPr>
      </w:pPr>
      <w:bookmarkStart w:id="85" w:name="_Toc73610164"/>
      <w:r>
        <w:rPr>
          <w:rFonts w:hint="eastAsia" w:asciiTheme="minorEastAsia" w:hAnsiTheme="minorEastAsia" w:eastAsiaTheme="minorEastAsia"/>
          <w:bCs w:val="0"/>
        </w:rPr>
        <w:t>三、</w:t>
      </w:r>
      <w:r>
        <w:rPr>
          <w:rFonts w:asciiTheme="minorEastAsia" w:hAnsiTheme="minorEastAsia" w:eastAsiaTheme="minorEastAsia"/>
          <w:bCs w:val="0"/>
        </w:rPr>
        <w:t>国家统计局关于印发《统计上大中小微型企业划分办法 （2017）》的通知</w:t>
      </w:r>
      <w:bookmarkEnd w:id="85"/>
      <w:r>
        <w:rPr>
          <w:rFonts w:asciiTheme="minorEastAsia" w:hAnsiTheme="minorEastAsia" w:eastAsiaTheme="minorEastAsia"/>
          <w:bCs w:val="0"/>
        </w:rPr>
        <w:t> </w:t>
      </w:r>
    </w:p>
    <w:p>
      <w:pPr>
        <w:widowControl/>
        <w:shd w:val="clear" w:color="auto" w:fill="FFFFFF"/>
        <w:spacing w:line="360" w:lineRule="auto"/>
        <w:jc w:val="left"/>
        <w:rPr>
          <w:rFonts w:cs="Arial" w:asciiTheme="minorEastAsia" w:hAnsiTheme="minorEastAsia" w:eastAsiaTheme="minorEastAsia"/>
          <w:color w:val="999999"/>
          <w:kern w:val="0"/>
          <w:szCs w:val="21"/>
        </w:rPr>
      </w:pP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各省、自治区、直辖市统计局，新疆生产建设兵团统计局，国务院各有关部门，国家统计局各调查总队：</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附件：《统计上大中小微型企业划分办法（2017）》修订说明</w:t>
      </w:r>
    </w:p>
    <w:p>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国家统计局</w:t>
      </w:r>
    </w:p>
    <w:p>
      <w:pPr>
        <w:widowControl/>
        <w:spacing w:line="360" w:lineRule="auto"/>
        <w:jc w:val="righ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2017年12月28日</w:t>
      </w:r>
    </w:p>
    <w:p>
      <w:pPr>
        <w:widowControl/>
        <w:spacing w:line="360" w:lineRule="auto"/>
        <w:jc w:val="center"/>
        <w:rPr>
          <w:rFonts w:cs="宋体" w:asciiTheme="minorEastAsia" w:hAnsiTheme="minorEastAsia" w:eastAsiaTheme="minorEastAsia"/>
          <w:b/>
          <w:bCs/>
          <w:kern w:val="0"/>
          <w:szCs w:val="21"/>
        </w:rPr>
      </w:pPr>
    </w:p>
    <w:p>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w:t>
      </w:r>
    </w:p>
    <w:p>
      <w:pPr>
        <w:widowControl/>
        <w:spacing w:line="360" w:lineRule="auto"/>
        <w:jc w:val="left"/>
        <w:rPr>
          <w:rFonts w:cs="宋体" w:asciiTheme="minorEastAsia" w:hAnsiTheme="minorEastAsia" w:eastAsiaTheme="minorEastAsia"/>
          <w:kern w:val="0"/>
          <w:szCs w:val="21"/>
        </w:rPr>
      </w:pPr>
    </w:p>
    <w:p>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二、本办法适用对象为在中华人民共和国境内依法设立的各种组织形式的法人企业或单位。个体工商户参照本办法进行划分。</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四、本办法按照行业门类、大类、中类和组合类别，依据从业人员、营业收入、资产总额等指标或替代指标，将我国的企业划分为大型、中型、小型、微型等四种类型。具体划分标准见附表。</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五、企业划分由政府综合统计部门根据统计年报每年确定一次，定报统计原则上不进行调整。</w:t>
      </w:r>
    </w:p>
    <w:p>
      <w:pPr>
        <w:widowControl/>
        <w:spacing w:line="360" w:lineRule="auto"/>
        <w:ind w:left="1"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六、本办法自印发之日起执行，国家统计局2011年印发的《统计上大中小微型企业划分办法》（国统字〔2011〕75号）同时废止。</w:t>
      </w:r>
    </w:p>
    <w:p>
      <w:pPr>
        <w:widowControl/>
        <w:spacing w:line="360" w:lineRule="auto"/>
        <w:jc w:val="left"/>
        <w:rPr>
          <w:rFonts w:cs="宋体" w:asciiTheme="minorEastAsia" w:hAnsiTheme="minorEastAsia" w:eastAsiaTheme="minorEastAsia"/>
          <w:kern w:val="0"/>
          <w:szCs w:val="21"/>
        </w:rPr>
      </w:pP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附件</w:t>
      </w:r>
    </w:p>
    <w:p>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《统计上大中小微型企业划分办法（2017）》修订说明</w:t>
      </w:r>
    </w:p>
    <w:p>
      <w:pPr>
        <w:widowControl/>
        <w:spacing w:line="360" w:lineRule="auto"/>
        <w:jc w:val="left"/>
        <w:rPr>
          <w:rFonts w:cs="宋体" w:asciiTheme="minorEastAsia" w:hAnsiTheme="minorEastAsia" w:eastAsiaTheme="minorEastAsia"/>
          <w:kern w:val="0"/>
          <w:szCs w:val="21"/>
        </w:rPr>
      </w:pP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一、修订背景</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二、修订主要内容</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将交通运输业中包括的“装卸搬运和运输代理业”修改为“多式联运和运输代理业、装卸搬运”。</w:t>
      </w: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仓储业所包括的行业中类，根据《国民经济行业分类》（GB/T 4754—2017）调整为“通用仓储，低温仓储，危险品仓储，谷物、棉花等农产品仓储，中药材仓储和其他仓储业”。</w:t>
      </w:r>
    </w:p>
    <w:p>
      <w:pPr>
        <w:widowControl/>
        <w:spacing w:line="360" w:lineRule="auto"/>
        <w:jc w:val="left"/>
        <w:rPr>
          <w:rFonts w:cs="宋体" w:asciiTheme="minorEastAsia" w:hAnsiTheme="minorEastAsia" w:eastAsiaTheme="minorEastAsia"/>
          <w:kern w:val="0"/>
          <w:szCs w:val="21"/>
        </w:rPr>
      </w:pP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附表</w:t>
      </w:r>
    </w:p>
    <w:p>
      <w:pPr>
        <w:widowControl/>
        <w:spacing w:line="360" w:lineRule="auto"/>
        <w:jc w:val="center"/>
        <w:rPr>
          <w:rFonts w:cs="宋体" w:asciiTheme="minorEastAsia" w:hAnsiTheme="minorEastAsia" w:eastAsiaTheme="minorEastAsia"/>
          <w:kern w:val="0"/>
          <w:szCs w:val="21"/>
        </w:rPr>
      </w:pPr>
      <w:r>
        <w:rPr>
          <w:rFonts w:cs="宋体" w:asciiTheme="minorEastAsia" w:hAnsiTheme="minorEastAsia" w:eastAsiaTheme="minorEastAsia"/>
          <w:b/>
          <w:bCs/>
          <w:kern w:val="0"/>
          <w:szCs w:val="21"/>
        </w:rPr>
        <w:t>统计上大中小微型企业划分标准</w:t>
      </w:r>
    </w:p>
    <w:tbl>
      <w:tblPr>
        <w:tblStyle w:val="51"/>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CellMar>
            <w:top w:w="0" w:type="dxa"/>
            <w:left w:w="108" w:type="dxa"/>
            <w:bottom w:w="0" w:type="dxa"/>
            <w:right w:w="108" w:type="dxa"/>
          </w:tblCellMar>
        </w:tblPrEx>
        <w:trPr>
          <w:trHeight w:val="622" w:hRule="exact"/>
          <w:jc w:val="center"/>
        </w:trPr>
        <w:tc>
          <w:tcPr>
            <w:tcW w:w="211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bCs/>
                <w:color w:val="000000"/>
                <w:kern w:val="0"/>
                <w:sz w:val="18"/>
                <w:szCs w:val="21"/>
              </w:rPr>
            </w:pPr>
            <w:r>
              <w:rPr>
                <w:rFonts w:hint="eastAsia" w:ascii="宋体" w:hAnsi="宋体" w:cs="宋体"/>
                <w:b/>
                <w:bCs/>
                <w:color w:val="000000"/>
                <w:kern w:val="0"/>
                <w:sz w:val="18"/>
                <w:szCs w:val="21"/>
              </w:rPr>
              <w:t>行业名称</w:t>
            </w:r>
          </w:p>
        </w:tc>
        <w:tc>
          <w:tcPr>
            <w:tcW w:w="13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计量</w:t>
            </w:r>
            <w:r>
              <w:rPr>
                <w:rFonts w:hint="eastAsia" w:ascii="宋体" w:hAnsi="宋体" w:cs="宋体"/>
                <w:b/>
                <w:bCs/>
                <w:color w:val="000000"/>
                <w:kern w:val="0"/>
                <w:sz w:val="18"/>
                <w:szCs w:val="18"/>
              </w:rPr>
              <w:br w:type="textWrapping"/>
            </w:r>
            <w:r>
              <w:rPr>
                <w:rFonts w:hint="eastAsia" w:ascii="宋体" w:hAnsi="宋体" w:cs="宋体"/>
                <w:b/>
                <w:bCs/>
                <w:color w:val="000000"/>
                <w:kern w:val="0"/>
                <w:sz w:val="18"/>
                <w:szCs w:val="18"/>
              </w:rPr>
              <w:t>单位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大型</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中型</w:t>
            </w:r>
          </w:p>
        </w:tc>
        <w:tc>
          <w:tcPr>
            <w:tcW w:w="14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小型</w:t>
            </w:r>
          </w:p>
        </w:tc>
        <w:tc>
          <w:tcPr>
            <w:tcW w:w="992" w:type="dxa"/>
            <w:tcBorders>
              <w:top w:val="single" w:color="auto" w:sz="4" w:space="0"/>
              <w:left w:val="nil"/>
              <w:bottom w:val="single" w:color="auto" w:sz="4" w:space="0"/>
              <w:right w:val="nil"/>
            </w:tcBorders>
            <w:shd w:val="clear" w:color="auto" w:fill="auto"/>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微型</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农、林、牧、渔业</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50≤Y＜500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工业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2000≤Y＜40000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建筑业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Y≥80000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6000≤Y＜80000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Z≥80000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5000≤Z＜80000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300≤Z＜5000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Z＜300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批发业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X＜5</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Y≥40000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5000≤Y＜40000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1000≤Y＜5000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零售业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50≤X＜300</w:t>
            </w:r>
          </w:p>
        </w:tc>
        <w:tc>
          <w:tcPr>
            <w:tcW w:w="1426" w:type="dxa"/>
            <w:tcBorders>
              <w:top w:val="nil"/>
              <w:left w:val="nil"/>
              <w:bottom w:val="nil"/>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500≤Y＜20000</w:t>
            </w:r>
          </w:p>
        </w:tc>
        <w:tc>
          <w:tcPr>
            <w:tcW w:w="1426" w:type="dxa"/>
            <w:tcBorders>
              <w:top w:val="nil"/>
              <w:left w:val="nil"/>
              <w:bottom w:val="single" w:color="auto" w:sz="4" w:space="0"/>
              <w:right w:val="single" w:color="auto" w:sz="4" w:space="0"/>
            </w:tcBorders>
            <w:shd w:val="clear" w:color="auto" w:fill="auto"/>
            <w:vAlign w:val="center"/>
          </w:tcPr>
          <w:p>
            <w:pPr>
              <w:widowControl/>
              <w:ind w:left="-1" w:leftChars="-1" w:hanging="1"/>
              <w:jc w:val="center"/>
              <w:rPr>
                <w:rFonts w:ascii="宋体" w:hAnsi="宋体" w:cs="宋体"/>
                <w:color w:val="000000"/>
                <w:kern w:val="0"/>
                <w:sz w:val="18"/>
                <w:szCs w:val="18"/>
              </w:rPr>
            </w:pPr>
            <w:r>
              <w:rPr>
                <w:rFonts w:hint="eastAsia" w:ascii="宋体" w:hAnsi="宋体" w:cs="宋体"/>
                <w:color w:val="000000"/>
                <w:kern w:val="0"/>
                <w:sz w:val="18"/>
                <w:szCs w:val="18"/>
              </w:rPr>
              <w:t xml:space="preserve">100≤Y＜500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交通运输业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200≤Y＜3000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仓储业*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100≤X＜200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邮政业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Y≥30000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2000≤Y＜30000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住宿业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餐饮业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100≤Y＜2000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97"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信息传输业 *</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X≥2000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100≤X＜2000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97"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1000≤Y＜100000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spacing w:val="-12"/>
                <w:kern w:val="0"/>
                <w:sz w:val="18"/>
                <w:szCs w:val="18"/>
              </w:rPr>
            </w:pPr>
            <w:r>
              <w:rPr>
                <w:rFonts w:hint="eastAsia" w:ascii="宋体" w:hAnsi="宋体" w:cs="宋体"/>
                <w:color w:val="000000"/>
                <w:spacing w:val="-12"/>
                <w:kern w:val="0"/>
                <w:sz w:val="18"/>
                <w:szCs w:val="18"/>
              </w:rPr>
              <w:t>软件和信息技术服</w:t>
            </w:r>
            <w:r>
              <w:rPr>
                <w:rFonts w:hint="eastAsia" w:ascii="宋体" w:hAnsi="宋体" w:cs="宋体"/>
                <w:color w:val="000000"/>
                <w:kern w:val="0"/>
                <w:sz w:val="18"/>
                <w:szCs w:val="18"/>
              </w:rPr>
              <w:t>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spacing w:val="-12"/>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1000≤Y＜10000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房地产开发经营</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Y≥200000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1000≤Y＜200000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5000≤Z＜10000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2000≤Z＜5000   </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Z＜2000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物业管理</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X≥1000</w:t>
            </w:r>
          </w:p>
        </w:tc>
        <w:tc>
          <w:tcPr>
            <w:tcW w:w="1701"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300≤X＜1000</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营业收入(Y)</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1000≤Y＜5000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500≤Y＜1000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Y＜500</w:t>
            </w:r>
          </w:p>
        </w:tc>
      </w:tr>
      <w:tr>
        <w:tblPrEx>
          <w:tblCellMar>
            <w:top w:w="0" w:type="dxa"/>
            <w:left w:w="108" w:type="dxa"/>
            <w:bottom w:w="0" w:type="dxa"/>
            <w:right w:w="108" w:type="dxa"/>
          </w:tblCellMar>
        </w:tblPrEx>
        <w:trPr>
          <w:trHeight w:val="340" w:hRule="exact"/>
          <w:jc w:val="center"/>
        </w:trPr>
        <w:tc>
          <w:tcPr>
            <w:tcW w:w="2113" w:type="dxa"/>
            <w:vMerge w:val="restart"/>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租赁和商务服务业</w:t>
            </w:r>
          </w:p>
        </w:tc>
        <w:tc>
          <w:tcPr>
            <w:tcW w:w="136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nil"/>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r>
        <w:tblPrEx>
          <w:tblCellMar>
            <w:top w:w="0" w:type="dxa"/>
            <w:left w:w="108" w:type="dxa"/>
            <w:bottom w:w="0" w:type="dxa"/>
            <w:right w:w="108" w:type="dxa"/>
          </w:tblCellMar>
        </w:tblPrEx>
        <w:trPr>
          <w:trHeight w:val="340" w:hRule="exact"/>
          <w:jc w:val="center"/>
        </w:trPr>
        <w:tc>
          <w:tcPr>
            <w:tcW w:w="2113" w:type="dxa"/>
            <w:vMerge w:val="continue"/>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资产总额(Z)</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万元</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8000≤Z＜120000</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100≤Z＜8000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Z＜100</w:t>
            </w:r>
          </w:p>
        </w:tc>
      </w:tr>
      <w:tr>
        <w:tblPrEx>
          <w:tblCellMar>
            <w:top w:w="0" w:type="dxa"/>
            <w:left w:w="108" w:type="dxa"/>
            <w:bottom w:w="0" w:type="dxa"/>
            <w:right w:w="108" w:type="dxa"/>
          </w:tblCellMar>
        </w:tblPrEx>
        <w:trPr>
          <w:trHeight w:val="397" w:hRule="exact"/>
          <w:jc w:val="center"/>
        </w:trPr>
        <w:tc>
          <w:tcPr>
            <w:tcW w:w="2113"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其他未列明行业 *</w:t>
            </w:r>
          </w:p>
        </w:tc>
        <w:tc>
          <w:tcPr>
            <w:tcW w:w="13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从业人员(X)</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X≥300</w:t>
            </w:r>
          </w:p>
        </w:tc>
        <w:tc>
          <w:tcPr>
            <w:tcW w:w="1701" w:type="dxa"/>
            <w:tcBorders>
              <w:top w:val="nil"/>
              <w:left w:val="nil"/>
              <w:bottom w:val="single" w:color="auto" w:sz="4" w:space="0"/>
              <w:right w:val="single" w:color="auto" w:sz="4" w:space="0"/>
            </w:tcBorders>
            <w:shd w:val="clear" w:color="auto" w:fill="auto"/>
            <w:vAlign w:val="center"/>
          </w:tcPr>
          <w:p>
            <w:pPr>
              <w:widowControl/>
              <w:ind w:left="1" w:leftChars="-51" w:hanging="108" w:hangingChars="60"/>
              <w:jc w:val="center"/>
              <w:rPr>
                <w:rFonts w:ascii="宋体" w:hAnsi="宋体" w:cs="宋体"/>
                <w:color w:val="000000"/>
                <w:kern w:val="0"/>
                <w:sz w:val="18"/>
                <w:szCs w:val="18"/>
              </w:rPr>
            </w:pPr>
            <w:r>
              <w:rPr>
                <w:rFonts w:hint="eastAsia" w:ascii="宋体" w:hAnsi="宋体" w:cs="宋体"/>
                <w:color w:val="000000"/>
                <w:kern w:val="0"/>
                <w:sz w:val="18"/>
                <w:szCs w:val="18"/>
              </w:rPr>
              <w:t xml:space="preserve">100≤X＜300 </w:t>
            </w:r>
          </w:p>
        </w:tc>
        <w:tc>
          <w:tcPr>
            <w:tcW w:w="1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10≤X＜100</w:t>
            </w:r>
          </w:p>
        </w:tc>
        <w:tc>
          <w:tcPr>
            <w:tcW w:w="992" w:type="dxa"/>
            <w:tcBorders>
              <w:top w:val="nil"/>
              <w:left w:val="nil"/>
              <w:bottom w:val="single" w:color="auto" w:sz="4" w:space="0"/>
              <w:right w:val="nil"/>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X＜10</w:t>
            </w:r>
          </w:p>
        </w:tc>
      </w:tr>
    </w:tbl>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说明：</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1.大型、中型和小型企业须同时满足所列指标的下限，否则下划一档；微型企业只须满足所列指标中的一项即可。</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pacing w:line="360" w:lineRule="auto"/>
        <w:ind w:firstLine="371" w:firstLineChars="177"/>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spacing w:line="360" w:lineRule="auto"/>
        <w:rPr>
          <w:rFonts w:asciiTheme="minorEastAsia" w:hAnsiTheme="minorEastAsia" w:eastAsiaTheme="minorEastAsia"/>
          <w:szCs w:val="21"/>
        </w:rPr>
      </w:pPr>
    </w:p>
    <w:p>
      <w:pPr>
        <w:pStyle w:val="4"/>
        <w:spacing w:before="0" w:after="0"/>
        <w:jc w:val="center"/>
      </w:pPr>
      <w:bookmarkStart w:id="86" w:name="_Toc73610165"/>
      <w:r>
        <w:rPr>
          <w:rFonts w:hint="eastAsia"/>
        </w:rPr>
        <w:t>四、</w:t>
      </w:r>
      <w:r>
        <w:t>财政部 民政部 中国残疾人联合会关于促进残疾人就业 政府采购政策的通知</w:t>
      </w:r>
      <w:bookmarkEnd w:id="86"/>
      <w:r>
        <w:t xml:space="preserve"> </w:t>
      </w:r>
    </w:p>
    <w:p>
      <w:pPr>
        <w:pStyle w:val="46"/>
        <w:shd w:val="clear" w:color="auto" w:fill="FFFFFF"/>
        <w:spacing w:line="360" w:lineRule="auto"/>
        <w:jc w:val="center"/>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财库〔2017〕141号</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为了发挥政府采购促进残疾人就业的作用，进一步保障残疾人权益，依照《政府采购法》、《残疾人保障法》等法律法规及相关规定，现就促进残疾人就业政府采购政策通知如下：</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一、享受政府采购支持政策的残疾人福利性单位应当同时满足以下条件：</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（一）安置的残疾人占本单位在职职工人数的比例不低于25%（含25%），并且安置的残疾人人数不少于10人（含10人）；</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（二）依法与安置的每位残疾人签订了一年以上（含一年）的劳动合同或服务协议；</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（三）为安置的每位残疾人按月足额缴纳了基本养老保险、基本医疗保险、失业保险、工伤保险和生育保险等社会保险费；</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（四）通过银行等金融机构向安置的每位残疾人，按月支付了不低于单位所在区县适用的经省级人民政府批准的月最低工资标准的工资；</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（五）提供本单位制造的货物、承担的工程或者服务（以下简称产品），或者提供其他残疾人福利性单位制造的货物（不包括使用非残疾人福利性单位注册商标的货物）。</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中标、成交供应商为残疾人福利性单位的，采购人或者其委托的采购代理机构应当随中标、成交结果同时公告其《残疾人福利性单位声明函》，接受社会监督。</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供应商提供的《残疾人福利性单位声明函》与事实不符的，依照《政府采购法》第七十七条第一款的规定追究法律责任。</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四、采购人采购公开招标数额标准以上的货物或者服务，因落实促进残疾人就业政策的需要，依法履行有关报批程序后，可采用公开招标以外的采购方式。</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七、本通知自2017年10月1日起执行。</w:t>
      </w:r>
    </w:p>
    <w:p>
      <w:pPr>
        <w:widowControl/>
        <w:spacing w:line="360" w:lineRule="auto"/>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　　</w:t>
      </w:r>
    </w:p>
    <w:p>
      <w:pPr>
        <w:widowControl/>
        <w:spacing w:line="360" w:lineRule="auto"/>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财政部 民政部 中国残疾人联合会</w:t>
      </w:r>
    </w:p>
    <w:p>
      <w:pPr>
        <w:widowControl/>
        <w:spacing w:line="360" w:lineRule="auto"/>
        <w:jc w:val="right"/>
        <w:rPr>
          <w:rFonts w:cs="宋体" w:asciiTheme="minorEastAsia" w:hAnsiTheme="minorEastAsia" w:eastAsiaTheme="minorEastAsia"/>
          <w:kern w:val="0"/>
          <w:szCs w:val="21"/>
        </w:rPr>
      </w:pPr>
    </w:p>
    <w:p>
      <w:pPr>
        <w:widowControl/>
        <w:spacing w:line="360" w:lineRule="auto"/>
        <w:jc w:val="right"/>
        <w:rPr>
          <w:rFonts w:asciiTheme="minorEastAsia" w:hAnsiTheme="minorEastAsia" w:eastAsiaTheme="minorEastAsia"/>
          <w:szCs w:val="21"/>
        </w:rPr>
      </w:pPr>
      <w:r>
        <w:rPr>
          <w:rFonts w:hint="eastAsia" w:cs="宋体" w:asciiTheme="minorEastAsia" w:hAnsiTheme="minorEastAsia" w:eastAsiaTheme="minorEastAsia"/>
          <w:kern w:val="0"/>
          <w:szCs w:val="21"/>
        </w:rPr>
        <w:t>  2017年8月22日</w:t>
      </w:r>
    </w:p>
    <w:sectPr>
      <w:headerReference r:id="rId3" w:type="default"/>
      <w:footerReference r:id="rId4" w:type="default"/>
      <w:pgSz w:w="11906" w:h="16838"/>
      <w:pgMar w:top="1134" w:right="1134" w:bottom="1134" w:left="113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 Yb 2gj">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3">
    <w:altName w:val="宋体"/>
    <w:panose1 w:val="00000000000000000000"/>
    <w:charset w:val="86"/>
    <w:family w:val="roman"/>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ˎ̥">
    <w:altName w:val="微软雅黑"/>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经典标宋简">
    <w:altName w:val="宋体"/>
    <w:panose1 w:val="00000000000000000000"/>
    <w:charset w:val="86"/>
    <w:family w:val="auto"/>
    <w:pitch w:val="default"/>
    <w:sig w:usb0="00000000" w:usb1="00000000" w:usb2="0000001E" w:usb3="00000000" w:csb0="00040000" w:csb1="00000000"/>
  </w:font>
  <w:font w:name="经典等线简">
    <w:altName w:val="宋体"/>
    <w:panose1 w:val="00000000000000000000"/>
    <w:charset w:val="86"/>
    <w:family w:val="auto"/>
    <w:pitch w:val="default"/>
    <w:sig w:usb0="00000000" w:usb1="00000000" w:usb2="0000001E"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framePr w:wrap="around" w:vAnchor="text" w:hAnchor="margin" w:xAlign="center" w:y="1"/>
      <w:rPr>
        <w:rStyle w:val="55"/>
      </w:rPr>
    </w:pPr>
    <w:r>
      <w:rPr>
        <w:rStyle w:val="55"/>
      </w:rPr>
      <w:fldChar w:fldCharType="begin"/>
    </w:r>
    <w:r>
      <w:rPr>
        <w:rStyle w:val="55"/>
      </w:rPr>
      <w:instrText xml:space="preserve">PAGE  </w:instrText>
    </w:r>
    <w:r>
      <w:rPr>
        <w:rStyle w:val="55"/>
      </w:rPr>
      <w:fldChar w:fldCharType="separate"/>
    </w:r>
    <w:r>
      <w:rPr>
        <w:rStyle w:val="55"/>
      </w:rPr>
      <w:t>9</w:t>
    </w:r>
    <w:r>
      <w:rPr>
        <w:rStyle w:val="55"/>
      </w:rPr>
      <w:fldChar w:fldCharType="end"/>
    </w:r>
  </w:p>
  <w:p>
    <w:pPr>
      <w:pStyle w:val="32"/>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tabs>
        <w:tab w:val="center" w:pos="4819"/>
        <w:tab w:val="right" w:pos="9638"/>
      </w:tabs>
      <w:jc w:val="left"/>
      <w:rPr>
        <w:rFonts w:asciiTheme="minorEastAsia" w:hAnsiTheme="minorEastAsia" w:eastAsiaTheme="minorEastAsia"/>
      </w:rPr>
    </w:pPr>
    <w:r>
      <w:tab/>
    </w:r>
    <w:r>
      <w:rPr>
        <w:rFonts w:hint="eastAsia" w:asciiTheme="minorEastAsia" w:hAnsiTheme="minorEastAsia" w:eastAsiaTheme="minorEastAsia"/>
      </w:rPr>
      <w:t xml:space="preserve">项目名称：“防暑降温”物资采购                                </w:t>
    </w:r>
    <w:r>
      <w:rPr>
        <w:rFonts w:hint="eastAsia" w:asciiTheme="minorEastAsia" w:hAnsiTheme="minorEastAsia" w:eastAsiaTheme="minorEastAsia"/>
        <w:lang w:val="en-US" w:eastAsia="zh-CN"/>
      </w:rPr>
      <w:t xml:space="preserve">                  </w:t>
    </w:r>
    <w:r>
      <w:rPr>
        <w:rFonts w:hint="eastAsia" w:asciiTheme="minorEastAsia" w:hAnsiTheme="minorEastAsia" w:eastAsiaTheme="minorEastAsia"/>
      </w:rPr>
      <w:t>项目编号：SZZZ2022-QA0144</w:t>
    </w:r>
  </w:p>
  <w:p>
    <w:pPr>
      <w:pStyle w:val="33"/>
      <w:tabs>
        <w:tab w:val="center" w:pos="4819"/>
        <w:tab w:val="right" w:pos="9638"/>
      </w:tabs>
      <w:jc w:val="left"/>
      <w:rPr>
        <w:u w:val="single"/>
      </w:rPr>
    </w:pPr>
    <w:r>
      <w:rPr>
        <w:rFonts w:hint="eastAsia"/>
        <w:u w:val="single"/>
      </w:rPr>
      <w:t xml:space="preserve">                                                                                                 </w:t>
    </w:r>
    <w:r>
      <w:rPr>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17"/>
      <w:lvlText w:val="%1、"/>
      <w:lvlJc w:val="left"/>
      <w:pPr>
        <w:tabs>
          <w:tab w:val="left" w:pos="371"/>
        </w:tabs>
        <w:ind w:left="371" w:hanging="360"/>
      </w:pPr>
      <w:rPr>
        <w:rFonts w:hint="default"/>
      </w:rPr>
    </w:lvl>
    <w:lvl w:ilvl="1" w:tentative="0">
      <w:start w:val="1"/>
      <w:numFmt w:val="lowerLetter"/>
      <w:lvlText w:val="%2)"/>
      <w:lvlJc w:val="left"/>
      <w:pPr>
        <w:tabs>
          <w:tab w:val="left" w:pos="851"/>
        </w:tabs>
        <w:ind w:left="851" w:hanging="420"/>
      </w:pPr>
    </w:lvl>
    <w:lvl w:ilvl="2" w:tentative="0">
      <w:start w:val="1"/>
      <w:numFmt w:val="lowerRoman"/>
      <w:lvlText w:val="%3."/>
      <w:lvlJc w:val="right"/>
      <w:pPr>
        <w:tabs>
          <w:tab w:val="left" w:pos="1271"/>
        </w:tabs>
        <w:ind w:left="1271" w:hanging="420"/>
      </w:pPr>
    </w:lvl>
    <w:lvl w:ilvl="3" w:tentative="0">
      <w:start w:val="1"/>
      <w:numFmt w:val="decimal"/>
      <w:lvlText w:val="%4."/>
      <w:lvlJc w:val="left"/>
      <w:pPr>
        <w:tabs>
          <w:tab w:val="left" w:pos="1691"/>
        </w:tabs>
        <w:ind w:left="1691" w:hanging="420"/>
      </w:pPr>
    </w:lvl>
    <w:lvl w:ilvl="4" w:tentative="0">
      <w:start w:val="1"/>
      <w:numFmt w:val="lowerLetter"/>
      <w:pStyle w:val="7"/>
      <w:lvlText w:val="%5)"/>
      <w:lvlJc w:val="left"/>
      <w:pPr>
        <w:tabs>
          <w:tab w:val="left" w:pos="2111"/>
        </w:tabs>
        <w:ind w:left="2111" w:hanging="420"/>
      </w:pPr>
    </w:lvl>
    <w:lvl w:ilvl="5" w:tentative="0">
      <w:start w:val="1"/>
      <w:numFmt w:val="lowerRoman"/>
      <w:pStyle w:val="9"/>
      <w:lvlText w:val="%6."/>
      <w:lvlJc w:val="right"/>
      <w:pPr>
        <w:tabs>
          <w:tab w:val="left" w:pos="2531"/>
        </w:tabs>
        <w:ind w:left="2531" w:hanging="420"/>
      </w:pPr>
    </w:lvl>
    <w:lvl w:ilvl="6" w:tentative="0">
      <w:start w:val="1"/>
      <w:numFmt w:val="decimal"/>
      <w:pStyle w:val="10"/>
      <w:lvlText w:val="%7."/>
      <w:lvlJc w:val="left"/>
      <w:pPr>
        <w:tabs>
          <w:tab w:val="left" w:pos="2951"/>
        </w:tabs>
        <w:ind w:left="2951" w:hanging="420"/>
      </w:pPr>
    </w:lvl>
    <w:lvl w:ilvl="7" w:tentative="0">
      <w:start w:val="1"/>
      <w:numFmt w:val="lowerLetter"/>
      <w:pStyle w:val="11"/>
      <w:lvlText w:val="%8)"/>
      <w:lvlJc w:val="left"/>
      <w:pPr>
        <w:tabs>
          <w:tab w:val="left" w:pos="3371"/>
        </w:tabs>
        <w:ind w:left="3371" w:hanging="420"/>
      </w:pPr>
    </w:lvl>
    <w:lvl w:ilvl="8" w:tentative="0">
      <w:start w:val="1"/>
      <w:numFmt w:val="lowerRoman"/>
      <w:pStyle w:val="12"/>
      <w:lvlText w:val="%9."/>
      <w:lvlJc w:val="right"/>
      <w:pPr>
        <w:tabs>
          <w:tab w:val="left" w:pos="3791"/>
        </w:tabs>
        <w:ind w:left="3791" w:hanging="420"/>
      </w:pPr>
    </w:lvl>
  </w:abstractNum>
  <w:abstractNum w:abstractNumId="1">
    <w:nsid w:val="0000002E"/>
    <w:multiLevelType w:val="multilevel"/>
    <w:tmpl w:val="0000002E"/>
    <w:lvl w:ilvl="0" w:tentative="0">
      <w:start w:val="1"/>
      <w:numFmt w:val="decimal"/>
      <w:pStyle w:val="398"/>
      <w:lvlText w:val="第%1章"/>
      <w:lvlJc w:val="left"/>
      <w:pPr>
        <w:tabs>
          <w:tab w:val="left" w:pos="425"/>
        </w:tabs>
        <w:ind w:left="425" w:hanging="425"/>
      </w:pPr>
      <w:rPr>
        <w:rFonts w:hint="eastAsia"/>
        <w:lang w:val="en-US"/>
      </w:rPr>
    </w:lvl>
    <w:lvl w:ilvl="1" w:tentative="0">
      <w:start w:val="1"/>
      <w:numFmt w:val="decimal"/>
      <w:lvlText w:val="%1.%2  "/>
      <w:lvlJc w:val="left"/>
      <w:pPr>
        <w:tabs>
          <w:tab w:val="left" w:pos="1419"/>
        </w:tabs>
        <w:ind w:left="1419" w:hanging="567"/>
      </w:pPr>
      <w:rPr>
        <w:rFonts w:hint="eastAsia"/>
      </w:rPr>
    </w:lvl>
    <w:lvl w:ilvl="2" w:tentative="0">
      <w:start w:val="1"/>
      <w:numFmt w:val="decimal"/>
      <w:lvlText w:val="%1.%2.%3  "/>
      <w:lvlJc w:val="left"/>
      <w:pPr>
        <w:tabs>
          <w:tab w:val="left" w:pos="709"/>
        </w:tabs>
        <w:ind w:left="709" w:hanging="709"/>
      </w:pPr>
      <w:rPr>
        <w:rFonts w:hint="eastAsia" w:ascii="宋体" w:hAnsi="宋体" w:eastAsia="宋体" w:cs="Arial"/>
        <w:b/>
        <w:sz w:val="21"/>
        <w:szCs w:val="21"/>
      </w:rPr>
    </w:lvl>
    <w:lvl w:ilvl="3" w:tentative="0">
      <w:start w:val="1"/>
      <w:numFmt w:val="decimal"/>
      <w:lvlText w:val="%4、"/>
      <w:lvlJc w:val="left"/>
      <w:pPr>
        <w:tabs>
          <w:tab w:val="left" w:pos="851"/>
        </w:tabs>
        <w:ind w:left="851" w:hanging="851"/>
      </w:pPr>
      <w:rPr>
        <w:rFonts w:hint="default" w:cs="Arial"/>
        <w:sz w:val="21"/>
        <w:szCs w:val="21"/>
      </w:rPr>
    </w:lvl>
    <w:lvl w:ilvl="4" w:tentative="0">
      <w:start w:val="1"/>
      <w:numFmt w:val="decimal"/>
      <w:lvlText w:val="%1.%2.%3.%4.%5."/>
      <w:lvlJc w:val="left"/>
      <w:pPr>
        <w:tabs>
          <w:tab w:val="left" w:pos="2072"/>
        </w:tabs>
        <w:ind w:left="207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9F81FD3"/>
    <w:multiLevelType w:val="multilevel"/>
    <w:tmpl w:val="09F81FD3"/>
    <w:lvl w:ilvl="0" w:tentative="0">
      <w:start w:val="1"/>
      <w:numFmt w:val="japaneseCounting"/>
      <w:pStyle w:val="24"/>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FBA874E"/>
    <w:multiLevelType w:val="singleLevel"/>
    <w:tmpl w:val="3FBA874E"/>
    <w:lvl w:ilvl="0" w:tentative="0">
      <w:start w:val="2"/>
      <w:numFmt w:val="decimal"/>
      <w:suff w:val="nothing"/>
      <w:lvlText w:val="%1、"/>
      <w:lvlJc w:val="left"/>
      <w:pPr>
        <w:ind w:left="-2"/>
      </w:pPr>
    </w:lvl>
  </w:abstractNum>
  <w:abstractNum w:abstractNumId="4">
    <w:nsid w:val="4F867BC1"/>
    <w:multiLevelType w:val="multilevel"/>
    <w:tmpl w:val="4F867BC1"/>
    <w:lvl w:ilvl="0" w:tentative="0">
      <w:start w:val="1"/>
      <w:numFmt w:val="japaneseCounting"/>
      <w:lvlText w:val="%1、"/>
      <w:lvlJc w:val="left"/>
      <w:pPr>
        <w:ind w:left="418" w:hanging="42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hideSpellingErrors/>
  <w:documentProtection w:edit="readOnly" w:formatting="1" w:enforcement="1" w:cryptProviderType="rsaFull" w:cryptAlgorithmClass="hash" w:cryptAlgorithmType="typeAny" w:cryptAlgorithmSid="4" w:cryptSpinCount="0" w:hash="y2llLcdR+Fywp3vogFe+0hNLQ0g=" w:salt="xUPmT/WEivIKuMJiNam4a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RhOTY5Mjc5YzJhYmZmYzg4ZmJkZGM4MzY3OGFlNWEifQ=="/>
  </w:docVars>
  <w:rsids>
    <w:rsidRoot w:val="00172A27"/>
    <w:rsid w:val="0000124D"/>
    <w:rsid w:val="0000134D"/>
    <w:rsid w:val="000035D6"/>
    <w:rsid w:val="000036D6"/>
    <w:rsid w:val="00003921"/>
    <w:rsid w:val="000039AF"/>
    <w:rsid w:val="00003A46"/>
    <w:rsid w:val="000042A3"/>
    <w:rsid w:val="00004906"/>
    <w:rsid w:val="000049DE"/>
    <w:rsid w:val="00004AF7"/>
    <w:rsid w:val="00004FC4"/>
    <w:rsid w:val="00005751"/>
    <w:rsid w:val="00005C27"/>
    <w:rsid w:val="0000670A"/>
    <w:rsid w:val="00006922"/>
    <w:rsid w:val="00006E2A"/>
    <w:rsid w:val="000074B0"/>
    <w:rsid w:val="000103E3"/>
    <w:rsid w:val="00010937"/>
    <w:rsid w:val="00010B8D"/>
    <w:rsid w:val="00010DC3"/>
    <w:rsid w:val="00011A45"/>
    <w:rsid w:val="00011AAF"/>
    <w:rsid w:val="00012A6E"/>
    <w:rsid w:val="00012BC4"/>
    <w:rsid w:val="00012F81"/>
    <w:rsid w:val="00013127"/>
    <w:rsid w:val="00014515"/>
    <w:rsid w:val="00014625"/>
    <w:rsid w:val="00015940"/>
    <w:rsid w:val="00015AF5"/>
    <w:rsid w:val="00016458"/>
    <w:rsid w:val="000165EF"/>
    <w:rsid w:val="00016FC3"/>
    <w:rsid w:val="000208F8"/>
    <w:rsid w:val="00021304"/>
    <w:rsid w:val="0002197F"/>
    <w:rsid w:val="00022C27"/>
    <w:rsid w:val="00022F4F"/>
    <w:rsid w:val="00022FA9"/>
    <w:rsid w:val="000250AF"/>
    <w:rsid w:val="00025A17"/>
    <w:rsid w:val="00025B21"/>
    <w:rsid w:val="00025D5B"/>
    <w:rsid w:val="00026249"/>
    <w:rsid w:val="00026BDD"/>
    <w:rsid w:val="00027415"/>
    <w:rsid w:val="000274F7"/>
    <w:rsid w:val="000307C5"/>
    <w:rsid w:val="00030D77"/>
    <w:rsid w:val="00031887"/>
    <w:rsid w:val="000319D1"/>
    <w:rsid w:val="00034043"/>
    <w:rsid w:val="0003479B"/>
    <w:rsid w:val="000347CB"/>
    <w:rsid w:val="00034900"/>
    <w:rsid w:val="0003493D"/>
    <w:rsid w:val="0003524E"/>
    <w:rsid w:val="00035FE0"/>
    <w:rsid w:val="000367ED"/>
    <w:rsid w:val="0003688B"/>
    <w:rsid w:val="000370BD"/>
    <w:rsid w:val="000372E9"/>
    <w:rsid w:val="00037359"/>
    <w:rsid w:val="0003762A"/>
    <w:rsid w:val="0003795A"/>
    <w:rsid w:val="0004022A"/>
    <w:rsid w:val="00040784"/>
    <w:rsid w:val="00041122"/>
    <w:rsid w:val="000414AB"/>
    <w:rsid w:val="00042758"/>
    <w:rsid w:val="0004315F"/>
    <w:rsid w:val="00043926"/>
    <w:rsid w:val="00043D2B"/>
    <w:rsid w:val="000447F6"/>
    <w:rsid w:val="00045923"/>
    <w:rsid w:val="00045EB5"/>
    <w:rsid w:val="00046595"/>
    <w:rsid w:val="0004741F"/>
    <w:rsid w:val="00047612"/>
    <w:rsid w:val="00047852"/>
    <w:rsid w:val="00047A79"/>
    <w:rsid w:val="00050F73"/>
    <w:rsid w:val="00051378"/>
    <w:rsid w:val="000529DE"/>
    <w:rsid w:val="00053074"/>
    <w:rsid w:val="00053F8F"/>
    <w:rsid w:val="000545F7"/>
    <w:rsid w:val="00054837"/>
    <w:rsid w:val="000550A3"/>
    <w:rsid w:val="0005520A"/>
    <w:rsid w:val="0005526E"/>
    <w:rsid w:val="000558BB"/>
    <w:rsid w:val="00056374"/>
    <w:rsid w:val="0005650D"/>
    <w:rsid w:val="00056617"/>
    <w:rsid w:val="00057655"/>
    <w:rsid w:val="00060526"/>
    <w:rsid w:val="00061300"/>
    <w:rsid w:val="000621B0"/>
    <w:rsid w:val="00062570"/>
    <w:rsid w:val="0006264D"/>
    <w:rsid w:val="0006301D"/>
    <w:rsid w:val="0006339B"/>
    <w:rsid w:val="00064787"/>
    <w:rsid w:val="00064A61"/>
    <w:rsid w:val="00066813"/>
    <w:rsid w:val="000668F4"/>
    <w:rsid w:val="0006745C"/>
    <w:rsid w:val="00067D3F"/>
    <w:rsid w:val="000700C5"/>
    <w:rsid w:val="00070384"/>
    <w:rsid w:val="00071507"/>
    <w:rsid w:val="0007191E"/>
    <w:rsid w:val="00071BA1"/>
    <w:rsid w:val="0007211D"/>
    <w:rsid w:val="000730F3"/>
    <w:rsid w:val="00073348"/>
    <w:rsid w:val="00073A35"/>
    <w:rsid w:val="00073B23"/>
    <w:rsid w:val="00073DB3"/>
    <w:rsid w:val="00073EE2"/>
    <w:rsid w:val="00074554"/>
    <w:rsid w:val="00074BEF"/>
    <w:rsid w:val="00075AD5"/>
    <w:rsid w:val="00080168"/>
    <w:rsid w:val="00080188"/>
    <w:rsid w:val="00080A90"/>
    <w:rsid w:val="00080C2D"/>
    <w:rsid w:val="00081B06"/>
    <w:rsid w:val="000820E6"/>
    <w:rsid w:val="000825F6"/>
    <w:rsid w:val="00082956"/>
    <w:rsid w:val="00082ABE"/>
    <w:rsid w:val="000839DA"/>
    <w:rsid w:val="00083D3F"/>
    <w:rsid w:val="00083E84"/>
    <w:rsid w:val="0008402F"/>
    <w:rsid w:val="00085134"/>
    <w:rsid w:val="000851F8"/>
    <w:rsid w:val="00085317"/>
    <w:rsid w:val="00085419"/>
    <w:rsid w:val="000855C1"/>
    <w:rsid w:val="00085908"/>
    <w:rsid w:val="0008596C"/>
    <w:rsid w:val="00085DE9"/>
    <w:rsid w:val="00085FFE"/>
    <w:rsid w:val="000866A3"/>
    <w:rsid w:val="000867FB"/>
    <w:rsid w:val="00086F62"/>
    <w:rsid w:val="000870F2"/>
    <w:rsid w:val="000878FF"/>
    <w:rsid w:val="00087F07"/>
    <w:rsid w:val="0009127F"/>
    <w:rsid w:val="0009133A"/>
    <w:rsid w:val="0009145A"/>
    <w:rsid w:val="00091526"/>
    <w:rsid w:val="00091CAC"/>
    <w:rsid w:val="00092BD5"/>
    <w:rsid w:val="00094366"/>
    <w:rsid w:val="00095198"/>
    <w:rsid w:val="00095806"/>
    <w:rsid w:val="00095F61"/>
    <w:rsid w:val="00096CE6"/>
    <w:rsid w:val="00097B04"/>
    <w:rsid w:val="000A0947"/>
    <w:rsid w:val="000A0ABE"/>
    <w:rsid w:val="000A0DC0"/>
    <w:rsid w:val="000A24AF"/>
    <w:rsid w:val="000A274D"/>
    <w:rsid w:val="000A2C52"/>
    <w:rsid w:val="000A2D79"/>
    <w:rsid w:val="000A3358"/>
    <w:rsid w:val="000A43D6"/>
    <w:rsid w:val="000A530C"/>
    <w:rsid w:val="000A54E6"/>
    <w:rsid w:val="000A584E"/>
    <w:rsid w:val="000A58B9"/>
    <w:rsid w:val="000A5A8E"/>
    <w:rsid w:val="000A5CD4"/>
    <w:rsid w:val="000A6F16"/>
    <w:rsid w:val="000A7A6C"/>
    <w:rsid w:val="000A7C5A"/>
    <w:rsid w:val="000B0205"/>
    <w:rsid w:val="000B0817"/>
    <w:rsid w:val="000B10D9"/>
    <w:rsid w:val="000B1533"/>
    <w:rsid w:val="000B1ED2"/>
    <w:rsid w:val="000B20FC"/>
    <w:rsid w:val="000B3202"/>
    <w:rsid w:val="000B493E"/>
    <w:rsid w:val="000B4F60"/>
    <w:rsid w:val="000B5CC8"/>
    <w:rsid w:val="000B5DFC"/>
    <w:rsid w:val="000B61BF"/>
    <w:rsid w:val="000B620E"/>
    <w:rsid w:val="000B67E1"/>
    <w:rsid w:val="000C080D"/>
    <w:rsid w:val="000C1B95"/>
    <w:rsid w:val="000C299D"/>
    <w:rsid w:val="000C2A5E"/>
    <w:rsid w:val="000C3B21"/>
    <w:rsid w:val="000C428C"/>
    <w:rsid w:val="000C4328"/>
    <w:rsid w:val="000C48DA"/>
    <w:rsid w:val="000C605A"/>
    <w:rsid w:val="000C63AE"/>
    <w:rsid w:val="000C6BB0"/>
    <w:rsid w:val="000C7685"/>
    <w:rsid w:val="000D0C86"/>
    <w:rsid w:val="000D0C91"/>
    <w:rsid w:val="000D11F6"/>
    <w:rsid w:val="000D1EAF"/>
    <w:rsid w:val="000D2056"/>
    <w:rsid w:val="000D2C8E"/>
    <w:rsid w:val="000D2CA8"/>
    <w:rsid w:val="000D3909"/>
    <w:rsid w:val="000D39D7"/>
    <w:rsid w:val="000D3DAF"/>
    <w:rsid w:val="000D4816"/>
    <w:rsid w:val="000D48D5"/>
    <w:rsid w:val="000D5E0E"/>
    <w:rsid w:val="000D5E7D"/>
    <w:rsid w:val="000D6088"/>
    <w:rsid w:val="000D6CFF"/>
    <w:rsid w:val="000D6D74"/>
    <w:rsid w:val="000D6F21"/>
    <w:rsid w:val="000D7803"/>
    <w:rsid w:val="000D7D8E"/>
    <w:rsid w:val="000D7DC6"/>
    <w:rsid w:val="000E18B0"/>
    <w:rsid w:val="000E1BD5"/>
    <w:rsid w:val="000E1C6E"/>
    <w:rsid w:val="000E214A"/>
    <w:rsid w:val="000E21D9"/>
    <w:rsid w:val="000E2823"/>
    <w:rsid w:val="000E3219"/>
    <w:rsid w:val="000E321B"/>
    <w:rsid w:val="000E3D76"/>
    <w:rsid w:val="000E52FA"/>
    <w:rsid w:val="000E6437"/>
    <w:rsid w:val="000E671E"/>
    <w:rsid w:val="000F06E7"/>
    <w:rsid w:val="000F0B03"/>
    <w:rsid w:val="000F0D6F"/>
    <w:rsid w:val="000F1EDD"/>
    <w:rsid w:val="000F23CA"/>
    <w:rsid w:val="000F243B"/>
    <w:rsid w:val="000F262E"/>
    <w:rsid w:val="000F3580"/>
    <w:rsid w:val="000F3F04"/>
    <w:rsid w:val="000F420E"/>
    <w:rsid w:val="000F454C"/>
    <w:rsid w:val="000F4EE2"/>
    <w:rsid w:val="000F527A"/>
    <w:rsid w:val="000F5C16"/>
    <w:rsid w:val="000F6308"/>
    <w:rsid w:val="000F6C6E"/>
    <w:rsid w:val="000F7241"/>
    <w:rsid w:val="000F7836"/>
    <w:rsid w:val="000F7F62"/>
    <w:rsid w:val="001001FD"/>
    <w:rsid w:val="00100694"/>
    <w:rsid w:val="001018E6"/>
    <w:rsid w:val="00101DFC"/>
    <w:rsid w:val="00102684"/>
    <w:rsid w:val="00102A12"/>
    <w:rsid w:val="00102CC6"/>
    <w:rsid w:val="00102F0D"/>
    <w:rsid w:val="00102F55"/>
    <w:rsid w:val="001048BE"/>
    <w:rsid w:val="0010529C"/>
    <w:rsid w:val="001072EB"/>
    <w:rsid w:val="001075C1"/>
    <w:rsid w:val="00107924"/>
    <w:rsid w:val="001079CD"/>
    <w:rsid w:val="0011014B"/>
    <w:rsid w:val="00111274"/>
    <w:rsid w:val="001117B9"/>
    <w:rsid w:val="0011317D"/>
    <w:rsid w:val="001134EF"/>
    <w:rsid w:val="00114386"/>
    <w:rsid w:val="001148BD"/>
    <w:rsid w:val="001151A9"/>
    <w:rsid w:val="00115CCC"/>
    <w:rsid w:val="00116BDF"/>
    <w:rsid w:val="00116ECE"/>
    <w:rsid w:val="0012030F"/>
    <w:rsid w:val="00120AB4"/>
    <w:rsid w:val="00120BE1"/>
    <w:rsid w:val="00121A55"/>
    <w:rsid w:val="00121C20"/>
    <w:rsid w:val="00121CCD"/>
    <w:rsid w:val="00122C88"/>
    <w:rsid w:val="00123367"/>
    <w:rsid w:val="00123EA6"/>
    <w:rsid w:val="00124206"/>
    <w:rsid w:val="0012456B"/>
    <w:rsid w:val="00124932"/>
    <w:rsid w:val="0012537B"/>
    <w:rsid w:val="0012558C"/>
    <w:rsid w:val="0012714F"/>
    <w:rsid w:val="00127915"/>
    <w:rsid w:val="0013031C"/>
    <w:rsid w:val="00130801"/>
    <w:rsid w:val="00130A8C"/>
    <w:rsid w:val="001310AA"/>
    <w:rsid w:val="001312DF"/>
    <w:rsid w:val="00132670"/>
    <w:rsid w:val="001328E9"/>
    <w:rsid w:val="00133AF2"/>
    <w:rsid w:val="00133E88"/>
    <w:rsid w:val="0013411A"/>
    <w:rsid w:val="001349F3"/>
    <w:rsid w:val="001356AB"/>
    <w:rsid w:val="0013581C"/>
    <w:rsid w:val="00136615"/>
    <w:rsid w:val="00136BA5"/>
    <w:rsid w:val="00137077"/>
    <w:rsid w:val="00137241"/>
    <w:rsid w:val="00137B1E"/>
    <w:rsid w:val="00140047"/>
    <w:rsid w:val="001403D0"/>
    <w:rsid w:val="00141229"/>
    <w:rsid w:val="00141E96"/>
    <w:rsid w:val="00142681"/>
    <w:rsid w:val="00142BD9"/>
    <w:rsid w:val="00143392"/>
    <w:rsid w:val="001436EB"/>
    <w:rsid w:val="001438E5"/>
    <w:rsid w:val="00143AB1"/>
    <w:rsid w:val="00143D73"/>
    <w:rsid w:val="001448C4"/>
    <w:rsid w:val="0014619B"/>
    <w:rsid w:val="001467AB"/>
    <w:rsid w:val="001468DA"/>
    <w:rsid w:val="00146E88"/>
    <w:rsid w:val="00147B19"/>
    <w:rsid w:val="00150618"/>
    <w:rsid w:val="00150E64"/>
    <w:rsid w:val="00151766"/>
    <w:rsid w:val="00152417"/>
    <w:rsid w:val="0015247A"/>
    <w:rsid w:val="00152F39"/>
    <w:rsid w:val="00153226"/>
    <w:rsid w:val="00153918"/>
    <w:rsid w:val="0015395B"/>
    <w:rsid w:val="001547E1"/>
    <w:rsid w:val="00154F74"/>
    <w:rsid w:val="00156320"/>
    <w:rsid w:val="00156E27"/>
    <w:rsid w:val="001570A5"/>
    <w:rsid w:val="001571E8"/>
    <w:rsid w:val="0015749F"/>
    <w:rsid w:val="00157606"/>
    <w:rsid w:val="00160375"/>
    <w:rsid w:val="00160D4E"/>
    <w:rsid w:val="00160F50"/>
    <w:rsid w:val="00161522"/>
    <w:rsid w:val="001617AE"/>
    <w:rsid w:val="00161E4F"/>
    <w:rsid w:val="0016263C"/>
    <w:rsid w:val="001628C8"/>
    <w:rsid w:val="00162AE8"/>
    <w:rsid w:val="00162C56"/>
    <w:rsid w:val="00162DB2"/>
    <w:rsid w:val="00163EA0"/>
    <w:rsid w:val="00164626"/>
    <w:rsid w:val="00164924"/>
    <w:rsid w:val="00164A55"/>
    <w:rsid w:val="001657B1"/>
    <w:rsid w:val="00166DCC"/>
    <w:rsid w:val="00167927"/>
    <w:rsid w:val="0017073E"/>
    <w:rsid w:val="00170C17"/>
    <w:rsid w:val="00170C6E"/>
    <w:rsid w:val="0017173E"/>
    <w:rsid w:val="00171CA3"/>
    <w:rsid w:val="001722D8"/>
    <w:rsid w:val="00172715"/>
    <w:rsid w:val="00172A27"/>
    <w:rsid w:val="00172AE3"/>
    <w:rsid w:val="00172C34"/>
    <w:rsid w:val="00173149"/>
    <w:rsid w:val="00173759"/>
    <w:rsid w:val="001739A3"/>
    <w:rsid w:val="00173A21"/>
    <w:rsid w:val="00173D26"/>
    <w:rsid w:val="001742DD"/>
    <w:rsid w:val="00174312"/>
    <w:rsid w:val="00175A5E"/>
    <w:rsid w:val="00175B46"/>
    <w:rsid w:val="00177212"/>
    <w:rsid w:val="001774D4"/>
    <w:rsid w:val="00177549"/>
    <w:rsid w:val="00177744"/>
    <w:rsid w:val="001778BE"/>
    <w:rsid w:val="00177F89"/>
    <w:rsid w:val="00180B0D"/>
    <w:rsid w:val="00181389"/>
    <w:rsid w:val="00181FEA"/>
    <w:rsid w:val="00182706"/>
    <w:rsid w:val="0018284B"/>
    <w:rsid w:val="00183600"/>
    <w:rsid w:val="00183836"/>
    <w:rsid w:val="00183DB4"/>
    <w:rsid w:val="001845E9"/>
    <w:rsid w:val="00184630"/>
    <w:rsid w:val="001846D7"/>
    <w:rsid w:val="00184815"/>
    <w:rsid w:val="001856C0"/>
    <w:rsid w:val="00185CB5"/>
    <w:rsid w:val="001864FF"/>
    <w:rsid w:val="00186D2F"/>
    <w:rsid w:val="00187B3E"/>
    <w:rsid w:val="0019153B"/>
    <w:rsid w:val="001915A3"/>
    <w:rsid w:val="001919EB"/>
    <w:rsid w:val="00191B94"/>
    <w:rsid w:val="0019227B"/>
    <w:rsid w:val="00192D08"/>
    <w:rsid w:val="00193031"/>
    <w:rsid w:val="0019368B"/>
    <w:rsid w:val="001938D2"/>
    <w:rsid w:val="001938DD"/>
    <w:rsid w:val="001941C8"/>
    <w:rsid w:val="00194A96"/>
    <w:rsid w:val="00195B8B"/>
    <w:rsid w:val="00195DCB"/>
    <w:rsid w:val="00195F14"/>
    <w:rsid w:val="001961A2"/>
    <w:rsid w:val="00196787"/>
    <w:rsid w:val="00196ACD"/>
    <w:rsid w:val="00196B4C"/>
    <w:rsid w:val="001970AD"/>
    <w:rsid w:val="00197204"/>
    <w:rsid w:val="001A040A"/>
    <w:rsid w:val="001A10F7"/>
    <w:rsid w:val="001A173C"/>
    <w:rsid w:val="001A1844"/>
    <w:rsid w:val="001A1998"/>
    <w:rsid w:val="001A1BE9"/>
    <w:rsid w:val="001A20CA"/>
    <w:rsid w:val="001A29AF"/>
    <w:rsid w:val="001A2B9F"/>
    <w:rsid w:val="001A2DA7"/>
    <w:rsid w:val="001A2E47"/>
    <w:rsid w:val="001A3B13"/>
    <w:rsid w:val="001A3CF6"/>
    <w:rsid w:val="001A3EE7"/>
    <w:rsid w:val="001A4420"/>
    <w:rsid w:val="001A68EC"/>
    <w:rsid w:val="001A6C49"/>
    <w:rsid w:val="001A7C91"/>
    <w:rsid w:val="001B0220"/>
    <w:rsid w:val="001B0850"/>
    <w:rsid w:val="001B0AEB"/>
    <w:rsid w:val="001B1281"/>
    <w:rsid w:val="001B1712"/>
    <w:rsid w:val="001B1D39"/>
    <w:rsid w:val="001B2126"/>
    <w:rsid w:val="001B238D"/>
    <w:rsid w:val="001B23F5"/>
    <w:rsid w:val="001B2A31"/>
    <w:rsid w:val="001B2BC4"/>
    <w:rsid w:val="001B2D49"/>
    <w:rsid w:val="001B3D9D"/>
    <w:rsid w:val="001B57AB"/>
    <w:rsid w:val="001B5B42"/>
    <w:rsid w:val="001B6DDB"/>
    <w:rsid w:val="001B7078"/>
    <w:rsid w:val="001B7491"/>
    <w:rsid w:val="001B75CF"/>
    <w:rsid w:val="001B7A8D"/>
    <w:rsid w:val="001B7EBE"/>
    <w:rsid w:val="001C06C0"/>
    <w:rsid w:val="001C0924"/>
    <w:rsid w:val="001C10E5"/>
    <w:rsid w:val="001C1A12"/>
    <w:rsid w:val="001C1D46"/>
    <w:rsid w:val="001C1F6C"/>
    <w:rsid w:val="001C21BB"/>
    <w:rsid w:val="001C3041"/>
    <w:rsid w:val="001C30D1"/>
    <w:rsid w:val="001C33D6"/>
    <w:rsid w:val="001C35B7"/>
    <w:rsid w:val="001C36F7"/>
    <w:rsid w:val="001C3AE0"/>
    <w:rsid w:val="001C3BAD"/>
    <w:rsid w:val="001C5F9A"/>
    <w:rsid w:val="001C7E49"/>
    <w:rsid w:val="001D012D"/>
    <w:rsid w:val="001D0702"/>
    <w:rsid w:val="001D0A25"/>
    <w:rsid w:val="001D1659"/>
    <w:rsid w:val="001D296C"/>
    <w:rsid w:val="001D2F3D"/>
    <w:rsid w:val="001D33C3"/>
    <w:rsid w:val="001D3C8D"/>
    <w:rsid w:val="001D3DED"/>
    <w:rsid w:val="001D3DF8"/>
    <w:rsid w:val="001D4078"/>
    <w:rsid w:val="001D4E6F"/>
    <w:rsid w:val="001D5573"/>
    <w:rsid w:val="001D5E80"/>
    <w:rsid w:val="001D6157"/>
    <w:rsid w:val="001D6356"/>
    <w:rsid w:val="001D6A56"/>
    <w:rsid w:val="001D6EC3"/>
    <w:rsid w:val="001D710C"/>
    <w:rsid w:val="001E11B1"/>
    <w:rsid w:val="001E208F"/>
    <w:rsid w:val="001E233C"/>
    <w:rsid w:val="001E3527"/>
    <w:rsid w:val="001E4950"/>
    <w:rsid w:val="001E5014"/>
    <w:rsid w:val="001E630A"/>
    <w:rsid w:val="001E67F4"/>
    <w:rsid w:val="001E7838"/>
    <w:rsid w:val="001E7A22"/>
    <w:rsid w:val="001E7D19"/>
    <w:rsid w:val="001F015A"/>
    <w:rsid w:val="001F03A2"/>
    <w:rsid w:val="001F0CFA"/>
    <w:rsid w:val="001F1464"/>
    <w:rsid w:val="001F1905"/>
    <w:rsid w:val="001F1EAE"/>
    <w:rsid w:val="001F1F7F"/>
    <w:rsid w:val="001F2E14"/>
    <w:rsid w:val="001F37E0"/>
    <w:rsid w:val="001F401A"/>
    <w:rsid w:val="001F4A76"/>
    <w:rsid w:val="001F4D92"/>
    <w:rsid w:val="001F4F4A"/>
    <w:rsid w:val="001F534F"/>
    <w:rsid w:val="001F543D"/>
    <w:rsid w:val="001F56BD"/>
    <w:rsid w:val="001F5989"/>
    <w:rsid w:val="001F5F83"/>
    <w:rsid w:val="001F64C1"/>
    <w:rsid w:val="001F7746"/>
    <w:rsid w:val="002001F1"/>
    <w:rsid w:val="00201348"/>
    <w:rsid w:val="002014D7"/>
    <w:rsid w:val="00201A4E"/>
    <w:rsid w:val="00201B09"/>
    <w:rsid w:val="00201C8A"/>
    <w:rsid w:val="00202525"/>
    <w:rsid w:val="002035A2"/>
    <w:rsid w:val="00203887"/>
    <w:rsid w:val="002046D6"/>
    <w:rsid w:val="00204D09"/>
    <w:rsid w:val="00205C71"/>
    <w:rsid w:val="00205E32"/>
    <w:rsid w:val="002070C1"/>
    <w:rsid w:val="0020717B"/>
    <w:rsid w:val="002071DB"/>
    <w:rsid w:val="00207468"/>
    <w:rsid w:val="00207844"/>
    <w:rsid w:val="00210436"/>
    <w:rsid w:val="0021043B"/>
    <w:rsid w:val="0021054E"/>
    <w:rsid w:val="0021095C"/>
    <w:rsid w:val="00210AC5"/>
    <w:rsid w:val="00210E7E"/>
    <w:rsid w:val="00211084"/>
    <w:rsid w:val="00211254"/>
    <w:rsid w:val="002122AD"/>
    <w:rsid w:val="0021299B"/>
    <w:rsid w:val="002139CD"/>
    <w:rsid w:val="00213E88"/>
    <w:rsid w:val="00214C22"/>
    <w:rsid w:val="00214C4A"/>
    <w:rsid w:val="00214FDD"/>
    <w:rsid w:val="0021647A"/>
    <w:rsid w:val="002170FD"/>
    <w:rsid w:val="002175FD"/>
    <w:rsid w:val="0021781A"/>
    <w:rsid w:val="00217A9E"/>
    <w:rsid w:val="002201AC"/>
    <w:rsid w:val="0022067E"/>
    <w:rsid w:val="00221029"/>
    <w:rsid w:val="0022131F"/>
    <w:rsid w:val="002216BD"/>
    <w:rsid w:val="00221E89"/>
    <w:rsid w:val="00221FE8"/>
    <w:rsid w:val="00222F08"/>
    <w:rsid w:val="00223045"/>
    <w:rsid w:val="002237FD"/>
    <w:rsid w:val="0022383D"/>
    <w:rsid w:val="00223B99"/>
    <w:rsid w:val="00223DBF"/>
    <w:rsid w:val="0022435D"/>
    <w:rsid w:val="0022442C"/>
    <w:rsid w:val="002245B1"/>
    <w:rsid w:val="00224A1D"/>
    <w:rsid w:val="00225340"/>
    <w:rsid w:val="00226433"/>
    <w:rsid w:val="002269FF"/>
    <w:rsid w:val="002274F2"/>
    <w:rsid w:val="00227BE4"/>
    <w:rsid w:val="002303B3"/>
    <w:rsid w:val="00230D0C"/>
    <w:rsid w:val="00230EA4"/>
    <w:rsid w:val="002326BE"/>
    <w:rsid w:val="0023316C"/>
    <w:rsid w:val="002333EF"/>
    <w:rsid w:val="00233C0A"/>
    <w:rsid w:val="00233EA8"/>
    <w:rsid w:val="00233EE9"/>
    <w:rsid w:val="00235237"/>
    <w:rsid w:val="00235CCD"/>
    <w:rsid w:val="0023602F"/>
    <w:rsid w:val="00236048"/>
    <w:rsid w:val="002362ED"/>
    <w:rsid w:val="00237036"/>
    <w:rsid w:val="002372AC"/>
    <w:rsid w:val="00237A33"/>
    <w:rsid w:val="00240B0F"/>
    <w:rsid w:val="00240E54"/>
    <w:rsid w:val="00241314"/>
    <w:rsid w:val="00241B92"/>
    <w:rsid w:val="00241BD9"/>
    <w:rsid w:val="00242B67"/>
    <w:rsid w:val="00243381"/>
    <w:rsid w:val="00243EFD"/>
    <w:rsid w:val="002442A5"/>
    <w:rsid w:val="00244AF3"/>
    <w:rsid w:val="00244CB3"/>
    <w:rsid w:val="00244EFB"/>
    <w:rsid w:val="00245008"/>
    <w:rsid w:val="002451ED"/>
    <w:rsid w:val="0024561B"/>
    <w:rsid w:val="002458E4"/>
    <w:rsid w:val="00245DD8"/>
    <w:rsid w:val="002477EA"/>
    <w:rsid w:val="002506EE"/>
    <w:rsid w:val="00250E89"/>
    <w:rsid w:val="00252912"/>
    <w:rsid w:val="00252D49"/>
    <w:rsid w:val="00253C51"/>
    <w:rsid w:val="002548D3"/>
    <w:rsid w:val="0025568B"/>
    <w:rsid w:val="002561B7"/>
    <w:rsid w:val="00257054"/>
    <w:rsid w:val="00257131"/>
    <w:rsid w:val="002572D1"/>
    <w:rsid w:val="0025733E"/>
    <w:rsid w:val="00257F6B"/>
    <w:rsid w:val="002600E9"/>
    <w:rsid w:val="00260DC9"/>
    <w:rsid w:val="00261B4C"/>
    <w:rsid w:val="00261C50"/>
    <w:rsid w:val="00261DE4"/>
    <w:rsid w:val="00261E06"/>
    <w:rsid w:val="0026249A"/>
    <w:rsid w:val="002625B4"/>
    <w:rsid w:val="00263090"/>
    <w:rsid w:val="002640AD"/>
    <w:rsid w:val="0026452A"/>
    <w:rsid w:val="00264570"/>
    <w:rsid w:val="00264D98"/>
    <w:rsid w:val="00265054"/>
    <w:rsid w:val="0026523F"/>
    <w:rsid w:val="002659F4"/>
    <w:rsid w:val="0026696D"/>
    <w:rsid w:val="00266A00"/>
    <w:rsid w:val="00266BE6"/>
    <w:rsid w:val="00267127"/>
    <w:rsid w:val="00267325"/>
    <w:rsid w:val="00267935"/>
    <w:rsid w:val="002703AB"/>
    <w:rsid w:val="00270B8F"/>
    <w:rsid w:val="00271B39"/>
    <w:rsid w:val="00271CD9"/>
    <w:rsid w:val="0027313B"/>
    <w:rsid w:val="002731CD"/>
    <w:rsid w:val="00273CF6"/>
    <w:rsid w:val="00273F3E"/>
    <w:rsid w:val="00274F13"/>
    <w:rsid w:val="002752E7"/>
    <w:rsid w:val="00275388"/>
    <w:rsid w:val="00275567"/>
    <w:rsid w:val="00275D52"/>
    <w:rsid w:val="00276536"/>
    <w:rsid w:val="00276BC6"/>
    <w:rsid w:val="0027723E"/>
    <w:rsid w:val="002772D9"/>
    <w:rsid w:val="002772EA"/>
    <w:rsid w:val="00277FDA"/>
    <w:rsid w:val="0028026F"/>
    <w:rsid w:val="0028028C"/>
    <w:rsid w:val="00280915"/>
    <w:rsid w:val="00280BAD"/>
    <w:rsid w:val="002812B8"/>
    <w:rsid w:val="002814FA"/>
    <w:rsid w:val="00281922"/>
    <w:rsid w:val="00281DA0"/>
    <w:rsid w:val="0028242D"/>
    <w:rsid w:val="00282D45"/>
    <w:rsid w:val="00283253"/>
    <w:rsid w:val="002836C6"/>
    <w:rsid w:val="0028615B"/>
    <w:rsid w:val="00286DFC"/>
    <w:rsid w:val="00287102"/>
    <w:rsid w:val="00290002"/>
    <w:rsid w:val="0029069C"/>
    <w:rsid w:val="002913B8"/>
    <w:rsid w:val="0029244F"/>
    <w:rsid w:val="00293B82"/>
    <w:rsid w:val="00293DA4"/>
    <w:rsid w:val="0029446B"/>
    <w:rsid w:val="002965D8"/>
    <w:rsid w:val="002A0381"/>
    <w:rsid w:val="002A0425"/>
    <w:rsid w:val="002A0651"/>
    <w:rsid w:val="002A06BD"/>
    <w:rsid w:val="002A11FB"/>
    <w:rsid w:val="002A120C"/>
    <w:rsid w:val="002A1996"/>
    <w:rsid w:val="002A1F00"/>
    <w:rsid w:val="002A1F34"/>
    <w:rsid w:val="002A2185"/>
    <w:rsid w:val="002A21D9"/>
    <w:rsid w:val="002A334F"/>
    <w:rsid w:val="002A3F84"/>
    <w:rsid w:val="002A41C2"/>
    <w:rsid w:val="002A4C00"/>
    <w:rsid w:val="002A52CC"/>
    <w:rsid w:val="002A55AD"/>
    <w:rsid w:val="002A588A"/>
    <w:rsid w:val="002A58FF"/>
    <w:rsid w:val="002A5C6C"/>
    <w:rsid w:val="002A5FBD"/>
    <w:rsid w:val="002A6046"/>
    <w:rsid w:val="002A632B"/>
    <w:rsid w:val="002A6542"/>
    <w:rsid w:val="002A6C04"/>
    <w:rsid w:val="002A6E4D"/>
    <w:rsid w:val="002A7153"/>
    <w:rsid w:val="002A728A"/>
    <w:rsid w:val="002A7310"/>
    <w:rsid w:val="002A73C5"/>
    <w:rsid w:val="002A7D4F"/>
    <w:rsid w:val="002B011D"/>
    <w:rsid w:val="002B021E"/>
    <w:rsid w:val="002B0899"/>
    <w:rsid w:val="002B08F6"/>
    <w:rsid w:val="002B23B5"/>
    <w:rsid w:val="002B2CF6"/>
    <w:rsid w:val="002B2E09"/>
    <w:rsid w:val="002B366D"/>
    <w:rsid w:val="002B3C7C"/>
    <w:rsid w:val="002B4B5E"/>
    <w:rsid w:val="002B4F70"/>
    <w:rsid w:val="002B6528"/>
    <w:rsid w:val="002B6861"/>
    <w:rsid w:val="002B6DB3"/>
    <w:rsid w:val="002C065B"/>
    <w:rsid w:val="002C08AB"/>
    <w:rsid w:val="002C183E"/>
    <w:rsid w:val="002C1AA0"/>
    <w:rsid w:val="002C1D83"/>
    <w:rsid w:val="002C237E"/>
    <w:rsid w:val="002C24DC"/>
    <w:rsid w:val="002C3057"/>
    <w:rsid w:val="002C365A"/>
    <w:rsid w:val="002C44A2"/>
    <w:rsid w:val="002C467A"/>
    <w:rsid w:val="002C4AC6"/>
    <w:rsid w:val="002C526F"/>
    <w:rsid w:val="002C55AB"/>
    <w:rsid w:val="002C588A"/>
    <w:rsid w:val="002C5B4B"/>
    <w:rsid w:val="002C5EEF"/>
    <w:rsid w:val="002C6527"/>
    <w:rsid w:val="002D13DF"/>
    <w:rsid w:val="002D3B6B"/>
    <w:rsid w:val="002D41A4"/>
    <w:rsid w:val="002D603D"/>
    <w:rsid w:val="002D6332"/>
    <w:rsid w:val="002D7FC5"/>
    <w:rsid w:val="002E00AD"/>
    <w:rsid w:val="002E032F"/>
    <w:rsid w:val="002E075F"/>
    <w:rsid w:val="002E08C1"/>
    <w:rsid w:val="002E0B56"/>
    <w:rsid w:val="002E0B5D"/>
    <w:rsid w:val="002E0B99"/>
    <w:rsid w:val="002E1650"/>
    <w:rsid w:val="002E1DA6"/>
    <w:rsid w:val="002E214F"/>
    <w:rsid w:val="002E24BD"/>
    <w:rsid w:val="002E27B9"/>
    <w:rsid w:val="002E3C98"/>
    <w:rsid w:val="002E4681"/>
    <w:rsid w:val="002E4D51"/>
    <w:rsid w:val="002E554F"/>
    <w:rsid w:val="002E57C9"/>
    <w:rsid w:val="002E6371"/>
    <w:rsid w:val="002E6A58"/>
    <w:rsid w:val="002E6D98"/>
    <w:rsid w:val="002E7881"/>
    <w:rsid w:val="002E7975"/>
    <w:rsid w:val="002E7A31"/>
    <w:rsid w:val="002F01F2"/>
    <w:rsid w:val="002F0F57"/>
    <w:rsid w:val="002F11D5"/>
    <w:rsid w:val="002F2B63"/>
    <w:rsid w:val="002F3765"/>
    <w:rsid w:val="002F44A0"/>
    <w:rsid w:val="002F4F44"/>
    <w:rsid w:val="002F50DA"/>
    <w:rsid w:val="002F56B1"/>
    <w:rsid w:val="002F584B"/>
    <w:rsid w:val="002F5EEE"/>
    <w:rsid w:val="002F5FC3"/>
    <w:rsid w:val="002F6EF2"/>
    <w:rsid w:val="002F79E2"/>
    <w:rsid w:val="002F7D39"/>
    <w:rsid w:val="002F7E4F"/>
    <w:rsid w:val="002F7E8D"/>
    <w:rsid w:val="003022E5"/>
    <w:rsid w:val="00302461"/>
    <w:rsid w:val="00302899"/>
    <w:rsid w:val="00302A04"/>
    <w:rsid w:val="003033D9"/>
    <w:rsid w:val="00303F98"/>
    <w:rsid w:val="00304338"/>
    <w:rsid w:val="003044F5"/>
    <w:rsid w:val="003051C9"/>
    <w:rsid w:val="00305C1F"/>
    <w:rsid w:val="00305D1D"/>
    <w:rsid w:val="00306B5E"/>
    <w:rsid w:val="0030700E"/>
    <w:rsid w:val="00307766"/>
    <w:rsid w:val="00307A2D"/>
    <w:rsid w:val="003100B2"/>
    <w:rsid w:val="00310D4B"/>
    <w:rsid w:val="00311161"/>
    <w:rsid w:val="003122A3"/>
    <w:rsid w:val="003130EA"/>
    <w:rsid w:val="003132C3"/>
    <w:rsid w:val="003137E8"/>
    <w:rsid w:val="00313A3B"/>
    <w:rsid w:val="00313BCE"/>
    <w:rsid w:val="00313E20"/>
    <w:rsid w:val="00314F5B"/>
    <w:rsid w:val="00314FA5"/>
    <w:rsid w:val="00315243"/>
    <w:rsid w:val="00315A94"/>
    <w:rsid w:val="003164FD"/>
    <w:rsid w:val="00316926"/>
    <w:rsid w:val="00317240"/>
    <w:rsid w:val="0031737C"/>
    <w:rsid w:val="00320073"/>
    <w:rsid w:val="003201A8"/>
    <w:rsid w:val="003203BF"/>
    <w:rsid w:val="00320626"/>
    <w:rsid w:val="00320DE9"/>
    <w:rsid w:val="003214C3"/>
    <w:rsid w:val="003214D6"/>
    <w:rsid w:val="003219DD"/>
    <w:rsid w:val="00321CC1"/>
    <w:rsid w:val="0032244E"/>
    <w:rsid w:val="003226A5"/>
    <w:rsid w:val="00323373"/>
    <w:rsid w:val="003242E5"/>
    <w:rsid w:val="00324DD8"/>
    <w:rsid w:val="00324F38"/>
    <w:rsid w:val="003256E0"/>
    <w:rsid w:val="00325E6C"/>
    <w:rsid w:val="00327114"/>
    <w:rsid w:val="003278F8"/>
    <w:rsid w:val="00327B3E"/>
    <w:rsid w:val="00327D2C"/>
    <w:rsid w:val="00327EA3"/>
    <w:rsid w:val="00330181"/>
    <w:rsid w:val="003308E0"/>
    <w:rsid w:val="00332227"/>
    <w:rsid w:val="00332486"/>
    <w:rsid w:val="0033321A"/>
    <w:rsid w:val="00333676"/>
    <w:rsid w:val="003336FD"/>
    <w:rsid w:val="00333A02"/>
    <w:rsid w:val="00333A55"/>
    <w:rsid w:val="00333D3B"/>
    <w:rsid w:val="00333E4C"/>
    <w:rsid w:val="00334224"/>
    <w:rsid w:val="0033425B"/>
    <w:rsid w:val="003342F6"/>
    <w:rsid w:val="00334680"/>
    <w:rsid w:val="00334DBC"/>
    <w:rsid w:val="003350A3"/>
    <w:rsid w:val="0033586C"/>
    <w:rsid w:val="00335EFB"/>
    <w:rsid w:val="003364EB"/>
    <w:rsid w:val="003374CB"/>
    <w:rsid w:val="00337D7C"/>
    <w:rsid w:val="00340405"/>
    <w:rsid w:val="00340445"/>
    <w:rsid w:val="00342098"/>
    <w:rsid w:val="00342BAE"/>
    <w:rsid w:val="003431F0"/>
    <w:rsid w:val="00344388"/>
    <w:rsid w:val="00345387"/>
    <w:rsid w:val="00345AD6"/>
    <w:rsid w:val="00345E2A"/>
    <w:rsid w:val="00345F25"/>
    <w:rsid w:val="00346772"/>
    <w:rsid w:val="00346E05"/>
    <w:rsid w:val="00350C97"/>
    <w:rsid w:val="00351F42"/>
    <w:rsid w:val="00352BC1"/>
    <w:rsid w:val="003536EE"/>
    <w:rsid w:val="00353939"/>
    <w:rsid w:val="00354E1D"/>
    <w:rsid w:val="00354FA4"/>
    <w:rsid w:val="00355855"/>
    <w:rsid w:val="003571E8"/>
    <w:rsid w:val="0035749F"/>
    <w:rsid w:val="00357CBA"/>
    <w:rsid w:val="003602AF"/>
    <w:rsid w:val="003619E8"/>
    <w:rsid w:val="00361FC9"/>
    <w:rsid w:val="0036206F"/>
    <w:rsid w:val="00363CCB"/>
    <w:rsid w:val="003640EA"/>
    <w:rsid w:val="003642A2"/>
    <w:rsid w:val="003646C5"/>
    <w:rsid w:val="00365006"/>
    <w:rsid w:val="00365258"/>
    <w:rsid w:val="00365ABF"/>
    <w:rsid w:val="00366FA8"/>
    <w:rsid w:val="0037017C"/>
    <w:rsid w:val="003703D0"/>
    <w:rsid w:val="003706B3"/>
    <w:rsid w:val="003709F9"/>
    <w:rsid w:val="00370F67"/>
    <w:rsid w:val="00372522"/>
    <w:rsid w:val="003728C9"/>
    <w:rsid w:val="00373353"/>
    <w:rsid w:val="00373923"/>
    <w:rsid w:val="003744B5"/>
    <w:rsid w:val="003745F2"/>
    <w:rsid w:val="00374BA5"/>
    <w:rsid w:val="003750DD"/>
    <w:rsid w:val="003756AA"/>
    <w:rsid w:val="00376309"/>
    <w:rsid w:val="003773D2"/>
    <w:rsid w:val="00377B2A"/>
    <w:rsid w:val="00377D0B"/>
    <w:rsid w:val="003805AC"/>
    <w:rsid w:val="00380AE6"/>
    <w:rsid w:val="00381308"/>
    <w:rsid w:val="00381408"/>
    <w:rsid w:val="003814E4"/>
    <w:rsid w:val="00381578"/>
    <w:rsid w:val="003824ED"/>
    <w:rsid w:val="00382561"/>
    <w:rsid w:val="00382B9E"/>
    <w:rsid w:val="00382C17"/>
    <w:rsid w:val="0038318E"/>
    <w:rsid w:val="00383BA5"/>
    <w:rsid w:val="003843EC"/>
    <w:rsid w:val="00384585"/>
    <w:rsid w:val="003847A5"/>
    <w:rsid w:val="00385229"/>
    <w:rsid w:val="003853E7"/>
    <w:rsid w:val="00387884"/>
    <w:rsid w:val="00387F66"/>
    <w:rsid w:val="0039022F"/>
    <w:rsid w:val="0039048F"/>
    <w:rsid w:val="003909DB"/>
    <w:rsid w:val="00391591"/>
    <w:rsid w:val="00392CF1"/>
    <w:rsid w:val="00393028"/>
    <w:rsid w:val="0039313E"/>
    <w:rsid w:val="003934F9"/>
    <w:rsid w:val="00393CB5"/>
    <w:rsid w:val="00394848"/>
    <w:rsid w:val="00394A73"/>
    <w:rsid w:val="00394BD9"/>
    <w:rsid w:val="00394CBF"/>
    <w:rsid w:val="00394D1B"/>
    <w:rsid w:val="00394EA1"/>
    <w:rsid w:val="00395AE1"/>
    <w:rsid w:val="003960EC"/>
    <w:rsid w:val="0039729C"/>
    <w:rsid w:val="00397BFA"/>
    <w:rsid w:val="003A03CE"/>
    <w:rsid w:val="003A0BE4"/>
    <w:rsid w:val="003A1771"/>
    <w:rsid w:val="003A1BD8"/>
    <w:rsid w:val="003A1CDA"/>
    <w:rsid w:val="003A1D06"/>
    <w:rsid w:val="003A1F30"/>
    <w:rsid w:val="003A236B"/>
    <w:rsid w:val="003A268D"/>
    <w:rsid w:val="003A2908"/>
    <w:rsid w:val="003A394A"/>
    <w:rsid w:val="003A3C39"/>
    <w:rsid w:val="003A3CAC"/>
    <w:rsid w:val="003A3EFB"/>
    <w:rsid w:val="003A407A"/>
    <w:rsid w:val="003A44F3"/>
    <w:rsid w:val="003A574F"/>
    <w:rsid w:val="003A58D0"/>
    <w:rsid w:val="003A6FDB"/>
    <w:rsid w:val="003B01FA"/>
    <w:rsid w:val="003B0A1B"/>
    <w:rsid w:val="003B1B85"/>
    <w:rsid w:val="003B23AD"/>
    <w:rsid w:val="003B246D"/>
    <w:rsid w:val="003B2926"/>
    <w:rsid w:val="003B3713"/>
    <w:rsid w:val="003B3AA5"/>
    <w:rsid w:val="003B445F"/>
    <w:rsid w:val="003B495A"/>
    <w:rsid w:val="003B4982"/>
    <w:rsid w:val="003B4B46"/>
    <w:rsid w:val="003B5C4E"/>
    <w:rsid w:val="003B65AB"/>
    <w:rsid w:val="003B6CFD"/>
    <w:rsid w:val="003B7115"/>
    <w:rsid w:val="003B77CE"/>
    <w:rsid w:val="003B7B4E"/>
    <w:rsid w:val="003C053A"/>
    <w:rsid w:val="003C0812"/>
    <w:rsid w:val="003C0BD9"/>
    <w:rsid w:val="003C0DD9"/>
    <w:rsid w:val="003C1E4A"/>
    <w:rsid w:val="003C1F0B"/>
    <w:rsid w:val="003C2E11"/>
    <w:rsid w:val="003C3323"/>
    <w:rsid w:val="003C3359"/>
    <w:rsid w:val="003C3E94"/>
    <w:rsid w:val="003C44A5"/>
    <w:rsid w:val="003C4544"/>
    <w:rsid w:val="003C488F"/>
    <w:rsid w:val="003C4DA4"/>
    <w:rsid w:val="003C4E2E"/>
    <w:rsid w:val="003C5286"/>
    <w:rsid w:val="003C5B59"/>
    <w:rsid w:val="003C63D8"/>
    <w:rsid w:val="003C6619"/>
    <w:rsid w:val="003D06D4"/>
    <w:rsid w:val="003D08DD"/>
    <w:rsid w:val="003D16D0"/>
    <w:rsid w:val="003D27FB"/>
    <w:rsid w:val="003D35B0"/>
    <w:rsid w:val="003D3FDB"/>
    <w:rsid w:val="003D482D"/>
    <w:rsid w:val="003D53DC"/>
    <w:rsid w:val="003D589A"/>
    <w:rsid w:val="003D5A2F"/>
    <w:rsid w:val="003D647B"/>
    <w:rsid w:val="003D6826"/>
    <w:rsid w:val="003D6E2F"/>
    <w:rsid w:val="003D7964"/>
    <w:rsid w:val="003D7BA8"/>
    <w:rsid w:val="003D7DF8"/>
    <w:rsid w:val="003E0E08"/>
    <w:rsid w:val="003E1C2F"/>
    <w:rsid w:val="003E1EDB"/>
    <w:rsid w:val="003E2286"/>
    <w:rsid w:val="003E27AC"/>
    <w:rsid w:val="003E2AFF"/>
    <w:rsid w:val="003E2D32"/>
    <w:rsid w:val="003E3074"/>
    <w:rsid w:val="003E3167"/>
    <w:rsid w:val="003E4428"/>
    <w:rsid w:val="003E4571"/>
    <w:rsid w:val="003E45C2"/>
    <w:rsid w:val="003E4DF3"/>
    <w:rsid w:val="003E5226"/>
    <w:rsid w:val="003E56DC"/>
    <w:rsid w:val="003E5802"/>
    <w:rsid w:val="003E622C"/>
    <w:rsid w:val="003E6315"/>
    <w:rsid w:val="003E6495"/>
    <w:rsid w:val="003E69D8"/>
    <w:rsid w:val="003E6B1E"/>
    <w:rsid w:val="003E6EAB"/>
    <w:rsid w:val="003E7E77"/>
    <w:rsid w:val="003F0CC4"/>
    <w:rsid w:val="003F179E"/>
    <w:rsid w:val="003F1823"/>
    <w:rsid w:val="003F1DDF"/>
    <w:rsid w:val="003F1F28"/>
    <w:rsid w:val="003F253B"/>
    <w:rsid w:val="003F3ED0"/>
    <w:rsid w:val="003F447B"/>
    <w:rsid w:val="003F4F4B"/>
    <w:rsid w:val="003F50A1"/>
    <w:rsid w:val="003F5132"/>
    <w:rsid w:val="003F65B3"/>
    <w:rsid w:val="003F6B1B"/>
    <w:rsid w:val="003F6BA8"/>
    <w:rsid w:val="003F7D12"/>
    <w:rsid w:val="003F7F24"/>
    <w:rsid w:val="00400133"/>
    <w:rsid w:val="004004F2"/>
    <w:rsid w:val="0040061D"/>
    <w:rsid w:val="004009A7"/>
    <w:rsid w:val="00400A0B"/>
    <w:rsid w:val="00400A9F"/>
    <w:rsid w:val="00400D1B"/>
    <w:rsid w:val="004015AD"/>
    <w:rsid w:val="00401E65"/>
    <w:rsid w:val="00402593"/>
    <w:rsid w:val="004025F3"/>
    <w:rsid w:val="00402776"/>
    <w:rsid w:val="00402AB6"/>
    <w:rsid w:val="00402FEE"/>
    <w:rsid w:val="004030E9"/>
    <w:rsid w:val="00403343"/>
    <w:rsid w:val="004035B9"/>
    <w:rsid w:val="00403DA9"/>
    <w:rsid w:val="00404F25"/>
    <w:rsid w:val="00405A2A"/>
    <w:rsid w:val="00405AF2"/>
    <w:rsid w:val="00405C91"/>
    <w:rsid w:val="00405E73"/>
    <w:rsid w:val="004061A4"/>
    <w:rsid w:val="004061E0"/>
    <w:rsid w:val="0040632D"/>
    <w:rsid w:val="004077BD"/>
    <w:rsid w:val="00407B04"/>
    <w:rsid w:val="00407BC7"/>
    <w:rsid w:val="00407C5E"/>
    <w:rsid w:val="00410BE7"/>
    <w:rsid w:val="00410D26"/>
    <w:rsid w:val="0041105B"/>
    <w:rsid w:val="004124E8"/>
    <w:rsid w:val="00413625"/>
    <w:rsid w:val="00413661"/>
    <w:rsid w:val="00413BFD"/>
    <w:rsid w:val="004146C1"/>
    <w:rsid w:val="00414A4F"/>
    <w:rsid w:val="00415756"/>
    <w:rsid w:val="00415B9C"/>
    <w:rsid w:val="00415FC6"/>
    <w:rsid w:val="0041688D"/>
    <w:rsid w:val="004168DB"/>
    <w:rsid w:val="00416907"/>
    <w:rsid w:val="00416A9F"/>
    <w:rsid w:val="004170BB"/>
    <w:rsid w:val="00417D63"/>
    <w:rsid w:val="004201B7"/>
    <w:rsid w:val="00421FC0"/>
    <w:rsid w:val="00422A18"/>
    <w:rsid w:val="00422B01"/>
    <w:rsid w:val="00423668"/>
    <w:rsid w:val="00423C36"/>
    <w:rsid w:val="004242E7"/>
    <w:rsid w:val="00424697"/>
    <w:rsid w:val="00424B8A"/>
    <w:rsid w:val="00424DD1"/>
    <w:rsid w:val="00425A62"/>
    <w:rsid w:val="00426433"/>
    <w:rsid w:val="00426B44"/>
    <w:rsid w:val="004274CF"/>
    <w:rsid w:val="00427BF1"/>
    <w:rsid w:val="00430051"/>
    <w:rsid w:val="004304D3"/>
    <w:rsid w:val="00430640"/>
    <w:rsid w:val="00430E30"/>
    <w:rsid w:val="00432AF7"/>
    <w:rsid w:val="004342A5"/>
    <w:rsid w:val="0043621F"/>
    <w:rsid w:val="00436AF4"/>
    <w:rsid w:val="00436D58"/>
    <w:rsid w:val="00437066"/>
    <w:rsid w:val="00437998"/>
    <w:rsid w:val="004379D3"/>
    <w:rsid w:val="004406D0"/>
    <w:rsid w:val="004407FB"/>
    <w:rsid w:val="00441233"/>
    <w:rsid w:val="0044149E"/>
    <w:rsid w:val="00441512"/>
    <w:rsid w:val="00441873"/>
    <w:rsid w:val="00441F5D"/>
    <w:rsid w:val="00442241"/>
    <w:rsid w:val="004424D0"/>
    <w:rsid w:val="00442D09"/>
    <w:rsid w:val="004434AB"/>
    <w:rsid w:val="00443DFB"/>
    <w:rsid w:val="0044427D"/>
    <w:rsid w:val="0044493B"/>
    <w:rsid w:val="00444C0A"/>
    <w:rsid w:val="00444CD2"/>
    <w:rsid w:val="0044510F"/>
    <w:rsid w:val="00445E9A"/>
    <w:rsid w:val="00446573"/>
    <w:rsid w:val="0044696A"/>
    <w:rsid w:val="004469FF"/>
    <w:rsid w:val="0045026B"/>
    <w:rsid w:val="004503FD"/>
    <w:rsid w:val="00450BA1"/>
    <w:rsid w:val="00450E38"/>
    <w:rsid w:val="0045124F"/>
    <w:rsid w:val="004515EC"/>
    <w:rsid w:val="0045181C"/>
    <w:rsid w:val="00451AE9"/>
    <w:rsid w:val="00451DFC"/>
    <w:rsid w:val="00453895"/>
    <w:rsid w:val="004540FE"/>
    <w:rsid w:val="00454176"/>
    <w:rsid w:val="004548A5"/>
    <w:rsid w:val="00454B0F"/>
    <w:rsid w:val="004553EB"/>
    <w:rsid w:val="00455D28"/>
    <w:rsid w:val="00455D9A"/>
    <w:rsid w:val="004562BC"/>
    <w:rsid w:val="004562F1"/>
    <w:rsid w:val="004567EA"/>
    <w:rsid w:val="00456A9B"/>
    <w:rsid w:val="0045708B"/>
    <w:rsid w:val="00460233"/>
    <w:rsid w:val="004619CC"/>
    <w:rsid w:val="00461A62"/>
    <w:rsid w:val="00461E36"/>
    <w:rsid w:val="0046392A"/>
    <w:rsid w:val="0046451D"/>
    <w:rsid w:val="00464A3F"/>
    <w:rsid w:val="00464A7E"/>
    <w:rsid w:val="004652F8"/>
    <w:rsid w:val="00465B3E"/>
    <w:rsid w:val="00465C0D"/>
    <w:rsid w:val="00465DED"/>
    <w:rsid w:val="004662D1"/>
    <w:rsid w:val="00466945"/>
    <w:rsid w:val="00466ED5"/>
    <w:rsid w:val="00467388"/>
    <w:rsid w:val="00470261"/>
    <w:rsid w:val="00470367"/>
    <w:rsid w:val="004705C5"/>
    <w:rsid w:val="00470934"/>
    <w:rsid w:val="00470AE5"/>
    <w:rsid w:val="0047124D"/>
    <w:rsid w:val="004717B7"/>
    <w:rsid w:val="00471CC8"/>
    <w:rsid w:val="00471F5C"/>
    <w:rsid w:val="00473546"/>
    <w:rsid w:val="0047365F"/>
    <w:rsid w:val="00474CD6"/>
    <w:rsid w:val="004751E7"/>
    <w:rsid w:val="0047562B"/>
    <w:rsid w:val="00475D1D"/>
    <w:rsid w:val="00477276"/>
    <w:rsid w:val="004776B9"/>
    <w:rsid w:val="00477C17"/>
    <w:rsid w:val="004813C6"/>
    <w:rsid w:val="004818F7"/>
    <w:rsid w:val="00481B7C"/>
    <w:rsid w:val="00482DF6"/>
    <w:rsid w:val="0048578C"/>
    <w:rsid w:val="00485872"/>
    <w:rsid w:val="00485EA4"/>
    <w:rsid w:val="004868AB"/>
    <w:rsid w:val="00486C08"/>
    <w:rsid w:val="0048757E"/>
    <w:rsid w:val="00487C54"/>
    <w:rsid w:val="00487F2E"/>
    <w:rsid w:val="00490561"/>
    <w:rsid w:val="0049059F"/>
    <w:rsid w:val="00492CA8"/>
    <w:rsid w:val="00493018"/>
    <w:rsid w:val="004932D3"/>
    <w:rsid w:val="00493783"/>
    <w:rsid w:val="00493EFE"/>
    <w:rsid w:val="004940C3"/>
    <w:rsid w:val="004945B1"/>
    <w:rsid w:val="00494C12"/>
    <w:rsid w:val="0049511F"/>
    <w:rsid w:val="0049523D"/>
    <w:rsid w:val="00495625"/>
    <w:rsid w:val="00496420"/>
    <w:rsid w:val="00496B30"/>
    <w:rsid w:val="00496C58"/>
    <w:rsid w:val="004975A9"/>
    <w:rsid w:val="004977A8"/>
    <w:rsid w:val="00497E2B"/>
    <w:rsid w:val="004A002C"/>
    <w:rsid w:val="004A0AD0"/>
    <w:rsid w:val="004A0F14"/>
    <w:rsid w:val="004A1565"/>
    <w:rsid w:val="004A1D55"/>
    <w:rsid w:val="004A262B"/>
    <w:rsid w:val="004A2B58"/>
    <w:rsid w:val="004A2E82"/>
    <w:rsid w:val="004A3080"/>
    <w:rsid w:val="004A33CF"/>
    <w:rsid w:val="004A3D79"/>
    <w:rsid w:val="004A4862"/>
    <w:rsid w:val="004A4E10"/>
    <w:rsid w:val="004A565E"/>
    <w:rsid w:val="004A59A4"/>
    <w:rsid w:val="004A6E06"/>
    <w:rsid w:val="004A73C9"/>
    <w:rsid w:val="004A7475"/>
    <w:rsid w:val="004A7F95"/>
    <w:rsid w:val="004B261D"/>
    <w:rsid w:val="004B35DD"/>
    <w:rsid w:val="004B6062"/>
    <w:rsid w:val="004B7F2B"/>
    <w:rsid w:val="004C067A"/>
    <w:rsid w:val="004C1447"/>
    <w:rsid w:val="004C262D"/>
    <w:rsid w:val="004C2758"/>
    <w:rsid w:val="004C3CB6"/>
    <w:rsid w:val="004C54EE"/>
    <w:rsid w:val="004C57D7"/>
    <w:rsid w:val="004C586A"/>
    <w:rsid w:val="004C6477"/>
    <w:rsid w:val="004C6F5B"/>
    <w:rsid w:val="004C7132"/>
    <w:rsid w:val="004C725E"/>
    <w:rsid w:val="004C73AB"/>
    <w:rsid w:val="004C77BC"/>
    <w:rsid w:val="004D032D"/>
    <w:rsid w:val="004D03B3"/>
    <w:rsid w:val="004D05E3"/>
    <w:rsid w:val="004D0729"/>
    <w:rsid w:val="004D07D8"/>
    <w:rsid w:val="004D10AE"/>
    <w:rsid w:val="004D176E"/>
    <w:rsid w:val="004D1F1A"/>
    <w:rsid w:val="004D241E"/>
    <w:rsid w:val="004D3409"/>
    <w:rsid w:val="004D36B7"/>
    <w:rsid w:val="004D411E"/>
    <w:rsid w:val="004D591C"/>
    <w:rsid w:val="004D5B92"/>
    <w:rsid w:val="004D5ED0"/>
    <w:rsid w:val="004D6A22"/>
    <w:rsid w:val="004D6CA1"/>
    <w:rsid w:val="004D6F8E"/>
    <w:rsid w:val="004D7070"/>
    <w:rsid w:val="004D7151"/>
    <w:rsid w:val="004D7D6F"/>
    <w:rsid w:val="004D7DAB"/>
    <w:rsid w:val="004E019A"/>
    <w:rsid w:val="004E05BE"/>
    <w:rsid w:val="004E0BF6"/>
    <w:rsid w:val="004E0D9C"/>
    <w:rsid w:val="004E10C4"/>
    <w:rsid w:val="004E1BC0"/>
    <w:rsid w:val="004E2860"/>
    <w:rsid w:val="004E345A"/>
    <w:rsid w:val="004E3F06"/>
    <w:rsid w:val="004E4394"/>
    <w:rsid w:val="004E52D5"/>
    <w:rsid w:val="004E59C7"/>
    <w:rsid w:val="004E5C61"/>
    <w:rsid w:val="004E67CC"/>
    <w:rsid w:val="004E6BED"/>
    <w:rsid w:val="004E754F"/>
    <w:rsid w:val="004F0090"/>
    <w:rsid w:val="004F0094"/>
    <w:rsid w:val="004F091C"/>
    <w:rsid w:val="004F10DF"/>
    <w:rsid w:val="004F1279"/>
    <w:rsid w:val="004F1DD7"/>
    <w:rsid w:val="004F266B"/>
    <w:rsid w:val="004F2CF9"/>
    <w:rsid w:val="004F3163"/>
    <w:rsid w:val="004F3E76"/>
    <w:rsid w:val="004F4097"/>
    <w:rsid w:val="004F4B8F"/>
    <w:rsid w:val="004F5901"/>
    <w:rsid w:val="004F59D0"/>
    <w:rsid w:val="004F5B1F"/>
    <w:rsid w:val="004F644E"/>
    <w:rsid w:val="004F76DE"/>
    <w:rsid w:val="004F797F"/>
    <w:rsid w:val="004F7E38"/>
    <w:rsid w:val="0050043A"/>
    <w:rsid w:val="00500875"/>
    <w:rsid w:val="00500F74"/>
    <w:rsid w:val="005011A8"/>
    <w:rsid w:val="0050193A"/>
    <w:rsid w:val="00501956"/>
    <w:rsid w:val="00501E03"/>
    <w:rsid w:val="00501E5A"/>
    <w:rsid w:val="00501EB7"/>
    <w:rsid w:val="00502668"/>
    <w:rsid w:val="0050276C"/>
    <w:rsid w:val="005027F7"/>
    <w:rsid w:val="0050367F"/>
    <w:rsid w:val="00503E1C"/>
    <w:rsid w:val="00503FE5"/>
    <w:rsid w:val="00504068"/>
    <w:rsid w:val="00504889"/>
    <w:rsid w:val="005049EE"/>
    <w:rsid w:val="00504F17"/>
    <w:rsid w:val="00505297"/>
    <w:rsid w:val="0050563F"/>
    <w:rsid w:val="0050650A"/>
    <w:rsid w:val="00507045"/>
    <w:rsid w:val="00507643"/>
    <w:rsid w:val="00507FA4"/>
    <w:rsid w:val="005100BF"/>
    <w:rsid w:val="00510424"/>
    <w:rsid w:val="00510D49"/>
    <w:rsid w:val="0051105A"/>
    <w:rsid w:val="0051110D"/>
    <w:rsid w:val="00511D21"/>
    <w:rsid w:val="005120FE"/>
    <w:rsid w:val="00512690"/>
    <w:rsid w:val="00512B7A"/>
    <w:rsid w:val="00512CCA"/>
    <w:rsid w:val="00512EFD"/>
    <w:rsid w:val="005134DC"/>
    <w:rsid w:val="0051352C"/>
    <w:rsid w:val="00513896"/>
    <w:rsid w:val="00513998"/>
    <w:rsid w:val="0051453F"/>
    <w:rsid w:val="00514823"/>
    <w:rsid w:val="00514E08"/>
    <w:rsid w:val="00515523"/>
    <w:rsid w:val="00516294"/>
    <w:rsid w:val="00516640"/>
    <w:rsid w:val="00516987"/>
    <w:rsid w:val="00517097"/>
    <w:rsid w:val="00517439"/>
    <w:rsid w:val="005174ED"/>
    <w:rsid w:val="00517982"/>
    <w:rsid w:val="00517F8B"/>
    <w:rsid w:val="005202AA"/>
    <w:rsid w:val="00520894"/>
    <w:rsid w:val="00520A35"/>
    <w:rsid w:val="00521376"/>
    <w:rsid w:val="0052173E"/>
    <w:rsid w:val="00521B62"/>
    <w:rsid w:val="00521FE3"/>
    <w:rsid w:val="00522FA1"/>
    <w:rsid w:val="00523995"/>
    <w:rsid w:val="00523B53"/>
    <w:rsid w:val="00523BBD"/>
    <w:rsid w:val="0052405C"/>
    <w:rsid w:val="005241B2"/>
    <w:rsid w:val="00524351"/>
    <w:rsid w:val="00524414"/>
    <w:rsid w:val="005244D3"/>
    <w:rsid w:val="00524818"/>
    <w:rsid w:val="00524D1C"/>
    <w:rsid w:val="00524D26"/>
    <w:rsid w:val="00525027"/>
    <w:rsid w:val="005265E5"/>
    <w:rsid w:val="005266E1"/>
    <w:rsid w:val="00527307"/>
    <w:rsid w:val="00527637"/>
    <w:rsid w:val="00527E4A"/>
    <w:rsid w:val="00530122"/>
    <w:rsid w:val="00530202"/>
    <w:rsid w:val="00530617"/>
    <w:rsid w:val="00530B1B"/>
    <w:rsid w:val="005313D4"/>
    <w:rsid w:val="005316D5"/>
    <w:rsid w:val="00531C5E"/>
    <w:rsid w:val="00532A52"/>
    <w:rsid w:val="00532FBE"/>
    <w:rsid w:val="005352B6"/>
    <w:rsid w:val="00535772"/>
    <w:rsid w:val="005360B6"/>
    <w:rsid w:val="00536139"/>
    <w:rsid w:val="0053616B"/>
    <w:rsid w:val="00536AB7"/>
    <w:rsid w:val="0053785A"/>
    <w:rsid w:val="00540796"/>
    <w:rsid w:val="005408EA"/>
    <w:rsid w:val="00540B90"/>
    <w:rsid w:val="00541618"/>
    <w:rsid w:val="005418F9"/>
    <w:rsid w:val="00541F2C"/>
    <w:rsid w:val="005422F4"/>
    <w:rsid w:val="005426BA"/>
    <w:rsid w:val="0054330F"/>
    <w:rsid w:val="00543654"/>
    <w:rsid w:val="005438BB"/>
    <w:rsid w:val="005439CF"/>
    <w:rsid w:val="00543AB5"/>
    <w:rsid w:val="005448D4"/>
    <w:rsid w:val="005459D3"/>
    <w:rsid w:val="00545B7C"/>
    <w:rsid w:val="00545D4C"/>
    <w:rsid w:val="00545FC1"/>
    <w:rsid w:val="00546C0C"/>
    <w:rsid w:val="00547260"/>
    <w:rsid w:val="00547A02"/>
    <w:rsid w:val="00547A8E"/>
    <w:rsid w:val="00547D3F"/>
    <w:rsid w:val="00550163"/>
    <w:rsid w:val="00550FF4"/>
    <w:rsid w:val="00551A35"/>
    <w:rsid w:val="00552287"/>
    <w:rsid w:val="005531EF"/>
    <w:rsid w:val="0055408C"/>
    <w:rsid w:val="00555289"/>
    <w:rsid w:val="00555AEF"/>
    <w:rsid w:val="00556DFE"/>
    <w:rsid w:val="00557BE8"/>
    <w:rsid w:val="00560452"/>
    <w:rsid w:val="0056097F"/>
    <w:rsid w:val="00560E39"/>
    <w:rsid w:val="005622D6"/>
    <w:rsid w:val="00562AD4"/>
    <w:rsid w:val="00563583"/>
    <w:rsid w:val="005635DB"/>
    <w:rsid w:val="00563722"/>
    <w:rsid w:val="00563E78"/>
    <w:rsid w:val="00564CC4"/>
    <w:rsid w:val="00565126"/>
    <w:rsid w:val="0056554D"/>
    <w:rsid w:val="0056605B"/>
    <w:rsid w:val="005660CD"/>
    <w:rsid w:val="00566509"/>
    <w:rsid w:val="00566BEE"/>
    <w:rsid w:val="005677FA"/>
    <w:rsid w:val="005705DB"/>
    <w:rsid w:val="005709EF"/>
    <w:rsid w:val="0057109F"/>
    <w:rsid w:val="00571971"/>
    <w:rsid w:val="005721D9"/>
    <w:rsid w:val="00572770"/>
    <w:rsid w:val="00572A16"/>
    <w:rsid w:val="00572D02"/>
    <w:rsid w:val="005731E7"/>
    <w:rsid w:val="00573353"/>
    <w:rsid w:val="00573836"/>
    <w:rsid w:val="00573C96"/>
    <w:rsid w:val="00574200"/>
    <w:rsid w:val="00574266"/>
    <w:rsid w:val="00574539"/>
    <w:rsid w:val="00574776"/>
    <w:rsid w:val="00574ADD"/>
    <w:rsid w:val="00574BF4"/>
    <w:rsid w:val="00575FD0"/>
    <w:rsid w:val="00576547"/>
    <w:rsid w:val="005766D7"/>
    <w:rsid w:val="00576ED0"/>
    <w:rsid w:val="00576F87"/>
    <w:rsid w:val="005800A3"/>
    <w:rsid w:val="00580E5C"/>
    <w:rsid w:val="00581587"/>
    <w:rsid w:val="00581F5A"/>
    <w:rsid w:val="00582B82"/>
    <w:rsid w:val="00582EF6"/>
    <w:rsid w:val="00583464"/>
    <w:rsid w:val="00583A9B"/>
    <w:rsid w:val="00585D80"/>
    <w:rsid w:val="00586A60"/>
    <w:rsid w:val="0058774E"/>
    <w:rsid w:val="00587847"/>
    <w:rsid w:val="00587868"/>
    <w:rsid w:val="00587E0C"/>
    <w:rsid w:val="00591025"/>
    <w:rsid w:val="00591555"/>
    <w:rsid w:val="00592E85"/>
    <w:rsid w:val="00592F69"/>
    <w:rsid w:val="00593557"/>
    <w:rsid w:val="005935DB"/>
    <w:rsid w:val="0059385F"/>
    <w:rsid w:val="005946F1"/>
    <w:rsid w:val="00595BF2"/>
    <w:rsid w:val="00597E2F"/>
    <w:rsid w:val="005A02B7"/>
    <w:rsid w:val="005A07C9"/>
    <w:rsid w:val="005A10EF"/>
    <w:rsid w:val="005A12C1"/>
    <w:rsid w:val="005A12E3"/>
    <w:rsid w:val="005A1307"/>
    <w:rsid w:val="005A1548"/>
    <w:rsid w:val="005A1D55"/>
    <w:rsid w:val="005A371D"/>
    <w:rsid w:val="005A385F"/>
    <w:rsid w:val="005A4642"/>
    <w:rsid w:val="005A4851"/>
    <w:rsid w:val="005A4B6B"/>
    <w:rsid w:val="005A5344"/>
    <w:rsid w:val="005A579A"/>
    <w:rsid w:val="005A5C02"/>
    <w:rsid w:val="005A6614"/>
    <w:rsid w:val="005A66D1"/>
    <w:rsid w:val="005A708D"/>
    <w:rsid w:val="005A7559"/>
    <w:rsid w:val="005A7587"/>
    <w:rsid w:val="005A7A5A"/>
    <w:rsid w:val="005B1ADB"/>
    <w:rsid w:val="005B1C58"/>
    <w:rsid w:val="005B2A88"/>
    <w:rsid w:val="005B342A"/>
    <w:rsid w:val="005B37AA"/>
    <w:rsid w:val="005B4418"/>
    <w:rsid w:val="005B4B65"/>
    <w:rsid w:val="005B5529"/>
    <w:rsid w:val="005B645D"/>
    <w:rsid w:val="005B663F"/>
    <w:rsid w:val="005B6B95"/>
    <w:rsid w:val="005B6F4F"/>
    <w:rsid w:val="005B707A"/>
    <w:rsid w:val="005B7160"/>
    <w:rsid w:val="005B73A6"/>
    <w:rsid w:val="005B768C"/>
    <w:rsid w:val="005C0EE2"/>
    <w:rsid w:val="005C160D"/>
    <w:rsid w:val="005C1691"/>
    <w:rsid w:val="005C283A"/>
    <w:rsid w:val="005C33DE"/>
    <w:rsid w:val="005C3571"/>
    <w:rsid w:val="005C3983"/>
    <w:rsid w:val="005C3DAD"/>
    <w:rsid w:val="005C403A"/>
    <w:rsid w:val="005C4C1F"/>
    <w:rsid w:val="005C5F97"/>
    <w:rsid w:val="005C6799"/>
    <w:rsid w:val="005C6AC7"/>
    <w:rsid w:val="005C7036"/>
    <w:rsid w:val="005C7053"/>
    <w:rsid w:val="005D0181"/>
    <w:rsid w:val="005D1B22"/>
    <w:rsid w:val="005D1F87"/>
    <w:rsid w:val="005D247E"/>
    <w:rsid w:val="005D2797"/>
    <w:rsid w:val="005D2821"/>
    <w:rsid w:val="005D29AB"/>
    <w:rsid w:val="005D2AD9"/>
    <w:rsid w:val="005D383B"/>
    <w:rsid w:val="005D487B"/>
    <w:rsid w:val="005D569E"/>
    <w:rsid w:val="005D6A20"/>
    <w:rsid w:val="005D75A8"/>
    <w:rsid w:val="005D7F63"/>
    <w:rsid w:val="005D7FD7"/>
    <w:rsid w:val="005E0134"/>
    <w:rsid w:val="005E01D6"/>
    <w:rsid w:val="005E0D2C"/>
    <w:rsid w:val="005E0FBF"/>
    <w:rsid w:val="005E10AA"/>
    <w:rsid w:val="005E1A94"/>
    <w:rsid w:val="005E1E5E"/>
    <w:rsid w:val="005E2578"/>
    <w:rsid w:val="005E320C"/>
    <w:rsid w:val="005E3644"/>
    <w:rsid w:val="005E43D7"/>
    <w:rsid w:val="005E43D9"/>
    <w:rsid w:val="005E4D2B"/>
    <w:rsid w:val="005E4DFD"/>
    <w:rsid w:val="005E4E92"/>
    <w:rsid w:val="005E5326"/>
    <w:rsid w:val="005E5E26"/>
    <w:rsid w:val="005E5F05"/>
    <w:rsid w:val="005E60DE"/>
    <w:rsid w:val="005E6788"/>
    <w:rsid w:val="005E778F"/>
    <w:rsid w:val="005E78C9"/>
    <w:rsid w:val="005E78D5"/>
    <w:rsid w:val="005F0DF2"/>
    <w:rsid w:val="005F1192"/>
    <w:rsid w:val="005F1569"/>
    <w:rsid w:val="005F1684"/>
    <w:rsid w:val="005F186F"/>
    <w:rsid w:val="005F2A09"/>
    <w:rsid w:val="005F354D"/>
    <w:rsid w:val="005F41E6"/>
    <w:rsid w:val="005F48E7"/>
    <w:rsid w:val="005F5C60"/>
    <w:rsid w:val="005F5D4D"/>
    <w:rsid w:val="005F65D7"/>
    <w:rsid w:val="005F7277"/>
    <w:rsid w:val="0060015E"/>
    <w:rsid w:val="00600FF2"/>
    <w:rsid w:val="0060107B"/>
    <w:rsid w:val="00601744"/>
    <w:rsid w:val="00601EEB"/>
    <w:rsid w:val="0060324A"/>
    <w:rsid w:val="00603B00"/>
    <w:rsid w:val="00604156"/>
    <w:rsid w:val="006041F6"/>
    <w:rsid w:val="00604586"/>
    <w:rsid w:val="00604591"/>
    <w:rsid w:val="00604A3E"/>
    <w:rsid w:val="00604E98"/>
    <w:rsid w:val="00605593"/>
    <w:rsid w:val="0060751C"/>
    <w:rsid w:val="00607D49"/>
    <w:rsid w:val="00607E9C"/>
    <w:rsid w:val="00610586"/>
    <w:rsid w:val="00610A0E"/>
    <w:rsid w:val="00611ED2"/>
    <w:rsid w:val="00611EE1"/>
    <w:rsid w:val="00613239"/>
    <w:rsid w:val="00614D9F"/>
    <w:rsid w:val="0061600A"/>
    <w:rsid w:val="00616417"/>
    <w:rsid w:val="0061657A"/>
    <w:rsid w:val="00617620"/>
    <w:rsid w:val="006177C3"/>
    <w:rsid w:val="00620141"/>
    <w:rsid w:val="006203C2"/>
    <w:rsid w:val="0062090B"/>
    <w:rsid w:val="00620CCA"/>
    <w:rsid w:val="0062159C"/>
    <w:rsid w:val="00622077"/>
    <w:rsid w:val="00622880"/>
    <w:rsid w:val="00622A7B"/>
    <w:rsid w:val="00623647"/>
    <w:rsid w:val="00623D4B"/>
    <w:rsid w:val="006246EF"/>
    <w:rsid w:val="00624C5D"/>
    <w:rsid w:val="00625599"/>
    <w:rsid w:val="00627AAB"/>
    <w:rsid w:val="00627B99"/>
    <w:rsid w:val="00627E79"/>
    <w:rsid w:val="006300C1"/>
    <w:rsid w:val="006304B1"/>
    <w:rsid w:val="00631533"/>
    <w:rsid w:val="00631EC7"/>
    <w:rsid w:val="0063209E"/>
    <w:rsid w:val="006335B0"/>
    <w:rsid w:val="00633D19"/>
    <w:rsid w:val="00633D42"/>
    <w:rsid w:val="00634056"/>
    <w:rsid w:val="00634CAD"/>
    <w:rsid w:val="00634E82"/>
    <w:rsid w:val="006363FA"/>
    <w:rsid w:val="0063655E"/>
    <w:rsid w:val="00636979"/>
    <w:rsid w:val="00636B5D"/>
    <w:rsid w:val="006372D5"/>
    <w:rsid w:val="006379A7"/>
    <w:rsid w:val="00637EA1"/>
    <w:rsid w:val="00640237"/>
    <w:rsid w:val="0064124F"/>
    <w:rsid w:val="00641AB6"/>
    <w:rsid w:val="00642173"/>
    <w:rsid w:val="00642997"/>
    <w:rsid w:val="00642BFD"/>
    <w:rsid w:val="006436D0"/>
    <w:rsid w:val="00643F7D"/>
    <w:rsid w:val="00644C19"/>
    <w:rsid w:val="006453A3"/>
    <w:rsid w:val="00645BC8"/>
    <w:rsid w:val="00645DD3"/>
    <w:rsid w:val="0064650B"/>
    <w:rsid w:val="00646B2F"/>
    <w:rsid w:val="00646FF5"/>
    <w:rsid w:val="00647CD3"/>
    <w:rsid w:val="0065022E"/>
    <w:rsid w:val="0065047A"/>
    <w:rsid w:val="006510E7"/>
    <w:rsid w:val="00651D1E"/>
    <w:rsid w:val="006524CF"/>
    <w:rsid w:val="00652AB2"/>
    <w:rsid w:val="006532AB"/>
    <w:rsid w:val="006539B3"/>
    <w:rsid w:val="00653DB2"/>
    <w:rsid w:val="00654F65"/>
    <w:rsid w:val="006556B0"/>
    <w:rsid w:val="0065588A"/>
    <w:rsid w:val="00655983"/>
    <w:rsid w:val="00656065"/>
    <w:rsid w:val="00656AE4"/>
    <w:rsid w:val="006571CF"/>
    <w:rsid w:val="0065748E"/>
    <w:rsid w:val="00657934"/>
    <w:rsid w:val="00657A63"/>
    <w:rsid w:val="006604AF"/>
    <w:rsid w:val="0066067A"/>
    <w:rsid w:val="00660F59"/>
    <w:rsid w:val="006612B7"/>
    <w:rsid w:val="00661497"/>
    <w:rsid w:val="00661503"/>
    <w:rsid w:val="006617A5"/>
    <w:rsid w:val="00661EB0"/>
    <w:rsid w:val="0066235E"/>
    <w:rsid w:val="00662523"/>
    <w:rsid w:val="00662B0D"/>
    <w:rsid w:val="00663E53"/>
    <w:rsid w:val="006644CF"/>
    <w:rsid w:val="00666308"/>
    <w:rsid w:val="00666BB7"/>
    <w:rsid w:val="00666C4C"/>
    <w:rsid w:val="00667518"/>
    <w:rsid w:val="00670342"/>
    <w:rsid w:val="00670C82"/>
    <w:rsid w:val="00670D33"/>
    <w:rsid w:val="00671921"/>
    <w:rsid w:val="00671AFA"/>
    <w:rsid w:val="006722F6"/>
    <w:rsid w:val="006725F0"/>
    <w:rsid w:val="00672A00"/>
    <w:rsid w:val="0067332F"/>
    <w:rsid w:val="00674A25"/>
    <w:rsid w:val="00674DCE"/>
    <w:rsid w:val="00675104"/>
    <w:rsid w:val="006755EE"/>
    <w:rsid w:val="00675A8E"/>
    <w:rsid w:val="00675D1F"/>
    <w:rsid w:val="00676955"/>
    <w:rsid w:val="00676D3E"/>
    <w:rsid w:val="00677048"/>
    <w:rsid w:val="0068046C"/>
    <w:rsid w:val="006812C0"/>
    <w:rsid w:val="006817D3"/>
    <w:rsid w:val="00682313"/>
    <w:rsid w:val="006828B7"/>
    <w:rsid w:val="00683085"/>
    <w:rsid w:val="0068387C"/>
    <w:rsid w:val="00683942"/>
    <w:rsid w:val="00683ACE"/>
    <w:rsid w:val="00683E1A"/>
    <w:rsid w:val="0068574F"/>
    <w:rsid w:val="00686222"/>
    <w:rsid w:val="0068634C"/>
    <w:rsid w:val="00686C68"/>
    <w:rsid w:val="00686F04"/>
    <w:rsid w:val="00686F62"/>
    <w:rsid w:val="00687043"/>
    <w:rsid w:val="00690B64"/>
    <w:rsid w:val="00691F51"/>
    <w:rsid w:val="006922DF"/>
    <w:rsid w:val="00692328"/>
    <w:rsid w:val="0069241A"/>
    <w:rsid w:val="00693531"/>
    <w:rsid w:val="006935B9"/>
    <w:rsid w:val="00694848"/>
    <w:rsid w:val="00695224"/>
    <w:rsid w:val="006953B6"/>
    <w:rsid w:val="006959D4"/>
    <w:rsid w:val="00695AB8"/>
    <w:rsid w:val="00695AF5"/>
    <w:rsid w:val="00696667"/>
    <w:rsid w:val="00696EA4"/>
    <w:rsid w:val="00697A24"/>
    <w:rsid w:val="00697C1D"/>
    <w:rsid w:val="006A0902"/>
    <w:rsid w:val="006A0DC0"/>
    <w:rsid w:val="006A104A"/>
    <w:rsid w:val="006A158C"/>
    <w:rsid w:val="006A189A"/>
    <w:rsid w:val="006A1938"/>
    <w:rsid w:val="006A1BD9"/>
    <w:rsid w:val="006A1D13"/>
    <w:rsid w:val="006A20E5"/>
    <w:rsid w:val="006A231D"/>
    <w:rsid w:val="006A231F"/>
    <w:rsid w:val="006A256B"/>
    <w:rsid w:val="006A2F27"/>
    <w:rsid w:val="006A333F"/>
    <w:rsid w:val="006A33B2"/>
    <w:rsid w:val="006A38CC"/>
    <w:rsid w:val="006A48DE"/>
    <w:rsid w:val="006A4A68"/>
    <w:rsid w:val="006A5013"/>
    <w:rsid w:val="006A5734"/>
    <w:rsid w:val="006A610B"/>
    <w:rsid w:val="006A6598"/>
    <w:rsid w:val="006A6C76"/>
    <w:rsid w:val="006A75E1"/>
    <w:rsid w:val="006A7DA2"/>
    <w:rsid w:val="006B09B1"/>
    <w:rsid w:val="006B1298"/>
    <w:rsid w:val="006B1923"/>
    <w:rsid w:val="006B1CFA"/>
    <w:rsid w:val="006B260C"/>
    <w:rsid w:val="006B2E18"/>
    <w:rsid w:val="006B3D4C"/>
    <w:rsid w:val="006B445B"/>
    <w:rsid w:val="006B541F"/>
    <w:rsid w:val="006B5DC9"/>
    <w:rsid w:val="006B65F2"/>
    <w:rsid w:val="006B66F8"/>
    <w:rsid w:val="006B6C8C"/>
    <w:rsid w:val="006B6CDF"/>
    <w:rsid w:val="006B71C3"/>
    <w:rsid w:val="006B7604"/>
    <w:rsid w:val="006B77FE"/>
    <w:rsid w:val="006B7A32"/>
    <w:rsid w:val="006C0088"/>
    <w:rsid w:val="006C01F1"/>
    <w:rsid w:val="006C0CC8"/>
    <w:rsid w:val="006C0EE3"/>
    <w:rsid w:val="006C1D0E"/>
    <w:rsid w:val="006C1E75"/>
    <w:rsid w:val="006C1FFC"/>
    <w:rsid w:val="006C2185"/>
    <w:rsid w:val="006C2192"/>
    <w:rsid w:val="006C2237"/>
    <w:rsid w:val="006C2A33"/>
    <w:rsid w:val="006C3391"/>
    <w:rsid w:val="006C3C53"/>
    <w:rsid w:val="006C3CBA"/>
    <w:rsid w:val="006C3E30"/>
    <w:rsid w:val="006C3E96"/>
    <w:rsid w:val="006C4AC7"/>
    <w:rsid w:val="006C511D"/>
    <w:rsid w:val="006C5552"/>
    <w:rsid w:val="006C5F50"/>
    <w:rsid w:val="006D0435"/>
    <w:rsid w:val="006D05EF"/>
    <w:rsid w:val="006D0878"/>
    <w:rsid w:val="006D0BDD"/>
    <w:rsid w:val="006D0CB8"/>
    <w:rsid w:val="006D0CDA"/>
    <w:rsid w:val="006D133B"/>
    <w:rsid w:val="006D150F"/>
    <w:rsid w:val="006D2028"/>
    <w:rsid w:val="006D2762"/>
    <w:rsid w:val="006D2A1D"/>
    <w:rsid w:val="006D32D2"/>
    <w:rsid w:val="006D33A7"/>
    <w:rsid w:val="006D41C9"/>
    <w:rsid w:val="006D5920"/>
    <w:rsid w:val="006D59CA"/>
    <w:rsid w:val="006D6A01"/>
    <w:rsid w:val="006D776D"/>
    <w:rsid w:val="006D7DAF"/>
    <w:rsid w:val="006D7E04"/>
    <w:rsid w:val="006E0126"/>
    <w:rsid w:val="006E0848"/>
    <w:rsid w:val="006E11AC"/>
    <w:rsid w:val="006E28B4"/>
    <w:rsid w:val="006E42A9"/>
    <w:rsid w:val="006E4C76"/>
    <w:rsid w:val="006E5C0D"/>
    <w:rsid w:val="006E67A9"/>
    <w:rsid w:val="006E6FF8"/>
    <w:rsid w:val="006E7584"/>
    <w:rsid w:val="006F0B48"/>
    <w:rsid w:val="006F1D0E"/>
    <w:rsid w:val="006F1F52"/>
    <w:rsid w:val="006F2368"/>
    <w:rsid w:val="006F2601"/>
    <w:rsid w:val="006F2B93"/>
    <w:rsid w:val="006F2C93"/>
    <w:rsid w:val="006F4258"/>
    <w:rsid w:val="006F4A3B"/>
    <w:rsid w:val="006F4B32"/>
    <w:rsid w:val="006F6278"/>
    <w:rsid w:val="006F6F4D"/>
    <w:rsid w:val="006F7BB8"/>
    <w:rsid w:val="0070066B"/>
    <w:rsid w:val="00701022"/>
    <w:rsid w:val="0070184D"/>
    <w:rsid w:val="00701DDF"/>
    <w:rsid w:val="00702247"/>
    <w:rsid w:val="007033F1"/>
    <w:rsid w:val="00704CBD"/>
    <w:rsid w:val="00705148"/>
    <w:rsid w:val="0070597A"/>
    <w:rsid w:val="007059E9"/>
    <w:rsid w:val="00705DC2"/>
    <w:rsid w:val="0070655B"/>
    <w:rsid w:val="00706FFC"/>
    <w:rsid w:val="00707536"/>
    <w:rsid w:val="00707A84"/>
    <w:rsid w:val="00707DE3"/>
    <w:rsid w:val="00710292"/>
    <w:rsid w:val="00714054"/>
    <w:rsid w:val="00714083"/>
    <w:rsid w:val="007157B2"/>
    <w:rsid w:val="00716559"/>
    <w:rsid w:val="00716825"/>
    <w:rsid w:val="007205F0"/>
    <w:rsid w:val="0072127E"/>
    <w:rsid w:val="007215B3"/>
    <w:rsid w:val="0072271B"/>
    <w:rsid w:val="007237D7"/>
    <w:rsid w:val="00723C90"/>
    <w:rsid w:val="0072460F"/>
    <w:rsid w:val="00724702"/>
    <w:rsid w:val="00724AD9"/>
    <w:rsid w:val="00725268"/>
    <w:rsid w:val="007258FF"/>
    <w:rsid w:val="00725968"/>
    <w:rsid w:val="00725CA4"/>
    <w:rsid w:val="00725EFC"/>
    <w:rsid w:val="007264FB"/>
    <w:rsid w:val="00727237"/>
    <w:rsid w:val="00730B23"/>
    <w:rsid w:val="00731614"/>
    <w:rsid w:val="007325D2"/>
    <w:rsid w:val="00732A5E"/>
    <w:rsid w:val="00733153"/>
    <w:rsid w:val="0073339B"/>
    <w:rsid w:val="00733B22"/>
    <w:rsid w:val="00733FF7"/>
    <w:rsid w:val="007356DE"/>
    <w:rsid w:val="00735C72"/>
    <w:rsid w:val="007367CA"/>
    <w:rsid w:val="00736C6D"/>
    <w:rsid w:val="007377B5"/>
    <w:rsid w:val="00737C0A"/>
    <w:rsid w:val="00740187"/>
    <w:rsid w:val="0074160D"/>
    <w:rsid w:val="00741C58"/>
    <w:rsid w:val="00741C5E"/>
    <w:rsid w:val="00743262"/>
    <w:rsid w:val="00744153"/>
    <w:rsid w:val="007444BF"/>
    <w:rsid w:val="007444FA"/>
    <w:rsid w:val="00744BE0"/>
    <w:rsid w:val="0074533B"/>
    <w:rsid w:val="00745BD2"/>
    <w:rsid w:val="00746164"/>
    <w:rsid w:val="007463BC"/>
    <w:rsid w:val="00746A22"/>
    <w:rsid w:val="00746AEF"/>
    <w:rsid w:val="00746F94"/>
    <w:rsid w:val="00746FB8"/>
    <w:rsid w:val="00747C97"/>
    <w:rsid w:val="00747CEF"/>
    <w:rsid w:val="0075028B"/>
    <w:rsid w:val="00750D85"/>
    <w:rsid w:val="00750D90"/>
    <w:rsid w:val="00751041"/>
    <w:rsid w:val="00751196"/>
    <w:rsid w:val="00751C20"/>
    <w:rsid w:val="00752B74"/>
    <w:rsid w:val="00752E07"/>
    <w:rsid w:val="00752FEA"/>
    <w:rsid w:val="00753B52"/>
    <w:rsid w:val="00753F35"/>
    <w:rsid w:val="0075447B"/>
    <w:rsid w:val="0075523F"/>
    <w:rsid w:val="00755530"/>
    <w:rsid w:val="00755E79"/>
    <w:rsid w:val="007566DE"/>
    <w:rsid w:val="00756F86"/>
    <w:rsid w:val="0075777A"/>
    <w:rsid w:val="0076013E"/>
    <w:rsid w:val="007645ED"/>
    <w:rsid w:val="00765002"/>
    <w:rsid w:val="0076501C"/>
    <w:rsid w:val="007675F7"/>
    <w:rsid w:val="0077091F"/>
    <w:rsid w:val="00771266"/>
    <w:rsid w:val="00772036"/>
    <w:rsid w:val="0077203D"/>
    <w:rsid w:val="00772114"/>
    <w:rsid w:val="00772150"/>
    <w:rsid w:val="007721E3"/>
    <w:rsid w:val="00775850"/>
    <w:rsid w:val="00776534"/>
    <w:rsid w:val="007768AE"/>
    <w:rsid w:val="00776F7B"/>
    <w:rsid w:val="00777322"/>
    <w:rsid w:val="00777C1D"/>
    <w:rsid w:val="00777E1B"/>
    <w:rsid w:val="00780D57"/>
    <w:rsid w:val="00780F67"/>
    <w:rsid w:val="007811DE"/>
    <w:rsid w:val="007818C5"/>
    <w:rsid w:val="00781EF6"/>
    <w:rsid w:val="00781F40"/>
    <w:rsid w:val="00782CE7"/>
    <w:rsid w:val="00782F5F"/>
    <w:rsid w:val="00784306"/>
    <w:rsid w:val="00784450"/>
    <w:rsid w:val="00784DDD"/>
    <w:rsid w:val="00785434"/>
    <w:rsid w:val="007854AB"/>
    <w:rsid w:val="00785789"/>
    <w:rsid w:val="007857B5"/>
    <w:rsid w:val="00785F9C"/>
    <w:rsid w:val="00786820"/>
    <w:rsid w:val="00786D03"/>
    <w:rsid w:val="007874E8"/>
    <w:rsid w:val="00787A4E"/>
    <w:rsid w:val="00787E46"/>
    <w:rsid w:val="00790B36"/>
    <w:rsid w:val="00790C65"/>
    <w:rsid w:val="007914C4"/>
    <w:rsid w:val="007919AA"/>
    <w:rsid w:val="00792891"/>
    <w:rsid w:val="00794258"/>
    <w:rsid w:val="00794997"/>
    <w:rsid w:val="0079543C"/>
    <w:rsid w:val="00795707"/>
    <w:rsid w:val="007958A2"/>
    <w:rsid w:val="00795A32"/>
    <w:rsid w:val="00795C4E"/>
    <w:rsid w:val="007970DC"/>
    <w:rsid w:val="00797438"/>
    <w:rsid w:val="00797A25"/>
    <w:rsid w:val="00797EDC"/>
    <w:rsid w:val="007A03B1"/>
    <w:rsid w:val="007A0520"/>
    <w:rsid w:val="007A0605"/>
    <w:rsid w:val="007A0E19"/>
    <w:rsid w:val="007A0E2F"/>
    <w:rsid w:val="007A10E6"/>
    <w:rsid w:val="007A1136"/>
    <w:rsid w:val="007A241F"/>
    <w:rsid w:val="007A26FB"/>
    <w:rsid w:val="007A2E07"/>
    <w:rsid w:val="007A3506"/>
    <w:rsid w:val="007A4153"/>
    <w:rsid w:val="007A424B"/>
    <w:rsid w:val="007A46C9"/>
    <w:rsid w:val="007A4983"/>
    <w:rsid w:val="007A501A"/>
    <w:rsid w:val="007A530D"/>
    <w:rsid w:val="007A5CB7"/>
    <w:rsid w:val="007A5CE6"/>
    <w:rsid w:val="007A6113"/>
    <w:rsid w:val="007A6DFA"/>
    <w:rsid w:val="007A6F5D"/>
    <w:rsid w:val="007A7920"/>
    <w:rsid w:val="007A7B86"/>
    <w:rsid w:val="007B1A47"/>
    <w:rsid w:val="007B1DED"/>
    <w:rsid w:val="007B2741"/>
    <w:rsid w:val="007B3EEC"/>
    <w:rsid w:val="007B3F83"/>
    <w:rsid w:val="007B3FFF"/>
    <w:rsid w:val="007B47BA"/>
    <w:rsid w:val="007B4B17"/>
    <w:rsid w:val="007B62F5"/>
    <w:rsid w:val="007B7A1F"/>
    <w:rsid w:val="007B7ACF"/>
    <w:rsid w:val="007C07D2"/>
    <w:rsid w:val="007C0C41"/>
    <w:rsid w:val="007C0E51"/>
    <w:rsid w:val="007C0F7B"/>
    <w:rsid w:val="007C12FC"/>
    <w:rsid w:val="007C1A56"/>
    <w:rsid w:val="007C1BD2"/>
    <w:rsid w:val="007C22A2"/>
    <w:rsid w:val="007C2322"/>
    <w:rsid w:val="007C2370"/>
    <w:rsid w:val="007C44C4"/>
    <w:rsid w:val="007C4B16"/>
    <w:rsid w:val="007C573D"/>
    <w:rsid w:val="007C5EB7"/>
    <w:rsid w:val="007D02AD"/>
    <w:rsid w:val="007D0368"/>
    <w:rsid w:val="007D04E6"/>
    <w:rsid w:val="007D06EE"/>
    <w:rsid w:val="007D0D57"/>
    <w:rsid w:val="007D1D33"/>
    <w:rsid w:val="007D2628"/>
    <w:rsid w:val="007D2656"/>
    <w:rsid w:val="007D27C9"/>
    <w:rsid w:val="007D2C1F"/>
    <w:rsid w:val="007D2D2D"/>
    <w:rsid w:val="007D3809"/>
    <w:rsid w:val="007D3ABD"/>
    <w:rsid w:val="007D3E32"/>
    <w:rsid w:val="007D3F81"/>
    <w:rsid w:val="007D45FE"/>
    <w:rsid w:val="007D4A85"/>
    <w:rsid w:val="007D4BBF"/>
    <w:rsid w:val="007D52F4"/>
    <w:rsid w:val="007D53E8"/>
    <w:rsid w:val="007D5CFE"/>
    <w:rsid w:val="007D5FFC"/>
    <w:rsid w:val="007D6907"/>
    <w:rsid w:val="007D723B"/>
    <w:rsid w:val="007D7965"/>
    <w:rsid w:val="007E03E4"/>
    <w:rsid w:val="007E0EDD"/>
    <w:rsid w:val="007E0F1F"/>
    <w:rsid w:val="007E1165"/>
    <w:rsid w:val="007E1EBF"/>
    <w:rsid w:val="007E21CA"/>
    <w:rsid w:val="007E24F9"/>
    <w:rsid w:val="007E2D10"/>
    <w:rsid w:val="007E31D2"/>
    <w:rsid w:val="007E3300"/>
    <w:rsid w:val="007E3601"/>
    <w:rsid w:val="007E3899"/>
    <w:rsid w:val="007E4431"/>
    <w:rsid w:val="007E479E"/>
    <w:rsid w:val="007E5533"/>
    <w:rsid w:val="007E5555"/>
    <w:rsid w:val="007E5691"/>
    <w:rsid w:val="007E56DD"/>
    <w:rsid w:val="007E614B"/>
    <w:rsid w:val="007E6353"/>
    <w:rsid w:val="007E637E"/>
    <w:rsid w:val="007E7BB8"/>
    <w:rsid w:val="007E7BEA"/>
    <w:rsid w:val="007F0400"/>
    <w:rsid w:val="007F040C"/>
    <w:rsid w:val="007F0A9F"/>
    <w:rsid w:val="007F1B06"/>
    <w:rsid w:val="007F215B"/>
    <w:rsid w:val="007F2594"/>
    <w:rsid w:val="007F268D"/>
    <w:rsid w:val="007F2907"/>
    <w:rsid w:val="007F2930"/>
    <w:rsid w:val="007F2AD8"/>
    <w:rsid w:val="007F2BEA"/>
    <w:rsid w:val="007F3346"/>
    <w:rsid w:val="007F345B"/>
    <w:rsid w:val="007F36BA"/>
    <w:rsid w:val="007F3731"/>
    <w:rsid w:val="007F497F"/>
    <w:rsid w:val="007F5019"/>
    <w:rsid w:val="007F5124"/>
    <w:rsid w:val="007F53C0"/>
    <w:rsid w:val="007F577C"/>
    <w:rsid w:val="007F6AC2"/>
    <w:rsid w:val="00800F5C"/>
    <w:rsid w:val="00801AB1"/>
    <w:rsid w:val="00801EA6"/>
    <w:rsid w:val="00802C82"/>
    <w:rsid w:val="008033B8"/>
    <w:rsid w:val="008033C1"/>
    <w:rsid w:val="00803689"/>
    <w:rsid w:val="00803DDC"/>
    <w:rsid w:val="00803EBA"/>
    <w:rsid w:val="0080498C"/>
    <w:rsid w:val="008049DB"/>
    <w:rsid w:val="0080557B"/>
    <w:rsid w:val="00805B7B"/>
    <w:rsid w:val="00805D34"/>
    <w:rsid w:val="00806393"/>
    <w:rsid w:val="00806D7C"/>
    <w:rsid w:val="00806FF0"/>
    <w:rsid w:val="00810A80"/>
    <w:rsid w:val="00811009"/>
    <w:rsid w:val="00812CAB"/>
    <w:rsid w:val="00812D0A"/>
    <w:rsid w:val="00813405"/>
    <w:rsid w:val="0081357E"/>
    <w:rsid w:val="00813C9D"/>
    <w:rsid w:val="00814F99"/>
    <w:rsid w:val="00815C51"/>
    <w:rsid w:val="00816BEF"/>
    <w:rsid w:val="0081722B"/>
    <w:rsid w:val="008179EA"/>
    <w:rsid w:val="00817F99"/>
    <w:rsid w:val="0082025A"/>
    <w:rsid w:val="00820DCE"/>
    <w:rsid w:val="00820DEF"/>
    <w:rsid w:val="008210EA"/>
    <w:rsid w:val="00821B46"/>
    <w:rsid w:val="008222AD"/>
    <w:rsid w:val="00822512"/>
    <w:rsid w:val="00822561"/>
    <w:rsid w:val="008225F9"/>
    <w:rsid w:val="00822D3C"/>
    <w:rsid w:val="00822FFE"/>
    <w:rsid w:val="00823691"/>
    <w:rsid w:val="008239AF"/>
    <w:rsid w:val="008254A4"/>
    <w:rsid w:val="008275A6"/>
    <w:rsid w:val="00827773"/>
    <w:rsid w:val="00827B06"/>
    <w:rsid w:val="00827E2A"/>
    <w:rsid w:val="00830148"/>
    <w:rsid w:val="00830AF2"/>
    <w:rsid w:val="00830BFC"/>
    <w:rsid w:val="00830EAB"/>
    <w:rsid w:val="008310D2"/>
    <w:rsid w:val="00831F24"/>
    <w:rsid w:val="00832458"/>
    <w:rsid w:val="00832601"/>
    <w:rsid w:val="00832DD9"/>
    <w:rsid w:val="00832EE1"/>
    <w:rsid w:val="00833A00"/>
    <w:rsid w:val="0083687A"/>
    <w:rsid w:val="0083775C"/>
    <w:rsid w:val="008400CE"/>
    <w:rsid w:val="00841487"/>
    <w:rsid w:val="008415DF"/>
    <w:rsid w:val="0084170D"/>
    <w:rsid w:val="00841F99"/>
    <w:rsid w:val="0084293B"/>
    <w:rsid w:val="00842ACC"/>
    <w:rsid w:val="00842BD7"/>
    <w:rsid w:val="008430B9"/>
    <w:rsid w:val="00843A6E"/>
    <w:rsid w:val="008443F1"/>
    <w:rsid w:val="00844AC8"/>
    <w:rsid w:val="0084510F"/>
    <w:rsid w:val="0084544D"/>
    <w:rsid w:val="008454E1"/>
    <w:rsid w:val="00845E68"/>
    <w:rsid w:val="008460C4"/>
    <w:rsid w:val="008469B2"/>
    <w:rsid w:val="00847032"/>
    <w:rsid w:val="008472DB"/>
    <w:rsid w:val="008476CA"/>
    <w:rsid w:val="0084776B"/>
    <w:rsid w:val="00850E57"/>
    <w:rsid w:val="0085101E"/>
    <w:rsid w:val="00852470"/>
    <w:rsid w:val="008524EA"/>
    <w:rsid w:val="00852846"/>
    <w:rsid w:val="008538E8"/>
    <w:rsid w:val="00854CBF"/>
    <w:rsid w:val="00855CB8"/>
    <w:rsid w:val="00856618"/>
    <w:rsid w:val="008566CA"/>
    <w:rsid w:val="008568C5"/>
    <w:rsid w:val="00856B2E"/>
    <w:rsid w:val="008576E8"/>
    <w:rsid w:val="00862342"/>
    <w:rsid w:val="00862708"/>
    <w:rsid w:val="00862D18"/>
    <w:rsid w:val="008632E4"/>
    <w:rsid w:val="008638FB"/>
    <w:rsid w:val="00864BA7"/>
    <w:rsid w:val="00864FA0"/>
    <w:rsid w:val="00864FD5"/>
    <w:rsid w:val="00867216"/>
    <w:rsid w:val="0086743B"/>
    <w:rsid w:val="0087014B"/>
    <w:rsid w:val="00870347"/>
    <w:rsid w:val="008708C1"/>
    <w:rsid w:val="00870CEF"/>
    <w:rsid w:val="0087154B"/>
    <w:rsid w:val="00871579"/>
    <w:rsid w:val="00871B86"/>
    <w:rsid w:val="00872962"/>
    <w:rsid w:val="008729E8"/>
    <w:rsid w:val="008731BF"/>
    <w:rsid w:val="00873590"/>
    <w:rsid w:val="0087367B"/>
    <w:rsid w:val="0087379B"/>
    <w:rsid w:val="00873A05"/>
    <w:rsid w:val="00873C79"/>
    <w:rsid w:val="008742B8"/>
    <w:rsid w:val="008745FB"/>
    <w:rsid w:val="00874903"/>
    <w:rsid w:val="00874AFA"/>
    <w:rsid w:val="00874BE6"/>
    <w:rsid w:val="00874BEF"/>
    <w:rsid w:val="00874C43"/>
    <w:rsid w:val="00875044"/>
    <w:rsid w:val="00875196"/>
    <w:rsid w:val="008752CF"/>
    <w:rsid w:val="008752D5"/>
    <w:rsid w:val="00875D1B"/>
    <w:rsid w:val="00876093"/>
    <w:rsid w:val="008774B2"/>
    <w:rsid w:val="0088119F"/>
    <w:rsid w:val="008815C0"/>
    <w:rsid w:val="0088250C"/>
    <w:rsid w:val="008832BB"/>
    <w:rsid w:val="00884182"/>
    <w:rsid w:val="008844CC"/>
    <w:rsid w:val="00884DE8"/>
    <w:rsid w:val="0088512A"/>
    <w:rsid w:val="00885B9F"/>
    <w:rsid w:val="00885F38"/>
    <w:rsid w:val="008864C3"/>
    <w:rsid w:val="00886B83"/>
    <w:rsid w:val="00887AA2"/>
    <w:rsid w:val="008900AB"/>
    <w:rsid w:val="00890CC0"/>
    <w:rsid w:val="00891630"/>
    <w:rsid w:val="008916E6"/>
    <w:rsid w:val="00891B0F"/>
    <w:rsid w:val="0089263D"/>
    <w:rsid w:val="008926B9"/>
    <w:rsid w:val="00892BD6"/>
    <w:rsid w:val="00892C69"/>
    <w:rsid w:val="00892CA6"/>
    <w:rsid w:val="00893562"/>
    <w:rsid w:val="008935B1"/>
    <w:rsid w:val="00894579"/>
    <w:rsid w:val="00894BE7"/>
    <w:rsid w:val="008959FD"/>
    <w:rsid w:val="00895C6B"/>
    <w:rsid w:val="00896D0A"/>
    <w:rsid w:val="0089751D"/>
    <w:rsid w:val="00897A46"/>
    <w:rsid w:val="00897F8F"/>
    <w:rsid w:val="008A0126"/>
    <w:rsid w:val="008A07C5"/>
    <w:rsid w:val="008A0954"/>
    <w:rsid w:val="008A0D61"/>
    <w:rsid w:val="008A241B"/>
    <w:rsid w:val="008A2A96"/>
    <w:rsid w:val="008A3F58"/>
    <w:rsid w:val="008A4D01"/>
    <w:rsid w:val="008A531F"/>
    <w:rsid w:val="008A596A"/>
    <w:rsid w:val="008A5DAC"/>
    <w:rsid w:val="008A636F"/>
    <w:rsid w:val="008A6F31"/>
    <w:rsid w:val="008A7065"/>
    <w:rsid w:val="008A78FE"/>
    <w:rsid w:val="008A79F4"/>
    <w:rsid w:val="008A7EC2"/>
    <w:rsid w:val="008B11DE"/>
    <w:rsid w:val="008B1807"/>
    <w:rsid w:val="008B2637"/>
    <w:rsid w:val="008B2706"/>
    <w:rsid w:val="008B2FB4"/>
    <w:rsid w:val="008B3114"/>
    <w:rsid w:val="008B319C"/>
    <w:rsid w:val="008B3E6B"/>
    <w:rsid w:val="008B4A88"/>
    <w:rsid w:val="008B5768"/>
    <w:rsid w:val="008B591C"/>
    <w:rsid w:val="008B5B1F"/>
    <w:rsid w:val="008B5F93"/>
    <w:rsid w:val="008B5FD5"/>
    <w:rsid w:val="008B63BB"/>
    <w:rsid w:val="008B65E7"/>
    <w:rsid w:val="008B6948"/>
    <w:rsid w:val="008B6DA0"/>
    <w:rsid w:val="008B6E0E"/>
    <w:rsid w:val="008B71AE"/>
    <w:rsid w:val="008B761D"/>
    <w:rsid w:val="008C0190"/>
    <w:rsid w:val="008C01FF"/>
    <w:rsid w:val="008C0A9D"/>
    <w:rsid w:val="008C17E1"/>
    <w:rsid w:val="008C32C7"/>
    <w:rsid w:val="008C455A"/>
    <w:rsid w:val="008C4A4A"/>
    <w:rsid w:val="008C4CA8"/>
    <w:rsid w:val="008C4EDA"/>
    <w:rsid w:val="008C5305"/>
    <w:rsid w:val="008C5566"/>
    <w:rsid w:val="008C562A"/>
    <w:rsid w:val="008C5863"/>
    <w:rsid w:val="008C6D7A"/>
    <w:rsid w:val="008C7124"/>
    <w:rsid w:val="008C713E"/>
    <w:rsid w:val="008C76FE"/>
    <w:rsid w:val="008C7B9B"/>
    <w:rsid w:val="008D0D6B"/>
    <w:rsid w:val="008D0E73"/>
    <w:rsid w:val="008D0EAD"/>
    <w:rsid w:val="008D14B9"/>
    <w:rsid w:val="008D1648"/>
    <w:rsid w:val="008D2745"/>
    <w:rsid w:val="008D2A84"/>
    <w:rsid w:val="008D4D1D"/>
    <w:rsid w:val="008D5D67"/>
    <w:rsid w:val="008D5F2F"/>
    <w:rsid w:val="008D6448"/>
    <w:rsid w:val="008D7E7E"/>
    <w:rsid w:val="008E02FA"/>
    <w:rsid w:val="008E1922"/>
    <w:rsid w:val="008E1CD3"/>
    <w:rsid w:val="008E1F25"/>
    <w:rsid w:val="008E202D"/>
    <w:rsid w:val="008E27CB"/>
    <w:rsid w:val="008E2AE3"/>
    <w:rsid w:val="008E449D"/>
    <w:rsid w:val="008E57B4"/>
    <w:rsid w:val="008E58A8"/>
    <w:rsid w:val="008E5DD0"/>
    <w:rsid w:val="008E6374"/>
    <w:rsid w:val="008E6791"/>
    <w:rsid w:val="008E72A7"/>
    <w:rsid w:val="008E7C43"/>
    <w:rsid w:val="008F04AE"/>
    <w:rsid w:val="008F0682"/>
    <w:rsid w:val="008F06E3"/>
    <w:rsid w:val="008F0D7F"/>
    <w:rsid w:val="008F247C"/>
    <w:rsid w:val="008F2C96"/>
    <w:rsid w:val="008F349F"/>
    <w:rsid w:val="008F3767"/>
    <w:rsid w:val="008F3AB4"/>
    <w:rsid w:val="008F432B"/>
    <w:rsid w:val="008F43F9"/>
    <w:rsid w:val="008F4452"/>
    <w:rsid w:val="008F4F69"/>
    <w:rsid w:val="008F4FFD"/>
    <w:rsid w:val="008F53DF"/>
    <w:rsid w:val="008F6E39"/>
    <w:rsid w:val="00900473"/>
    <w:rsid w:val="009005B3"/>
    <w:rsid w:val="00900ED9"/>
    <w:rsid w:val="009013F6"/>
    <w:rsid w:val="00901880"/>
    <w:rsid w:val="009018CE"/>
    <w:rsid w:val="00901BEE"/>
    <w:rsid w:val="00901D16"/>
    <w:rsid w:val="00901EB2"/>
    <w:rsid w:val="00902AA5"/>
    <w:rsid w:val="009044CE"/>
    <w:rsid w:val="00904F14"/>
    <w:rsid w:val="0090562E"/>
    <w:rsid w:val="00905A66"/>
    <w:rsid w:val="00905DB4"/>
    <w:rsid w:val="00906446"/>
    <w:rsid w:val="00906459"/>
    <w:rsid w:val="00906C94"/>
    <w:rsid w:val="00911100"/>
    <w:rsid w:val="00911A6D"/>
    <w:rsid w:val="009130F8"/>
    <w:rsid w:val="00913494"/>
    <w:rsid w:val="009134BC"/>
    <w:rsid w:val="00913699"/>
    <w:rsid w:val="00913C46"/>
    <w:rsid w:val="00913F80"/>
    <w:rsid w:val="009144AB"/>
    <w:rsid w:val="00914654"/>
    <w:rsid w:val="00914F50"/>
    <w:rsid w:val="009152A9"/>
    <w:rsid w:val="00915CC4"/>
    <w:rsid w:val="0091602F"/>
    <w:rsid w:val="00916161"/>
    <w:rsid w:val="00916292"/>
    <w:rsid w:val="00916BE3"/>
    <w:rsid w:val="009175C2"/>
    <w:rsid w:val="0091789A"/>
    <w:rsid w:val="00917BAD"/>
    <w:rsid w:val="00917D64"/>
    <w:rsid w:val="009201D9"/>
    <w:rsid w:val="009209BA"/>
    <w:rsid w:val="0092251C"/>
    <w:rsid w:val="009226C5"/>
    <w:rsid w:val="009229C9"/>
    <w:rsid w:val="0092357A"/>
    <w:rsid w:val="0092402B"/>
    <w:rsid w:val="00924588"/>
    <w:rsid w:val="00924A9F"/>
    <w:rsid w:val="00925042"/>
    <w:rsid w:val="009251E0"/>
    <w:rsid w:val="00925E8E"/>
    <w:rsid w:val="009269BD"/>
    <w:rsid w:val="00926AA3"/>
    <w:rsid w:val="009303D6"/>
    <w:rsid w:val="00930B44"/>
    <w:rsid w:val="00931225"/>
    <w:rsid w:val="0093126B"/>
    <w:rsid w:val="0093128F"/>
    <w:rsid w:val="00931CCE"/>
    <w:rsid w:val="00931D72"/>
    <w:rsid w:val="00932288"/>
    <w:rsid w:val="00932774"/>
    <w:rsid w:val="00933023"/>
    <w:rsid w:val="00933603"/>
    <w:rsid w:val="009350DA"/>
    <w:rsid w:val="0093570B"/>
    <w:rsid w:val="009357E4"/>
    <w:rsid w:val="009362C2"/>
    <w:rsid w:val="0093646B"/>
    <w:rsid w:val="00937522"/>
    <w:rsid w:val="0093791B"/>
    <w:rsid w:val="009401AB"/>
    <w:rsid w:val="00940D6C"/>
    <w:rsid w:val="00941303"/>
    <w:rsid w:val="0094165E"/>
    <w:rsid w:val="00941FD2"/>
    <w:rsid w:val="009429B6"/>
    <w:rsid w:val="009443AE"/>
    <w:rsid w:val="00944B51"/>
    <w:rsid w:val="00944BA6"/>
    <w:rsid w:val="00944CFB"/>
    <w:rsid w:val="00944F50"/>
    <w:rsid w:val="00945022"/>
    <w:rsid w:val="00945199"/>
    <w:rsid w:val="009457AA"/>
    <w:rsid w:val="00945A29"/>
    <w:rsid w:val="00945BA0"/>
    <w:rsid w:val="00946797"/>
    <w:rsid w:val="00946800"/>
    <w:rsid w:val="00946822"/>
    <w:rsid w:val="00947C03"/>
    <w:rsid w:val="009511EB"/>
    <w:rsid w:val="00951479"/>
    <w:rsid w:val="00951870"/>
    <w:rsid w:val="00951EE6"/>
    <w:rsid w:val="00953D69"/>
    <w:rsid w:val="00954226"/>
    <w:rsid w:val="00954658"/>
    <w:rsid w:val="0095571E"/>
    <w:rsid w:val="00956153"/>
    <w:rsid w:val="009561B4"/>
    <w:rsid w:val="009565AE"/>
    <w:rsid w:val="00956AA3"/>
    <w:rsid w:val="009574B7"/>
    <w:rsid w:val="009605F6"/>
    <w:rsid w:val="009611D3"/>
    <w:rsid w:val="0096138E"/>
    <w:rsid w:val="0096171A"/>
    <w:rsid w:val="00962193"/>
    <w:rsid w:val="009627CF"/>
    <w:rsid w:val="00962A11"/>
    <w:rsid w:val="00962E7D"/>
    <w:rsid w:val="0096406A"/>
    <w:rsid w:val="00964A4F"/>
    <w:rsid w:val="00964D10"/>
    <w:rsid w:val="00965153"/>
    <w:rsid w:val="00965371"/>
    <w:rsid w:val="00965468"/>
    <w:rsid w:val="00965874"/>
    <w:rsid w:val="00965E71"/>
    <w:rsid w:val="009667F1"/>
    <w:rsid w:val="009668D3"/>
    <w:rsid w:val="009670C2"/>
    <w:rsid w:val="00970100"/>
    <w:rsid w:val="0097040B"/>
    <w:rsid w:val="00972177"/>
    <w:rsid w:val="00973222"/>
    <w:rsid w:val="00973DF4"/>
    <w:rsid w:val="00974624"/>
    <w:rsid w:val="00975087"/>
    <w:rsid w:val="00975C59"/>
    <w:rsid w:val="00975DEE"/>
    <w:rsid w:val="00976215"/>
    <w:rsid w:val="00976309"/>
    <w:rsid w:val="0097700C"/>
    <w:rsid w:val="009773D6"/>
    <w:rsid w:val="00977A8A"/>
    <w:rsid w:val="00977C0C"/>
    <w:rsid w:val="009808B3"/>
    <w:rsid w:val="0098149C"/>
    <w:rsid w:val="00982626"/>
    <w:rsid w:val="00982DCA"/>
    <w:rsid w:val="00983210"/>
    <w:rsid w:val="009833D1"/>
    <w:rsid w:val="0098376A"/>
    <w:rsid w:val="00983F50"/>
    <w:rsid w:val="0098413C"/>
    <w:rsid w:val="0098560B"/>
    <w:rsid w:val="0098605C"/>
    <w:rsid w:val="0098675C"/>
    <w:rsid w:val="00987290"/>
    <w:rsid w:val="009872EB"/>
    <w:rsid w:val="009876EE"/>
    <w:rsid w:val="00987AA2"/>
    <w:rsid w:val="00987B8C"/>
    <w:rsid w:val="00987CEE"/>
    <w:rsid w:val="00990C19"/>
    <w:rsid w:val="00991530"/>
    <w:rsid w:val="009916DA"/>
    <w:rsid w:val="00991D80"/>
    <w:rsid w:val="00991EA5"/>
    <w:rsid w:val="009920AC"/>
    <w:rsid w:val="00992B33"/>
    <w:rsid w:val="009945E8"/>
    <w:rsid w:val="00994FC7"/>
    <w:rsid w:val="009959BD"/>
    <w:rsid w:val="00995E92"/>
    <w:rsid w:val="00996363"/>
    <w:rsid w:val="009964CD"/>
    <w:rsid w:val="00997309"/>
    <w:rsid w:val="00997DE4"/>
    <w:rsid w:val="009A0338"/>
    <w:rsid w:val="009A055F"/>
    <w:rsid w:val="009A0F7D"/>
    <w:rsid w:val="009A1344"/>
    <w:rsid w:val="009A1365"/>
    <w:rsid w:val="009A14FA"/>
    <w:rsid w:val="009A20BC"/>
    <w:rsid w:val="009A24FB"/>
    <w:rsid w:val="009A26E1"/>
    <w:rsid w:val="009A2CF1"/>
    <w:rsid w:val="009A363C"/>
    <w:rsid w:val="009A3C08"/>
    <w:rsid w:val="009A4A0D"/>
    <w:rsid w:val="009A4AA5"/>
    <w:rsid w:val="009A55FF"/>
    <w:rsid w:val="009A57CD"/>
    <w:rsid w:val="009A5D5A"/>
    <w:rsid w:val="009A5DEE"/>
    <w:rsid w:val="009A6277"/>
    <w:rsid w:val="009A6783"/>
    <w:rsid w:val="009A73C8"/>
    <w:rsid w:val="009A76E5"/>
    <w:rsid w:val="009A7788"/>
    <w:rsid w:val="009A7AFF"/>
    <w:rsid w:val="009A7D13"/>
    <w:rsid w:val="009B030F"/>
    <w:rsid w:val="009B0472"/>
    <w:rsid w:val="009B0773"/>
    <w:rsid w:val="009B0DA6"/>
    <w:rsid w:val="009B1362"/>
    <w:rsid w:val="009B1A87"/>
    <w:rsid w:val="009B1B04"/>
    <w:rsid w:val="009B21EE"/>
    <w:rsid w:val="009B2247"/>
    <w:rsid w:val="009B2576"/>
    <w:rsid w:val="009B297F"/>
    <w:rsid w:val="009B298D"/>
    <w:rsid w:val="009B31C1"/>
    <w:rsid w:val="009B3D52"/>
    <w:rsid w:val="009B4548"/>
    <w:rsid w:val="009B4699"/>
    <w:rsid w:val="009B4E55"/>
    <w:rsid w:val="009B54BC"/>
    <w:rsid w:val="009B55EE"/>
    <w:rsid w:val="009B5882"/>
    <w:rsid w:val="009B6644"/>
    <w:rsid w:val="009B69BA"/>
    <w:rsid w:val="009C0631"/>
    <w:rsid w:val="009C1008"/>
    <w:rsid w:val="009C1AFF"/>
    <w:rsid w:val="009C218C"/>
    <w:rsid w:val="009C21E3"/>
    <w:rsid w:val="009C222F"/>
    <w:rsid w:val="009C25F1"/>
    <w:rsid w:val="009C2C60"/>
    <w:rsid w:val="009C3B12"/>
    <w:rsid w:val="009C3EC8"/>
    <w:rsid w:val="009C4186"/>
    <w:rsid w:val="009C47F5"/>
    <w:rsid w:val="009C59C1"/>
    <w:rsid w:val="009C6134"/>
    <w:rsid w:val="009C7301"/>
    <w:rsid w:val="009C749C"/>
    <w:rsid w:val="009C788F"/>
    <w:rsid w:val="009C7ACB"/>
    <w:rsid w:val="009C7EF2"/>
    <w:rsid w:val="009D135A"/>
    <w:rsid w:val="009D16E4"/>
    <w:rsid w:val="009D1A50"/>
    <w:rsid w:val="009D2F15"/>
    <w:rsid w:val="009D321C"/>
    <w:rsid w:val="009D32F7"/>
    <w:rsid w:val="009D3F25"/>
    <w:rsid w:val="009D4A53"/>
    <w:rsid w:val="009D4B3F"/>
    <w:rsid w:val="009D500B"/>
    <w:rsid w:val="009D5228"/>
    <w:rsid w:val="009D57AF"/>
    <w:rsid w:val="009D5899"/>
    <w:rsid w:val="009D5EFF"/>
    <w:rsid w:val="009D60D2"/>
    <w:rsid w:val="009D648F"/>
    <w:rsid w:val="009D737C"/>
    <w:rsid w:val="009D7683"/>
    <w:rsid w:val="009D7811"/>
    <w:rsid w:val="009D7E70"/>
    <w:rsid w:val="009D7EC6"/>
    <w:rsid w:val="009E0313"/>
    <w:rsid w:val="009E1C84"/>
    <w:rsid w:val="009E1E04"/>
    <w:rsid w:val="009E1FF9"/>
    <w:rsid w:val="009E4179"/>
    <w:rsid w:val="009E4732"/>
    <w:rsid w:val="009E59F4"/>
    <w:rsid w:val="009E5C5E"/>
    <w:rsid w:val="009E5D79"/>
    <w:rsid w:val="009E7266"/>
    <w:rsid w:val="009E7D74"/>
    <w:rsid w:val="009F0190"/>
    <w:rsid w:val="009F047C"/>
    <w:rsid w:val="009F0F0E"/>
    <w:rsid w:val="009F1217"/>
    <w:rsid w:val="009F1D5A"/>
    <w:rsid w:val="009F1DEF"/>
    <w:rsid w:val="009F2418"/>
    <w:rsid w:val="009F2588"/>
    <w:rsid w:val="009F36C5"/>
    <w:rsid w:val="009F3CE4"/>
    <w:rsid w:val="009F3D5F"/>
    <w:rsid w:val="009F51A2"/>
    <w:rsid w:val="009F5F4C"/>
    <w:rsid w:val="009F6D94"/>
    <w:rsid w:val="009F7480"/>
    <w:rsid w:val="009F7689"/>
    <w:rsid w:val="00A00170"/>
    <w:rsid w:val="00A00BB2"/>
    <w:rsid w:val="00A013B0"/>
    <w:rsid w:val="00A017CD"/>
    <w:rsid w:val="00A01E51"/>
    <w:rsid w:val="00A04494"/>
    <w:rsid w:val="00A04EC8"/>
    <w:rsid w:val="00A0546E"/>
    <w:rsid w:val="00A0551C"/>
    <w:rsid w:val="00A05BB8"/>
    <w:rsid w:val="00A06295"/>
    <w:rsid w:val="00A06427"/>
    <w:rsid w:val="00A07156"/>
    <w:rsid w:val="00A076BA"/>
    <w:rsid w:val="00A121A7"/>
    <w:rsid w:val="00A12416"/>
    <w:rsid w:val="00A125BD"/>
    <w:rsid w:val="00A12C45"/>
    <w:rsid w:val="00A136C6"/>
    <w:rsid w:val="00A136CE"/>
    <w:rsid w:val="00A13755"/>
    <w:rsid w:val="00A13A89"/>
    <w:rsid w:val="00A13AA8"/>
    <w:rsid w:val="00A13FE3"/>
    <w:rsid w:val="00A14158"/>
    <w:rsid w:val="00A14256"/>
    <w:rsid w:val="00A146AA"/>
    <w:rsid w:val="00A14BAC"/>
    <w:rsid w:val="00A14D5C"/>
    <w:rsid w:val="00A154F9"/>
    <w:rsid w:val="00A15D6B"/>
    <w:rsid w:val="00A1666B"/>
    <w:rsid w:val="00A16DD2"/>
    <w:rsid w:val="00A16FBE"/>
    <w:rsid w:val="00A170A7"/>
    <w:rsid w:val="00A17BA4"/>
    <w:rsid w:val="00A207DC"/>
    <w:rsid w:val="00A20CEB"/>
    <w:rsid w:val="00A21118"/>
    <w:rsid w:val="00A22977"/>
    <w:rsid w:val="00A229E4"/>
    <w:rsid w:val="00A232E0"/>
    <w:rsid w:val="00A23A82"/>
    <w:rsid w:val="00A241F9"/>
    <w:rsid w:val="00A24437"/>
    <w:rsid w:val="00A252B6"/>
    <w:rsid w:val="00A25FFF"/>
    <w:rsid w:val="00A2607B"/>
    <w:rsid w:val="00A27980"/>
    <w:rsid w:val="00A27A38"/>
    <w:rsid w:val="00A27C3C"/>
    <w:rsid w:val="00A27D03"/>
    <w:rsid w:val="00A27DB4"/>
    <w:rsid w:val="00A303A5"/>
    <w:rsid w:val="00A30430"/>
    <w:rsid w:val="00A30E89"/>
    <w:rsid w:val="00A314A0"/>
    <w:rsid w:val="00A31ADE"/>
    <w:rsid w:val="00A31C7D"/>
    <w:rsid w:val="00A320DB"/>
    <w:rsid w:val="00A3249C"/>
    <w:rsid w:val="00A32A75"/>
    <w:rsid w:val="00A33C93"/>
    <w:rsid w:val="00A3410E"/>
    <w:rsid w:val="00A3522A"/>
    <w:rsid w:val="00A35ACD"/>
    <w:rsid w:val="00A35AFF"/>
    <w:rsid w:val="00A36A84"/>
    <w:rsid w:val="00A370B4"/>
    <w:rsid w:val="00A37836"/>
    <w:rsid w:val="00A406E6"/>
    <w:rsid w:val="00A41B17"/>
    <w:rsid w:val="00A421B2"/>
    <w:rsid w:val="00A4292D"/>
    <w:rsid w:val="00A42E17"/>
    <w:rsid w:val="00A4329A"/>
    <w:rsid w:val="00A4334A"/>
    <w:rsid w:val="00A43DB0"/>
    <w:rsid w:val="00A443E2"/>
    <w:rsid w:val="00A450A0"/>
    <w:rsid w:val="00A45961"/>
    <w:rsid w:val="00A45B2B"/>
    <w:rsid w:val="00A46B6F"/>
    <w:rsid w:val="00A47C6D"/>
    <w:rsid w:val="00A50E22"/>
    <w:rsid w:val="00A5145B"/>
    <w:rsid w:val="00A51586"/>
    <w:rsid w:val="00A52936"/>
    <w:rsid w:val="00A52EE9"/>
    <w:rsid w:val="00A53746"/>
    <w:rsid w:val="00A54141"/>
    <w:rsid w:val="00A541FD"/>
    <w:rsid w:val="00A54589"/>
    <w:rsid w:val="00A54811"/>
    <w:rsid w:val="00A54BD8"/>
    <w:rsid w:val="00A54CB9"/>
    <w:rsid w:val="00A551E5"/>
    <w:rsid w:val="00A55987"/>
    <w:rsid w:val="00A560B3"/>
    <w:rsid w:val="00A56340"/>
    <w:rsid w:val="00A565AC"/>
    <w:rsid w:val="00A57688"/>
    <w:rsid w:val="00A57A69"/>
    <w:rsid w:val="00A57F82"/>
    <w:rsid w:val="00A60351"/>
    <w:rsid w:val="00A607BD"/>
    <w:rsid w:val="00A608B7"/>
    <w:rsid w:val="00A60FE1"/>
    <w:rsid w:val="00A61836"/>
    <w:rsid w:val="00A61853"/>
    <w:rsid w:val="00A618C6"/>
    <w:rsid w:val="00A622E3"/>
    <w:rsid w:val="00A62436"/>
    <w:rsid w:val="00A62A4D"/>
    <w:rsid w:val="00A62CC5"/>
    <w:rsid w:val="00A6317B"/>
    <w:rsid w:val="00A63184"/>
    <w:rsid w:val="00A639B1"/>
    <w:rsid w:val="00A63A95"/>
    <w:rsid w:val="00A63DF1"/>
    <w:rsid w:val="00A6410C"/>
    <w:rsid w:val="00A6435A"/>
    <w:rsid w:val="00A647CD"/>
    <w:rsid w:val="00A6560B"/>
    <w:rsid w:val="00A65C42"/>
    <w:rsid w:val="00A65EF7"/>
    <w:rsid w:val="00A66396"/>
    <w:rsid w:val="00A671D1"/>
    <w:rsid w:val="00A67879"/>
    <w:rsid w:val="00A67EF5"/>
    <w:rsid w:val="00A7218B"/>
    <w:rsid w:val="00A7234D"/>
    <w:rsid w:val="00A72703"/>
    <w:rsid w:val="00A72852"/>
    <w:rsid w:val="00A72E28"/>
    <w:rsid w:val="00A732BA"/>
    <w:rsid w:val="00A74454"/>
    <w:rsid w:val="00A754DD"/>
    <w:rsid w:val="00A75510"/>
    <w:rsid w:val="00A75723"/>
    <w:rsid w:val="00A75E47"/>
    <w:rsid w:val="00A766AD"/>
    <w:rsid w:val="00A76961"/>
    <w:rsid w:val="00A76BFB"/>
    <w:rsid w:val="00A8122B"/>
    <w:rsid w:val="00A81726"/>
    <w:rsid w:val="00A81A20"/>
    <w:rsid w:val="00A81B8D"/>
    <w:rsid w:val="00A81EC8"/>
    <w:rsid w:val="00A82EDC"/>
    <w:rsid w:val="00A82F09"/>
    <w:rsid w:val="00A8326D"/>
    <w:rsid w:val="00A83DDC"/>
    <w:rsid w:val="00A83F37"/>
    <w:rsid w:val="00A84018"/>
    <w:rsid w:val="00A84AF3"/>
    <w:rsid w:val="00A84BED"/>
    <w:rsid w:val="00A8536F"/>
    <w:rsid w:val="00A85511"/>
    <w:rsid w:val="00A857C4"/>
    <w:rsid w:val="00A85CD9"/>
    <w:rsid w:val="00A85E27"/>
    <w:rsid w:val="00A86D6F"/>
    <w:rsid w:val="00A86E3E"/>
    <w:rsid w:val="00A87BAE"/>
    <w:rsid w:val="00A9015D"/>
    <w:rsid w:val="00A90976"/>
    <w:rsid w:val="00A90B03"/>
    <w:rsid w:val="00A913A1"/>
    <w:rsid w:val="00A91ACB"/>
    <w:rsid w:val="00A92584"/>
    <w:rsid w:val="00A925DB"/>
    <w:rsid w:val="00A93DC6"/>
    <w:rsid w:val="00A94354"/>
    <w:rsid w:val="00A94796"/>
    <w:rsid w:val="00A94CEF"/>
    <w:rsid w:val="00A9501F"/>
    <w:rsid w:val="00A951AC"/>
    <w:rsid w:val="00A951C2"/>
    <w:rsid w:val="00A95452"/>
    <w:rsid w:val="00A95EE0"/>
    <w:rsid w:val="00A96B79"/>
    <w:rsid w:val="00A96EF6"/>
    <w:rsid w:val="00A97CF6"/>
    <w:rsid w:val="00AA096E"/>
    <w:rsid w:val="00AA1293"/>
    <w:rsid w:val="00AA14C3"/>
    <w:rsid w:val="00AA188D"/>
    <w:rsid w:val="00AA3EDF"/>
    <w:rsid w:val="00AA4239"/>
    <w:rsid w:val="00AA4D46"/>
    <w:rsid w:val="00AA5361"/>
    <w:rsid w:val="00AA54AE"/>
    <w:rsid w:val="00AA6816"/>
    <w:rsid w:val="00AA69E5"/>
    <w:rsid w:val="00AA7322"/>
    <w:rsid w:val="00AA75CE"/>
    <w:rsid w:val="00AB023A"/>
    <w:rsid w:val="00AB0C43"/>
    <w:rsid w:val="00AB1098"/>
    <w:rsid w:val="00AB173C"/>
    <w:rsid w:val="00AB188D"/>
    <w:rsid w:val="00AB1B38"/>
    <w:rsid w:val="00AB217D"/>
    <w:rsid w:val="00AB2581"/>
    <w:rsid w:val="00AB2643"/>
    <w:rsid w:val="00AB27C6"/>
    <w:rsid w:val="00AB3031"/>
    <w:rsid w:val="00AB3379"/>
    <w:rsid w:val="00AB3F05"/>
    <w:rsid w:val="00AB4013"/>
    <w:rsid w:val="00AB462F"/>
    <w:rsid w:val="00AB4BB5"/>
    <w:rsid w:val="00AB4C0D"/>
    <w:rsid w:val="00AB557D"/>
    <w:rsid w:val="00AB6477"/>
    <w:rsid w:val="00AB6533"/>
    <w:rsid w:val="00AB689D"/>
    <w:rsid w:val="00AB6EB6"/>
    <w:rsid w:val="00AB7675"/>
    <w:rsid w:val="00AB7AA7"/>
    <w:rsid w:val="00AB7E48"/>
    <w:rsid w:val="00AC070D"/>
    <w:rsid w:val="00AC1A14"/>
    <w:rsid w:val="00AC2A94"/>
    <w:rsid w:val="00AC322C"/>
    <w:rsid w:val="00AC33E2"/>
    <w:rsid w:val="00AC3674"/>
    <w:rsid w:val="00AC4423"/>
    <w:rsid w:val="00AC4A20"/>
    <w:rsid w:val="00AC4FEA"/>
    <w:rsid w:val="00AC5213"/>
    <w:rsid w:val="00AC53F3"/>
    <w:rsid w:val="00AC56B3"/>
    <w:rsid w:val="00AC584E"/>
    <w:rsid w:val="00AC5B6E"/>
    <w:rsid w:val="00AC5E1A"/>
    <w:rsid w:val="00AC7572"/>
    <w:rsid w:val="00AC7B80"/>
    <w:rsid w:val="00AD0A32"/>
    <w:rsid w:val="00AD1442"/>
    <w:rsid w:val="00AD14AB"/>
    <w:rsid w:val="00AD1B73"/>
    <w:rsid w:val="00AD20ED"/>
    <w:rsid w:val="00AD20FA"/>
    <w:rsid w:val="00AD2CBD"/>
    <w:rsid w:val="00AD2DED"/>
    <w:rsid w:val="00AD2F04"/>
    <w:rsid w:val="00AD2FE7"/>
    <w:rsid w:val="00AD30DD"/>
    <w:rsid w:val="00AD39EF"/>
    <w:rsid w:val="00AD3BC2"/>
    <w:rsid w:val="00AD4264"/>
    <w:rsid w:val="00AD4434"/>
    <w:rsid w:val="00AD53AA"/>
    <w:rsid w:val="00AD72BC"/>
    <w:rsid w:val="00AD79BF"/>
    <w:rsid w:val="00AD7C84"/>
    <w:rsid w:val="00AE03CE"/>
    <w:rsid w:val="00AE07E1"/>
    <w:rsid w:val="00AE1170"/>
    <w:rsid w:val="00AE1D52"/>
    <w:rsid w:val="00AE2133"/>
    <w:rsid w:val="00AE2622"/>
    <w:rsid w:val="00AE43F4"/>
    <w:rsid w:val="00AE4550"/>
    <w:rsid w:val="00AE5099"/>
    <w:rsid w:val="00AE50D3"/>
    <w:rsid w:val="00AE597B"/>
    <w:rsid w:val="00AE5A64"/>
    <w:rsid w:val="00AE606A"/>
    <w:rsid w:val="00AE7312"/>
    <w:rsid w:val="00AF013B"/>
    <w:rsid w:val="00AF0A66"/>
    <w:rsid w:val="00AF0CF8"/>
    <w:rsid w:val="00AF218F"/>
    <w:rsid w:val="00AF262C"/>
    <w:rsid w:val="00AF381C"/>
    <w:rsid w:val="00AF415A"/>
    <w:rsid w:val="00AF4288"/>
    <w:rsid w:val="00AF44F2"/>
    <w:rsid w:val="00AF4950"/>
    <w:rsid w:val="00AF53AB"/>
    <w:rsid w:val="00AF53BA"/>
    <w:rsid w:val="00AF69B4"/>
    <w:rsid w:val="00AF717B"/>
    <w:rsid w:val="00B00415"/>
    <w:rsid w:val="00B00CD0"/>
    <w:rsid w:val="00B00D77"/>
    <w:rsid w:val="00B0117B"/>
    <w:rsid w:val="00B011BD"/>
    <w:rsid w:val="00B01283"/>
    <w:rsid w:val="00B0153C"/>
    <w:rsid w:val="00B02A46"/>
    <w:rsid w:val="00B035B9"/>
    <w:rsid w:val="00B03EBB"/>
    <w:rsid w:val="00B04DD4"/>
    <w:rsid w:val="00B0530B"/>
    <w:rsid w:val="00B05993"/>
    <w:rsid w:val="00B060CD"/>
    <w:rsid w:val="00B0686C"/>
    <w:rsid w:val="00B06E97"/>
    <w:rsid w:val="00B077F2"/>
    <w:rsid w:val="00B102AD"/>
    <w:rsid w:val="00B10681"/>
    <w:rsid w:val="00B10B50"/>
    <w:rsid w:val="00B116D4"/>
    <w:rsid w:val="00B1238A"/>
    <w:rsid w:val="00B134E7"/>
    <w:rsid w:val="00B13A79"/>
    <w:rsid w:val="00B14B59"/>
    <w:rsid w:val="00B14FC0"/>
    <w:rsid w:val="00B159F7"/>
    <w:rsid w:val="00B1649D"/>
    <w:rsid w:val="00B16524"/>
    <w:rsid w:val="00B165E7"/>
    <w:rsid w:val="00B16E86"/>
    <w:rsid w:val="00B17315"/>
    <w:rsid w:val="00B20364"/>
    <w:rsid w:val="00B20661"/>
    <w:rsid w:val="00B2130C"/>
    <w:rsid w:val="00B215D0"/>
    <w:rsid w:val="00B21EDE"/>
    <w:rsid w:val="00B226A9"/>
    <w:rsid w:val="00B2300D"/>
    <w:rsid w:val="00B230F6"/>
    <w:rsid w:val="00B23139"/>
    <w:rsid w:val="00B232D6"/>
    <w:rsid w:val="00B23368"/>
    <w:rsid w:val="00B23539"/>
    <w:rsid w:val="00B23551"/>
    <w:rsid w:val="00B24DC8"/>
    <w:rsid w:val="00B25335"/>
    <w:rsid w:val="00B2556A"/>
    <w:rsid w:val="00B25FA0"/>
    <w:rsid w:val="00B26391"/>
    <w:rsid w:val="00B26A06"/>
    <w:rsid w:val="00B27AD5"/>
    <w:rsid w:val="00B27F3D"/>
    <w:rsid w:val="00B30E74"/>
    <w:rsid w:val="00B3108F"/>
    <w:rsid w:val="00B3114E"/>
    <w:rsid w:val="00B3148D"/>
    <w:rsid w:val="00B31CC5"/>
    <w:rsid w:val="00B32AD4"/>
    <w:rsid w:val="00B3357B"/>
    <w:rsid w:val="00B33D79"/>
    <w:rsid w:val="00B33E3B"/>
    <w:rsid w:val="00B33F59"/>
    <w:rsid w:val="00B34483"/>
    <w:rsid w:val="00B34DAE"/>
    <w:rsid w:val="00B359E3"/>
    <w:rsid w:val="00B365CA"/>
    <w:rsid w:val="00B36CA1"/>
    <w:rsid w:val="00B379C8"/>
    <w:rsid w:val="00B40514"/>
    <w:rsid w:val="00B41014"/>
    <w:rsid w:val="00B41534"/>
    <w:rsid w:val="00B4154B"/>
    <w:rsid w:val="00B41784"/>
    <w:rsid w:val="00B42E68"/>
    <w:rsid w:val="00B43910"/>
    <w:rsid w:val="00B4420E"/>
    <w:rsid w:val="00B45669"/>
    <w:rsid w:val="00B46554"/>
    <w:rsid w:val="00B466F0"/>
    <w:rsid w:val="00B467BB"/>
    <w:rsid w:val="00B47E3B"/>
    <w:rsid w:val="00B50892"/>
    <w:rsid w:val="00B511ED"/>
    <w:rsid w:val="00B51602"/>
    <w:rsid w:val="00B51F21"/>
    <w:rsid w:val="00B52540"/>
    <w:rsid w:val="00B53C34"/>
    <w:rsid w:val="00B53F0D"/>
    <w:rsid w:val="00B5455A"/>
    <w:rsid w:val="00B5657A"/>
    <w:rsid w:val="00B56B84"/>
    <w:rsid w:val="00B57961"/>
    <w:rsid w:val="00B57C56"/>
    <w:rsid w:val="00B60BE1"/>
    <w:rsid w:val="00B61614"/>
    <w:rsid w:val="00B61672"/>
    <w:rsid w:val="00B61B8F"/>
    <w:rsid w:val="00B61EEB"/>
    <w:rsid w:val="00B62488"/>
    <w:rsid w:val="00B628A4"/>
    <w:rsid w:val="00B62D2F"/>
    <w:rsid w:val="00B63293"/>
    <w:rsid w:val="00B64774"/>
    <w:rsid w:val="00B64B13"/>
    <w:rsid w:val="00B64D8D"/>
    <w:rsid w:val="00B64E06"/>
    <w:rsid w:val="00B65CB5"/>
    <w:rsid w:val="00B65D4A"/>
    <w:rsid w:val="00B668FC"/>
    <w:rsid w:val="00B66B65"/>
    <w:rsid w:val="00B70F06"/>
    <w:rsid w:val="00B70FEF"/>
    <w:rsid w:val="00B7145B"/>
    <w:rsid w:val="00B71881"/>
    <w:rsid w:val="00B718FB"/>
    <w:rsid w:val="00B721B5"/>
    <w:rsid w:val="00B728FD"/>
    <w:rsid w:val="00B72FA4"/>
    <w:rsid w:val="00B73290"/>
    <w:rsid w:val="00B7374F"/>
    <w:rsid w:val="00B74500"/>
    <w:rsid w:val="00B74AFB"/>
    <w:rsid w:val="00B7547E"/>
    <w:rsid w:val="00B754EA"/>
    <w:rsid w:val="00B75A04"/>
    <w:rsid w:val="00B7605A"/>
    <w:rsid w:val="00B768AD"/>
    <w:rsid w:val="00B76D77"/>
    <w:rsid w:val="00B7702D"/>
    <w:rsid w:val="00B774E3"/>
    <w:rsid w:val="00B7761D"/>
    <w:rsid w:val="00B77BCD"/>
    <w:rsid w:val="00B77E2A"/>
    <w:rsid w:val="00B8050E"/>
    <w:rsid w:val="00B80BF0"/>
    <w:rsid w:val="00B80E48"/>
    <w:rsid w:val="00B810CD"/>
    <w:rsid w:val="00B81196"/>
    <w:rsid w:val="00B81393"/>
    <w:rsid w:val="00B81607"/>
    <w:rsid w:val="00B81787"/>
    <w:rsid w:val="00B8280A"/>
    <w:rsid w:val="00B83638"/>
    <w:rsid w:val="00B839BC"/>
    <w:rsid w:val="00B84738"/>
    <w:rsid w:val="00B84B83"/>
    <w:rsid w:val="00B8517C"/>
    <w:rsid w:val="00B853F9"/>
    <w:rsid w:val="00B860D7"/>
    <w:rsid w:val="00B86158"/>
    <w:rsid w:val="00B868DC"/>
    <w:rsid w:val="00B92342"/>
    <w:rsid w:val="00B92412"/>
    <w:rsid w:val="00B92971"/>
    <w:rsid w:val="00B92D1A"/>
    <w:rsid w:val="00B93445"/>
    <w:rsid w:val="00B93720"/>
    <w:rsid w:val="00B938AB"/>
    <w:rsid w:val="00B939A1"/>
    <w:rsid w:val="00B93B87"/>
    <w:rsid w:val="00B9431E"/>
    <w:rsid w:val="00B9465D"/>
    <w:rsid w:val="00B9473D"/>
    <w:rsid w:val="00B94881"/>
    <w:rsid w:val="00B9517B"/>
    <w:rsid w:val="00B95517"/>
    <w:rsid w:val="00B95C12"/>
    <w:rsid w:val="00B961F1"/>
    <w:rsid w:val="00B96885"/>
    <w:rsid w:val="00B96C4E"/>
    <w:rsid w:val="00B973E7"/>
    <w:rsid w:val="00B979CC"/>
    <w:rsid w:val="00B97C50"/>
    <w:rsid w:val="00BA0AC7"/>
    <w:rsid w:val="00BA1434"/>
    <w:rsid w:val="00BA3212"/>
    <w:rsid w:val="00BA3B4B"/>
    <w:rsid w:val="00BA40BE"/>
    <w:rsid w:val="00BA467B"/>
    <w:rsid w:val="00BA4D41"/>
    <w:rsid w:val="00BA57F5"/>
    <w:rsid w:val="00BA58BB"/>
    <w:rsid w:val="00BA67FC"/>
    <w:rsid w:val="00BA6B8E"/>
    <w:rsid w:val="00BA70FF"/>
    <w:rsid w:val="00BA711E"/>
    <w:rsid w:val="00BA7285"/>
    <w:rsid w:val="00BA7BE8"/>
    <w:rsid w:val="00BB08F7"/>
    <w:rsid w:val="00BB0BA7"/>
    <w:rsid w:val="00BB0CA1"/>
    <w:rsid w:val="00BB133D"/>
    <w:rsid w:val="00BB1924"/>
    <w:rsid w:val="00BB26EB"/>
    <w:rsid w:val="00BB2C15"/>
    <w:rsid w:val="00BB37AA"/>
    <w:rsid w:val="00BB3C8A"/>
    <w:rsid w:val="00BB4049"/>
    <w:rsid w:val="00BB5E0A"/>
    <w:rsid w:val="00BB7AF7"/>
    <w:rsid w:val="00BC00C1"/>
    <w:rsid w:val="00BC0230"/>
    <w:rsid w:val="00BC0688"/>
    <w:rsid w:val="00BC11B0"/>
    <w:rsid w:val="00BC1478"/>
    <w:rsid w:val="00BC1BFE"/>
    <w:rsid w:val="00BC2264"/>
    <w:rsid w:val="00BC2C3A"/>
    <w:rsid w:val="00BC3982"/>
    <w:rsid w:val="00BC3B6C"/>
    <w:rsid w:val="00BC3CE2"/>
    <w:rsid w:val="00BC3E3B"/>
    <w:rsid w:val="00BC52DE"/>
    <w:rsid w:val="00BC69C6"/>
    <w:rsid w:val="00BC7956"/>
    <w:rsid w:val="00BD0288"/>
    <w:rsid w:val="00BD02E6"/>
    <w:rsid w:val="00BD065D"/>
    <w:rsid w:val="00BD0CF8"/>
    <w:rsid w:val="00BD0DDA"/>
    <w:rsid w:val="00BD1469"/>
    <w:rsid w:val="00BD154F"/>
    <w:rsid w:val="00BD1AFC"/>
    <w:rsid w:val="00BD1E2C"/>
    <w:rsid w:val="00BD1FF6"/>
    <w:rsid w:val="00BD2256"/>
    <w:rsid w:val="00BD24B6"/>
    <w:rsid w:val="00BD3080"/>
    <w:rsid w:val="00BD3124"/>
    <w:rsid w:val="00BD316A"/>
    <w:rsid w:val="00BD33EC"/>
    <w:rsid w:val="00BD3A94"/>
    <w:rsid w:val="00BD49DE"/>
    <w:rsid w:val="00BD4CF5"/>
    <w:rsid w:val="00BD5C38"/>
    <w:rsid w:val="00BD6C08"/>
    <w:rsid w:val="00BD72A6"/>
    <w:rsid w:val="00BD762F"/>
    <w:rsid w:val="00BD7A8E"/>
    <w:rsid w:val="00BD7D70"/>
    <w:rsid w:val="00BE0529"/>
    <w:rsid w:val="00BE09C7"/>
    <w:rsid w:val="00BE12EF"/>
    <w:rsid w:val="00BE1AA5"/>
    <w:rsid w:val="00BE1BBB"/>
    <w:rsid w:val="00BE2ACB"/>
    <w:rsid w:val="00BE3013"/>
    <w:rsid w:val="00BE367D"/>
    <w:rsid w:val="00BE3CB6"/>
    <w:rsid w:val="00BE4035"/>
    <w:rsid w:val="00BE4239"/>
    <w:rsid w:val="00BE4A58"/>
    <w:rsid w:val="00BE4B70"/>
    <w:rsid w:val="00BE4C67"/>
    <w:rsid w:val="00BE5120"/>
    <w:rsid w:val="00BE5756"/>
    <w:rsid w:val="00BE576D"/>
    <w:rsid w:val="00BE59E5"/>
    <w:rsid w:val="00BE64BF"/>
    <w:rsid w:val="00BE654A"/>
    <w:rsid w:val="00BE6653"/>
    <w:rsid w:val="00BE6B77"/>
    <w:rsid w:val="00BE7783"/>
    <w:rsid w:val="00BE7B46"/>
    <w:rsid w:val="00BF02D4"/>
    <w:rsid w:val="00BF0724"/>
    <w:rsid w:val="00BF15B9"/>
    <w:rsid w:val="00BF1896"/>
    <w:rsid w:val="00BF324E"/>
    <w:rsid w:val="00BF329F"/>
    <w:rsid w:val="00BF3D79"/>
    <w:rsid w:val="00BF3DDC"/>
    <w:rsid w:val="00BF4674"/>
    <w:rsid w:val="00BF47B7"/>
    <w:rsid w:val="00BF5020"/>
    <w:rsid w:val="00BF55BA"/>
    <w:rsid w:val="00BF58F2"/>
    <w:rsid w:val="00BF590D"/>
    <w:rsid w:val="00BF63BD"/>
    <w:rsid w:val="00BF6637"/>
    <w:rsid w:val="00BF756C"/>
    <w:rsid w:val="00BF7870"/>
    <w:rsid w:val="00BF794A"/>
    <w:rsid w:val="00BF7E92"/>
    <w:rsid w:val="00C017D4"/>
    <w:rsid w:val="00C023E0"/>
    <w:rsid w:val="00C024DF"/>
    <w:rsid w:val="00C028F9"/>
    <w:rsid w:val="00C02F52"/>
    <w:rsid w:val="00C0308D"/>
    <w:rsid w:val="00C035A7"/>
    <w:rsid w:val="00C0387C"/>
    <w:rsid w:val="00C04A2A"/>
    <w:rsid w:val="00C04FA3"/>
    <w:rsid w:val="00C051F1"/>
    <w:rsid w:val="00C05216"/>
    <w:rsid w:val="00C05754"/>
    <w:rsid w:val="00C0586E"/>
    <w:rsid w:val="00C05C1A"/>
    <w:rsid w:val="00C05F6F"/>
    <w:rsid w:val="00C06021"/>
    <w:rsid w:val="00C06091"/>
    <w:rsid w:val="00C06AFA"/>
    <w:rsid w:val="00C06BCC"/>
    <w:rsid w:val="00C077A9"/>
    <w:rsid w:val="00C10D34"/>
    <w:rsid w:val="00C11612"/>
    <w:rsid w:val="00C11B8C"/>
    <w:rsid w:val="00C12101"/>
    <w:rsid w:val="00C1230F"/>
    <w:rsid w:val="00C12EC3"/>
    <w:rsid w:val="00C135DF"/>
    <w:rsid w:val="00C13810"/>
    <w:rsid w:val="00C13934"/>
    <w:rsid w:val="00C13B21"/>
    <w:rsid w:val="00C14234"/>
    <w:rsid w:val="00C14C9F"/>
    <w:rsid w:val="00C155CC"/>
    <w:rsid w:val="00C15941"/>
    <w:rsid w:val="00C15A4A"/>
    <w:rsid w:val="00C160D1"/>
    <w:rsid w:val="00C168BD"/>
    <w:rsid w:val="00C16E20"/>
    <w:rsid w:val="00C16F02"/>
    <w:rsid w:val="00C170CD"/>
    <w:rsid w:val="00C2047B"/>
    <w:rsid w:val="00C20A4F"/>
    <w:rsid w:val="00C215BB"/>
    <w:rsid w:val="00C21801"/>
    <w:rsid w:val="00C2304D"/>
    <w:rsid w:val="00C236EB"/>
    <w:rsid w:val="00C23BE9"/>
    <w:rsid w:val="00C24016"/>
    <w:rsid w:val="00C24904"/>
    <w:rsid w:val="00C2541E"/>
    <w:rsid w:val="00C25F86"/>
    <w:rsid w:val="00C2649C"/>
    <w:rsid w:val="00C26623"/>
    <w:rsid w:val="00C26685"/>
    <w:rsid w:val="00C26D74"/>
    <w:rsid w:val="00C2701E"/>
    <w:rsid w:val="00C27850"/>
    <w:rsid w:val="00C30824"/>
    <w:rsid w:val="00C30AA8"/>
    <w:rsid w:val="00C30F87"/>
    <w:rsid w:val="00C31BF8"/>
    <w:rsid w:val="00C3273C"/>
    <w:rsid w:val="00C3307F"/>
    <w:rsid w:val="00C33F77"/>
    <w:rsid w:val="00C348FF"/>
    <w:rsid w:val="00C34CC3"/>
    <w:rsid w:val="00C34F30"/>
    <w:rsid w:val="00C363E7"/>
    <w:rsid w:val="00C3640A"/>
    <w:rsid w:val="00C36F96"/>
    <w:rsid w:val="00C37086"/>
    <w:rsid w:val="00C3796D"/>
    <w:rsid w:val="00C4057F"/>
    <w:rsid w:val="00C40753"/>
    <w:rsid w:val="00C40815"/>
    <w:rsid w:val="00C40B89"/>
    <w:rsid w:val="00C40B90"/>
    <w:rsid w:val="00C41BEB"/>
    <w:rsid w:val="00C427A2"/>
    <w:rsid w:val="00C42E64"/>
    <w:rsid w:val="00C43C61"/>
    <w:rsid w:val="00C441C2"/>
    <w:rsid w:val="00C4421D"/>
    <w:rsid w:val="00C47B24"/>
    <w:rsid w:val="00C50040"/>
    <w:rsid w:val="00C507A3"/>
    <w:rsid w:val="00C511FE"/>
    <w:rsid w:val="00C5183A"/>
    <w:rsid w:val="00C51B9C"/>
    <w:rsid w:val="00C51BEC"/>
    <w:rsid w:val="00C521AE"/>
    <w:rsid w:val="00C52B13"/>
    <w:rsid w:val="00C53591"/>
    <w:rsid w:val="00C547CC"/>
    <w:rsid w:val="00C54A87"/>
    <w:rsid w:val="00C55428"/>
    <w:rsid w:val="00C55DE1"/>
    <w:rsid w:val="00C56373"/>
    <w:rsid w:val="00C56A7A"/>
    <w:rsid w:val="00C56BC5"/>
    <w:rsid w:val="00C57185"/>
    <w:rsid w:val="00C572FF"/>
    <w:rsid w:val="00C57683"/>
    <w:rsid w:val="00C57991"/>
    <w:rsid w:val="00C60B64"/>
    <w:rsid w:val="00C60D23"/>
    <w:rsid w:val="00C615B8"/>
    <w:rsid w:val="00C61AFD"/>
    <w:rsid w:val="00C62D67"/>
    <w:rsid w:val="00C633BA"/>
    <w:rsid w:val="00C6356B"/>
    <w:rsid w:val="00C652E2"/>
    <w:rsid w:val="00C653FB"/>
    <w:rsid w:val="00C65CBF"/>
    <w:rsid w:val="00C66375"/>
    <w:rsid w:val="00C667D0"/>
    <w:rsid w:val="00C66AD7"/>
    <w:rsid w:val="00C66E3C"/>
    <w:rsid w:val="00C67EA5"/>
    <w:rsid w:val="00C70107"/>
    <w:rsid w:val="00C70E36"/>
    <w:rsid w:val="00C71279"/>
    <w:rsid w:val="00C71351"/>
    <w:rsid w:val="00C71A08"/>
    <w:rsid w:val="00C72625"/>
    <w:rsid w:val="00C7271D"/>
    <w:rsid w:val="00C72B6C"/>
    <w:rsid w:val="00C73FAB"/>
    <w:rsid w:val="00C747DA"/>
    <w:rsid w:val="00C74CF6"/>
    <w:rsid w:val="00C75A01"/>
    <w:rsid w:val="00C75BCA"/>
    <w:rsid w:val="00C75C66"/>
    <w:rsid w:val="00C75DB6"/>
    <w:rsid w:val="00C76E04"/>
    <w:rsid w:val="00C76FB0"/>
    <w:rsid w:val="00C81278"/>
    <w:rsid w:val="00C81776"/>
    <w:rsid w:val="00C81A2C"/>
    <w:rsid w:val="00C82647"/>
    <w:rsid w:val="00C8285E"/>
    <w:rsid w:val="00C82F2D"/>
    <w:rsid w:val="00C83260"/>
    <w:rsid w:val="00C836F0"/>
    <w:rsid w:val="00C8398B"/>
    <w:rsid w:val="00C84318"/>
    <w:rsid w:val="00C856BE"/>
    <w:rsid w:val="00C85F2C"/>
    <w:rsid w:val="00C8734C"/>
    <w:rsid w:val="00C87388"/>
    <w:rsid w:val="00C87A9E"/>
    <w:rsid w:val="00C91633"/>
    <w:rsid w:val="00C9382C"/>
    <w:rsid w:val="00C94C71"/>
    <w:rsid w:val="00C94F15"/>
    <w:rsid w:val="00C954BD"/>
    <w:rsid w:val="00C95615"/>
    <w:rsid w:val="00C97517"/>
    <w:rsid w:val="00C97CC0"/>
    <w:rsid w:val="00C97D75"/>
    <w:rsid w:val="00CA0261"/>
    <w:rsid w:val="00CA04BA"/>
    <w:rsid w:val="00CA136D"/>
    <w:rsid w:val="00CA147B"/>
    <w:rsid w:val="00CA1DF5"/>
    <w:rsid w:val="00CA2400"/>
    <w:rsid w:val="00CA24A1"/>
    <w:rsid w:val="00CA2D7A"/>
    <w:rsid w:val="00CA41B5"/>
    <w:rsid w:val="00CA47F5"/>
    <w:rsid w:val="00CA4CA2"/>
    <w:rsid w:val="00CA5103"/>
    <w:rsid w:val="00CA5368"/>
    <w:rsid w:val="00CA6310"/>
    <w:rsid w:val="00CA6FE5"/>
    <w:rsid w:val="00CB0113"/>
    <w:rsid w:val="00CB058C"/>
    <w:rsid w:val="00CB0BE4"/>
    <w:rsid w:val="00CB0DD0"/>
    <w:rsid w:val="00CB121D"/>
    <w:rsid w:val="00CB14A4"/>
    <w:rsid w:val="00CB2CCA"/>
    <w:rsid w:val="00CB30D0"/>
    <w:rsid w:val="00CB3502"/>
    <w:rsid w:val="00CB37A5"/>
    <w:rsid w:val="00CB3C01"/>
    <w:rsid w:val="00CB3EBC"/>
    <w:rsid w:val="00CB44B7"/>
    <w:rsid w:val="00CB493B"/>
    <w:rsid w:val="00CB4EC9"/>
    <w:rsid w:val="00CB5187"/>
    <w:rsid w:val="00CB5256"/>
    <w:rsid w:val="00CB570A"/>
    <w:rsid w:val="00CB679C"/>
    <w:rsid w:val="00CB6A84"/>
    <w:rsid w:val="00CB6A85"/>
    <w:rsid w:val="00CB7121"/>
    <w:rsid w:val="00CB7364"/>
    <w:rsid w:val="00CB768E"/>
    <w:rsid w:val="00CB7B4A"/>
    <w:rsid w:val="00CB7C4A"/>
    <w:rsid w:val="00CB7ECC"/>
    <w:rsid w:val="00CC0B1E"/>
    <w:rsid w:val="00CC0C76"/>
    <w:rsid w:val="00CC1475"/>
    <w:rsid w:val="00CC1DED"/>
    <w:rsid w:val="00CC319E"/>
    <w:rsid w:val="00CC340A"/>
    <w:rsid w:val="00CC36E9"/>
    <w:rsid w:val="00CC597B"/>
    <w:rsid w:val="00CC5AA0"/>
    <w:rsid w:val="00CC669A"/>
    <w:rsid w:val="00CC75B6"/>
    <w:rsid w:val="00CC779B"/>
    <w:rsid w:val="00CD28B2"/>
    <w:rsid w:val="00CD2DD0"/>
    <w:rsid w:val="00CD33EE"/>
    <w:rsid w:val="00CD3776"/>
    <w:rsid w:val="00CD4D65"/>
    <w:rsid w:val="00CD5120"/>
    <w:rsid w:val="00CD55B1"/>
    <w:rsid w:val="00CD5DA2"/>
    <w:rsid w:val="00CD648D"/>
    <w:rsid w:val="00CD6B80"/>
    <w:rsid w:val="00CD7616"/>
    <w:rsid w:val="00CD775A"/>
    <w:rsid w:val="00CE01B5"/>
    <w:rsid w:val="00CE021F"/>
    <w:rsid w:val="00CE0765"/>
    <w:rsid w:val="00CE0959"/>
    <w:rsid w:val="00CE0B98"/>
    <w:rsid w:val="00CE2312"/>
    <w:rsid w:val="00CE336E"/>
    <w:rsid w:val="00CE384F"/>
    <w:rsid w:val="00CE3CDF"/>
    <w:rsid w:val="00CE3D08"/>
    <w:rsid w:val="00CE3E07"/>
    <w:rsid w:val="00CE455E"/>
    <w:rsid w:val="00CE68A3"/>
    <w:rsid w:val="00CE79A8"/>
    <w:rsid w:val="00CE7BC1"/>
    <w:rsid w:val="00CE7E34"/>
    <w:rsid w:val="00CF0639"/>
    <w:rsid w:val="00CF0AE5"/>
    <w:rsid w:val="00CF12B7"/>
    <w:rsid w:val="00CF14A0"/>
    <w:rsid w:val="00CF19DF"/>
    <w:rsid w:val="00CF1ED5"/>
    <w:rsid w:val="00CF1F8D"/>
    <w:rsid w:val="00CF2172"/>
    <w:rsid w:val="00CF25F6"/>
    <w:rsid w:val="00CF2BBB"/>
    <w:rsid w:val="00CF366B"/>
    <w:rsid w:val="00CF3B6C"/>
    <w:rsid w:val="00CF4810"/>
    <w:rsid w:val="00CF4D38"/>
    <w:rsid w:val="00CF4F1F"/>
    <w:rsid w:val="00CF4F47"/>
    <w:rsid w:val="00CF5030"/>
    <w:rsid w:val="00CF6A40"/>
    <w:rsid w:val="00CF6ED0"/>
    <w:rsid w:val="00CF7193"/>
    <w:rsid w:val="00D00511"/>
    <w:rsid w:val="00D005B4"/>
    <w:rsid w:val="00D00784"/>
    <w:rsid w:val="00D00BC5"/>
    <w:rsid w:val="00D00D4D"/>
    <w:rsid w:val="00D01549"/>
    <w:rsid w:val="00D019EA"/>
    <w:rsid w:val="00D01AD1"/>
    <w:rsid w:val="00D02277"/>
    <w:rsid w:val="00D022F4"/>
    <w:rsid w:val="00D02BB4"/>
    <w:rsid w:val="00D03128"/>
    <w:rsid w:val="00D033C8"/>
    <w:rsid w:val="00D03B43"/>
    <w:rsid w:val="00D03C14"/>
    <w:rsid w:val="00D046B2"/>
    <w:rsid w:val="00D04B2D"/>
    <w:rsid w:val="00D04C84"/>
    <w:rsid w:val="00D052B0"/>
    <w:rsid w:val="00D053AF"/>
    <w:rsid w:val="00D0545B"/>
    <w:rsid w:val="00D058FD"/>
    <w:rsid w:val="00D05F86"/>
    <w:rsid w:val="00D06433"/>
    <w:rsid w:val="00D070BE"/>
    <w:rsid w:val="00D07169"/>
    <w:rsid w:val="00D07583"/>
    <w:rsid w:val="00D0769F"/>
    <w:rsid w:val="00D07C40"/>
    <w:rsid w:val="00D102A5"/>
    <w:rsid w:val="00D109FA"/>
    <w:rsid w:val="00D10F4D"/>
    <w:rsid w:val="00D10F85"/>
    <w:rsid w:val="00D111EF"/>
    <w:rsid w:val="00D11712"/>
    <w:rsid w:val="00D11EC0"/>
    <w:rsid w:val="00D120D2"/>
    <w:rsid w:val="00D13294"/>
    <w:rsid w:val="00D13A91"/>
    <w:rsid w:val="00D13CB3"/>
    <w:rsid w:val="00D14D12"/>
    <w:rsid w:val="00D171C8"/>
    <w:rsid w:val="00D20137"/>
    <w:rsid w:val="00D208E6"/>
    <w:rsid w:val="00D2190E"/>
    <w:rsid w:val="00D21A55"/>
    <w:rsid w:val="00D22651"/>
    <w:rsid w:val="00D23AD0"/>
    <w:rsid w:val="00D23B0A"/>
    <w:rsid w:val="00D23E23"/>
    <w:rsid w:val="00D24239"/>
    <w:rsid w:val="00D24BAF"/>
    <w:rsid w:val="00D24C26"/>
    <w:rsid w:val="00D255C6"/>
    <w:rsid w:val="00D25F2F"/>
    <w:rsid w:val="00D2620A"/>
    <w:rsid w:val="00D27091"/>
    <w:rsid w:val="00D277EE"/>
    <w:rsid w:val="00D27D59"/>
    <w:rsid w:val="00D309DD"/>
    <w:rsid w:val="00D30C66"/>
    <w:rsid w:val="00D30ECB"/>
    <w:rsid w:val="00D31163"/>
    <w:rsid w:val="00D31D60"/>
    <w:rsid w:val="00D3238A"/>
    <w:rsid w:val="00D3239D"/>
    <w:rsid w:val="00D3330C"/>
    <w:rsid w:val="00D3330E"/>
    <w:rsid w:val="00D3349D"/>
    <w:rsid w:val="00D33682"/>
    <w:rsid w:val="00D34598"/>
    <w:rsid w:val="00D3511A"/>
    <w:rsid w:val="00D35572"/>
    <w:rsid w:val="00D35F28"/>
    <w:rsid w:val="00D36458"/>
    <w:rsid w:val="00D3672A"/>
    <w:rsid w:val="00D368A2"/>
    <w:rsid w:val="00D368FF"/>
    <w:rsid w:val="00D369D2"/>
    <w:rsid w:val="00D36D8E"/>
    <w:rsid w:val="00D374D1"/>
    <w:rsid w:val="00D37596"/>
    <w:rsid w:val="00D37899"/>
    <w:rsid w:val="00D37FCE"/>
    <w:rsid w:val="00D40238"/>
    <w:rsid w:val="00D40D79"/>
    <w:rsid w:val="00D4117C"/>
    <w:rsid w:val="00D41258"/>
    <w:rsid w:val="00D420F0"/>
    <w:rsid w:val="00D43430"/>
    <w:rsid w:val="00D439C3"/>
    <w:rsid w:val="00D449C6"/>
    <w:rsid w:val="00D44A3B"/>
    <w:rsid w:val="00D451A0"/>
    <w:rsid w:val="00D451C2"/>
    <w:rsid w:val="00D45385"/>
    <w:rsid w:val="00D45C34"/>
    <w:rsid w:val="00D466CF"/>
    <w:rsid w:val="00D4777F"/>
    <w:rsid w:val="00D478D3"/>
    <w:rsid w:val="00D5062B"/>
    <w:rsid w:val="00D50B46"/>
    <w:rsid w:val="00D51867"/>
    <w:rsid w:val="00D519DD"/>
    <w:rsid w:val="00D51AD4"/>
    <w:rsid w:val="00D53414"/>
    <w:rsid w:val="00D54B76"/>
    <w:rsid w:val="00D54E08"/>
    <w:rsid w:val="00D5508A"/>
    <w:rsid w:val="00D55828"/>
    <w:rsid w:val="00D55C1D"/>
    <w:rsid w:val="00D56305"/>
    <w:rsid w:val="00D566F1"/>
    <w:rsid w:val="00D57388"/>
    <w:rsid w:val="00D61A0D"/>
    <w:rsid w:val="00D63F0E"/>
    <w:rsid w:val="00D63F45"/>
    <w:rsid w:val="00D64048"/>
    <w:rsid w:val="00D645A6"/>
    <w:rsid w:val="00D64E9D"/>
    <w:rsid w:val="00D65A11"/>
    <w:rsid w:val="00D65B91"/>
    <w:rsid w:val="00D662C7"/>
    <w:rsid w:val="00D6688A"/>
    <w:rsid w:val="00D66CD5"/>
    <w:rsid w:val="00D67145"/>
    <w:rsid w:val="00D7057C"/>
    <w:rsid w:val="00D70FF2"/>
    <w:rsid w:val="00D7160F"/>
    <w:rsid w:val="00D7197E"/>
    <w:rsid w:val="00D7209A"/>
    <w:rsid w:val="00D726FD"/>
    <w:rsid w:val="00D72C26"/>
    <w:rsid w:val="00D73242"/>
    <w:rsid w:val="00D73288"/>
    <w:rsid w:val="00D73686"/>
    <w:rsid w:val="00D7371E"/>
    <w:rsid w:val="00D741DB"/>
    <w:rsid w:val="00D742A0"/>
    <w:rsid w:val="00D74E88"/>
    <w:rsid w:val="00D75216"/>
    <w:rsid w:val="00D756A7"/>
    <w:rsid w:val="00D75D33"/>
    <w:rsid w:val="00D75E56"/>
    <w:rsid w:val="00D76167"/>
    <w:rsid w:val="00D763AE"/>
    <w:rsid w:val="00D76CD8"/>
    <w:rsid w:val="00D76F2E"/>
    <w:rsid w:val="00D77919"/>
    <w:rsid w:val="00D779D4"/>
    <w:rsid w:val="00D8158C"/>
    <w:rsid w:val="00D8359E"/>
    <w:rsid w:val="00D85096"/>
    <w:rsid w:val="00D857FE"/>
    <w:rsid w:val="00D86F69"/>
    <w:rsid w:val="00D86F82"/>
    <w:rsid w:val="00D87458"/>
    <w:rsid w:val="00D901F7"/>
    <w:rsid w:val="00D90311"/>
    <w:rsid w:val="00D907F2"/>
    <w:rsid w:val="00D913F3"/>
    <w:rsid w:val="00D915FF"/>
    <w:rsid w:val="00D91CC6"/>
    <w:rsid w:val="00D92BBF"/>
    <w:rsid w:val="00D933F6"/>
    <w:rsid w:val="00D93F68"/>
    <w:rsid w:val="00D94010"/>
    <w:rsid w:val="00D948C4"/>
    <w:rsid w:val="00D94E85"/>
    <w:rsid w:val="00D962CF"/>
    <w:rsid w:val="00D9652E"/>
    <w:rsid w:val="00D96531"/>
    <w:rsid w:val="00D96E0B"/>
    <w:rsid w:val="00D97CEB"/>
    <w:rsid w:val="00DA0A11"/>
    <w:rsid w:val="00DA0F56"/>
    <w:rsid w:val="00DA26B3"/>
    <w:rsid w:val="00DA2FCF"/>
    <w:rsid w:val="00DA3113"/>
    <w:rsid w:val="00DA3199"/>
    <w:rsid w:val="00DA38EC"/>
    <w:rsid w:val="00DA3AAC"/>
    <w:rsid w:val="00DA3F40"/>
    <w:rsid w:val="00DA435A"/>
    <w:rsid w:val="00DA43EB"/>
    <w:rsid w:val="00DA465F"/>
    <w:rsid w:val="00DA4823"/>
    <w:rsid w:val="00DA4E2E"/>
    <w:rsid w:val="00DA518C"/>
    <w:rsid w:val="00DA5B16"/>
    <w:rsid w:val="00DA5EB3"/>
    <w:rsid w:val="00DA654C"/>
    <w:rsid w:val="00DA77DE"/>
    <w:rsid w:val="00DA7C18"/>
    <w:rsid w:val="00DB0A0F"/>
    <w:rsid w:val="00DB2AEF"/>
    <w:rsid w:val="00DB2B51"/>
    <w:rsid w:val="00DB341C"/>
    <w:rsid w:val="00DB4525"/>
    <w:rsid w:val="00DB47A5"/>
    <w:rsid w:val="00DB4D17"/>
    <w:rsid w:val="00DB55E1"/>
    <w:rsid w:val="00DB5EDA"/>
    <w:rsid w:val="00DB7CED"/>
    <w:rsid w:val="00DC09FC"/>
    <w:rsid w:val="00DC102C"/>
    <w:rsid w:val="00DC1EC8"/>
    <w:rsid w:val="00DC2E18"/>
    <w:rsid w:val="00DC2FA0"/>
    <w:rsid w:val="00DC30FE"/>
    <w:rsid w:val="00DC3512"/>
    <w:rsid w:val="00DC385E"/>
    <w:rsid w:val="00DC3EC8"/>
    <w:rsid w:val="00DC4068"/>
    <w:rsid w:val="00DC4145"/>
    <w:rsid w:val="00DC493B"/>
    <w:rsid w:val="00DC759F"/>
    <w:rsid w:val="00DD0B51"/>
    <w:rsid w:val="00DD0BE6"/>
    <w:rsid w:val="00DD1707"/>
    <w:rsid w:val="00DD1C59"/>
    <w:rsid w:val="00DD23B0"/>
    <w:rsid w:val="00DD2FD9"/>
    <w:rsid w:val="00DD3272"/>
    <w:rsid w:val="00DD3467"/>
    <w:rsid w:val="00DD45B5"/>
    <w:rsid w:val="00DD474F"/>
    <w:rsid w:val="00DD4A1A"/>
    <w:rsid w:val="00DD52FC"/>
    <w:rsid w:val="00DD5516"/>
    <w:rsid w:val="00DD5C3A"/>
    <w:rsid w:val="00DD64C8"/>
    <w:rsid w:val="00DD674D"/>
    <w:rsid w:val="00DD701C"/>
    <w:rsid w:val="00DD7DA4"/>
    <w:rsid w:val="00DE017D"/>
    <w:rsid w:val="00DE0CC3"/>
    <w:rsid w:val="00DE0F83"/>
    <w:rsid w:val="00DE2C73"/>
    <w:rsid w:val="00DE3136"/>
    <w:rsid w:val="00DE39F4"/>
    <w:rsid w:val="00DE39F8"/>
    <w:rsid w:val="00DE3A27"/>
    <w:rsid w:val="00DE3A6B"/>
    <w:rsid w:val="00DE3C7D"/>
    <w:rsid w:val="00DE4965"/>
    <w:rsid w:val="00DE4EA8"/>
    <w:rsid w:val="00DE50FD"/>
    <w:rsid w:val="00DE5854"/>
    <w:rsid w:val="00DE587D"/>
    <w:rsid w:val="00DE6805"/>
    <w:rsid w:val="00DE7807"/>
    <w:rsid w:val="00DE7C25"/>
    <w:rsid w:val="00DF0D0A"/>
    <w:rsid w:val="00DF1211"/>
    <w:rsid w:val="00DF1385"/>
    <w:rsid w:val="00DF1FB9"/>
    <w:rsid w:val="00DF2469"/>
    <w:rsid w:val="00DF2EB3"/>
    <w:rsid w:val="00DF316E"/>
    <w:rsid w:val="00DF3626"/>
    <w:rsid w:val="00DF3FC2"/>
    <w:rsid w:val="00DF58E5"/>
    <w:rsid w:val="00DF7634"/>
    <w:rsid w:val="00DF79E1"/>
    <w:rsid w:val="00E000D0"/>
    <w:rsid w:val="00E00F2E"/>
    <w:rsid w:val="00E01525"/>
    <w:rsid w:val="00E0160E"/>
    <w:rsid w:val="00E0186E"/>
    <w:rsid w:val="00E01FE1"/>
    <w:rsid w:val="00E024B2"/>
    <w:rsid w:val="00E025CC"/>
    <w:rsid w:val="00E02FCC"/>
    <w:rsid w:val="00E03063"/>
    <w:rsid w:val="00E036B3"/>
    <w:rsid w:val="00E03797"/>
    <w:rsid w:val="00E057EA"/>
    <w:rsid w:val="00E05BBB"/>
    <w:rsid w:val="00E06FAA"/>
    <w:rsid w:val="00E07AA2"/>
    <w:rsid w:val="00E1015B"/>
    <w:rsid w:val="00E106AE"/>
    <w:rsid w:val="00E10723"/>
    <w:rsid w:val="00E10E5A"/>
    <w:rsid w:val="00E11A5C"/>
    <w:rsid w:val="00E1223A"/>
    <w:rsid w:val="00E122A9"/>
    <w:rsid w:val="00E12ABE"/>
    <w:rsid w:val="00E1415F"/>
    <w:rsid w:val="00E15683"/>
    <w:rsid w:val="00E1603D"/>
    <w:rsid w:val="00E171AC"/>
    <w:rsid w:val="00E1784D"/>
    <w:rsid w:val="00E20A95"/>
    <w:rsid w:val="00E20E02"/>
    <w:rsid w:val="00E21BD1"/>
    <w:rsid w:val="00E2282E"/>
    <w:rsid w:val="00E2294D"/>
    <w:rsid w:val="00E2297A"/>
    <w:rsid w:val="00E229C1"/>
    <w:rsid w:val="00E22C09"/>
    <w:rsid w:val="00E2339C"/>
    <w:rsid w:val="00E238C8"/>
    <w:rsid w:val="00E239E9"/>
    <w:rsid w:val="00E23FAE"/>
    <w:rsid w:val="00E26416"/>
    <w:rsid w:val="00E272D5"/>
    <w:rsid w:val="00E2796A"/>
    <w:rsid w:val="00E30003"/>
    <w:rsid w:val="00E30CDC"/>
    <w:rsid w:val="00E31053"/>
    <w:rsid w:val="00E313CE"/>
    <w:rsid w:val="00E31F09"/>
    <w:rsid w:val="00E320DB"/>
    <w:rsid w:val="00E32733"/>
    <w:rsid w:val="00E32850"/>
    <w:rsid w:val="00E32DB0"/>
    <w:rsid w:val="00E331D5"/>
    <w:rsid w:val="00E33AB2"/>
    <w:rsid w:val="00E33E69"/>
    <w:rsid w:val="00E3493A"/>
    <w:rsid w:val="00E3497F"/>
    <w:rsid w:val="00E34E6A"/>
    <w:rsid w:val="00E34F1E"/>
    <w:rsid w:val="00E35F0A"/>
    <w:rsid w:val="00E36245"/>
    <w:rsid w:val="00E363CF"/>
    <w:rsid w:val="00E36D49"/>
    <w:rsid w:val="00E36E14"/>
    <w:rsid w:val="00E3765A"/>
    <w:rsid w:val="00E408E9"/>
    <w:rsid w:val="00E418F1"/>
    <w:rsid w:val="00E41C29"/>
    <w:rsid w:val="00E4238A"/>
    <w:rsid w:val="00E423EE"/>
    <w:rsid w:val="00E4324D"/>
    <w:rsid w:val="00E43812"/>
    <w:rsid w:val="00E4443F"/>
    <w:rsid w:val="00E44935"/>
    <w:rsid w:val="00E4579A"/>
    <w:rsid w:val="00E46771"/>
    <w:rsid w:val="00E46E0B"/>
    <w:rsid w:val="00E471ED"/>
    <w:rsid w:val="00E478DA"/>
    <w:rsid w:val="00E479FF"/>
    <w:rsid w:val="00E5076A"/>
    <w:rsid w:val="00E50E1F"/>
    <w:rsid w:val="00E52538"/>
    <w:rsid w:val="00E528AD"/>
    <w:rsid w:val="00E52A22"/>
    <w:rsid w:val="00E53041"/>
    <w:rsid w:val="00E535C2"/>
    <w:rsid w:val="00E53728"/>
    <w:rsid w:val="00E53914"/>
    <w:rsid w:val="00E540D5"/>
    <w:rsid w:val="00E54A4F"/>
    <w:rsid w:val="00E564BC"/>
    <w:rsid w:val="00E5696B"/>
    <w:rsid w:val="00E60221"/>
    <w:rsid w:val="00E6098E"/>
    <w:rsid w:val="00E60A5A"/>
    <w:rsid w:val="00E61389"/>
    <w:rsid w:val="00E61780"/>
    <w:rsid w:val="00E6301A"/>
    <w:rsid w:val="00E649E1"/>
    <w:rsid w:val="00E65663"/>
    <w:rsid w:val="00E661DB"/>
    <w:rsid w:val="00E66781"/>
    <w:rsid w:val="00E66C88"/>
    <w:rsid w:val="00E67BA3"/>
    <w:rsid w:val="00E67D73"/>
    <w:rsid w:val="00E67D7A"/>
    <w:rsid w:val="00E71086"/>
    <w:rsid w:val="00E71B32"/>
    <w:rsid w:val="00E72079"/>
    <w:rsid w:val="00E72E8F"/>
    <w:rsid w:val="00E72F98"/>
    <w:rsid w:val="00E736AA"/>
    <w:rsid w:val="00E7391F"/>
    <w:rsid w:val="00E745BB"/>
    <w:rsid w:val="00E75BEC"/>
    <w:rsid w:val="00E7632F"/>
    <w:rsid w:val="00E767E3"/>
    <w:rsid w:val="00E777A5"/>
    <w:rsid w:val="00E77BF3"/>
    <w:rsid w:val="00E77E32"/>
    <w:rsid w:val="00E800B4"/>
    <w:rsid w:val="00E809C8"/>
    <w:rsid w:val="00E80EE9"/>
    <w:rsid w:val="00E8173D"/>
    <w:rsid w:val="00E81907"/>
    <w:rsid w:val="00E81B11"/>
    <w:rsid w:val="00E825D5"/>
    <w:rsid w:val="00E82FC8"/>
    <w:rsid w:val="00E8339E"/>
    <w:rsid w:val="00E834BF"/>
    <w:rsid w:val="00E83987"/>
    <w:rsid w:val="00E84CC4"/>
    <w:rsid w:val="00E87BD5"/>
    <w:rsid w:val="00E87C5D"/>
    <w:rsid w:val="00E90B12"/>
    <w:rsid w:val="00E91E57"/>
    <w:rsid w:val="00E921EF"/>
    <w:rsid w:val="00E92BF5"/>
    <w:rsid w:val="00E95897"/>
    <w:rsid w:val="00E95C12"/>
    <w:rsid w:val="00E95DDA"/>
    <w:rsid w:val="00E972A2"/>
    <w:rsid w:val="00EA021F"/>
    <w:rsid w:val="00EA0243"/>
    <w:rsid w:val="00EA03AA"/>
    <w:rsid w:val="00EA0837"/>
    <w:rsid w:val="00EA12EA"/>
    <w:rsid w:val="00EA141E"/>
    <w:rsid w:val="00EA1B41"/>
    <w:rsid w:val="00EA1DF6"/>
    <w:rsid w:val="00EA2134"/>
    <w:rsid w:val="00EA23AC"/>
    <w:rsid w:val="00EA2B29"/>
    <w:rsid w:val="00EA2BF9"/>
    <w:rsid w:val="00EA2C90"/>
    <w:rsid w:val="00EA35FC"/>
    <w:rsid w:val="00EA3942"/>
    <w:rsid w:val="00EA3F5C"/>
    <w:rsid w:val="00EA5014"/>
    <w:rsid w:val="00EA5A78"/>
    <w:rsid w:val="00EA5DE5"/>
    <w:rsid w:val="00EA71D3"/>
    <w:rsid w:val="00EA7791"/>
    <w:rsid w:val="00EB051D"/>
    <w:rsid w:val="00EB1072"/>
    <w:rsid w:val="00EB1A14"/>
    <w:rsid w:val="00EB1A97"/>
    <w:rsid w:val="00EB2610"/>
    <w:rsid w:val="00EB2A87"/>
    <w:rsid w:val="00EB2D92"/>
    <w:rsid w:val="00EB3229"/>
    <w:rsid w:val="00EB341F"/>
    <w:rsid w:val="00EB43C4"/>
    <w:rsid w:val="00EB5C2A"/>
    <w:rsid w:val="00EB686E"/>
    <w:rsid w:val="00EB6974"/>
    <w:rsid w:val="00EB6D6E"/>
    <w:rsid w:val="00EB7570"/>
    <w:rsid w:val="00EB76BD"/>
    <w:rsid w:val="00EC05A9"/>
    <w:rsid w:val="00EC07EF"/>
    <w:rsid w:val="00EC2103"/>
    <w:rsid w:val="00EC27C8"/>
    <w:rsid w:val="00EC2BE5"/>
    <w:rsid w:val="00EC2CCA"/>
    <w:rsid w:val="00EC2E57"/>
    <w:rsid w:val="00EC2E71"/>
    <w:rsid w:val="00EC4BC3"/>
    <w:rsid w:val="00EC4D53"/>
    <w:rsid w:val="00EC5347"/>
    <w:rsid w:val="00EC5FAC"/>
    <w:rsid w:val="00EC6B91"/>
    <w:rsid w:val="00EC7652"/>
    <w:rsid w:val="00EC766D"/>
    <w:rsid w:val="00EC7835"/>
    <w:rsid w:val="00ED05EB"/>
    <w:rsid w:val="00ED0D53"/>
    <w:rsid w:val="00ED0ED2"/>
    <w:rsid w:val="00ED25BD"/>
    <w:rsid w:val="00ED3605"/>
    <w:rsid w:val="00ED3CE8"/>
    <w:rsid w:val="00ED47E4"/>
    <w:rsid w:val="00ED4B01"/>
    <w:rsid w:val="00ED5511"/>
    <w:rsid w:val="00ED58AD"/>
    <w:rsid w:val="00ED5E13"/>
    <w:rsid w:val="00ED6524"/>
    <w:rsid w:val="00ED6A91"/>
    <w:rsid w:val="00ED6C71"/>
    <w:rsid w:val="00ED71AE"/>
    <w:rsid w:val="00ED73A4"/>
    <w:rsid w:val="00ED7D8F"/>
    <w:rsid w:val="00EE1A53"/>
    <w:rsid w:val="00EE1BEE"/>
    <w:rsid w:val="00EE22A7"/>
    <w:rsid w:val="00EE3627"/>
    <w:rsid w:val="00EE4D2B"/>
    <w:rsid w:val="00EE559E"/>
    <w:rsid w:val="00EE5D97"/>
    <w:rsid w:val="00EE5DE3"/>
    <w:rsid w:val="00EE6288"/>
    <w:rsid w:val="00EE66AD"/>
    <w:rsid w:val="00EE66D4"/>
    <w:rsid w:val="00EE6B64"/>
    <w:rsid w:val="00EE6C36"/>
    <w:rsid w:val="00EE6F5D"/>
    <w:rsid w:val="00EE725D"/>
    <w:rsid w:val="00EF00D3"/>
    <w:rsid w:val="00EF0280"/>
    <w:rsid w:val="00EF12CC"/>
    <w:rsid w:val="00EF1613"/>
    <w:rsid w:val="00EF2355"/>
    <w:rsid w:val="00EF3011"/>
    <w:rsid w:val="00EF3786"/>
    <w:rsid w:val="00EF3793"/>
    <w:rsid w:val="00EF3BE1"/>
    <w:rsid w:val="00EF41A1"/>
    <w:rsid w:val="00EF4351"/>
    <w:rsid w:val="00EF4927"/>
    <w:rsid w:val="00EF4B23"/>
    <w:rsid w:val="00EF5363"/>
    <w:rsid w:val="00EF5387"/>
    <w:rsid w:val="00EF59F2"/>
    <w:rsid w:val="00EF622F"/>
    <w:rsid w:val="00EF6E4E"/>
    <w:rsid w:val="00EF713B"/>
    <w:rsid w:val="00EF780A"/>
    <w:rsid w:val="00EF7B3E"/>
    <w:rsid w:val="00F0026E"/>
    <w:rsid w:val="00F0069B"/>
    <w:rsid w:val="00F01D44"/>
    <w:rsid w:val="00F01F24"/>
    <w:rsid w:val="00F02BF0"/>
    <w:rsid w:val="00F03C49"/>
    <w:rsid w:val="00F03F33"/>
    <w:rsid w:val="00F0432C"/>
    <w:rsid w:val="00F04516"/>
    <w:rsid w:val="00F062F5"/>
    <w:rsid w:val="00F07A6D"/>
    <w:rsid w:val="00F1097C"/>
    <w:rsid w:val="00F121F0"/>
    <w:rsid w:val="00F123F4"/>
    <w:rsid w:val="00F12F63"/>
    <w:rsid w:val="00F1310D"/>
    <w:rsid w:val="00F13971"/>
    <w:rsid w:val="00F14133"/>
    <w:rsid w:val="00F144D6"/>
    <w:rsid w:val="00F14C5F"/>
    <w:rsid w:val="00F14FC4"/>
    <w:rsid w:val="00F1511E"/>
    <w:rsid w:val="00F15860"/>
    <w:rsid w:val="00F15A42"/>
    <w:rsid w:val="00F15DA5"/>
    <w:rsid w:val="00F16108"/>
    <w:rsid w:val="00F16136"/>
    <w:rsid w:val="00F16D91"/>
    <w:rsid w:val="00F1705F"/>
    <w:rsid w:val="00F173F4"/>
    <w:rsid w:val="00F201FD"/>
    <w:rsid w:val="00F2085A"/>
    <w:rsid w:val="00F2166C"/>
    <w:rsid w:val="00F2199B"/>
    <w:rsid w:val="00F2227C"/>
    <w:rsid w:val="00F23548"/>
    <w:rsid w:val="00F2359A"/>
    <w:rsid w:val="00F2404C"/>
    <w:rsid w:val="00F2429E"/>
    <w:rsid w:val="00F25371"/>
    <w:rsid w:val="00F25545"/>
    <w:rsid w:val="00F26340"/>
    <w:rsid w:val="00F265B9"/>
    <w:rsid w:val="00F266AA"/>
    <w:rsid w:val="00F2685A"/>
    <w:rsid w:val="00F2701E"/>
    <w:rsid w:val="00F27557"/>
    <w:rsid w:val="00F27661"/>
    <w:rsid w:val="00F27FFD"/>
    <w:rsid w:val="00F3079C"/>
    <w:rsid w:val="00F310CD"/>
    <w:rsid w:val="00F3223F"/>
    <w:rsid w:val="00F3267F"/>
    <w:rsid w:val="00F33779"/>
    <w:rsid w:val="00F33B9C"/>
    <w:rsid w:val="00F340F6"/>
    <w:rsid w:val="00F34129"/>
    <w:rsid w:val="00F3424C"/>
    <w:rsid w:val="00F354AA"/>
    <w:rsid w:val="00F3604D"/>
    <w:rsid w:val="00F3659C"/>
    <w:rsid w:val="00F37037"/>
    <w:rsid w:val="00F373AE"/>
    <w:rsid w:val="00F3771F"/>
    <w:rsid w:val="00F37869"/>
    <w:rsid w:val="00F37A08"/>
    <w:rsid w:val="00F37BB9"/>
    <w:rsid w:val="00F406EC"/>
    <w:rsid w:val="00F40B80"/>
    <w:rsid w:val="00F41B49"/>
    <w:rsid w:val="00F423F0"/>
    <w:rsid w:val="00F42726"/>
    <w:rsid w:val="00F42C78"/>
    <w:rsid w:val="00F43C32"/>
    <w:rsid w:val="00F44601"/>
    <w:rsid w:val="00F453B6"/>
    <w:rsid w:val="00F4568C"/>
    <w:rsid w:val="00F45854"/>
    <w:rsid w:val="00F45D0C"/>
    <w:rsid w:val="00F468F2"/>
    <w:rsid w:val="00F4697F"/>
    <w:rsid w:val="00F46B56"/>
    <w:rsid w:val="00F46D54"/>
    <w:rsid w:val="00F50DC4"/>
    <w:rsid w:val="00F52363"/>
    <w:rsid w:val="00F524C0"/>
    <w:rsid w:val="00F52A72"/>
    <w:rsid w:val="00F53548"/>
    <w:rsid w:val="00F548BE"/>
    <w:rsid w:val="00F5528F"/>
    <w:rsid w:val="00F567D9"/>
    <w:rsid w:val="00F568B3"/>
    <w:rsid w:val="00F568CD"/>
    <w:rsid w:val="00F569C2"/>
    <w:rsid w:val="00F56AE4"/>
    <w:rsid w:val="00F57527"/>
    <w:rsid w:val="00F57C62"/>
    <w:rsid w:val="00F57FC5"/>
    <w:rsid w:val="00F6000C"/>
    <w:rsid w:val="00F61269"/>
    <w:rsid w:val="00F61EFA"/>
    <w:rsid w:val="00F62DFC"/>
    <w:rsid w:val="00F62F58"/>
    <w:rsid w:val="00F6362F"/>
    <w:rsid w:val="00F6381A"/>
    <w:rsid w:val="00F64983"/>
    <w:rsid w:val="00F65403"/>
    <w:rsid w:val="00F658BB"/>
    <w:rsid w:val="00F6598F"/>
    <w:rsid w:val="00F65FF3"/>
    <w:rsid w:val="00F66292"/>
    <w:rsid w:val="00F6694F"/>
    <w:rsid w:val="00F67026"/>
    <w:rsid w:val="00F70012"/>
    <w:rsid w:val="00F702ED"/>
    <w:rsid w:val="00F7048F"/>
    <w:rsid w:val="00F70A5D"/>
    <w:rsid w:val="00F70D04"/>
    <w:rsid w:val="00F71756"/>
    <w:rsid w:val="00F717ED"/>
    <w:rsid w:val="00F722AD"/>
    <w:rsid w:val="00F72E37"/>
    <w:rsid w:val="00F72ED6"/>
    <w:rsid w:val="00F72EDE"/>
    <w:rsid w:val="00F73F4D"/>
    <w:rsid w:val="00F748DB"/>
    <w:rsid w:val="00F7494B"/>
    <w:rsid w:val="00F74B62"/>
    <w:rsid w:val="00F74E67"/>
    <w:rsid w:val="00F75BD6"/>
    <w:rsid w:val="00F76257"/>
    <w:rsid w:val="00F765FF"/>
    <w:rsid w:val="00F76B38"/>
    <w:rsid w:val="00F76DA5"/>
    <w:rsid w:val="00F76F1C"/>
    <w:rsid w:val="00F76FC2"/>
    <w:rsid w:val="00F770EF"/>
    <w:rsid w:val="00F775E1"/>
    <w:rsid w:val="00F77672"/>
    <w:rsid w:val="00F7791F"/>
    <w:rsid w:val="00F77BDA"/>
    <w:rsid w:val="00F77EC2"/>
    <w:rsid w:val="00F808A8"/>
    <w:rsid w:val="00F80E09"/>
    <w:rsid w:val="00F812FC"/>
    <w:rsid w:val="00F81687"/>
    <w:rsid w:val="00F81CE3"/>
    <w:rsid w:val="00F81D23"/>
    <w:rsid w:val="00F82060"/>
    <w:rsid w:val="00F820BF"/>
    <w:rsid w:val="00F83B27"/>
    <w:rsid w:val="00F83E60"/>
    <w:rsid w:val="00F83FD9"/>
    <w:rsid w:val="00F84289"/>
    <w:rsid w:val="00F84293"/>
    <w:rsid w:val="00F857D6"/>
    <w:rsid w:val="00F87193"/>
    <w:rsid w:val="00F8722D"/>
    <w:rsid w:val="00F8768E"/>
    <w:rsid w:val="00F87F99"/>
    <w:rsid w:val="00F87FCA"/>
    <w:rsid w:val="00F902E6"/>
    <w:rsid w:val="00F9196A"/>
    <w:rsid w:val="00F92621"/>
    <w:rsid w:val="00F92790"/>
    <w:rsid w:val="00F92920"/>
    <w:rsid w:val="00F92ACA"/>
    <w:rsid w:val="00F92E7C"/>
    <w:rsid w:val="00F92EAB"/>
    <w:rsid w:val="00F93083"/>
    <w:rsid w:val="00F930D9"/>
    <w:rsid w:val="00F93EEE"/>
    <w:rsid w:val="00F93FDA"/>
    <w:rsid w:val="00F954CA"/>
    <w:rsid w:val="00F96280"/>
    <w:rsid w:val="00F96E84"/>
    <w:rsid w:val="00F97914"/>
    <w:rsid w:val="00FA01D4"/>
    <w:rsid w:val="00FA084F"/>
    <w:rsid w:val="00FA2BD7"/>
    <w:rsid w:val="00FA30F5"/>
    <w:rsid w:val="00FA3BAD"/>
    <w:rsid w:val="00FA3F06"/>
    <w:rsid w:val="00FA416A"/>
    <w:rsid w:val="00FA4744"/>
    <w:rsid w:val="00FA4872"/>
    <w:rsid w:val="00FA4B78"/>
    <w:rsid w:val="00FA62E0"/>
    <w:rsid w:val="00FA63D3"/>
    <w:rsid w:val="00FA6741"/>
    <w:rsid w:val="00FA6DE6"/>
    <w:rsid w:val="00FA6F37"/>
    <w:rsid w:val="00FA6FA7"/>
    <w:rsid w:val="00FB0862"/>
    <w:rsid w:val="00FB119A"/>
    <w:rsid w:val="00FB1431"/>
    <w:rsid w:val="00FB181F"/>
    <w:rsid w:val="00FB1918"/>
    <w:rsid w:val="00FB1AE8"/>
    <w:rsid w:val="00FB1D7A"/>
    <w:rsid w:val="00FB24C0"/>
    <w:rsid w:val="00FB286E"/>
    <w:rsid w:val="00FB2A18"/>
    <w:rsid w:val="00FB3F9C"/>
    <w:rsid w:val="00FB4206"/>
    <w:rsid w:val="00FB4D9A"/>
    <w:rsid w:val="00FB526E"/>
    <w:rsid w:val="00FB5CF6"/>
    <w:rsid w:val="00FB6C8D"/>
    <w:rsid w:val="00FB6D76"/>
    <w:rsid w:val="00FB6F8F"/>
    <w:rsid w:val="00FB7430"/>
    <w:rsid w:val="00FB7450"/>
    <w:rsid w:val="00FB7968"/>
    <w:rsid w:val="00FC0562"/>
    <w:rsid w:val="00FC0EFA"/>
    <w:rsid w:val="00FC1079"/>
    <w:rsid w:val="00FC1327"/>
    <w:rsid w:val="00FC1533"/>
    <w:rsid w:val="00FC1B8F"/>
    <w:rsid w:val="00FC1BE4"/>
    <w:rsid w:val="00FC1D4B"/>
    <w:rsid w:val="00FC201C"/>
    <w:rsid w:val="00FC242A"/>
    <w:rsid w:val="00FC2580"/>
    <w:rsid w:val="00FC314B"/>
    <w:rsid w:val="00FC39CA"/>
    <w:rsid w:val="00FC3AE8"/>
    <w:rsid w:val="00FC3C18"/>
    <w:rsid w:val="00FC4A41"/>
    <w:rsid w:val="00FC5E6F"/>
    <w:rsid w:val="00FC7615"/>
    <w:rsid w:val="00FC7785"/>
    <w:rsid w:val="00FC7F4D"/>
    <w:rsid w:val="00FD058E"/>
    <w:rsid w:val="00FD05BC"/>
    <w:rsid w:val="00FD0E60"/>
    <w:rsid w:val="00FD2102"/>
    <w:rsid w:val="00FD2718"/>
    <w:rsid w:val="00FD3889"/>
    <w:rsid w:val="00FD45D6"/>
    <w:rsid w:val="00FD465C"/>
    <w:rsid w:val="00FD4D73"/>
    <w:rsid w:val="00FD562A"/>
    <w:rsid w:val="00FD6411"/>
    <w:rsid w:val="00FD64EF"/>
    <w:rsid w:val="00FD7771"/>
    <w:rsid w:val="00FE0294"/>
    <w:rsid w:val="00FE14D4"/>
    <w:rsid w:val="00FE18B4"/>
    <w:rsid w:val="00FE2F0E"/>
    <w:rsid w:val="00FE2F48"/>
    <w:rsid w:val="00FE357B"/>
    <w:rsid w:val="00FE37C2"/>
    <w:rsid w:val="00FE4F46"/>
    <w:rsid w:val="00FE5276"/>
    <w:rsid w:val="00FE563B"/>
    <w:rsid w:val="00FE5DA3"/>
    <w:rsid w:val="00FE66FB"/>
    <w:rsid w:val="00FE6997"/>
    <w:rsid w:val="00FE6FAA"/>
    <w:rsid w:val="00FE7053"/>
    <w:rsid w:val="00FE7884"/>
    <w:rsid w:val="00FE7D12"/>
    <w:rsid w:val="00FF3DBD"/>
    <w:rsid w:val="00FF4204"/>
    <w:rsid w:val="00FF4314"/>
    <w:rsid w:val="00FF456E"/>
    <w:rsid w:val="00FF4A19"/>
    <w:rsid w:val="00FF4CE2"/>
    <w:rsid w:val="00FF520E"/>
    <w:rsid w:val="00FF7533"/>
    <w:rsid w:val="00FF7BA6"/>
    <w:rsid w:val="00FF7C38"/>
    <w:rsid w:val="01F0299B"/>
    <w:rsid w:val="026E4F91"/>
    <w:rsid w:val="041D095D"/>
    <w:rsid w:val="05C87DB9"/>
    <w:rsid w:val="0961739E"/>
    <w:rsid w:val="098E6083"/>
    <w:rsid w:val="0B205B2B"/>
    <w:rsid w:val="0B782559"/>
    <w:rsid w:val="0D566BC9"/>
    <w:rsid w:val="0E180322"/>
    <w:rsid w:val="0E8C4995"/>
    <w:rsid w:val="0EF27BFB"/>
    <w:rsid w:val="0FBC50EF"/>
    <w:rsid w:val="1053615B"/>
    <w:rsid w:val="115F3FD7"/>
    <w:rsid w:val="11A259DD"/>
    <w:rsid w:val="120474A0"/>
    <w:rsid w:val="13102ABE"/>
    <w:rsid w:val="167D280D"/>
    <w:rsid w:val="17047766"/>
    <w:rsid w:val="17935895"/>
    <w:rsid w:val="17F52C18"/>
    <w:rsid w:val="184530EF"/>
    <w:rsid w:val="19227A4B"/>
    <w:rsid w:val="1B3E182A"/>
    <w:rsid w:val="1B4B5195"/>
    <w:rsid w:val="1C174C6F"/>
    <w:rsid w:val="1C7C020D"/>
    <w:rsid w:val="1C8F78BA"/>
    <w:rsid w:val="1C9B0D84"/>
    <w:rsid w:val="1CDD3F3B"/>
    <w:rsid w:val="1D4D6869"/>
    <w:rsid w:val="21276955"/>
    <w:rsid w:val="21760101"/>
    <w:rsid w:val="22B25284"/>
    <w:rsid w:val="22C07D9F"/>
    <w:rsid w:val="23056CBA"/>
    <w:rsid w:val="234C1E42"/>
    <w:rsid w:val="23C6059E"/>
    <w:rsid w:val="23C95079"/>
    <w:rsid w:val="24031A53"/>
    <w:rsid w:val="24307C26"/>
    <w:rsid w:val="248E5D4C"/>
    <w:rsid w:val="24C47897"/>
    <w:rsid w:val="24E337F8"/>
    <w:rsid w:val="258D3B57"/>
    <w:rsid w:val="262336EE"/>
    <w:rsid w:val="269E4C0C"/>
    <w:rsid w:val="27024D1A"/>
    <w:rsid w:val="275A563B"/>
    <w:rsid w:val="2AD85037"/>
    <w:rsid w:val="2BD0253B"/>
    <w:rsid w:val="2C444480"/>
    <w:rsid w:val="2C564DC3"/>
    <w:rsid w:val="2D6C141D"/>
    <w:rsid w:val="2DF16D3D"/>
    <w:rsid w:val="2EB64B4B"/>
    <w:rsid w:val="2EDB590A"/>
    <w:rsid w:val="2F0A29E3"/>
    <w:rsid w:val="30817D6A"/>
    <w:rsid w:val="308D49BC"/>
    <w:rsid w:val="3157114E"/>
    <w:rsid w:val="31F2037F"/>
    <w:rsid w:val="329B11F6"/>
    <w:rsid w:val="336E087E"/>
    <w:rsid w:val="33C3087D"/>
    <w:rsid w:val="35961B12"/>
    <w:rsid w:val="364523AD"/>
    <w:rsid w:val="364D1B23"/>
    <w:rsid w:val="36700D38"/>
    <w:rsid w:val="36C4673D"/>
    <w:rsid w:val="37B10B63"/>
    <w:rsid w:val="37D17C49"/>
    <w:rsid w:val="390721D7"/>
    <w:rsid w:val="393B510C"/>
    <w:rsid w:val="393F4767"/>
    <w:rsid w:val="39A97E97"/>
    <w:rsid w:val="3A260C29"/>
    <w:rsid w:val="3B57268D"/>
    <w:rsid w:val="3B6176CE"/>
    <w:rsid w:val="3BF9504C"/>
    <w:rsid w:val="3CF11603"/>
    <w:rsid w:val="3D7507FB"/>
    <w:rsid w:val="3EB5127A"/>
    <w:rsid w:val="3F503E5E"/>
    <w:rsid w:val="3FC16214"/>
    <w:rsid w:val="41576FF8"/>
    <w:rsid w:val="41D9164E"/>
    <w:rsid w:val="41DD521D"/>
    <w:rsid w:val="423B7022"/>
    <w:rsid w:val="4389060E"/>
    <w:rsid w:val="43C8028A"/>
    <w:rsid w:val="43D51667"/>
    <w:rsid w:val="443B2C25"/>
    <w:rsid w:val="448421F1"/>
    <w:rsid w:val="44AE36B9"/>
    <w:rsid w:val="45D37D9B"/>
    <w:rsid w:val="48194FD5"/>
    <w:rsid w:val="484514CB"/>
    <w:rsid w:val="48C86EE1"/>
    <w:rsid w:val="48E66AD7"/>
    <w:rsid w:val="49FA6EF8"/>
    <w:rsid w:val="4A784961"/>
    <w:rsid w:val="4ACF3A3C"/>
    <w:rsid w:val="4B1700DF"/>
    <w:rsid w:val="4C290C64"/>
    <w:rsid w:val="4F0F6A19"/>
    <w:rsid w:val="51D10A66"/>
    <w:rsid w:val="523D3735"/>
    <w:rsid w:val="528A390F"/>
    <w:rsid w:val="528C6991"/>
    <w:rsid w:val="54054633"/>
    <w:rsid w:val="540605E4"/>
    <w:rsid w:val="547F0032"/>
    <w:rsid w:val="54A02A20"/>
    <w:rsid w:val="55C87B3E"/>
    <w:rsid w:val="58D01BB7"/>
    <w:rsid w:val="58D67D8C"/>
    <w:rsid w:val="58E10577"/>
    <w:rsid w:val="59165EF7"/>
    <w:rsid w:val="59702A12"/>
    <w:rsid w:val="59B65E4E"/>
    <w:rsid w:val="5AED2A9C"/>
    <w:rsid w:val="5BC746C9"/>
    <w:rsid w:val="5CA07C7A"/>
    <w:rsid w:val="5CC61F72"/>
    <w:rsid w:val="5CF206F7"/>
    <w:rsid w:val="5E877436"/>
    <w:rsid w:val="5EA0340D"/>
    <w:rsid w:val="5ED66C3C"/>
    <w:rsid w:val="5FDD643B"/>
    <w:rsid w:val="60164C92"/>
    <w:rsid w:val="606453F1"/>
    <w:rsid w:val="60BA3E42"/>
    <w:rsid w:val="6194383B"/>
    <w:rsid w:val="61A14A39"/>
    <w:rsid w:val="61CB5375"/>
    <w:rsid w:val="623348CA"/>
    <w:rsid w:val="65CA685B"/>
    <w:rsid w:val="65CF34A7"/>
    <w:rsid w:val="65F660EF"/>
    <w:rsid w:val="6673798C"/>
    <w:rsid w:val="673905B6"/>
    <w:rsid w:val="681C3942"/>
    <w:rsid w:val="68460AAC"/>
    <w:rsid w:val="68AC1CFE"/>
    <w:rsid w:val="6BCD1DE6"/>
    <w:rsid w:val="6C505023"/>
    <w:rsid w:val="6D14299F"/>
    <w:rsid w:val="6D672A1E"/>
    <w:rsid w:val="6DC237D1"/>
    <w:rsid w:val="6EC014B1"/>
    <w:rsid w:val="6F40725E"/>
    <w:rsid w:val="711172CF"/>
    <w:rsid w:val="71FD54DD"/>
    <w:rsid w:val="7410294D"/>
    <w:rsid w:val="76D71644"/>
    <w:rsid w:val="776C2FB6"/>
    <w:rsid w:val="77EB44F2"/>
    <w:rsid w:val="78B92D32"/>
    <w:rsid w:val="79982284"/>
    <w:rsid w:val="7998662D"/>
    <w:rsid w:val="7A8C5878"/>
    <w:rsid w:val="7B471854"/>
    <w:rsid w:val="7C552333"/>
    <w:rsid w:val="7CA86C55"/>
    <w:rsid w:val="7CF019C1"/>
    <w:rsid w:val="7D461CAD"/>
    <w:rsid w:val="7E28286A"/>
    <w:rsid w:val="7E4515FE"/>
    <w:rsid w:val="7EAD59B2"/>
    <w:rsid w:val="7F9127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qFormat="1" w:unhideWhenUsed="0" w:uiPriority="0" w:semiHidden="0" w:name="List Bullet 4"/>
    <w:lsdException w:uiPriority="0" w:name="List Bullet 5"/>
    <w:lsdException w:qFormat="1" w:unhideWhenUsed="0" w:uiPriority="0" w:semiHidden="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link w:val="61"/>
    <w:qFormat/>
    <w:uiPriority w:val="0"/>
    <w:pPr>
      <w:spacing w:before="460" w:after="450" w:line="360" w:lineRule="auto"/>
      <w:jc w:val="center"/>
      <w:outlineLvl w:val="0"/>
    </w:pPr>
    <w:rPr>
      <w:rFonts w:eastAsiaTheme="minorEastAsia"/>
      <w:bCs w:val="0"/>
      <w:kern w:val="44"/>
      <w:sz w:val="44"/>
      <w:szCs w:val="28"/>
    </w:rPr>
  </w:style>
  <w:style w:type="paragraph" w:styleId="5">
    <w:name w:val="heading 2"/>
    <w:basedOn w:val="1"/>
    <w:next w:val="1"/>
    <w:link w:val="62"/>
    <w:qFormat/>
    <w:uiPriority w:val="0"/>
    <w:pPr>
      <w:keepNext/>
      <w:keepLines/>
      <w:spacing w:before="260" w:after="260" w:line="416" w:lineRule="auto"/>
      <w:jc w:val="center"/>
      <w:outlineLvl w:val="1"/>
    </w:pPr>
    <w:rPr>
      <w:rFonts w:ascii="Arial" w:hAnsi="Arial" w:eastAsiaTheme="minorEastAsia"/>
      <w:b/>
      <w:bCs/>
      <w:sz w:val="28"/>
      <w:szCs w:val="32"/>
    </w:rPr>
  </w:style>
  <w:style w:type="paragraph" w:styleId="4">
    <w:name w:val="heading 3"/>
    <w:basedOn w:val="1"/>
    <w:next w:val="1"/>
    <w:link w:val="60"/>
    <w:qFormat/>
    <w:uiPriority w:val="0"/>
    <w:pPr>
      <w:keepNext/>
      <w:keepLines/>
      <w:spacing w:before="260" w:after="260" w:line="416" w:lineRule="auto"/>
      <w:jc w:val="left"/>
      <w:outlineLvl w:val="2"/>
    </w:pPr>
    <w:rPr>
      <w:b/>
      <w:bCs/>
      <w:sz w:val="24"/>
      <w:szCs w:val="32"/>
    </w:rPr>
  </w:style>
  <w:style w:type="paragraph" w:styleId="6">
    <w:name w:val="heading 4"/>
    <w:basedOn w:val="1"/>
    <w:next w:val="1"/>
    <w:link w:val="6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8"/>
    <w:link w:val="65"/>
    <w:qFormat/>
    <w:uiPriority w:val="0"/>
    <w:pPr>
      <w:keepNext/>
      <w:keepLines/>
      <w:numPr>
        <w:ilvl w:val="4"/>
        <w:numId w:val="1"/>
      </w:numPr>
      <w:tabs>
        <w:tab w:val="left" w:pos="371"/>
      </w:tabs>
      <w:spacing w:before="280" w:after="290" w:line="374" w:lineRule="auto"/>
      <w:outlineLvl w:val="4"/>
    </w:pPr>
    <w:rPr>
      <w:b/>
      <w:sz w:val="28"/>
    </w:rPr>
  </w:style>
  <w:style w:type="paragraph" w:styleId="9">
    <w:name w:val="heading 6"/>
    <w:basedOn w:val="1"/>
    <w:next w:val="8"/>
    <w:link w:val="66"/>
    <w:qFormat/>
    <w:uiPriority w:val="9"/>
    <w:pPr>
      <w:keepNext/>
      <w:keepLines/>
      <w:numPr>
        <w:ilvl w:val="5"/>
        <w:numId w:val="1"/>
      </w:numPr>
      <w:spacing w:before="240" w:after="64" w:line="319" w:lineRule="auto"/>
      <w:outlineLvl w:val="5"/>
    </w:pPr>
    <w:rPr>
      <w:rFonts w:ascii="Arial" w:hAnsi="Arial" w:eastAsia="黑体"/>
      <w:b/>
      <w:sz w:val="24"/>
    </w:rPr>
  </w:style>
  <w:style w:type="paragraph" w:styleId="10">
    <w:name w:val="heading 7"/>
    <w:basedOn w:val="1"/>
    <w:next w:val="8"/>
    <w:link w:val="67"/>
    <w:qFormat/>
    <w:uiPriority w:val="9"/>
    <w:pPr>
      <w:keepNext/>
      <w:keepLines/>
      <w:numPr>
        <w:ilvl w:val="6"/>
        <w:numId w:val="1"/>
      </w:numPr>
      <w:spacing w:before="240" w:after="64" w:line="319" w:lineRule="auto"/>
      <w:outlineLvl w:val="6"/>
    </w:pPr>
    <w:rPr>
      <w:b/>
      <w:sz w:val="24"/>
    </w:rPr>
  </w:style>
  <w:style w:type="paragraph" w:styleId="11">
    <w:name w:val="heading 8"/>
    <w:basedOn w:val="1"/>
    <w:next w:val="8"/>
    <w:link w:val="68"/>
    <w:qFormat/>
    <w:uiPriority w:val="9"/>
    <w:pPr>
      <w:keepNext/>
      <w:keepLines/>
      <w:numPr>
        <w:ilvl w:val="7"/>
        <w:numId w:val="1"/>
      </w:numPr>
      <w:spacing w:before="240" w:after="64" w:line="319" w:lineRule="auto"/>
      <w:outlineLvl w:val="7"/>
    </w:pPr>
    <w:rPr>
      <w:rFonts w:ascii="Arial" w:hAnsi="Arial" w:eastAsia="黑体"/>
      <w:sz w:val="24"/>
    </w:rPr>
  </w:style>
  <w:style w:type="paragraph" w:styleId="12">
    <w:name w:val="heading 9"/>
    <w:basedOn w:val="1"/>
    <w:next w:val="8"/>
    <w:link w:val="69"/>
    <w:qFormat/>
    <w:uiPriority w:val="0"/>
    <w:pPr>
      <w:keepNext/>
      <w:keepLines/>
      <w:numPr>
        <w:ilvl w:val="8"/>
        <w:numId w:val="1"/>
      </w:numPr>
      <w:spacing w:before="240" w:after="64" w:line="319" w:lineRule="auto"/>
      <w:outlineLvl w:val="8"/>
    </w:pPr>
    <w:rPr>
      <w:rFonts w:ascii="Arial" w:hAnsi="Arial" w:eastAsia="黑体"/>
    </w:rPr>
  </w:style>
  <w:style w:type="character" w:default="1" w:styleId="53">
    <w:name w:val="Default Paragraph Font"/>
    <w:semiHidden/>
    <w:unhideWhenUsed/>
    <w:qFormat/>
    <w:uiPriority w:val="1"/>
  </w:style>
  <w:style w:type="table" w:default="1" w:styleId="51">
    <w:name w:val="Normal Table"/>
    <w:semiHidden/>
    <w:unhideWhenUsed/>
    <w:qFormat/>
    <w:uiPriority w:val="99"/>
    <w:tblPr>
      <w:tblCellMar>
        <w:top w:w="0" w:type="dxa"/>
        <w:left w:w="108" w:type="dxa"/>
        <w:bottom w:w="0" w:type="dxa"/>
        <w:right w:w="108" w:type="dxa"/>
      </w:tblCellMar>
    </w:tblPr>
  </w:style>
  <w:style w:type="paragraph" w:customStyle="1" w:styleId="2">
    <w:name w:val="正文正"/>
    <w:basedOn w:val="1"/>
    <w:qFormat/>
    <w:uiPriority w:val="0"/>
    <w:pPr>
      <w:spacing w:line="560" w:lineRule="exact"/>
      <w:ind w:firstLine="561"/>
    </w:pPr>
    <w:rPr>
      <w:rFonts w:ascii="Calibri" w:hAnsi="Calibri"/>
      <w:sz w:val="28"/>
      <w:szCs w:val="28"/>
    </w:rPr>
  </w:style>
  <w:style w:type="paragraph" w:styleId="8">
    <w:name w:val="Normal Indent"/>
    <w:basedOn w:val="1"/>
    <w:link w:val="64"/>
    <w:qFormat/>
    <w:uiPriority w:val="0"/>
    <w:pPr>
      <w:ind w:firstLine="420" w:firstLineChars="200"/>
    </w:pPr>
  </w:style>
  <w:style w:type="paragraph" w:styleId="13">
    <w:name w:val="toc 7"/>
    <w:basedOn w:val="1"/>
    <w:next w:val="1"/>
    <w:qFormat/>
    <w:uiPriority w:val="0"/>
    <w:pPr>
      <w:ind w:left="1260"/>
      <w:jc w:val="left"/>
    </w:pPr>
    <w:rPr>
      <w:szCs w:val="21"/>
    </w:rPr>
  </w:style>
  <w:style w:type="paragraph" w:styleId="14">
    <w:name w:val="List Number 2"/>
    <w:basedOn w:val="1"/>
    <w:qFormat/>
    <w:uiPriority w:val="0"/>
    <w:pPr>
      <w:tabs>
        <w:tab w:val="left" w:pos="780"/>
      </w:tabs>
      <w:ind w:left="780" w:hanging="360"/>
    </w:pPr>
    <w:rPr>
      <w:szCs w:val="20"/>
    </w:rPr>
  </w:style>
  <w:style w:type="paragraph" w:styleId="15">
    <w:name w:val="List Bullet 4"/>
    <w:basedOn w:val="1"/>
    <w:qFormat/>
    <w:uiPriority w:val="0"/>
    <w:pPr>
      <w:tabs>
        <w:tab w:val="left" w:pos="425"/>
        <w:tab w:val="left" w:pos="1620"/>
      </w:tabs>
      <w:ind w:left="425" w:hanging="425"/>
    </w:pPr>
    <w:rPr>
      <w:szCs w:val="20"/>
    </w:rPr>
  </w:style>
  <w:style w:type="paragraph" w:styleId="16">
    <w:name w:val="caption"/>
    <w:basedOn w:val="1"/>
    <w:next w:val="1"/>
    <w:link w:val="298"/>
    <w:qFormat/>
    <w:uiPriority w:val="0"/>
    <w:rPr>
      <w:rFonts w:ascii="Cambria" w:hAnsi="Cambria" w:eastAsia="黑体"/>
    </w:rPr>
  </w:style>
  <w:style w:type="paragraph" w:styleId="17">
    <w:name w:val="List Bullet"/>
    <w:basedOn w:val="1"/>
    <w:qFormat/>
    <w:uiPriority w:val="0"/>
    <w:pPr>
      <w:numPr>
        <w:ilvl w:val="0"/>
        <w:numId w:val="1"/>
      </w:numPr>
      <w:tabs>
        <w:tab w:val="left" w:pos="360"/>
        <w:tab w:val="clear" w:pos="371"/>
      </w:tabs>
    </w:pPr>
    <w:rPr>
      <w:szCs w:val="20"/>
    </w:rPr>
  </w:style>
  <w:style w:type="paragraph" w:styleId="18">
    <w:name w:val="Document Map"/>
    <w:basedOn w:val="1"/>
    <w:link w:val="74"/>
    <w:qFormat/>
    <w:uiPriority w:val="0"/>
    <w:pPr>
      <w:shd w:val="clear" w:color="auto" w:fill="000080"/>
    </w:pPr>
  </w:style>
  <w:style w:type="paragraph" w:styleId="19">
    <w:name w:val="annotation text"/>
    <w:basedOn w:val="1"/>
    <w:link w:val="70"/>
    <w:qFormat/>
    <w:uiPriority w:val="0"/>
    <w:pPr>
      <w:jc w:val="left"/>
    </w:pPr>
  </w:style>
  <w:style w:type="paragraph" w:styleId="20">
    <w:name w:val="Body Text 3"/>
    <w:basedOn w:val="1"/>
    <w:link w:val="459"/>
    <w:unhideWhenUsed/>
    <w:qFormat/>
    <w:uiPriority w:val="0"/>
    <w:pPr>
      <w:spacing w:after="120"/>
    </w:pPr>
    <w:rPr>
      <w:sz w:val="16"/>
      <w:szCs w:val="16"/>
    </w:rPr>
  </w:style>
  <w:style w:type="paragraph" w:styleId="21">
    <w:name w:val="Body Text"/>
    <w:basedOn w:val="1"/>
    <w:link w:val="72"/>
    <w:qFormat/>
    <w:uiPriority w:val="0"/>
    <w:pPr>
      <w:spacing w:after="120"/>
    </w:pPr>
  </w:style>
  <w:style w:type="paragraph" w:styleId="22">
    <w:name w:val="Body Text Indent"/>
    <w:basedOn w:val="1"/>
    <w:link w:val="75"/>
    <w:qFormat/>
    <w:uiPriority w:val="0"/>
    <w:pPr>
      <w:spacing w:after="120"/>
      <w:ind w:left="420" w:leftChars="200"/>
    </w:pPr>
  </w:style>
  <w:style w:type="paragraph" w:styleId="23">
    <w:name w:val="Block Text"/>
    <w:basedOn w:val="1"/>
    <w:qFormat/>
    <w:uiPriority w:val="0"/>
    <w:pPr>
      <w:spacing w:after="120"/>
      <w:ind w:left="1440" w:leftChars="700" w:right="1440" w:rightChars="700"/>
    </w:pPr>
  </w:style>
  <w:style w:type="paragraph" w:styleId="24">
    <w:name w:val="List Bullet 2"/>
    <w:basedOn w:val="1"/>
    <w:qFormat/>
    <w:uiPriority w:val="0"/>
    <w:pPr>
      <w:numPr>
        <w:ilvl w:val="0"/>
        <w:numId w:val="2"/>
      </w:numPr>
      <w:tabs>
        <w:tab w:val="left" w:pos="780"/>
      </w:tabs>
    </w:pPr>
    <w:rPr>
      <w:szCs w:val="20"/>
    </w:rPr>
  </w:style>
  <w:style w:type="paragraph" w:styleId="25">
    <w:name w:val="toc 5"/>
    <w:basedOn w:val="1"/>
    <w:next w:val="1"/>
    <w:qFormat/>
    <w:uiPriority w:val="0"/>
    <w:pPr>
      <w:ind w:left="840"/>
      <w:jc w:val="left"/>
    </w:pPr>
    <w:rPr>
      <w:szCs w:val="21"/>
    </w:rPr>
  </w:style>
  <w:style w:type="paragraph" w:styleId="26">
    <w:name w:val="toc 3"/>
    <w:basedOn w:val="1"/>
    <w:next w:val="1"/>
    <w:qFormat/>
    <w:uiPriority w:val="39"/>
    <w:pPr>
      <w:ind w:left="420"/>
      <w:jc w:val="left"/>
    </w:pPr>
    <w:rPr>
      <w:iCs/>
    </w:rPr>
  </w:style>
  <w:style w:type="paragraph" w:styleId="27">
    <w:name w:val="Plain Text"/>
    <w:basedOn w:val="1"/>
    <w:link w:val="76"/>
    <w:qFormat/>
    <w:uiPriority w:val="0"/>
    <w:rPr>
      <w:rFonts w:ascii="宋体" w:hAnsi="Courier New"/>
      <w:szCs w:val="20"/>
    </w:rPr>
  </w:style>
  <w:style w:type="paragraph" w:styleId="28">
    <w:name w:val="toc 8"/>
    <w:basedOn w:val="1"/>
    <w:next w:val="1"/>
    <w:qFormat/>
    <w:uiPriority w:val="0"/>
    <w:pPr>
      <w:ind w:left="1470"/>
      <w:jc w:val="left"/>
    </w:pPr>
    <w:rPr>
      <w:szCs w:val="21"/>
    </w:rPr>
  </w:style>
  <w:style w:type="paragraph" w:styleId="29">
    <w:name w:val="Date"/>
    <w:basedOn w:val="1"/>
    <w:next w:val="1"/>
    <w:link w:val="317"/>
    <w:qFormat/>
    <w:uiPriority w:val="0"/>
    <w:pPr>
      <w:widowControl/>
      <w:tabs>
        <w:tab w:val="left" w:pos="600"/>
        <w:tab w:val="left" w:pos="960"/>
        <w:tab w:val="left" w:pos="1080"/>
      </w:tabs>
      <w:overflowPunct w:val="0"/>
      <w:spacing w:after="260" w:line="220" w:lineRule="atLeast"/>
      <w:ind w:left="835" w:right="28" w:firstLine="480"/>
      <w:jc w:val="right"/>
    </w:pPr>
    <w:rPr>
      <w:rFonts w:ascii="宋体" w:hAnsi="宋体"/>
      <w:sz w:val="24"/>
    </w:rPr>
  </w:style>
  <w:style w:type="paragraph" w:styleId="30">
    <w:name w:val="Body Text Indent 2"/>
    <w:basedOn w:val="1"/>
    <w:link w:val="77"/>
    <w:qFormat/>
    <w:uiPriority w:val="0"/>
    <w:pPr>
      <w:spacing w:after="120" w:line="480" w:lineRule="auto"/>
      <w:ind w:left="420" w:leftChars="200"/>
    </w:pPr>
  </w:style>
  <w:style w:type="paragraph" w:styleId="31">
    <w:name w:val="Balloon Text"/>
    <w:basedOn w:val="1"/>
    <w:link w:val="78"/>
    <w:qFormat/>
    <w:uiPriority w:val="0"/>
    <w:rPr>
      <w:sz w:val="18"/>
      <w:szCs w:val="18"/>
    </w:rPr>
  </w:style>
  <w:style w:type="paragraph" w:styleId="32">
    <w:name w:val="footer"/>
    <w:basedOn w:val="1"/>
    <w:link w:val="79"/>
    <w:qFormat/>
    <w:uiPriority w:val="99"/>
    <w:pPr>
      <w:tabs>
        <w:tab w:val="center" w:pos="4153"/>
        <w:tab w:val="right" w:pos="8306"/>
      </w:tabs>
      <w:snapToGrid w:val="0"/>
      <w:jc w:val="left"/>
    </w:pPr>
    <w:rPr>
      <w:sz w:val="18"/>
      <w:szCs w:val="18"/>
    </w:rPr>
  </w:style>
  <w:style w:type="paragraph" w:styleId="33">
    <w:name w:val="header"/>
    <w:basedOn w:val="1"/>
    <w:link w:val="80"/>
    <w:qFormat/>
    <w:uiPriority w:val="99"/>
    <w:pPr>
      <w:pBdr>
        <w:bottom w:val="single" w:color="auto" w:sz="6" w:space="1"/>
      </w:pBdr>
      <w:tabs>
        <w:tab w:val="center" w:pos="4153"/>
        <w:tab w:val="right" w:pos="8306"/>
      </w:tabs>
      <w:snapToGrid w:val="0"/>
      <w:jc w:val="center"/>
    </w:pPr>
    <w:rPr>
      <w:sz w:val="18"/>
      <w:szCs w:val="18"/>
    </w:rPr>
  </w:style>
  <w:style w:type="paragraph" w:styleId="34">
    <w:name w:val="Signature"/>
    <w:basedOn w:val="1"/>
    <w:link w:val="288"/>
    <w:qFormat/>
    <w:uiPriority w:val="0"/>
    <w:pPr>
      <w:ind w:left="4320"/>
    </w:pPr>
    <w:rPr>
      <w:rFonts w:eastAsia="楷体_GB2312"/>
      <w:szCs w:val="20"/>
    </w:rPr>
  </w:style>
  <w:style w:type="paragraph" w:styleId="35">
    <w:name w:val="toc 1"/>
    <w:basedOn w:val="1"/>
    <w:next w:val="1"/>
    <w:qFormat/>
    <w:uiPriority w:val="39"/>
    <w:pPr>
      <w:spacing w:before="120" w:after="120"/>
      <w:jc w:val="left"/>
    </w:pPr>
    <w:rPr>
      <w:b/>
      <w:bCs/>
      <w:caps/>
    </w:rPr>
  </w:style>
  <w:style w:type="paragraph" w:styleId="36">
    <w:name w:val="toc 4"/>
    <w:basedOn w:val="1"/>
    <w:next w:val="1"/>
    <w:qFormat/>
    <w:uiPriority w:val="0"/>
    <w:pPr>
      <w:ind w:left="630"/>
      <w:jc w:val="left"/>
    </w:pPr>
    <w:rPr>
      <w:szCs w:val="21"/>
    </w:rPr>
  </w:style>
  <w:style w:type="paragraph" w:styleId="37">
    <w:name w:val="index heading"/>
    <w:basedOn w:val="1"/>
    <w:next w:val="38"/>
    <w:qFormat/>
    <w:uiPriority w:val="0"/>
    <w:rPr>
      <w:szCs w:val="20"/>
    </w:rPr>
  </w:style>
  <w:style w:type="paragraph" w:styleId="38">
    <w:name w:val="index 1"/>
    <w:basedOn w:val="1"/>
    <w:next w:val="1"/>
    <w:qFormat/>
    <w:uiPriority w:val="0"/>
  </w:style>
  <w:style w:type="paragraph" w:styleId="39">
    <w:name w:val="footnote text"/>
    <w:basedOn w:val="1"/>
    <w:link w:val="464"/>
    <w:qFormat/>
    <w:uiPriority w:val="0"/>
    <w:pPr>
      <w:snapToGrid w:val="0"/>
      <w:jc w:val="left"/>
    </w:pPr>
    <w:rPr>
      <w:sz w:val="18"/>
      <w:szCs w:val="18"/>
    </w:rPr>
  </w:style>
  <w:style w:type="paragraph" w:styleId="40">
    <w:name w:val="toc 6"/>
    <w:basedOn w:val="1"/>
    <w:next w:val="1"/>
    <w:qFormat/>
    <w:uiPriority w:val="0"/>
    <w:pPr>
      <w:ind w:left="1050"/>
      <w:jc w:val="left"/>
    </w:pPr>
    <w:rPr>
      <w:szCs w:val="21"/>
    </w:rPr>
  </w:style>
  <w:style w:type="paragraph" w:styleId="41">
    <w:name w:val="Body Text Indent 3"/>
    <w:basedOn w:val="1"/>
    <w:link w:val="314"/>
    <w:qFormat/>
    <w:uiPriority w:val="0"/>
    <w:pPr>
      <w:ind w:firstLine="426"/>
    </w:pPr>
    <w:rPr>
      <w:szCs w:val="20"/>
    </w:rPr>
  </w:style>
  <w:style w:type="paragraph" w:styleId="42">
    <w:name w:val="toc 2"/>
    <w:basedOn w:val="1"/>
    <w:next w:val="1"/>
    <w:qFormat/>
    <w:uiPriority w:val="39"/>
    <w:pPr>
      <w:ind w:left="210"/>
      <w:jc w:val="left"/>
    </w:pPr>
    <w:rPr>
      <w:smallCaps/>
    </w:rPr>
  </w:style>
  <w:style w:type="paragraph" w:styleId="43">
    <w:name w:val="toc 9"/>
    <w:basedOn w:val="1"/>
    <w:next w:val="1"/>
    <w:qFormat/>
    <w:uiPriority w:val="0"/>
    <w:pPr>
      <w:ind w:left="1680"/>
      <w:jc w:val="left"/>
    </w:pPr>
    <w:rPr>
      <w:szCs w:val="21"/>
    </w:rPr>
  </w:style>
  <w:style w:type="paragraph" w:styleId="44">
    <w:name w:val="Body Text 2"/>
    <w:basedOn w:val="1"/>
    <w:link w:val="307"/>
    <w:qFormat/>
    <w:uiPriority w:val="0"/>
    <w:rPr>
      <w:sz w:val="28"/>
      <w:szCs w:val="20"/>
    </w:rPr>
  </w:style>
  <w:style w:type="paragraph" w:styleId="45">
    <w:name w:val="HTML Preformatted"/>
    <w:basedOn w:val="1"/>
    <w:link w:val="8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6">
    <w:name w:val="Normal (Web)"/>
    <w:basedOn w:val="1"/>
    <w:qFormat/>
    <w:uiPriority w:val="99"/>
    <w:pPr>
      <w:widowControl/>
      <w:spacing w:before="100" w:beforeAutospacing="1" w:after="100" w:afterAutospacing="1"/>
      <w:jc w:val="left"/>
    </w:pPr>
    <w:rPr>
      <w:kern w:val="0"/>
      <w:sz w:val="24"/>
    </w:rPr>
  </w:style>
  <w:style w:type="paragraph" w:styleId="47">
    <w:name w:val="Title"/>
    <w:basedOn w:val="1"/>
    <w:link w:val="82"/>
    <w:qFormat/>
    <w:uiPriority w:val="0"/>
    <w:pPr>
      <w:spacing w:before="240" w:after="60"/>
      <w:jc w:val="center"/>
      <w:outlineLvl w:val="0"/>
    </w:pPr>
    <w:rPr>
      <w:rFonts w:ascii="Arial" w:hAnsi="Arial" w:eastAsia="隶书"/>
      <w:b/>
      <w:bCs/>
      <w:sz w:val="32"/>
      <w:szCs w:val="32"/>
    </w:rPr>
  </w:style>
  <w:style w:type="paragraph" w:styleId="48">
    <w:name w:val="annotation subject"/>
    <w:basedOn w:val="19"/>
    <w:next w:val="19"/>
    <w:link w:val="71"/>
    <w:qFormat/>
    <w:uiPriority w:val="0"/>
    <w:rPr>
      <w:b/>
      <w:bCs/>
    </w:rPr>
  </w:style>
  <w:style w:type="paragraph" w:styleId="49">
    <w:name w:val="Body Text First Indent"/>
    <w:basedOn w:val="21"/>
    <w:link w:val="73"/>
    <w:qFormat/>
    <w:uiPriority w:val="0"/>
    <w:pPr>
      <w:ind w:firstLine="420" w:firstLineChars="100"/>
    </w:pPr>
  </w:style>
  <w:style w:type="paragraph" w:styleId="50">
    <w:name w:val="Body Text First Indent 2"/>
    <w:basedOn w:val="22"/>
    <w:link w:val="293"/>
    <w:qFormat/>
    <w:uiPriority w:val="0"/>
    <w:pPr>
      <w:spacing w:after="160" w:line="360" w:lineRule="auto"/>
      <w:ind w:firstLine="480" w:firstLineChars="200"/>
    </w:pPr>
    <w:rPr>
      <w:kern w:val="0"/>
      <w:sz w:val="24"/>
    </w:rPr>
  </w:style>
  <w:style w:type="table" w:styleId="52">
    <w:name w:val="Table Grid"/>
    <w:basedOn w:val="5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4">
    <w:name w:val="Strong"/>
    <w:qFormat/>
    <w:uiPriority w:val="22"/>
    <w:rPr>
      <w:b/>
      <w:bCs/>
    </w:rPr>
  </w:style>
  <w:style w:type="character" w:styleId="55">
    <w:name w:val="page number"/>
    <w:basedOn w:val="53"/>
    <w:qFormat/>
    <w:uiPriority w:val="0"/>
  </w:style>
  <w:style w:type="character" w:styleId="56">
    <w:name w:val="FollowedHyperlink"/>
    <w:basedOn w:val="53"/>
    <w:unhideWhenUsed/>
    <w:qFormat/>
    <w:uiPriority w:val="0"/>
    <w:rPr>
      <w:color w:val="800080"/>
      <w:u w:val="single"/>
    </w:rPr>
  </w:style>
  <w:style w:type="character" w:styleId="57">
    <w:name w:val="Emphasis"/>
    <w:qFormat/>
    <w:uiPriority w:val="20"/>
    <w:rPr>
      <w:i/>
      <w:iCs/>
    </w:rPr>
  </w:style>
  <w:style w:type="character" w:styleId="58">
    <w:name w:val="Hyperlink"/>
    <w:qFormat/>
    <w:uiPriority w:val="99"/>
    <w:rPr>
      <w:color w:val="0000FF"/>
      <w:u w:val="single"/>
    </w:rPr>
  </w:style>
  <w:style w:type="character" w:styleId="59">
    <w:name w:val="annotation reference"/>
    <w:qFormat/>
    <w:uiPriority w:val="0"/>
    <w:rPr>
      <w:sz w:val="21"/>
      <w:szCs w:val="21"/>
    </w:rPr>
  </w:style>
  <w:style w:type="character" w:customStyle="1" w:styleId="60">
    <w:name w:val="标题 3 Char"/>
    <w:basedOn w:val="53"/>
    <w:link w:val="4"/>
    <w:qFormat/>
    <w:uiPriority w:val="0"/>
    <w:rPr>
      <w:b/>
      <w:bCs/>
      <w:kern w:val="2"/>
      <w:sz w:val="24"/>
      <w:szCs w:val="32"/>
    </w:rPr>
  </w:style>
  <w:style w:type="character" w:customStyle="1" w:styleId="61">
    <w:name w:val="标题 1 Char"/>
    <w:basedOn w:val="53"/>
    <w:link w:val="3"/>
    <w:qFormat/>
    <w:uiPriority w:val="0"/>
    <w:rPr>
      <w:rFonts w:eastAsiaTheme="minorEastAsia"/>
      <w:b/>
      <w:kern w:val="44"/>
      <w:sz w:val="44"/>
      <w:szCs w:val="28"/>
    </w:rPr>
  </w:style>
  <w:style w:type="character" w:customStyle="1" w:styleId="62">
    <w:name w:val="标题 2 Char"/>
    <w:basedOn w:val="53"/>
    <w:link w:val="5"/>
    <w:qFormat/>
    <w:uiPriority w:val="0"/>
    <w:rPr>
      <w:rFonts w:ascii="Arial" w:hAnsi="Arial" w:eastAsiaTheme="minorEastAsia"/>
      <w:b/>
      <w:bCs/>
      <w:kern w:val="2"/>
      <w:sz w:val="28"/>
      <w:szCs w:val="32"/>
    </w:rPr>
  </w:style>
  <w:style w:type="character" w:customStyle="1" w:styleId="63">
    <w:name w:val="标题 4 Char1"/>
    <w:basedOn w:val="53"/>
    <w:link w:val="6"/>
    <w:qFormat/>
    <w:uiPriority w:val="99"/>
    <w:rPr>
      <w:rFonts w:ascii="Arial" w:hAnsi="Arial" w:eastAsia="黑体"/>
      <w:b/>
      <w:bCs/>
      <w:kern w:val="2"/>
      <w:sz w:val="28"/>
      <w:szCs w:val="28"/>
    </w:rPr>
  </w:style>
  <w:style w:type="character" w:customStyle="1" w:styleId="64">
    <w:name w:val="正文缩进 Char"/>
    <w:link w:val="8"/>
    <w:qFormat/>
    <w:uiPriority w:val="0"/>
    <w:rPr>
      <w:rFonts w:eastAsia="宋体"/>
      <w:kern w:val="2"/>
      <w:sz w:val="21"/>
      <w:szCs w:val="24"/>
      <w:lang w:val="en-US" w:eastAsia="zh-CN" w:bidi="ar-SA"/>
    </w:rPr>
  </w:style>
  <w:style w:type="character" w:customStyle="1" w:styleId="65">
    <w:name w:val="标题 5 Char1"/>
    <w:basedOn w:val="53"/>
    <w:link w:val="7"/>
    <w:qFormat/>
    <w:uiPriority w:val="0"/>
    <w:rPr>
      <w:b/>
      <w:kern w:val="2"/>
      <w:sz w:val="28"/>
      <w:szCs w:val="24"/>
    </w:rPr>
  </w:style>
  <w:style w:type="character" w:customStyle="1" w:styleId="66">
    <w:name w:val="标题 6 Char1"/>
    <w:basedOn w:val="53"/>
    <w:link w:val="9"/>
    <w:qFormat/>
    <w:uiPriority w:val="9"/>
    <w:rPr>
      <w:rFonts w:ascii="Arial" w:hAnsi="Arial" w:eastAsia="黑体"/>
      <w:b/>
      <w:kern w:val="2"/>
      <w:sz w:val="24"/>
      <w:szCs w:val="24"/>
    </w:rPr>
  </w:style>
  <w:style w:type="character" w:customStyle="1" w:styleId="67">
    <w:name w:val="标题 7 Char1"/>
    <w:basedOn w:val="53"/>
    <w:link w:val="10"/>
    <w:qFormat/>
    <w:uiPriority w:val="9"/>
    <w:rPr>
      <w:b/>
      <w:kern w:val="2"/>
      <w:sz w:val="24"/>
      <w:szCs w:val="24"/>
    </w:rPr>
  </w:style>
  <w:style w:type="character" w:customStyle="1" w:styleId="68">
    <w:name w:val="标题 8 Char1"/>
    <w:basedOn w:val="53"/>
    <w:link w:val="11"/>
    <w:qFormat/>
    <w:uiPriority w:val="9"/>
    <w:rPr>
      <w:rFonts w:ascii="Arial" w:hAnsi="Arial" w:eastAsia="黑体"/>
      <w:kern w:val="2"/>
      <w:sz w:val="24"/>
      <w:szCs w:val="24"/>
    </w:rPr>
  </w:style>
  <w:style w:type="character" w:customStyle="1" w:styleId="69">
    <w:name w:val="标题 9 Char1"/>
    <w:basedOn w:val="53"/>
    <w:link w:val="12"/>
    <w:qFormat/>
    <w:uiPriority w:val="0"/>
    <w:rPr>
      <w:rFonts w:ascii="Arial" w:hAnsi="Arial" w:eastAsia="黑体"/>
      <w:kern w:val="2"/>
      <w:sz w:val="21"/>
      <w:szCs w:val="24"/>
    </w:rPr>
  </w:style>
  <w:style w:type="character" w:customStyle="1" w:styleId="70">
    <w:name w:val="批注文字 Char"/>
    <w:link w:val="19"/>
    <w:qFormat/>
    <w:uiPriority w:val="0"/>
    <w:rPr>
      <w:kern w:val="2"/>
      <w:sz w:val="21"/>
      <w:szCs w:val="24"/>
    </w:rPr>
  </w:style>
  <w:style w:type="character" w:customStyle="1" w:styleId="71">
    <w:name w:val="批注主题 Char"/>
    <w:basedOn w:val="70"/>
    <w:link w:val="48"/>
    <w:qFormat/>
    <w:uiPriority w:val="0"/>
    <w:rPr>
      <w:b/>
      <w:bCs/>
      <w:kern w:val="2"/>
      <w:sz w:val="21"/>
      <w:szCs w:val="24"/>
    </w:rPr>
  </w:style>
  <w:style w:type="character" w:customStyle="1" w:styleId="72">
    <w:name w:val="正文文本 Char"/>
    <w:basedOn w:val="53"/>
    <w:link w:val="21"/>
    <w:qFormat/>
    <w:uiPriority w:val="0"/>
    <w:rPr>
      <w:kern w:val="2"/>
      <w:sz w:val="21"/>
      <w:szCs w:val="24"/>
    </w:rPr>
  </w:style>
  <w:style w:type="character" w:customStyle="1" w:styleId="73">
    <w:name w:val="正文首行缩进 Char"/>
    <w:link w:val="49"/>
    <w:qFormat/>
    <w:uiPriority w:val="0"/>
    <w:rPr>
      <w:rFonts w:eastAsia="宋体"/>
      <w:kern w:val="2"/>
      <w:sz w:val="21"/>
      <w:szCs w:val="24"/>
      <w:lang w:val="en-US" w:eastAsia="zh-CN" w:bidi="ar-SA"/>
    </w:rPr>
  </w:style>
  <w:style w:type="character" w:customStyle="1" w:styleId="74">
    <w:name w:val="文档结构图 Char"/>
    <w:basedOn w:val="53"/>
    <w:link w:val="18"/>
    <w:qFormat/>
    <w:uiPriority w:val="0"/>
    <w:rPr>
      <w:kern w:val="2"/>
      <w:sz w:val="21"/>
      <w:szCs w:val="24"/>
      <w:shd w:val="clear" w:color="auto" w:fill="000080"/>
    </w:rPr>
  </w:style>
  <w:style w:type="character" w:customStyle="1" w:styleId="75">
    <w:name w:val="正文文本缩进 Char1"/>
    <w:basedOn w:val="53"/>
    <w:link w:val="22"/>
    <w:qFormat/>
    <w:uiPriority w:val="0"/>
    <w:rPr>
      <w:kern w:val="2"/>
      <w:sz w:val="21"/>
      <w:szCs w:val="24"/>
    </w:rPr>
  </w:style>
  <w:style w:type="character" w:customStyle="1" w:styleId="76">
    <w:name w:val="纯文本 Char"/>
    <w:link w:val="27"/>
    <w:qFormat/>
    <w:uiPriority w:val="0"/>
    <w:rPr>
      <w:rFonts w:ascii="宋体" w:hAnsi="Courier New" w:eastAsia="宋体"/>
      <w:kern w:val="2"/>
      <w:sz w:val="21"/>
      <w:lang w:val="en-US" w:eastAsia="zh-CN" w:bidi="ar-SA"/>
    </w:rPr>
  </w:style>
  <w:style w:type="character" w:customStyle="1" w:styleId="77">
    <w:name w:val="正文文本缩进 2 Char1"/>
    <w:link w:val="30"/>
    <w:qFormat/>
    <w:uiPriority w:val="0"/>
    <w:rPr>
      <w:kern w:val="2"/>
      <w:sz w:val="21"/>
      <w:szCs w:val="24"/>
    </w:rPr>
  </w:style>
  <w:style w:type="character" w:customStyle="1" w:styleId="78">
    <w:name w:val="批注框文本 Char"/>
    <w:basedOn w:val="53"/>
    <w:link w:val="31"/>
    <w:qFormat/>
    <w:uiPriority w:val="99"/>
    <w:rPr>
      <w:kern w:val="2"/>
      <w:sz w:val="18"/>
      <w:szCs w:val="18"/>
    </w:rPr>
  </w:style>
  <w:style w:type="character" w:customStyle="1" w:styleId="79">
    <w:name w:val="页脚 Char"/>
    <w:basedOn w:val="53"/>
    <w:link w:val="32"/>
    <w:qFormat/>
    <w:uiPriority w:val="99"/>
    <w:rPr>
      <w:kern w:val="2"/>
      <w:sz w:val="18"/>
      <w:szCs w:val="18"/>
    </w:rPr>
  </w:style>
  <w:style w:type="character" w:customStyle="1" w:styleId="80">
    <w:name w:val="页眉 Char"/>
    <w:link w:val="33"/>
    <w:qFormat/>
    <w:uiPriority w:val="99"/>
    <w:rPr>
      <w:kern w:val="2"/>
      <w:sz w:val="18"/>
      <w:szCs w:val="18"/>
    </w:rPr>
  </w:style>
  <w:style w:type="character" w:customStyle="1" w:styleId="81">
    <w:name w:val="HTML 预设格式 Char1"/>
    <w:link w:val="45"/>
    <w:qFormat/>
    <w:uiPriority w:val="0"/>
    <w:rPr>
      <w:rFonts w:ascii="宋体" w:hAnsi="宋体" w:cs="宋体"/>
      <w:sz w:val="24"/>
      <w:szCs w:val="24"/>
    </w:rPr>
  </w:style>
  <w:style w:type="character" w:customStyle="1" w:styleId="82">
    <w:name w:val="标题 Char"/>
    <w:link w:val="47"/>
    <w:qFormat/>
    <w:uiPriority w:val="0"/>
    <w:rPr>
      <w:rFonts w:ascii="Arial" w:hAnsi="Arial" w:eastAsia="隶书" w:cs="Arial"/>
      <w:b/>
      <w:bCs/>
      <w:kern w:val="2"/>
      <w:sz w:val="32"/>
      <w:szCs w:val="32"/>
    </w:rPr>
  </w:style>
  <w:style w:type="paragraph" w:customStyle="1" w:styleId="83">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4">
    <w:name w:val="样式1 Char Char"/>
    <w:basedOn w:val="1"/>
    <w:next w:val="1"/>
    <w:link w:val="85"/>
    <w:qFormat/>
    <w:uiPriority w:val="0"/>
    <w:pPr>
      <w:spacing w:line="360" w:lineRule="auto"/>
      <w:ind w:firstLine="516" w:firstLineChars="215"/>
    </w:pPr>
    <w:rPr>
      <w:sz w:val="24"/>
      <w:szCs w:val="20"/>
    </w:rPr>
  </w:style>
  <w:style w:type="character" w:customStyle="1" w:styleId="85">
    <w:name w:val="样式1 Char Char Char"/>
    <w:link w:val="84"/>
    <w:qFormat/>
    <w:uiPriority w:val="0"/>
    <w:rPr>
      <w:rFonts w:eastAsia="宋体"/>
      <w:kern w:val="2"/>
      <w:sz w:val="24"/>
      <w:lang w:val="en-US" w:eastAsia="zh-CN" w:bidi="ar-SA"/>
    </w:rPr>
  </w:style>
  <w:style w:type="paragraph" w:customStyle="1" w:styleId="86">
    <w:name w:val="样式1"/>
    <w:basedOn w:val="47"/>
    <w:link w:val="87"/>
    <w:qFormat/>
    <w:uiPriority w:val="0"/>
    <w:pPr>
      <w:spacing w:before="120" w:after="120"/>
    </w:pPr>
    <w:rPr>
      <w:rFonts w:eastAsia="黑体" w:cs="Arial"/>
      <w:b w:val="0"/>
      <w:sz w:val="30"/>
      <w:szCs w:val="21"/>
    </w:rPr>
  </w:style>
  <w:style w:type="character" w:customStyle="1" w:styleId="87">
    <w:name w:val="样式1 Char"/>
    <w:link w:val="86"/>
    <w:qFormat/>
    <w:uiPriority w:val="0"/>
    <w:rPr>
      <w:rFonts w:ascii="Arial" w:hAnsi="Arial" w:eastAsia="黑体" w:cs="Arial"/>
      <w:bCs/>
      <w:kern w:val="2"/>
      <w:sz w:val="30"/>
      <w:szCs w:val="21"/>
      <w:lang w:val="en-US" w:eastAsia="zh-CN" w:bidi="ar-SA"/>
    </w:rPr>
  </w:style>
  <w:style w:type="paragraph" w:customStyle="1" w:styleId="88">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9">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0">
    <w:name w:val="inf"/>
    <w:basedOn w:val="1"/>
    <w:qFormat/>
    <w:uiPriority w:val="0"/>
    <w:pPr>
      <w:widowControl/>
      <w:spacing w:before="100" w:beforeAutospacing="1" w:after="100" w:afterAutospacing="1" w:line="320" w:lineRule="atLeast"/>
      <w:jc w:val="left"/>
    </w:pPr>
    <w:rPr>
      <w:rFonts w:ascii="宋体" w:hAnsi="宋体" w:cs="宋体"/>
      <w:color w:val="000000"/>
      <w:kern w:val="0"/>
      <w:sz w:val="20"/>
      <w:szCs w:val="20"/>
    </w:rPr>
  </w:style>
  <w:style w:type="paragraph" w:customStyle="1" w:styleId="91">
    <w:name w:val="Char1"/>
    <w:basedOn w:val="1"/>
    <w:qFormat/>
    <w:uiPriority w:val="0"/>
    <w:rPr>
      <w:rFonts w:ascii="仿宋_GB2312" w:eastAsia="仿宋_GB2312"/>
      <w:b/>
      <w:sz w:val="32"/>
      <w:szCs w:val="32"/>
    </w:rPr>
  </w:style>
  <w:style w:type="character" w:customStyle="1" w:styleId="92">
    <w:name w:val="tpc_title1"/>
    <w:qFormat/>
    <w:uiPriority w:val="0"/>
    <w:rPr>
      <w:b/>
      <w:bCs/>
      <w:sz w:val="18"/>
      <w:szCs w:val="18"/>
    </w:rPr>
  </w:style>
  <w:style w:type="character" w:customStyle="1" w:styleId="93">
    <w:name w:val="tpc_content1"/>
    <w:qFormat/>
    <w:uiPriority w:val="0"/>
    <w:rPr>
      <w:sz w:val="20"/>
      <w:szCs w:val="20"/>
    </w:rPr>
  </w:style>
  <w:style w:type="paragraph" w:customStyle="1" w:styleId="94">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95">
    <w:name w:val="列出段落1"/>
    <w:basedOn w:val="1"/>
    <w:link w:val="96"/>
    <w:qFormat/>
    <w:uiPriority w:val="0"/>
    <w:pPr>
      <w:ind w:firstLine="420" w:firstLineChars="200"/>
    </w:pPr>
  </w:style>
  <w:style w:type="character" w:customStyle="1" w:styleId="96">
    <w:name w:val="列表段落 字符"/>
    <w:link w:val="95"/>
    <w:qFormat/>
    <w:uiPriority w:val="34"/>
    <w:rPr>
      <w:kern w:val="2"/>
      <w:sz w:val="21"/>
      <w:szCs w:val="24"/>
    </w:rPr>
  </w:style>
  <w:style w:type="paragraph" w:customStyle="1" w:styleId="97">
    <w:name w:val="正文1"/>
    <w:basedOn w:val="1"/>
    <w:qFormat/>
    <w:uiPriority w:val="0"/>
    <w:pPr>
      <w:tabs>
        <w:tab w:val="left" w:pos="4"/>
      </w:tabs>
      <w:spacing w:line="360" w:lineRule="auto"/>
      <w:ind w:left="-2" w:firstLine="482"/>
    </w:pPr>
    <w:rPr>
      <w:rFonts w:ascii="宋体" w:hAnsi="宋体"/>
      <w:sz w:val="24"/>
    </w:rPr>
  </w:style>
  <w:style w:type="paragraph" w:customStyle="1" w:styleId="98">
    <w:name w:val="Char2 Char Char Char Char Char Char Char Char Char Char Char Char"/>
    <w:basedOn w:val="1"/>
    <w:qFormat/>
    <w:uiPriority w:val="0"/>
    <w:pPr>
      <w:spacing w:line="360" w:lineRule="auto"/>
      <w:ind w:firstLine="200" w:firstLineChars="200"/>
    </w:pPr>
    <w:rPr>
      <w:rFonts w:ascii="Tahoma" w:hAnsi="Tahoma"/>
      <w:sz w:val="24"/>
    </w:rPr>
  </w:style>
  <w:style w:type="paragraph" w:customStyle="1" w:styleId="99">
    <w:name w:val="缩进正文"/>
    <w:basedOn w:val="1"/>
    <w:link w:val="100"/>
    <w:qFormat/>
    <w:uiPriority w:val="0"/>
    <w:pPr>
      <w:ind w:firstLine="560" w:firstLineChars="200"/>
    </w:pPr>
    <w:rPr>
      <w:rFonts w:eastAsia="仿宋_GB2312" w:cs="宋体"/>
      <w:sz w:val="28"/>
      <w:szCs w:val="20"/>
    </w:rPr>
  </w:style>
  <w:style w:type="character" w:customStyle="1" w:styleId="100">
    <w:name w:val="缩进正文 Char"/>
    <w:link w:val="99"/>
    <w:qFormat/>
    <w:uiPriority w:val="0"/>
    <w:rPr>
      <w:rFonts w:eastAsia="仿宋_GB2312" w:cs="宋体"/>
      <w:kern w:val="2"/>
      <w:sz w:val="28"/>
      <w:lang w:val="en-US" w:eastAsia="zh-CN" w:bidi="ar-SA"/>
    </w:rPr>
  </w:style>
  <w:style w:type="character" w:customStyle="1" w:styleId="101">
    <w:name w:val="访问过的超链接1"/>
    <w:qFormat/>
    <w:uiPriority w:val="0"/>
    <w:rPr>
      <w:color w:val="800080"/>
      <w:u w:val="single"/>
    </w:rPr>
  </w:style>
  <w:style w:type="paragraph" w:customStyle="1" w:styleId="102">
    <w:name w:val="Char Char Char Char Char Char Char"/>
    <w:basedOn w:val="1"/>
    <w:qFormat/>
    <w:uiPriority w:val="0"/>
    <w:pPr>
      <w:widowControl/>
      <w:adjustRightInd w:val="0"/>
      <w:spacing w:after="160" w:line="240" w:lineRule="exact"/>
      <w:jc w:val="left"/>
      <w:textAlignment w:val="baseline"/>
    </w:pPr>
  </w:style>
  <w:style w:type="character" w:customStyle="1" w:styleId="103">
    <w:name w:val="正文缩进 Char1"/>
    <w:qFormat/>
    <w:uiPriority w:val="0"/>
    <w:rPr>
      <w:rFonts w:eastAsia="宋体"/>
      <w:kern w:val="2"/>
      <w:sz w:val="21"/>
      <w:lang w:val="en-US" w:eastAsia="zh-CN" w:bidi="ar-SA"/>
    </w:rPr>
  </w:style>
  <w:style w:type="paragraph" w:customStyle="1" w:styleId="104">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05">
    <w:name w:val="列出段落11"/>
    <w:basedOn w:val="1"/>
    <w:unhideWhenUsed/>
    <w:qFormat/>
    <w:uiPriority w:val="34"/>
    <w:pPr>
      <w:ind w:firstLine="420" w:firstLineChars="200"/>
    </w:pPr>
  </w:style>
  <w:style w:type="paragraph" w:customStyle="1" w:styleId="106">
    <w:name w:val="Table Paragraph"/>
    <w:basedOn w:val="1"/>
    <w:qFormat/>
    <w:uiPriority w:val="0"/>
    <w:pPr>
      <w:autoSpaceDE w:val="0"/>
      <w:autoSpaceDN w:val="0"/>
      <w:adjustRightInd w:val="0"/>
      <w:jc w:val="left"/>
    </w:pPr>
    <w:rPr>
      <w:rFonts w:ascii="宋体" w:hAnsi="宋体" w:cs="宋体"/>
      <w:kern w:val="0"/>
      <w:sz w:val="24"/>
    </w:rPr>
  </w:style>
  <w:style w:type="character" w:customStyle="1" w:styleId="107">
    <w:name w:val="font11"/>
    <w:basedOn w:val="53"/>
    <w:qFormat/>
    <w:uiPriority w:val="0"/>
    <w:rPr>
      <w:rFonts w:hint="eastAsia" w:ascii="宋体" w:hAnsi="宋体" w:eastAsia="宋体" w:cs="宋体"/>
      <w:b/>
      <w:color w:val="000000"/>
      <w:sz w:val="21"/>
      <w:szCs w:val="21"/>
      <w:u w:val="none"/>
    </w:rPr>
  </w:style>
  <w:style w:type="character" w:customStyle="1" w:styleId="108">
    <w:name w:val="批注文字 Char1"/>
    <w:qFormat/>
    <w:locked/>
    <w:uiPriority w:val="0"/>
    <w:rPr>
      <w:rFonts w:ascii="Calibri" w:hAnsi="Calibri" w:eastAsia="宋体" w:cs="Calibri"/>
      <w:szCs w:val="21"/>
    </w:rPr>
  </w:style>
  <w:style w:type="character" w:customStyle="1" w:styleId="109">
    <w:name w:val="title1"/>
    <w:qFormat/>
    <w:uiPriority w:val="0"/>
    <w:rPr>
      <w:rFonts w:hint="eastAsia" w:ascii="微软雅黑" w:hAnsi="微软雅黑" w:eastAsia="微软雅黑"/>
      <w:sz w:val="21"/>
      <w:szCs w:val="21"/>
    </w:rPr>
  </w:style>
  <w:style w:type="character" w:customStyle="1" w:styleId="110">
    <w:name w:val="sect2title1"/>
    <w:qFormat/>
    <w:uiPriority w:val="0"/>
    <w:rPr>
      <w:rFonts w:hint="eastAsia" w:ascii="微软雅黑" w:hAnsi="微软雅黑" w:eastAsia="微软雅黑"/>
      <w:b/>
      <w:bCs/>
      <w:sz w:val="21"/>
      <w:szCs w:val="21"/>
    </w:rPr>
  </w:style>
  <w:style w:type="paragraph" w:customStyle="1" w:styleId="111">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character" w:customStyle="1" w:styleId="112">
    <w:name w:val="font01"/>
    <w:basedOn w:val="53"/>
    <w:qFormat/>
    <w:uiPriority w:val="0"/>
    <w:rPr>
      <w:rFonts w:ascii="Tahoma" w:hAnsi="Tahoma" w:eastAsia="Tahoma" w:cs="Tahoma"/>
      <w:color w:val="000000"/>
      <w:sz w:val="20"/>
      <w:szCs w:val="20"/>
      <w:u w:val="none"/>
    </w:rPr>
  </w:style>
  <w:style w:type="paragraph" w:customStyle="1" w:styleId="113">
    <w:name w:val="font5"/>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5">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6">
    <w:name w:val="font8"/>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7">
    <w:name w:val="font9"/>
    <w:basedOn w:val="1"/>
    <w:qFormat/>
    <w:uiPriority w:val="0"/>
    <w:pPr>
      <w:widowControl/>
      <w:spacing w:before="100" w:beforeAutospacing="1" w:after="100" w:afterAutospacing="1"/>
      <w:jc w:val="left"/>
    </w:pPr>
    <w:rPr>
      <w:rFonts w:ascii="宋体" w:hAnsi="宋体" w:cs="宋体"/>
      <w:kern w:val="0"/>
      <w:sz w:val="32"/>
      <w:szCs w:val="32"/>
    </w:rPr>
  </w:style>
  <w:style w:type="paragraph" w:customStyle="1" w:styleId="118">
    <w:name w:val="xl72"/>
    <w:basedOn w:val="1"/>
    <w:qFormat/>
    <w:uiPriority w:val="0"/>
    <w:pPr>
      <w:widowControl/>
      <w:spacing w:before="100" w:beforeAutospacing="1" w:after="100" w:afterAutospacing="1"/>
      <w:jc w:val="left"/>
    </w:pPr>
    <w:rPr>
      <w:rFonts w:ascii="新宋体" w:hAnsi="新宋体" w:eastAsia="新宋体" w:cs="宋体"/>
      <w:kern w:val="0"/>
      <w:sz w:val="28"/>
      <w:szCs w:val="28"/>
    </w:rPr>
  </w:style>
  <w:style w:type="paragraph" w:customStyle="1" w:styleId="119">
    <w:name w:val="xl73"/>
    <w:basedOn w:val="1"/>
    <w:qFormat/>
    <w:uiPriority w:val="0"/>
    <w:pPr>
      <w:widowControl/>
      <w:spacing w:before="100" w:beforeAutospacing="1" w:after="100" w:afterAutospacing="1"/>
      <w:jc w:val="center"/>
      <w:textAlignment w:val="center"/>
    </w:pPr>
    <w:rPr>
      <w:rFonts w:ascii="新宋体" w:hAnsi="新宋体" w:eastAsia="新宋体" w:cs="宋体"/>
      <w:kern w:val="0"/>
      <w:sz w:val="30"/>
      <w:szCs w:val="30"/>
    </w:rPr>
  </w:style>
  <w:style w:type="paragraph" w:customStyle="1" w:styleId="120">
    <w:name w:val="xl74"/>
    <w:basedOn w:val="1"/>
    <w:qFormat/>
    <w:uiPriority w:val="0"/>
    <w:pPr>
      <w:widowControl/>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1">
    <w:name w:val="xl75"/>
    <w:basedOn w:val="1"/>
    <w:qFormat/>
    <w:uiPriority w:val="0"/>
    <w:pPr>
      <w:widowControl/>
      <w:spacing w:before="100" w:beforeAutospacing="1" w:after="100" w:afterAutospacing="1"/>
      <w:jc w:val="center"/>
      <w:textAlignment w:val="center"/>
    </w:pPr>
    <w:rPr>
      <w:rFonts w:ascii="新宋体" w:hAnsi="新宋体" w:eastAsia="新宋体" w:cs="宋体"/>
      <w:kern w:val="0"/>
      <w:sz w:val="24"/>
    </w:rPr>
  </w:style>
  <w:style w:type="paragraph" w:customStyle="1" w:styleId="122">
    <w:name w:val="xl76"/>
    <w:basedOn w:val="1"/>
    <w:qFormat/>
    <w:uiPriority w:val="0"/>
    <w:pPr>
      <w:widowControl/>
      <w:spacing w:before="100" w:beforeAutospacing="1" w:after="100" w:afterAutospacing="1"/>
      <w:jc w:val="center"/>
    </w:pPr>
    <w:rPr>
      <w:rFonts w:ascii="新宋体" w:hAnsi="新宋体" w:eastAsia="新宋体" w:cs="宋体"/>
      <w:kern w:val="0"/>
      <w:sz w:val="24"/>
    </w:rPr>
  </w:style>
  <w:style w:type="paragraph" w:customStyle="1" w:styleId="123">
    <w:name w:val="xl77"/>
    <w:basedOn w:val="1"/>
    <w:qFormat/>
    <w:uiPriority w:val="0"/>
    <w:pPr>
      <w:widowControl/>
      <w:spacing w:before="100" w:beforeAutospacing="1" w:after="100" w:afterAutospacing="1"/>
      <w:jc w:val="left"/>
    </w:pPr>
    <w:rPr>
      <w:rFonts w:ascii="新宋体" w:hAnsi="新宋体" w:eastAsia="新宋体" w:cs="宋体"/>
      <w:kern w:val="0"/>
      <w:sz w:val="24"/>
    </w:rPr>
  </w:style>
  <w:style w:type="paragraph" w:customStyle="1" w:styleId="124">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12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kern w:val="0"/>
      <w:sz w:val="32"/>
      <w:szCs w:val="32"/>
    </w:rPr>
  </w:style>
  <w:style w:type="paragraph" w:customStyle="1" w:styleId="127">
    <w:name w:val="xl8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2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29">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0">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31">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新宋体" w:hAnsi="新宋体" w:eastAsia="新宋体" w:cs="宋体"/>
      <w:b/>
      <w:bCs/>
      <w:kern w:val="0"/>
      <w:sz w:val="32"/>
      <w:szCs w:val="32"/>
    </w:rPr>
  </w:style>
  <w:style w:type="paragraph" w:customStyle="1" w:styleId="132">
    <w:name w:val="xl8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33">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color w:val="000000"/>
      <w:kern w:val="0"/>
      <w:sz w:val="32"/>
      <w:szCs w:val="32"/>
    </w:rPr>
  </w:style>
  <w:style w:type="paragraph" w:customStyle="1" w:styleId="135">
    <w:name w:val="xl89"/>
    <w:basedOn w:val="1"/>
    <w:qFormat/>
    <w:uiPriority w:val="0"/>
    <w:pPr>
      <w:widowControl/>
      <w:spacing w:before="100" w:beforeAutospacing="1" w:after="100" w:afterAutospacing="1"/>
      <w:jc w:val="center"/>
      <w:textAlignment w:val="center"/>
    </w:pPr>
    <w:rPr>
      <w:rFonts w:ascii="新宋体" w:hAnsi="新宋体" w:eastAsia="新宋体" w:cs="宋体"/>
      <w:color w:val="000000"/>
      <w:kern w:val="0"/>
      <w:sz w:val="32"/>
      <w:szCs w:val="32"/>
    </w:rPr>
  </w:style>
  <w:style w:type="paragraph" w:customStyle="1" w:styleId="136">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32"/>
      <w:szCs w:val="32"/>
    </w:rPr>
  </w:style>
  <w:style w:type="paragraph" w:customStyle="1" w:styleId="137">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38">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39">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24"/>
    </w:rPr>
  </w:style>
  <w:style w:type="paragraph" w:customStyle="1" w:styleId="140">
    <w:name w:val="xl9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1">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42">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43">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45">
    <w:name w:val="xl9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46">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7">
    <w:name w:val="xl101"/>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48">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49">
    <w:name w:val="xl10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50">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1">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新宋体" w:hAnsi="新宋体" w:eastAsia="新宋体" w:cs="宋体"/>
      <w:b/>
      <w:bCs/>
      <w:color w:val="000000"/>
      <w:kern w:val="0"/>
      <w:sz w:val="36"/>
      <w:szCs w:val="36"/>
    </w:rPr>
  </w:style>
  <w:style w:type="paragraph" w:customStyle="1" w:styleId="152">
    <w:name w:val="xl10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3">
    <w:name w:val="xl10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4">
    <w:name w:val="xl10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4"/>
      <w:szCs w:val="44"/>
    </w:rPr>
  </w:style>
  <w:style w:type="paragraph" w:customStyle="1" w:styleId="155">
    <w:name w:val="xl10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6">
    <w:name w:val="xl11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7">
    <w:name w:val="xl11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b/>
      <w:bCs/>
      <w:color w:val="000000"/>
      <w:kern w:val="0"/>
      <w:sz w:val="48"/>
      <w:szCs w:val="48"/>
    </w:rPr>
  </w:style>
  <w:style w:type="paragraph" w:customStyle="1" w:styleId="158">
    <w:name w:val="xl11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32"/>
      <w:szCs w:val="32"/>
    </w:rPr>
  </w:style>
  <w:style w:type="paragraph" w:customStyle="1" w:styleId="159">
    <w:name w:val="xl11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0">
    <w:name w:val="xl11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1">
    <w:name w:val="xl11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32"/>
      <w:szCs w:val="32"/>
    </w:rPr>
  </w:style>
  <w:style w:type="paragraph" w:customStyle="1" w:styleId="162">
    <w:name w:val="xl11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新宋体" w:hAnsi="新宋体" w:eastAsia="新宋体" w:cs="宋体"/>
      <w:kern w:val="0"/>
      <w:sz w:val="32"/>
      <w:szCs w:val="32"/>
    </w:rPr>
  </w:style>
  <w:style w:type="paragraph" w:customStyle="1" w:styleId="163">
    <w:name w:val="xl11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164">
    <w:name w:val="xl118"/>
    <w:basedOn w:val="1"/>
    <w:qFormat/>
    <w:uiPriority w:val="0"/>
    <w:pPr>
      <w:widowControl/>
      <w:pBdr>
        <w:left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5">
    <w:name w:val="xl11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新宋体" w:hAnsi="新宋体" w:eastAsia="新宋体" w:cs="宋体"/>
      <w:kern w:val="0"/>
      <w:sz w:val="32"/>
      <w:szCs w:val="32"/>
    </w:rPr>
  </w:style>
  <w:style w:type="paragraph" w:customStyle="1" w:styleId="166">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36"/>
      <w:szCs w:val="36"/>
    </w:rPr>
  </w:style>
  <w:style w:type="character" w:customStyle="1" w:styleId="167">
    <w:name w:val="font41"/>
    <w:basedOn w:val="53"/>
    <w:qFormat/>
    <w:uiPriority w:val="0"/>
    <w:rPr>
      <w:rFonts w:hint="eastAsia" w:ascii="仿宋_GB2312" w:eastAsia="仿宋_GB2312" w:cs="仿宋_GB2312"/>
      <w:color w:val="000000"/>
      <w:sz w:val="20"/>
      <w:szCs w:val="20"/>
      <w:u w:val="none"/>
    </w:rPr>
  </w:style>
  <w:style w:type="character" w:customStyle="1" w:styleId="168">
    <w:name w:val="font31"/>
    <w:basedOn w:val="53"/>
    <w:qFormat/>
    <w:uiPriority w:val="0"/>
    <w:rPr>
      <w:rFonts w:hint="default" w:ascii="Symbol" w:hAnsi="Symbol" w:cs="Symbol"/>
      <w:color w:val="000000"/>
      <w:sz w:val="20"/>
      <w:szCs w:val="20"/>
      <w:u w:val="none"/>
    </w:rPr>
  </w:style>
  <w:style w:type="character" w:customStyle="1" w:styleId="169">
    <w:name w:val="font71"/>
    <w:basedOn w:val="53"/>
    <w:qFormat/>
    <w:uiPriority w:val="0"/>
    <w:rPr>
      <w:rFonts w:ascii="Arial" w:hAnsi="Arial" w:cs="Arial"/>
      <w:color w:val="000000"/>
      <w:sz w:val="20"/>
      <w:szCs w:val="20"/>
      <w:u w:val="none"/>
    </w:rPr>
  </w:style>
  <w:style w:type="character" w:customStyle="1" w:styleId="170">
    <w:name w:val="font21"/>
    <w:basedOn w:val="53"/>
    <w:qFormat/>
    <w:uiPriority w:val="0"/>
    <w:rPr>
      <w:rFonts w:hint="default" w:ascii="Symbol" w:hAnsi="Symbol" w:cs="Symbol"/>
      <w:color w:val="000000"/>
      <w:sz w:val="20"/>
      <w:szCs w:val="20"/>
      <w:u w:val="none"/>
    </w:rPr>
  </w:style>
  <w:style w:type="character" w:customStyle="1" w:styleId="171">
    <w:name w:val="font91"/>
    <w:basedOn w:val="53"/>
    <w:qFormat/>
    <w:uiPriority w:val="0"/>
    <w:rPr>
      <w:rFonts w:ascii="Arial" w:hAnsi="Arial" w:cs="Arial"/>
      <w:color w:val="000000"/>
      <w:sz w:val="20"/>
      <w:szCs w:val="20"/>
      <w:u w:val="none"/>
    </w:rPr>
  </w:style>
  <w:style w:type="character" w:customStyle="1" w:styleId="172">
    <w:name w:val="font51"/>
    <w:basedOn w:val="53"/>
    <w:qFormat/>
    <w:uiPriority w:val="0"/>
    <w:rPr>
      <w:rFonts w:ascii="仿宋" w:hAnsi="仿宋" w:eastAsia="仿宋" w:cs="仿宋"/>
      <w:color w:val="000000"/>
      <w:sz w:val="21"/>
      <w:szCs w:val="21"/>
      <w:u w:val="none"/>
    </w:rPr>
  </w:style>
  <w:style w:type="character" w:customStyle="1" w:styleId="173">
    <w:name w:val="font101"/>
    <w:basedOn w:val="53"/>
    <w:qFormat/>
    <w:uiPriority w:val="0"/>
    <w:rPr>
      <w:rFonts w:hint="eastAsia" w:ascii="仿宋_GB2312" w:eastAsia="仿宋_GB2312" w:cs="仿宋_GB2312"/>
      <w:color w:val="000000"/>
      <w:sz w:val="20"/>
      <w:szCs w:val="20"/>
      <w:u w:val="none"/>
    </w:rPr>
  </w:style>
  <w:style w:type="character" w:customStyle="1" w:styleId="174">
    <w:name w:val="font61"/>
    <w:basedOn w:val="53"/>
    <w:qFormat/>
    <w:uiPriority w:val="0"/>
    <w:rPr>
      <w:rFonts w:hint="eastAsia" w:ascii="宋体" w:hAnsi="宋体" w:eastAsia="宋体" w:cs="宋体"/>
      <w:color w:val="000000"/>
      <w:sz w:val="20"/>
      <w:szCs w:val="20"/>
      <w:u w:val="none"/>
    </w:rPr>
  </w:style>
  <w:style w:type="character" w:customStyle="1" w:styleId="175">
    <w:name w:val="font81"/>
    <w:basedOn w:val="53"/>
    <w:qFormat/>
    <w:uiPriority w:val="0"/>
    <w:rPr>
      <w:rFonts w:hint="eastAsia" w:ascii="仿宋" w:hAnsi="仿宋" w:eastAsia="仿宋" w:cs="仿宋"/>
      <w:color w:val="000000"/>
      <w:sz w:val="21"/>
      <w:szCs w:val="21"/>
      <w:u w:val="none"/>
    </w:rPr>
  </w:style>
  <w:style w:type="character" w:customStyle="1" w:styleId="176">
    <w:name w:val="font111"/>
    <w:basedOn w:val="53"/>
    <w:qFormat/>
    <w:uiPriority w:val="0"/>
    <w:rPr>
      <w:rFonts w:hint="eastAsia" w:ascii="仿宋_GB2312" w:eastAsia="仿宋_GB2312" w:cs="仿宋_GB2312"/>
      <w:color w:val="000000"/>
      <w:sz w:val="21"/>
      <w:szCs w:val="21"/>
      <w:u w:val="none"/>
    </w:rPr>
  </w:style>
  <w:style w:type="character" w:customStyle="1" w:styleId="177">
    <w:name w:val="font121"/>
    <w:basedOn w:val="53"/>
    <w:qFormat/>
    <w:uiPriority w:val="0"/>
    <w:rPr>
      <w:rFonts w:ascii="Arial" w:hAnsi="Arial" w:cs="Arial"/>
      <w:color w:val="000000"/>
      <w:sz w:val="20"/>
      <w:szCs w:val="20"/>
      <w:u w:val="none"/>
    </w:rPr>
  </w:style>
  <w:style w:type="character" w:customStyle="1" w:styleId="178">
    <w:name w:val="font112"/>
    <w:basedOn w:val="53"/>
    <w:qFormat/>
    <w:uiPriority w:val="0"/>
    <w:rPr>
      <w:rFonts w:hint="eastAsia" w:ascii="仿宋_GB2312" w:eastAsia="仿宋_GB2312" w:cs="仿宋_GB2312"/>
      <w:color w:val="000000"/>
      <w:sz w:val="21"/>
      <w:szCs w:val="21"/>
      <w:u w:val="none"/>
    </w:rPr>
  </w:style>
  <w:style w:type="paragraph" w:customStyle="1" w:styleId="179">
    <w:name w:val="xl29164"/>
    <w:basedOn w:val="1"/>
    <w:qFormat/>
    <w:uiPriority w:val="0"/>
    <w:pPr>
      <w:widowControl/>
      <w:spacing w:before="100" w:beforeAutospacing="1" w:after="100" w:afterAutospacing="1"/>
      <w:jc w:val="center"/>
    </w:pPr>
    <w:rPr>
      <w:rFonts w:ascii="宋体" w:hAnsi="宋体" w:cs="宋体"/>
      <w:color w:val="000000"/>
      <w:kern w:val="0"/>
      <w:sz w:val="22"/>
      <w:szCs w:val="22"/>
    </w:rPr>
  </w:style>
  <w:style w:type="paragraph" w:customStyle="1" w:styleId="180">
    <w:name w:val="xl2916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81">
    <w:name w:val="xl29166"/>
    <w:basedOn w:val="1"/>
    <w:qFormat/>
    <w:uiPriority w:val="0"/>
    <w:pPr>
      <w:widowControl/>
      <w:spacing w:before="100" w:beforeAutospacing="1" w:after="100" w:afterAutospacing="1"/>
      <w:jc w:val="left"/>
    </w:pPr>
    <w:rPr>
      <w:rFonts w:ascii="宋体" w:hAnsi="宋体" w:cs="宋体"/>
      <w:kern w:val="0"/>
      <w:sz w:val="24"/>
    </w:rPr>
  </w:style>
  <w:style w:type="paragraph" w:customStyle="1" w:styleId="182">
    <w:name w:val="xl29167"/>
    <w:basedOn w:val="1"/>
    <w:qFormat/>
    <w:uiPriority w:val="0"/>
    <w:pPr>
      <w:widowControl/>
      <w:shd w:val="clear" w:color="000000" w:fill="FFFFFF"/>
      <w:spacing w:before="100" w:beforeAutospacing="1" w:after="100" w:afterAutospacing="1"/>
      <w:jc w:val="center"/>
    </w:pPr>
    <w:rPr>
      <w:rFonts w:ascii="宋体" w:hAnsi="宋体" w:cs="宋体"/>
      <w:color w:val="000000"/>
      <w:kern w:val="0"/>
      <w:sz w:val="22"/>
      <w:szCs w:val="22"/>
    </w:rPr>
  </w:style>
  <w:style w:type="paragraph" w:customStyle="1" w:styleId="183">
    <w:name w:val="xl29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0"/>
      <w:szCs w:val="20"/>
    </w:rPr>
  </w:style>
  <w:style w:type="paragraph" w:customStyle="1" w:styleId="184">
    <w:name w:val="xl29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5">
    <w:name w:val="xl291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186">
    <w:name w:val="xl291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7">
    <w:name w:val="xl291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88">
    <w:name w:val="xl291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89">
    <w:name w:val="xl291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0">
    <w:name w:val="xl29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1">
    <w:name w:val="xl291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2">
    <w:name w:val="xl291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3">
    <w:name w:val="xl291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4">
    <w:name w:val="xl291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5">
    <w:name w:val="xl291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6">
    <w:name w:val="xl291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97">
    <w:name w:val="xl291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198">
    <w:name w:val="xl29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2"/>
      <w:szCs w:val="22"/>
    </w:rPr>
  </w:style>
  <w:style w:type="paragraph" w:customStyle="1" w:styleId="199">
    <w:name w:val="xl29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0">
    <w:name w:val="xl291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01">
    <w:name w:val="xl29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2">
    <w:name w:val="xl29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03">
    <w:name w:val="xl29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04">
    <w:name w:val="xl29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5">
    <w:name w:val="xl29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0"/>
      <w:szCs w:val="20"/>
    </w:rPr>
  </w:style>
  <w:style w:type="paragraph" w:customStyle="1" w:styleId="206">
    <w:name w:val="xl29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7">
    <w:name w:val="xl291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08">
    <w:name w:val="xl291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9">
    <w:name w:val="xl291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10">
    <w:name w:val="xl2919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1">
    <w:name w:val="xl29196"/>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2">
    <w:name w:val="xl2919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3">
    <w:name w:val="xl291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4">
    <w:name w:val="xl29199"/>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5">
    <w:name w:val="xl292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216">
    <w:name w:val="xl292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7">
    <w:name w:val="xl292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18">
    <w:name w:val="xl292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19">
    <w:name w:val="xl303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20">
    <w:name w:val="xl303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1">
    <w:name w:val="xl303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22">
    <w:name w:val="xl30307"/>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23">
    <w:name w:val="xl303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4">
    <w:name w:val="xl303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225">
    <w:name w:val="xl3031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6">
    <w:name w:val="xl30311"/>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7">
    <w:name w:val="xl3031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28">
    <w:name w:val="xl303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29">
    <w:name w:val="xl303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0">
    <w:name w:val="xl303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1">
    <w:name w:val="xl303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32">
    <w:name w:val="xl303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3">
    <w:name w:val="xl303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234">
    <w:name w:val="xl303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5">
    <w:name w:val="xl303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36">
    <w:name w:val="xl303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kern w:val="0"/>
      <w:sz w:val="20"/>
      <w:szCs w:val="20"/>
    </w:rPr>
  </w:style>
  <w:style w:type="paragraph" w:customStyle="1" w:styleId="237">
    <w:name w:val="xl303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38">
    <w:name w:val="xl3032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39">
    <w:name w:val="xl30324"/>
    <w:basedOn w:val="1"/>
    <w:qFormat/>
    <w:uiPriority w:val="0"/>
    <w:pPr>
      <w:widowControl/>
      <w:pBdr>
        <w:top w:val="single" w:color="auto" w:sz="4" w:space="0"/>
        <w:bottom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0">
    <w:name w:val="xl3032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color w:val="000000"/>
      <w:kern w:val="0"/>
      <w:sz w:val="20"/>
      <w:szCs w:val="20"/>
    </w:rPr>
  </w:style>
  <w:style w:type="paragraph" w:customStyle="1" w:styleId="241">
    <w:name w:val="xl303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2">
    <w:name w:val="xl303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3">
    <w:name w:val="xl303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4">
    <w:name w:val="xl303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245">
    <w:name w:val="xl303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2"/>
      <w:szCs w:val="22"/>
    </w:rPr>
  </w:style>
  <w:style w:type="paragraph" w:customStyle="1" w:styleId="246">
    <w:name w:val="xl303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FF0000"/>
      <w:kern w:val="0"/>
      <w:sz w:val="20"/>
      <w:szCs w:val="20"/>
    </w:rPr>
  </w:style>
  <w:style w:type="paragraph" w:customStyle="1" w:styleId="247">
    <w:name w:val="xl303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248">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49">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1">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25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Cs w:val="21"/>
    </w:rPr>
  </w:style>
  <w:style w:type="paragraph" w:customStyle="1" w:styleId="253">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b/>
      <w:bCs/>
      <w:kern w:val="0"/>
      <w:szCs w:val="21"/>
    </w:rPr>
  </w:style>
  <w:style w:type="paragraph" w:customStyle="1" w:styleId="254">
    <w:name w:val="xl71"/>
    <w:basedOn w:val="1"/>
    <w:qFormat/>
    <w:uiPriority w:val="0"/>
    <w:pPr>
      <w:widowControl/>
      <w:spacing w:before="100" w:beforeAutospacing="1" w:after="100" w:afterAutospacing="1"/>
      <w:jc w:val="left"/>
    </w:pPr>
    <w:rPr>
      <w:rFonts w:ascii="宋体" w:hAnsi="宋体" w:cs="宋体"/>
      <w:kern w:val="0"/>
      <w:sz w:val="24"/>
    </w:rPr>
  </w:style>
  <w:style w:type="paragraph" w:customStyle="1" w:styleId="25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56">
    <w:name w:val=".正文"/>
    <w:basedOn w:val="1"/>
    <w:qFormat/>
    <w:uiPriority w:val="0"/>
    <w:pPr>
      <w:spacing w:beforeLines="50"/>
      <w:ind w:firstLine="200" w:firstLineChars="200"/>
    </w:pPr>
    <w:rPr>
      <w:rFonts w:ascii="Calibri" w:hAnsi="Calibri" w:eastAsia="华文仿宋"/>
      <w:szCs w:val="22"/>
    </w:rPr>
  </w:style>
  <w:style w:type="paragraph" w:customStyle="1" w:styleId="257">
    <w:name w:val="正文A缩进"/>
    <w:basedOn w:val="1"/>
    <w:qFormat/>
    <w:uiPriority w:val="0"/>
    <w:pPr>
      <w:spacing w:line="360" w:lineRule="auto"/>
      <w:ind w:firstLine="200" w:firstLineChars="200"/>
    </w:pPr>
    <w:rPr>
      <w:kern w:val="0"/>
      <w:sz w:val="28"/>
      <w:szCs w:val="20"/>
    </w:rPr>
  </w:style>
  <w:style w:type="paragraph" w:customStyle="1" w:styleId="258">
    <w:name w:val="_Style 1"/>
    <w:qFormat/>
    <w:uiPriority w:val="0"/>
    <w:pPr>
      <w:adjustRightInd w:val="0"/>
      <w:snapToGrid w:val="0"/>
      <w:jc w:val="center"/>
    </w:pPr>
    <w:rPr>
      <w:rFonts w:ascii="Tahoma" w:hAnsi="Tahoma" w:eastAsia="宋体" w:cs="Times New Roman"/>
      <w:b/>
      <w:sz w:val="52"/>
      <w:szCs w:val="22"/>
      <w:lang w:val="en-US" w:eastAsia="zh-CN" w:bidi="ar-SA"/>
    </w:rPr>
  </w:style>
  <w:style w:type="character" w:customStyle="1" w:styleId="259">
    <w:name w:val="标题 5 Char"/>
    <w:basedOn w:val="53"/>
    <w:qFormat/>
    <w:uiPriority w:val="0"/>
    <w:rPr>
      <w:b/>
      <w:bCs/>
      <w:kern w:val="2"/>
      <w:sz w:val="28"/>
      <w:szCs w:val="28"/>
    </w:rPr>
  </w:style>
  <w:style w:type="character" w:customStyle="1" w:styleId="260">
    <w:name w:val="标题 6 Char"/>
    <w:basedOn w:val="53"/>
    <w:qFormat/>
    <w:uiPriority w:val="9"/>
    <w:rPr>
      <w:rFonts w:asciiTheme="majorHAnsi" w:hAnsiTheme="majorHAnsi" w:eastAsiaTheme="majorEastAsia" w:cstheme="majorBidi"/>
      <w:b/>
      <w:bCs/>
      <w:kern w:val="2"/>
      <w:sz w:val="24"/>
      <w:szCs w:val="24"/>
    </w:rPr>
  </w:style>
  <w:style w:type="character" w:customStyle="1" w:styleId="261">
    <w:name w:val="标题 7 Char"/>
    <w:basedOn w:val="53"/>
    <w:qFormat/>
    <w:uiPriority w:val="9"/>
    <w:rPr>
      <w:b/>
      <w:bCs/>
      <w:kern w:val="2"/>
      <w:sz w:val="24"/>
      <w:szCs w:val="24"/>
    </w:rPr>
  </w:style>
  <w:style w:type="character" w:customStyle="1" w:styleId="262">
    <w:name w:val="标题 8 Char"/>
    <w:basedOn w:val="53"/>
    <w:qFormat/>
    <w:uiPriority w:val="9"/>
    <w:rPr>
      <w:rFonts w:asciiTheme="majorHAnsi" w:hAnsiTheme="majorHAnsi" w:eastAsiaTheme="majorEastAsia" w:cstheme="majorBidi"/>
      <w:kern w:val="2"/>
      <w:sz w:val="24"/>
      <w:szCs w:val="24"/>
    </w:rPr>
  </w:style>
  <w:style w:type="character" w:customStyle="1" w:styleId="263">
    <w:name w:val="标题 9 Char"/>
    <w:basedOn w:val="53"/>
    <w:qFormat/>
    <w:uiPriority w:val="0"/>
    <w:rPr>
      <w:rFonts w:asciiTheme="majorHAnsi" w:hAnsiTheme="majorHAnsi" w:eastAsiaTheme="majorEastAsia" w:cstheme="majorBidi"/>
      <w:kern w:val="2"/>
      <w:sz w:val="21"/>
      <w:szCs w:val="21"/>
    </w:rPr>
  </w:style>
  <w:style w:type="paragraph" w:customStyle="1" w:styleId="264">
    <w:name w:val="！表格内容"/>
    <w:basedOn w:val="1"/>
    <w:qFormat/>
    <w:uiPriority w:val="0"/>
    <w:pPr>
      <w:spacing w:line="320" w:lineRule="atLeast"/>
    </w:pPr>
  </w:style>
  <w:style w:type="character" w:customStyle="1" w:styleId="265">
    <w:name w:val="页眉 Char2"/>
    <w:basedOn w:val="53"/>
    <w:qFormat/>
    <w:uiPriority w:val="99"/>
    <w:rPr>
      <w:rFonts w:ascii="Times New Roman" w:hAnsi="Times New Roman" w:eastAsia="宋体" w:cs="Times New Roman"/>
      <w:sz w:val="18"/>
      <w:szCs w:val="18"/>
    </w:rPr>
  </w:style>
  <w:style w:type="character" w:customStyle="1" w:styleId="266">
    <w:name w:val="页脚 Char1"/>
    <w:basedOn w:val="53"/>
    <w:qFormat/>
    <w:uiPriority w:val="99"/>
    <w:rPr>
      <w:rFonts w:ascii="Times New Roman" w:hAnsi="Times New Roman" w:eastAsia="宋体" w:cs="Times New Roman"/>
      <w:sz w:val="18"/>
      <w:szCs w:val="18"/>
    </w:rPr>
  </w:style>
  <w:style w:type="paragraph" w:customStyle="1" w:styleId="267">
    <w:name w:val="Ｒ03－xoL"/>
    <w:next w:val="1"/>
    <w:qFormat/>
    <w:uiPriority w:val="0"/>
    <w:pPr>
      <w:spacing w:line="360" w:lineRule="auto"/>
      <w:ind w:firstLine="560" w:firstLineChars="200"/>
      <w:outlineLvl w:val="2"/>
    </w:pPr>
    <w:rPr>
      <w:rFonts w:ascii="黑体" w:hAnsi="华文细黑" w:eastAsia="黑体" w:cs="Arial"/>
      <w:bCs/>
      <w:snapToGrid w:val="0"/>
      <w:sz w:val="28"/>
      <w:szCs w:val="28"/>
      <w:lang w:val="en-US" w:eastAsia="zh-CN" w:bidi="ar-SA"/>
    </w:rPr>
  </w:style>
  <w:style w:type="character" w:customStyle="1" w:styleId="268">
    <w:name w:val="批注文字 字符"/>
    <w:basedOn w:val="53"/>
    <w:qFormat/>
    <w:uiPriority w:val="99"/>
    <w:rPr>
      <w:rFonts w:ascii="Times New Roman" w:hAnsi="Times New Roman" w:eastAsia="宋体" w:cs="Times New Roman"/>
      <w:szCs w:val="24"/>
    </w:rPr>
  </w:style>
  <w:style w:type="character" w:customStyle="1" w:styleId="269">
    <w:name w:val="文档结构图 Char1"/>
    <w:basedOn w:val="53"/>
    <w:qFormat/>
    <w:uiPriority w:val="0"/>
    <w:rPr>
      <w:rFonts w:ascii="宋体" w:hAnsi="Times New Roman" w:eastAsia="宋体" w:cs="Times New Roman"/>
      <w:sz w:val="18"/>
      <w:szCs w:val="18"/>
    </w:rPr>
  </w:style>
  <w:style w:type="character" w:customStyle="1" w:styleId="270">
    <w:name w:val="批注主题 Char1"/>
    <w:basedOn w:val="108"/>
    <w:qFormat/>
    <w:uiPriority w:val="0"/>
    <w:rPr>
      <w:rFonts w:ascii="Times New Roman" w:hAnsi="Times New Roman" w:eastAsia="宋体" w:cs="Times New Roman"/>
      <w:b/>
      <w:bCs/>
      <w:szCs w:val="24"/>
    </w:rPr>
  </w:style>
  <w:style w:type="character" w:customStyle="1" w:styleId="271">
    <w:name w:val="批注框文本 Char1"/>
    <w:basedOn w:val="53"/>
    <w:qFormat/>
    <w:uiPriority w:val="0"/>
    <w:rPr>
      <w:rFonts w:ascii="Times New Roman" w:hAnsi="Times New Roman" w:eastAsia="宋体" w:cs="Times New Roman"/>
      <w:sz w:val="18"/>
      <w:szCs w:val="18"/>
    </w:rPr>
  </w:style>
  <w:style w:type="character" w:customStyle="1" w:styleId="272">
    <w:name w:val="标题 1 Char1"/>
    <w:basedOn w:val="53"/>
    <w:qFormat/>
    <w:uiPriority w:val="0"/>
    <w:rPr>
      <w:b/>
      <w:bCs/>
      <w:kern w:val="44"/>
      <w:sz w:val="44"/>
      <w:szCs w:val="44"/>
    </w:rPr>
  </w:style>
  <w:style w:type="character" w:customStyle="1" w:styleId="273">
    <w:name w:val="标题 2 Char1"/>
    <w:basedOn w:val="53"/>
    <w:qFormat/>
    <w:uiPriority w:val="0"/>
    <w:rPr>
      <w:rFonts w:asciiTheme="majorHAnsi" w:hAnsiTheme="majorHAnsi" w:eastAsiaTheme="majorEastAsia" w:cstheme="majorBidi"/>
      <w:b/>
      <w:bCs/>
      <w:kern w:val="2"/>
      <w:sz w:val="32"/>
      <w:szCs w:val="32"/>
    </w:rPr>
  </w:style>
  <w:style w:type="character" w:customStyle="1" w:styleId="274">
    <w:name w:val="标题 3 Char1"/>
    <w:basedOn w:val="53"/>
    <w:qFormat/>
    <w:uiPriority w:val="99"/>
    <w:rPr>
      <w:rFonts w:ascii="宋体" w:hAnsi="Arial"/>
      <w:b/>
      <w:kern w:val="2"/>
      <w:sz w:val="28"/>
    </w:rPr>
  </w:style>
  <w:style w:type="character" w:customStyle="1" w:styleId="275">
    <w:name w:val="Char Char3"/>
    <w:qFormat/>
    <w:uiPriority w:val="0"/>
    <w:rPr>
      <w:rFonts w:hint="eastAsia" w:ascii="宋体" w:hAnsi="宋体" w:eastAsia="宋体"/>
      <w:kern w:val="2"/>
      <w:sz w:val="21"/>
      <w:szCs w:val="24"/>
      <w:lang w:val="en-US" w:eastAsia="zh-CN" w:bidi="ar-SA"/>
    </w:rPr>
  </w:style>
  <w:style w:type="character" w:customStyle="1" w:styleId="276">
    <w:name w:val="正文－段落 Char Char"/>
    <w:link w:val="277"/>
    <w:qFormat/>
    <w:uiPriority w:val="0"/>
    <w:rPr>
      <w:rFonts w:eastAsia="Times New Roman"/>
      <w:sz w:val="24"/>
      <w:szCs w:val="24"/>
    </w:rPr>
  </w:style>
  <w:style w:type="paragraph" w:customStyle="1" w:styleId="277">
    <w:name w:val="正文－段落"/>
    <w:link w:val="276"/>
    <w:qFormat/>
    <w:uiPriority w:val="0"/>
    <w:pPr>
      <w:spacing w:line="360" w:lineRule="auto"/>
      <w:ind w:firstLine="480" w:firstLineChars="200"/>
    </w:pPr>
    <w:rPr>
      <w:rFonts w:ascii="Times New Roman" w:hAnsi="Times New Roman" w:eastAsia="Times New Roman" w:cs="Times New Roman"/>
      <w:sz w:val="24"/>
      <w:szCs w:val="24"/>
      <w:lang w:val="en-US" w:eastAsia="zh-CN" w:bidi="ar-SA"/>
    </w:rPr>
  </w:style>
  <w:style w:type="character" w:customStyle="1" w:styleId="278">
    <w:name w:val="纯文本 Char1"/>
    <w:qFormat/>
    <w:uiPriority w:val="0"/>
    <w:rPr>
      <w:rFonts w:ascii="宋体" w:hAnsi="Courier New"/>
      <w:spacing w:val="-8"/>
      <w:kern w:val="2"/>
      <w:sz w:val="24"/>
    </w:rPr>
  </w:style>
  <w:style w:type="character" w:customStyle="1" w:styleId="279">
    <w:name w:val="日期 Char"/>
    <w:qFormat/>
    <w:uiPriority w:val="0"/>
    <w:rPr>
      <w:rFonts w:ascii="宋体" w:hAnsi="宋体"/>
      <w:sz w:val="24"/>
    </w:rPr>
  </w:style>
  <w:style w:type="character" w:customStyle="1" w:styleId="280">
    <w:name w:val="Char Char9"/>
    <w:qFormat/>
    <w:uiPriority w:val="0"/>
    <w:rPr>
      <w:rFonts w:hint="default" w:ascii="Calibri" w:hAnsi="Calibri" w:eastAsia="宋体"/>
      <w:sz w:val="18"/>
      <w:szCs w:val="18"/>
      <w:lang w:bidi="ar-SA"/>
    </w:rPr>
  </w:style>
  <w:style w:type="character" w:customStyle="1" w:styleId="281">
    <w:name w:val="Char Char17"/>
    <w:qFormat/>
    <w:uiPriority w:val="0"/>
    <w:rPr>
      <w:rFonts w:hint="eastAsia" w:ascii="仿宋_GB2312" w:hAnsi="Calibri" w:eastAsia="仿宋_GB2312"/>
      <w:b/>
      <w:bCs/>
      <w:color w:val="000000"/>
      <w:kern w:val="2"/>
      <w:sz w:val="32"/>
      <w:szCs w:val="32"/>
      <w:lang w:bidi="ar-SA"/>
    </w:rPr>
  </w:style>
  <w:style w:type="character" w:customStyle="1" w:styleId="282">
    <w:name w:val="HTML 预设格式 Char"/>
    <w:qFormat/>
    <w:uiPriority w:val="0"/>
    <w:rPr>
      <w:rFonts w:ascii="黑体" w:hAnsi="Courier New" w:eastAsia="黑体" w:cs="Courier New"/>
    </w:rPr>
  </w:style>
  <w:style w:type="character" w:customStyle="1" w:styleId="283">
    <w:name w:val="1.5倍行距 Char Char"/>
    <w:link w:val="284"/>
    <w:qFormat/>
    <w:uiPriority w:val="0"/>
    <w:rPr>
      <w:kern w:val="2"/>
      <w:sz w:val="21"/>
      <w:szCs w:val="24"/>
    </w:rPr>
  </w:style>
  <w:style w:type="paragraph" w:customStyle="1" w:styleId="284">
    <w:name w:val="1.5倍行距"/>
    <w:basedOn w:val="1"/>
    <w:link w:val="283"/>
    <w:qFormat/>
    <w:uiPriority w:val="0"/>
    <w:pPr>
      <w:spacing w:line="360" w:lineRule="auto"/>
      <w:ind w:firstLine="420"/>
    </w:pPr>
  </w:style>
  <w:style w:type="character" w:customStyle="1" w:styleId="285">
    <w:name w:val="H2 Char1"/>
    <w:qFormat/>
    <w:uiPriority w:val="0"/>
    <w:rPr>
      <w:rFonts w:ascii="Cambria" w:hAnsi="Cambria"/>
      <w:b/>
      <w:bCs/>
      <w:sz w:val="32"/>
      <w:szCs w:val="32"/>
    </w:rPr>
  </w:style>
  <w:style w:type="character" w:customStyle="1" w:styleId="286">
    <w:name w:val="Char Char4"/>
    <w:qFormat/>
    <w:uiPriority w:val="0"/>
    <w:rPr>
      <w:rFonts w:hint="default" w:ascii="Calibri" w:hAnsi="Calibri" w:eastAsia="宋体"/>
      <w:kern w:val="2"/>
      <w:sz w:val="21"/>
      <w:szCs w:val="22"/>
      <w:lang w:val="en-US" w:eastAsia="zh-CN" w:bidi="ar-SA"/>
    </w:rPr>
  </w:style>
  <w:style w:type="character" w:customStyle="1" w:styleId="287">
    <w:name w:val="正文文本缩进 2 Char"/>
    <w:qFormat/>
    <w:uiPriority w:val="0"/>
    <w:rPr>
      <w:kern w:val="2"/>
      <w:sz w:val="21"/>
    </w:rPr>
  </w:style>
  <w:style w:type="character" w:customStyle="1" w:styleId="288">
    <w:name w:val="签名 Char1"/>
    <w:link w:val="34"/>
    <w:qFormat/>
    <w:uiPriority w:val="0"/>
    <w:rPr>
      <w:rFonts w:eastAsia="楷体_GB2312"/>
      <w:kern w:val="2"/>
      <w:sz w:val="21"/>
    </w:rPr>
  </w:style>
  <w:style w:type="character" w:customStyle="1" w:styleId="289">
    <w:name w:val="标题2 Char"/>
    <w:link w:val="290"/>
    <w:qFormat/>
    <w:uiPriority w:val="0"/>
    <w:rPr>
      <w:rFonts w:ascii="仿宋" w:hAnsi="仿宋" w:eastAsia="仿宋"/>
      <w:b/>
      <w:bCs/>
      <w:color w:val="000000"/>
      <w:kern w:val="2"/>
      <w:sz w:val="24"/>
      <w:szCs w:val="24"/>
    </w:rPr>
  </w:style>
  <w:style w:type="paragraph" w:customStyle="1" w:styleId="290">
    <w:name w:val="标题2"/>
    <w:basedOn w:val="291"/>
    <w:link w:val="289"/>
    <w:qFormat/>
    <w:uiPriority w:val="0"/>
    <w:pPr>
      <w:tabs>
        <w:tab w:val="left" w:pos="425"/>
        <w:tab w:val="left" w:pos="709"/>
        <w:tab w:val="left" w:pos="851"/>
        <w:tab w:val="left" w:pos="1419"/>
      </w:tabs>
    </w:pPr>
    <w:rPr>
      <w:szCs w:val="24"/>
    </w:rPr>
  </w:style>
  <w:style w:type="paragraph" w:customStyle="1" w:styleId="291">
    <w:name w:val="三级"/>
    <w:basedOn w:val="4"/>
    <w:link w:val="292"/>
    <w:qFormat/>
    <w:uiPriority w:val="0"/>
    <w:pPr>
      <w:tabs>
        <w:tab w:val="left" w:pos="425"/>
        <w:tab w:val="left" w:pos="709"/>
        <w:tab w:val="left" w:pos="851"/>
      </w:tabs>
      <w:spacing w:before="240" w:after="240" w:line="360" w:lineRule="auto"/>
      <w:ind w:left="425" w:hanging="425"/>
    </w:pPr>
    <w:rPr>
      <w:rFonts w:ascii="仿宋" w:hAnsi="仿宋" w:eastAsia="仿宋"/>
      <w:color w:val="000000"/>
    </w:rPr>
  </w:style>
  <w:style w:type="character" w:customStyle="1" w:styleId="292">
    <w:name w:val="三级 Char"/>
    <w:link w:val="291"/>
    <w:qFormat/>
    <w:uiPriority w:val="0"/>
    <w:rPr>
      <w:rFonts w:ascii="仿宋" w:hAnsi="仿宋" w:eastAsia="仿宋"/>
      <w:b/>
      <w:bCs/>
      <w:color w:val="000000"/>
      <w:kern w:val="2"/>
      <w:sz w:val="32"/>
      <w:szCs w:val="32"/>
    </w:rPr>
  </w:style>
  <w:style w:type="character" w:customStyle="1" w:styleId="293">
    <w:name w:val="正文首行缩进 2 Char"/>
    <w:link w:val="50"/>
    <w:qFormat/>
    <w:uiPriority w:val="0"/>
    <w:rPr>
      <w:sz w:val="24"/>
      <w:szCs w:val="24"/>
    </w:rPr>
  </w:style>
  <w:style w:type="character" w:customStyle="1" w:styleId="294">
    <w:name w:val="正文首行缩进 Char Char Char1"/>
    <w:qFormat/>
    <w:uiPriority w:val="0"/>
    <w:rPr>
      <w:rFonts w:ascii="Times New Roman" w:hAnsi="Times New Roman"/>
      <w:kern w:val="2"/>
      <w:sz w:val="24"/>
      <w:szCs w:val="24"/>
    </w:rPr>
  </w:style>
  <w:style w:type="character" w:customStyle="1" w:styleId="295">
    <w:name w:val="标题 Char1"/>
    <w:qFormat/>
    <w:uiPriority w:val="0"/>
    <w:rPr>
      <w:rFonts w:ascii="Arial" w:hAnsi="Arial"/>
      <w:b/>
      <w:kern w:val="2"/>
      <w:sz w:val="36"/>
      <w:szCs w:val="24"/>
    </w:rPr>
  </w:style>
  <w:style w:type="character" w:customStyle="1" w:styleId="296">
    <w:name w:val="正文文本 字符"/>
    <w:qFormat/>
    <w:uiPriority w:val="0"/>
    <w:rPr>
      <w:rFonts w:eastAsia="宋体"/>
      <w:kern w:val="2"/>
      <w:sz w:val="21"/>
      <w:szCs w:val="24"/>
      <w:lang w:bidi="ar-SA"/>
    </w:rPr>
  </w:style>
  <w:style w:type="character" w:customStyle="1" w:styleId="297">
    <w:name w:val="正文文本缩进 Char"/>
    <w:qFormat/>
    <w:uiPriority w:val="0"/>
    <w:rPr>
      <w:kern w:val="2"/>
      <w:sz w:val="24"/>
    </w:rPr>
  </w:style>
  <w:style w:type="character" w:customStyle="1" w:styleId="298">
    <w:name w:val="题注 Char1"/>
    <w:link w:val="16"/>
    <w:qFormat/>
    <w:uiPriority w:val="0"/>
    <w:rPr>
      <w:rFonts w:ascii="Cambria" w:hAnsi="Cambria" w:eastAsia="黑体"/>
      <w:kern w:val="2"/>
      <w:sz w:val="21"/>
      <w:szCs w:val="24"/>
    </w:rPr>
  </w:style>
  <w:style w:type="character" w:customStyle="1" w:styleId="299">
    <w:name w:val="bt Char1"/>
    <w:qFormat/>
    <w:uiPriority w:val="0"/>
    <w:rPr>
      <w:rFonts w:ascii="Times New Roman" w:hAnsi="Times New Roman"/>
      <w:kern w:val="2"/>
      <w:sz w:val="24"/>
      <w:szCs w:val="24"/>
    </w:rPr>
  </w:style>
  <w:style w:type="character" w:customStyle="1" w:styleId="300">
    <w:name w:val="Char Char18"/>
    <w:qFormat/>
    <w:uiPriority w:val="0"/>
    <w:rPr>
      <w:rFonts w:hint="default" w:ascii="Cambria" w:hAnsi="Cambria" w:eastAsia="宋体"/>
      <w:b/>
      <w:bCs/>
      <w:sz w:val="32"/>
      <w:szCs w:val="32"/>
      <w:lang w:bidi="ar-SA"/>
    </w:rPr>
  </w:style>
  <w:style w:type="character" w:customStyle="1" w:styleId="301">
    <w:name w:val="四级 Char"/>
    <w:link w:val="302"/>
    <w:qFormat/>
    <w:uiPriority w:val="0"/>
    <w:rPr>
      <w:rFonts w:ascii="仿宋" w:hAnsi="仿宋" w:eastAsia="仿宋"/>
      <w:bCs/>
      <w:kern w:val="2"/>
      <w:sz w:val="32"/>
      <w:szCs w:val="32"/>
    </w:rPr>
  </w:style>
  <w:style w:type="paragraph" w:customStyle="1" w:styleId="302">
    <w:name w:val="四级"/>
    <w:basedOn w:val="6"/>
    <w:link w:val="301"/>
    <w:qFormat/>
    <w:uiPriority w:val="0"/>
    <w:pPr>
      <w:tabs>
        <w:tab w:val="left" w:pos="425"/>
        <w:tab w:val="left" w:pos="851"/>
      </w:tabs>
      <w:spacing w:before="120" w:after="120" w:line="360" w:lineRule="auto"/>
      <w:ind w:left="425" w:hanging="425"/>
    </w:pPr>
    <w:rPr>
      <w:rFonts w:ascii="仿宋" w:hAnsi="仿宋" w:eastAsia="仿宋"/>
      <w:b w:val="0"/>
      <w:sz w:val="32"/>
      <w:szCs w:val="32"/>
    </w:rPr>
  </w:style>
  <w:style w:type="character" w:customStyle="1" w:styleId="303">
    <w:name w:val="cnfont1"/>
    <w:basedOn w:val="53"/>
    <w:qFormat/>
    <w:uiPriority w:val="0"/>
  </w:style>
  <w:style w:type="character" w:customStyle="1" w:styleId="304">
    <w:name w:val="p141"/>
    <w:qFormat/>
    <w:uiPriority w:val="0"/>
    <w:rPr>
      <w:sz w:val="21"/>
      <w:szCs w:val="21"/>
    </w:rPr>
  </w:style>
  <w:style w:type="character" w:customStyle="1" w:styleId="305">
    <w:name w:val="正文文本缩进 3 Char"/>
    <w:qFormat/>
    <w:uiPriority w:val="0"/>
    <w:rPr>
      <w:kern w:val="2"/>
      <w:sz w:val="21"/>
    </w:rPr>
  </w:style>
  <w:style w:type="character" w:customStyle="1" w:styleId="306">
    <w:name w:val="Char Char13"/>
    <w:qFormat/>
    <w:uiPriority w:val="0"/>
    <w:rPr>
      <w:rFonts w:ascii="Cambria" w:hAnsi="Cambria" w:eastAsia="宋体"/>
      <w:sz w:val="24"/>
      <w:szCs w:val="24"/>
      <w:lang w:bidi="ar-SA"/>
    </w:rPr>
  </w:style>
  <w:style w:type="character" w:customStyle="1" w:styleId="307">
    <w:name w:val="正文文本 2 Char1"/>
    <w:link w:val="44"/>
    <w:qFormat/>
    <w:uiPriority w:val="0"/>
    <w:rPr>
      <w:kern w:val="2"/>
      <w:sz w:val="28"/>
    </w:rPr>
  </w:style>
  <w:style w:type="character" w:customStyle="1" w:styleId="308">
    <w:name w:val="Char Char5"/>
    <w:qFormat/>
    <w:uiPriority w:val="0"/>
    <w:rPr>
      <w:rFonts w:ascii="宋体" w:hAnsi="宋体" w:eastAsia="宋体"/>
      <w:b/>
      <w:bCs/>
      <w:szCs w:val="24"/>
      <w:lang w:bidi="ar-SA"/>
    </w:rPr>
  </w:style>
  <w:style w:type="character" w:customStyle="1" w:styleId="309">
    <w:name w:val="正文文本 2 Char"/>
    <w:qFormat/>
    <w:uiPriority w:val="0"/>
    <w:rPr>
      <w:kern w:val="2"/>
      <w:sz w:val="28"/>
    </w:rPr>
  </w:style>
  <w:style w:type="character" w:customStyle="1" w:styleId="310">
    <w:name w:val="Char Char6"/>
    <w:qFormat/>
    <w:uiPriority w:val="0"/>
    <w:rPr>
      <w:rFonts w:ascii="宋体" w:hAnsi="宋体" w:eastAsia="宋体"/>
      <w:szCs w:val="24"/>
      <w:lang w:bidi="ar-SA"/>
    </w:rPr>
  </w:style>
  <w:style w:type="character" w:customStyle="1" w:styleId="311">
    <w:name w:val="Char Char15"/>
    <w:qFormat/>
    <w:uiPriority w:val="0"/>
    <w:rPr>
      <w:rFonts w:hint="default" w:ascii="Cambria" w:hAnsi="Cambria" w:eastAsia="宋体"/>
      <w:b/>
      <w:bCs/>
      <w:sz w:val="24"/>
      <w:szCs w:val="24"/>
      <w:lang w:bidi="ar-SA"/>
    </w:rPr>
  </w:style>
  <w:style w:type="character" w:customStyle="1" w:styleId="312">
    <w:name w:val="H4 Char"/>
    <w:qFormat/>
    <w:uiPriority w:val="0"/>
    <w:rPr>
      <w:rFonts w:ascii="Cambria" w:hAnsi="Cambria" w:eastAsia="仿宋_GB2312"/>
      <w:b/>
      <w:bCs/>
      <w:sz w:val="32"/>
      <w:szCs w:val="28"/>
    </w:rPr>
  </w:style>
  <w:style w:type="character" w:customStyle="1" w:styleId="313">
    <w:name w:val="Char Char20"/>
    <w:qFormat/>
    <w:uiPriority w:val="0"/>
    <w:rPr>
      <w:rFonts w:eastAsia="宋体"/>
      <w:b/>
      <w:kern w:val="2"/>
      <w:sz w:val="28"/>
      <w:lang w:bidi="ar-SA"/>
    </w:rPr>
  </w:style>
  <w:style w:type="character" w:customStyle="1" w:styleId="314">
    <w:name w:val="正文文本缩进 3 Char1"/>
    <w:link w:val="41"/>
    <w:qFormat/>
    <w:uiPriority w:val="0"/>
    <w:rPr>
      <w:kern w:val="2"/>
      <w:sz w:val="21"/>
    </w:rPr>
  </w:style>
  <w:style w:type="character" w:customStyle="1" w:styleId="315">
    <w:name w:val="Char Char16"/>
    <w:qFormat/>
    <w:uiPriority w:val="0"/>
    <w:rPr>
      <w:rFonts w:hint="eastAsia" w:ascii="仿宋_GB2313" w:hAnsi="仿宋_GB2313" w:eastAsia="仿宋_GB2312"/>
      <w:b/>
      <w:bCs/>
      <w:sz w:val="32"/>
      <w:szCs w:val="28"/>
      <w:lang w:bidi="ar-SA"/>
    </w:rPr>
  </w:style>
  <w:style w:type="character" w:customStyle="1" w:styleId="316">
    <w:name w:val="Char Char7"/>
    <w:qFormat/>
    <w:uiPriority w:val="0"/>
    <w:rPr>
      <w:rFonts w:ascii="宋体" w:hAnsi="宋体" w:eastAsia="宋体"/>
      <w:sz w:val="24"/>
      <w:szCs w:val="24"/>
      <w:lang w:bidi="ar-SA"/>
    </w:rPr>
  </w:style>
  <w:style w:type="character" w:customStyle="1" w:styleId="317">
    <w:name w:val="日期 Char1"/>
    <w:link w:val="29"/>
    <w:qFormat/>
    <w:uiPriority w:val="0"/>
    <w:rPr>
      <w:rFonts w:ascii="宋体" w:hAnsi="宋体"/>
      <w:kern w:val="2"/>
      <w:sz w:val="24"/>
      <w:szCs w:val="24"/>
    </w:rPr>
  </w:style>
  <w:style w:type="character" w:customStyle="1" w:styleId="318">
    <w:name w:val="Char Char12"/>
    <w:qFormat/>
    <w:uiPriority w:val="0"/>
    <w:rPr>
      <w:rFonts w:hint="default" w:ascii="Cambria" w:hAnsi="Cambria" w:eastAsia="宋体"/>
      <w:szCs w:val="21"/>
      <w:lang w:bidi="ar-SA"/>
    </w:rPr>
  </w:style>
  <w:style w:type="character" w:customStyle="1" w:styleId="319">
    <w:name w:val="标题 4 Char"/>
    <w:qFormat/>
    <w:uiPriority w:val="0"/>
    <w:rPr>
      <w:rFonts w:ascii="Arial" w:hAnsi="Arial" w:eastAsia="黑体"/>
      <w:b/>
      <w:kern w:val="2"/>
      <w:sz w:val="24"/>
    </w:rPr>
  </w:style>
  <w:style w:type="character" w:customStyle="1" w:styleId="320">
    <w:name w:val="Char Char2"/>
    <w:qFormat/>
    <w:uiPriority w:val="0"/>
    <w:rPr>
      <w:rFonts w:ascii="宋体" w:hAnsi="宋体" w:eastAsia="宋体"/>
      <w:kern w:val="2"/>
      <w:sz w:val="24"/>
      <w:szCs w:val="24"/>
      <w:lang w:val="en-US" w:eastAsia="zh-CN" w:bidi="ar-SA"/>
    </w:rPr>
  </w:style>
  <w:style w:type="character" w:customStyle="1" w:styleId="321">
    <w:name w:val="*正文 Char"/>
    <w:link w:val="322"/>
    <w:qFormat/>
    <w:uiPriority w:val="0"/>
    <w:rPr>
      <w:rFonts w:ascii="宋体" w:hAnsi="宋体"/>
      <w:sz w:val="24"/>
      <w:szCs w:val="24"/>
    </w:rPr>
  </w:style>
  <w:style w:type="paragraph" w:customStyle="1" w:styleId="322">
    <w:name w:val="*正文"/>
    <w:basedOn w:val="1"/>
    <w:link w:val="321"/>
    <w:qFormat/>
    <w:uiPriority w:val="0"/>
    <w:pPr>
      <w:spacing w:line="360" w:lineRule="auto"/>
      <w:ind w:firstLine="200" w:firstLineChars="200"/>
    </w:pPr>
    <w:rPr>
      <w:rFonts w:ascii="宋体" w:hAnsi="宋体"/>
      <w:kern w:val="0"/>
      <w:sz w:val="24"/>
    </w:rPr>
  </w:style>
  <w:style w:type="character" w:customStyle="1" w:styleId="323">
    <w:name w:val="页脚 字符1"/>
    <w:qFormat/>
    <w:uiPriority w:val="0"/>
    <w:rPr>
      <w:rFonts w:eastAsia="宋体"/>
      <w:kern w:val="2"/>
      <w:sz w:val="18"/>
      <w:lang w:bidi="ar-SA"/>
    </w:rPr>
  </w:style>
  <w:style w:type="character" w:customStyle="1" w:styleId="324">
    <w:name w:val="GP正文[858D7CFB-ED40-4347-BF05-701D383B685F]"/>
    <w:link w:val="325"/>
    <w:qFormat/>
    <w:uiPriority w:val="0"/>
    <w:rPr>
      <w:rFonts w:ascii="宋体" w:hAnsi="宋体"/>
      <w:kern w:val="2"/>
      <w:sz w:val="24"/>
      <w:szCs w:val="24"/>
    </w:rPr>
  </w:style>
  <w:style w:type="paragraph" w:customStyle="1" w:styleId="325">
    <w:name w:val="GP正文"/>
    <w:basedOn w:val="1"/>
    <w:link w:val="324"/>
    <w:qFormat/>
    <w:uiPriority w:val="0"/>
    <w:pPr>
      <w:spacing w:line="360" w:lineRule="auto"/>
      <w:ind w:firstLine="200" w:firstLineChars="200"/>
      <w:jc w:val="left"/>
    </w:pPr>
    <w:rPr>
      <w:rFonts w:ascii="宋体" w:hAnsi="宋体"/>
      <w:sz w:val="24"/>
    </w:rPr>
  </w:style>
  <w:style w:type="character" w:customStyle="1" w:styleId="326">
    <w:name w:val="Char Char14"/>
    <w:qFormat/>
    <w:uiPriority w:val="0"/>
    <w:rPr>
      <w:rFonts w:ascii="Calibri" w:hAnsi="Calibri" w:eastAsia="宋体"/>
      <w:b/>
      <w:bCs/>
      <w:sz w:val="24"/>
      <w:szCs w:val="24"/>
      <w:lang w:bidi="ar-SA"/>
    </w:rPr>
  </w:style>
  <w:style w:type="character" w:customStyle="1" w:styleId="327">
    <w:name w:val="Char Char19"/>
    <w:qFormat/>
    <w:uiPriority w:val="0"/>
    <w:rPr>
      <w:rFonts w:ascii="Arial" w:hAnsi="Arial" w:eastAsia="黑体"/>
      <w:b/>
      <w:kern w:val="2"/>
      <w:sz w:val="24"/>
      <w:lang w:bidi="ar-SA"/>
    </w:rPr>
  </w:style>
  <w:style w:type="character" w:customStyle="1" w:styleId="328">
    <w:name w:val="正文文本 Char1"/>
    <w:qFormat/>
    <w:uiPriority w:val="0"/>
    <w:rPr>
      <w:kern w:val="2"/>
      <w:sz w:val="21"/>
      <w:szCs w:val="24"/>
    </w:rPr>
  </w:style>
  <w:style w:type="character" w:customStyle="1" w:styleId="329">
    <w:name w:val="二级 Char"/>
    <w:link w:val="330"/>
    <w:qFormat/>
    <w:uiPriority w:val="0"/>
    <w:rPr>
      <w:rFonts w:ascii="仿宋" w:hAnsi="仿宋" w:eastAsia="仿宋"/>
      <w:b/>
      <w:bCs/>
      <w:spacing w:val="24"/>
      <w:kern w:val="2"/>
      <w:sz w:val="32"/>
      <w:szCs w:val="32"/>
    </w:rPr>
  </w:style>
  <w:style w:type="paragraph" w:customStyle="1" w:styleId="330">
    <w:name w:val="二级"/>
    <w:basedOn w:val="5"/>
    <w:link w:val="329"/>
    <w:qFormat/>
    <w:uiPriority w:val="0"/>
    <w:pPr>
      <w:tabs>
        <w:tab w:val="left" w:pos="425"/>
        <w:tab w:val="left" w:pos="1419"/>
      </w:tabs>
      <w:spacing w:before="240" w:after="240" w:line="360" w:lineRule="auto"/>
      <w:ind w:left="425" w:hanging="425"/>
    </w:pPr>
    <w:rPr>
      <w:rFonts w:ascii="仿宋" w:hAnsi="仿宋" w:eastAsia="仿宋"/>
      <w:spacing w:val="24"/>
    </w:rPr>
  </w:style>
  <w:style w:type="character" w:customStyle="1" w:styleId="331">
    <w:name w:val="签名 Char"/>
    <w:qFormat/>
    <w:uiPriority w:val="0"/>
    <w:rPr>
      <w:rFonts w:eastAsia="楷体_GB2312"/>
      <w:kern w:val="2"/>
      <w:sz w:val="21"/>
    </w:rPr>
  </w:style>
  <w:style w:type="character" w:customStyle="1" w:styleId="332">
    <w:name w:val="Char Char"/>
    <w:qFormat/>
    <w:uiPriority w:val="0"/>
    <w:rPr>
      <w:rFonts w:hint="eastAsia" w:ascii="宋体" w:hAnsi="Courier New" w:eastAsia="宋体"/>
      <w:spacing w:val="-8"/>
      <w:kern w:val="2"/>
      <w:sz w:val="24"/>
      <w:lang w:val="en-US" w:eastAsia="zh-CN" w:bidi="ar-SA"/>
    </w:rPr>
  </w:style>
  <w:style w:type="character" w:customStyle="1" w:styleId="333">
    <w:name w:val="Char Char11"/>
    <w:qFormat/>
    <w:uiPriority w:val="0"/>
    <w:rPr>
      <w:rFonts w:hint="default" w:ascii="Calibri" w:hAnsi="Calibri" w:eastAsia="宋体"/>
      <w:sz w:val="18"/>
      <w:szCs w:val="18"/>
      <w:lang w:bidi="ar-SA"/>
    </w:rPr>
  </w:style>
  <w:style w:type="character" w:customStyle="1" w:styleId="334">
    <w:name w:val="页眉 字符1"/>
    <w:qFormat/>
    <w:uiPriority w:val="0"/>
    <w:rPr>
      <w:rFonts w:eastAsia="宋体"/>
      <w:kern w:val="2"/>
      <w:sz w:val="18"/>
      <w:szCs w:val="18"/>
      <w:lang w:bidi="ar-SA"/>
    </w:rPr>
  </w:style>
  <w:style w:type="character" w:customStyle="1" w:styleId="335">
    <w:name w:val="正文首行缩进 Char1"/>
    <w:qFormat/>
    <w:uiPriority w:val="0"/>
    <w:rPr>
      <w:kern w:val="2"/>
      <w:sz w:val="21"/>
    </w:rPr>
  </w:style>
  <w:style w:type="character" w:customStyle="1" w:styleId="336">
    <w:name w:val="页眉 Char1"/>
    <w:qFormat/>
    <w:uiPriority w:val="0"/>
    <w:rPr>
      <w:rFonts w:eastAsia="宋体"/>
      <w:kern w:val="2"/>
      <w:sz w:val="18"/>
      <w:szCs w:val="18"/>
      <w:lang w:val="en-US" w:eastAsia="zh-CN" w:bidi="ar-SA"/>
    </w:rPr>
  </w:style>
  <w:style w:type="character" w:customStyle="1" w:styleId="337">
    <w:name w:val="题注 Char"/>
    <w:qFormat/>
    <w:uiPriority w:val="0"/>
    <w:rPr>
      <w:rFonts w:ascii="Cambria" w:hAnsi="Cambria" w:eastAsia="黑体"/>
      <w:kern w:val="2"/>
      <w:lang w:bidi="ar-SA"/>
    </w:rPr>
  </w:style>
  <w:style w:type="character" w:customStyle="1" w:styleId="338">
    <w:name w:val="样式 标题 3 + 小四 Char"/>
    <w:qFormat/>
    <w:uiPriority w:val="0"/>
    <w:rPr>
      <w:rFonts w:ascii="宋体" w:hAnsi="宋体" w:cs="Arial"/>
      <w:b/>
      <w:bCs/>
      <w:smallCaps/>
      <w:sz w:val="24"/>
      <w:lang w:val="en-US" w:eastAsia="zh-CN"/>
    </w:rPr>
  </w:style>
  <w:style w:type="character" w:customStyle="1" w:styleId="339">
    <w:name w:val="unnamed21"/>
    <w:qFormat/>
    <w:uiPriority w:val="0"/>
    <w:rPr>
      <w:color w:val="CC6633"/>
      <w:u w:val="none"/>
    </w:rPr>
  </w:style>
  <w:style w:type="character" w:customStyle="1" w:styleId="340">
    <w:name w:val="16"/>
    <w:qFormat/>
    <w:uiPriority w:val="0"/>
    <w:rPr>
      <w:rFonts w:hint="eastAsia" w:ascii="宋体" w:hAnsi="宋体" w:eastAsia="宋体" w:cs="Arial"/>
      <w:b/>
      <w:bCs/>
      <w:smallCaps/>
      <w:kern w:val="2"/>
      <w:sz w:val="24"/>
      <w:szCs w:val="24"/>
    </w:rPr>
  </w:style>
  <w:style w:type="character" w:customStyle="1" w:styleId="341">
    <w:name w:val="正文文本缩进 字符"/>
    <w:qFormat/>
    <w:uiPriority w:val="0"/>
    <w:rPr>
      <w:rFonts w:eastAsia="宋体"/>
      <w:kern w:val="2"/>
      <w:sz w:val="24"/>
      <w:lang w:bidi="ar-SA"/>
    </w:rPr>
  </w:style>
  <w:style w:type="character" w:customStyle="1" w:styleId="342">
    <w:name w:val="Char Char8"/>
    <w:qFormat/>
    <w:uiPriority w:val="0"/>
    <w:rPr>
      <w:rFonts w:hint="default" w:ascii="Calibri" w:hAnsi="Calibri" w:eastAsia="宋体"/>
      <w:kern w:val="2"/>
      <w:sz w:val="21"/>
      <w:szCs w:val="22"/>
      <w:lang w:val="en-US" w:eastAsia="zh-CN" w:bidi="ar-SA"/>
    </w:rPr>
  </w:style>
  <w:style w:type="character" w:customStyle="1" w:styleId="343">
    <w:name w:val="H3 Char1"/>
    <w:qFormat/>
    <w:uiPriority w:val="0"/>
    <w:rPr>
      <w:rFonts w:ascii="仿宋_GB2312" w:eastAsia="仿宋_GB2312"/>
      <w:b/>
      <w:bCs/>
      <w:color w:val="000000"/>
      <w:kern w:val="2"/>
      <w:sz w:val="32"/>
      <w:szCs w:val="32"/>
    </w:rPr>
  </w:style>
  <w:style w:type="character" w:customStyle="1" w:styleId="344">
    <w:name w:val="Char Char1"/>
    <w:qFormat/>
    <w:uiPriority w:val="0"/>
    <w:rPr>
      <w:rFonts w:hint="eastAsia" w:ascii="宋体" w:hAnsi="宋体" w:eastAsia="宋体"/>
      <w:kern w:val="2"/>
      <w:sz w:val="21"/>
      <w:szCs w:val="24"/>
      <w:lang w:val="en-US" w:eastAsia="zh-CN" w:bidi="ar-SA"/>
    </w:rPr>
  </w:style>
  <w:style w:type="character" w:customStyle="1" w:styleId="345">
    <w:name w:val="Char Char10"/>
    <w:qFormat/>
    <w:uiPriority w:val="0"/>
    <w:rPr>
      <w:rFonts w:eastAsia="宋体"/>
      <w:kern w:val="2"/>
      <w:sz w:val="18"/>
      <w:szCs w:val="18"/>
      <w:lang w:val="en-US" w:eastAsia="zh-CN" w:bidi="ar-SA"/>
    </w:rPr>
  </w:style>
  <w:style w:type="character" w:customStyle="1" w:styleId="346">
    <w:name w:val="文档正文 Char"/>
    <w:link w:val="347"/>
    <w:qFormat/>
    <w:uiPriority w:val="0"/>
    <w:rPr>
      <w:rFonts w:ascii="Arial" w:hAnsi="Arial" w:cs="Arial"/>
      <w:bCs/>
      <w:kern w:val="2"/>
      <w:sz w:val="24"/>
      <w:szCs w:val="24"/>
    </w:rPr>
  </w:style>
  <w:style w:type="paragraph" w:customStyle="1" w:styleId="347">
    <w:name w:val="文档正文"/>
    <w:basedOn w:val="1"/>
    <w:link w:val="346"/>
    <w:qFormat/>
    <w:uiPriority w:val="0"/>
    <w:rPr>
      <w:rFonts w:ascii="Arial" w:hAnsi="Arial" w:cs="Arial"/>
      <w:bCs/>
      <w:sz w:val="24"/>
    </w:rPr>
  </w:style>
  <w:style w:type="character" w:customStyle="1" w:styleId="348">
    <w:name w:val="正文文本 2 Char2"/>
    <w:basedOn w:val="53"/>
    <w:semiHidden/>
    <w:qFormat/>
    <w:uiPriority w:val="0"/>
    <w:rPr>
      <w:kern w:val="2"/>
      <w:sz w:val="21"/>
      <w:szCs w:val="24"/>
    </w:rPr>
  </w:style>
  <w:style w:type="character" w:customStyle="1" w:styleId="349">
    <w:name w:val="标题 字符1"/>
    <w:basedOn w:val="53"/>
    <w:qFormat/>
    <w:uiPriority w:val="10"/>
    <w:rPr>
      <w:rFonts w:asciiTheme="majorHAnsi" w:hAnsiTheme="majorHAnsi" w:eastAsiaTheme="majorEastAsia" w:cstheme="majorBidi"/>
      <w:b/>
      <w:bCs/>
      <w:kern w:val="2"/>
      <w:sz w:val="32"/>
      <w:szCs w:val="32"/>
    </w:rPr>
  </w:style>
  <w:style w:type="character" w:customStyle="1" w:styleId="350">
    <w:name w:val="正文首行缩进 2 Char1"/>
    <w:basedOn w:val="75"/>
    <w:qFormat/>
    <w:uiPriority w:val="0"/>
    <w:rPr>
      <w:kern w:val="2"/>
      <w:sz w:val="21"/>
      <w:szCs w:val="24"/>
    </w:rPr>
  </w:style>
  <w:style w:type="character" w:customStyle="1" w:styleId="351">
    <w:name w:val="签名 Char2"/>
    <w:basedOn w:val="53"/>
    <w:semiHidden/>
    <w:qFormat/>
    <w:uiPriority w:val="0"/>
    <w:rPr>
      <w:kern w:val="2"/>
      <w:sz w:val="21"/>
      <w:szCs w:val="24"/>
    </w:rPr>
  </w:style>
  <w:style w:type="character" w:customStyle="1" w:styleId="352">
    <w:name w:val="正文文本缩进 3 Char2"/>
    <w:basedOn w:val="53"/>
    <w:semiHidden/>
    <w:qFormat/>
    <w:uiPriority w:val="0"/>
    <w:rPr>
      <w:kern w:val="2"/>
      <w:sz w:val="16"/>
      <w:szCs w:val="16"/>
    </w:rPr>
  </w:style>
  <w:style w:type="character" w:customStyle="1" w:styleId="353">
    <w:name w:val="日期 Char2"/>
    <w:basedOn w:val="53"/>
    <w:semiHidden/>
    <w:qFormat/>
    <w:uiPriority w:val="0"/>
    <w:rPr>
      <w:kern w:val="2"/>
      <w:sz w:val="21"/>
      <w:szCs w:val="24"/>
    </w:rPr>
  </w:style>
  <w:style w:type="paragraph" w:customStyle="1" w:styleId="354">
    <w:name w:val="Default Paragraph Font Para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55">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56">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357">
    <w:name w:val="cnfon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358">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359">
    <w:name w:val="Table Heading"/>
    <w:basedOn w:val="1"/>
    <w:qFormat/>
    <w:uiPriority w:val="0"/>
    <w:pPr>
      <w:widowControl/>
      <w:jc w:val="center"/>
    </w:pPr>
    <w:rPr>
      <w:rFonts w:ascii="Arial" w:hAnsi="Arial"/>
      <w:b/>
      <w:kern w:val="0"/>
      <w:sz w:val="18"/>
      <w:szCs w:val="20"/>
    </w:rPr>
  </w:style>
  <w:style w:type="paragraph" w:customStyle="1" w:styleId="360">
    <w:name w:val="4"/>
    <w:basedOn w:val="1"/>
    <w:next w:val="1"/>
    <w:qFormat/>
    <w:uiPriority w:val="0"/>
  </w:style>
  <w:style w:type="paragraph" w:customStyle="1" w:styleId="36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2">
    <w:name w:val="--规划正文"/>
    <w:basedOn w:val="1"/>
    <w:qFormat/>
    <w:uiPriority w:val="0"/>
    <w:pPr>
      <w:spacing w:line="360" w:lineRule="auto"/>
      <w:ind w:firstLine="200" w:firstLineChars="200"/>
    </w:pPr>
    <w:rPr>
      <w:szCs w:val="20"/>
    </w:rPr>
  </w:style>
  <w:style w:type="paragraph" w:customStyle="1" w:styleId="363">
    <w:name w:val="样式 标题 5H5dashdsddh5PIM 5口一heading 5Titre5Table label...3"/>
    <w:basedOn w:val="7"/>
    <w:qFormat/>
    <w:uiPriority w:val="0"/>
    <w:pPr>
      <w:numPr>
        <w:numId w:val="0"/>
      </w:numPr>
      <w:tabs>
        <w:tab w:val="left" w:pos="630"/>
        <w:tab w:val="left" w:pos="798"/>
      </w:tabs>
      <w:spacing w:before="120" w:after="120" w:line="480" w:lineRule="auto"/>
      <w:ind w:left="2526" w:hanging="420"/>
    </w:pPr>
    <w:rPr>
      <w:rFonts w:eastAsia="仿宋_GB2312"/>
      <w:bCs/>
      <w:kern w:val="0"/>
      <w:sz w:val="24"/>
      <w:szCs w:val="28"/>
    </w:rPr>
  </w:style>
  <w:style w:type="paragraph" w:customStyle="1" w:styleId="364">
    <w:name w:val="修订1"/>
    <w:qFormat/>
    <w:uiPriority w:val="99"/>
    <w:rPr>
      <w:rFonts w:ascii="Times New Roman" w:hAnsi="Times New Roman" w:eastAsia="宋体" w:cs="Times New Roman"/>
      <w:kern w:val="2"/>
      <w:sz w:val="21"/>
      <w:szCs w:val="22"/>
      <w:lang w:val="en-US" w:eastAsia="zh-CN" w:bidi="ar-SA"/>
    </w:rPr>
  </w:style>
  <w:style w:type="paragraph" w:customStyle="1" w:styleId="365">
    <w:name w:val="样式2"/>
    <w:basedOn w:val="26"/>
    <w:qFormat/>
    <w:uiPriority w:val="0"/>
    <w:pPr>
      <w:tabs>
        <w:tab w:val="right" w:leader="dot" w:pos="9458"/>
      </w:tabs>
    </w:pPr>
    <w:rPr>
      <w:rFonts w:ascii="Arial" w:cs="Arial"/>
      <w:i/>
    </w:rPr>
  </w:style>
  <w:style w:type="paragraph" w:customStyle="1" w:styleId="366">
    <w:name w:val="xl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367">
    <w:name w:val="l2"/>
    <w:basedOn w:val="1"/>
    <w:qFormat/>
    <w:uiPriority w:val="0"/>
    <w:pPr>
      <w:keepLines/>
      <w:widowControl/>
      <w:spacing w:beforeLines="50" w:afterLines="50" w:line="300" w:lineRule="auto"/>
    </w:pPr>
    <w:rPr>
      <w:rFonts w:ascii="Arial" w:hAnsi="Arial"/>
      <w:bCs/>
    </w:rPr>
  </w:style>
  <w:style w:type="paragraph" w:customStyle="1" w:styleId="368">
    <w:name w:val="样式5"/>
    <w:basedOn w:val="369"/>
    <w:next w:val="369"/>
    <w:qFormat/>
    <w:uiPriority w:val="0"/>
    <w:pPr>
      <w:tabs>
        <w:tab w:val="right" w:leader="dot" w:pos="9458"/>
      </w:tabs>
    </w:pPr>
  </w:style>
  <w:style w:type="paragraph" w:customStyle="1" w:styleId="369">
    <w:name w:val="样式4"/>
    <w:basedOn w:val="35"/>
    <w:qFormat/>
    <w:uiPriority w:val="0"/>
    <w:pPr>
      <w:tabs>
        <w:tab w:val="right" w:leader="dot" w:pos="9458"/>
      </w:tabs>
    </w:pPr>
    <w:rPr>
      <w:b w:val="0"/>
    </w:rPr>
  </w:style>
  <w:style w:type="paragraph" w:customStyle="1" w:styleId="370">
    <w:name w:val="TOC 标题1"/>
    <w:basedOn w:val="3"/>
    <w:next w:val="1"/>
    <w:qFormat/>
    <w:uiPriority w:val="39"/>
    <w:pPr>
      <w:widowControl/>
      <w:spacing w:before="480" w:after="0" w:line="276" w:lineRule="auto"/>
      <w:jc w:val="left"/>
      <w:outlineLvl w:val="9"/>
    </w:pPr>
    <w:rPr>
      <w:rFonts w:ascii="Cambria" w:hAnsi="Cambria" w:eastAsia="宋体"/>
      <w:bCs/>
      <w:color w:val="365F91"/>
      <w:kern w:val="0"/>
    </w:rPr>
  </w:style>
  <w:style w:type="paragraph" w:customStyle="1" w:styleId="371">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2"/>
      <w:szCs w:val="22"/>
    </w:rPr>
  </w:style>
  <w:style w:type="paragraph" w:customStyle="1" w:styleId="372">
    <w:name w:val="Char Char Char Char Char Char1 Char1"/>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37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4">
    <w:name w:val="Table Body"/>
    <w:basedOn w:val="1"/>
    <w:qFormat/>
    <w:uiPriority w:val="0"/>
    <w:pPr>
      <w:widowControl/>
      <w:jc w:val="center"/>
    </w:pPr>
    <w:rPr>
      <w:rFonts w:ascii="Arial" w:hAnsi="Arial"/>
      <w:snapToGrid w:val="0"/>
      <w:kern w:val="0"/>
      <w:sz w:val="18"/>
      <w:szCs w:val="20"/>
    </w:rPr>
  </w:style>
  <w:style w:type="paragraph" w:customStyle="1" w:styleId="375">
    <w:name w:val="xl4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6">
    <w:name w:val="正文_1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7">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78">
    <w:name w:val="签名 - 公司"/>
    <w:basedOn w:val="34"/>
    <w:next w:val="379"/>
    <w:qFormat/>
    <w:uiPriority w:val="0"/>
    <w:pPr>
      <w:keepNext/>
      <w:widowControl/>
      <w:tabs>
        <w:tab w:val="left" w:pos="600"/>
        <w:tab w:val="left" w:pos="960"/>
        <w:tab w:val="left" w:pos="1080"/>
      </w:tabs>
      <w:overflowPunct w:val="0"/>
      <w:spacing w:line="360" w:lineRule="auto"/>
      <w:ind w:left="0" w:right="28" w:firstLine="480"/>
      <w:jc w:val="right"/>
    </w:pPr>
    <w:rPr>
      <w:rFonts w:ascii="宋体" w:hAnsi="宋体" w:eastAsia="宋体"/>
      <w:kern w:val="0"/>
    </w:rPr>
  </w:style>
  <w:style w:type="paragraph" w:customStyle="1" w:styleId="379">
    <w:name w:val="关于"/>
    <w:basedOn w:val="1"/>
    <w:next w:val="1"/>
    <w:qFormat/>
    <w:uiPriority w:val="0"/>
    <w:pPr>
      <w:keepNext/>
      <w:keepLines/>
      <w:widowControl/>
      <w:tabs>
        <w:tab w:val="left" w:pos="600"/>
        <w:tab w:val="left" w:pos="960"/>
        <w:tab w:val="left" w:pos="1080"/>
      </w:tabs>
      <w:overflowPunct w:val="0"/>
      <w:spacing w:before="220" w:line="360" w:lineRule="auto"/>
      <w:ind w:right="28" w:firstLine="480"/>
    </w:pPr>
    <w:rPr>
      <w:rFonts w:ascii="宋体" w:hAnsi="宋体"/>
      <w:kern w:val="0"/>
      <w:sz w:val="24"/>
      <w:szCs w:val="20"/>
    </w:rPr>
  </w:style>
  <w:style w:type="paragraph" w:customStyle="1" w:styleId="380">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81">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2">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kern w:val="0"/>
      <w:sz w:val="22"/>
      <w:szCs w:val="22"/>
    </w:rPr>
  </w:style>
  <w:style w:type="paragraph" w:customStyle="1" w:styleId="383">
    <w:name w:val="xl33"/>
    <w:basedOn w:val="1"/>
    <w:qFormat/>
    <w:uiPriority w:val="0"/>
    <w:pPr>
      <w:widowControl/>
      <w:spacing w:before="100" w:beforeAutospacing="1" w:after="100" w:afterAutospacing="1"/>
      <w:jc w:val="left"/>
      <w:textAlignment w:val="center"/>
    </w:pPr>
    <w:rPr>
      <w:rFonts w:ascii="宋体" w:hAnsi="宋体"/>
      <w:b/>
      <w:bCs/>
      <w:kern w:val="0"/>
      <w:sz w:val="28"/>
      <w:szCs w:val="28"/>
    </w:rPr>
  </w:style>
  <w:style w:type="paragraph" w:customStyle="1" w:styleId="384">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85">
    <w:name w:val="正文缩进1"/>
    <w:basedOn w:val="1"/>
    <w:qFormat/>
    <w:uiPriority w:val="0"/>
    <w:pPr>
      <w:ind w:firstLine="567"/>
    </w:pPr>
    <w:rPr>
      <w:spacing w:val="20"/>
      <w:sz w:val="24"/>
      <w:szCs w:val="20"/>
    </w:rPr>
  </w:style>
  <w:style w:type="paragraph" w:customStyle="1" w:styleId="386">
    <w:name w:val="_正文"/>
    <w:basedOn w:val="1"/>
    <w:qFormat/>
    <w:uiPriority w:val="99"/>
    <w:pPr>
      <w:spacing w:line="360" w:lineRule="auto"/>
      <w:ind w:firstLine="200" w:firstLineChars="200"/>
    </w:pPr>
    <w:rPr>
      <w:rFonts w:ascii="宋体" w:hAnsi="宋体"/>
      <w:sz w:val="24"/>
    </w:rPr>
  </w:style>
  <w:style w:type="paragraph" w:customStyle="1" w:styleId="387">
    <w:name w:val="xl46"/>
    <w:basedOn w:val="1"/>
    <w:qFormat/>
    <w:uiPriority w:val="0"/>
    <w:pPr>
      <w:widowControl/>
      <w:spacing w:before="100" w:beforeAutospacing="1" w:after="100" w:afterAutospacing="1"/>
      <w:jc w:val="left"/>
      <w:textAlignment w:val="center"/>
    </w:pPr>
    <w:rPr>
      <w:rFonts w:ascii="宋体" w:hAnsi="宋体"/>
      <w:kern w:val="0"/>
      <w:sz w:val="22"/>
      <w:szCs w:val="22"/>
    </w:rPr>
  </w:style>
  <w:style w:type="paragraph" w:customStyle="1" w:styleId="388">
    <w:name w:val="列出段落6"/>
    <w:basedOn w:val="1"/>
    <w:qFormat/>
    <w:uiPriority w:val="0"/>
    <w:pPr>
      <w:ind w:firstLine="420" w:firstLineChars="200"/>
    </w:pPr>
    <w:rPr>
      <w:rFonts w:ascii="仿宋_GB2312" w:eastAsia="仿宋_GB2312" w:cs="宋体"/>
      <w:spacing w:val="6"/>
      <w:sz w:val="30"/>
      <w:szCs w:val="30"/>
    </w:rPr>
  </w:style>
  <w:style w:type="paragraph" w:customStyle="1" w:styleId="389">
    <w:name w:val="_Style 15"/>
    <w:basedOn w:val="1"/>
    <w:qFormat/>
    <w:uiPriority w:val="0"/>
  </w:style>
  <w:style w:type="paragraph" w:customStyle="1" w:styleId="390">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391">
    <w:name w:val="xl4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392">
    <w:name w:val="Char Char Char Char Char Char1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393">
    <w:name w:val="样式 标题 4 + 加粗"/>
    <w:basedOn w:val="6"/>
    <w:next w:val="1"/>
    <w:qFormat/>
    <w:uiPriority w:val="0"/>
    <w:pPr>
      <w:widowControl/>
      <w:tabs>
        <w:tab w:val="left" w:pos="360"/>
      </w:tabs>
      <w:spacing w:before="0" w:after="0" w:line="240" w:lineRule="auto"/>
      <w:jc w:val="left"/>
    </w:pPr>
    <w:rPr>
      <w:rFonts w:ascii="微软雅黑" w:hAnsi="微软雅黑" w:eastAsia="微软雅黑"/>
      <w:kern w:val="24"/>
      <w:sz w:val="24"/>
      <w:szCs w:val="24"/>
    </w:rPr>
  </w:style>
  <w:style w:type="paragraph" w:customStyle="1" w:styleId="394">
    <w:name w:val="xl51"/>
    <w:basedOn w:val="1"/>
    <w:qFormat/>
    <w:uiPriority w:val="0"/>
    <w:pPr>
      <w:widowControl/>
      <w:pBdr>
        <w:bottom w:val="single" w:color="auto" w:sz="4" w:space="0"/>
        <w:right w:val="single" w:color="auto" w:sz="4" w:space="0"/>
      </w:pBdr>
      <w:spacing w:before="100" w:beforeAutospacing="1" w:after="100" w:afterAutospacing="1"/>
      <w:textAlignment w:val="center"/>
    </w:pPr>
    <w:rPr>
      <w:rFonts w:ascii="Arial" w:hAnsi="Arial" w:eastAsia="Arial Unicode MS" w:cs="Arial"/>
      <w:kern w:val="0"/>
      <w:szCs w:val="21"/>
    </w:rPr>
  </w:style>
  <w:style w:type="paragraph" w:customStyle="1" w:styleId="395">
    <w:name w:val="xl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39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7">
    <w:name w:val="样式"/>
    <w:basedOn w:val="1"/>
    <w:next w:val="23"/>
    <w:qFormat/>
    <w:uiPriority w:val="0"/>
    <w:pPr>
      <w:ind w:left="572" w:right="32" w:firstLine="478"/>
    </w:pPr>
    <w:rPr>
      <w:szCs w:val="21"/>
    </w:rPr>
  </w:style>
  <w:style w:type="paragraph" w:customStyle="1" w:styleId="398">
    <w:name w:val="Bullet w/Single Space"/>
    <w:basedOn w:val="1"/>
    <w:qFormat/>
    <w:uiPriority w:val="0"/>
    <w:pPr>
      <w:widowControl/>
      <w:numPr>
        <w:ilvl w:val="0"/>
        <w:numId w:val="3"/>
      </w:numPr>
      <w:ind w:left="720"/>
      <w:jc w:val="left"/>
    </w:pPr>
    <w:rPr>
      <w:kern w:val="0"/>
      <w:sz w:val="24"/>
      <w:szCs w:val="20"/>
      <w:lang w:eastAsia="en-US"/>
    </w:rPr>
  </w:style>
  <w:style w:type="paragraph" w:customStyle="1" w:styleId="399">
    <w:name w:val="正文样式"/>
    <w:basedOn w:val="1"/>
    <w:qFormat/>
    <w:uiPriority w:val="0"/>
    <w:pPr>
      <w:tabs>
        <w:tab w:val="left" w:pos="1560"/>
      </w:tabs>
      <w:spacing w:before="163" w:after="163" w:line="300" w:lineRule="auto"/>
      <w:ind w:left="1560" w:hanging="360"/>
    </w:pPr>
    <w:rPr>
      <w:rFonts w:ascii="宋体"/>
      <w:sz w:val="24"/>
    </w:rPr>
  </w:style>
  <w:style w:type="paragraph" w:customStyle="1" w:styleId="400">
    <w:name w:val="图表"/>
    <w:basedOn w:val="1"/>
    <w:qFormat/>
    <w:uiPriority w:val="0"/>
    <w:pPr>
      <w:spacing w:line="360" w:lineRule="auto"/>
      <w:ind w:hanging="420"/>
      <w:jc w:val="center"/>
    </w:pPr>
    <w:rPr>
      <w:sz w:val="24"/>
      <w:szCs w:val="20"/>
    </w:rPr>
  </w:style>
  <w:style w:type="paragraph" w:customStyle="1" w:styleId="401">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2">
    <w:name w:val="正文_0"/>
    <w:basedOn w:val="1"/>
    <w:qFormat/>
    <w:uiPriority w:val="0"/>
  </w:style>
  <w:style w:type="paragraph" w:customStyle="1" w:styleId="403">
    <w:name w:val="z1"/>
    <w:basedOn w:val="1"/>
    <w:qFormat/>
    <w:uiPriority w:val="0"/>
    <w:pPr>
      <w:widowControl/>
      <w:wordWrap w:val="0"/>
      <w:adjustRightInd w:val="0"/>
      <w:snapToGrid w:val="0"/>
      <w:spacing w:beforeLines="50" w:afterLines="50" w:line="300" w:lineRule="auto"/>
      <w:ind w:left="359" w:leftChars="171" w:firstLine="480" w:firstLineChars="200"/>
    </w:pPr>
    <w:rPr>
      <w:rFonts w:ascii="Arial" w:hAnsi="Arial"/>
      <w:sz w:val="24"/>
      <w:szCs w:val="21"/>
    </w:rPr>
  </w:style>
  <w:style w:type="paragraph" w:customStyle="1" w:styleId="404">
    <w:name w:val="正文2"/>
    <w:qFormat/>
    <w:uiPriority w:val="0"/>
    <w:pPr>
      <w:widowControl w:val="0"/>
      <w:adjustRightInd w:val="0"/>
      <w:spacing w:line="360" w:lineRule="atLeast"/>
      <w:textAlignment w:val="baseline"/>
    </w:pPr>
    <w:rPr>
      <w:rFonts w:ascii="宋体" w:hAnsi="Times New Roman" w:eastAsia="宋体" w:cs="Times New Roman"/>
      <w:sz w:val="24"/>
      <w:lang w:val="en-US" w:eastAsia="zh-CN" w:bidi="ar-SA"/>
    </w:rPr>
  </w:style>
  <w:style w:type="paragraph" w:customStyle="1" w:styleId="405">
    <w:name w:val="简单回函地址"/>
    <w:basedOn w:val="1"/>
    <w:qFormat/>
    <w:uiPriority w:val="0"/>
  </w:style>
  <w:style w:type="paragraph" w:customStyle="1" w:styleId="40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2"/>
      <w:szCs w:val="22"/>
    </w:rPr>
  </w:style>
  <w:style w:type="paragraph" w:customStyle="1" w:styleId="407">
    <w:name w:val="样式3"/>
    <w:basedOn w:val="26"/>
    <w:qFormat/>
    <w:uiPriority w:val="0"/>
    <w:pPr>
      <w:tabs>
        <w:tab w:val="right" w:leader="dot" w:pos="9458"/>
      </w:tabs>
    </w:pPr>
    <w:rPr>
      <w:i/>
    </w:rPr>
  </w:style>
  <w:style w:type="paragraph" w:customStyle="1" w:styleId="408">
    <w:name w:val="msolistparagraph"/>
    <w:basedOn w:val="1"/>
    <w:qFormat/>
    <w:uiPriority w:val="0"/>
    <w:pPr>
      <w:ind w:firstLine="420" w:firstLineChars="200"/>
    </w:pPr>
    <w:rPr>
      <w:rFonts w:ascii="Calibri" w:hAnsi="Calibri"/>
      <w:szCs w:val="22"/>
    </w:rPr>
  </w:style>
  <w:style w:type="paragraph" w:customStyle="1" w:styleId="409">
    <w:name w:val="Char Char16 Char Char"/>
    <w:basedOn w:val="1"/>
    <w:qFormat/>
    <w:uiPriority w:val="0"/>
    <w:rPr>
      <w:rFonts w:ascii="Tahoma" w:hAnsi="Tahoma"/>
      <w:sz w:val="24"/>
      <w:szCs w:val="20"/>
    </w:rPr>
  </w:style>
  <w:style w:type="paragraph" w:customStyle="1" w:styleId="410">
    <w:name w:val="正文内容"/>
    <w:basedOn w:val="1"/>
    <w:qFormat/>
    <w:uiPriority w:val="0"/>
    <w:rPr>
      <w:rFonts w:ascii="Arial" w:hAnsi="Arial"/>
      <w:spacing w:val="-12"/>
      <w:szCs w:val="20"/>
    </w:rPr>
  </w:style>
  <w:style w:type="paragraph" w:customStyle="1" w:styleId="41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13">
    <w:name w:val="WPSOffice手动目录 1"/>
    <w:qFormat/>
    <w:uiPriority w:val="0"/>
    <w:rPr>
      <w:rFonts w:ascii="Times New Roman" w:hAnsi="Times New Roman" w:eastAsia="宋体" w:cs="Times New Roman"/>
      <w:lang w:val="en-US" w:eastAsia="zh-CN" w:bidi="ar-SA"/>
    </w:rPr>
  </w:style>
  <w:style w:type="paragraph" w:customStyle="1" w:styleId="414">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415">
    <w:name w:val="xl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16">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17">
    <w:name w:val="正文(首行缩进)"/>
    <w:qFormat/>
    <w:uiPriority w:val="0"/>
    <w:pPr>
      <w:adjustRightInd w:val="0"/>
      <w:snapToGrid w:val="0"/>
      <w:spacing w:line="360" w:lineRule="auto"/>
      <w:ind w:firstLine="200" w:firstLineChars="200"/>
      <w:jc w:val="both"/>
    </w:pPr>
    <w:rPr>
      <w:rFonts w:ascii="Times New Roman" w:hAnsi="Times New Roman" w:eastAsia="仿宋_GB2312" w:cs="Times New Roman"/>
      <w:spacing w:val="2"/>
      <w:kern w:val="24"/>
      <w:sz w:val="24"/>
      <w:szCs w:val="24"/>
      <w:lang w:val="en-US" w:eastAsia="zh-CN" w:bidi="ar-SA"/>
    </w:rPr>
  </w:style>
  <w:style w:type="paragraph" w:customStyle="1" w:styleId="41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19">
    <w:name w:val="Char1 Char Char Char Char Char Char Char Char"/>
    <w:basedOn w:val="1"/>
    <w:qFormat/>
    <w:uiPriority w:val="0"/>
  </w:style>
  <w:style w:type="paragraph" w:customStyle="1" w:styleId="420">
    <w:name w:val="xl3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2"/>
      <w:szCs w:val="22"/>
    </w:rPr>
  </w:style>
  <w:style w:type="paragraph" w:customStyle="1" w:styleId="421">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2">
    <w:name w:val="标题5"/>
    <w:basedOn w:val="1"/>
    <w:qFormat/>
    <w:uiPriority w:val="0"/>
    <w:pPr>
      <w:spacing w:before="120" w:after="120"/>
    </w:pPr>
    <w:rPr>
      <w:rFonts w:ascii="宋体"/>
      <w:b/>
      <w:sz w:val="28"/>
    </w:rPr>
  </w:style>
  <w:style w:type="paragraph" w:customStyle="1" w:styleId="423">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4">
    <w:name w:val="正文-段落"/>
    <w:qFormat/>
    <w:uiPriority w:val="0"/>
    <w:pPr>
      <w:spacing w:line="360" w:lineRule="auto"/>
      <w:ind w:firstLine="200" w:firstLineChars="200"/>
    </w:pPr>
    <w:rPr>
      <w:rFonts w:ascii="Times New Roman" w:hAnsi="Times New Roman" w:eastAsia="宋体" w:cs="Cambria"/>
      <w:sz w:val="24"/>
      <w:szCs w:val="24"/>
      <w:lang w:val="en-GB" w:eastAsia="zh-CN" w:bidi="ar-SA"/>
    </w:rPr>
  </w:style>
  <w:style w:type="paragraph" w:customStyle="1" w:styleId="425">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eastAsia="仿宋_GB2312" w:cs="宋体"/>
      <w:b/>
      <w:bCs/>
      <w:kern w:val="0"/>
      <w:sz w:val="18"/>
      <w:szCs w:val="18"/>
    </w:rPr>
  </w:style>
  <w:style w:type="paragraph" w:customStyle="1" w:styleId="426">
    <w:name w:val="Char4"/>
    <w:basedOn w:val="1"/>
    <w:qFormat/>
    <w:uiPriority w:val="0"/>
    <w:pPr>
      <w:ind w:left="980" w:hanging="420"/>
    </w:pPr>
    <w:rPr>
      <w:sz w:val="24"/>
    </w:rPr>
  </w:style>
  <w:style w:type="paragraph" w:customStyle="1" w:styleId="427">
    <w:name w:val="xl4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2"/>
      <w:szCs w:val="22"/>
    </w:rPr>
  </w:style>
  <w:style w:type="paragraph" w:customStyle="1" w:styleId="428">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kern w:val="0"/>
      <w:sz w:val="22"/>
      <w:szCs w:val="22"/>
    </w:rPr>
  </w:style>
  <w:style w:type="paragraph" w:customStyle="1" w:styleId="429">
    <w:name w:val="样式 首行缩进:  0.85 厘米"/>
    <w:basedOn w:val="1"/>
    <w:qFormat/>
    <w:uiPriority w:val="0"/>
    <w:pPr>
      <w:ind w:firstLine="480" w:firstLineChars="200"/>
    </w:pPr>
    <w:rPr>
      <w:rFonts w:cs="宋体"/>
      <w:szCs w:val="20"/>
    </w:rPr>
  </w:style>
  <w:style w:type="paragraph" w:customStyle="1" w:styleId="430">
    <w:name w:val="xl3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2"/>
      <w:szCs w:val="22"/>
    </w:rPr>
  </w:style>
  <w:style w:type="paragraph" w:customStyle="1" w:styleId="432">
    <w:name w:val="font2"/>
    <w:basedOn w:val="1"/>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433">
    <w:name w:val="font3"/>
    <w:basedOn w:val="1"/>
    <w:qFormat/>
    <w:uiPriority w:val="0"/>
    <w:pPr>
      <w:widowControl/>
      <w:spacing w:before="100" w:beforeAutospacing="1" w:after="100" w:afterAutospacing="1"/>
      <w:jc w:val="left"/>
    </w:pPr>
    <w:rPr>
      <w:color w:val="000000"/>
      <w:kern w:val="0"/>
      <w:sz w:val="14"/>
      <w:szCs w:val="14"/>
    </w:rPr>
  </w:style>
  <w:style w:type="paragraph" w:customStyle="1" w:styleId="434">
    <w:name w:val="et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5">
    <w:name w:val="et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6">
    <w:name w:val="et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7">
    <w:name w:val="et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8">
    <w:name w:val="et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39">
    <w:name w:val="et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0">
    <w:name w:val="et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1">
    <w:name w:val="et1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2">
    <w:name w:val="et1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3">
    <w:name w:val="et1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4">
    <w:name w:val="et15"/>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5">
    <w:name w:val="et16"/>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6">
    <w:name w:val="et17"/>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7">
    <w:name w:val="et18"/>
    <w:basedOn w:val="1"/>
    <w:qFormat/>
    <w:uiPriority w:val="0"/>
    <w:pPr>
      <w:widowControl/>
      <w:spacing w:before="100" w:beforeAutospacing="1" w:after="100" w:afterAutospacing="1"/>
      <w:jc w:val="left"/>
      <w:textAlignment w:val="center"/>
    </w:pPr>
    <w:rPr>
      <w:rFonts w:ascii="Calibri" w:hAnsi="Calibri" w:cs="宋体"/>
      <w:color w:val="000000"/>
      <w:kern w:val="0"/>
      <w:sz w:val="22"/>
      <w:szCs w:val="22"/>
    </w:rPr>
  </w:style>
  <w:style w:type="paragraph" w:customStyle="1" w:styleId="448">
    <w:name w:val="et1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49">
    <w:name w:val="et2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0">
    <w:name w:val="et2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1">
    <w:name w:val="et2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2">
    <w:name w:val="et2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3">
    <w:name w:val="et24"/>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454">
    <w:name w:val="p9"/>
    <w:basedOn w:val="1"/>
    <w:qFormat/>
    <w:uiPriority w:val="0"/>
    <w:pPr>
      <w:widowControl/>
      <w:spacing w:before="100" w:beforeAutospacing="1" w:after="100" w:afterAutospacing="1"/>
      <w:jc w:val="left"/>
    </w:pPr>
    <w:rPr>
      <w:rFonts w:eastAsia="Arial Unicode MS" w:cs="Arial Unicode MS" w:asciiTheme="minorHAnsi" w:hAnsiTheme="minorHAnsi"/>
      <w:color w:val="000000"/>
      <w:kern w:val="0"/>
      <w:sz w:val="18"/>
      <w:szCs w:val="18"/>
    </w:rPr>
  </w:style>
  <w:style w:type="character" w:customStyle="1" w:styleId="455">
    <w:name w:val="列出段落 Char"/>
    <w:link w:val="456"/>
    <w:qFormat/>
    <w:uiPriority w:val="34"/>
    <w:rPr>
      <w:kern w:val="2"/>
      <w:sz w:val="21"/>
      <w:szCs w:val="24"/>
    </w:rPr>
  </w:style>
  <w:style w:type="paragraph" w:styleId="456">
    <w:name w:val="List Paragraph"/>
    <w:basedOn w:val="1"/>
    <w:link w:val="455"/>
    <w:qFormat/>
    <w:uiPriority w:val="34"/>
    <w:pPr>
      <w:ind w:firstLine="420" w:firstLineChars="200"/>
    </w:pPr>
  </w:style>
  <w:style w:type="paragraph" w:customStyle="1" w:styleId="457">
    <w:name w:val="yiv1649619028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458">
    <w:name w:val="评价"/>
    <w:basedOn w:val="1"/>
    <w:qFormat/>
    <w:uiPriority w:val="0"/>
    <w:pPr>
      <w:spacing w:afterLines="20"/>
      <w:ind w:firstLine="1446" w:firstLineChars="200"/>
    </w:pPr>
    <w:rPr>
      <w:rFonts w:ascii="Calibri" w:hAnsi="Calibri"/>
      <w:sz w:val="24"/>
    </w:rPr>
  </w:style>
  <w:style w:type="character" w:customStyle="1" w:styleId="459">
    <w:name w:val="正文文本 3 Char"/>
    <w:basedOn w:val="53"/>
    <w:link w:val="20"/>
    <w:qFormat/>
    <w:uiPriority w:val="0"/>
    <w:rPr>
      <w:kern w:val="2"/>
      <w:sz w:val="16"/>
      <w:szCs w:val="16"/>
    </w:rPr>
  </w:style>
  <w:style w:type="character" w:customStyle="1" w:styleId="460">
    <w:name w:val="content"/>
    <w:basedOn w:val="53"/>
    <w:qFormat/>
    <w:uiPriority w:val="0"/>
  </w:style>
  <w:style w:type="character" w:customStyle="1" w:styleId="461">
    <w:name w:val="ca-3"/>
    <w:basedOn w:val="53"/>
    <w:qFormat/>
    <w:uiPriority w:val="0"/>
  </w:style>
  <w:style w:type="character" w:customStyle="1" w:styleId="462">
    <w:name w:val="textcontents1"/>
    <w:qFormat/>
    <w:uiPriority w:val="0"/>
    <w:rPr>
      <w:rFonts w:hint="default" w:ascii="ˎ̥" w:hAnsi="ˎ̥"/>
      <w:sz w:val="21"/>
      <w:szCs w:val="21"/>
    </w:rPr>
  </w:style>
  <w:style w:type="character" w:customStyle="1" w:styleId="463">
    <w:name w:val="脚注文本 Char1"/>
    <w:qFormat/>
    <w:uiPriority w:val="0"/>
    <w:rPr>
      <w:kern w:val="2"/>
      <w:sz w:val="18"/>
      <w:szCs w:val="18"/>
    </w:rPr>
  </w:style>
  <w:style w:type="character" w:customStyle="1" w:styleId="464">
    <w:name w:val="脚注文本 Char"/>
    <w:link w:val="39"/>
    <w:qFormat/>
    <w:uiPriority w:val="0"/>
    <w:rPr>
      <w:kern w:val="2"/>
      <w:sz w:val="18"/>
      <w:szCs w:val="18"/>
    </w:rPr>
  </w:style>
  <w:style w:type="character" w:customStyle="1" w:styleId="465">
    <w:name w:val="正文首行缩进（绿盟科技） Char"/>
    <w:link w:val="466"/>
    <w:qFormat/>
    <w:uiPriority w:val="0"/>
    <w:rPr>
      <w:rFonts w:ascii="Arial" w:hAnsi="Arial"/>
      <w:szCs w:val="21"/>
    </w:rPr>
  </w:style>
  <w:style w:type="paragraph" w:customStyle="1" w:styleId="466">
    <w:name w:val="正文首行缩进（绿盟科技）"/>
    <w:basedOn w:val="1"/>
    <w:link w:val="465"/>
    <w:qFormat/>
    <w:uiPriority w:val="0"/>
    <w:pPr>
      <w:widowControl/>
      <w:spacing w:after="50" w:line="300" w:lineRule="auto"/>
      <w:ind w:firstLine="200" w:firstLineChars="200"/>
      <w:jc w:val="left"/>
    </w:pPr>
    <w:rPr>
      <w:rFonts w:ascii="Arial" w:hAnsi="Arial"/>
      <w:kern w:val="0"/>
      <w:sz w:val="20"/>
      <w:szCs w:val="21"/>
    </w:rPr>
  </w:style>
  <w:style w:type="character" w:customStyle="1" w:styleId="467">
    <w:name w:val="c lh15"/>
    <w:basedOn w:val="53"/>
    <w:qFormat/>
    <w:uiPriority w:val="0"/>
  </w:style>
  <w:style w:type="character" w:customStyle="1" w:styleId="468">
    <w:name w:val="Char Char21"/>
    <w:qFormat/>
    <w:uiPriority w:val="0"/>
    <w:rPr>
      <w:b/>
      <w:bCs/>
      <w:kern w:val="2"/>
      <w:sz w:val="32"/>
      <w:szCs w:val="32"/>
    </w:rPr>
  </w:style>
  <w:style w:type="character" w:customStyle="1" w:styleId="469">
    <w:name w:val="content1"/>
    <w:qFormat/>
    <w:uiPriority w:val="0"/>
    <w:rPr>
      <w:rFonts w:hint="default" w:ascii="??" w:hAnsi="??"/>
      <w:sz w:val="16"/>
      <w:szCs w:val="16"/>
      <w:u w:val="none"/>
    </w:rPr>
  </w:style>
  <w:style w:type="character" w:customStyle="1" w:styleId="470">
    <w:name w:val="text21"/>
    <w:basedOn w:val="53"/>
    <w:qFormat/>
    <w:uiPriority w:val="0"/>
  </w:style>
  <w:style w:type="character" w:customStyle="1" w:styleId="471">
    <w:name w:val="apple-style-span"/>
    <w:basedOn w:val="53"/>
    <w:qFormat/>
    <w:uiPriority w:val="0"/>
  </w:style>
  <w:style w:type="paragraph" w:customStyle="1" w:styleId="472">
    <w:name w:val="缺省文本"/>
    <w:basedOn w:val="1"/>
    <w:qFormat/>
    <w:uiPriority w:val="0"/>
    <w:pPr>
      <w:autoSpaceDE w:val="0"/>
      <w:autoSpaceDN w:val="0"/>
      <w:adjustRightInd w:val="0"/>
      <w:jc w:val="left"/>
    </w:pPr>
    <w:rPr>
      <w:kern w:val="0"/>
      <w:sz w:val="24"/>
    </w:rPr>
  </w:style>
  <w:style w:type="paragraph" w:customStyle="1" w:styleId="473">
    <w:name w:val="xl6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4"/>
    </w:rPr>
  </w:style>
  <w:style w:type="paragraph" w:customStyle="1" w:styleId="474">
    <w:name w:val="1"/>
    <w:basedOn w:val="1"/>
    <w:next w:val="27"/>
    <w:qFormat/>
    <w:uiPriority w:val="0"/>
    <w:rPr>
      <w:rFonts w:ascii="宋体" w:hAnsi="Courier New"/>
      <w:szCs w:val="20"/>
    </w:rPr>
  </w:style>
  <w:style w:type="paragraph" w:customStyle="1" w:styleId="475">
    <w:name w:val="xl5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476">
    <w:name w:val="Char Char Char Char Char Char Char1"/>
    <w:basedOn w:val="1"/>
    <w:qFormat/>
    <w:uiPriority w:val="0"/>
    <w:pPr>
      <w:widowControl/>
      <w:spacing w:after="160" w:line="240" w:lineRule="exact"/>
      <w:jc w:val="left"/>
    </w:pPr>
  </w:style>
  <w:style w:type="paragraph" w:customStyle="1" w:styleId="477">
    <w:name w:val="USE 1"/>
    <w:basedOn w:val="1"/>
    <w:qFormat/>
    <w:uiPriority w:val="0"/>
    <w:pPr>
      <w:spacing w:line="200" w:lineRule="atLeast"/>
      <w:jc w:val="left"/>
    </w:pPr>
    <w:rPr>
      <w:rFonts w:ascii="宋体" w:hAnsi="宋体"/>
      <w:b/>
      <w:sz w:val="24"/>
      <w:szCs w:val="28"/>
    </w:rPr>
  </w:style>
  <w:style w:type="paragraph" w:customStyle="1" w:styleId="478">
    <w:name w:val="xl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79">
    <w:name w:val="xl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0">
    <w:name w:val="正文 2"/>
    <w:basedOn w:val="1"/>
    <w:qFormat/>
    <w:uiPriority w:val="0"/>
    <w:pPr>
      <w:autoSpaceDE w:val="0"/>
      <w:autoSpaceDN w:val="0"/>
      <w:adjustRightInd w:val="0"/>
      <w:snapToGrid w:val="0"/>
      <w:spacing w:before="80" w:after="40" w:line="360" w:lineRule="auto"/>
      <w:ind w:left="1134"/>
      <w:jc w:val="left"/>
    </w:pPr>
    <w:rPr>
      <w:kern w:val="0"/>
      <w:sz w:val="24"/>
      <w:szCs w:val="20"/>
    </w:rPr>
  </w:style>
  <w:style w:type="paragraph" w:customStyle="1" w:styleId="481">
    <w:name w:val="_Style 54"/>
    <w:basedOn w:val="1"/>
    <w:next w:val="27"/>
    <w:qFormat/>
    <w:uiPriority w:val="0"/>
    <w:rPr>
      <w:rFonts w:ascii="宋体" w:hAnsi="Courier New"/>
      <w:szCs w:val="20"/>
    </w:rPr>
  </w:style>
  <w:style w:type="character" w:customStyle="1" w:styleId="482">
    <w:name w:val="脚注文本 Char2"/>
    <w:basedOn w:val="53"/>
    <w:semiHidden/>
    <w:qFormat/>
    <w:uiPriority w:val="0"/>
    <w:rPr>
      <w:kern w:val="2"/>
      <w:sz w:val="18"/>
      <w:szCs w:val="18"/>
    </w:rPr>
  </w:style>
  <w:style w:type="paragraph" w:customStyle="1" w:styleId="483">
    <w:name w:val="_Style 56"/>
    <w:basedOn w:val="1"/>
    <w:next w:val="27"/>
    <w:qFormat/>
    <w:uiPriority w:val="0"/>
    <w:rPr>
      <w:rFonts w:ascii="宋体" w:hAnsi="Courier New"/>
      <w:szCs w:val="20"/>
    </w:rPr>
  </w:style>
  <w:style w:type="paragraph" w:customStyle="1" w:styleId="484">
    <w:name w:val="Char Char Char Char2"/>
    <w:basedOn w:val="1"/>
    <w:qFormat/>
    <w:uiPriority w:val="0"/>
    <w:pPr>
      <w:widowControl/>
      <w:spacing w:after="160" w:line="240" w:lineRule="exact"/>
      <w:jc w:val="center"/>
    </w:pPr>
  </w:style>
  <w:style w:type="paragraph" w:customStyle="1" w:styleId="485">
    <w:name w:val="font10"/>
    <w:basedOn w:val="1"/>
    <w:qFormat/>
    <w:uiPriority w:val="0"/>
    <w:pPr>
      <w:widowControl/>
      <w:spacing w:before="100" w:beforeAutospacing="1" w:after="100" w:afterAutospacing="1"/>
      <w:jc w:val="left"/>
    </w:pPr>
    <w:rPr>
      <w:rFonts w:hint="eastAsia" w:ascii="宋体" w:hAnsi="宋体"/>
      <w:b/>
      <w:bCs/>
      <w:color w:val="000000"/>
      <w:kern w:val="0"/>
      <w:sz w:val="18"/>
      <w:szCs w:val="18"/>
    </w:rPr>
  </w:style>
  <w:style w:type="paragraph" w:customStyle="1" w:styleId="486">
    <w:name w:val="xl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87">
    <w:name w:val="xl5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88">
    <w:name w:val="px16"/>
    <w:basedOn w:val="1"/>
    <w:qFormat/>
    <w:uiPriority w:val="0"/>
    <w:pPr>
      <w:widowControl/>
      <w:spacing w:before="100" w:beforeAutospacing="1" w:after="100" w:afterAutospacing="1" w:line="360" w:lineRule="auto"/>
      <w:jc w:val="left"/>
    </w:pPr>
    <w:rPr>
      <w:rFonts w:ascii="宋体" w:hAnsi="宋体"/>
      <w:kern w:val="0"/>
      <w:sz w:val="24"/>
    </w:rPr>
  </w:style>
  <w:style w:type="paragraph" w:customStyle="1" w:styleId="489">
    <w:name w:val="正文首行缩进1(Crlf+Shift+M)"/>
    <w:qFormat/>
    <w:uiPriority w:val="0"/>
    <w:pPr>
      <w:spacing w:before="120" w:after="120" w:line="360" w:lineRule="auto"/>
      <w:ind w:firstLine="420" w:firstLineChars="200"/>
    </w:pPr>
    <w:rPr>
      <w:rFonts w:ascii="Arial" w:hAnsi="Arial" w:eastAsia="宋体" w:cs="Times New Roman"/>
      <w:kern w:val="2"/>
      <w:sz w:val="21"/>
      <w:lang w:val="en-US" w:eastAsia="zh-CN" w:bidi="ar-SA"/>
    </w:rPr>
  </w:style>
  <w:style w:type="paragraph" w:customStyle="1" w:styleId="490">
    <w:name w:val="Char2 Char Char Char Char Char Char"/>
    <w:basedOn w:val="1"/>
    <w:qFormat/>
    <w:uiPriority w:val="0"/>
    <w:pPr>
      <w:widowControl/>
      <w:spacing w:after="160" w:line="240" w:lineRule="exact"/>
      <w:jc w:val="left"/>
    </w:pPr>
  </w:style>
  <w:style w:type="paragraph" w:customStyle="1" w:styleId="491">
    <w:name w:val="_Style 50"/>
    <w:basedOn w:val="1"/>
    <w:next w:val="30"/>
    <w:qFormat/>
    <w:uiPriority w:val="0"/>
    <w:pPr>
      <w:adjustRightInd w:val="0"/>
      <w:snapToGrid w:val="0"/>
      <w:spacing w:line="300" w:lineRule="auto"/>
      <w:ind w:firstLine="630" w:firstLineChars="300"/>
    </w:pPr>
    <w:rPr>
      <w:snapToGrid w:val="0"/>
      <w:kern w:val="0"/>
    </w:rPr>
  </w:style>
  <w:style w:type="paragraph" w:customStyle="1" w:styleId="49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493">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494">
    <w:name w:val="xl5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color w:val="000000"/>
      <w:kern w:val="0"/>
      <w:sz w:val="24"/>
    </w:rPr>
  </w:style>
  <w:style w:type="paragraph" w:customStyle="1" w:styleId="495">
    <w:name w:val="5"/>
    <w:basedOn w:val="1"/>
    <w:next w:val="27"/>
    <w:qFormat/>
    <w:uiPriority w:val="0"/>
    <w:rPr>
      <w:rFonts w:ascii="宋体" w:hAnsi="Courier New"/>
      <w:szCs w:val="20"/>
    </w:rPr>
  </w:style>
  <w:style w:type="paragraph" w:customStyle="1" w:styleId="496">
    <w:name w:val="Char Char Char"/>
    <w:basedOn w:val="1"/>
    <w:qFormat/>
    <w:uiPriority w:val="0"/>
    <w:rPr>
      <w:szCs w:val="20"/>
    </w:rPr>
  </w:style>
  <w:style w:type="paragraph" w:customStyle="1" w:styleId="497">
    <w:name w:val="Char2"/>
    <w:basedOn w:val="1"/>
    <w:qFormat/>
    <w:uiPriority w:val="0"/>
    <w:rPr>
      <w:rFonts w:ascii="Tahoma" w:hAnsi="Tahoma"/>
      <w:sz w:val="24"/>
      <w:szCs w:val="20"/>
    </w:rPr>
  </w:style>
  <w:style w:type="paragraph" w:customStyle="1" w:styleId="498">
    <w:name w:val="xl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499">
    <w:name w:val="xl5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textAlignment w:val="center"/>
    </w:pPr>
    <w:rPr>
      <w:rFonts w:ascii="宋体" w:hAnsi="宋体"/>
      <w:kern w:val="0"/>
      <w:sz w:val="24"/>
    </w:rPr>
  </w:style>
  <w:style w:type="paragraph" w:customStyle="1" w:styleId="500">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kern w:val="0"/>
      <w:sz w:val="24"/>
    </w:rPr>
  </w:style>
  <w:style w:type="paragraph" w:customStyle="1" w:styleId="501">
    <w:name w:val="6"/>
    <w:basedOn w:val="1"/>
    <w:next w:val="27"/>
    <w:qFormat/>
    <w:uiPriority w:val="0"/>
    <w:rPr>
      <w:rFonts w:ascii="宋体" w:hAnsi="Courier New"/>
      <w:szCs w:val="20"/>
    </w:rPr>
  </w:style>
  <w:style w:type="paragraph" w:customStyle="1" w:styleId="502">
    <w:name w:val="2"/>
    <w:basedOn w:val="1"/>
    <w:next w:val="46"/>
    <w:qFormat/>
    <w:uiPriority w:val="0"/>
    <w:pPr>
      <w:widowControl/>
      <w:spacing w:before="100" w:beforeAutospacing="1" w:after="100" w:afterAutospacing="1"/>
      <w:jc w:val="left"/>
    </w:pPr>
    <w:rPr>
      <w:rFonts w:ascii="宋体" w:hAnsi="宋体"/>
      <w:kern w:val="0"/>
      <w:sz w:val="24"/>
    </w:rPr>
  </w:style>
  <w:style w:type="paragraph" w:customStyle="1" w:styleId="503">
    <w:name w:val="7"/>
    <w:basedOn w:val="1"/>
    <w:next w:val="30"/>
    <w:qFormat/>
    <w:uiPriority w:val="0"/>
    <w:pPr>
      <w:adjustRightInd w:val="0"/>
      <w:snapToGrid w:val="0"/>
      <w:spacing w:line="300" w:lineRule="auto"/>
      <w:ind w:firstLine="630" w:firstLineChars="300"/>
    </w:pPr>
    <w:rPr>
      <w:snapToGrid w:val="0"/>
      <w:kern w:val="0"/>
    </w:rPr>
  </w:style>
  <w:style w:type="paragraph" w:customStyle="1" w:styleId="504">
    <w:name w:val="xl5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505">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66091" w:themeColor="accent1" w:themeShade="BF"/>
      <w:kern w:val="0"/>
    </w:rPr>
  </w:style>
  <w:style w:type="character" w:customStyle="1" w:styleId="506">
    <w:name w:val="纯文本 Char2"/>
    <w:qFormat/>
    <w:uiPriority w:val="99"/>
    <w:rPr>
      <w:rFonts w:ascii="宋体" w:hAnsi="Courier New"/>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5"/>
    <customShpInfo spid="_x0000_s3091"/>
    <customShpInfo spid="_x0000_s3090"/>
    <customShpInfo spid="_x0000_s3089"/>
    <customShpInfo spid="_x0000_s3088"/>
    <customShpInfo spid="_x0000_s3087"/>
    <customShpInfo spid="_x0000_s3086"/>
    <customShpInfo spid="_x0000_s3085"/>
    <customShpInfo spid="_x0000_s3084"/>
    <customShpInfo spid="_x0000_s3083"/>
    <customShpInfo spid="_x0000_s3082"/>
    <customShpInfo spid="_x0000_s3081"/>
    <customShpInfo spid="_x0000_s3080"/>
    <customShpInfo spid="_x0000_s3079"/>
    <customShpInfo spid="_x0000_s3078"/>
    <customShpInfo spid="_x0000_s3077"/>
    <customShpInfo spid="_x0000_s3096"/>
    <customShpInfo spid="_x0000_s3095"/>
    <customShpInfo spid="_x0000_s3093"/>
    <customShpInfo spid="_x0000_s309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72300-9A0A-4FA9-949C-9F885C1DE3DB}">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71</Pages>
  <Words>41386</Words>
  <Characters>44060</Characters>
  <Lines>369</Lines>
  <Paragraphs>103</Paragraphs>
  <TotalTime>2</TotalTime>
  <ScaleCrop>false</ScaleCrop>
  <LinksUpToDate>false</LinksUpToDate>
  <CharactersWithSpaces>46972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2019-11-08T01:16:00Z</dcterms:created>
  <dc:creator>微软用户</dc:creator>
  <cp:lastModifiedBy>zz</cp:lastModifiedBy>
  <cp:lastPrinted>2020-05-26T01:03:00Z</cp:lastPrinted>
  <dcterms:modified xsi:type="dcterms:W3CDTF">2022-07-01T09:01:51Z</dcterms:modified>
  <dc:title>招标编号：UHO2010-G0029</dc:title>
  <cp:revision>490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CDE7E51ABC2949CFBF0FAC592E91B97E</vt:lpwstr>
  </property>
</Properties>
</file>