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7"/>
        <w:tblW w:w="91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40"/>
        <w:gridCol w:w="1110"/>
        <w:gridCol w:w="1845"/>
        <w:gridCol w:w="1830"/>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04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11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4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lang w:val="en-US" w:eastAsia="zh-CN"/>
              </w:rPr>
            </w:pPr>
            <w:r>
              <w:rPr>
                <w:rFonts w:hint="eastAsia" w:ascii="仿宋" w:hAnsi="仿宋" w:eastAsia="仿宋"/>
                <w:b/>
                <w:kern w:val="0"/>
                <w:sz w:val="24"/>
                <w:szCs w:val="24"/>
                <w:lang w:val="en-US" w:eastAsia="zh-CN"/>
              </w:rPr>
              <w:t>最高限价</w:t>
            </w:r>
          </w:p>
          <w:p>
            <w:pPr>
              <w:spacing w:line="360" w:lineRule="auto"/>
              <w:jc w:val="center"/>
              <w:rPr>
                <w:rFonts w:hint="default" w:ascii="仿宋" w:hAnsi="仿宋" w:eastAsia="仿宋"/>
                <w:b/>
                <w:kern w:val="0"/>
                <w:sz w:val="24"/>
                <w:szCs w:val="24"/>
                <w:lang w:val="en-US" w:eastAsia="zh-CN"/>
              </w:rPr>
            </w:pPr>
            <w:r>
              <w:rPr>
                <w:rFonts w:hint="eastAsia" w:ascii="仿宋" w:hAnsi="仿宋" w:eastAsia="仿宋"/>
                <w:b/>
                <w:kern w:val="0"/>
                <w:sz w:val="24"/>
                <w:szCs w:val="24"/>
                <w:lang w:val="en-US" w:eastAsia="zh-CN"/>
              </w:rPr>
              <w:t>（人民币元）</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04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多维活细胞成像系统</w:t>
            </w:r>
          </w:p>
        </w:tc>
        <w:tc>
          <w:tcPr>
            <w:tcW w:w="111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1845"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1,800,000</w:t>
            </w:r>
            <w:r>
              <w:rPr>
                <w:rFonts w:hint="eastAsia" w:ascii="仿宋" w:hAnsi="仿宋" w:eastAsia="仿宋" w:cs="Times New Roman"/>
                <w:sz w:val="24"/>
                <w:szCs w:val="24"/>
              </w:rPr>
              <w:t>.00</w:t>
            </w:r>
          </w:p>
        </w:tc>
        <w:tc>
          <w:tcPr>
            <w:tcW w:w="183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1,700,000.00</w:t>
            </w:r>
          </w:p>
        </w:tc>
        <w:tc>
          <w:tcPr>
            <w:tcW w:w="1830" w:type="dxa"/>
            <w:noWrap w:val="0"/>
            <w:vAlign w:val="center"/>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接受</w:t>
            </w:r>
            <w:r>
              <w:rPr>
                <w:rFonts w:hint="eastAsia" w:ascii="仿宋" w:hAnsi="仿宋" w:eastAsia="仿宋" w:cs="Times New Roman"/>
                <w:sz w:val="24"/>
                <w:szCs w:val="24"/>
              </w:rPr>
              <w:t>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7"/>
        <w:tblpPr w:leftFromText="180" w:rightFromText="180" w:vertAnchor="text" w:horzAnchor="margin" w:tblpY="173"/>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277"/>
        <w:gridCol w:w="121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序号</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货物名称</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数量</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27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000000"/>
                <w:kern w:val="0"/>
                <w:sz w:val="24"/>
                <w:szCs w:val="24"/>
              </w:rPr>
            </w:pPr>
            <w:r>
              <w:rPr>
                <w:rFonts w:hint="eastAsia" w:ascii="仿宋" w:hAnsi="仿宋" w:eastAsia="仿宋" w:cs="仿宋"/>
                <w:color w:val="000000"/>
                <w:sz w:val="24"/>
                <w:szCs w:val="24"/>
              </w:rPr>
              <w:t>全电动倒置荧光显微镜</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荧光光源</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兰、绿、红色荧光滤块</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高精度扫描台</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手柄式控制器</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10倍目镜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双目观察筒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符合技术参数的5倍、10倍、20倍、40倍和100倍物镜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高速单色sCMOS相机及接口</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多通道数据采集和时间序列成像软件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全标本浏览拼图软件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自动聚焦和3D成像软件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环境控制和远程控制软件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高分辨图像处理软件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高分辨率图像处理工作站电脑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16</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显微镜活细胞培养装置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bl>
    <w:p>
      <w:pPr>
        <w:widowControl/>
        <w:jc w:val="left"/>
        <w:rPr>
          <w:rFonts w:ascii="仿宋" w:hAnsi="仿宋" w:eastAsia="仿宋"/>
          <w:b/>
          <w:bCs/>
          <w:sz w:val="28"/>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三、技术</w:t>
      </w:r>
      <w:r>
        <w:rPr>
          <w:rFonts w:hint="eastAsia" w:ascii="仿宋" w:hAnsi="仿宋" w:eastAsia="仿宋"/>
          <w:b/>
          <w:bCs/>
          <w:sz w:val="28"/>
          <w:szCs w:val="21"/>
          <w:lang w:val="en-US" w:eastAsia="zh-CN"/>
        </w:rPr>
        <w:t>要求</w:t>
      </w:r>
    </w:p>
    <w:tbl>
      <w:tblPr>
        <w:tblStyle w:val="17"/>
        <w:tblW w:w="89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设备名称</w:t>
            </w:r>
          </w:p>
        </w:tc>
        <w:tc>
          <w:tcPr>
            <w:tcW w:w="76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restart"/>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多维活细胞成像系统</w:t>
            </w:r>
          </w:p>
        </w:tc>
        <w:tc>
          <w:tcPr>
            <w:tcW w:w="76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1、研究型倒置显微镜，HCS最佳平衡无限远光学系统，智能全电动主机；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▲2、国际标准45mm齐焦距离，整机光路视野≥25mm，具有明场、相差、荧光观察及宽场高分辨率成像功能；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3、左侧光路出口，可通过软件或触摸屏控制切换，分光比例100%/0%，成像视野≥19mm，完美匹配sCMOS、EMCCD等高级成像系统；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4、具备无限远光路接口，可接外置荧光光轴、荧光快速转轮、第三方光源、激光等；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▲5、电动调焦，行程≥12mm，精度≤3.8nm，配有闭环焦平面稳定功能，重复精度≤20nm；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6、机身自带大尺寸触控屏，角度可调节，可实时显示显微镜参数，调节显微镜电动部件，如物镜转盘、荧光滤块转盘、观察方式转换、光强调节参数，最多可同时配备两个触摸屏控制器；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7、机身功能键：透射光调节旋钮、光闸以及透射光/荧光转换等功能，透射光光强无级调节，显微镜自动识别当前照明方式；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8、机身具有USB接口，显微镜所有参数可复制、储存并调用；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9、一键即可在各观察方式间切换；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jc w:val="left"/>
              <w:rPr>
                <w:rFonts w:hint="eastAsia" w:ascii="仿宋" w:hAnsi="仿宋" w:eastAsia="仿宋" w:cs="仿宋"/>
                <w:color w:val="000000"/>
                <w:sz w:val="24"/>
                <w:szCs w:val="24"/>
              </w:rPr>
            </w:pPr>
            <w:r>
              <w:rPr>
                <w:rFonts w:hint="eastAsia" w:ascii="仿宋" w:hAnsi="仿宋" w:eastAsia="仿宋" w:cs="仿宋"/>
                <w:color w:val="000000"/>
                <w:sz w:val="24"/>
                <w:szCs w:val="24"/>
              </w:rPr>
              <w:t>六位电动物镜转换器，物镜采用：</w:t>
            </w:r>
          </w:p>
          <w:p>
            <w:pPr>
              <w:pStyle w:val="2"/>
              <w:rPr>
                <w:rFonts w:hint="eastAsia" w:ascii="仿宋" w:hAnsi="仿宋" w:eastAsia="仿宋" w:cs="仿宋"/>
                <w:bCs w:val="0"/>
                <w:color w:val="000000"/>
                <w:kern w:val="2"/>
                <w:sz w:val="24"/>
                <w:szCs w:val="24"/>
              </w:rPr>
            </w:pPr>
            <w:r>
              <w:rPr>
                <w:rFonts w:hint="eastAsia" w:ascii="仿宋" w:hAnsi="仿宋" w:eastAsia="仿宋" w:cs="仿宋"/>
                <w:bCs w:val="0"/>
                <w:color w:val="000000"/>
                <w:kern w:val="2"/>
                <w:sz w:val="24"/>
                <w:szCs w:val="24"/>
              </w:rPr>
              <w:t>5倍长工作距离相差物镜，数值孔径≥0.12，工作距离≥14.0mm；</w:t>
            </w:r>
          </w:p>
          <w:p>
            <w:pPr>
              <w:pStyle w:val="2"/>
              <w:rPr>
                <w:rFonts w:hint="eastAsia" w:ascii="仿宋" w:hAnsi="仿宋" w:eastAsia="仿宋" w:cs="仿宋"/>
                <w:bCs w:val="0"/>
                <w:color w:val="000000"/>
                <w:kern w:val="2"/>
                <w:sz w:val="24"/>
                <w:szCs w:val="24"/>
              </w:rPr>
            </w:pPr>
            <w:r>
              <w:rPr>
                <w:rFonts w:hint="eastAsia" w:ascii="仿宋" w:hAnsi="仿宋" w:eastAsia="仿宋" w:cs="仿宋"/>
                <w:bCs w:val="0"/>
                <w:color w:val="000000"/>
                <w:kern w:val="2"/>
                <w:sz w:val="24"/>
                <w:szCs w:val="24"/>
              </w:rPr>
              <w:t>10X长工作距离相差物镜，数值孔径≥0.25，工作距离≥17.7mm；</w:t>
            </w:r>
            <w:r>
              <w:rPr>
                <w:rFonts w:hint="eastAsia" w:ascii="仿宋" w:hAnsi="仿宋" w:eastAsia="仿宋" w:cs="仿宋"/>
                <w:bCs w:val="0"/>
                <w:color w:val="000000"/>
                <w:kern w:val="2"/>
                <w:sz w:val="24"/>
                <w:szCs w:val="24"/>
              </w:rPr>
              <w:br w:type="textWrapping"/>
            </w:r>
            <w:r>
              <w:rPr>
                <w:rFonts w:hint="eastAsia" w:ascii="仿宋" w:hAnsi="仿宋" w:eastAsia="仿宋" w:cs="仿宋"/>
                <w:bCs w:val="0"/>
                <w:color w:val="000000"/>
                <w:kern w:val="2"/>
                <w:sz w:val="24"/>
                <w:szCs w:val="24"/>
              </w:rPr>
              <w:t>20X长工作距离相差物镜，数值孔径≥0.35，工作距离≥6.9mm；</w:t>
            </w:r>
          </w:p>
          <w:p>
            <w:pPr>
              <w:pStyle w:val="2"/>
              <w:rPr>
                <w:rFonts w:hint="eastAsia" w:ascii="仿宋" w:hAnsi="仿宋" w:eastAsia="仿宋" w:cs="仿宋"/>
                <w:bCs w:val="0"/>
                <w:color w:val="000000"/>
                <w:kern w:val="2"/>
                <w:sz w:val="24"/>
                <w:szCs w:val="24"/>
              </w:rPr>
            </w:pPr>
            <w:r>
              <w:rPr>
                <w:rFonts w:hint="eastAsia" w:ascii="仿宋" w:hAnsi="仿宋" w:eastAsia="仿宋" w:cs="仿宋"/>
                <w:bCs w:val="0"/>
                <w:color w:val="000000"/>
                <w:kern w:val="2"/>
                <w:sz w:val="24"/>
                <w:szCs w:val="24"/>
              </w:rPr>
              <w:t>40X长工作距离相差物镜，数值孔径≥0.55，工作距离≥3.3mm；</w:t>
            </w:r>
          </w:p>
          <w:p>
            <w:pPr>
              <w:pStyle w:val="2"/>
              <w:rPr>
                <w:rFonts w:hint="eastAsia" w:ascii="仿宋" w:hAnsi="仿宋" w:eastAsia="仿宋" w:cs="仿宋"/>
                <w:bCs w:val="0"/>
                <w:color w:val="000000"/>
                <w:kern w:val="2"/>
                <w:sz w:val="24"/>
                <w:szCs w:val="24"/>
              </w:rPr>
            </w:pPr>
            <w:r>
              <w:rPr>
                <w:rFonts w:hint="eastAsia" w:ascii="仿宋" w:hAnsi="仿宋" w:eastAsia="仿宋" w:cs="仿宋"/>
                <w:color w:val="000000"/>
                <w:kern w:val="2"/>
                <w:sz w:val="24"/>
                <w:szCs w:val="24"/>
              </w:rPr>
              <w:t>100X平场全复消色物镜，数值孔径≥1.40，工作距离≥0.09mm；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11、双目观察筒，视野≥25mm，角度30°至45°可调，瞳距可调55-75mm；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12、10X 目镜，视野≥25mm，均可调屈光度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▲13、七孔位电动聚光镜，视野≥25mm，工作距离≥28mm, 数值孔径≥0.55，可自动匹配观察方法所需部件；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▲14、高速高精度载物台，行程≥120×80mm，定位精度≤5nm，绝对精度&lt; ±1 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15、长寿命LED 透射光冷光源照明, 功率≥10W, 寿命≥40000小时，色温恒定于4500k，具有电动光闸，光闸启动速度≤8ms，视场光阑电动调节；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16、外置三维控制手柄，可调节XYZ位置，具有位置锁定功能及粗、细两档调节速度；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17、控制电路外置于显微镜外，具有独立控制箱，可避免长时间工作产生热量积累，导致显微镜发生热漂移，控制箱的功能可随着显微镜平台同步升级；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18、具备实时硬件控制功能，可接入TTL触发信号硬件，软件可双向进行信号采集、发送，提高成像速度以及兼容控制更多第三方硬件；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19、长寿命荧光光源，可高速控制其开关及荧光强度，缩短光照时间，以降低荧光淬灭和细胞光毒性；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▲20、显微镜机身需具备电动荧光光强管理或调节功能，可通过显微镜主机以及软件进行调节，需注明荧光调节强度的档位；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21、视场光阑电动调节，可根据实验情况选择不同的荧光激发面积，减少淬灭；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22、荧光光路具有杂光陷阱技术，可消除杂散光，提供纯黑背景，提高荧光图像的对比度；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▲23、不低于六位电动荧光滤块转盘，支持荧光滤块在线更换，机身左右侧均有窗口可以更换荧光滤块，荧光滤块磁性吸入到位；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24、配有兰绿红三色带通荧光滤块，具有荧光零漂移技术，可用于共定位分析，无需软件校正漂移。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▲25、高分辨率成像模块采用光学硬件与数字成像结合，自动判读物镜参数，自动控制相机及软件设置到最佳拍摄参数，同步化数字处理，去除样品非焦点平面的杂散光信号，实现荧光高分辨率成像；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26、全面优化系统电动外设控制时序，高分辨快速出图，拍摄后直接得到高分辨率图像，无需另外点击软件后处理，并可以TIFF，JPEG，AVI等多种高分辨率图像格式输出；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▲27、保留真实样品信号，切换至高分辨率成像无需增加荧光照明的强度，对标本不增加额外的光毒性；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▲28、与显微镜同品牌单色制冷型荧光专用sCMOS摄像头，像素面积≥6.5 μm x 6.5μm，传感器格式/对角线≥13.3 x 13.3mm，物理分辨率≥420万象素（2048x2048Pixs），读出噪声≤0.9e-，暗电流≤0.14e-/pixel/s，动态范围≥33000:1，全分辨率下图像采集速度≥50帧/秒，量子效率≥82% @ 580 nm， USB 3.0数据接口，采用1倍C型光学接口：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29、控制分析软件与显微镜及摄像头同一品牌，无兼容风险，具有自动标尺功能，可用于图像采集及后期分析处理；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30、用户界面及操作方式符合人工学要求，可快速采集图像及大量数据集显示，直观的设定实验条件给快速设置和采集所属通道图像；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31、高速图像采集，完全控制照相机性能如曝光、增益、binning、黑平衡、白平衡和伽玛值,可实现图像采集、图像显示和管理，图像视窗在采集中显示及可复览、处理已保存的图像，具备测量及图像叠加功能，可通过滑动杆作快速地在大量数据集中滚动、查找，实验树结构管理数据如储存、重新命名、拷贝、删除、输出为 tif、avi、jpeg等，实验条件可保存、输出为并使用在另外的实验中应用，可进行多用户界面自定义设置；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32、多通道采集模块，可进行多通道自动采集，每个通道可单独调节采集参数；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33、Z轴自动控制模块，可进行自动对焦、Z轴位置记忆、采集景深扩展图像，并对每个Z轴层面进行挑选、调节并选择输出单张图像或景深扩展图像；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34、时间序列采集模块，可以设定拍摄间隔，自动对样品在一定时间内进行连续拍摄，观察样品动态变化，可输出视频或图像；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35、多功能全标本导航及拼图模块，能进行自定义ROI形状的拼图，能拼接出长条形或圆形的大图，节省不必需的区域成像，加快拼图速度，能指定不同ROI区域使用不同的物镜进行拼图，能一次性批量化扫描多个标本多个ROI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36、能进行全片无缝拼图扫描，带聚焦地形图功能，能适应标本高低不同的焦面进行多焦点自动对焦及拼图，用户能自定义多个不同的焦点，能结合电动Z轴进行三维拼图，拼接结果能根据需求进行大图三维重建、大图三维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37、3D成像模块，具有多种三维重构渲染方式，包括最大强度投影、透明、深度标识和阴影投影等方式，允许xy、xz、yz任意角度进行切面观察，可对重构图进行任意角度旋转、平移、放大和缩小，可对每个荧光通道的强度、灰阶、伽马值及透明度进行独立调节，可根据用户需要对不同荧光通道进行颜色分割显示，可将复杂的3D重构效果导出成电影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38、所有图像数据采用缩略图显示、标准模式下可显示多达32个通道，并可进行反卷积处理前后效果对比，用户可自行创建反卷积计算模式进行测量、存储或反卷积处理，支持多种图像格式；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39、远程控制模块，可远程连接图像处理工作站，可以使用iPad或网络客户端远程访问，能远程浏览和打开实验中图像，启动、暂停或停止实验，能远程下载及转发实时的图像；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40、活细胞培养装置适合细胞长期培养，精确控制培养温度、CO2浓度以及湿度； CO2浓度范围5.0%-20.0%，控制精度≤0.01%，PID控制，空气流量50-200ml/min，使用100%CO2气体，输入气体压力≤0.1MPa；样品可控温度30至40℃，控制精度≤0.01℃，通过温度传感器，可实时测量培养皿、孔内的培养基温度，自动控制样品温度；具有内部加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7"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66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41、图像处理工作站采用高性能品牌电脑，配置不低于3.6G四核CPU，64GB内存，11G显存，4TB及512GB双固态硬盘，DVDWR光驱及高清高亮度液晶显示器，Windows 10 Professional(64位)操作系统。</w:t>
            </w:r>
          </w:p>
        </w:tc>
      </w:tr>
    </w:tbl>
    <w:p>
      <w:pPr>
        <w:widowControl/>
        <w:ind w:firstLine="770" w:firstLineChars="350"/>
        <w:jc w:val="left"/>
        <w:rPr>
          <w:rFonts w:ascii="仿宋" w:hAnsi="仿宋" w:eastAsia="仿宋"/>
          <w:bCs/>
          <w:sz w:val="22"/>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四、商务</w:t>
      </w:r>
      <w:r>
        <w:rPr>
          <w:rFonts w:hint="eastAsia" w:ascii="仿宋" w:hAnsi="仿宋" w:eastAsia="仿宋"/>
          <w:b/>
          <w:bCs/>
          <w:sz w:val="28"/>
          <w:szCs w:val="21"/>
          <w:lang w:val="en-US" w:eastAsia="zh-CN"/>
        </w:rPr>
        <w:t>要求</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62"/>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bookmarkStart w:id="0" w:name="_GoBack"/>
            <w:r>
              <w:rPr>
                <w:rFonts w:hint="eastAsia" w:ascii="仿宋" w:hAnsi="仿宋" w:eastAsia="仿宋" w:cs="仿宋"/>
                <w:b/>
                <w:color w:val="000000"/>
                <w:sz w:val="24"/>
                <w:szCs w:val="24"/>
              </w:rPr>
              <w:t>序号</w:t>
            </w:r>
          </w:p>
        </w:tc>
        <w:tc>
          <w:tcPr>
            <w:tcW w:w="1062"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6998"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062" w:type="dxa"/>
            <w:vMerge w:val="restart"/>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维修及维护服务</w:t>
            </w: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★1）整机免费保修期≥3年，终身维修，时间自验收合格之日起算。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
                <w:bCs/>
                <w:color w:val="000000"/>
                <w:sz w:val="24"/>
                <w:szCs w:val="24"/>
              </w:rPr>
            </w:pPr>
            <w:r>
              <w:rPr>
                <w:rFonts w:hint="eastAsia" w:ascii="仿宋" w:hAnsi="仿宋" w:eastAsia="仿宋" w:cs="仿宋"/>
                <w:color w:val="000000"/>
                <w:sz w:val="24"/>
                <w:szCs w:val="24"/>
              </w:rPr>
              <w:t>2）保修期内,年度定期预防性维护保养次数应不少于 4 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 2 小时内响应， 24 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 5 年以上供应维修配件， 5 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投标人提供的仪器设备的设计使用年限必须≥5年；仪器设备的生产日期必须在一年半内生产。（特别提示：生产日期、设计使用年限达不到招标文件要求的，该投标文件初审不通过）。【设计年限需提供相关证明材料进行佐证；生产日期需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062"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质量保证</w:t>
            </w: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color w:val="000000"/>
                <w:kern w:val="0"/>
                <w:sz w:val="24"/>
                <w:szCs w:val="24"/>
              </w:rPr>
            </w:pPr>
            <w:r>
              <w:rPr>
                <w:rFonts w:hint="eastAsia" w:ascii="仿宋" w:hAnsi="仿宋" w:eastAsia="仿宋" w:cs="仿宋"/>
                <w:b/>
                <w:bCs/>
                <w:sz w:val="24"/>
                <w:szCs w:val="24"/>
              </w:rPr>
              <w:t>注：</w:t>
            </w:r>
            <w:r>
              <w:rPr>
                <w:rFonts w:hint="eastAsia" w:ascii="仿宋" w:hAnsi="仿宋" w:eastAsia="仿宋" w:cs="仿宋"/>
                <w:bCs/>
                <w:sz w:val="24"/>
                <w:szCs w:val="24"/>
              </w:rPr>
              <w:t>年开机率</w:t>
            </w:r>
            <w:r>
              <w:rPr>
                <w:rFonts w:hint="eastAsia" w:ascii="仿宋" w:hAnsi="仿宋" w:eastAsia="仿宋" w:cs="仿宋"/>
                <w:bCs/>
                <w:sz w:val="24"/>
                <w:szCs w:val="24"/>
                <w:highlight w:val="yellow"/>
              </w:rPr>
              <w:t>（实际开机天数/日历日*100%）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062" w:type="dxa"/>
            <w:vMerge w:val="restart"/>
            <w:noWrap w:val="0"/>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维修零配件、消耗品和延续保修合同的报价</w:t>
            </w: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1）由设备</w:t>
            </w:r>
            <w:r>
              <w:rPr>
                <w:rFonts w:hint="eastAsia" w:ascii="仿宋" w:hAnsi="仿宋" w:eastAsia="仿宋" w:cs="仿宋"/>
                <w:color w:val="000000"/>
                <w:sz w:val="24"/>
                <w:szCs w:val="24"/>
              </w:rPr>
              <w:t>制造商</w:t>
            </w:r>
            <w:r>
              <w:rPr>
                <w:rFonts w:hint="eastAsia" w:ascii="仿宋" w:hAnsi="仿宋" w:eastAsia="仿宋" w:cs="仿宋"/>
                <w:bCs/>
                <w:color w:val="000000"/>
                <w:sz w:val="24"/>
                <w:szCs w:val="24"/>
              </w:rPr>
              <w:t>提供售后服务，</w:t>
            </w:r>
            <w:r>
              <w:rPr>
                <w:rFonts w:hint="eastAsia" w:ascii="仿宋" w:hAnsi="仿宋" w:eastAsia="仿宋" w:cs="仿宋"/>
                <w:bCs/>
                <w:color w:val="000000"/>
                <w:sz w:val="24"/>
                <w:szCs w:val="24"/>
                <w:u w:val="single"/>
              </w:rPr>
              <w:t xml:space="preserve"> 2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2）保修期满后，投标人应以优惠价供应维修零配件、消耗品和延续保修</w:t>
            </w:r>
            <w:r>
              <w:rPr>
                <w:rFonts w:hint="eastAsia" w:ascii="仿宋" w:hAnsi="仿宋" w:eastAsia="仿宋" w:cs="仿宋"/>
                <w:color w:val="000000"/>
                <w:sz w:val="24"/>
                <w:szCs w:val="24"/>
              </w:rPr>
              <w:t>合同</w:t>
            </w:r>
            <w:r>
              <w:rPr>
                <w:rFonts w:hint="eastAsia" w:ascii="仿宋" w:hAnsi="仿宋" w:eastAsia="仿宋" w:cs="仿宋"/>
                <w:bCs/>
                <w:color w:val="000000"/>
                <w:sz w:val="24"/>
                <w:szCs w:val="24"/>
              </w:rPr>
              <w:t>。价格最高的前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4）设备</w:t>
            </w:r>
            <w:r>
              <w:rPr>
                <w:rFonts w:hint="eastAsia" w:ascii="仿宋" w:hAnsi="仿宋" w:eastAsia="仿宋" w:cs="仿宋"/>
                <w:color w:val="000000"/>
                <w:sz w:val="24"/>
                <w:szCs w:val="24"/>
              </w:rPr>
              <w:t>制造商</w:t>
            </w:r>
            <w:r>
              <w:rPr>
                <w:rFonts w:hint="eastAsia" w:ascii="仿宋" w:hAnsi="仿宋" w:eastAsia="仿宋" w:cs="仿宋"/>
                <w:bCs/>
                <w:color w:val="000000"/>
                <w:sz w:val="24"/>
                <w:szCs w:val="24"/>
              </w:rPr>
              <w:t>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6）仪器配套封闭试剂及耗材需在深圳市卫生耗材阳光采购平台上注册，并承诺提供深圳市内最低供货价。【提供深圳市卫生耗材阳光采购平台上注册证明和承诺函（格式自拟）】，若无封闭试剂及耗材，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062" w:type="dxa"/>
            <w:vMerge w:val="restart"/>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交货要求</w:t>
            </w:r>
          </w:p>
        </w:tc>
        <w:tc>
          <w:tcPr>
            <w:tcW w:w="6998" w:type="dxa"/>
            <w:noWrap w:val="0"/>
            <w:vAlign w:val="top"/>
          </w:tcPr>
          <w:p>
            <w:pPr>
              <w:spacing w:line="360" w:lineRule="auto"/>
              <w:ind w:left="420" w:hanging="480" w:hangingChars="200"/>
              <w:rPr>
                <w:rFonts w:hint="eastAsia" w:ascii="仿宋" w:hAnsi="仿宋" w:eastAsia="仿宋" w:cs="仿宋"/>
                <w:color w:val="000000"/>
                <w:spacing w:val="-3"/>
                <w:sz w:val="24"/>
                <w:szCs w:val="24"/>
              </w:rPr>
            </w:pPr>
            <w:r>
              <w:rPr>
                <w:rFonts w:hint="eastAsia" w:ascii="仿宋" w:hAnsi="仿宋" w:eastAsia="仿宋" w:cs="仿宋"/>
                <w:bCs/>
                <w:color w:val="000000"/>
                <w:sz w:val="24"/>
                <w:szCs w:val="24"/>
              </w:rPr>
              <w:t>★</w:t>
            </w:r>
            <w:r>
              <w:rPr>
                <w:rFonts w:hint="eastAsia" w:ascii="仿宋" w:hAnsi="仿宋" w:eastAsia="仿宋" w:cs="仿宋"/>
                <w:b/>
                <w:bCs/>
                <w:color w:val="000000"/>
                <w:sz w:val="24"/>
                <w:szCs w:val="24"/>
              </w:rPr>
              <w:t>1）签订合同之日起</w:t>
            </w:r>
            <w:r>
              <w:rPr>
                <w:rFonts w:hint="eastAsia" w:ascii="仿宋" w:hAnsi="仿宋" w:eastAsia="仿宋" w:cs="仿宋"/>
                <w:b/>
                <w:bCs/>
                <w:color w:val="000000"/>
                <w:sz w:val="24"/>
                <w:szCs w:val="24"/>
                <w:u w:val="single"/>
              </w:rPr>
              <w:t xml:space="preserve"> 120 </w:t>
            </w:r>
            <w:r>
              <w:rPr>
                <w:rFonts w:hint="eastAsia" w:ascii="仿宋" w:hAnsi="仿宋" w:eastAsia="仿宋" w:cs="仿宋"/>
                <w:b/>
                <w:bCs/>
                <w:color w:val="000000"/>
                <w:sz w:val="24"/>
                <w:szCs w:val="24"/>
              </w:rPr>
              <w:t>日历日内交货</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bCs/>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bCs/>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bCs/>
                <w:color w:val="000000"/>
                <w:sz w:val="24"/>
                <w:szCs w:val="24"/>
              </w:rPr>
              <w:t>提供的货物必须为全新、经检验合格的产品。产品如需要计量检定的应</w:t>
            </w:r>
            <w:r>
              <w:rPr>
                <w:rFonts w:hint="eastAsia" w:ascii="仿宋" w:hAnsi="仿宋" w:eastAsia="仿宋" w:cs="仿宋"/>
                <w:color w:val="000000"/>
                <w:sz w:val="24"/>
                <w:szCs w:val="24"/>
              </w:rPr>
              <w:t>提供</w:t>
            </w:r>
            <w:r>
              <w:rPr>
                <w:rFonts w:hint="eastAsia" w:ascii="仿宋" w:hAnsi="仿宋" w:eastAsia="仿宋" w:cs="仿宋"/>
                <w:bCs/>
                <w:color w:val="000000"/>
                <w:sz w:val="24"/>
                <w:szCs w:val="24"/>
              </w:rPr>
              <w:t>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062"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rPr>
              <w:t>运输、安装和验收</w:t>
            </w:r>
          </w:p>
        </w:tc>
        <w:tc>
          <w:tcPr>
            <w:tcW w:w="6998" w:type="dxa"/>
            <w:noWrap w:val="0"/>
            <w:vAlign w:val="top"/>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062"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培训</w:t>
            </w:r>
          </w:p>
        </w:tc>
        <w:tc>
          <w:tcPr>
            <w:tcW w:w="6998" w:type="dxa"/>
            <w:noWrap w:val="0"/>
            <w:vAlign w:val="top"/>
          </w:tcPr>
          <w:p>
            <w:pPr>
              <w:spacing w:line="36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4</w:t>
            </w:r>
          </w:p>
        </w:tc>
        <w:tc>
          <w:tcPr>
            <w:tcW w:w="1062"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知识产权</w:t>
            </w: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1）投标人应保证采购人在使用该货物或其任何一部分时，免受第三方</w:t>
            </w:r>
            <w:r>
              <w:rPr>
                <w:rFonts w:hint="eastAsia" w:ascii="仿宋" w:hAnsi="仿宋" w:eastAsia="仿宋" w:cs="仿宋"/>
                <w:color w:val="000000"/>
                <w:sz w:val="24"/>
                <w:szCs w:val="24"/>
              </w:rPr>
              <w:t>提出</w:t>
            </w:r>
            <w:r>
              <w:rPr>
                <w:rFonts w:hint="eastAsia" w:ascii="仿宋" w:hAnsi="仿宋" w:eastAsia="仿宋" w:cs="仿宋"/>
                <w:bCs/>
                <w:color w:val="000000"/>
                <w:sz w:val="24"/>
                <w:szCs w:val="24"/>
              </w:rPr>
              <w:t>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tabs>
                <w:tab w:val="left" w:pos="1260"/>
              </w:tabs>
              <w:spacing w:line="360" w:lineRule="auto"/>
              <w:jc w:val="center"/>
              <w:rPr>
                <w:rFonts w:hint="eastAsia" w:ascii="仿宋" w:hAnsi="仿宋" w:eastAsia="仿宋" w:cs="仿宋"/>
                <w:b/>
                <w:bCs/>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062" w:type="dxa"/>
            <w:noWrap w:val="0"/>
            <w:vAlign w:val="center"/>
          </w:tcPr>
          <w:p>
            <w:pPr>
              <w:tabs>
                <w:tab w:val="left" w:pos="1260"/>
              </w:tabs>
              <w:spacing w:line="360" w:lineRule="auto"/>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rPr>
              <w:t>付款方式</w:t>
            </w:r>
          </w:p>
        </w:tc>
        <w:tc>
          <w:tcPr>
            <w:tcW w:w="6998" w:type="dxa"/>
            <w:noWrap w:val="0"/>
            <w:vAlign w:val="top"/>
          </w:tcPr>
          <w:p>
            <w:pPr>
              <w:tabs>
                <w:tab w:val="left" w:pos="1260"/>
              </w:tabs>
              <w:spacing w:line="360" w:lineRule="auto"/>
              <w:rPr>
                <w:rFonts w:hint="eastAsia" w:ascii="仿宋" w:hAnsi="仿宋" w:eastAsia="仿宋" w:cs="仿宋"/>
                <w:color w:val="000000"/>
                <w:kern w:val="0"/>
                <w:sz w:val="24"/>
                <w:szCs w:val="24"/>
              </w:rPr>
            </w:pPr>
            <w:r>
              <w:rPr>
                <w:rFonts w:hint="eastAsia" w:ascii="仿宋" w:hAnsi="仿宋" w:eastAsia="仿宋" w:cs="仿宋"/>
                <w:color w:val="auto"/>
                <w:sz w:val="24"/>
                <w:szCs w:val="24"/>
              </w:rPr>
              <w:t>合同签订后，乙方支付合同总金额的5%作为履约保证金；甲方收到乙方履约保证金并且收到乙方开具的50%合同总金额发票后，向乙方支付50%预付款；乙方将货物送到指定地点、验收合格并提供剩余50%合同总金额发票后，甲方向乙方支付合同总金额的50%货款；设备验收合同后，乙方向甲方申请退回该履约保证金，甲方收到申请审核同意后，无息返还乙方的履约保证金。因乙方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062" w:type="dxa"/>
            <w:vMerge w:val="restart"/>
            <w:noWrap w:val="0"/>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违约责任</w:t>
            </w:r>
          </w:p>
        </w:tc>
        <w:tc>
          <w:tcPr>
            <w:tcW w:w="6998" w:type="dxa"/>
            <w:noWrap w:val="0"/>
            <w:vAlign w:val="top"/>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sz w:val="24"/>
                <w:szCs w:val="24"/>
              </w:rPr>
              <w:t>1）如中标人未按照投标文件中承诺的时间交货或提供服务，中标人</w:t>
            </w:r>
            <w:r>
              <w:rPr>
                <w:rFonts w:hint="eastAsia" w:ascii="仿宋" w:hAnsi="仿宋" w:eastAsia="仿宋" w:cs="仿宋"/>
                <w:color w:val="000000"/>
                <w:sz w:val="24"/>
                <w:szCs w:val="24"/>
              </w:rPr>
              <w:t>应承担</w:t>
            </w:r>
            <w:r>
              <w:rPr>
                <w:rFonts w:hint="eastAsia" w:ascii="仿宋" w:hAnsi="仿宋" w:eastAsia="仿宋" w:cs="仿宋"/>
                <w:bCs/>
                <w:color w:val="000000"/>
                <w:sz w:val="24"/>
                <w:szCs w:val="24"/>
              </w:rPr>
              <w:t>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十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1062" w:type="dxa"/>
            <w:noWrap w:val="0"/>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其他</w:t>
            </w:r>
          </w:p>
        </w:tc>
        <w:tc>
          <w:tcPr>
            <w:tcW w:w="6998" w:type="dxa"/>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restart"/>
            <w:noWrap w:val="0"/>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w:t>
            </w:r>
          </w:p>
        </w:tc>
        <w:tc>
          <w:tcPr>
            <w:tcW w:w="1062" w:type="dxa"/>
            <w:vMerge w:val="restart"/>
            <w:noWrap w:val="0"/>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项目（产品）要求</w:t>
            </w: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
                <w:color w:val="000000"/>
                <w:sz w:val="24"/>
                <w:szCs w:val="24"/>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color w:val="00000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b/>
                <w:color w:val="000000"/>
                <w:sz w:val="24"/>
                <w:szCs w:val="24"/>
              </w:rPr>
              <w:t>★8.2若所投产品为进口，则投标人必须提供由设备制造商或授权的中国总代理签署的合法有效的保修、维修承诺函（免费保修期满足招标文件要求）扫描件，原件备查；若所投产品为国产产品，则无需提供。</w:t>
            </w:r>
          </w:p>
        </w:tc>
      </w:tr>
      <w:bookmarkEnd w:id="0"/>
    </w:tbl>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3"/>
          <w:jc w:val="center"/>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042F1"/>
    <w:multiLevelType w:val="singleLevel"/>
    <w:tmpl w:val="3AB042F1"/>
    <w:lvl w:ilvl="0" w:tentative="0">
      <w:start w:val="10"/>
      <w:numFmt w:val="decimal"/>
      <w:suff w:val="nothing"/>
      <w:lvlText w:val="%1、"/>
      <w:lvlJc w:val="left"/>
      <w:pPr>
        <w:ind w:left="0" w:firstLine="0"/>
      </w:pPr>
    </w:lvl>
  </w:abstractNum>
  <w:num w:numId="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5D589F"/>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6D77AF0"/>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2"/>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8"/>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unhideWhenUsed/>
    <w:qFormat/>
    <w:uiPriority w:val="99"/>
    <w:pPr>
      <w:spacing w:after="120"/>
      <w:ind w:left="420" w:leftChars="200"/>
    </w:pPr>
  </w:style>
  <w:style w:type="paragraph" w:styleId="10">
    <w:name w:val="Plain Text"/>
    <w:basedOn w:val="1"/>
    <w:link w:val="31"/>
    <w:qFormat/>
    <w:uiPriority w:val="0"/>
    <w:rPr>
      <w:rFonts w:ascii="宋体" w:hAnsi="Courier New" w:eastAsiaTheme="minorEastAsia" w:cstheme="minorBidi"/>
    </w:rPr>
  </w:style>
  <w:style w:type="paragraph" w:styleId="11">
    <w:name w:val="Date"/>
    <w:basedOn w:val="1"/>
    <w:next w:val="1"/>
    <w:link w:val="23"/>
    <w:qFormat/>
    <w:uiPriority w:val="0"/>
    <w:rPr>
      <w:rFonts w:ascii="宋体" w:hAnsi="Courier New"/>
      <w:kern w:val="0"/>
      <w:sz w:val="32"/>
      <w:szCs w:val="20"/>
    </w:rPr>
  </w:style>
  <w:style w:type="paragraph" w:styleId="12">
    <w:name w:val="Balloon Text"/>
    <w:basedOn w:val="1"/>
    <w:link w:val="24"/>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7"/>
    <w:next w:val="7"/>
    <w:link w:val="29"/>
    <w:semiHidden/>
    <w:unhideWhenUsed/>
    <w:qFormat/>
    <w:uiPriority w:val="99"/>
    <w:rPr>
      <w:b/>
      <w:bCs/>
    </w:rPr>
  </w:style>
  <w:style w:type="paragraph" w:styleId="16">
    <w:name w:val="Body Text First Indent 2"/>
    <w:basedOn w:val="9"/>
    <w:qFormat/>
    <w:uiPriority w:val="0"/>
    <w:pPr>
      <w:ind w:firstLine="420" w:firstLineChars="200"/>
    </w:pPr>
    <w:rPr>
      <w:szCs w:val="24"/>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日期 Char"/>
    <w:basedOn w:val="19"/>
    <w:link w:val="11"/>
    <w:qFormat/>
    <w:uiPriority w:val="0"/>
    <w:rPr>
      <w:rFonts w:ascii="宋体" w:hAnsi="Courier New" w:eastAsia="宋体" w:cs="Times New Roman"/>
      <w:kern w:val="0"/>
      <w:sz w:val="32"/>
      <w:szCs w:val="20"/>
    </w:rPr>
  </w:style>
  <w:style w:type="character" w:customStyle="1" w:styleId="23">
    <w:name w:val="日期 Char1"/>
    <w:basedOn w:val="19"/>
    <w:link w:val="11"/>
    <w:semiHidden/>
    <w:qFormat/>
    <w:uiPriority w:val="99"/>
    <w:rPr>
      <w:rFonts w:ascii="Calibri" w:hAnsi="Calibri" w:eastAsia="宋体" w:cs="Times New Roman"/>
    </w:rPr>
  </w:style>
  <w:style w:type="character" w:customStyle="1" w:styleId="24">
    <w:name w:val="批注框文本 Char"/>
    <w:basedOn w:val="19"/>
    <w:link w:val="12"/>
    <w:semiHidden/>
    <w:qFormat/>
    <w:uiPriority w:val="99"/>
    <w:rPr>
      <w:rFonts w:ascii="Calibri" w:hAnsi="Calibri" w:eastAsia="宋体" w:cs="Times New Roman"/>
      <w:sz w:val="18"/>
      <w:szCs w:val="18"/>
    </w:rPr>
  </w:style>
  <w:style w:type="character" w:customStyle="1" w:styleId="25">
    <w:name w:val="页眉 Char"/>
    <w:basedOn w:val="19"/>
    <w:link w:val="14"/>
    <w:semiHidden/>
    <w:qFormat/>
    <w:uiPriority w:val="99"/>
    <w:rPr>
      <w:rFonts w:ascii="Calibri" w:hAnsi="Calibri" w:eastAsia="宋体" w:cs="Times New Roman"/>
      <w:sz w:val="18"/>
      <w:szCs w:val="18"/>
    </w:rPr>
  </w:style>
  <w:style w:type="character" w:customStyle="1" w:styleId="26">
    <w:name w:val="页脚 Char"/>
    <w:basedOn w:val="19"/>
    <w:link w:val="13"/>
    <w:qFormat/>
    <w:uiPriority w:val="99"/>
    <w:rPr>
      <w:rFonts w:ascii="Calibri" w:hAnsi="Calibri" w:eastAsia="宋体" w:cs="Times New Roman"/>
      <w:sz w:val="18"/>
      <w:szCs w:val="18"/>
    </w:rPr>
  </w:style>
  <w:style w:type="character" w:customStyle="1" w:styleId="27">
    <w:name w:val="标题 1 Char"/>
    <w:basedOn w:val="19"/>
    <w:link w:val="3"/>
    <w:qFormat/>
    <w:uiPriority w:val="0"/>
    <w:rPr>
      <w:rFonts w:ascii="宋体" w:hAnsi="Calibri" w:eastAsia="宋体" w:cs="Times New Roman"/>
      <w:color w:val="000000"/>
      <w:sz w:val="28"/>
      <w:szCs w:val="20"/>
    </w:rPr>
  </w:style>
  <w:style w:type="character" w:customStyle="1" w:styleId="28">
    <w:name w:val="批注文字 Char"/>
    <w:basedOn w:val="19"/>
    <w:link w:val="7"/>
    <w:qFormat/>
    <w:uiPriority w:val="99"/>
    <w:rPr>
      <w:rFonts w:ascii="Calibri" w:hAnsi="Calibri" w:eastAsia="宋体" w:cs="Times New Roman"/>
    </w:rPr>
  </w:style>
  <w:style w:type="character" w:customStyle="1" w:styleId="29">
    <w:name w:val="批注主题 Char"/>
    <w:basedOn w:val="28"/>
    <w:link w:val="15"/>
    <w:semiHidden/>
    <w:qFormat/>
    <w:uiPriority w:val="99"/>
    <w:rPr>
      <w:b/>
      <w:bCs/>
    </w:rPr>
  </w:style>
  <w:style w:type="character" w:customStyle="1" w:styleId="30">
    <w:name w:val="纯文本 Char"/>
    <w:link w:val="10"/>
    <w:qFormat/>
    <w:uiPriority w:val="0"/>
    <w:rPr>
      <w:rFonts w:ascii="宋体" w:hAnsi="Courier New"/>
    </w:rPr>
  </w:style>
  <w:style w:type="character" w:customStyle="1" w:styleId="31">
    <w:name w:val="纯文本 Char1"/>
    <w:basedOn w:val="19"/>
    <w:link w:val="10"/>
    <w:semiHidden/>
    <w:qFormat/>
    <w:uiPriority w:val="99"/>
    <w:rPr>
      <w:rFonts w:ascii="宋体" w:hAnsi="Courier New" w:eastAsia="宋体" w:cs="Courier New"/>
      <w:szCs w:val="21"/>
    </w:rPr>
  </w:style>
  <w:style w:type="character" w:customStyle="1" w:styleId="32">
    <w:name w:val="标题 2 Char"/>
    <w:basedOn w:val="19"/>
    <w:link w:val="4"/>
    <w:qFormat/>
    <w:uiPriority w:val="0"/>
    <w:rPr>
      <w:rFonts w:ascii="Arial" w:hAnsi="Arial"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标题 3 Char"/>
    <w:basedOn w:val="19"/>
    <w:link w:val="5"/>
    <w:semiHidden/>
    <w:qFormat/>
    <w:uiPriority w:val="9"/>
    <w:rPr>
      <w:rFonts w:ascii="Calibri" w:hAnsi="Calibri" w:eastAsia="宋体" w:cs="Times New Roman"/>
      <w:b/>
      <w:bCs/>
      <w:sz w:val="32"/>
      <w:szCs w:val="32"/>
    </w:rPr>
  </w:style>
  <w:style w:type="character" w:customStyle="1" w:styleId="35">
    <w:name w:val="标题 4 Char"/>
    <w:basedOn w:val="19"/>
    <w:link w:val="6"/>
    <w:qFormat/>
    <w:uiPriority w:val="0"/>
    <w:rPr>
      <w:rFonts w:ascii="Cambria" w:hAnsi="Cambria" w:eastAsia="宋体" w:cs="Times New Roman"/>
      <w:b/>
      <w:bCs/>
      <w:sz w:val="28"/>
      <w:szCs w:val="28"/>
    </w:rPr>
  </w:style>
  <w:style w:type="paragraph" w:customStyle="1" w:styleId="3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10"/>
    <w:qFormat/>
    <w:uiPriority w:val="0"/>
    <w:rPr>
      <w:rFonts w:ascii="宋体" w:hAnsi="Courier New"/>
      <w:szCs w:val="20"/>
    </w:rPr>
  </w:style>
  <w:style w:type="paragraph" w:customStyle="1" w:styleId="38">
    <w:name w:val="8"/>
    <w:basedOn w:val="1"/>
    <w:next w:val="10"/>
    <w:qFormat/>
    <w:uiPriority w:val="0"/>
    <w:rPr>
      <w:rFonts w:ascii="宋体" w:hAnsi="Courier New"/>
      <w:szCs w:val="20"/>
    </w:rPr>
  </w:style>
  <w:style w:type="paragraph" w:customStyle="1" w:styleId="39">
    <w:name w:val="_Style 55"/>
    <w:basedOn w:val="1"/>
    <w:next w:val="10"/>
    <w:qFormat/>
    <w:uiPriority w:val="0"/>
    <w:rPr>
      <w:rFonts w:ascii="宋体" w:hAnsi="Courier New"/>
      <w:szCs w:val="20"/>
    </w:rPr>
  </w:style>
  <w:style w:type="paragraph" w:customStyle="1" w:styleId="40">
    <w:name w:val="7"/>
    <w:basedOn w:val="1"/>
    <w:next w:val="10"/>
    <w:link w:val="41"/>
    <w:qFormat/>
    <w:uiPriority w:val="0"/>
    <w:rPr>
      <w:rFonts w:ascii="宋体" w:hAnsi="Courier New"/>
      <w:szCs w:val="20"/>
    </w:rPr>
  </w:style>
  <w:style w:type="character" w:customStyle="1" w:styleId="41">
    <w:name w:val="Char1"/>
    <w:link w:val="40"/>
    <w:qFormat/>
    <w:uiPriority w:val="0"/>
    <w:rPr>
      <w:rFonts w:ascii="宋体" w:hAnsi="Courier New" w:eastAsia="宋体" w:cs="Times New Roman"/>
      <w:szCs w:val="20"/>
    </w:rPr>
  </w:style>
  <w:style w:type="paragraph" w:customStyle="1" w:styleId="42">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3816</Words>
  <Characters>3897</Characters>
  <Lines>229</Lines>
  <Paragraphs>64</Paragraphs>
  <TotalTime>0</TotalTime>
  <ScaleCrop>false</ScaleCrop>
  <LinksUpToDate>false</LinksUpToDate>
  <CharactersWithSpaces>3933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中正招标李森创</cp:lastModifiedBy>
  <cp:lastPrinted>2020-05-21T02:27:00Z</cp:lastPrinted>
  <dcterms:modified xsi:type="dcterms:W3CDTF">2023-08-23T07:48:55Z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B946BEF99C8F409FBFCFBF89E6EAF5A4</vt:lpwstr>
  </property>
</Properties>
</file>