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6"/>
          <w:szCs w:val="36"/>
        </w:rPr>
      </w:pPr>
      <w:r>
        <w:rPr>
          <w:rFonts w:hint="eastAsia" w:ascii="仿宋" w:hAnsi="仿宋" w:eastAsia="仿宋"/>
          <w:b/>
          <w:sz w:val="36"/>
          <w:szCs w:val="36"/>
        </w:rPr>
        <w:t>项目需求</w:t>
      </w:r>
    </w:p>
    <w:p>
      <w:pPr>
        <w:widowControl/>
        <w:jc w:val="left"/>
      </w:pPr>
      <w:r>
        <w:rPr>
          <w:rFonts w:hint="eastAsia" w:ascii="仿宋" w:hAnsi="仿宋" w:eastAsia="仿宋"/>
          <w:b/>
          <w:bCs/>
          <w:sz w:val="28"/>
          <w:szCs w:val="21"/>
        </w:rPr>
        <w:t>一、采购预算</w:t>
      </w:r>
    </w:p>
    <w:tbl>
      <w:tblPr>
        <w:tblStyle w:val="17"/>
        <w:tblW w:w="9155"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2040"/>
        <w:gridCol w:w="1110"/>
        <w:gridCol w:w="1845"/>
        <w:gridCol w:w="1830"/>
        <w:gridCol w:w="18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jc w:val="center"/>
        </w:trPr>
        <w:tc>
          <w:tcPr>
            <w:tcW w:w="500" w:type="dxa"/>
            <w:shd w:val="clear" w:color="auto" w:fill="C6D9F1"/>
            <w:noWrap w:val="0"/>
            <w:vAlign w:val="center"/>
          </w:tcPr>
          <w:p>
            <w:pPr>
              <w:spacing w:line="360" w:lineRule="auto"/>
              <w:jc w:val="center"/>
              <w:rPr>
                <w:rFonts w:ascii="仿宋" w:hAnsi="仿宋" w:eastAsia="仿宋"/>
                <w:b/>
                <w:sz w:val="24"/>
                <w:szCs w:val="24"/>
              </w:rPr>
            </w:pPr>
            <w:r>
              <w:rPr>
                <w:rFonts w:hint="eastAsia" w:ascii="仿宋" w:hAnsi="仿宋" w:eastAsia="仿宋"/>
                <w:b/>
                <w:sz w:val="24"/>
                <w:szCs w:val="24"/>
              </w:rPr>
              <w:t>序号</w:t>
            </w:r>
          </w:p>
        </w:tc>
        <w:tc>
          <w:tcPr>
            <w:tcW w:w="2040" w:type="dxa"/>
            <w:shd w:val="clear" w:color="auto" w:fill="C6D9F1"/>
            <w:noWrap w:val="0"/>
            <w:vAlign w:val="center"/>
          </w:tcPr>
          <w:p>
            <w:pPr>
              <w:spacing w:line="360" w:lineRule="auto"/>
              <w:jc w:val="center"/>
              <w:rPr>
                <w:rFonts w:ascii="仿宋" w:hAnsi="仿宋" w:eastAsia="仿宋"/>
                <w:b/>
                <w:sz w:val="24"/>
                <w:szCs w:val="24"/>
              </w:rPr>
            </w:pPr>
            <w:r>
              <w:rPr>
                <w:rFonts w:hint="eastAsia" w:ascii="仿宋" w:hAnsi="仿宋" w:eastAsia="仿宋"/>
                <w:b/>
                <w:sz w:val="24"/>
                <w:szCs w:val="24"/>
              </w:rPr>
              <w:t>货物名称</w:t>
            </w:r>
          </w:p>
        </w:tc>
        <w:tc>
          <w:tcPr>
            <w:tcW w:w="1110" w:type="dxa"/>
            <w:shd w:val="clear" w:color="auto" w:fill="C6D9F1"/>
            <w:noWrap w:val="0"/>
            <w:vAlign w:val="center"/>
          </w:tcPr>
          <w:p>
            <w:pPr>
              <w:spacing w:line="360" w:lineRule="auto"/>
              <w:jc w:val="center"/>
              <w:rPr>
                <w:rFonts w:ascii="仿宋" w:hAnsi="仿宋" w:eastAsia="仿宋"/>
                <w:b/>
                <w:sz w:val="24"/>
                <w:szCs w:val="24"/>
              </w:rPr>
            </w:pPr>
            <w:r>
              <w:rPr>
                <w:rFonts w:hint="eastAsia" w:ascii="仿宋" w:hAnsi="仿宋" w:eastAsia="仿宋"/>
                <w:b/>
                <w:sz w:val="24"/>
                <w:szCs w:val="24"/>
              </w:rPr>
              <w:t>数量</w:t>
            </w:r>
          </w:p>
        </w:tc>
        <w:tc>
          <w:tcPr>
            <w:tcW w:w="1845" w:type="dxa"/>
            <w:shd w:val="clear" w:color="auto" w:fill="C6D9F1"/>
            <w:noWrap w:val="0"/>
            <w:vAlign w:val="center"/>
          </w:tcPr>
          <w:p>
            <w:pPr>
              <w:spacing w:line="360" w:lineRule="auto"/>
              <w:jc w:val="center"/>
              <w:rPr>
                <w:rFonts w:hint="eastAsia" w:ascii="仿宋" w:hAnsi="仿宋" w:eastAsia="仿宋"/>
                <w:b/>
                <w:kern w:val="0"/>
                <w:sz w:val="24"/>
                <w:szCs w:val="24"/>
              </w:rPr>
            </w:pPr>
            <w:r>
              <w:rPr>
                <w:rFonts w:hint="eastAsia" w:ascii="仿宋" w:hAnsi="仿宋" w:eastAsia="仿宋"/>
                <w:b/>
                <w:kern w:val="0"/>
                <w:sz w:val="24"/>
                <w:szCs w:val="24"/>
              </w:rPr>
              <w:t>采购控制金额（人民币元）</w:t>
            </w:r>
          </w:p>
        </w:tc>
        <w:tc>
          <w:tcPr>
            <w:tcW w:w="1830" w:type="dxa"/>
            <w:shd w:val="clear" w:color="auto" w:fill="C6D9F1"/>
            <w:noWrap w:val="0"/>
            <w:vAlign w:val="center"/>
          </w:tcPr>
          <w:p>
            <w:pPr>
              <w:spacing w:line="360" w:lineRule="auto"/>
              <w:jc w:val="center"/>
              <w:rPr>
                <w:rFonts w:hint="eastAsia" w:ascii="仿宋" w:hAnsi="仿宋" w:eastAsia="仿宋"/>
                <w:b/>
                <w:kern w:val="0"/>
                <w:sz w:val="24"/>
                <w:szCs w:val="24"/>
                <w:lang w:val="en-US" w:eastAsia="zh-CN"/>
              </w:rPr>
            </w:pPr>
            <w:r>
              <w:rPr>
                <w:rFonts w:hint="eastAsia" w:ascii="仿宋" w:hAnsi="仿宋" w:eastAsia="仿宋"/>
                <w:b/>
                <w:kern w:val="0"/>
                <w:sz w:val="24"/>
                <w:szCs w:val="24"/>
                <w:lang w:val="en-US" w:eastAsia="zh-CN"/>
              </w:rPr>
              <w:t>最高限价</w:t>
            </w:r>
          </w:p>
          <w:p>
            <w:pPr>
              <w:spacing w:line="360" w:lineRule="auto"/>
              <w:jc w:val="center"/>
              <w:rPr>
                <w:rFonts w:hint="default" w:ascii="仿宋" w:hAnsi="仿宋" w:eastAsia="仿宋"/>
                <w:b/>
                <w:kern w:val="0"/>
                <w:sz w:val="24"/>
                <w:szCs w:val="24"/>
                <w:lang w:val="en-US" w:eastAsia="zh-CN"/>
              </w:rPr>
            </w:pPr>
            <w:r>
              <w:rPr>
                <w:rFonts w:hint="eastAsia" w:ascii="仿宋" w:hAnsi="仿宋" w:eastAsia="仿宋"/>
                <w:b/>
                <w:kern w:val="0"/>
                <w:sz w:val="24"/>
                <w:szCs w:val="24"/>
                <w:lang w:val="en-US" w:eastAsia="zh-CN"/>
              </w:rPr>
              <w:t>（人民币元）</w:t>
            </w:r>
          </w:p>
        </w:tc>
        <w:tc>
          <w:tcPr>
            <w:tcW w:w="1830" w:type="dxa"/>
            <w:shd w:val="clear" w:color="auto" w:fill="C6D9F1"/>
            <w:noWrap w:val="0"/>
            <w:vAlign w:val="center"/>
          </w:tcPr>
          <w:p>
            <w:pPr>
              <w:spacing w:line="360" w:lineRule="auto"/>
              <w:jc w:val="center"/>
              <w:rPr>
                <w:rFonts w:hint="eastAsia" w:ascii="仿宋" w:hAnsi="仿宋" w:eastAsia="仿宋"/>
                <w:b/>
                <w:kern w:val="0"/>
                <w:sz w:val="24"/>
                <w:szCs w:val="24"/>
              </w:rPr>
            </w:pPr>
            <w:r>
              <w:rPr>
                <w:rFonts w:hint="eastAsia" w:ascii="仿宋" w:hAnsi="仿宋" w:eastAsia="仿宋"/>
                <w:b/>
                <w:kern w:val="0"/>
                <w:sz w:val="24"/>
                <w:szCs w:val="24"/>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 w:type="dxa"/>
            <w:noWrap w:val="0"/>
            <w:vAlign w:val="center"/>
          </w:tcPr>
          <w:p>
            <w:pPr>
              <w:spacing w:line="360" w:lineRule="auto"/>
              <w:jc w:val="center"/>
              <w:rPr>
                <w:rFonts w:ascii="仿宋" w:hAnsi="仿宋" w:eastAsia="仿宋"/>
                <w:sz w:val="24"/>
                <w:szCs w:val="24"/>
              </w:rPr>
            </w:pPr>
            <w:r>
              <w:rPr>
                <w:rFonts w:hint="eastAsia" w:ascii="仿宋" w:hAnsi="仿宋" w:eastAsia="仿宋"/>
                <w:sz w:val="24"/>
                <w:szCs w:val="24"/>
              </w:rPr>
              <w:t>1</w:t>
            </w:r>
          </w:p>
        </w:tc>
        <w:tc>
          <w:tcPr>
            <w:tcW w:w="2040" w:type="dxa"/>
            <w:noWrap w:val="0"/>
            <w:vAlign w:val="center"/>
          </w:tcPr>
          <w:p>
            <w:pPr>
              <w:spacing w:line="360" w:lineRule="auto"/>
              <w:jc w:val="center"/>
              <w:rPr>
                <w:rFonts w:hint="default" w:ascii="仿宋" w:hAnsi="仿宋" w:eastAsia="仿宋" w:cs="Times New Roman"/>
                <w:sz w:val="24"/>
                <w:szCs w:val="24"/>
                <w:lang w:val="en-US" w:eastAsia="zh-CN"/>
              </w:rPr>
            </w:pPr>
            <w:r>
              <w:rPr>
                <w:rFonts w:hint="default" w:ascii="仿宋" w:hAnsi="仿宋" w:eastAsia="仿宋" w:cs="Times New Roman"/>
                <w:sz w:val="24"/>
                <w:szCs w:val="24"/>
                <w:lang w:val="en-US" w:eastAsia="zh-CN"/>
              </w:rPr>
              <w:t>激光扫描共聚焦显微镜</w:t>
            </w:r>
          </w:p>
        </w:tc>
        <w:tc>
          <w:tcPr>
            <w:tcW w:w="1110" w:type="dxa"/>
            <w:noWrap w:val="0"/>
            <w:vAlign w:val="center"/>
          </w:tcPr>
          <w:p>
            <w:pPr>
              <w:spacing w:line="360" w:lineRule="auto"/>
              <w:jc w:val="center"/>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1台</w:t>
            </w:r>
          </w:p>
        </w:tc>
        <w:tc>
          <w:tcPr>
            <w:tcW w:w="1845" w:type="dxa"/>
            <w:noWrap w:val="0"/>
            <w:vAlign w:val="center"/>
          </w:tcPr>
          <w:p>
            <w:pPr>
              <w:spacing w:line="360" w:lineRule="auto"/>
              <w:jc w:val="center"/>
              <w:rPr>
                <w:rFonts w:hint="eastAsia" w:ascii="仿宋" w:hAnsi="仿宋" w:eastAsia="仿宋" w:cs="Times New Roman"/>
                <w:sz w:val="24"/>
                <w:szCs w:val="24"/>
              </w:rPr>
            </w:pPr>
            <w:r>
              <w:rPr>
                <w:rFonts w:hint="eastAsia" w:ascii="仿宋" w:hAnsi="仿宋" w:eastAsia="仿宋" w:cs="Times New Roman"/>
                <w:sz w:val="24"/>
                <w:szCs w:val="24"/>
                <w:lang w:val="en-US" w:eastAsia="zh-CN"/>
              </w:rPr>
              <w:t>3,000,000</w:t>
            </w:r>
            <w:r>
              <w:rPr>
                <w:rFonts w:hint="eastAsia" w:ascii="仿宋" w:hAnsi="仿宋" w:eastAsia="仿宋" w:cs="Times New Roman"/>
                <w:sz w:val="24"/>
                <w:szCs w:val="24"/>
              </w:rPr>
              <w:t>.00</w:t>
            </w:r>
          </w:p>
        </w:tc>
        <w:tc>
          <w:tcPr>
            <w:tcW w:w="1830" w:type="dxa"/>
            <w:noWrap w:val="0"/>
            <w:vAlign w:val="center"/>
          </w:tcPr>
          <w:p>
            <w:pPr>
              <w:spacing w:line="360" w:lineRule="auto"/>
              <w:jc w:val="center"/>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2,900,000.00</w:t>
            </w:r>
          </w:p>
        </w:tc>
        <w:tc>
          <w:tcPr>
            <w:tcW w:w="1830" w:type="dxa"/>
            <w:noWrap w:val="0"/>
            <w:vAlign w:val="center"/>
          </w:tcPr>
          <w:p>
            <w:pPr>
              <w:spacing w:line="360" w:lineRule="auto"/>
              <w:jc w:val="center"/>
              <w:rPr>
                <w:rFonts w:hint="eastAsia" w:ascii="仿宋" w:hAnsi="仿宋" w:eastAsia="仿宋" w:cs="Times New Roman"/>
                <w:sz w:val="24"/>
                <w:szCs w:val="24"/>
                <w:lang w:val="en-US" w:eastAsia="zh-CN"/>
              </w:rPr>
            </w:pPr>
            <w:r>
              <w:rPr>
                <w:rFonts w:hint="eastAsia" w:ascii="仿宋" w:hAnsi="仿宋" w:eastAsia="仿宋" w:cs="Times New Roman"/>
                <w:sz w:val="24"/>
                <w:szCs w:val="24"/>
                <w:lang w:val="en-US" w:eastAsia="zh-CN"/>
              </w:rPr>
              <w:t>接受</w:t>
            </w:r>
            <w:r>
              <w:rPr>
                <w:rFonts w:hint="eastAsia" w:ascii="仿宋" w:hAnsi="仿宋" w:eastAsia="仿宋" w:cs="Times New Roman"/>
                <w:sz w:val="24"/>
                <w:szCs w:val="24"/>
              </w:rPr>
              <w:t>进口</w:t>
            </w:r>
          </w:p>
        </w:tc>
      </w:tr>
    </w:tbl>
    <w:p/>
    <w:p>
      <w:pPr>
        <w:widowControl/>
        <w:jc w:val="left"/>
        <w:rPr>
          <w:rFonts w:ascii="仿宋" w:hAnsi="仿宋" w:eastAsia="仿宋"/>
          <w:b/>
          <w:bCs/>
          <w:sz w:val="28"/>
          <w:szCs w:val="21"/>
        </w:rPr>
      </w:pPr>
      <w:r>
        <w:rPr>
          <w:rFonts w:hint="eastAsia" w:ascii="仿宋" w:hAnsi="仿宋" w:eastAsia="仿宋"/>
          <w:b/>
          <w:bCs/>
          <w:sz w:val="28"/>
          <w:szCs w:val="21"/>
        </w:rPr>
        <w:t>二、采购明细清单</w:t>
      </w:r>
      <w:bookmarkStart w:id="0" w:name="_GoBack"/>
      <w:bookmarkEnd w:id="0"/>
    </w:p>
    <w:tbl>
      <w:tblPr>
        <w:tblStyle w:val="17"/>
        <w:tblpPr w:leftFromText="180" w:rightFromText="180" w:vertAnchor="text" w:horzAnchor="margin" w:tblpY="17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4015"/>
        <w:gridCol w:w="1559"/>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noWrap w:val="0"/>
            <w:vAlign w:val="center"/>
          </w:tcPr>
          <w:p>
            <w:pPr>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序号</w:t>
            </w:r>
          </w:p>
        </w:tc>
        <w:tc>
          <w:tcPr>
            <w:tcW w:w="4015" w:type="dxa"/>
            <w:noWrap w:val="0"/>
            <w:vAlign w:val="center"/>
          </w:tcPr>
          <w:p>
            <w:pPr>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货物名称</w:t>
            </w:r>
          </w:p>
        </w:tc>
        <w:tc>
          <w:tcPr>
            <w:tcW w:w="1559" w:type="dxa"/>
            <w:noWrap w:val="0"/>
            <w:vAlign w:val="center"/>
          </w:tcPr>
          <w:p>
            <w:pPr>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数量</w:t>
            </w:r>
          </w:p>
        </w:tc>
        <w:tc>
          <w:tcPr>
            <w:tcW w:w="2127" w:type="dxa"/>
            <w:noWrap w:val="0"/>
            <w:vAlign w:val="center"/>
          </w:tcPr>
          <w:p>
            <w:pPr>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noWrap w:val="0"/>
            <w:vAlign w:val="top"/>
          </w:tcPr>
          <w:p>
            <w:pPr>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1</w:t>
            </w:r>
          </w:p>
        </w:tc>
        <w:tc>
          <w:tcPr>
            <w:tcW w:w="4015" w:type="dxa"/>
            <w:noWrap w:val="0"/>
            <w:vAlign w:val="top"/>
          </w:tcPr>
          <w:p>
            <w:pPr>
              <w:rPr>
                <w:rFonts w:hint="eastAsia" w:ascii="仿宋" w:hAnsi="仿宋" w:eastAsia="仿宋" w:cs="仿宋"/>
                <w:color w:val="000000"/>
                <w:kern w:val="0"/>
                <w:sz w:val="24"/>
                <w:szCs w:val="24"/>
              </w:rPr>
            </w:pPr>
            <w:r>
              <w:rPr>
                <w:rFonts w:hint="eastAsia" w:ascii="仿宋" w:hAnsi="仿宋" w:eastAsia="仿宋" w:cs="仿宋"/>
                <w:color w:val="000000"/>
                <w:sz w:val="24"/>
                <w:szCs w:val="24"/>
              </w:rPr>
              <w:t xml:space="preserve">405nm紫外激光器                               </w:t>
            </w:r>
          </w:p>
        </w:tc>
        <w:tc>
          <w:tcPr>
            <w:tcW w:w="1559" w:type="dxa"/>
            <w:noWrap w:val="0"/>
            <w:vAlign w:val="center"/>
          </w:tcPr>
          <w:p>
            <w:pPr>
              <w:jc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w:t>
            </w:r>
          </w:p>
        </w:tc>
        <w:tc>
          <w:tcPr>
            <w:tcW w:w="2127" w:type="dxa"/>
            <w:noWrap w:val="0"/>
            <w:vAlign w:val="center"/>
          </w:tcPr>
          <w:p>
            <w:pPr>
              <w:jc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noWrap w:val="0"/>
            <w:vAlign w:val="top"/>
          </w:tcPr>
          <w:p>
            <w:pPr>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2</w:t>
            </w:r>
          </w:p>
        </w:tc>
        <w:tc>
          <w:tcPr>
            <w:tcW w:w="4015" w:type="dxa"/>
            <w:noWrap w:val="0"/>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488nm、561nm和638nm激光器                </w:t>
            </w:r>
          </w:p>
        </w:tc>
        <w:tc>
          <w:tcPr>
            <w:tcW w:w="1559" w:type="dxa"/>
            <w:noWrap w:val="0"/>
            <w:vAlign w:val="center"/>
          </w:tcPr>
          <w:p>
            <w:pPr>
              <w:jc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w:t>
            </w:r>
          </w:p>
        </w:tc>
        <w:tc>
          <w:tcPr>
            <w:tcW w:w="2127" w:type="dxa"/>
            <w:noWrap w:val="0"/>
            <w:vAlign w:val="center"/>
          </w:tcPr>
          <w:p>
            <w:pPr>
              <w:jc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noWrap w:val="0"/>
            <w:vAlign w:val="top"/>
          </w:tcPr>
          <w:p>
            <w:pPr>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3</w:t>
            </w:r>
          </w:p>
        </w:tc>
        <w:tc>
          <w:tcPr>
            <w:tcW w:w="4015" w:type="dxa"/>
            <w:noWrap w:val="0"/>
            <w:vAlign w:val="center"/>
          </w:tcPr>
          <w:p>
            <w:pPr>
              <w:rPr>
                <w:rFonts w:hint="eastAsia" w:ascii="仿宋" w:hAnsi="仿宋" w:eastAsia="仿宋" w:cs="仿宋"/>
                <w:color w:val="000000"/>
                <w:kern w:val="0"/>
                <w:sz w:val="24"/>
                <w:szCs w:val="24"/>
                <w:lang w:bidi="ar"/>
              </w:rPr>
            </w:pPr>
            <w:r>
              <w:rPr>
                <w:rFonts w:hint="eastAsia" w:ascii="仿宋" w:hAnsi="仿宋" w:eastAsia="仿宋" w:cs="仿宋"/>
                <w:color w:val="000000"/>
                <w:sz w:val="24"/>
                <w:szCs w:val="24"/>
              </w:rPr>
              <w:t xml:space="preserve">高分辨共聚焦扫描系统                             </w:t>
            </w:r>
          </w:p>
        </w:tc>
        <w:tc>
          <w:tcPr>
            <w:tcW w:w="1559" w:type="dxa"/>
            <w:noWrap w:val="0"/>
            <w:vAlign w:val="center"/>
          </w:tcPr>
          <w:p>
            <w:pPr>
              <w:jc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w:t>
            </w:r>
          </w:p>
        </w:tc>
        <w:tc>
          <w:tcPr>
            <w:tcW w:w="2127" w:type="dxa"/>
            <w:noWrap w:val="0"/>
            <w:vAlign w:val="center"/>
          </w:tcPr>
          <w:p>
            <w:pPr>
              <w:jc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noWrap w:val="0"/>
            <w:vAlign w:val="top"/>
          </w:tcPr>
          <w:p>
            <w:pPr>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4</w:t>
            </w:r>
          </w:p>
        </w:tc>
        <w:tc>
          <w:tcPr>
            <w:tcW w:w="4015" w:type="dxa"/>
            <w:noWrap w:val="0"/>
            <w:vAlign w:val="center"/>
          </w:tcPr>
          <w:p>
            <w:pPr>
              <w:rPr>
                <w:rFonts w:hint="eastAsia" w:ascii="仿宋" w:hAnsi="仿宋" w:eastAsia="仿宋" w:cs="仿宋"/>
                <w:color w:val="000000"/>
                <w:kern w:val="0"/>
                <w:sz w:val="24"/>
                <w:szCs w:val="24"/>
                <w:lang w:bidi="ar"/>
              </w:rPr>
            </w:pPr>
            <w:r>
              <w:rPr>
                <w:rFonts w:hint="eastAsia" w:ascii="仿宋" w:hAnsi="仿宋" w:eastAsia="仿宋" w:cs="仿宋"/>
                <w:color w:val="000000"/>
                <w:sz w:val="24"/>
                <w:szCs w:val="24"/>
              </w:rPr>
              <w:t xml:space="preserve">超分辨图像处理系统                               </w:t>
            </w:r>
          </w:p>
        </w:tc>
        <w:tc>
          <w:tcPr>
            <w:tcW w:w="1559" w:type="dxa"/>
            <w:noWrap w:val="0"/>
            <w:vAlign w:val="center"/>
          </w:tcPr>
          <w:p>
            <w:pPr>
              <w:jc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w:t>
            </w:r>
          </w:p>
        </w:tc>
        <w:tc>
          <w:tcPr>
            <w:tcW w:w="2127" w:type="dxa"/>
            <w:noWrap w:val="0"/>
            <w:vAlign w:val="center"/>
          </w:tcPr>
          <w:p>
            <w:pPr>
              <w:jc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noWrap w:val="0"/>
            <w:vAlign w:val="top"/>
          </w:tcPr>
          <w:p>
            <w:pPr>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5</w:t>
            </w:r>
          </w:p>
        </w:tc>
        <w:tc>
          <w:tcPr>
            <w:tcW w:w="4015" w:type="dxa"/>
            <w:noWrap w:val="0"/>
            <w:vAlign w:val="center"/>
          </w:tcPr>
          <w:p>
            <w:pPr>
              <w:rPr>
                <w:rFonts w:hint="eastAsia" w:ascii="仿宋" w:hAnsi="仿宋" w:eastAsia="仿宋" w:cs="仿宋"/>
                <w:color w:val="000000"/>
                <w:kern w:val="0"/>
                <w:sz w:val="24"/>
                <w:szCs w:val="24"/>
                <w:lang w:bidi="ar"/>
              </w:rPr>
            </w:pPr>
            <w:r>
              <w:rPr>
                <w:rFonts w:hint="eastAsia" w:ascii="仿宋" w:hAnsi="仿宋" w:eastAsia="仿宋" w:cs="仿宋"/>
                <w:color w:val="000000"/>
                <w:sz w:val="24"/>
                <w:szCs w:val="24"/>
              </w:rPr>
              <w:t xml:space="preserve">旋钮式操作控制器                                 </w:t>
            </w:r>
          </w:p>
        </w:tc>
        <w:tc>
          <w:tcPr>
            <w:tcW w:w="1559" w:type="dxa"/>
            <w:noWrap w:val="0"/>
            <w:vAlign w:val="center"/>
          </w:tcPr>
          <w:p>
            <w:pPr>
              <w:jc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w:t>
            </w:r>
          </w:p>
        </w:tc>
        <w:tc>
          <w:tcPr>
            <w:tcW w:w="2127" w:type="dxa"/>
            <w:noWrap w:val="0"/>
            <w:vAlign w:val="center"/>
          </w:tcPr>
          <w:p>
            <w:pPr>
              <w:jc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noWrap w:val="0"/>
            <w:vAlign w:val="top"/>
          </w:tcPr>
          <w:p>
            <w:pPr>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6</w:t>
            </w:r>
          </w:p>
        </w:tc>
        <w:tc>
          <w:tcPr>
            <w:tcW w:w="4015" w:type="dxa"/>
            <w:noWrap w:val="0"/>
            <w:vAlign w:val="center"/>
          </w:tcPr>
          <w:p>
            <w:pPr>
              <w:rPr>
                <w:rFonts w:hint="eastAsia" w:ascii="仿宋" w:hAnsi="仿宋" w:eastAsia="仿宋" w:cs="仿宋"/>
                <w:color w:val="000000"/>
                <w:kern w:val="0"/>
                <w:sz w:val="24"/>
                <w:szCs w:val="24"/>
                <w:lang w:bidi="ar"/>
              </w:rPr>
            </w:pPr>
            <w:r>
              <w:rPr>
                <w:rFonts w:hint="eastAsia" w:ascii="仿宋" w:hAnsi="仿宋" w:eastAsia="仿宋" w:cs="仿宋"/>
                <w:color w:val="000000"/>
                <w:sz w:val="24"/>
                <w:szCs w:val="24"/>
              </w:rPr>
              <w:t xml:space="preserve">超高灵敏度阵列检测器                      </w:t>
            </w:r>
          </w:p>
        </w:tc>
        <w:tc>
          <w:tcPr>
            <w:tcW w:w="1559" w:type="dxa"/>
            <w:noWrap w:val="0"/>
            <w:vAlign w:val="center"/>
          </w:tcPr>
          <w:p>
            <w:pPr>
              <w:jc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w:t>
            </w:r>
          </w:p>
        </w:tc>
        <w:tc>
          <w:tcPr>
            <w:tcW w:w="2127" w:type="dxa"/>
            <w:noWrap w:val="0"/>
            <w:vAlign w:val="center"/>
          </w:tcPr>
          <w:p>
            <w:pPr>
              <w:jc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noWrap w:val="0"/>
            <w:vAlign w:val="top"/>
          </w:tcPr>
          <w:p>
            <w:pPr>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7</w:t>
            </w:r>
          </w:p>
        </w:tc>
        <w:tc>
          <w:tcPr>
            <w:tcW w:w="4015" w:type="dxa"/>
            <w:noWrap w:val="0"/>
            <w:vAlign w:val="center"/>
          </w:tcPr>
          <w:p>
            <w:pPr>
              <w:rPr>
                <w:rFonts w:hint="eastAsia" w:ascii="仿宋" w:hAnsi="仿宋" w:eastAsia="仿宋" w:cs="仿宋"/>
                <w:color w:val="000000"/>
                <w:kern w:val="0"/>
                <w:sz w:val="24"/>
                <w:szCs w:val="24"/>
                <w:lang w:bidi="ar"/>
              </w:rPr>
            </w:pPr>
            <w:r>
              <w:rPr>
                <w:rFonts w:hint="eastAsia" w:ascii="仿宋" w:hAnsi="仿宋" w:eastAsia="仿宋" w:cs="仿宋"/>
                <w:color w:val="000000"/>
                <w:sz w:val="24"/>
                <w:szCs w:val="24"/>
              </w:rPr>
              <w:t xml:space="preserve">共聚焦专用全电动倒置显微镜                       </w:t>
            </w:r>
          </w:p>
        </w:tc>
        <w:tc>
          <w:tcPr>
            <w:tcW w:w="1559" w:type="dxa"/>
            <w:noWrap w:val="0"/>
            <w:vAlign w:val="center"/>
          </w:tcPr>
          <w:p>
            <w:pPr>
              <w:jc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w:t>
            </w:r>
          </w:p>
        </w:tc>
        <w:tc>
          <w:tcPr>
            <w:tcW w:w="2127" w:type="dxa"/>
            <w:noWrap w:val="0"/>
            <w:vAlign w:val="center"/>
          </w:tcPr>
          <w:p>
            <w:pPr>
              <w:jc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noWrap w:val="0"/>
            <w:vAlign w:val="top"/>
          </w:tcPr>
          <w:p>
            <w:pPr>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8</w:t>
            </w:r>
          </w:p>
        </w:tc>
        <w:tc>
          <w:tcPr>
            <w:tcW w:w="4015" w:type="dxa"/>
            <w:noWrap w:val="0"/>
            <w:vAlign w:val="center"/>
          </w:tcPr>
          <w:p>
            <w:pPr>
              <w:rPr>
                <w:rFonts w:hint="eastAsia" w:ascii="仿宋" w:hAnsi="仿宋" w:eastAsia="仿宋" w:cs="仿宋"/>
                <w:color w:val="000000"/>
                <w:kern w:val="0"/>
                <w:sz w:val="24"/>
                <w:szCs w:val="24"/>
                <w:lang w:bidi="ar"/>
              </w:rPr>
            </w:pPr>
            <w:r>
              <w:rPr>
                <w:rFonts w:hint="eastAsia" w:ascii="仿宋" w:hAnsi="仿宋" w:eastAsia="仿宋" w:cs="仿宋"/>
                <w:color w:val="000000"/>
                <w:sz w:val="24"/>
                <w:szCs w:val="24"/>
              </w:rPr>
              <w:t xml:space="preserve">明场检测器                                       </w:t>
            </w:r>
          </w:p>
        </w:tc>
        <w:tc>
          <w:tcPr>
            <w:tcW w:w="1559" w:type="dxa"/>
            <w:noWrap w:val="0"/>
            <w:vAlign w:val="center"/>
          </w:tcPr>
          <w:p>
            <w:pPr>
              <w:jc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w:t>
            </w:r>
          </w:p>
        </w:tc>
        <w:tc>
          <w:tcPr>
            <w:tcW w:w="2127" w:type="dxa"/>
            <w:noWrap w:val="0"/>
            <w:vAlign w:val="center"/>
          </w:tcPr>
          <w:p>
            <w:pPr>
              <w:jc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noWrap w:val="0"/>
            <w:vAlign w:val="top"/>
          </w:tcPr>
          <w:p>
            <w:pPr>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9</w:t>
            </w:r>
          </w:p>
        </w:tc>
        <w:tc>
          <w:tcPr>
            <w:tcW w:w="4015" w:type="dxa"/>
            <w:noWrap w:val="0"/>
            <w:vAlign w:val="center"/>
          </w:tcPr>
          <w:p>
            <w:pPr>
              <w:rPr>
                <w:rFonts w:hint="eastAsia" w:ascii="仿宋" w:hAnsi="仿宋" w:eastAsia="仿宋" w:cs="仿宋"/>
                <w:color w:val="000000"/>
                <w:kern w:val="0"/>
                <w:sz w:val="24"/>
                <w:szCs w:val="24"/>
                <w:lang w:bidi="ar"/>
              </w:rPr>
            </w:pPr>
            <w:r>
              <w:rPr>
                <w:rFonts w:hint="eastAsia" w:ascii="仿宋" w:hAnsi="仿宋" w:eastAsia="仿宋" w:cs="仿宋"/>
                <w:color w:val="000000"/>
                <w:sz w:val="24"/>
                <w:szCs w:val="24"/>
              </w:rPr>
              <w:t xml:space="preserve">荧光光源                                         </w:t>
            </w:r>
          </w:p>
        </w:tc>
        <w:tc>
          <w:tcPr>
            <w:tcW w:w="1559" w:type="dxa"/>
            <w:noWrap w:val="0"/>
            <w:vAlign w:val="center"/>
          </w:tcPr>
          <w:p>
            <w:pPr>
              <w:jc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w:t>
            </w:r>
          </w:p>
        </w:tc>
        <w:tc>
          <w:tcPr>
            <w:tcW w:w="2127" w:type="dxa"/>
            <w:noWrap w:val="0"/>
            <w:vAlign w:val="center"/>
          </w:tcPr>
          <w:p>
            <w:pPr>
              <w:jc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noWrap w:val="0"/>
            <w:vAlign w:val="top"/>
          </w:tcPr>
          <w:p>
            <w:pPr>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10</w:t>
            </w:r>
          </w:p>
        </w:tc>
        <w:tc>
          <w:tcPr>
            <w:tcW w:w="4015" w:type="dxa"/>
            <w:noWrap w:val="0"/>
            <w:vAlign w:val="center"/>
          </w:tcPr>
          <w:p>
            <w:pPr>
              <w:rPr>
                <w:rFonts w:hint="eastAsia" w:ascii="仿宋" w:hAnsi="仿宋" w:eastAsia="仿宋" w:cs="仿宋"/>
                <w:color w:val="000000"/>
                <w:kern w:val="0"/>
                <w:sz w:val="24"/>
                <w:szCs w:val="24"/>
                <w:lang w:bidi="ar"/>
              </w:rPr>
            </w:pPr>
            <w:r>
              <w:rPr>
                <w:rFonts w:hint="eastAsia" w:ascii="仿宋" w:hAnsi="仿宋" w:eastAsia="仿宋" w:cs="仿宋"/>
                <w:color w:val="000000"/>
                <w:sz w:val="24"/>
                <w:szCs w:val="24"/>
              </w:rPr>
              <w:t xml:space="preserve">DAPI、FITC和RHOD荧光激发滤块                </w:t>
            </w:r>
          </w:p>
        </w:tc>
        <w:tc>
          <w:tcPr>
            <w:tcW w:w="1559" w:type="dxa"/>
            <w:noWrap w:val="0"/>
            <w:vAlign w:val="center"/>
          </w:tcPr>
          <w:p>
            <w:pPr>
              <w:jc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w:t>
            </w:r>
          </w:p>
        </w:tc>
        <w:tc>
          <w:tcPr>
            <w:tcW w:w="2127" w:type="dxa"/>
            <w:noWrap w:val="0"/>
            <w:vAlign w:val="center"/>
          </w:tcPr>
          <w:p>
            <w:pPr>
              <w:jc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noWrap w:val="0"/>
            <w:vAlign w:val="top"/>
          </w:tcPr>
          <w:p>
            <w:pPr>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11</w:t>
            </w:r>
          </w:p>
        </w:tc>
        <w:tc>
          <w:tcPr>
            <w:tcW w:w="4015" w:type="dxa"/>
            <w:noWrap w:val="0"/>
            <w:vAlign w:val="center"/>
          </w:tcPr>
          <w:p>
            <w:pPr>
              <w:rPr>
                <w:rFonts w:hint="eastAsia" w:ascii="仿宋" w:hAnsi="仿宋" w:eastAsia="仿宋" w:cs="仿宋"/>
                <w:color w:val="000000"/>
                <w:kern w:val="0"/>
                <w:sz w:val="24"/>
                <w:szCs w:val="24"/>
                <w:lang w:bidi="ar"/>
              </w:rPr>
            </w:pPr>
            <w:r>
              <w:rPr>
                <w:rFonts w:hint="eastAsia" w:ascii="仿宋" w:hAnsi="仿宋" w:eastAsia="仿宋" w:cs="仿宋"/>
                <w:color w:val="000000"/>
                <w:sz w:val="24"/>
                <w:szCs w:val="24"/>
              </w:rPr>
              <w:t xml:space="preserve">10倍、20倍、40倍和63倍共聚焦专用物镜        </w:t>
            </w:r>
          </w:p>
        </w:tc>
        <w:tc>
          <w:tcPr>
            <w:tcW w:w="1559" w:type="dxa"/>
            <w:noWrap w:val="0"/>
            <w:vAlign w:val="center"/>
          </w:tcPr>
          <w:p>
            <w:pPr>
              <w:jc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w:t>
            </w:r>
          </w:p>
        </w:tc>
        <w:tc>
          <w:tcPr>
            <w:tcW w:w="2127" w:type="dxa"/>
            <w:noWrap w:val="0"/>
            <w:vAlign w:val="center"/>
          </w:tcPr>
          <w:p>
            <w:pPr>
              <w:jc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noWrap w:val="0"/>
            <w:vAlign w:val="top"/>
          </w:tcPr>
          <w:p>
            <w:pPr>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12</w:t>
            </w:r>
          </w:p>
        </w:tc>
        <w:tc>
          <w:tcPr>
            <w:tcW w:w="4015" w:type="dxa"/>
            <w:noWrap w:val="0"/>
            <w:vAlign w:val="center"/>
          </w:tcPr>
          <w:p>
            <w:pPr>
              <w:rPr>
                <w:rFonts w:hint="eastAsia" w:ascii="仿宋" w:hAnsi="仿宋" w:eastAsia="仿宋" w:cs="仿宋"/>
                <w:color w:val="000000"/>
                <w:kern w:val="0"/>
                <w:sz w:val="24"/>
                <w:szCs w:val="24"/>
                <w:lang w:bidi="ar"/>
              </w:rPr>
            </w:pPr>
            <w:r>
              <w:rPr>
                <w:rFonts w:hint="eastAsia" w:ascii="仿宋" w:hAnsi="仿宋" w:eastAsia="仿宋" w:cs="仿宋"/>
                <w:color w:val="000000"/>
                <w:sz w:val="24"/>
                <w:szCs w:val="24"/>
              </w:rPr>
              <w:t xml:space="preserve">高精度电动载物台                                 </w:t>
            </w:r>
          </w:p>
        </w:tc>
        <w:tc>
          <w:tcPr>
            <w:tcW w:w="1559" w:type="dxa"/>
            <w:noWrap w:val="0"/>
            <w:vAlign w:val="center"/>
          </w:tcPr>
          <w:p>
            <w:pPr>
              <w:jc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w:t>
            </w:r>
          </w:p>
        </w:tc>
        <w:tc>
          <w:tcPr>
            <w:tcW w:w="2127" w:type="dxa"/>
            <w:noWrap w:val="0"/>
            <w:vAlign w:val="center"/>
          </w:tcPr>
          <w:p>
            <w:pPr>
              <w:jc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noWrap w:val="0"/>
            <w:vAlign w:val="top"/>
          </w:tcPr>
          <w:p>
            <w:pPr>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13</w:t>
            </w:r>
          </w:p>
        </w:tc>
        <w:tc>
          <w:tcPr>
            <w:tcW w:w="4015" w:type="dxa"/>
            <w:noWrap w:val="0"/>
            <w:vAlign w:val="center"/>
          </w:tcPr>
          <w:p>
            <w:pPr>
              <w:rPr>
                <w:rFonts w:hint="eastAsia" w:ascii="仿宋" w:hAnsi="仿宋" w:eastAsia="仿宋" w:cs="仿宋"/>
                <w:color w:val="000000"/>
                <w:kern w:val="0"/>
                <w:sz w:val="24"/>
                <w:szCs w:val="24"/>
                <w:lang w:bidi="ar"/>
              </w:rPr>
            </w:pPr>
            <w:r>
              <w:rPr>
                <w:rFonts w:hint="eastAsia" w:ascii="仿宋" w:hAnsi="仿宋" w:eastAsia="仿宋" w:cs="仿宋"/>
                <w:color w:val="000000"/>
                <w:sz w:val="24"/>
                <w:szCs w:val="24"/>
              </w:rPr>
              <w:t xml:space="preserve">共聚焦显微镜系统控制软件                        </w:t>
            </w:r>
          </w:p>
        </w:tc>
        <w:tc>
          <w:tcPr>
            <w:tcW w:w="1559" w:type="dxa"/>
            <w:noWrap w:val="0"/>
            <w:vAlign w:val="center"/>
          </w:tcPr>
          <w:p>
            <w:pPr>
              <w:jc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w:t>
            </w:r>
          </w:p>
        </w:tc>
        <w:tc>
          <w:tcPr>
            <w:tcW w:w="2127" w:type="dxa"/>
            <w:noWrap w:val="0"/>
            <w:vAlign w:val="center"/>
          </w:tcPr>
          <w:p>
            <w:pPr>
              <w:jc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noWrap w:val="0"/>
            <w:vAlign w:val="top"/>
          </w:tcPr>
          <w:p>
            <w:pPr>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14</w:t>
            </w:r>
          </w:p>
        </w:tc>
        <w:tc>
          <w:tcPr>
            <w:tcW w:w="4015" w:type="dxa"/>
            <w:noWrap w:val="0"/>
            <w:vAlign w:val="center"/>
          </w:tcPr>
          <w:p>
            <w:pPr>
              <w:rPr>
                <w:rFonts w:hint="eastAsia" w:ascii="仿宋" w:hAnsi="仿宋" w:eastAsia="仿宋" w:cs="仿宋"/>
                <w:color w:val="000000"/>
                <w:kern w:val="0"/>
                <w:sz w:val="24"/>
                <w:szCs w:val="24"/>
                <w:lang w:bidi="ar"/>
              </w:rPr>
            </w:pPr>
            <w:r>
              <w:rPr>
                <w:rFonts w:hint="eastAsia" w:ascii="仿宋" w:hAnsi="仿宋" w:eastAsia="仿宋" w:cs="仿宋"/>
                <w:color w:val="000000"/>
                <w:sz w:val="24"/>
                <w:szCs w:val="24"/>
              </w:rPr>
              <w:t xml:space="preserve">全标本浏览拼图软件                              </w:t>
            </w:r>
          </w:p>
        </w:tc>
        <w:tc>
          <w:tcPr>
            <w:tcW w:w="1559" w:type="dxa"/>
            <w:noWrap w:val="0"/>
            <w:vAlign w:val="center"/>
          </w:tcPr>
          <w:p>
            <w:pPr>
              <w:jc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w:t>
            </w:r>
          </w:p>
        </w:tc>
        <w:tc>
          <w:tcPr>
            <w:tcW w:w="2127" w:type="dxa"/>
            <w:noWrap w:val="0"/>
            <w:vAlign w:val="center"/>
          </w:tcPr>
          <w:p>
            <w:pPr>
              <w:jc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noWrap w:val="0"/>
            <w:vAlign w:val="top"/>
          </w:tcPr>
          <w:p>
            <w:pPr>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15</w:t>
            </w:r>
          </w:p>
        </w:tc>
        <w:tc>
          <w:tcPr>
            <w:tcW w:w="4015" w:type="dxa"/>
            <w:noWrap w:val="0"/>
            <w:vAlign w:val="center"/>
          </w:tcPr>
          <w:p>
            <w:pPr>
              <w:rPr>
                <w:rFonts w:hint="eastAsia" w:ascii="仿宋" w:hAnsi="仿宋" w:eastAsia="仿宋" w:cs="仿宋"/>
                <w:color w:val="000000"/>
                <w:kern w:val="0"/>
                <w:sz w:val="24"/>
                <w:szCs w:val="24"/>
                <w:lang w:bidi="ar"/>
              </w:rPr>
            </w:pPr>
            <w:r>
              <w:rPr>
                <w:rFonts w:hint="eastAsia" w:ascii="仿宋" w:hAnsi="仿宋" w:eastAsia="仿宋" w:cs="仿宋"/>
                <w:color w:val="000000"/>
                <w:sz w:val="24"/>
                <w:szCs w:val="24"/>
              </w:rPr>
              <w:t xml:space="preserve">共定位分析软件                                  </w:t>
            </w:r>
          </w:p>
        </w:tc>
        <w:tc>
          <w:tcPr>
            <w:tcW w:w="1559" w:type="dxa"/>
            <w:noWrap w:val="0"/>
            <w:vAlign w:val="center"/>
          </w:tcPr>
          <w:p>
            <w:pPr>
              <w:jc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w:t>
            </w:r>
          </w:p>
        </w:tc>
        <w:tc>
          <w:tcPr>
            <w:tcW w:w="2127" w:type="dxa"/>
            <w:noWrap w:val="0"/>
            <w:vAlign w:val="center"/>
          </w:tcPr>
          <w:p>
            <w:pPr>
              <w:jc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noWrap w:val="0"/>
            <w:vAlign w:val="top"/>
          </w:tcPr>
          <w:p>
            <w:pPr>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16</w:t>
            </w:r>
          </w:p>
        </w:tc>
        <w:tc>
          <w:tcPr>
            <w:tcW w:w="4015" w:type="dxa"/>
            <w:noWrap w:val="0"/>
            <w:vAlign w:val="center"/>
          </w:tcPr>
          <w:p>
            <w:pPr>
              <w:rPr>
                <w:rFonts w:hint="eastAsia" w:ascii="仿宋" w:hAnsi="仿宋" w:eastAsia="仿宋" w:cs="仿宋"/>
                <w:color w:val="000000"/>
                <w:kern w:val="0"/>
                <w:sz w:val="24"/>
                <w:szCs w:val="24"/>
                <w:lang w:bidi="ar"/>
              </w:rPr>
            </w:pPr>
            <w:r>
              <w:rPr>
                <w:rFonts w:hint="eastAsia" w:ascii="仿宋" w:hAnsi="仿宋" w:eastAsia="仿宋" w:cs="仿宋"/>
                <w:color w:val="000000"/>
                <w:sz w:val="24"/>
                <w:szCs w:val="24"/>
              </w:rPr>
              <w:t xml:space="preserve">3D成像软件                                     </w:t>
            </w:r>
          </w:p>
        </w:tc>
        <w:tc>
          <w:tcPr>
            <w:tcW w:w="1559" w:type="dxa"/>
            <w:noWrap w:val="0"/>
            <w:vAlign w:val="center"/>
          </w:tcPr>
          <w:p>
            <w:pPr>
              <w:jc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w:t>
            </w:r>
          </w:p>
        </w:tc>
        <w:tc>
          <w:tcPr>
            <w:tcW w:w="2127" w:type="dxa"/>
            <w:noWrap w:val="0"/>
            <w:vAlign w:val="center"/>
          </w:tcPr>
          <w:p>
            <w:pPr>
              <w:jc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noWrap w:val="0"/>
            <w:vAlign w:val="top"/>
          </w:tcPr>
          <w:p>
            <w:pPr>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17</w:t>
            </w:r>
          </w:p>
        </w:tc>
        <w:tc>
          <w:tcPr>
            <w:tcW w:w="4015" w:type="dxa"/>
            <w:noWrap w:val="0"/>
            <w:vAlign w:val="center"/>
          </w:tcPr>
          <w:p>
            <w:pPr>
              <w:rPr>
                <w:rFonts w:hint="eastAsia" w:ascii="仿宋" w:hAnsi="仿宋" w:eastAsia="仿宋" w:cs="仿宋"/>
                <w:color w:val="000000"/>
                <w:kern w:val="0"/>
                <w:sz w:val="24"/>
                <w:szCs w:val="24"/>
                <w:lang w:bidi="ar"/>
              </w:rPr>
            </w:pPr>
            <w:r>
              <w:rPr>
                <w:rFonts w:hint="eastAsia" w:ascii="仿宋" w:hAnsi="仿宋" w:eastAsia="仿宋" w:cs="仿宋"/>
                <w:color w:val="000000"/>
                <w:sz w:val="24"/>
                <w:szCs w:val="24"/>
              </w:rPr>
              <w:t xml:space="preserve">共聚焦显微镜图像处理工作站                      </w:t>
            </w:r>
          </w:p>
        </w:tc>
        <w:tc>
          <w:tcPr>
            <w:tcW w:w="1559" w:type="dxa"/>
            <w:noWrap w:val="0"/>
            <w:vAlign w:val="center"/>
          </w:tcPr>
          <w:p>
            <w:pPr>
              <w:jc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w:t>
            </w:r>
          </w:p>
        </w:tc>
        <w:tc>
          <w:tcPr>
            <w:tcW w:w="2127" w:type="dxa"/>
            <w:noWrap w:val="0"/>
            <w:vAlign w:val="center"/>
          </w:tcPr>
          <w:p>
            <w:pPr>
              <w:jc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noWrap w:val="0"/>
            <w:vAlign w:val="top"/>
          </w:tcPr>
          <w:p>
            <w:pPr>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18</w:t>
            </w:r>
          </w:p>
        </w:tc>
        <w:tc>
          <w:tcPr>
            <w:tcW w:w="4015" w:type="dxa"/>
            <w:noWrap w:val="0"/>
            <w:vAlign w:val="center"/>
          </w:tcPr>
          <w:p>
            <w:pPr>
              <w:rPr>
                <w:rFonts w:hint="eastAsia" w:ascii="仿宋" w:hAnsi="仿宋" w:eastAsia="仿宋" w:cs="仿宋"/>
                <w:color w:val="000000"/>
                <w:kern w:val="0"/>
                <w:sz w:val="24"/>
                <w:szCs w:val="24"/>
                <w:lang w:bidi="ar"/>
              </w:rPr>
            </w:pPr>
            <w:r>
              <w:rPr>
                <w:rFonts w:hint="eastAsia" w:ascii="仿宋" w:hAnsi="仿宋" w:eastAsia="仿宋" w:cs="仿宋"/>
                <w:color w:val="000000"/>
                <w:sz w:val="24"/>
                <w:szCs w:val="24"/>
              </w:rPr>
              <w:t xml:space="preserve">防震台                                          </w:t>
            </w:r>
          </w:p>
        </w:tc>
        <w:tc>
          <w:tcPr>
            <w:tcW w:w="1559" w:type="dxa"/>
            <w:noWrap w:val="0"/>
            <w:vAlign w:val="center"/>
          </w:tcPr>
          <w:p>
            <w:pPr>
              <w:jc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w:t>
            </w:r>
          </w:p>
        </w:tc>
        <w:tc>
          <w:tcPr>
            <w:tcW w:w="2127" w:type="dxa"/>
            <w:noWrap w:val="0"/>
            <w:vAlign w:val="center"/>
          </w:tcPr>
          <w:p>
            <w:pPr>
              <w:jc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71" w:type="dxa"/>
            <w:noWrap w:val="0"/>
            <w:vAlign w:val="top"/>
          </w:tcPr>
          <w:p>
            <w:pPr>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19</w:t>
            </w:r>
          </w:p>
        </w:tc>
        <w:tc>
          <w:tcPr>
            <w:tcW w:w="4015" w:type="dxa"/>
            <w:noWrap w:val="0"/>
            <w:vAlign w:val="center"/>
          </w:tcPr>
          <w:p>
            <w:pPr>
              <w:rPr>
                <w:rFonts w:hint="eastAsia" w:ascii="仿宋" w:hAnsi="仿宋" w:eastAsia="仿宋" w:cs="仿宋"/>
                <w:color w:val="000000"/>
                <w:kern w:val="0"/>
                <w:sz w:val="24"/>
                <w:szCs w:val="24"/>
                <w:lang w:bidi="ar"/>
              </w:rPr>
            </w:pPr>
            <w:r>
              <w:rPr>
                <w:rFonts w:hint="eastAsia" w:ascii="仿宋" w:hAnsi="仿宋" w:eastAsia="仿宋" w:cs="仿宋"/>
                <w:color w:val="000000"/>
                <w:sz w:val="24"/>
                <w:szCs w:val="24"/>
              </w:rPr>
              <w:t xml:space="preserve">电脑台                                          </w:t>
            </w:r>
          </w:p>
        </w:tc>
        <w:tc>
          <w:tcPr>
            <w:tcW w:w="1559" w:type="dxa"/>
            <w:noWrap w:val="0"/>
            <w:vAlign w:val="center"/>
          </w:tcPr>
          <w:p>
            <w:pPr>
              <w:jc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w:t>
            </w:r>
          </w:p>
        </w:tc>
        <w:tc>
          <w:tcPr>
            <w:tcW w:w="2127" w:type="dxa"/>
            <w:noWrap w:val="0"/>
            <w:vAlign w:val="center"/>
          </w:tcPr>
          <w:p>
            <w:pPr>
              <w:jc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张</w:t>
            </w:r>
          </w:p>
        </w:tc>
      </w:tr>
    </w:tbl>
    <w:p>
      <w:pPr>
        <w:widowControl/>
        <w:jc w:val="left"/>
        <w:rPr>
          <w:rFonts w:ascii="仿宋" w:hAnsi="仿宋" w:eastAsia="仿宋"/>
          <w:b/>
          <w:bCs/>
          <w:sz w:val="28"/>
          <w:szCs w:val="21"/>
        </w:rPr>
      </w:pPr>
    </w:p>
    <w:p>
      <w:pPr>
        <w:widowControl/>
        <w:jc w:val="left"/>
        <w:rPr>
          <w:rFonts w:hint="eastAsia" w:ascii="仿宋" w:hAnsi="仿宋" w:eastAsia="仿宋"/>
          <w:b/>
          <w:bCs/>
          <w:sz w:val="28"/>
          <w:szCs w:val="21"/>
          <w:lang w:eastAsia="zh-CN"/>
        </w:rPr>
      </w:pPr>
      <w:r>
        <w:rPr>
          <w:rFonts w:hint="eastAsia" w:ascii="仿宋" w:hAnsi="仿宋" w:eastAsia="仿宋"/>
          <w:b/>
          <w:bCs/>
          <w:sz w:val="28"/>
          <w:szCs w:val="21"/>
        </w:rPr>
        <w:t>三、技术</w:t>
      </w:r>
      <w:r>
        <w:rPr>
          <w:rFonts w:hint="eastAsia" w:ascii="仿宋" w:hAnsi="仿宋" w:eastAsia="仿宋"/>
          <w:b/>
          <w:bCs/>
          <w:sz w:val="28"/>
          <w:szCs w:val="21"/>
          <w:lang w:val="en-US" w:eastAsia="zh-CN"/>
        </w:rPr>
        <w:t>要求</w:t>
      </w:r>
    </w:p>
    <w:tbl>
      <w:tblPr>
        <w:tblStyle w:val="17"/>
        <w:tblW w:w="86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7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设备名称</w:t>
            </w:r>
          </w:p>
        </w:tc>
        <w:tc>
          <w:tcPr>
            <w:tcW w:w="7241"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招标技术要求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18" w:type="dxa"/>
            <w:vMerge w:val="restart"/>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激光扫描共聚焦显微镜</w:t>
            </w:r>
          </w:p>
        </w:tc>
        <w:tc>
          <w:tcPr>
            <w:tcW w:w="7241"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 w:val="24"/>
                <w:szCs w:val="24"/>
              </w:rPr>
            </w:pPr>
            <w:r>
              <w:rPr>
                <w:rFonts w:hint="eastAsia" w:ascii="仿宋" w:hAnsi="仿宋" w:eastAsia="仿宋" w:cs="仿宋"/>
                <w:color w:val="000000"/>
                <w:sz w:val="24"/>
                <w:szCs w:val="24"/>
              </w:rPr>
              <w:t>1、激光器系统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18" w:type="dxa"/>
            <w:vMerge w:val="continue"/>
            <w:tcBorders>
              <w:top w:val="single" w:color="auto" w:sz="4" w:space="0"/>
              <w:left w:val="single" w:color="auto" w:sz="4" w:space="0"/>
              <w:right w:val="single" w:color="auto" w:sz="4" w:space="0"/>
            </w:tcBorders>
            <w:noWrap w:val="0"/>
            <w:vAlign w:val="center"/>
          </w:tcPr>
          <w:p>
            <w:pPr>
              <w:jc w:val="left"/>
              <w:rPr>
                <w:rFonts w:hint="eastAsia" w:ascii="仿宋" w:hAnsi="仿宋" w:eastAsia="仿宋" w:cs="仿宋"/>
                <w:color w:val="000000"/>
                <w:sz w:val="24"/>
                <w:szCs w:val="24"/>
              </w:rPr>
            </w:pPr>
          </w:p>
        </w:tc>
        <w:tc>
          <w:tcPr>
            <w:tcW w:w="7241"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▲1.1 采用长寿命、高能量、无噪音的固体激光器，覆盖可见光及紫外光：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18" w:type="dxa"/>
            <w:vMerge w:val="continue"/>
            <w:tcBorders>
              <w:top w:val="single" w:color="auto" w:sz="4" w:space="0"/>
              <w:left w:val="single" w:color="auto" w:sz="4" w:space="0"/>
              <w:right w:val="single" w:color="auto" w:sz="4" w:space="0"/>
            </w:tcBorders>
            <w:noWrap w:val="0"/>
            <w:vAlign w:val="center"/>
          </w:tcPr>
          <w:p>
            <w:pPr>
              <w:jc w:val="left"/>
              <w:rPr>
                <w:rFonts w:hint="eastAsia" w:ascii="仿宋" w:hAnsi="仿宋" w:eastAsia="仿宋" w:cs="仿宋"/>
                <w:color w:val="000000"/>
                <w:sz w:val="24"/>
                <w:szCs w:val="24"/>
              </w:rPr>
            </w:pPr>
          </w:p>
        </w:tc>
        <w:tc>
          <w:tcPr>
            <w:tcW w:w="7241"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1.1.1紫外激光器405nm，最大功率≥50mW；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18" w:type="dxa"/>
            <w:vMerge w:val="continue"/>
            <w:tcBorders>
              <w:top w:val="single" w:color="auto" w:sz="4" w:space="0"/>
              <w:left w:val="single" w:color="auto" w:sz="4" w:space="0"/>
              <w:right w:val="single" w:color="auto" w:sz="4" w:space="0"/>
            </w:tcBorders>
            <w:noWrap w:val="0"/>
            <w:vAlign w:val="center"/>
          </w:tcPr>
          <w:p>
            <w:pPr>
              <w:jc w:val="left"/>
              <w:rPr>
                <w:rFonts w:hint="eastAsia" w:ascii="仿宋" w:hAnsi="仿宋" w:eastAsia="仿宋" w:cs="仿宋"/>
                <w:color w:val="000000"/>
                <w:sz w:val="24"/>
                <w:szCs w:val="24"/>
              </w:rPr>
            </w:pPr>
          </w:p>
        </w:tc>
        <w:tc>
          <w:tcPr>
            <w:tcW w:w="7241"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1.1.2蓝光激光器488nm，最大功率≥20mW；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18" w:type="dxa"/>
            <w:vMerge w:val="continue"/>
            <w:tcBorders>
              <w:top w:val="single" w:color="auto" w:sz="4" w:space="0"/>
              <w:left w:val="single" w:color="auto" w:sz="4" w:space="0"/>
              <w:right w:val="single" w:color="auto" w:sz="4" w:space="0"/>
            </w:tcBorders>
            <w:noWrap w:val="0"/>
            <w:vAlign w:val="center"/>
          </w:tcPr>
          <w:p>
            <w:pPr>
              <w:jc w:val="left"/>
              <w:rPr>
                <w:rFonts w:hint="eastAsia" w:ascii="仿宋" w:hAnsi="仿宋" w:eastAsia="仿宋" w:cs="仿宋"/>
                <w:color w:val="000000"/>
                <w:sz w:val="24"/>
                <w:szCs w:val="24"/>
              </w:rPr>
            </w:pPr>
          </w:p>
        </w:tc>
        <w:tc>
          <w:tcPr>
            <w:tcW w:w="7241"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1.1.3绿光激光器561nm，最大功率≥20mW；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1418" w:type="dxa"/>
            <w:vMerge w:val="continue"/>
            <w:tcBorders>
              <w:top w:val="single" w:color="auto" w:sz="4" w:space="0"/>
              <w:left w:val="single" w:color="auto" w:sz="4" w:space="0"/>
              <w:right w:val="single" w:color="auto" w:sz="4" w:space="0"/>
            </w:tcBorders>
            <w:noWrap w:val="0"/>
            <w:vAlign w:val="center"/>
          </w:tcPr>
          <w:p>
            <w:pPr>
              <w:jc w:val="left"/>
              <w:rPr>
                <w:rFonts w:hint="eastAsia" w:ascii="仿宋" w:hAnsi="仿宋" w:eastAsia="仿宋" w:cs="仿宋"/>
                <w:color w:val="000000"/>
                <w:sz w:val="24"/>
                <w:szCs w:val="24"/>
              </w:rPr>
            </w:pPr>
          </w:p>
        </w:tc>
        <w:tc>
          <w:tcPr>
            <w:tcW w:w="7241"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1.1.4近红外激光器639nm，最大功率≥30mW；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18" w:type="dxa"/>
            <w:vMerge w:val="continue"/>
            <w:tcBorders>
              <w:top w:val="single" w:color="auto" w:sz="4" w:space="0"/>
              <w:left w:val="single" w:color="auto" w:sz="4" w:space="0"/>
              <w:right w:val="single" w:color="auto" w:sz="4" w:space="0"/>
            </w:tcBorders>
            <w:noWrap w:val="0"/>
            <w:vAlign w:val="center"/>
          </w:tcPr>
          <w:p>
            <w:pPr>
              <w:jc w:val="left"/>
              <w:rPr>
                <w:rFonts w:hint="eastAsia" w:ascii="仿宋" w:hAnsi="仿宋" w:eastAsia="仿宋" w:cs="仿宋"/>
                <w:color w:val="000000"/>
                <w:sz w:val="24"/>
                <w:szCs w:val="24"/>
              </w:rPr>
            </w:pPr>
          </w:p>
        </w:tc>
        <w:tc>
          <w:tcPr>
            <w:tcW w:w="7241"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1.2 激光器开闭和电压调节由计算机的激光共聚焦扫描软件系统控制，与整个系统偶合程度高，电噪声小，安全，并有良好的激光管寿命保护装置。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18" w:type="dxa"/>
            <w:vMerge w:val="continue"/>
            <w:tcBorders>
              <w:top w:val="single" w:color="auto" w:sz="4" w:space="0"/>
              <w:left w:val="single" w:color="auto" w:sz="4" w:space="0"/>
              <w:right w:val="single" w:color="auto" w:sz="4" w:space="0"/>
            </w:tcBorders>
            <w:noWrap w:val="0"/>
            <w:vAlign w:val="center"/>
          </w:tcPr>
          <w:p>
            <w:pPr>
              <w:jc w:val="left"/>
              <w:rPr>
                <w:rFonts w:hint="eastAsia" w:ascii="仿宋" w:hAnsi="仿宋" w:eastAsia="仿宋" w:cs="仿宋"/>
                <w:color w:val="000000"/>
                <w:sz w:val="24"/>
                <w:szCs w:val="24"/>
              </w:rPr>
            </w:pPr>
          </w:p>
        </w:tc>
        <w:tc>
          <w:tcPr>
            <w:tcW w:w="7241"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2、扫描检测系统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18" w:type="dxa"/>
            <w:vMerge w:val="continue"/>
            <w:tcBorders>
              <w:top w:val="single" w:color="auto" w:sz="4" w:space="0"/>
              <w:left w:val="single" w:color="auto" w:sz="4" w:space="0"/>
              <w:right w:val="single" w:color="auto" w:sz="4" w:space="0"/>
            </w:tcBorders>
            <w:noWrap w:val="0"/>
            <w:vAlign w:val="center"/>
          </w:tcPr>
          <w:p>
            <w:pPr>
              <w:jc w:val="left"/>
              <w:rPr>
                <w:rFonts w:hint="eastAsia" w:ascii="仿宋" w:hAnsi="仿宋" w:eastAsia="仿宋" w:cs="仿宋"/>
                <w:color w:val="000000"/>
                <w:sz w:val="24"/>
                <w:szCs w:val="24"/>
              </w:rPr>
            </w:pPr>
          </w:p>
        </w:tc>
        <w:tc>
          <w:tcPr>
            <w:tcW w:w="7241"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2.1 扫描光学模块包含显微镜和扫描头上的完整扫描光学元件，一体化像差及色差校正，以保证高质量，高分辨率成像。软件对硬件的有效控制，使系统有优异的稳定性及可维护性。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18" w:type="dxa"/>
            <w:vMerge w:val="continue"/>
            <w:tcBorders>
              <w:top w:val="single" w:color="auto" w:sz="4" w:space="0"/>
              <w:left w:val="single" w:color="auto" w:sz="4" w:space="0"/>
              <w:right w:val="single" w:color="auto" w:sz="4" w:space="0"/>
            </w:tcBorders>
            <w:noWrap w:val="0"/>
            <w:vAlign w:val="center"/>
          </w:tcPr>
          <w:p>
            <w:pPr>
              <w:jc w:val="left"/>
              <w:rPr>
                <w:rFonts w:hint="eastAsia" w:ascii="仿宋" w:hAnsi="仿宋" w:eastAsia="仿宋" w:cs="仿宋"/>
                <w:color w:val="000000"/>
                <w:sz w:val="24"/>
                <w:szCs w:val="24"/>
              </w:rPr>
            </w:pPr>
          </w:p>
        </w:tc>
        <w:tc>
          <w:tcPr>
            <w:tcW w:w="7241"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2.2 能够进行X、Y、Z、T、λ（光谱波长）、θ（旋转角度）、I（光强度）、A（区域）等多维组合扫描，可实现点扫描、线扫描、曲线扫描、区域扫描、光谱波长扫描等。可最多同时进行5个荧光信号外加1个透射光的的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18" w:type="dxa"/>
            <w:vMerge w:val="continue"/>
            <w:tcBorders>
              <w:top w:val="single" w:color="auto" w:sz="4" w:space="0"/>
              <w:left w:val="single" w:color="auto" w:sz="4" w:space="0"/>
              <w:right w:val="single" w:color="auto" w:sz="4" w:space="0"/>
            </w:tcBorders>
            <w:noWrap w:val="0"/>
            <w:vAlign w:val="center"/>
          </w:tcPr>
          <w:p>
            <w:pPr>
              <w:jc w:val="left"/>
              <w:rPr>
                <w:rFonts w:hint="eastAsia" w:ascii="仿宋" w:hAnsi="仿宋" w:eastAsia="仿宋" w:cs="仿宋"/>
                <w:color w:val="000000"/>
                <w:sz w:val="24"/>
                <w:szCs w:val="24"/>
              </w:rPr>
            </w:pPr>
          </w:p>
        </w:tc>
        <w:tc>
          <w:tcPr>
            <w:tcW w:w="7241"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▲2.3高效率棱镜分光系统，分光效率≥94%，连续检测荧光波长范围410～850nm，光谱分辨率≤1nm；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18" w:type="dxa"/>
            <w:vMerge w:val="continue"/>
            <w:tcBorders>
              <w:top w:val="single" w:color="auto" w:sz="4" w:space="0"/>
              <w:left w:val="single" w:color="auto" w:sz="4" w:space="0"/>
              <w:right w:val="single" w:color="auto" w:sz="4" w:space="0"/>
            </w:tcBorders>
            <w:noWrap w:val="0"/>
            <w:vAlign w:val="center"/>
          </w:tcPr>
          <w:p>
            <w:pPr>
              <w:jc w:val="left"/>
              <w:rPr>
                <w:rFonts w:hint="eastAsia" w:ascii="仿宋" w:hAnsi="仿宋" w:eastAsia="仿宋" w:cs="仿宋"/>
                <w:color w:val="000000"/>
                <w:sz w:val="24"/>
                <w:szCs w:val="24"/>
              </w:rPr>
            </w:pPr>
          </w:p>
        </w:tc>
        <w:tc>
          <w:tcPr>
            <w:tcW w:w="7241"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▲2.4 可见光专用光学扫描部件，波长校正范围410～850nm；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18" w:type="dxa"/>
            <w:vMerge w:val="continue"/>
            <w:tcBorders>
              <w:top w:val="single" w:color="auto" w:sz="4" w:space="0"/>
              <w:left w:val="single" w:color="auto" w:sz="4" w:space="0"/>
              <w:right w:val="single" w:color="auto" w:sz="4" w:space="0"/>
            </w:tcBorders>
            <w:noWrap w:val="0"/>
            <w:vAlign w:val="center"/>
          </w:tcPr>
          <w:p>
            <w:pPr>
              <w:jc w:val="left"/>
              <w:rPr>
                <w:rFonts w:hint="eastAsia" w:ascii="仿宋" w:hAnsi="仿宋" w:eastAsia="仿宋" w:cs="仿宋"/>
                <w:color w:val="000000"/>
                <w:sz w:val="24"/>
                <w:szCs w:val="24"/>
              </w:rPr>
            </w:pPr>
          </w:p>
        </w:tc>
        <w:tc>
          <w:tcPr>
            <w:tcW w:w="7241"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▲2.5 最大扫描视场对角线≥22mm；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18" w:type="dxa"/>
            <w:vMerge w:val="continue"/>
            <w:tcBorders>
              <w:top w:val="single" w:color="auto" w:sz="4" w:space="0"/>
              <w:left w:val="single" w:color="auto" w:sz="4" w:space="0"/>
              <w:right w:val="single" w:color="auto" w:sz="4" w:space="0"/>
            </w:tcBorders>
            <w:noWrap w:val="0"/>
            <w:vAlign w:val="center"/>
          </w:tcPr>
          <w:p>
            <w:pPr>
              <w:jc w:val="left"/>
              <w:rPr>
                <w:rFonts w:hint="eastAsia" w:ascii="仿宋" w:hAnsi="仿宋" w:eastAsia="仿宋" w:cs="仿宋"/>
                <w:color w:val="000000"/>
                <w:sz w:val="24"/>
                <w:szCs w:val="24"/>
              </w:rPr>
            </w:pPr>
          </w:p>
        </w:tc>
        <w:tc>
          <w:tcPr>
            <w:tcW w:w="7241"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▲2.6高分辨率扫描振镜：扫描速度≥10fps（512 x 512分辨率）；双向扫描速度≥5200线/秒；最大扫描分辨率≥8192 x 8192；扫描速度调节步进1Hz，不少于100档扫描速度调节；光学扫描放大0.75X～48X，连续可调；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18" w:type="dxa"/>
            <w:vMerge w:val="continue"/>
            <w:tcBorders>
              <w:top w:val="single" w:color="auto" w:sz="4" w:space="0"/>
              <w:left w:val="single" w:color="auto" w:sz="4" w:space="0"/>
              <w:right w:val="single" w:color="auto" w:sz="4" w:space="0"/>
            </w:tcBorders>
            <w:noWrap w:val="0"/>
            <w:vAlign w:val="center"/>
          </w:tcPr>
          <w:p>
            <w:pPr>
              <w:jc w:val="left"/>
              <w:rPr>
                <w:rFonts w:hint="eastAsia" w:ascii="仿宋" w:hAnsi="仿宋" w:eastAsia="仿宋" w:cs="仿宋"/>
                <w:color w:val="000000"/>
                <w:sz w:val="24"/>
                <w:szCs w:val="24"/>
              </w:rPr>
            </w:pPr>
          </w:p>
        </w:tc>
        <w:tc>
          <w:tcPr>
            <w:tcW w:w="7241"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2.7内置光谱型荧光检测器≥3个，所有检测器均为超高灵敏度硅基阵列混合型检测器，500nm处探测效率≥58%，所有检测器均支持光子计数模式，模拟模式和反射光模式，光子计数模式时间分辨率&lt;100ps，模拟模式采样频率≥80MHz，能结合光电子脉冲信号的宽度，进行0-1-2光子的精确计数，适合高速高亮度的光子计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18" w:type="dxa"/>
            <w:vMerge w:val="continue"/>
            <w:tcBorders>
              <w:top w:val="single" w:color="auto" w:sz="4" w:space="0"/>
              <w:left w:val="single" w:color="auto" w:sz="4" w:space="0"/>
              <w:right w:val="single" w:color="auto" w:sz="4" w:space="0"/>
            </w:tcBorders>
            <w:noWrap w:val="0"/>
            <w:vAlign w:val="center"/>
          </w:tcPr>
          <w:p>
            <w:pPr>
              <w:jc w:val="left"/>
              <w:rPr>
                <w:rFonts w:hint="eastAsia" w:ascii="仿宋" w:hAnsi="仿宋" w:eastAsia="仿宋" w:cs="仿宋"/>
                <w:color w:val="000000"/>
                <w:sz w:val="24"/>
                <w:szCs w:val="24"/>
              </w:rPr>
            </w:pPr>
          </w:p>
        </w:tc>
        <w:tc>
          <w:tcPr>
            <w:tcW w:w="7241"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2.8配有</w:t>
            </w:r>
            <w:r>
              <w:rPr>
                <w:rFonts w:hint="eastAsia" w:ascii="仿宋" w:hAnsi="仿宋" w:eastAsia="仿宋" w:cs="仿宋"/>
                <w:color w:val="000000"/>
                <w:sz w:val="24"/>
                <w:szCs w:val="24"/>
                <w:lang w:val="en-US" w:eastAsia="zh-CN"/>
              </w:rPr>
              <w:t>至少</w:t>
            </w:r>
            <w:r>
              <w:rPr>
                <w:rFonts w:hint="eastAsia" w:ascii="仿宋" w:hAnsi="仿宋" w:eastAsia="仿宋" w:cs="仿宋"/>
                <w:color w:val="000000"/>
                <w:sz w:val="24"/>
                <w:szCs w:val="24"/>
              </w:rPr>
              <w:t>1个透射光明场检测器；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18" w:type="dxa"/>
            <w:vMerge w:val="continue"/>
            <w:tcBorders>
              <w:top w:val="single" w:color="auto" w:sz="4" w:space="0"/>
              <w:left w:val="single" w:color="auto" w:sz="4" w:space="0"/>
              <w:right w:val="single" w:color="auto" w:sz="4" w:space="0"/>
            </w:tcBorders>
            <w:noWrap w:val="0"/>
            <w:vAlign w:val="center"/>
          </w:tcPr>
          <w:p>
            <w:pPr>
              <w:jc w:val="left"/>
              <w:rPr>
                <w:rFonts w:hint="eastAsia" w:ascii="仿宋" w:hAnsi="仿宋" w:eastAsia="仿宋" w:cs="仿宋"/>
                <w:color w:val="000000"/>
                <w:sz w:val="24"/>
                <w:szCs w:val="24"/>
              </w:rPr>
            </w:pPr>
          </w:p>
        </w:tc>
        <w:tc>
          <w:tcPr>
            <w:tcW w:w="7241"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3、激光共聚焦高分辨率系统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18" w:type="dxa"/>
            <w:vMerge w:val="continue"/>
            <w:tcBorders>
              <w:top w:val="single" w:color="auto" w:sz="4" w:space="0"/>
              <w:left w:val="single" w:color="auto" w:sz="4" w:space="0"/>
              <w:right w:val="single" w:color="auto" w:sz="4" w:space="0"/>
            </w:tcBorders>
            <w:noWrap w:val="0"/>
            <w:vAlign w:val="center"/>
          </w:tcPr>
          <w:p>
            <w:pPr>
              <w:jc w:val="left"/>
              <w:rPr>
                <w:rFonts w:hint="eastAsia" w:ascii="仿宋" w:hAnsi="仿宋" w:eastAsia="仿宋" w:cs="仿宋"/>
                <w:color w:val="000000"/>
                <w:sz w:val="24"/>
                <w:szCs w:val="24"/>
              </w:rPr>
            </w:pPr>
          </w:p>
        </w:tc>
        <w:tc>
          <w:tcPr>
            <w:tcW w:w="7241"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▲3.1成像分辨率：XY方向≤120nm，Z方向≤200nm，在高分辨率模式下支持在线大视野拼图；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18" w:type="dxa"/>
            <w:vMerge w:val="continue"/>
            <w:tcBorders>
              <w:top w:val="single" w:color="auto" w:sz="4" w:space="0"/>
              <w:left w:val="single" w:color="auto" w:sz="4" w:space="0"/>
              <w:right w:val="single" w:color="auto" w:sz="4" w:space="0"/>
            </w:tcBorders>
            <w:noWrap w:val="0"/>
            <w:vAlign w:val="center"/>
          </w:tcPr>
          <w:p>
            <w:pPr>
              <w:jc w:val="left"/>
              <w:rPr>
                <w:rFonts w:hint="eastAsia" w:ascii="仿宋" w:hAnsi="仿宋" w:eastAsia="仿宋" w:cs="仿宋"/>
                <w:color w:val="000000"/>
                <w:sz w:val="24"/>
                <w:szCs w:val="24"/>
              </w:rPr>
            </w:pPr>
          </w:p>
        </w:tc>
        <w:tc>
          <w:tcPr>
            <w:tcW w:w="7241"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▲3.2检测器为超高灵敏度的硅基64阵列混合型检测器，可进行光谱式成像，光谱检测范围410-850nm；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18" w:type="dxa"/>
            <w:vMerge w:val="continue"/>
            <w:tcBorders>
              <w:top w:val="single" w:color="auto" w:sz="4" w:space="0"/>
              <w:left w:val="single" w:color="auto" w:sz="4" w:space="0"/>
              <w:right w:val="single" w:color="auto" w:sz="4" w:space="0"/>
            </w:tcBorders>
            <w:noWrap w:val="0"/>
            <w:vAlign w:val="center"/>
          </w:tcPr>
          <w:p>
            <w:pPr>
              <w:jc w:val="left"/>
              <w:rPr>
                <w:rFonts w:hint="eastAsia" w:ascii="仿宋" w:hAnsi="仿宋" w:eastAsia="仿宋" w:cs="仿宋"/>
                <w:color w:val="000000"/>
                <w:sz w:val="24"/>
                <w:szCs w:val="24"/>
              </w:rPr>
            </w:pPr>
          </w:p>
        </w:tc>
        <w:tc>
          <w:tcPr>
            <w:tcW w:w="7241"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▲3.3同一个实验中可实现蓝、绿、红、红外等任意3种颜色的超分辨率同时成像，可实现多达20种颜色的超分辨率序列成像；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18" w:type="dxa"/>
            <w:vMerge w:val="continue"/>
            <w:tcBorders>
              <w:top w:val="single" w:color="auto" w:sz="4" w:space="0"/>
              <w:left w:val="single" w:color="auto" w:sz="4" w:space="0"/>
              <w:right w:val="single" w:color="auto" w:sz="4" w:space="0"/>
            </w:tcBorders>
            <w:noWrap w:val="0"/>
            <w:vAlign w:val="center"/>
          </w:tcPr>
          <w:p>
            <w:pPr>
              <w:jc w:val="left"/>
              <w:rPr>
                <w:rFonts w:hint="eastAsia" w:ascii="仿宋" w:hAnsi="仿宋" w:eastAsia="仿宋" w:cs="仿宋"/>
                <w:color w:val="000000"/>
                <w:sz w:val="24"/>
                <w:szCs w:val="24"/>
              </w:rPr>
            </w:pPr>
          </w:p>
        </w:tc>
        <w:tc>
          <w:tcPr>
            <w:tcW w:w="7241"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3.4所有适合配置激光器激发的荧光样品均可进行高分辨率成像，无需选择特殊荧光抗体及试剂；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18" w:type="dxa"/>
            <w:vMerge w:val="continue"/>
            <w:tcBorders>
              <w:top w:val="single" w:color="auto" w:sz="4" w:space="0"/>
              <w:left w:val="single" w:color="auto" w:sz="4" w:space="0"/>
              <w:right w:val="single" w:color="auto" w:sz="4" w:space="0"/>
            </w:tcBorders>
            <w:noWrap w:val="0"/>
            <w:vAlign w:val="center"/>
          </w:tcPr>
          <w:p>
            <w:pPr>
              <w:jc w:val="left"/>
              <w:rPr>
                <w:rFonts w:hint="eastAsia" w:ascii="仿宋" w:hAnsi="仿宋" w:eastAsia="仿宋" w:cs="仿宋"/>
                <w:color w:val="000000"/>
                <w:sz w:val="24"/>
                <w:szCs w:val="24"/>
              </w:rPr>
            </w:pPr>
          </w:p>
        </w:tc>
        <w:tc>
          <w:tcPr>
            <w:tcW w:w="7241"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▲3.5同一样品具有与激光共聚焦相同的成像深度，最大成像深度（样品无需透明化处理）≥150μm；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18" w:type="dxa"/>
            <w:vMerge w:val="continue"/>
            <w:tcBorders>
              <w:top w:val="single" w:color="auto" w:sz="4" w:space="0"/>
              <w:left w:val="single" w:color="auto" w:sz="4" w:space="0"/>
              <w:right w:val="single" w:color="auto" w:sz="4" w:space="0"/>
            </w:tcBorders>
            <w:noWrap w:val="0"/>
            <w:vAlign w:val="center"/>
          </w:tcPr>
          <w:p>
            <w:pPr>
              <w:jc w:val="left"/>
              <w:rPr>
                <w:rFonts w:hint="eastAsia" w:ascii="仿宋" w:hAnsi="仿宋" w:eastAsia="仿宋" w:cs="仿宋"/>
                <w:color w:val="000000"/>
                <w:sz w:val="24"/>
                <w:szCs w:val="24"/>
              </w:rPr>
            </w:pPr>
          </w:p>
        </w:tc>
        <w:tc>
          <w:tcPr>
            <w:tcW w:w="7241"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3.6高分辨率成像为线性成像，所有高分辨率成像均可用作定量分析，如荧光强度分析、FRAP分析、FRET分析等；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18" w:type="dxa"/>
            <w:vMerge w:val="continue"/>
            <w:tcBorders>
              <w:top w:val="single" w:color="auto" w:sz="4" w:space="0"/>
              <w:left w:val="single" w:color="auto" w:sz="4" w:space="0"/>
              <w:right w:val="single" w:color="auto" w:sz="4" w:space="0"/>
            </w:tcBorders>
            <w:noWrap w:val="0"/>
            <w:vAlign w:val="center"/>
          </w:tcPr>
          <w:p>
            <w:pPr>
              <w:jc w:val="left"/>
              <w:rPr>
                <w:rFonts w:hint="eastAsia" w:ascii="仿宋" w:hAnsi="仿宋" w:eastAsia="仿宋" w:cs="仿宋"/>
                <w:color w:val="000000"/>
                <w:sz w:val="24"/>
                <w:szCs w:val="24"/>
              </w:rPr>
            </w:pPr>
          </w:p>
        </w:tc>
        <w:tc>
          <w:tcPr>
            <w:tcW w:w="7241"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4、光学显微镜系统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18" w:type="dxa"/>
            <w:vMerge w:val="continue"/>
            <w:tcBorders>
              <w:top w:val="single" w:color="auto" w:sz="4" w:space="0"/>
              <w:left w:val="single" w:color="auto" w:sz="4" w:space="0"/>
              <w:right w:val="single" w:color="auto" w:sz="4" w:space="0"/>
            </w:tcBorders>
            <w:noWrap w:val="0"/>
            <w:vAlign w:val="center"/>
          </w:tcPr>
          <w:p>
            <w:pPr>
              <w:jc w:val="left"/>
              <w:rPr>
                <w:rFonts w:hint="eastAsia" w:ascii="仿宋" w:hAnsi="仿宋" w:eastAsia="仿宋" w:cs="仿宋"/>
                <w:color w:val="000000"/>
                <w:sz w:val="24"/>
                <w:szCs w:val="24"/>
              </w:rPr>
            </w:pPr>
          </w:p>
        </w:tc>
        <w:tc>
          <w:tcPr>
            <w:tcW w:w="7241"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4.1共聚焦级别的倒置研究显微镜：具有闭环反馈调节机制，可实现高精度定位，具备明场、荧光观察功能，可通过彩色触摸屏、遥控器、机身按钮、共聚焦软件来控制；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18" w:type="dxa"/>
            <w:vMerge w:val="continue"/>
            <w:tcBorders>
              <w:top w:val="single" w:color="auto" w:sz="4" w:space="0"/>
              <w:left w:val="single" w:color="auto" w:sz="4" w:space="0"/>
              <w:right w:val="single" w:color="auto" w:sz="4" w:space="0"/>
            </w:tcBorders>
            <w:noWrap w:val="0"/>
            <w:vAlign w:val="center"/>
          </w:tcPr>
          <w:p>
            <w:pPr>
              <w:jc w:val="left"/>
              <w:rPr>
                <w:rFonts w:hint="eastAsia" w:ascii="仿宋" w:hAnsi="仿宋" w:eastAsia="仿宋" w:cs="仿宋"/>
                <w:color w:val="000000"/>
                <w:sz w:val="24"/>
                <w:szCs w:val="24"/>
              </w:rPr>
            </w:pPr>
          </w:p>
        </w:tc>
        <w:tc>
          <w:tcPr>
            <w:tcW w:w="7241"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4.2显微镜透射光源：LED光源，色温恒定4500K；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18" w:type="dxa"/>
            <w:vMerge w:val="continue"/>
            <w:tcBorders>
              <w:top w:val="single" w:color="auto" w:sz="4" w:space="0"/>
              <w:left w:val="single" w:color="auto" w:sz="4" w:space="0"/>
              <w:right w:val="single" w:color="auto" w:sz="4" w:space="0"/>
            </w:tcBorders>
            <w:noWrap w:val="0"/>
            <w:vAlign w:val="center"/>
          </w:tcPr>
          <w:p>
            <w:pPr>
              <w:jc w:val="left"/>
              <w:rPr>
                <w:rFonts w:hint="eastAsia" w:ascii="仿宋" w:hAnsi="仿宋" w:eastAsia="仿宋" w:cs="仿宋"/>
                <w:color w:val="000000"/>
                <w:sz w:val="24"/>
                <w:szCs w:val="24"/>
              </w:rPr>
            </w:pPr>
          </w:p>
        </w:tc>
        <w:tc>
          <w:tcPr>
            <w:tcW w:w="7241"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▲4.3镜体电动Z轴调焦，步进精度≤5nm，调焦行程≥12mm；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18" w:type="dxa"/>
            <w:vMerge w:val="continue"/>
            <w:tcBorders>
              <w:top w:val="single" w:color="auto" w:sz="4" w:space="0"/>
              <w:left w:val="single" w:color="auto" w:sz="4" w:space="0"/>
              <w:right w:val="single" w:color="auto" w:sz="4" w:space="0"/>
            </w:tcBorders>
            <w:noWrap w:val="0"/>
            <w:vAlign w:val="center"/>
          </w:tcPr>
          <w:p>
            <w:pPr>
              <w:jc w:val="left"/>
              <w:rPr>
                <w:rFonts w:hint="eastAsia" w:ascii="仿宋" w:hAnsi="仿宋" w:eastAsia="仿宋" w:cs="仿宋"/>
                <w:color w:val="000000"/>
                <w:sz w:val="24"/>
                <w:szCs w:val="24"/>
              </w:rPr>
            </w:pPr>
          </w:p>
        </w:tc>
        <w:tc>
          <w:tcPr>
            <w:tcW w:w="7241"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4.4 电动6位物镜转换器，带有防水保护装置；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18" w:type="dxa"/>
            <w:vMerge w:val="continue"/>
            <w:tcBorders>
              <w:top w:val="single" w:color="auto" w:sz="4" w:space="0"/>
              <w:left w:val="single" w:color="auto" w:sz="4" w:space="0"/>
              <w:right w:val="single" w:color="auto" w:sz="4" w:space="0"/>
            </w:tcBorders>
            <w:noWrap w:val="0"/>
            <w:vAlign w:val="center"/>
          </w:tcPr>
          <w:p>
            <w:pPr>
              <w:jc w:val="left"/>
              <w:rPr>
                <w:rFonts w:hint="eastAsia" w:ascii="仿宋" w:hAnsi="仿宋" w:eastAsia="仿宋" w:cs="仿宋"/>
                <w:color w:val="000000"/>
                <w:sz w:val="24"/>
                <w:szCs w:val="24"/>
              </w:rPr>
            </w:pPr>
          </w:p>
        </w:tc>
        <w:tc>
          <w:tcPr>
            <w:tcW w:w="7241"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4.5电动聚光镜，电动照明光轴，电动调节透射光和荧光的孔径光阑和视场光阑；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18" w:type="dxa"/>
            <w:vMerge w:val="continue"/>
            <w:tcBorders>
              <w:top w:val="single" w:color="auto" w:sz="4" w:space="0"/>
              <w:left w:val="single" w:color="auto" w:sz="4" w:space="0"/>
              <w:right w:val="single" w:color="auto" w:sz="4" w:space="0"/>
            </w:tcBorders>
            <w:noWrap w:val="0"/>
            <w:vAlign w:val="center"/>
          </w:tcPr>
          <w:p>
            <w:pPr>
              <w:jc w:val="left"/>
              <w:rPr>
                <w:rFonts w:hint="eastAsia" w:ascii="仿宋" w:hAnsi="仿宋" w:eastAsia="仿宋" w:cs="仿宋"/>
                <w:color w:val="000000"/>
                <w:sz w:val="24"/>
                <w:szCs w:val="24"/>
              </w:rPr>
            </w:pPr>
          </w:p>
        </w:tc>
        <w:tc>
          <w:tcPr>
            <w:tcW w:w="7241"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4.6长寿命荧光光源，工作寿命≥2000小时，光纤导光，对镜体无热辐射；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18" w:type="dxa"/>
            <w:vMerge w:val="continue"/>
            <w:tcBorders>
              <w:top w:val="single" w:color="auto" w:sz="4" w:space="0"/>
              <w:left w:val="single" w:color="auto" w:sz="4" w:space="0"/>
              <w:right w:val="single" w:color="auto" w:sz="4" w:space="0"/>
            </w:tcBorders>
            <w:noWrap w:val="0"/>
            <w:vAlign w:val="center"/>
          </w:tcPr>
          <w:p>
            <w:pPr>
              <w:jc w:val="left"/>
              <w:rPr>
                <w:rFonts w:hint="eastAsia" w:ascii="仿宋" w:hAnsi="仿宋" w:eastAsia="仿宋" w:cs="仿宋"/>
                <w:color w:val="000000"/>
                <w:sz w:val="24"/>
                <w:szCs w:val="24"/>
              </w:rPr>
            </w:pPr>
          </w:p>
        </w:tc>
        <w:tc>
          <w:tcPr>
            <w:tcW w:w="7241"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4.7电动6孔荧光滤色块转盘，自动荧光强度管理系统，5档荧光光强调节，12个可调视场光阑；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18" w:type="dxa"/>
            <w:vMerge w:val="continue"/>
            <w:tcBorders>
              <w:top w:val="single" w:color="auto" w:sz="4" w:space="0"/>
              <w:left w:val="single" w:color="auto" w:sz="4" w:space="0"/>
              <w:right w:val="single" w:color="auto" w:sz="4" w:space="0"/>
            </w:tcBorders>
            <w:noWrap w:val="0"/>
            <w:vAlign w:val="center"/>
          </w:tcPr>
          <w:p>
            <w:pPr>
              <w:jc w:val="left"/>
              <w:rPr>
                <w:rFonts w:hint="eastAsia" w:ascii="仿宋" w:hAnsi="仿宋" w:eastAsia="仿宋" w:cs="仿宋"/>
                <w:color w:val="000000"/>
                <w:sz w:val="24"/>
                <w:szCs w:val="24"/>
              </w:rPr>
            </w:pPr>
          </w:p>
        </w:tc>
        <w:tc>
          <w:tcPr>
            <w:tcW w:w="7241"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4.8 配有DAPI、FITC、RHOD带通荧光激发滤块；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18" w:type="dxa"/>
            <w:vMerge w:val="continue"/>
            <w:tcBorders>
              <w:top w:val="single" w:color="auto" w:sz="4" w:space="0"/>
              <w:left w:val="single" w:color="auto" w:sz="4" w:space="0"/>
              <w:right w:val="single" w:color="auto" w:sz="4" w:space="0"/>
            </w:tcBorders>
            <w:noWrap w:val="0"/>
            <w:vAlign w:val="center"/>
          </w:tcPr>
          <w:p>
            <w:pPr>
              <w:jc w:val="left"/>
              <w:rPr>
                <w:rFonts w:hint="eastAsia" w:ascii="仿宋" w:hAnsi="仿宋" w:eastAsia="仿宋" w:cs="仿宋"/>
                <w:color w:val="000000"/>
                <w:sz w:val="24"/>
                <w:szCs w:val="24"/>
              </w:rPr>
            </w:pPr>
          </w:p>
        </w:tc>
        <w:tc>
          <w:tcPr>
            <w:tcW w:w="7241"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4.9宽视野双目观察筒，倾角45º，瞳距调节55-75mm，视场数25mm；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18" w:type="dxa"/>
            <w:vMerge w:val="continue"/>
            <w:tcBorders>
              <w:top w:val="single" w:color="auto" w:sz="4" w:space="0"/>
              <w:left w:val="single" w:color="auto" w:sz="4" w:space="0"/>
              <w:right w:val="single" w:color="auto" w:sz="4" w:space="0"/>
            </w:tcBorders>
            <w:noWrap w:val="0"/>
            <w:vAlign w:val="center"/>
          </w:tcPr>
          <w:p>
            <w:pPr>
              <w:jc w:val="left"/>
              <w:rPr>
                <w:rFonts w:hint="eastAsia" w:ascii="仿宋" w:hAnsi="仿宋" w:eastAsia="仿宋" w:cs="仿宋"/>
                <w:color w:val="000000"/>
                <w:sz w:val="24"/>
                <w:szCs w:val="24"/>
              </w:rPr>
            </w:pPr>
          </w:p>
        </w:tc>
        <w:tc>
          <w:tcPr>
            <w:tcW w:w="7241"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4.10宽视野平场目镜10倍，视场数25mm，屈光度可补偿调节；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18" w:type="dxa"/>
            <w:vMerge w:val="continue"/>
            <w:tcBorders>
              <w:top w:val="single" w:color="auto" w:sz="4" w:space="0"/>
              <w:left w:val="single" w:color="auto" w:sz="4" w:space="0"/>
              <w:right w:val="single" w:color="auto" w:sz="4" w:space="0"/>
            </w:tcBorders>
            <w:noWrap w:val="0"/>
            <w:vAlign w:val="center"/>
          </w:tcPr>
          <w:p>
            <w:pPr>
              <w:jc w:val="left"/>
              <w:rPr>
                <w:rFonts w:hint="eastAsia" w:ascii="仿宋" w:hAnsi="仿宋" w:eastAsia="仿宋" w:cs="仿宋"/>
                <w:color w:val="000000"/>
                <w:sz w:val="24"/>
                <w:szCs w:val="24"/>
              </w:rPr>
            </w:pPr>
          </w:p>
        </w:tc>
        <w:tc>
          <w:tcPr>
            <w:tcW w:w="7241"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4.11物镜采用共聚焦专用物镜，包括：</w:t>
            </w:r>
          </w:p>
          <w:p>
            <w:pPr>
              <w:pStyle w:val="2"/>
              <w:rPr>
                <w:rFonts w:hint="eastAsia" w:ascii="仿宋" w:hAnsi="仿宋" w:eastAsia="仿宋" w:cs="仿宋"/>
                <w:color w:val="000000"/>
                <w:sz w:val="24"/>
                <w:szCs w:val="24"/>
              </w:rPr>
            </w:pPr>
            <w:r>
              <w:rPr>
                <w:rFonts w:hint="eastAsia" w:ascii="仿宋" w:hAnsi="仿宋" w:eastAsia="仿宋" w:cs="仿宋"/>
                <w:color w:val="000000"/>
                <w:sz w:val="24"/>
                <w:szCs w:val="24"/>
              </w:rPr>
              <w:t>10倍共聚焦专用荧石物镜，数值孔径≥0.30；</w:t>
            </w:r>
          </w:p>
          <w:p>
            <w:pPr>
              <w:pStyle w:val="2"/>
              <w:rPr>
                <w:rFonts w:hint="eastAsia" w:ascii="仿宋" w:hAnsi="仿宋" w:eastAsia="仿宋" w:cs="仿宋"/>
                <w:color w:val="000000"/>
                <w:sz w:val="24"/>
                <w:szCs w:val="24"/>
              </w:rPr>
            </w:pPr>
            <w:r>
              <w:rPr>
                <w:rFonts w:hint="eastAsia" w:ascii="仿宋" w:hAnsi="仿宋" w:eastAsia="仿宋" w:cs="仿宋"/>
                <w:color w:val="000000"/>
                <w:sz w:val="24"/>
                <w:szCs w:val="24"/>
              </w:rPr>
              <w:t>20倍共聚焦专用复消色差物镜，数值孔径≥0.75；</w:t>
            </w:r>
          </w:p>
          <w:p>
            <w:pPr>
              <w:pStyle w:val="2"/>
              <w:rPr>
                <w:rFonts w:hint="eastAsia" w:ascii="仿宋" w:hAnsi="仿宋" w:eastAsia="仿宋" w:cs="仿宋"/>
                <w:color w:val="000000"/>
                <w:sz w:val="24"/>
                <w:szCs w:val="24"/>
              </w:rPr>
            </w:pPr>
            <w:r>
              <w:rPr>
                <w:rFonts w:hint="eastAsia" w:ascii="仿宋" w:hAnsi="仿宋" w:eastAsia="仿宋" w:cs="仿宋"/>
                <w:color w:val="000000"/>
                <w:sz w:val="24"/>
                <w:szCs w:val="24"/>
              </w:rPr>
              <w:t>40倍共聚焦专用复消色差物镜，数值孔径≥0.95；</w:t>
            </w:r>
          </w:p>
          <w:p>
            <w:pPr>
              <w:pStyle w:val="2"/>
              <w:rPr>
                <w:rFonts w:hint="eastAsia" w:ascii="仿宋" w:hAnsi="仿宋" w:eastAsia="仿宋" w:cs="仿宋"/>
                <w:color w:val="000000"/>
                <w:sz w:val="24"/>
                <w:szCs w:val="24"/>
              </w:rPr>
            </w:pPr>
            <w:r>
              <w:rPr>
                <w:rFonts w:hint="eastAsia" w:ascii="仿宋" w:hAnsi="仿宋" w:eastAsia="仿宋" w:cs="仿宋"/>
                <w:color w:val="000000"/>
                <w:sz w:val="24"/>
                <w:szCs w:val="24"/>
              </w:rPr>
              <w:t>63倍共聚焦专用复消色差油镜，数值孔径≥1.40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18" w:type="dxa"/>
            <w:vMerge w:val="continue"/>
            <w:tcBorders>
              <w:top w:val="single" w:color="auto" w:sz="4" w:space="0"/>
              <w:left w:val="single" w:color="auto" w:sz="4" w:space="0"/>
              <w:right w:val="single" w:color="auto" w:sz="4" w:space="0"/>
            </w:tcBorders>
            <w:noWrap w:val="0"/>
            <w:vAlign w:val="center"/>
          </w:tcPr>
          <w:p>
            <w:pPr>
              <w:jc w:val="left"/>
              <w:rPr>
                <w:rFonts w:hint="eastAsia" w:ascii="仿宋" w:hAnsi="仿宋" w:eastAsia="仿宋" w:cs="仿宋"/>
                <w:color w:val="000000"/>
                <w:sz w:val="24"/>
                <w:szCs w:val="24"/>
              </w:rPr>
            </w:pPr>
          </w:p>
        </w:tc>
        <w:tc>
          <w:tcPr>
            <w:tcW w:w="7241"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4.12 XY电动扫描载物台，行程83x127mm，通用样品夹，适合直径24-68毫米的培养皿，适合长度120毫米的玻片；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18" w:type="dxa"/>
            <w:vMerge w:val="continue"/>
            <w:tcBorders>
              <w:top w:val="single" w:color="auto" w:sz="4" w:space="0"/>
              <w:left w:val="single" w:color="auto" w:sz="4" w:space="0"/>
              <w:right w:val="single" w:color="auto" w:sz="4" w:space="0"/>
            </w:tcBorders>
            <w:noWrap w:val="0"/>
            <w:vAlign w:val="center"/>
          </w:tcPr>
          <w:p>
            <w:pPr>
              <w:jc w:val="left"/>
              <w:rPr>
                <w:rFonts w:hint="eastAsia" w:ascii="仿宋" w:hAnsi="仿宋" w:eastAsia="仿宋" w:cs="仿宋"/>
                <w:color w:val="000000"/>
                <w:sz w:val="24"/>
                <w:szCs w:val="24"/>
              </w:rPr>
            </w:pPr>
          </w:p>
        </w:tc>
        <w:tc>
          <w:tcPr>
            <w:tcW w:w="7241"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4.13 配有台面≥900x900mm专业倒置显微镜用防震台。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18" w:type="dxa"/>
            <w:vMerge w:val="continue"/>
            <w:tcBorders>
              <w:top w:val="single" w:color="auto" w:sz="4" w:space="0"/>
              <w:left w:val="single" w:color="auto" w:sz="4" w:space="0"/>
              <w:right w:val="single" w:color="auto" w:sz="4" w:space="0"/>
            </w:tcBorders>
            <w:noWrap w:val="0"/>
            <w:vAlign w:val="center"/>
          </w:tcPr>
          <w:p>
            <w:pPr>
              <w:jc w:val="left"/>
              <w:rPr>
                <w:rFonts w:hint="eastAsia" w:ascii="仿宋" w:hAnsi="仿宋" w:eastAsia="仿宋" w:cs="仿宋"/>
                <w:color w:val="000000"/>
                <w:sz w:val="24"/>
                <w:szCs w:val="24"/>
              </w:rPr>
            </w:pPr>
          </w:p>
        </w:tc>
        <w:tc>
          <w:tcPr>
            <w:tcW w:w="7241"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5、图像处理工作站：高性能电脑，配置不低于6核6线程CPU，内存32GB，高性能CUDA GPU显卡2034个内核，显存8GB，37.5英寸4K液晶真彩高亮度显示屏，分辨率3840 x 1600，固态硬盘768GB（256+512GB），硬盘4T，DVD+/- RW刻录，Windows 10 Professional(64位)操作系统；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18" w:type="dxa"/>
            <w:vMerge w:val="continue"/>
            <w:tcBorders>
              <w:top w:val="single" w:color="auto" w:sz="4" w:space="0"/>
              <w:left w:val="single" w:color="auto" w:sz="4" w:space="0"/>
              <w:right w:val="single" w:color="auto" w:sz="4" w:space="0"/>
            </w:tcBorders>
            <w:noWrap w:val="0"/>
            <w:vAlign w:val="center"/>
          </w:tcPr>
          <w:p>
            <w:pPr>
              <w:jc w:val="left"/>
              <w:rPr>
                <w:rFonts w:hint="eastAsia" w:ascii="仿宋" w:hAnsi="仿宋" w:eastAsia="仿宋" w:cs="仿宋"/>
                <w:color w:val="000000"/>
                <w:sz w:val="24"/>
                <w:szCs w:val="24"/>
              </w:rPr>
            </w:pPr>
          </w:p>
        </w:tc>
        <w:tc>
          <w:tcPr>
            <w:tcW w:w="7241"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6、图像处理软件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18" w:type="dxa"/>
            <w:vMerge w:val="continue"/>
            <w:tcBorders>
              <w:top w:val="single" w:color="auto" w:sz="4" w:space="0"/>
              <w:left w:val="single" w:color="auto" w:sz="4" w:space="0"/>
              <w:right w:val="single" w:color="auto" w:sz="4" w:space="0"/>
            </w:tcBorders>
            <w:noWrap w:val="0"/>
            <w:vAlign w:val="center"/>
          </w:tcPr>
          <w:p>
            <w:pPr>
              <w:jc w:val="left"/>
              <w:rPr>
                <w:rFonts w:hint="eastAsia" w:ascii="仿宋" w:hAnsi="仿宋" w:eastAsia="仿宋" w:cs="仿宋"/>
                <w:color w:val="000000"/>
                <w:sz w:val="24"/>
                <w:szCs w:val="24"/>
              </w:rPr>
            </w:pPr>
          </w:p>
        </w:tc>
        <w:tc>
          <w:tcPr>
            <w:tcW w:w="7241"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6.1 专业的软件，用于控制扫描过程和图像处理，使用先进程序语言，程序执行效率高、快、稳定，整个系统程序，包括控制，检测、分析功能设计合理，操作界面友好，操作简便；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18" w:type="dxa"/>
            <w:vMerge w:val="continue"/>
            <w:tcBorders>
              <w:top w:val="single" w:color="auto" w:sz="4" w:space="0"/>
              <w:left w:val="single" w:color="auto" w:sz="4" w:space="0"/>
              <w:right w:val="single" w:color="auto" w:sz="4" w:space="0"/>
            </w:tcBorders>
            <w:noWrap w:val="0"/>
            <w:vAlign w:val="center"/>
          </w:tcPr>
          <w:p>
            <w:pPr>
              <w:jc w:val="left"/>
              <w:rPr>
                <w:rFonts w:hint="eastAsia" w:ascii="仿宋" w:hAnsi="仿宋" w:eastAsia="仿宋" w:cs="仿宋"/>
                <w:color w:val="000000"/>
                <w:sz w:val="24"/>
                <w:szCs w:val="24"/>
              </w:rPr>
            </w:pPr>
          </w:p>
        </w:tc>
        <w:tc>
          <w:tcPr>
            <w:tcW w:w="7241"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6.2 控制硬件的功能：控制电动显微镜、选择激光波长、调节激光强度、拍摄2-5维图像、选择光谱拍摄范围、成像分辨率、实验条件实时记录、一键式恢复等；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18" w:type="dxa"/>
            <w:vMerge w:val="continue"/>
            <w:tcBorders>
              <w:top w:val="single" w:color="auto" w:sz="4" w:space="0"/>
              <w:left w:val="single" w:color="auto" w:sz="4" w:space="0"/>
              <w:right w:val="single" w:color="auto" w:sz="4" w:space="0"/>
            </w:tcBorders>
            <w:noWrap w:val="0"/>
            <w:vAlign w:val="center"/>
          </w:tcPr>
          <w:p>
            <w:pPr>
              <w:jc w:val="left"/>
              <w:rPr>
                <w:rFonts w:hint="eastAsia" w:ascii="仿宋" w:hAnsi="仿宋" w:eastAsia="仿宋" w:cs="仿宋"/>
                <w:color w:val="000000"/>
                <w:sz w:val="24"/>
                <w:szCs w:val="24"/>
              </w:rPr>
            </w:pPr>
          </w:p>
        </w:tc>
        <w:tc>
          <w:tcPr>
            <w:tcW w:w="7241"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6.3 三维重构软件：具有多种三维重构渲染方式，包括最大强度投影、透明、深度标识和阴影投影等方式，允许xy、xz、yz任意角度进行切面观察，可对重构图进行任意角度旋转、平移、放大和缩小，可对每个荧光通道的强度、灰阶、伽马值及透明度进行独立调节，可根据用户需要对不同荧光通道进行颜色分割显示，可将复杂的3D重构效果导出成电影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18" w:type="dxa"/>
            <w:vMerge w:val="continue"/>
            <w:tcBorders>
              <w:top w:val="single" w:color="auto" w:sz="4" w:space="0"/>
              <w:left w:val="single" w:color="auto" w:sz="4" w:space="0"/>
              <w:right w:val="single" w:color="auto" w:sz="4" w:space="0"/>
            </w:tcBorders>
            <w:noWrap w:val="0"/>
            <w:vAlign w:val="center"/>
          </w:tcPr>
          <w:p>
            <w:pPr>
              <w:jc w:val="left"/>
              <w:rPr>
                <w:rFonts w:hint="eastAsia" w:ascii="仿宋" w:hAnsi="仿宋" w:eastAsia="仿宋" w:cs="仿宋"/>
                <w:color w:val="000000"/>
                <w:sz w:val="24"/>
                <w:szCs w:val="24"/>
              </w:rPr>
            </w:pPr>
          </w:p>
        </w:tc>
        <w:tc>
          <w:tcPr>
            <w:tcW w:w="7241"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6.4 共定位分析软件：通过散点图法对双色荧光数据进行共定位分析，可分别对每个通道的背景及阈值进行调节，得出共定位百分比及皮尔森相关系数等统计数据，数据可导出至Excel表格；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18" w:type="dxa"/>
            <w:vMerge w:val="continue"/>
            <w:tcBorders>
              <w:top w:val="single" w:color="auto" w:sz="4" w:space="0"/>
              <w:left w:val="single" w:color="auto" w:sz="4" w:space="0"/>
              <w:right w:val="single" w:color="auto" w:sz="4" w:space="0"/>
            </w:tcBorders>
            <w:noWrap w:val="0"/>
            <w:vAlign w:val="center"/>
          </w:tcPr>
          <w:p>
            <w:pPr>
              <w:jc w:val="left"/>
              <w:rPr>
                <w:rFonts w:hint="eastAsia" w:ascii="仿宋" w:hAnsi="仿宋" w:eastAsia="仿宋" w:cs="仿宋"/>
                <w:color w:val="000000"/>
                <w:sz w:val="24"/>
                <w:szCs w:val="24"/>
              </w:rPr>
            </w:pPr>
          </w:p>
        </w:tc>
        <w:tc>
          <w:tcPr>
            <w:tcW w:w="7241"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6.5 图像调节亮度、对比度，单个通道分别调节或多个通道同时调节；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18" w:type="dxa"/>
            <w:vMerge w:val="continue"/>
            <w:tcBorders>
              <w:top w:val="single" w:color="auto" w:sz="4" w:space="0"/>
              <w:left w:val="single" w:color="auto" w:sz="4" w:space="0"/>
              <w:right w:val="single" w:color="auto" w:sz="4" w:space="0"/>
            </w:tcBorders>
            <w:noWrap w:val="0"/>
            <w:vAlign w:val="center"/>
          </w:tcPr>
          <w:p>
            <w:pPr>
              <w:jc w:val="left"/>
              <w:rPr>
                <w:rFonts w:hint="eastAsia" w:ascii="仿宋" w:hAnsi="仿宋" w:eastAsia="仿宋" w:cs="仿宋"/>
                <w:color w:val="000000"/>
                <w:sz w:val="24"/>
                <w:szCs w:val="24"/>
              </w:rPr>
            </w:pPr>
          </w:p>
        </w:tc>
        <w:tc>
          <w:tcPr>
            <w:tcW w:w="7241"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6.6 图像处理：旋转、裁剪、多种滤镜、添加标尺、箭头、文字等；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18" w:type="dxa"/>
            <w:vMerge w:val="continue"/>
            <w:tcBorders>
              <w:top w:val="single" w:color="auto" w:sz="4" w:space="0"/>
              <w:left w:val="single" w:color="auto" w:sz="4" w:space="0"/>
              <w:right w:val="single" w:color="auto" w:sz="4" w:space="0"/>
            </w:tcBorders>
            <w:noWrap w:val="0"/>
            <w:vAlign w:val="center"/>
          </w:tcPr>
          <w:p>
            <w:pPr>
              <w:jc w:val="left"/>
              <w:rPr>
                <w:rFonts w:hint="eastAsia" w:ascii="仿宋" w:hAnsi="仿宋" w:eastAsia="仿宋" w:cs="仿宋"/>
                <w:color w:val="000000"/>
                <w:sz w:val="24"/>
                <w:szCs w:val="24"/>
              </w:rPr>
            </w:pPr>
          </w:p>
        </w:tc>
        <w:tc>
          <w:tcPr>
            <w:tcW w:w="7241"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6.7 多功能全标本导航，全标本拼图，能进行自定义ROI形状的拼图，能拼接出长条形或圆形的大图，节省不必需的区域成像，加快拼图速度。能指定不同ROI区域使用不同的物镜进行拼图。能一次性批量化扫描多个标本多个ROI拼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418" w:type="dxa"/>
            <w:vMerge w:val="continue"/>
            <w:tcBorders>
              <w:top w:val="single" w:color="auto" w:sz="4" w:space="0"/>
              <w:left w:val="single" w:color="auto" w:sz="4" w:space="0"/>
              <w:right w:val="single" w:color="auto" w:sz="4" w:space="0"/>
            </w:tcBorders>
            <w:noWrap w:val="0"/>
            <w:vAlign w:val="center"/>
          </w:tcPr>
          <w:p>
            <w:pPr>
              <w:jc w:val="left"/>
              <w:rPr>
                <w:rFonts w:hint="eastAsia" w:ascii="仿宋" w:hAnsi="仿宋" w:eastAsia="仿宋" w:cs="仿宋"/>
                <w:color w:val="000000"/>
                <w:sz w:val="24"/>
                <w:szCs w:val="24"/>
              </w:rPr>
            </w:pPr>
          </w:p>
        </w:tc>
        <w:tc>
          <w:tcPr>
            <w:tcW w:w="7241"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color w:val="000000"/>
                <w:sz w:val="24"/>
                <w:szCs w:val="24"/>
              </w:rPr>
            </w:pPr>
            <w:r>
              <w:rPr>
                <w:rFonts w:hint="eastAsia" w:ascii="仿宋" w:hAnsi="仿宋" w:eastAsia="仿宋" w:cs="仿宋"/>
                <w:color w:val="000000"/>
                <w:sz w:val="24"/>
                <w:szCs w:val="24"/>
              </w:rPr>
              <w:t>6.8 能进行全片无缝拼图扫描，带聚焦地形图功能，能适应标本高低不同的焦面进行多焦点自动对焦及拼图，用户能自定义多个不同的焦点，能结合电动Z轴进行三维拼图，拼接结果能根据需求进行大图三维重建、大图三维叠加；</w:t>
            </w:r>
          </w:p>
        </w:tc>
      </w:tr>
    </w:tbl>
    <w:p>
      <w:pPr>
        <w:widowControl/>
        <w:ind w:firstLine="770" w:firstLineChars="350"/>
        <w:jc w:val="left"/>
        <w:rPr>
          <w:rFonts w:ascii="仿宋" w:hAnsi="仿宋" w:eastAsia="仿宋"/>
          <w:bCs/>
          <w:sz w:val="22"/>
          <w:szCs w:val="21"/>
        </w:rPr>
      </w:pPr>
    </w:p>
    <w:p>
      <w:pPr>
        <w:widowControl/>
        <w:jc w:val="left"/>
        <w:rPr>
          <w:rFonts w:hint="eastAsia" w:ascii="仿宋" w:hAnsi="仿宋" w:eastAsia="仿宋"/>
          <w:b/>
          <w:bCs/>
          <w:sz w:val="28"/>
          <w:szCs w:val="21"/>
          <w:lang w:eastAsia="zh-CN"/>
        </w:rPr>
      </w:pPr>
      <w:r>
        <w:rPr>
          <w:rFonts w:hint="eastAsia" w:ascii="仿宋" w:hAnsi="仿宋" w:eastAsia="仿宋"/>
          <w:b/>
          <w:bCs/>
          <w:sz w:val="28"/>
          <w:szCs w:val="21"/>
        </w:rPr>
        <w:t>四、商务</w:t>
      </w:r>
      <w:r>
        <w:rPr>
          <w:rFonts w:hint="eastAsia" w:ascii="仿宋" w:hAnsi="仿宋" w:eastAsia="仿宋"/>
          <w:b/>
          <w:bCs/>
          <w:sz w:val="28"/>
          <w:szCs w:val="21"/>
          <w:lang w:val="en-US" w:eastAsia="zh-CN"/>
        </w:rPr>
        <w:t>要求</w:t>
      </w:r>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062"/>
        <w:gridCol w:w="6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760" w:type="dxa"/>
            <w:noWrap w:val="0"/>
            <w:vAlign w:val="center"/>
          </w:tcPr>
          <w:p>
            <w:pPr>
              <w:spacing w:line="360" w:lineRule="auto"/>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序号</w:t>
            </w:r>
          </w:p>
        </w:tc>
        <w:tc>
          <w:tcPr>
            <w:tcW w:w="1062" w:type="dxa"/>
            <w:noWrap w:val="0"/>
            <w:vAlign w:val="center"/>
          </w:tcPr>
          <w:p>
            <w:pPr>
              <w:spacing w:line="360" w:lineRule="auto"/>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目录</w:t>
            </w:r>
          </w:p>
        </w:tc>
        <w:tc>
          <w:tcPr>
            <w:tcW w:w="6998" w:type="dxa"/>
            <w:noWrap w:val="0"/>
            <w:vAlign w:val="center"/>
          </w:tcPr>
          <w:p>
            <w:pPr>
              <w:spacing w:line="360" w:lineRule="auto"/>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820" w:type="dxa"/>
            <w:gridSpan w:val="3"/>
            <w:noWrap w:val="0"/>
            <w:vAlign w:val="top"/>
          </w:tcPr>
          <w:p>
            <w:pPr>
              <w:spacing w:line="360" w:lineRule="auto"/>
              <w:rPr>
                <w:rFonts w:hint="eastAsia" w:ascii="仿宋" w:hAnsi="仿宋" w:eastAsia="仿宋" w:cs="仿宋"/>
                <w:b/>
                <w:color w:val="000000"/>
                <w:sz w:val="24"/>
                <w:szCs w:val="24"/>
              </w:rPr>
            </w:pPr>
            <w:r>
              <w:rPr>
                <w:rFonts w:hint="eastAsia" w:ascii="仿宋" w:hAnsi="仿宋" w:eastAsia="仿宋" w:cs="仿宋"/>
                <w:b/>
                <w:color w:val="000000"/>
                <w:sz w:val="24"/>
                <w:szCs w:val="24"/>
              </w:rPr>
              <w:t>（一）免费保修期内售后服务要求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0" w:type="dxa"/>
            <w:vMerge w:val="restart"/>
            <w:noWrap w:val="0"/>
            <w:vAlign w:val="center"/>
          </w:tcPr>
          <w:p>
            <w:pPr>
              <w:spacing w:line="360" w:lineRule="auto"/>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1</w:t>
            </w:r>
          </w:p>
        </w:tc>
        <w:tc>
          <w:tcPr>
            <w:tcW w:w="1062" w:type="dxa"/>
            <w:vMerge w:val="restart"/>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b/>
                <w:color w:val="000000"/>
                <w:kern w:val="0"/>
                <w:sz w:val="24"/>
                <w:szCs w:val="24"/>
              </w:rPr>
              <w:t>维修及维护服务</w:t>
            </w:r>
          </w:p>
        </w:tc>
        <w:tc>
          <w:tcPr>
            <w:tcW w:w="6998" w:type="dxa"/>
            <w:noWrap w:val="0"/>
            <w:vAlign w:val="top"/>
          </w:tcPr>
          <w:p>
            <w:pPr>
              <w:spacing w:line="360" w:lineRule="auto"/>
              <w:rPr>
                <w:rFonts w:hint="eastAsia" w:ascii="仿宋" w:hAnsi="仿宋" w:eastAsia="仿宋" w:cs="仿宋"/>
                <w:color w:val="000000"/>
                <w:sz w:val="24"/>
                <w:szCs w:val="24"/>
              </w:rPr>
            </w:pPr>
            <w:r>
              <w:rPr>
                <w:rFonts w:hint="eastAsia" w:ascii="仿宋" w:hAnsi="仿宋" w:eastAsia="仿宋" w:cs="仿宋"/>
                <w:b/>
                <w:bCs/>
                <w:color w:val="000000"/>
                <w:sz w:val="24"/>
                <w:szCs w:val="24"/>
              </w:rPr>
              <w:t>★1）整机免费保修期≥3年，终身维修，时间自验收合格之日起算。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60" w:type="dxa"/>
            <w:vMerge w:val="continue"/>
            <w:noWrap w:val="0"/>
            <w:vAlign w:val="center"/>
          </w:tcPr>
          <w:p>
            <w:pPr>
              <w:spacing w:line="360" w:lineRule="auto"/>
              <w:jc w:val="center"/>
              <w:rPr>
                <w:rFonts w:hint="eastAsia" w:ascii="仿宋" w:hAnsi="仿宋" w:eastAsia="仿宋" w:cs="仿宋"/>
                <w:b/>
                <w:color w:val="000000"/>
                <w:sz w:val="24"/>
                <w:szCs w:val="24"/>
              </w:rPr>
            </w:pPr>
          </w:p>
        </w:tc>
        <w:tc>
          <w:tcPr>
            <w:tcW w:w="1062" w:type="dxa"/>
            <w:vMerge w:val="continue"/>
            <w:noWrap w:val="0"/>
            <w:vAlign w:val="center"/>
          </w:tcPr>
          <w:p>
            <w:pPr>
              <w:spacing w:line="360" w:lineRule="auto"/>
              <w:jc w:val="center"/>
              <w:rPr>
                <w:rFonts w:hint="eastAsia" w:ascii="仿宋" w:hAnsi="仿宋" w:eastAsia="仿宋" w:cs="仿宋"/>
                <w:b/>
                <w:color w:val="000000"/>
                <w:kern w:val="0"/>
                <w:sz w:val="24"/>
                <w:szCs w:val="24"/>
              </w:rPr>
            </w:pPr>
          </w:p>
        </w:tc>
        <w:tc>
          <w:tcPr>
            <w:tcW w:w="6998" w:type="dxa"/>
            <w:noWrap w:val="0"/>
            <w:vAlign w:val="top"/>
          </w:tcPr>
          <w:p>
            <w:pPr>
              <w:spacing w:line="360" w:lineRule="auto"/>
              <w:rPr>
                <w:rFonts w:hint="eastAsia" w:ascii="仿宋" w:hAnsi="仿宋" w:eastAsia="仿宋" w:cs="仿宋"/>
                <w:b/>
                <w:bCs/>
                <w:color w:val="000000"/>
                <w:sz w:val="24"/>
                <w:szCs w:val="24"/>
              </w:rPr>
            </w:pPr>
            <w:r>
              <w:rPr>
                <w:rFonts w:hint="eastAsia" w:ascii="仿宋" w:hAnsi="仿宋" w:eastAsia="仿宋" w:cs="仿宋"/>
                <w:color w:val="000000"/>
                <w:sz w:val="24"/>
                <w:szCs w:val="24"/>
              </w:rPr>
              <w:t>2）保修期内,年度定期预防性维护保养次数应不少于 4 次。保修期内免费更换零配件、免工时费。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60" w:type="dxa"/>
            <w:vMerge w:val="continue"/>
            <w:noWrap w:val="0"/>
            <w:vAlign w:val="center"/>
          </w:tcPr>
          <w:p>
            <w:pPr>
              <w:spacing w:line="360" w:lineRule="auto"/>
              <w:jc w:val="center"/>
              <w:rPr>
                <w:rFonts w:hint="eastAsia" w:ascii="仿宋" w:hAnsi="仿宋" w:eastAsia="仿宋" w:cs="仿宋"/>
                <w:b/>
                <w:color w:val="000000"/>
                <w:sz w:val="24"/>
                <w:szCs w:val="24"/>
              </w:rPr>
            </w:pPr>
          </w:p>
        </w:tc>
        <w:tc>
          <w:tcPr>
            <w:tcW w:w="1062" w:type="dxa"/>
            <w:vMerge w:val="continue"/>
            <w:noWrap w:val="0"/>
            <w:vAlign w:val="center"/>
          </w:tcPr>
          <w:p>
            <w:pPr>
              <w:spacing w:line="360" w:lineRule="auto"/>
              <w:jc w:val="center"/>
              <w:rPr>
                <w:rFonts w:hint="eastAsia" w:ascii="仿宋" w:hAnsi="仿宋" w:eastAsia="仿宋" w:cs="仿宋"/>
                <w:b/>
                <w:color w:val="000000"/>
                <w:kern w:val="0"/>
                <w:sz w:val="24"/>
                <w:szCs w:val="24"/>
              </w:rPr>
            </w:pPr>
          </w:p>
        </w:tc>
        <w:tc>
          <w:tcPr>
            <w:tcW w:w="6998" w:type="dxa"/>
            <w:noWrap w:val="0"/>
            <w:vAlign w:val="top"/>
          </w:tcPr>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3）由设备制造商提供售后服务， 2 小时内响应， 24 小时维修到位（不可抗力情况除外）。消耗品和零配件供应及时。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60" w:type="dxa"/>
            <w:vMerge w:val="continue"/>
            <w:noWrap w:val="0"/>
            <w:vAlign w:val="center"/>
          </w:tcPr>
          <w:p>
            <w:pPr>
              <w:spacing w:line="360" w:lineRule="auto"/>
              <w:jc w:val="center"/>
              <w:rPr>
                <w:rFonts w:hint="eastAsia" w:ascii="仿宋" w:hAnsi="仿宋" w:eastAsia="仿宋" w:cs="仿宋"/>
                <w:b/>
                <w:color w:val="000000"/>
                <w:sz w:val="24"/>
                <w:szCs w:val="24"/>
              </w:rPr>
            </w:pPr>
          </w:p>
        </w:tc>
        <w:tc>
          <w:tcPr>
            <w:tcW w:w="1062" w:type="dxa"/>
            <w:vMerge w:val="continue"/>
            <w:noWrap w:val="0"/>
            <w:vAlign w:val="center"/>
          </w:tcPr>
          <w:p>
            <w:pPr>
              <w:spacing w:line="360" w:lineRule="auto"/>
              <w:jc w:val="center"/>
              <w:rPr>
                <w:rFonts w:hint="eastAsia" w:ascii="仿宋" w:hAnsi="仿宋" w:eastAsia="仿宋" w:cs="仿宋"/>
                <w:b/>
                <w:color w:val="000000"/>
                <w:kern w:val="0"/>
                <w:sz w:val="24"/>
                <w:szCs w:val="24"/>
              </w:rPr>
            </w:pPr>
          </w:p>
        </w:tc>
        <w:tc>
          <w:tcPr>
            <w:tcW w:w="6998" w:type="dxa"/>
            <w:noWrap w:val="0"/>
            <w:vAlign w:val="top"/>
          </w:tcPr>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4）投标人负责货物的终身维修，保证 5 年以上供应维修配件， 5 年内免费提供软件升级服务。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60" w:type="dxa"/>
            <w:vMerge w:val="continue"/>
            <w:noWrap w:val="0"/>
            <w:vAlign w:val="center"/>
          </w:tcPr>
          <w:p>
            <w:pPr>
              <w:spacing w:line="360" w:lineRule="auto"/>
              <w:jc w:val="center"/>
              <w:rPr>
                <w:rFonts w:hint="eastAsia" w:ascii="仿宋" w:hAnsi="仿宋" w:eastAsia="仿宋" w:cs="仿宋"/>
                <w:b/>
                <w:color w:val="000000"/>
                <w:sz w:val="24"/>
                <w:szCs w:val="24"/>
              </w:rPr>
            </w:pPr>
          </w:p>
        </w:tc>
        <w:tc>
          <w:tcPr>
            <w:tcW w:w="1062" w:type="dxa"/>
            <w:vMerge w:val="continue"/>
            <w:noWrap w:val="0"/>
            <w:vAlign w:val="center"/>
          </w:tcPr>
          <w:p>
            <w:pPr>
              <w:spacing w:line="360" w:lineRule="auto"/>
              <w:jc w:val="center"/>
              <w:rPr>
                <w:rFonts w:hint="eastAsia" w:ascii="仿宋" w:hAnsi="仿宋" w:eastAsia="仿宋" w:cs="仿宋"/>
                <w:b/>
                <w:color w:val="000000"/>
                <w:kern w:val="0"/>
                <w:sz w:val="24"/>
                <w:szCs w:val="24"/>
              </w:rPr>
            </w:pPr>
          </w:p>
        </w:tc>
        <w:tc>
          <w:tcPr>
            <w:tcW w:w="6998" w:type="dxa"/>
            <w:noWrap w:val="0"/>
            <w:vAlign w:val="top"/>
          </w:tcPr>
          <w:p>
            <w:pPr>
              <w:spacing w:line="360" w:lineRule="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5）投标人提供的仪器设备的设计使用年限必须≥5年；仪器设备的生产日期必须在一年半内生产。（特别提示：生产日期、设计使用年限达不到招标文件要求的，该投标文件初审不通过）。【设计年限需提供相关证明材料进行佐证；生产日期需提供承诺书，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60" w:type="dxa"/>
            <w:noWrap w:val="0"/>
            <w:vAlign w:val="center"/>
          </w:tcPr>
          <w:p>
            <w:pPr>
              <w:spacing w:line="360" w:lineRule="auto"/>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2</w:t>
            </w:r>
          </w:p>
        </w:tc>
        <w:tc>
          <w:tcPr>
            <w:tcW w:w="1062"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b/>
                <w:color w:val="000000"/>
                <w:kern w:val="0"/>
                <w:sz w:val="24"/>
                <w:szCs w:val="24"/>
              </w:rPr>
              <w:t>质量保证</w:t>
            </w:r>
          </w:p>
        </w:tc>
        <w:tc>
          <w:tcPr>
            <w:tcW w:w="6998" w:type="dxa"/>
            <w:noWrap w:val="0"/>
            <w:vAlign w:val="top"/>
          </w:tcPr>
          <w:p>
            <w:pPr>
              <w:spacing w:line="360" w:lineRule="auto"/>
              <w:rPr>
                <w:rFonts w:hint="eastAsia" w:ascii="仿宋" w:hAnsi="仿宋" w:eastAsia="仿宋" w:cs="仿宋"/>
                <w:bCs/>
                <w:color w:val="000000"/>
                <w:sz w:val="24"/>
                <w:szCs w:val="24"/>
              </w:rPr>
            </w:pPr>
            <w:r>
              <w:rPr>
                <w:rFonts w:hint="eastAsia" w:ascii="仿宋" w:hAnsi="仿宋" w:eastAsia="仿宋" w:cs="仿宋"/>
                <w:bCs/>
                <w:color w:val="000000"/>
                <w:sz w:val="24"/>
                <w:szCs w:val="24"/>
              </w:rPr>
              <w:t>在保修期内, 投标人应确保年开机率在95%以上, 若不能达到此开机率，将作以下处理：</w:t>
            </w:r>
          </w:p>
          <w:p>
            <w:pPr>
              <w:spacing w:line="360" w:lineRule="auto"/>
              <w:ind w:left="420" w:left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A、年开机率在90-95%之间按一赔</w:t>
            </w:r>
            <w:r>
              <w:rPr>
                <w:rFonts w:hint="eastAsia" w:ascii="仿宋" w:hAnsi="仿宋" w:eastAsia="仿宋" w:cs="仿宋"/>
                <w:bCs/>
                <w:color w:val="000000"/>
                <w:sz w:val="24"/>
                <w:szCs w:val="24"/>
                <w:u w:val="single"/>
              </w:rPr>
              <w:t xml:space="preserve"> 二 </w:t>
            </w:r>
            <w:r>
              <w:rPr>
                <w:rFonts w:hint="eastAsia" w:ascii="仿宋" w:hAnsi="仿宋" w:eastAsia="仿宋" w:cs="仿宋"/>
                <w:bCs/>
                <w:color w:val="000000"/>
                <w:sz w:val="24"/>
                <w:szCs w:val="24"/>
              </w:rPr>
              <w:t>延长保修期.</w:t>
            </w:r>
          </w:p>
          <w:p>
            <w:pPr>
              <w:spacing w:line="360" w:lineRule="auto"/>
              <w:ind w:left="420" w:left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B、年开机率在85-90%之间按一赔</w:t>
            </w:r>
            <w:r>
              <w:rPr>
                <w:rFonts w:hint="eastAsia" w:ascii="仿宋" w:hAnsi="仿宋" w:eastAsia="仿宋" w:cs="仿宋"/>
                <w:bCs/>
                <w:color w:val="000000"/>
                <w:sz w:val="24"/>
                <w:szCs w:val="24"/>
                <w:u w:val="single"/>
              </w:rPr>
              <w:t xml:space="preserve"> 五 </w:t>
            </w:r>
            <w:r>
              <w:rPr>
                <w:rFonts w:hint="eastAsia" w:ascii="仿宋" w:hAnsi="仿宋" w:eastAsia="仿宋" w:cs="仿宋"/>
                <w:bCs/>
                <w:color w:val="000000"/>
                <w:sz w:val="24"/>
                <w:szCs w:val="24"/>
              </w:rPr>
              <w:t>延长保修期</w:t>
            </w:r>
          </w:p>
          <w:p>
            <w:pPr>
              <w:spacing w:line="360" w:lineRule="auto"/>
              <w:ind w:left="780" w:leftChars="200" w:hanging="360" w:hangingChars="150"/>
              <w:rPr>
                <w:rFonts w:hint="eastAsia" w:ascii="仿宋" w:hAnsi="仿宋" w:eastAsia="仿宋" w:cs="仿宋"/>
                <w:bCs/>
                <w:color w:val="000000"/>
                <w:sz w:val="24"/>
                <w:szCs w:val="24"/>
              </w:rPr>
            </w:pPr>
            <w:r>
              <w:rPr>
                <w:rFonts w:hint="eastAsia" w:ascii="仿宋" w:hAnsi="仿宋" w:eastAsia="仿宋" w:cs="仿宋"/>
                <w:bCs/>
                <w:color w:val="000000"/>
                <w:sz w:val="24"/>
                <w:szCs w:val="24"/>
              </w:rPr>
              <w:t>C、年开机率低于85%，投标人必须无条件更换新机，并重新计算保修期，以及赔偿用户的直接经济损失和间接经济损失。</w:t>
            </w:r>
          </w:p>
          <w:p>
            <w:pPr>
              <w:spacing w:line="360" w:lineRule="auto"/>
              <w:rPr>
                <w:rFonts w:hint="eastAsia" w:ascii="仿宋" w:hAnsi="仿宋" w:eastAsia="仿宋" w:cs="仿宋"/>
                <w:color w:val="000000"/>
                <w:kern w:val="0"/>
                <w:sz w:val="24"/>
                <w:szCs w:val="24"/>
              </w:rPr>
            </w:pPr>
            <w:r>
              <w:rPr>
                <w:rFonts w:hint="eastAsia" w:ascii="仿宋" w:hAnsi="仿宋" w:eastAsia="仿宋" w:cs="仿宋"/>
                <w:b/>
                <w:bCs/>
                <w:sz w:val="24"/>
                <w:szCs w:val="24"/>
                <w:highlight w:val="none"/>
              </w:rPr>
              <w:t>注：</w:t>
            </w:r>
            <w:r>
              <w:rPr>
                <w:rFonts w:hint="eastAsia" w:ascii="仿宋" w:hAnsi="仿宋" w:eastAsia="仿宋" w:cs="仿宋"/>
                <w:bCs/>
                <w:sz w:val="24"/>
                <w:szCs w:val="24"/>
                <w:highlight w:val="none"/>
              </w:rPr>
              <w:t>年开机率</w:t>
            </w:r>
            <w:r>
              <w:rPr>
                <w:rFonts w:hint="eastAsia" w:ascii="仿宋" w:hAnsi="仿宋" w:eastAsia="仿宋" w:cs="仿宋"/>
                <w:bCs/>
                <w:sz w:val="24"/>
                <w:szCs w:val="24"/>
                <w:highlight w:val="yellow"/>
              </w:rPr>
              <w:t>（实际开机天数/</w:t>
            </w:r>
            <w:r>
              <w:rPr>
                <w:rFonts w:hint="eastAsia" w:ascii="仿宋" w:hAnsi="仿宋" w:eastAsia="仿宋" w:cs="仿宋"/>
                <w:bCs/>
                <w:sz w:val="24"/>
                <w:szCs w:val="24"/>
                <w:highlight w:val="yellow"/>
                <w:lang w:eastAsia="zh-CN"/>
              </w:rPr>
              <w:t>日历日</w:t>
            </w:r>
            <w:r>
              <w:rPr>
                <w:rFonts w:hint="eastAsia" w:ascii="仿宋" w:hAnsi="仿宋" w:eastAsia="仿宋" w:cs="仿宋"/>
                <w:bCs/>
                <w:sz w:val="24"/>
                <w:szCs w:val="24"/>
                <w:highlight w:val="yellow"/>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820" w:type="dxa"/>
            <w:gridSpan w:val="3"/>
            <w:noWrap w:val="0"/>
            <w:vAlign w:val="top"/>
          </w:tcPr>
          <w:p>
            <w:pPr>
              <w:spacing w:line="360" w:lineRule="auto"/>
              <w:rPr>
                <w:rFonts w:hint="eastAsia" w:ascii="仿宋" w:hAnsi="仿宋" w:eastAsia="仿宋" w:cs="仿宋"/>
                <w:b/>
                <w:color w:val="000000"/>
                <w:sz w:val="24"/>
                <w:szCs w:val="24"/>
              </w:rPr>
            </w:pPr>
            <w:r>
              <w:rPr>
                <w:rFonts w:hint="eastAsia" w:ascii="仿宋" w:hAnsi="仿宋" w:eastAsia="仿宋" w:cs="仿宋"/>
                <w:b/>
                <w:color w:val="000000"/>
                <w:sz w:val="24"/>
                <w:szCs w:val="24"/>
              </w:rPr>
              <w:t>（二）免费保修期外售后服务要求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0" w:type="dxa"/>
            <w:vMerge w:val="restart"/>
            <w:noWrap w:val="0"/>
            <w:vAlign w:val="center"/>
          </w:tcPr>
          <w:p>
            <w:pPr>
              <w:spacing w:line="360" w:lineRule="auto"/>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1</w:t>
            </w:r>
          </w:p>
        </w:tc>
        <w:tc>
          <w:tcPr>
            <w:tcW w:w="1062" w:type="dxa"/>
            <w:vMerge w:val="restart"/>
            <w:noWrap w:val="0"/>
            <w:vAlign w:val="center"/>
          </w:tcPr>
          <w:p>
            <w:pPr>
              <w:spacing w:line="360" w:lineRule="auto"/>
              <w:jc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维修零配件、消耗品和延续保修合同的报价</w:t>
            </w:r>
          </w:p>
        </w:tc>
        <w:tc>
          <w:tcPr>
            <w:tcW w:w="6998" w:type="dxa"/>
            <w:noWrap w:val="0"/>
            <w:vAlign w:val="top"/>
          </w:tcPr>
          <w:p>
            <w:pPr>
              <w:spacing w:line="360" w:lineRule="auto"/>
              <w:rPr>
                <w:rFonts w:hint="eastAsia" w:ascii="仿宋" w:hAnsi="仿宋" w:eastAsia="仿宋" w:cs="仿宋"/>
                <w:b/>
                <w:color w:val="000000"/>
                <w:sz w:val="24"/>
                <w:szCs w:val="24"/>
              </w:rPr>
            </w:pPr>
            <w:r>
              <w:rPr>
                <w:rFonts w:hint="eastAsia" w:ascii="仿宋" w:hAnsi="仿宋" w:eastAsia="仿宋" w:cs="仿宋"/>
                <w:bCs/>
                <w:color w:val="000000"/>
                <w:sz w:val="24"/>
                <w:szCs w:val="24"/>
              </w:rPr>
              <w:t>1）由设备</w:t>
            </w:r>
            <w:r>
              <w:rPr>
                <w:rFonts w:hint="eastAsia" w:ascii="仿宋" w:hAnsi="仿宋" w:eastAsia="仿宋" w:cs="仿宋"/>
                <w:color w:val="000000"/>
                <w:sz w:val="24"/>
                <w:szCs w:val="24"/>
              </w:rPr>
              <w:t>制造商</w:t>
            </w:r>
            <w:r>
              <w:rPr>
                <w:rFonts w:hint="eastAsia" w:ascii="仿宋" w:hAnsi="仿宋" w:eastAsia="仿宋" w:cs="仿宋"/>
                <w:bCs/>
                <w:color w:val="000000"/>
                <w:sz w:val="24"/>
                <w:szCs w:val="24"/>
              </w:rPr>
              <w:t>提供售后服务，</w:t>
            </w:r>
            <w:r>
              <w:rPr>
                <w:rFonts w:hint="eastAsia" w:ascii="仿宋" w:hAnsi="仿宋" w:eastAsia="仿宋" w:cs="仿宋"/>
                <w:bCs/>
                <w:color w:val="000000"/>
                <w:sz w:val="24"/>
                <w:szCs w:val="24"/>
                <w:u w:val="single"/>
              </w:rPr>
              <w:t xml:space="preserve"> 2 </w:t>
            </w:r>
            <w:r>
              <w:rPr>
                <w:rFonts w:hint="eastAsia" w:ascii="仿宋" w:hAnsi="仿宋" w:eastAsia="仿宋" w:cs="仿宋"/>
                <w:bCs/>
                <w:color w:val="000000"/>
                <w:sz w:val="24"/>
                <w:szCs w:val="24"/>
              </w:rPr>
              <w:t>小时内响应，</w:t>
            </w:r>
            <w:r>
              <w:rPr>
                <w:rFonts w:hint="eastAsia" w:ascii="仿宋" w:hAnsi="仿宋" w:eastAsia="仿宋" w:cs="仿宋"/>
                <w:bCs/>
                <w:color w:val="000000"/>
                <w:sz w:val="24"/>
                <w:szCs w:val="24"/>
                <w:u w:val="single"/>
              </w:rPr>
              <w:t xml:space="preserve"> 24 </w:t>
            </w:r>
            <w:r>
              <w:rPr>
                <w:rFonts w:hint="eastAsia" w:ascii="仿宋" w:hAnsi="仿宋" w:eastAsia="仿宋" w:cs="仿宋"/>
                <w:bCs/>
                <w:color w:val="000000"/>
                <w:sz w:val="24"/>
                <w:szCs w:val="24"/>
              </w:rPr>
              <w:t>小时维修到位（不可抗力情况除外）。消耗品和零配件供应及时。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60" w:type="dxa"/>
            <w:vMerge w:val="continue"/>
            <w:noWrap w:val="0"/>
            <w:vAlign w:val="top"/>
          </w:tcPr>
          <w:p>
            <w:pPr>
              <w:spacing w:line="360" w:lineRule="auto"/>
              <w:rPr>
                <w:rFonts w:hint="eastAsia" w:ascii="仿宋" w:hAnsi="仿宋" w:eastAsia="仿宋" w:cs="仿宋"/>
                <w:b/>
                <w:color w:val="000000"/>
                <w:sz w:val="24"/>
                <w:szCs w:val="24"/>
              </w:rPr>
            </w:pPr>
          </w:p>
        </w:tc>
        <w:tc>
          <w:tcPr>
            <w:tcW w:w="1062" w:type="dxa"/>
            <w:vMerge w:val="continue"/>
            <w:noWrap w:val="0"/>
            <w:vAlign w:val="top"/>
          </w:tcPr>
          <w:p>
            <w:pPr>
              <w:spacing w:line="360" w:lineRule="auto"/>
              <w:rPr>
                <w:rFonts w:hint="eastAsia" w:ascii="仿宋" w:hAnsi="仿宋" w:eastAsia="仿宋" w:cs="仿宋"/>
                <w:b/>
                <w:color w:val="000000"/>
                <w:sz w:val="24"/>
                <w:szCs w:val="24"/>
              </w:rPr>
            </w:pPr>
          </w:p>
        </w:tc>
        <w:tc>
          <w:tcPr>
            <w:tcW w:w="6998" w:type="dxa"/>
            <w:noWrap w:val="0"/>
            <w:vAlign w:val="top"/>
          </w:tcPr>
          <w:p>
            <w:pPr>
              <w:spacing w:line="360" w:lineRule="auto"/>
              <w:rPr>
                <w:rFonts w:hint="eastAsia" w:ascii="仿宋" w:hAnsi="仿宋" w:eastAsia="仿宋" w:cs="仿宋"/>
                <w:b/>
                <w:color w:val="000000"/>
                <w:sz w:val="24"/>
                <w:szCs w:val="24"/>
              </w:rPr>
            </w:pPr>
            <w:r>
              <w:rPr>
                <w:rFonts w:hint="eastAsia" w:ascii="仿宋" w:hAnsi="仿宋" w:eastAsia="仿宋" w:cs="仿宋"/>
                <w:bCs/>
                <w:color w:val="000000"/>
                <w:sz w:val="24"/>
                <w:szCs w:val="24"/>
              </w:rPr>
              <w:t>2）保修期满后，投标人应以优惠价供应维修零配件、消耗品和延续保修</w:t>
            </w:r>
            <w:r>
              <w:rPr>
                <w:rFonts w:hint="eastAsia" w:ascii="仿宋" w:hAnsi="仿宋" w:eastAsia="仿宋" w:cs="仿宋"/>
                <w:color w:val="000000"/>
                <w:sz w:val="24"/>
                <w:szCs w:val="24"/>
              </w:rPr>
              <w:t>合同</w:t>
            </w:r>
            <w:r>
              <w:rPr>
                <w:rFonts w:hint="eastAsia" w:ascii="仿宋" w:hAnsi="仿宋" w:eastAsia="仿宋" w:cs="仿宋"/>
                <w:bCs/>
                <w:color w:val="000000"/>
                <w:sz w:val="24"/>
                <w:szCs w:val="24"/>
              </w:rPr>
              <w:t>。价格最高的前</w:t>
            </w:r>
            <w:r>
              <w:rPr>
                <w:rFonts w:hint="eastAsia" w:ascii="仿宋" w:hAnsi="仿宋" w:eastAsia="仿宋" w:cs="仿宋"/>
                <w:bCs/>
                <w:color w:val="000000"/>
                <w:sz w:val="24"/>
                <w:szCs w:val="24"/>
                <w:u w:val="single"/>
              </w:rPr>
              <w:t xml:space="preserve"> 5</w:t>
            </w:r>
            <w:r>
              <w:rPr>
                <w:rFonts w:hint="eastAsia" w:ascii="仿宋" w:hAnsi="仿宋" w:eastAsia="仿宋" w:cs="仿宋"/>
                <w:bCs/>
                <w:color w:val="000000"/>
                <w:sz w:val="24"/>
                <w:szCs w:val="24"/>
              </w:rPr>
              <w:t>项零配件、消耗品和延续保修合同的报价明细必须填写于《零配件、消耗品和延续保修合同报价明清单》中。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60" w:type="dxa"/>
            <w:vMerge w:val="continue"/>
            <w:noWrap w:val="0"/>
            <w:vAlign w:val="top"/>
          </w:tcPr>
          <w:p>
            <w:pPr>
              <w:spacing w:line="360" w:lineRule="auto"/>
              <w:rPr>
                <w:rFonts w:hint="eastAsia" w:ascii="仿宋" w:hAnsi="仿宋" w:eastAsia="仿宋" w:cs="仿宋"/>
                <w:b/>
                <w:color w:val="000000"/>
                <w:sz w:val="24"/>
                <w:szCs w:val="24"/>
              </w:rPr>
            </w:pPr>
          </w:p>
        </w:tc>
        <w:tc>
          <w:tcPr>
            <w:tcW w:w="1062" w:type="dxa"/>
            <w:vMerge w:val="continue"/>
            <w:noWrap w:val="0"/>
            <w:vAlign w:val="top"/>
          </w:tcPr>
          <w:p>
            <w:pPr>
              <w:spacing w:line="360" w:lineRule="auto"/>
              <w:rPr>
                <w:rFonts w:hint="eastAsia" w:ascii="仿宋" w:hAnsi="仿宋" w:eastAsia="仿宋" w:cs="仿宋"/>
                <w:b/>
                <w:color w:val="000000"/>
                <w:sz w:val="24"/>
                <w:szCs w:val="24"/>
              </w:rPr>
            </w:pPr>
          </w:p>
        </w:tc>
        <w:tc>
          <w:tcPr>
            <w:tcW w:w="6998" w:type="dxa"/>
            <w:noWrap w:val="0"/>
            <w:vAlign w:val="top"/>
          </w:tcPr>
          <w:p>
            <w:pPr>
              <w:spacing w:line="360" w:lineRule="auto"/>
              <w:rPr>
                <w:rFonts w:hint="eastAsia" w:ascii="仿宋" w:hAnsi="仿宋" w:eastAsia="仿宋" w:cs="仿宋"/>
                <w:b/>
                <w:color w:val="000000"/>
                <w:sz w:val="24"/>
                <w:szCs w:val="24"/>
              </w:rPr>
            </w:pPr>
            <w:r>
              <w:rPr>
                <w:rFonts w:hint="eastAsia" w:ascii="仿宋" w:hAnsi="仿宋" w:eastAsia="仿宋" w:cs="仿宋"/>
                <w:bCs/>
                <w:color w:val="000000"/>
                <w:sz w:val="24"/>
                <w:szCs w:val="24"/>
              </w:rPr>
              <w:t>3）采购人可与投标人就优惠价进行谈判，但优惠价不得高于投标人在投标文件的《零配件、消耗品和延续保修合同报价明清单》中承诺的维修零配件、消耗品和延续保修合同的报价。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60" w:type="dxa"/>
            <w:vMerge w:val="continue"/>
            <w:noWrap w:val="0"/>
            <w:vAlign w:val="top"/>
          </w:tcPr>
          <w:p>
            <w:pPr>
              <w:spacing w:line="360" w:lineRule="auto"/>
              <w:rPr>
                <w:rFonts w:hint="eastAsia" w:ascii="仿宋" w:hAnsi="仿宋" w:eastAsia="仿宋" w:cs="仿宋"/>
                <w:b/>
                <w:color w:val="000000"/>
                <w:sz w:val="24"/>
                <w:szCs w:val="24"/>
              </w:rPr>
            </w:pPr>
          </w:p>
        </w:tc>
        <w:tc>
          <w:tcPr>
            <w:tcW w:w="1062" w:type="dxa"/>
            <w:vMerge w:val="continue"/>
            <w:noWrap w:val="0"/>
            <w:vAlign w:val="top"/>
          </w:tcPr>
          <w:p>
            <w:pPr>
              <w:spacing w:line="360" w:lineRule="auto"/>
              <w:rPr>
                <w:rFonts w:hint="eastAsia" w:ascii="仿宋" w:hAnsi="仿宋" w:eastAsia="仿宋" w:cs="仿宋"/>
                <w:b/>
                <w:color w:val="000000"/>
                <w:sz w:val="24"/>
                <w:szCs w:val="24"/>
              </w:rPr>
            </w:pPr>
          </w:p>
        </w:tc>
        <w:tc>
          <w:tcPr>
            <w:tcW w:w="6998" w:type="dxa"/>
            <w:noWrap w:val="0"/>
            <w:vAlign w:val="top"/>
          </w:tcPr>
          <w:p>
            <w:pPr>
              <w:spacing w:line="360" w:lineRule="auto"/>
              <w:rPr>
                <w:rFonts w:hint="eastAsia" w:ascii="仿宋" w:hAnsi="仿宋" w:eastAsia="仿宋" w:cs="仿宋"/>
                <w:b/>
                <w:color w:val="000000"/>
                <w:sz w:val="24"/>
                <w:szCs w:val="24"/>
              </w:rPr>
            </w:pPr>
            <w:r>
              <w:rPr>
                <w:rFonts w:hint="eastAsia" w:ascii="仿宋" w:hAnsi="仿宋" w:eastAsia="仿宋" w:cs="仿宋"/>
                <w:bCs/>
                <w:color w:val="000000"/>
                <w:sz w:val="24"/>
                <w:szCs w:val="24"/>
              </w:rPr>
              <w:t>4）设备</w:t>
            </w:r>
            <w:r>
              <w:rPr>
                <w:rFonts w:hint="eastAsia" w:ascii="仿宋" w:hAnsi="仿宋" w:eastAsia="仿宋" w:cs="仿宋"/>
                <w:color w:val="000000"/>
                <w:sz w:val="24"/>
                <w:szCs w:val="24"/>
              </w:rPr>
              <w:t>制造商</w:t>
            </w:r>
            <w:r>
              <w:rPr>
                <w:rFonts w:hint="eastAsia" w:ascii="仿宋" w:hAnsi="仿宋" w:eastAsia="仿宋" w:cs="仿宋"/>
                <w:bCs/>
                <w:color w:val="000000"/>
                <w:sz w:val="24"/>
                <w:szCs w:val="24"/>
              </w:rPr>
              <w:t>维修的货物经采购人验收合格，且设备制造商提供维修专用发票后，采购人支付维修费用。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60" w:type="dxa"/>
            <w:vMerge w:val="continue"/>
            <w:noWrap w:val="0"/>
            <w:vAlign w:val="top"/>
          </w:tcPr>
          <w:p>
            <w:pPr>
              <w:spacing w:line="360" w:lineRule="auto"/>
              <w:rPr>
                <w:rFonts w:hint="eastAsia" w:ascii="仿宋" w:hAnsi="仿宋" w:eastAsia="仿宋" w:cs="仿宋"/>
                <w:b/>
                <w:color w:val="000000"/>
                <w:sz w:val="24"/>
                <w:szCs w:val="24"/>
              </w:rPr>
            </w:pPr>
          </w:p>
        </w:tc>
        <w:tc>
          <w:tcPr>
            <w:tcW w:w="1062" w:type="dxa"/>
            <w:vMerge w:val="continue"/>
            <w:noWrap w:val="0"/>
            <w:vAlign w:val="top"/>
          </w:tcPr>
          <w:p>
            <w:pPr>
              <w:spacing w:line="360" w:lineRule="auto"/>
              <w:rPr>
                <w:rFonts w:hint="eastAsia" w:ascii="仿宋" w:hAnsi="仿宋" w:eastAsia="仿宋" w:cs="仿宋"/>
                <w:b/>
                <w:color w:val="000000"/>
                <w:sz w:val="24"/>
                <w:szCs w:val="24"/>
              </w:rPr>
            </w:pPr>
          </w:p>
        </w:tc>
        <w:tc>
          <w:tcPr>
            <w:tcW w:w="6998" w:type="dxa"/>
            <w:noWrap w:val="0"/>
            <w:vAlign w:val="top"/>
          </w:tcPr>
          <w:p>
            <w:pPr>
              <w:spacing w:line="360" w:lineRule="auto"/>
              <w:rPr>
                <w:rFonts w:hint="eastAsia" w:ascii="仿宋" w:hAnsi="仿宋" w:eastAsia="仿宋" w:cs="仿宋"/>
                <w:b/>
                <w:color w:val="000000"/>
                <w:sz w:val="24"/>
                <w:szCs w:val="24"/>
              </w:rPr>
            </w:pPr>
            <w:r>
              <w:rPr>
                <w:rFonts w:hint="eastAsia" w:ascii="仿宋" w:hAnsi="仿宋" w:eastAsia="仿宋" w:cs="仿宋"/>
                <w:bCs/>
                <w:color w:val="000000"/>
                <w:sz w:val="24"/>
                <w:szCs w:val="24"/>
              </w:rPr>
              <w:t>5）投标人及设备制造商不得以任何理由不按时进行维修，不得要求采购人购买所谓“保修服务”（即：不论设备有无故障先买保修服务），不得在设备中嵌设任何不利于采购人使用与维修设备的障碍。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60" w:type="dxa"/>
            <w:vMerge w:val="continue"/>
            <w:noWrap w:val="0"/>
            <w:vAlign w:val="top"/>
          </w:tcPr>
          <w:p>
            <w:pPr>
              <w:spacing w:line="360" w:lineRule="auto"/>
              <w:rPr>
                <w:rFonts w:hint="eastAsia" w:ascii="仿宋" w:hAnsi="仿宋" w:eastAsia="仿宋" w:cs="仿宋"/>
                <w:b/>
                <w:color w:val="000000"/>
                <w:sz w:val="24"/>
                <w:szCs w:val="24"/>
              </w:rPr>
            </w:pPr>
          </w:p>
        </w:tc>
        <w:tc>
          <w:tcPr>
            <w:tcW w:w="1062" w:type="dxa"/>
            <w:vMerge w:val="continue"/>
            <w:noWrap w:val="0"/>
            <w:vAlign w:val="top"/>
          </w:tcPr>
          <w:p>
            <w:pPr>
              <w:spacing w:line="360" w:lineRule="auto"/>
              <w:rPr>
                <w:rFonts w:hint="eastAsia" w:ascii="仿宋" w:hAnsi="仿宋" w:eastAsia="仿宋" w:cs="仿宋"/>
                <w:b/>
                <w:color w:val="000000"/>
                <w:sz w:val="24"/>
                <w:szCs w:val="24"/>
              </w:rPr>
            </w:pPr>
          </w:p>
        </w:tc>
        <w:tc>
          <w:tcPr>
            <w:tcW w:w="6998" w:type="dxa"/>
            <w:noWrap w:val="0"/>
            <w:vAlign w:val="top"/>
          </w:tcPr>
          <w:p>
            <w:pPr>
              <w:spacing w:line="360" w:lineRule="auto"/>
              <w:rPr>
                <w:rFonts w:hint="eastAsia" w:ascii="仿宋" w:hAnsi="仿宋" w:eastAsia="仿宋" w:cs="仿宋"/>
                <w:b/>
                <w:color w:val="000000"/>
                <w:sz w:val="24"/>
                <w:szCs w:val="24"/>
              </w:rPr>
            </w:pPr>
            <w:r>
              <w:rPr>
                <w:rFonts w:hint="eastAsia" w:ascii="仿宋" w:hAnsi="仿宋" w:eastAsia="仿宋" w:cs="仿宋"/>
                <w:b/>
                <w:color w:val="000000"/>
                <w:sz w:val="24"/>
                <w:szCs w:val="24"/>
              </w:rPr>
              <w:t>★6）仪器配套封闭试剂及耗材需在深圳市卫生耗材阳光采购平台上注册，并承诺提供深圳市内最低供货价。【提供深圳市卫生耗材阳光采购平台上注册证明和承诺函（格式自拟）】，若无封闭试剂及耗材，则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820" w:type="dxa"/>
            <w:gridSpan w:val="3"/>
            <w:noWrap w:val="0"/>
            <w:vAlign w:val="top"/>
          </w:tcPr>
          <w:p>
            <w:pPr>
              <w:spacing w:line="360" w:lineRule="auto"/>
              <w:rPr>
                <w:rFonts w:hint="eastAsia" w:ascii="仿宋" w:hAnsi="仿宋" w:eastAsia="仿宋" w:cs="仿宋"/>
                <w:b/>
                <w:color w:val="000000"/>
                <w:sz w:val="24"/>
                <w:szCs w:val="24"/>
              </w:rPr>
            </w:pPr>
            <w:r>
              <w:rPr>
                <w:rFonts w:hint="eastAsia" w:ascii="仿宋" w:hAnsi="仿宋" w:eastAsia="仿宋" w:cs="仿宋"/>
                <w:b/>
                <w:color w:val="000000"/>
                <w:sz w:val="24"/>
                <w:szCs w:val="24"/>
              </w:rPr>
              <w:t>（三）其他商务要求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0" w:type="dxa"/>
            <w:vMerge w:val="restart"/>
            <w:noWrap w:val="0"/>
            <w:vAlign w:val="center"/>
          </w:tcPr>
          <w:p>
            <w:pPr>
              <w:spacing w:line="360" w:lineRule="auto"/>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1</w:t>
            </w:r>
          </w:p>
        </w:tc>
        <w:tc>
          <w:tcPr>
            <w:tcW w:w="1062" w:type="dxa"/>
            <w:vMerge w:val="restart"/>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b/>
                <w:color w:val="000000"/>
                <w:sz w:val="24"/>
                <w:szCs w:val="24"/>
              </w:rPr>
              <w:t>交货要求</w:t>
            </w:r>
          </w:p>
        </w:tc>
        <w:tc>
          <w:tcPr>
            <w:tcW w:w="6998" w:type="dxa"/>
            <w:noWrap w:val="0"/>
            <w:vAlign w:val="top"/>
          </w:tcPr>
          <w:p>
            <w:pPr>
              <w:spacing w:line="360" w:lineRule="auto"/>
              <w:ind w:left="420" w:hanging="480" w:hangingChars="200"/>
              <w:rPr>
                <w:rFonts w:hint="eastAsia" w:ascii="仿宋" w:hAnsi="仿宋" w:eastAsia="仿宋" w:cs="仿宋"/>
                <w:color w:val="000000"/>
                <w:spacing w:val="-3"/>
                <w:sz w:val="24"/>
                <w:szCs w:val="24"/>
              </w:rPr>
            </w:pPr>
            <w:r>
              <w:rPr>
                <w:rFonts w:hint="eastAsia" w:ascii="仿宋" w:hAnsi="仿宋" w:eastAsia="仿宋" w:cs="仿宋"/>
                <w:bCs/>
                <w:color w:val="000000"/>
                <w:sz w:val="24"/>
                <w:szCs w:val="24"/>
              </w:rPr>
              <w:t>★</w:t>
            </w:r>
            <w:r>
              <w:rPr>
                <w:rFonts w:hint="eastAsia" w:ascii="仿宋" w:hAnsi="仿宋" w:eastAsia="仿宋" w:cs="仿宋"/>
                <w:b/>
                <w:bCs/>
                <w:color w:val="000000"/>
                <w:sz w:val="24"/>
                <w:szCs w:val="24"/>
              </w:rPr>
              <w:t>1）签订合同之日起</w:t>
            </w:r>
            <w:r>
              <w:rPr>
                <w:rFonts w:hint="eastAsia" w:ascii="仿宋" w:hAnsi="仿宋" w:eastAsia="仿宋" w:cs="仿宋"/>
                <w:b/>
                <w:bCs/>
                <w:color w:val="000000"/>
                <w:sz w:val="24"/>
                <w:szCs w:val="24"/>
                <w:u w:val="single"/>
              </w:rPr>
              <w:t xml:space="preserve"> 120 </w:t>
            </w:r>
            <w:r>
              <w:rPr>
                <w:rFonts w:hint="eastAsia" w:ascii="仿宋" w:hAnsi="仿宋" w:eastAsia="仿宋" w:cs="仿宋"/>
                <w:b/>
                <w:bCs/>
                <w:color w:val="000000"/>
                <w:sz w:val="24"/>
                <w:szCs w:val="24"/>
              </w:rPr>
              <w:t>日历日内交货</w:t>
            </w:r>
            <w:r>
              <w:rPr>
                <w:rFonts w:hint="eastAsia" w:ascii="仿宋" w:hAnsi="仿宋" w:eastAsia="仿宋" w:cs="仿宋"/>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760" w:type="dxa"/>
            <w:vMerge w:val="continue"/>
            <w:noWrap w:val="0"/>
            <w:vAlign w:val="center"/>
          </w:tcPr>
          <w:p>
            <w:pPr>
              <w:spacing w:line="360" w:lineRule="auto"/>
              <w:jc w:val="center"/>
              <w:rPr>
                <w:rFonts w:hint="eastAsia" w:ascii="仿宋" w:hAnsi="仿宋" w:eastAsia="仿宋" w:cs="仿宋"/>
                <w:b/>
                <w:color w:val="000000"/>
                <w:sz w:val="24"/>
                <w:szCs w:val="24"/>
              </w:rPr>
            </w:pPr>
          </w:p>
        </w:tc>
        <w:tc>
          <w:tcPr>
            <w:tcW w:w="1062" w:type="dxa"/>
            <w:vMerge w:val="continue"/>
            <w:noWrap w:val="0"/>
            <w:vAlign w:val="center"/>
          </w:tcPr>
          <w:p>
            <w:pPr>
              <w:spacing w:line="360" w:lineRule="auto"/>
              <w:jc w:val="center"/>
              <w:rPr>
                <w:rFonts w:hint="eastAsia" w:ascii="仿宋" w:hAnsi="仿宋" w:eastAsia="仿宋" w:cs="仿宋"/>
                <w:b/>
                <w:bCs/>
                <w:color w:val="000000"/>
                <w:kern w:val="0"/>
                <w:sz w:val="24"/>
                <w:szCs w:val="24"/>
              </w:rPr>
            </w:pPr>
          </w:p>
        </w:tc>
        <w:tc>
          <w:tcPr>
            <w:tcW w:w="6998" w:type="dxa"/>
            <w:noWrap w:val="0"/>
            <w:vAlign w:val="top"/>
          </w:tcPr>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2）</w:t>
            </w:r>
            <w:r>
              <w:rPr>
                <w:rFonts w:hint="eastAsia" w:ascii="仿宋" w:hAnsi="仿宋" w:eastAsia="仿宋" w:cs="仿宋"/>
                <w:bCs/>
                <w:color w:val="000000"/>
                <w:sz w:val="24"/>
                <w:szCs w:val="24"/>
              </w:rPr>
              <w:t>投标人应提供货物的技术文件，包括但不限于设备配置清单、产品说明书、图纸、操作手册、维护手册（含维修密码及接口数据）、质量保证文件、服务指南等，所有外文资料须提供中文译本。文件应随货物一并交付至采购人指定地点</w:t>
            </w:r>
            <w:r>
              <w:rPr>
                <w:rFonts w:hint="eastAsia" w:ascii="仿宋" w:hAnsi="仿宋" w:eastAsia="仿宋" w:cs="仿宋"/>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760" w:type="dxa"/>
            <w:vMerge w:val="continue"/>
            <w:noWrap w:val="0"/>
            <w:vAlign w:val="center"/>
          </w:tcPr>
          <w:p>
            <w:pPr>
              <w:spacing w:line="360" w:lineRule="auto"/>
              <w:jc w:val="center"/>
              <w:rPr>
                <w:rFonts w:hint="eastAsia" w:ascii="仿宋" w:hAnsi="仿宋" w:eastAsia="仿宋" w:cs="仿宋"/>
                <w:b/>
                <w:color w:val="000000"/>
                <w:sz w:val="24"/>
                <w:szCs w:val="24"/>
              </w:rPr>
            </w:pPr>
          </w:p>
        </w:tc>
        <w:tc>
          <w:tcPr>
            <w:tcW w:w="1062" w:type="dxa"/>
            <w:vMerge w:val="continue"/>
            <w:noWrap w:val="0"/>
            <w:vAlign w:val="center"/>
          </w:tcPr>
          <w:p>
            <w:pPr>
              <w:spacing w:line="360" w:lineRule="auto"/>
              <w:jc w:val="center"/>
              <w:rPr>
                <w:rFonts w:hint="eastAsia" w:ascii="仿宋" w:hAnsi="仿宋" w:eastAsia="仿宋" w:cs="仿宋"/>
                <w:b/>
                <w:bCs/>
                <w:color w:val="000000"/>
                <w:kern w:val="0"/>
                <w:sz w:val="24"/>
                <w:szCs w:val="24"/>
              </w:rPr>
            </w:pPr>
          </w:p>
        </w:tc>
        <w:tc>
          <w:tcPr>
            <w:tcW w:w="6998" w:type="dxa"/>
            <w:noWrap w:val="0"/>
            <w:vAlign w:val="top"/>
          </w:tcPr>
          <w:p>
            <w:pPr>
              <w:spacing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3）</w:t>
            </w:r>
            <w:r>
              <w:rPr>
                <w:rFonts w:hint="eastAsia" w:ascii="仿宋" w:hAnsi="仿宋" w:eastAsia="仿宋" w:cs="仿宋"/>
                <w:bCs/>
                <w:color w:val="000000"/>
                <w:sz w:val="24"/>
                <w:szCs w:val="24"/>
              </w:rPr>
              <w:t>提供的货物必须为全新、经检验合格的产品。产品如需要计量检定的应</w:t>
            </w:r>
            <w:r>
              <w:rPr>
                <w:rFonts w:hint="eastAsia" w:ascii="仿宋" w:hAnsi="仿宋" w:eastAsia="仿宋" w:cs="仿宋"/>
                <w:color w:val="000000"/>
                <w:sz w:val="24"/>
                <w:szCs w:val="24"/>
              </w:rPr>
              <w:t>提供</w:t>
            </w:r>
            <w:r>
              <w:rPr>
                <w:rFonts w:hint="eastAsia" w:ascii="仿宋" w:hAnsi="仿宋" w:eastAsia="仿宋" w:cs="仿宋"/>
                <w:bCs/>
                <w:color w:val="000000"/>
                <w:sz w:val="24"/>
                <w:szCs w:val="24"/>
              </w:rPr>
              <w:t>相关计量检定部门出具的合法检定报告。其中，进口设备必须具有报关证明文件、原产地证明和商检证明文件</w:t>
            </w:r>
            <w:r>
              <w:rPr>
                <w:rFonts w:hint="eastAsia" w:ascii="仿宋" w:hAnsi="仿宋" w:eastAsia="仿宋" w:cs="仿宋"/>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760" w:type="dxa"/>
            <w:vMerge w:val="restart"/>
            <w:noWrap w:val="0"/>
            <w:vAlign w:val="center"/>
          </w:tcPr>
          <w:p>
            <w:pPr>
              <w:spacing w:line="360" w:lineRule="auto"/>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2</w:t>
            </w:r>
          </w:p>
        </w:tc>
        <w:tc>
          <w:tcPr>
            <w:tcW w:w="1062" w:type="dxa"/>
            <w:vMerge w:val="restart"/>
            <w:noWrap w:val="0"/>
            <w:vAlign w:val="center"/>
          </w:tcPr>
          <w:p>
            <w:pPr>
              <w:spacing w:line="360" w:lineRule="auto"/>
              <w:jc w:val="center"/>
              <w:rPr>
                <w:rFonts w:hint="eastAsia" w:ascii="仿宋" w:hAnsi="仿宋" w:eastAsia="仿宋" w:cs="仿宋"/>
                <w:b/>
                <w:color w:val="000000"/>
                <w:sz w:val="24"/>
                <w:szCs w:val="24"/>
              </w:rPr>
            </w:pPr>
            <w:r>
              <w:rPr>
                <w:rFonts w:hint="eastAsia" w:ascii="仿宋" w:hAnsi="仿宋" w:eastAsia="仿宋" w:cs="仿宋"/>
                <w:b/>
                <w:bCs/>
                <w:color w:val="000000"/>
                <w:kern w:val="0"/>
                <w:sz w:val="24"/>
                <w:szCs w:val="24"/>
              </w:rPr>
              <w:t>运输、安装和验收</w:t>
            </w:r>
          </w:p>
        </w:tc>
        <w:tc>
          <w:tcPr>
            <w:tcW w:w="6998" w:type="dxa"/>
            <w:noWrap w:val="0"/>
            <w:vAlign w:val="top"/>
          </w:tcPr>
          <w:p>
            <w:pPr>
              <w:spacing w:line="360" w:lineRule="auto"/>
              <w:rPr>
                <w:rFonts w:hint="eastAsia" w:ascii="仿宋" w:hAnsi="仿宋" w:eastAsia="仿宋" w:cs="仿宋"/>
                <w:color w:val="000000"/>
                <w:kern w:val="0"/>
                <w:sz w:val="24"/>
                <w:szCs w:val="24"/>
              </w:rPr>
            </w:pPr>
            <w:r>
              <w:rPr>
                <w:rFonts w:hint="eastAsia" w:ascii="仿宋" w:hAnsi="仿宋" w:eastAsia="仿宋" w:cs="仿宋"/>
                <w:color w:val="000000"/>
                <w:sz w:val="24"/>
                <w:szCs w:val="24"/>
              </w:rPr>
              <w:t>1）</w:t>
            </w:r>
            <w:r>
              <w:rPr>
                <w:rFonts w:hint="eastAsia" w:ascii="仿宋" w:hAnsi="仿宋" w:eastAsia="仿宋" w:cs="仿宋"/>
                <w:bCs/>
                <w:color w:val="000000"/>
                <w:sz w:val="24"/>
                <w:szCs w:val="24"/>
              </w:rPr>
              <w:t>投标人负责将</w:t>
            </w:r>
            <w:r>
              <w:rPr>
                <w:rFonts w:hint="eastAsia" w:ascii="仿宋" w:hAnsi="仿宋" w:eastAsia="仿宋" w:cs="仿宋"/>
                <w:color w:val="000000"/>
                <w:sz w:val="24"/>
                <w:szCs w:val="24"/>
              </w:rPr>
              <w:t>货物</w:t>
            </w:r>
            <w:r>
              <w:rPr>
                <w:rFonts w:hint="eastAsia" w:ascii="仿宋" w:hAnsi="仿宋" w:eastAsia="仿宋" w:cs="仿宋"/>
                <w:bCs/>
                <w:color w:val="000000"/>
                <w:sz w:val="24"/>
                <w:szCs w:val="24"/>
              </w:rPr>
              <w:t>安全无损运抵采购人指定地点,并承担设备的包装、运输、保险、装卸、安装调试、培训、商检及计量检测、关税、增值税和进口代理等费用</w:t>
            </w:r>
            <w:r>
              <w:rPr>
                <w:rFonts w:hint="eastAsia" w:ascii="仿宋" w:hAnsi="仿宋" w:eastAsia="仿宋" w:cs="仿宋"/>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0" w:type="dxa"/>
            <w:vMerge w:val="continue"/>
            <w:noWrap w:val="0"/>
            <w:vAlign w:val="center"/>
          </w:tcPr>
          <w:p>
            <w:pPr>
              <w:spacing w:line="360" w:lineRule="auto"/>
              <w:jc w:val="center"/>
              <w:rPr>
                <w:rFonts w:hint="eastAsia" w:ascii="仿宋" w:hAnsi="仿宋" w:eastAsia="仿宋" w:cs="仿宋"/>
                <w:b/>
                <w:color w:val="000000"/>
                <w:sz w:val="24"/>
                <w:szCs w:val="24"/>
              </w:rPr>
            </w:pPr>
          </w:p>
        </w:tc>
        <w:tc>
          <w:tcPr>
            <w:tcW w:w="1062" w:type="dxa"/>
            <w:vMerge w:val="continue"/>
            <w:noWrap w:val="0"/>
            <w:vAlign w:val="center"/>
          </w:tcPr>
          <w:p>
            <w:pPr>
              <w:spacing w:line="360" w:lineRule="auto"/>
              <w:jc w:val="center"/>
              <w:rPr>
                <w:rFonts w:hint="eastAsia" w:ascii="仿宋" w:hAnsi="仿宋" w:eastAsia="仿宋" w:cs="仿宋"/>
                <w:b/>
                <w:color w:val="000000"/>
                <w:kern w:val="0"/>
                <w:sz w:val="24"/>
                <w:szCs w:val="24"/>
              </w:rPr>
            </w:pPr>
          </w:p>
        </w:tc>
        <w:tc>
          <w:tcPr>
            <w:tcW w:w="6998" w:type="dxa"/>
            <w:noWrap w:val="0"/>
            <w:vAlign w:val="top"/>
          </w:tcPr>
          <w:p>
            <w:pPr>
              <w:spacing w:line="360" w:lineRule="auto"/>
              <w:rPr>
                <w:rFonts w:hint="eastAsia" w:ascii="仿宋" w:hAnsi="仿宋" w:eastAsia="仿宋" w:cs="仿宋"/>
                <w:bCs/>
                <w:color w:val="000000"/>
                <w:sz w:val="24"/>
                <w:szCs w:val="24"/>
              </w:rPr>
            </w:pPr>
            <w:r>
              <w:rPr>
                <w:rFonts w:hint="eastAsia" w:ascii="仿宋" w:hAnsi="仿宋" w:eastAsia="仿宋" w:cs="仿宋"/>
                <w:color w:val="000000"/>
                <w:sz w:val="24"/>
                <w:szCs w:val="24"/>
              </w:rPr>
              <w:t>2）</w:t>
            </w:r>
            <w:r>
              <w:rPr>
                <w:rFonts w:hint="eastAsia" w:ascii="仿宋" w:hAnsi="仿宋" w:eastAsia="仿宋" w:cs="仿宋"/>
                <w:bCs/>
                <w:color w:val="000000"/>
                <w:sz w:val="24"/>
                <w:szCs w:val="24"/>
              </w:rPr>
              <w:t>采购人有权检验或测试货物，以确认货物是否符合合同规格的要求。如果发现所交货物与投标文件中所承诺的不符或存在质量、技术缺陷等,采购人可以拒绝接收该货物,投标人应在</w:t>
            </w:r>
            <w:r>
              <w:rPr>
                <w:rFonts w:hint="eastAsia" w:ascii="仿宋" w:hAnsi="仿宋" w:eastAsia="仿宋" w:cs="仿宋"/>
                <w:bCs/>
                <w:color w:val="000000"/>
                <w:sz w:val="24"/>
                <w:szCs w:val="24"/>
                <w:u w:val="single"/>
              </w:rPr>
              <w:t xml:space="preserve"> 7</w:t>
            </w:r>
            <w:r>
              <w:rPr>
                <w:rFonts w:hint="eastAsia" w:ascii="仿宋" w:hAnsi="仿宋" w:eastAsia="仿宋" w:cs="仿宋"/>
                <w:bCs/>
                <w:color w:val="000000"/>
                <w:sz w:val="24"/>
                <w:szCs w:val="24"/>
              </w:rPr>
              <w:t>天内采取补足、更换或退货等措施,以满足规格的要求，由此发生的一切损失和费用由投标人承担</w:t>
            </w:r>
            <w:r>
              <w:rPr>
                <w:rFonts w:hint="eastAsia" w:ascii="仿宋" w:hAnsi="仿宋" w:eastAsia="仿宋" w:cs="仿宋"/>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0" w:type="dxa"/>
            <w:vMerge w:val="continue"/>
            <w:noWrap w:val="0"/>
            <w:vAlign w:val="center"/>
          </w:tcPr>
          <w:p>
            <w:pPr>
              <w:spacing w:line="360" w:lineRule="auto"/>
              <w:jc w:val="center"/>
              <w:rPr>
                <w:rFonts w:hint="eastAsia" w:ascii="仿宋" w:hAnsi="仿宋" w:eastAsia="仿宋" w:cs="仿宋"/>
                <w:b/>
                <w:color w:val="000000"/>
                <w:sz w:val="24"/>
                <w:szCs w:val="24"/>
              </w:rPr>
            </w:pPr>
          </w:p>
        </w:tc>
        <w:tc>
          <w:tcPr>
            <w:tcW w:w="1062" w:type="dxa"/>
            <w:vMerge w:val="continue"/>
            <w:noWrap w:val="0"/>
            <w:vAlign w:val="center"/>
          </w:tcPr>
          <w:p>
            <w:pPr>
              <w:spacing w:line="360" w:lineRule="auto"/>
              <w:jc w:val="center"/>
              <w:rPr>
                <w:rFonts w:hint="eastAsia" w:ascii="仿宋" w:hAnsi="仿宋" w:eastAsia="仿宋" w:cs="仿宋"/>
                <w:b/>
                <w:color w:val="000000"/>
                <w:kern w:val="0"/>
                <w:sz w:val="24"/>
                <w:szCs w:val="24"/>
              </w:rPr>
            </w:pPr>
          </w:p>
        </w:tc>
        <w:tc>
          <w:tcPr>
            <w:tcW w:w="6998" w:type="dxa"/>
            <w:noWrap w:val="0"/>
            <w:vAlign w:val="top"/>
          </w:tcPr>
          <w:p>
            <w:pPr>
              <w:spacing w:line="360" w:lineRule="auto"/>
              <w:rPr>
                <w:rFonts w:hint="eastAsia" w:ascii="仿宋" w:hAnsi="仿宋" w:eastAsia="仿宋" w:cs="仿宋"/>
                <w:bCs/>
                <w:color w:val="000000"/>
                <w:sz w:val="24"/>
                <w:szCs w:val="24"/>
              </w:rPr>
            </w:pPr>
            <w:r>
              <w:rPr>
                <w:rFonts w:hint="eastAsia" w:ascii="仿宋" w:hAnsi="仿宋" w:eastAsia="仿宋" w:cs="仿宋"/>
                <w:color w:val="000000"/>
                <w:sz w:val="24"/>
                <w:szCs w:val="24"/>
              </w:rPr>
              <w:t>3）投标人负责货物的现场安装和调试,提供货物安装、调试和维修所需的专用工具和辅助材料。投标人应在货物运至指定地点后一周内开始安装调试,并在</w:t>
            </w:r>
            <w:r>
              <w:rPr>
                <w:rFonts w:hint="eastAsia" w:ascii="仿宋" w:hAnsi="仿宋" w:eastAsia="仿宋" w:cs="仿宋"/>
                <w:bCs/>
                <w:color w:val="000000"/>
                <w:sz w:val="24"/>
                <w:szCs w:val="24"/>
                <w:u w:val="single"/>
              </w:rPr>
              <w:t xml:space="preserve"> 5 </w:t>
            </w:r>
            <w:r>
              <w:rPr>
                <w:rFonts w:hint="eastAsia" w:ascii="仿宋" w:hAnsi="仿宋" w:eastAsia="仿宋" w:cs="仿宋"/>
                <w:color w:val="000000"/>
                <w:sz w:val="24"/>
                <w:szCs w:val="24"/>
              </w:rPr>
              <w:t>天内安装调试完毕。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0" w:type="dxa"/>
            <w:vMerge w:val="continue"/>
            <w:noWrap w:val="0"/>
            <w:vAlign w:val="center"/>
          </w:tcPr>
          <w:p>
            <w:pPr>
              <w:spacing w:line="360" w:lineRule="auto"/>
              <w:jc w:val="center"/>
              <w:rPr>
                <w:rFonts w:hint="eastAsia" w:ascii="仿宋" w:hAnsi="仿宋" w:eastAsia="仿宋" w:cs="仿宋"/>
                <w:b/>
                <w:color w:val="000000"/>
                <w:sz w:val="24"/>
                <w:szCs w:val="24"/>
              </w:rPr>
            </w:pPr>
          </w:p>
        </w:tc>
        <w:tc>
          <w:tcPr>
            <w:tcW w:w="1062" w:type="dxa"/>
            <w:vMerge w:val="continue"/>
            <w:noWrap w:val="0"/>
            <w:vAlign w:val="center"/>
          </w:tcPr>
          <w:p>
            <w:pPr>
              <w:spacing w:line="360" w:lineRule="auto"/>
              <w:jc w:val="center"/>
              <w:rPr>
                <w:rFonts w:hint="eastAsia" w:ascii="仿宋" w:hAnsi="仿宋" w:eastAsia="仿宋" w:cs="仿宋"/>
                <w:b/>
                <w:color w:val="000000"/>
                <w:kern w:val="0"/>
                <w:sz w:val="24"/>
                <w:szCs w:val="24"/>
              </w:rPr>
            </w:pPr>
          </w:p>
        </w:tc>
        <w:tc>
          <w:tcPr>
            <w:tcW w:w="6998" w:type="dxa"/>
            <w:noWrap w:val="0"/>
            <w:vAlign w:val="top"/>
          </w:tcPr>
          <w:p>
            <w:pPr>
              <w:spacing w:line="360" w:lineRule="auto"/>
              <w:rPr>
                <w:rFonts w:hint="eastAsia" w:ascii="仿宋" w:hAnsi="仿宋" w:eastAsia="仿宋" w:cs="仿宋"/>
                <w:bCs/>
                <w:color w:val="000000"/>
                <w:sz w:val="24"/>
                <w:szCs w:val="24"/>
              </w:rPr>
            </w:pPr>
            <w:r>
              <w:rPr>
                <w:rFonts w:hint="eastAsia" w:ascii="仿宋" w:hAnsi="仿宋" w:eastAsia="仿宋" w:cs="仿宋"/>
                <w:color w:val="000000"/>
                <w:sz w:val="24"/>
                <w:szCs w:val="24"/>
              </w:rPr>
              <w:t>4）由中标人代表和采购人组成验收小组对产品进行验收。验收标准按照国家规定标准执行。经检验设备正常运作后签署验收报告,产品保修期自验收合格之日起算。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0" w:type="dxa"/>
            <w:noWrap w:val="0"/>
            <w:vAlign w:val="center"/>
          </w:tcPr>
          <w:p>
            <w:pPr>
              <w:spacing w:line="360" w:lineRule="auto"/>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3</w:t>
            </w:r>
          </w:p>
        </w:tc>
        <w:tc>
          <w:tcPr>
            <w:tcW w:w="1062" w:type="dxa"/>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b/>
                <w:color w:val="000000"/>
                <w:kern w:val="0"/>
                <w:sz w:val="24"/>
                <w:szCs w:val="24"/>
              </w:rPr>
              <w:t>培训</w:t>
            </w:r>
          </w:p>
        </w:tc>
        <w:tc>
          <w:tcPr>
            <w:tcW w:w="6998" w:type="dxa"/>
            <w:noWrap w:val="0"/>
            <w:vAlign w:val="top"/>
          </w:tcPr>
          <w:p>
            <w:pPr>
              <w:spacing w:line="360" w:lineRule="auto"/>
              <w:jc w:val="left"/>
              <w:rPr>
                <w:rFonts w:hint="eastAsia" w:ascii="仿宋" w:hAnsi="仿宋" w:eastAsia="仿宋" w:cs="仿宋"/>
                <w:bCs/>
                <w:color w:val="000000"/>
                <w:sz w:val="24"/>
                <w:szCs w:val="24"/>
              </w:rPr>
            </w:pPr>
            <w:r>
              <w:rPr>
                <w:rFonts w:hint="eastAsia" w:ascii="仿宋" w:hAnsi="仿宋" w:eastAsia="仿宋" w:cs="仿宋"/>
                <w:bCs/>
                <w:color w:val="000000"/>
                <w:sz w:val="24"/>
                <w:szCs w:val="24"/>
              </w:rPr>
              <w:t>中标人应派专业技术人员免费对采购单位指定人员进行定期培训及指导，直至其完全掌握设备的基本故障处理技术</w:t>
            </w:r>
            <w:r>
              <w:rPr>
                <w:rFonts w:hint="eastAsia" w:ascii="仿宋" w:hAnsi="仿宋" w:eastAsia="仿宋" w:cs="仿宋"/>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760" w:type="dxa"/>
            <w:vMerge w:val="restart"/>
            <w:noWrap w:val="0"/>
            <w:vAlign w:val="center"/>
          </w:tcPr>
          <w:p>
            <w:pPr>
              <w:spacing w:line="360" w:lineRule="auto"/>
              <w:jc w:val="center"/>
              <w:rPr>
                <w:rFonts w:hint="eastAsia" w:ascii="仿宋" w:hAnsi="仿宋" w:eastAsia="仿宋" w:cs="仿宋"/>
                <w:b/>
                <w:color w:val="000000"/>
                <w:sz w:val="24"/>
                <w:szCs w:val="24"/>
              </w:rPr>
            </w:pPr>
            <w:r>
              <w:rPr>
                <w:rFonts w:hint="eastAsia" w:ascii="仿宋" w:hAnsi="仿宋" w:eastAsia="仿宋" w:cs="仿宋"/>
                <w:b/>
                <w:color w:val="000000"/>
                <w:kern w:val="0"/>
                <w:sz w:val="24"/>
                <w:szCs w:val="24"/>
              </w:rPr>
              <w:t>4</w:t>
            </w:r>
          </w:p>
        </w:tc>
        <w:tc>
          <w:tcPr>
            <w:tcW w:w="1062" w:type="dxa"/>
            <w:vMerge w:val="restart"/>
            <w:noWrap w:val="0"/>
            <w:vAlign w:val="center"/>
          </w:tcPr>
          <w:p>
            <w:pPr>
              <w:spacing w:line="360" w:lineRule="auto"/>
              <w:jc w:val="center"/>
              <w:rPr>
                <w:rFonts w:hint="eastAsia" w:ascii="仿宋" w:hAnsi="仿宋" w:eastAsia="仿宋" w:cs="仿宋"/>
                <w:b/>
                <w:color w:val="000000"/>
                <w:sz w:val="24"/>
                <w:szCs w:val="24"/>
              </w:rPr>
            </w:pPr>
            <w:r>
              <w:rPr>
                <w:rFonts w:hint="eastAsia" w:ascii="仿宋" w:hAnsi="仿宋" w:eastAsia="仿宋" w:cs="仿宋"/>
                <w:b/>
                <w:color w:val="000000"/>
                <w:kern w:val="0"/>
                <w:sz w:val="24"/>
                <w:szCs w:val="24"/>
              </w:rPr>
              <w:t>知识产权</w:t>
            </w:r>
          </w:p>
        </w:tc>
        <w:tc>
          <w:tcPr>
            <w:tcW w:w="6998" w:type="dxa"/>
            <w:noWrap w:val="0"/>
            <w:vAlign w:val="top"/>
          </w:tcPr>
          <w:p>
            <w:pPr>
              <w:spacing w:line="360" w:lineRule="auto"/>
              <w:rPr>
                <w:rFonts w:hint="eastAsia" w:ascii="仿宋" w:hAnsi="仿宋" w:eastAsia="仿宋" w:cs="仿宋"/>
                <w:b/>
                <w:color w:val="000000"/>
                <w:sz w:val="24"/>
                <w:szCs w:val="24"/>
              </w:rPr>
            </w:pPr>
            <w:r>
              <w:rPr>
                <w:rFonts w:hint="eastAsia" w:ascii="仿宋" w:hAnsi="仿宋" w:eastAsia="仿宋" w:cs="仿宋"/>
                <w:bCs/>
                <w:color w:val="000000"/>
                <w:sz w:val="24"/>
                <w:szCs w:val="24"/>
              </w:rPr>
              <w:t>1）投标人应保证采购人在使用该货物或其任何一部分时，免受第三方</w:t>
            </w:r>
            <w:r>
              <w:rPr>
                <w:rFonts w:hint="eastAsia" w:ascii="仿宋" w:hAnsi="仿宋" w:eastAsia="仿宋" w:cs="仿宋"/>
                <w:color w:val="000000"/>
                <w:sz w:val="24"/>
                <w:szCs w:val="24"/>
              </w:rPr>
              <w:t>提出</w:t>
            </w:r>
            <w:r>
              <w:rPr>
                <w:rFonts w:hint="eastAsia" w:ascii="仿宋" w:hAnsi="仿宋" w:eastAsia="仿宋" w:cs="仿宋"/>
                <w:bCs/>
                <w:color w:val="000000"/>
                <w:sz w:val="24"/>
                <w:szCs w:val="24"/>
              </w:rPr>
              <w:t>的侵犯其专利权、商标权、著作权或其它知识产权的起诉。投标人保证所提供软件的合法性，所发生的任何知识产权纠纷与采购人无关。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760" w:type="dxa"/>
            <w:vMerge w:val="continue"/>
            <w:noWrap w:val="0"/>
            <w:vAlign w:val="center"/>
          </w:tcPr>
          <w:p>
            <w:pPr>
              <w:spacing w:line="360" w:lineRule="auto"/>
              <w:jc w:val="center"/>
              <w:rPr>
                <w:rFonts w:hint="eastAsia" w:ascii="仿宋" w:hAnsi="仿宋" w:eastAsia="仿宋" w:cs="仿宋"/>
                <w:b/>
                <w:color w:val="000000"/>
                <w:sz w:val="24"/>
                <w:szCs w:val="24"/>
              </w:rPr>
            </w:pPr>
          </w:p>
        </w:tc>
        <w:tc>
          <w:tcPr>
            <w:tcW w:w="1062" w:type="dxa"/>
            <w:vMerge w:val="continue"/>
            <w:noWrap w:val="0"/>
            <w:vAlign w:val="center"/>
          </w:tcPr>
          <w:p>
            <w:pPr>
              <w:tabs>
                <w:tab w:val="left" w:pos="1260"/>
              </w:tabs>
              <w:spacing w:line="360" w:lineRule="auto"/>
              <w:jc w:val="center"/>
              <w:rPr>
                <w:rFonts w:hint="eastAsia" w:ascii="仿宋" w:hAnsi="仿宋" w:eastAsia="仿宋" w:cs="仿宋"/>
                <w:b/>
                <w:bCs/>
                <w:color w:val="000000"/>
                <w:kern w:val="0"/>
                <w:sz w:val="24"/>
                <w:szCs w:val="24"/>
              </w:rPr>
            </w:pPr>
          </w:p>
        </w:tc>
        <w:tc>
          <w:tcPr>
            <w:tcW w:w="6998" w:type="dxa"/>
            <w:noWrap w:val="0"/>
            <w:vAlign w:val="top"/>
          </w:tcPr>
          <w:p>
            <w:pPr>
              <w:spacing w:line="360" w:lineRule="auto"/>
              <w:rPr>
                <w:rFonts w:hint="eastAsia" w:ascii="仿宋" w:hAnsi="仿宋" w:eastAsia="仿宋" w:cs="仿宋"/>
                <w:color w:val="000000"/>
                <w:sz w:val="24"/>
                <w:szCs w:val="24"/>
              </w:rPr>
            </w:pPr>
            <w:r>
              <w:rPr>
                <w:rFonts w:hint="eastAsia" w:ascii="仿宋" w:hAnsi="仿宋" w:eastAsia="仿宋" w:cs="仿宋"/>
                <w:bCs/>
                <w:color w:val="000000"/>
                <w:sz w:val="24"/>
                <w:szCs w:val="24"/>
              </w:rPr>
              <w:t>2）采购人购买产品后，有权对该产品与其他设备进行配套、整合或适当改进，而免受侵犯专利权的起诉。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760" w:type="dxa"/>
            <w:noWrap w:val="0"/>
            <w:vAlign w:val="center"/>
          </w:tcPr>
          <w:p>
            <w:pPr>
              <w:spacing w:line="360" w:lineRule="auto"/>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5</w:t>
            </w:r>
          </w:p>
        </w:tc>
        <w:tc>
          <w:tcPr>
            <w:tcW w:w="1062" w:type="dxa"/>
            <w:noWrap w:val="0"/>
            <w:vAlign w:val="center"/>
          </w:tcPr>
          <w:p>
            <w:pPr>
              <w:tabs>
                <w:tab w:val="left" w:pos="1260"/>
              </w:tabs>
              <w:spacing w:line="360" w:lineRule="auto"/>
              <w:jc w:val="center"/>
              <w:rPr>
                <w:rFonts w:hint="eastAsia" w:ascii="仿宋" w:hAnsi="仿宋" w:eastAsia="仿宋" w:cs="仿宋"/>
                <w:b/>
                <w:color w:val="000000"/>
                <w:sz w:val="24"/>
                <w:szCs w:val="24"/>
              </w:rPr>
            </w:pPr>
            <w:r>
              <w:rPr>
                <w:rFonts w:hint="eastAsia" w:ascii="仿宋" w:hAnsi="仿宋" w:eastAsia="仿宋" w:cs="仿宋"/>
                <w:b/>
                <w:bCs/>
                <w:color w:val="000000"/>
                <w:kern w:val="0"/>
                <w:sz w:val="24"/>
                <w:szCs w:val="24"/>
              </w:rPr>
              <w:t>付款方式</w:t>
            </w:r>
          </w:p>
        </w:tc>
        <w:tc>
          <w:tcPr>
            <w:tcW w:w="6998" w:type="dxa"/>
            <w:noWrap w:val="0"/>
            <w:vAlign w:val="top"/>
          </w:tcPr>
          <w:p>
            <w:pPr>
              <w:tabs>
                <w:tab w:val="left" w:pos="1260"/>
              </w:tabs>
              <w:spacing w:line="360" w:lineRule="auto"/>
              <w:rPr>
                <w:rFonts w:hint="eastAsia" w:ascii="仿宋" w:hAnsi="仿宋" w:eastAsia="仿宋" w:cs="仿宋"/>
                <w:color w:val="000000"/>
                <w:kern w:val="0"/>
                <w:sz w:val="24"/>
                <w:szCs w:val="24"/>
              </w:rPr>
            </w:pPr>
            <w:r>
              <w:rPr>
                <w:rFonts w:hint="eastAsia" w:ascii="仿宋" w:hAnsi="仿宋" w:eastAsia="仿宋" w:cs="仿宋"/>
                <w:color w:val="auto"/>
                <w:sz w:val="24"/>
                <w:szCs w:val="24"/>
              </w:rPr>
              <w:t>合同签订后，乙方支付合同总金额的5%作为履约保证金；甲方收到乙方履约保证金并且收到乙方开具的50%合同总金额发票后，向乙方支付50%预付款；乙方将货物送到指定地点、验收合格并提供剩余50%合同总金额发票后，甲方向乙方支付合同总金额的50%货款；设备验收合同后，乙方向甲方申请退回该履约保证金，甲方收到申请审核同意后，无息返还乙方的履约保证金。因乙方原因而未能达到本项目验收标准或验收不通过的，履约保证金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760" w:type="dxa"/>
            <w:vMerge w:val="restart"/>
            <w:noWrap w:val="0"/>
            <w:vAlign w:val="center"/>
          </w:tcPr>
          <w:p>
            <w:pPr>
              <w:spacing w:line="360" w:lineRule="auto"/>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6</w:t>
            </w:r>
          </w:p>
        </w:tc>
        <w:tc>
          <w:tcPr>
            <w:tcW w:w="1062" w:type="dxa"/>
            <w:vMerge w:val="restart"/>
            <w:noWrap w:val="0"/>
            <w:vAlign w:val="center"/>
          </w:tcPr>
          <w:p>
            <w:pPr>
              <w:spacing w:line="360" w:lineRule="auto"/>
              <w:jc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违约责任</w:t>
            </w:r>
          </w:p>
        </w:tc>
        <w:tc>
          <w:tcPr>
            <w:tcW w:w="6998" w:type="dxa"/>
            <w:noWrap w:val="0"/>
            <w:vAlign w:val="top"/>
          </w:tcPr>
          <w:p>
            <w:pPr>
              <w:spacing w:line="360" w:lineRule="auto"/>
              <w:rPr>
                <w:rFonts w:hint="eastAsia" w:ascii="仿宋" w:hAnsi="仿宋" w:eastAsia="仿宋" w:cs="仿宋"/>
                <w:bCs/>
                <w:color w:val="000000"/>
                <w:kern w:val="0"/>
                <w:sz w:val="24"/>
                <w:szCs w:val="24"/>
              </w:rPr>
            </w:pPr>
            <w:r>
              <w:rPr>
                <w:rFonts w:hint="eastAsia" w:ascii="仿宋" w:hAnsi="仿宋" w:eastAsia="仿宋" w:cs="仿宋"/>
                <w:bCs/>
                <w:color w:val="000000"/>
                <w:sz w:val="24"/>
                <w:szCs w:val="24"/>
              </w:rPr>
              <w:t>1）如中标人未按照投标文件中承诺的时间交货或提供服务，中标人</w:t>
            </w:r>
            <w:r>
              <w:rPr>
                <w:rFonts w:hint="eastAsia" w:ascii="仿宋" w:hAnsi="仿宋" w:eastAsia="仿宋" w:cs="仿宋"/>
                <w:color w:val="000000"/>
                <w:sz w:val="24"/>
                <w:szCs w:val="24"/>
              </w:rPr>
              <w:t>应承担</w:t>
            </w:r>
            <w:r>
              <w:rPr>
                <w:rFonts w:hint="eastAsia" w:ascii="仿宋" w:hAnsi="仿宋" w:eastAsia="仿宋" w:cs="仿宋"/>
                <w:bCs/>
                <w:color w:val="000000"/>
                <w:sz w:val="24"/>
                <w:szCs w:val="24"/>
              </w:rPr>
              <w:t>延期交货和延期服务的违约责任，并赔偿采购人因此造成的实际经济损失。实际经济损失超出履约保证金额，采购人有权终止合同。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760" w:type="dxa"/>
            <w:vMerge w:val="continue"/>
            <w:noWrap w:val="0"/>
            <w:vAlign w:val="center"/>
          </w:tcPr>
          <w:p>
            <w:pPr>
              <w:spacing w:line="360" w:lineRule="auto"/>
              <w:jc w:val="center"/>
              <w:rPr>
                <w:rFonts w:hint="eastAsia" w:ascii="仿宋" w:hAnsi="仿宋" w:eastAsia="仿宋" w:cs="仿宋"/>
                <w:b/>
                <w:color w:val="000000"/>
                <w:sz w:val="24"/>
                <w:szCs w:val="24"/>
              </w:rPr>
            </w:pPr>
          </w:p>
        </w:tc>
        <w:tc>
          <w:tcPr>
            <w:tcW w:w="1062" w:type="dxa"/>
            <w:vMerge w:val="continue"/>
            <w:noWrap w:val="0"/>
            <w:vAlign w:val="center"/>
          </w:tcPr>
          <w:p>
            <w:pPr>
              <w:spacing w:line="360" w:lineRule="auto"/>
              <w:jc w:val="center"/>
              <w:rPr>
                <w:rFonts w:hint="eastAsia" w:ascii="仿宋" w:hAnsi="仿宋" w:eastAsia="仿宋" w:cs="仿宋"/>
                <w:b/>
                <w:color w:val="000000"/>
                <w:kern w:val="0"/>
                <w:sz w:val="24"/>
                <w:szCs w:val="24"/>
              </w:rPr>
            </w:pPr>
          </w:p>
        </w:tc>
        <w:tc>
          <w:tcPr>
            <w:tcW w:w="6998" w:type="dxa"/>
            <w:noWrap w:val="0"/>
            <w:vAlign w:val="center"/>
          </w:tcPr>
          <w:p>
            <w:pPr>
              <w:spacing w:line="360" w:lineRule="auto"/>
              <w:rPr>
                <w:rFonts w:hint="eastAsia" w:ascii="仿宋" w:hAnsi="仿宋" w:eastAsia="仿宋" w:cs="仿宋"/>
                <w:bCs/>
                <w:color w:val="000000"/>
                <w:sz w:val="24"/>
                <w:szCs w:val="24"/>
              </w:rPr>
            </w:pPr>
            <w:r>
              <w:rPr>
                <w:rFonts w:hint="eastAsia" w:ascii="仿宋" w:hAnsi="仿宋" w:eastAsia="仿宋" w:cs="仿宋"/>
                <w:bCs/>
                <w:color w:val="000000"/>
                <w:sz w:val="24"/>
                <w:szCs w:val="24"/>
              </w:rPr>
              <w:t>2）中标人所交设备的品种、型号、规格、质量、功能、技术参数等方面不能实质性满足招标文件要约的，采购人有权拒绝收货，中标人向采购人偿付项目采购金额千分之</w:t>
            </w:r>
            <w:r>
              <w:rPr>
                <w:rFonts w:hint="eastAsia" w:ascii="仿宋" w:hAnsi="仿宋" w:eastAsia="仿宋" w:cs="仿宋"/>
                <w:bCs/>
                <w:color w:val="000000"/>
                <w:sz w:val="24"/>
                <w:szCs w:val="24"/>
                <w:u w:val="single"/>
              </w:rPr>
              <w:t xml:space="preserve"> 10 </w:t>
            </w:r>
            <w:r>
              <w:rPr>
                <w:rFonts w:hint="eastAsia" w:ascii="仿宋" w:hAnsi="仿宋" w:eastAsia="仿宋" w:cs="仿宋"/>
                <w:bCs/>
                <w:color w:val="000000"/>
                <w:sz w:val="24"/>
                <w:szCs w:val="24"/>
              </w:rPr>
              <w:t>的违约金；造成严重后果的，根据《深圳经济特区政府采购条例》第五十七条第（二）款规定，由主管部门对中标人进行处罚。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760" w:type="dxa"/>
            <w:vMerge w:val="continue"/>
            <w:noWrap w:val="0"/>
            <w:vAlign w:val="center"/>
          </w:tcPr>
          <w:p>
            <w:pPr>
              <w:spacing w:line="360" w:lineRule="auto"/>
              <w:jc w:val="center"/>
              <w:rPr>
                <w:rFonts w:hint="eastAsia" w:ascii="仿宋" w:hAnsi="仿宋" w:eastAsia="仿宋" w:cs="仿宋"/>
                <w:b/>
                <w:color w:val="000000"/>
                <w:sz w:val="24"/>
                <w:szCs w:val="24"/>
              </w:rPr>
            </w:pPr>
          </w:p>
        </w:tc>
        <w:tc>
          <w:tcPr>
            <w:tcW w:w="1062" w:type="dxa"/>
            <w:vMerge w:val="continue"/>
            <w:noWrap w:val="0"/>
            <w:vAlign w:val="center"/>
          </w:tcPr>
          <w:p>
            <w:pPr>
              <w:spacing w:line="360" w:lineRule="auto"/>
              <w:jc w:val="center"/>
              <w:rPr>
                <w:rFonts w:hint="eastAsia" w:ascii="仿宋" w:hAnsi="仿宋" w:eastAsia="仿宋" w:cs="仿宋"/>
                <w:b/>
                <w:color w:val="000000"/>
                <w:kern w:val="0"/>
                <w:sz w:val="24"/>
                <w:szCs w:val="24"/>
              </w:rPr>
            </w:pPr>
          </w:p>
        </w:tc>
        <w:tc>
          <w:tcPr>
            <w:tcW w:w="6998" w:type="dxa"/>
            <w:noWrap w:val="0"/>
            <w:vAlign w:val="center"/>
          </w:tcPr>
          <w:p>
            <w:pPr>
              <w:spacing w:line="360" w:lineRule="auto"/>
              <w:rPr>
                <w:rFonts w:hint="eastAsia" w:ascii="仿宋" w:hAnsi="仿宋" w:eastAsia="仿宋" w:cs="仿宋"/>
                <w:bCs/>
                <w:color w:val="000000"/>
                <w:sz w:val="24"/>
                <w:szCs w:val="24"/>
              </w:rPr>
            </w:pPr>
            <w:r>
              <w:rPr>
                <w:rFonts w:hint="eastAsia" w:ascii="仿宋" w:hAnsi="仿宋" w:eastAsia="仿宋" w:cs="仿宋"/>
                <w:bCs/>
                <w:color w:val="000000"/>
                <w:sz w:val="24"/>
                <w:szCs w:val="24"/>
              </w:rPr>
              <w:t>3）投标人不能交付设备的，投标人向采购人偿付项目采购金额百分之</w:t>
            </w:r>
            <w:r>
              <w:rPr>
                <w:rFonts w:hint="eastAsia" w:ascii="仿宋" w:hAnsi="仿宋" w:eastAsia="仿宋" w:cs="仿宋"/>
                <w:bCs/>
                <w:color w:val="000000"/>
                <w:sz w:val="24"/>
                <w:szCs w:val="24"/>
                <w:u w:val="single"/>
              </w:rPr>
              <w:t xml:space="preserve"> 十 </w:t>
            </w:r>
            <w:r>
              <w:rPr>
                <w:rFonts w:hint="eastAsia" w:ascii="仿宋" w:hAnsi="仿宋" w:eastAsia="仿宋" w:cs="仿宋"/>
                <w:bCs/>
                <w:color w:val="000000"/>
                <w:sz w:val="24"/>
                <w:szCs w:val="24"/>
              </w:rPr>
              <w:t>的违约金；造成严重后果的，根据《深圳经济特区政府采购条例》第五十七条第（二）款规定，由主管部门对中标人进行处罚。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760" w:type="dxa"/>
            <w:vMerge w:val="continue"/>
            <w:noWrap w:val="0"/>
            <w:vAlign w:val="center"/>
          </w:tcPr>
          <w:p>
            <w:pPr>
              <w:spacing w:line="360" w:lineRule="auto"/>
              <w:jc w:val="center"/>
              <w:rPr>
                <w:rFonts w:hint="eastAsia" w:ascii="仿宋" w:hAnsi="仿宋" w:eastAsia="仿宋" w:cs="仿宋"/>
                <w:b/>
                <w:color w:val="000000"/>
                <w:sz w:val="24"/>
                <w:szCs w:val="24"/>
              </w:rPr>
            </w:pPr>
          </w:p>
        </w:tc>
        <w:tc>
          <w:tcPr>
            <w:tcW w:w="1062" w:type="dxa"/>
            <w:vMerge w:val="continue"/>
            <w:noWrap w:val="0"/>
            <w:vAlign w:val="center"/>
          </w:tcPr>
          <w:p>
            <w:pPr>
              <w:spacing w:line="360" w:lineRule="auto"/>
              <w:jc w:val="center"/>
              <w:rPr>
                <w:rFonts w:hint="eastAsia" w:ascii="仿宋" w:hAnsi="仿宋" w:eastAsia="仿宋" w:cs="仿宋"/>
                <w:b/>
                <w:color w:val="000000"/>
                <w:kern w:val="0"/>
                <w:sz w:val="24"/>
                <w:szCs w:val="24"/>
              </w:rPr>
            </w:pPr>
          </w:p>
        </w:tc>
        <w:tc>
          <w:tcPr>
            <w:tcW w:w="6998" w:type="dxa"/>
            <w:noWrap w:val="0"/>
            <w:vAlign w:val="center"/>
          </w:tcPr>
          <w:p>
            <w:pPr>
              <w:spacing w:line="360" w:lineRule="auto"/>
              <w:rPr>
                <w:rFonts w:hint="eastAsia" w:ascii="仿宋" w:hAnsi="仿宋" w:eastAsia="仿宋" w:cs="仿宋"/>
                <w:bCs/>
                <w:color w:val="000000"/>
                <w:sz w:val="24"/>
                <w:szCs w:val="24"/>
              </w:rPr>
            </w:pPr>
            <w:r>
              <w:rPr>
                <w:rFonts w:hint="eastAsia" w:ascii="仿宋" w:hAnsi="仿宋" w:eastAsia="仿宋" w:cs="仿宋"/>
                <w:bCs/>
                <w:color w:val="000000"/>
                <w:sz w:val="24"/>
                <w:szCs w:val="24"/>
              </w:rPr>
              <w:t>4）中标人逾期未交设备的，中标人向采购人每日偿付设备款千分之</w:t>
            </w:r>
            <w:r>
              <w:rPr>
                <w:rFonts w:hint="eastAsia" w:ascii="仿宋" w:hAnsi="仿宋" w:eastAsia="仿宋" w:cs="仿宋"/>
                <w:bCs/>
                <w:color w:val="000000"/>
                <w:sz w:val="24"/>
                <w:szCs w:val="24"/>
                <w:u w:val="single"/>
              </w:rPr>
              <w:t xml:space="preserve"> 1</w:t>
            </w:r>
            <w:r>
              <w:rPr>
                <w:rFonts w:hint="eastAsia" w:ascii="仿宋" w:hAnsi="仿宋" w:eastAsia="仿宋" w:cs="仿宋"/>
                <w:bCs/>
                <w:color w:val="000000"/>
                <w:sz w:val="24"/>
                <w:szCs w:val="24"/>
              </w:rPr>
              <w:t>的违约金。中标人超过交货期限</w:t>
            </w:r>
            <w:r>
              <w:rPr>
                <w:rFonts w:hint="eastAsia" w:ascii="仿宋" w:hAnsi="仿宋" w:eastAsia="仿宋" w:cs="仿宋"/>
                <w:bCs/>
                <w:color w:val="000000"/>
                <w:sz w:val="24"/>
                <w:szCs w:val="24"/>
                <w:u w:val="single"/>
              </w:rPr>
              <w:t xml:space="preserve"> 10 </w:t>
            </w:r>
            <w:r>
              <w:rPr>
                <w:rFonts w:hint="eastAsia" w:ascii="仿宋" w:hAnsi="仿宋" w:eastAsia="仿宋" w:cs="仿宋"/>
                <w:bCs/>
                <w:color w:val="000000"/>
                <w:sz w:val="24"/>
                <w:szCs w:val="24"/>
              </w:rPr>
              <w:t>日仍未交货，采购人有权解除合同。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760" w:type="dxa"/>
            <w:vMerge w:val="continue"/>
            <w:noWrap w:val="0"/>
            <w:vAlign w:val="center"/>
          </w:tcPr>
          <w:p>
            <w:pPr>
              <w:spacing w:line="360" w:lineRule="auto"/>
              <w:jc w:val="center"/>
              <w:rPr>
                <w:rFonts w:hint="eastAsia" w:ascii="仿宋" w:hAnsi="仿宋" w:eastAsia="仿宋" w:cs="仿宋"/>
                <w:b/>
                <w:color w:val="000000"/>
                <w:sz w:val="24"/>
                <w:szCs w:val="24"/>
              </w:rPr>
            </w:pPr>
          </w:p>
        </w:tc>
        <w:tc>
          <w:tcPr>
            <w:tcW w:w="1062" w:type="dxa"/>
            <w:vMerge w:val="continue"/>
            <w:noWrap w:val="0"/>
            <w:vAlign w:val="center"/>
          </w:tcPr>
          <w:p>
            <w:pPr>
              <w:spacing w:line="360" w:lineRule="auto"/>
              <w:jc w:val="center"/>
              <w:rPr>
                <w:rFonts w:hint="eastAsia" w:ascii="仿宋" w:hAnsi="仿宋" w:eastAsia="仿宋" w:cs="仿宋"/>
                <w:b/>
                <w:color w:val="000000"/>
                <w:kern w:val="0"/>
                <w:sz w:val="24"/>
                <w:szCs w:val="24"/>
              </w:rPr>
            </w:pPr>
          </w:p>
        </w:tc>
        <w:tc>
          <w:tcPr>
            <w:tcW w:w="6998" w:type="dxa"/>
            <w:noWrap w:val="0"/>
            <w:vAlign w:val="center"/>
          </w:tcPr>
          <w:p>
            <w:pPr>
              <w:spacing w:line="360" w:lineRule="auto"/>
              <w:rPr>
                <w:rFonts w:hint="eastAsia" w:ascii="仿宋" w:hAnsi="仿宋" w:eastAsia="仿宋" w:cs="仿宋"/>
                <w:bCs/>
                <w:color w:val="000000"/>
                <w:sz w:val="24"/>
                <w:szCs w:val="24"/>
              </w:rPr>
            </w:pPr>
            <w:r>
              <w:rPr>
                <w:rFonts w:hint="eastAsia" w:ascii="仿宋" w:hAnsi="仿宋" w:eastAsia="仿宋" w:cs="仿宋"/>
                <w:bCs/>
                <w:color w:val="000000"/>
                <w:sz w:val="24"/>
                <w:szCs w:val="24"/>
              </w:rPr>
              <w:t>5）违约金先从由中标人履约保证金中扣除，若有不足部分则由中标人补齐。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760" w:type="dxa"/>
            <w:noWrap w:val="0"/>
            <w:vAlign w:val="center"/>
          </w:tcPr>
          <w:p>
            <w:pPr>
              <w:spacing w:line="360" w:lineRule="auto"/>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7</w:t>
            </w:r>
          </w:p>
        </w:tc>
        <w:tc>
          <w:tcPr>
            <w:tcW w:w="1062" w:type="dxa"/>
            <w:noWrap w:val="0"/>
            <w:vAlign w:val="center"/>
          </w:tcPr>
          <w:p>
            <w:pPr>
              <w:spacing w:line="360" w:lineRule="auto"/>
              <w:jc w:val="center"/>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其他</w:t>
            </w:r>
          </w:p>
        </w:tc>
        <w:tc>
          <w:tcPr>
            <w:tcW w:w="6998" w:type="dxa"/>
            <w:noWrap w:val="0"/>
            <w:vAlign w:val="center"/>
          </w:tcPr>
          <w:p>
            <w:pPr>
              <w:spacing w:line="360" w:lineRule="auto"/>
              <w:rPr>
                <w:rFonts w:hint="eastAsia" w:ascii="仿宋" w:hAnsi="仿宋" w:eastAsia="仿宋" w:cs="仿宋"/>
                <w:b/>
                <w:color w:val="000000"/>
                <w:sz w:val="24"/>
                <w:szCs w:val="24"/>
              </w:rPr>
            </w:pPr>
            <w:r>
              <w:rPr>
                <w:rFonts w:hint="eastAsia" w:ascii="仿宋" w:hAnsi="仿宋" w:eastAsia="仿宋" w:cs="仿宋"/>
                <w:bCs/>
                <w:color w:val="000000"/>
                <w:sz w:val="24"/>
                <w:szCs w:val="24"/>
              </w:rPr>
              <w:t>投标人应按其投标文件中的承诺，进行其他售后服务工作。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760" w:type="dxa"/>
            <w:vMerge w:val="restart"/>
            <w:noWrap w:val="0"/>
            <w:vAlign w:val="center"/>
          </w:tcPr>
          <w:p>
            <w:pPr>
              <w:spacing w:line="360" w:lineRule="auto"/>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8</w:t>
            </w:r>
          </w:p>
        </w:tc>
        <w:tc>
          <w:tcPr>
            <w:tcW w:w="1062" w:type="dxa"/>
            <w:vMerge w:val="restart"/>
            <w:noWrap w:val="0"/>
            <w:vAlign w:val="center"/>
          </w:tcPr>
          <w:p>
            <w:pPr>
              <w:spacing w:line="360" w:lineRule="auto"/>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项目（产品）要求</w:t>
            </w:r>
          </w:p>
        </w:tc>
        <w:tc>
          <w:tcPr>
            <w:tcW w:w="6998" w:type="dxa"/>
            <w:noWrap w:val="0"/>
            <w:vAlign w:val="center"/>
          </w:tcPr>
          <w:p>
            <w:pPr>
              <w:spacing w:line="360" w:lineRule="auto"/>
              <w:rPr>
                <w:rFonts w:hint="eastAsia" w:ascii="仿宋" w:hAnsi="仿宋" w:eastAsia="仿宋" w:cs="仿宋"/>
                <w:bCs/>
                <w:color w:val="000000"/>
                <w:sz w:val="24"/>
                <w:szCs w:val="24"/>
              </w:rPr>
            </w:pPr>
            <w:r>
              <w:rPr>
                <w:rFonts w:hint="eastAsia" w:ascii="仿宋" w:hAnsi="仿宋" w:eastAsia="仿宋" w:cs="仿宋"/>
                <w:b/>
                <w:color w:val="000000"/>
                <w:sz w:val="24"/>
                <w:szCs w:val="24"/>
              </w:rPr>
              <w:t>★8.1投标人所投产品具备相关主管部门要求的认证资料：所投产品为第一类医疗器械的，提供监督管理部门签发的有效的《医疗器械备案凭证》扫描件，原件备查；所投产品为第二、三类医疗器械的，提供监督管理部门签发的涵盖所投产品的《医疗器械注册证》(有效期内)扫描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760" w:type="dxa"/>
            <w:vMerge w:val="continue"/>
            <w:noWrap w:val="0"/>
            <w:vAlign w:val="center"/>
          </w:tcPr>
          <w:p>
            <w:pPr>
              <w:spacing w:line="360" w:lineRule="auto"/>
              <w:jc w:val="center"/>
              <w:rPr>
                <w:rFonts w:hint="eastAsia" w:ascii="仿宋" w:hAnsi="仿宋" w:eastAsia="仿宋" w:cs="仿宋"/>
                <w:color w:val="000000"/>
                <w:sz w:val="24"/>
                <w:szCs w:val="24"/>
              </w:rPr>
            </w:pPr>
          </w:p>
        </w:tc>
        <w:tc>
          <w:tcPr>
            <w:tcW w:w="1062" w:type="dxa"/>
            <w:vMerge w:val="continue"/>
            <w:noWrap w:val="0"/>
            <w:vAlign w:val="center"/>
          </w:tcPr>
          <w:p>
            <w:pPr>
              <w:spacing w:line="360" w:lineRule="auto"/>
              <w:jc w:val="center"/>
              <w:rPr>
                <w:rFonts w:hint="eastAsia" w:ascii="仿宋" w:hAnsi="仿宋" w:eastAsia="仿宋" w:cs="仿宋"/>
                <w:color w:val="000000"/>
                <w:sz w:val="24"/>
                <w:szCs w:val="24"/>
              </w:rPr>
            </w:pPr>
          </w:p>
        </w:tc>
        <w:tc>
          <w:tcPr>
            <w:tcW w:w="6998" w:type="dxa"/>
            <w:noWrap w:val="0"/>
            <w:vAlign w:val="top"/>
          </w:tcPr>
          <w:p>
            <w:pPr>
              <w:spacing w:line="360" w:lineRule="auto"/>
              <w:rPr>
                <w:rFonts w:hint="eastAsia" w:ascii="仿宋" w:hAnsi="仿宋" w:eastAsia="仿宋" w:cs="仿宋"/>
                <w:bCs/>
                <w:color w:val="000000"/>
                <w:sz w:val="24"/>
                <w:szCs w:val="24"/>
              </w:rPr>
            </w:pPr>
            <w:r>
              <w:rPr>
                <w:rFonts w:hint="eastAsia" w:ascii="仿宋" w:hAnsi="仿宋" w:eastAsia="仿宋" w:cs="仿宋"/>
                <w:b/>
                <w:color w:val="000000"/>
                <w:sz w:val="24"/>
                <w:szCs w:val="24"/>
              </w:rPr>
              <w:t>★8.2若所投产品为进口，则投标人必须提供由设备制造商或授权的中国总代理签署的合法有效的保修、维修承诺函（免费保修期满足招标文件要求）扫描件，原件备查；若所投产品为国产产品，则无需提供。</w:t>
            </w:r>
          </w:p>
        </w:tc>
      </w:tr>
    </w:tbl>
    <w:p/>
    <w:sectPr>
      <w:footerReference r:id="rId5" w:type="first"/>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32002"/>
      <w:docPartObj>
        <w:docPartGallery w:val="autotext"/>
      </w:docPartObj>
    </w:sdtPr>
    <w:sdtContent>
      <w:p>
        <w:pPr>
          <w:pStyle w:val="13"/>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32003"/>
      <w:docPartObj>
        <w:docPartGallery w:val="autotext"/>
      </w:docPartObj>
    </w:sdtPr>
    <w:sdtContent>
      <w:p>
        <w:pPr>
          <w:pStyle w:val="13"/>
          <w:jc w:val="center"/>
        </w:pPr>
      </w:p>
    </w:sdtContent>
  </w:sdt>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450" w:firstLineChars="250"/>
      <w:jc w:val="left"/>
      <w:rPr>
        <w:rFonts w:hint="default" w:eastAsia="宋体"/>
        <w:lang w:val="en-US" w:eastAsia="zh-CN"/>
      </w:rPr>
    </w:pPr>
    <w:r>
      <w:rPr>
        <w:rFonts w:hint="eastAsia"/>
      </w:rPr>
      <w:t>项目名称：</w:t>
    </w:r>
    <w:r>
      <w:rPr>
        <w:rFonts w:hint="eastAsia" w:ascii="宋体" w:hAnsi="宋体"/>
        <w:b w:val="0"/>
        <w:bCs w:val="0"/>
        <w:lang w:eastAsia="zh-CN"/>
      </w:rPr>
      <w:t>射频控温热凝器采购项目</w:t>
    </w:r>
    <w:r>
      <w:rPr>
        <w:rFonts w:hint="eastAsia"/>
      </w:rPr>
      <w:t xml:space="preserve">  </w:t>
    </w:r>
    <w:r>
      <w:rPr>
        <w:rFonts w:hint="eastAsia"/>
        <w:lang w:val="en-US" w:eastAsia="zh-CN"/>
      </w:rPr>
      <w:t xml:space="preserve">        </w:t>
    </w:r>
    <w:r>
      <w:rPr>
        <w:rFonts w:hint="eastAsia"/>
      </w:rPr>
      <w:t xml:space="preserve">    项目编号：</w:t>
    </w:r>
    <w:r>
      <w:t>SZZZ202</w:t>
    </w:r>
    <w:r>
      <w:rPr>
        <w:rFonts w:hint="eastAsia"/>
        <w:lang w:val="en-US" w:eastAsia="zh-CN"/>
      </w:rPr>
      <w:t>2</w:t>
    </w:r>
    <w:r>
      <w:t>-</w:t>
    </w:r>
    <w:r>
      <w:rPr>
        <w:rFonts w:hint="eastAsia"/>
        <w:lang w:eastAsia="zh-CN"/>
      </w:rPr>
      <w:t>QA0</w:t>
    </w:r>
    <w:r>
      <w:rPr>
        <w:rFonts w:hint="eastAsia"/>
        <w:lang w:val="en-US" w:eastAsia="zh-CN"/>
      </w:rPr>
      <w:t>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NiN2JjZGQwODQzNTVmMDg4ZGNmNzRhYmJlZDY2YTUifQ=="/>
  </w:docVars>
  <w:rsids>
    <w:rsidRoot w:val="00081812"/>
    <w:rsid w:val="00000DEE"/>
    <w:rsid w:val="00000F62"/>
    <w:rsid w:val="00000FB1"/>
    <w:rsid w:val="0000490F"/>
    <w:rsid w:val="00007ECB"/>
    <w:rsid w:val="00010E98"/>
    <w:rsid w:val="000111D4"/>
    <w:rsid w:val="0001133A"/>
    <w:rsid w:val="000159CF"/>
    <w:rsid w:val="000176BA"/>
    <w:rsid w:val="0002500E"/>
    <w:rsid w:val="0002675A"/>
    <w:rsid w:val="00027833"/>
    <w:rsid w:val="000309C1"/>
    <w:rsid w:val="00031BF4"/>
    <w:rsid w:val="00032DB0"/>
    <w:rsid w:val="0003579A"/>
    <w:rsid w:val="00036165"/>
    <w:rsid w:val="00037412"/>
    <w:rsid w:val="000375B9"/>
    <w:rsid w:val="00037D52"/>
    <w:rsid w:val="00050AB0"/>
    <w:rsid w:val="00050F57"/>
    <w:rsid w:val="0005394E"/>
    <w:rsid w:val="00053B8A"/>
    <w:rsid w:val="000550D9"/>
    <w:rsid w:val="00055193"/>
    <w:rsid w:val="00056E7C"/>
    <w:rsid w:val="000600D8"/>
    <w:rsid w:val="00060560"/>
    <w:rsid w:val="000614D2"/>
    <w:rsid w:val="0006220B"/>
    <w:rsid w:val="00063194"/>
    <w:rsid w:val="0006778F"/>
    <w:rsid w:val="000679AB"/>
    <w:rsid w:val="00072F2B"/>
    <w:rsid w:val="00075875"/>
    <w:rsid w:val="00076401"/>
    <w:rsid w:val="000771B0"/>
    <w:rsid w:val="00080FB8"/>
    <w:rsid w:val="00081812"/>
    <w:rsid w:val="00081C0F"/>
    <w:rsid w:val="000851F4"/>
    <w:rsid w:val="00086549"/>
    <w:rsid w:val="000875D3"/>
    <w:rsid w:val="00094345"/>
    <w:rsid w:val="00094CF9"/>
    <w:rsid w:val="000A02CF"/>
    <w:rsid w:val="000A103E"/>
    <w:rsid w:val="000A2045"/>
    <w:rsid w:val="000B12D8"/>
    <w:rsid w:val="000B3159"/>
    <w:rsid w:val="000B44BC"/>
    <w:rsid w:val="000B7A52"/>
    <w:rsid w:val="000C05F3"/>
    <w:rsid w:val="000C2FC4"/>
    <w:rsid w:val="000C4E01"/>
    <w:rsid w:val="000C7610"/>
    <w:rsid w:val="000C7E05"/>
    <w:rsid w:val="000D1227"/>
    <w:rsid w:val="000D16E0"/>
    <w:rsid w:val="000D3053"/>
    <w:rsid w:val="000D3DAD"/>
    <w:rsid w:val="000D4339"/>
    <w:rsid w:val="000D4C91"/>
    <w:rsid w:val="000D6CAD"/>
    <w:rsid w:val="000D74FE"/>
    <w:rsid w:val="000E1731"/>
    <w:rsid w:val="000E2AAA"/>
    <w:rsid w:val="000E41B3"/>
    <w:rsid w:val="000E647C"/>
    <w:rsid w:val="000E6F68"/>
    <w:rsid w:val="000F4536"/>
    <w:rsid w:val="000F47BD"/>
    <w:rsid w:val="000F5214"/>
    <w:rsid w:val="000F5791"/>
    <w:rsid w:val="001017A2"/>
    <w:rsid w:val="0010276A"/>
    <w:rsid w:val="001036FB"/>
    <w:rsid w:val="0010378A"/>
    <w:rsid w:val="00103A07"/>
    <w:rsid w:val="00103BD6"/>
    <w:rsid w:val="00103D0B"/>
    <w:rsid w:val="00103E57"/>
    <w:rsid w:val="00105AE0"/>
    <w:rsid w:val="001071FF"/>
    <w:rsid w:val="001075BE"/>
    <w:rsid w:val="0011046C"/>
    <w:rsid w:val="0011120F"/>
    <w:rsid w:val="00112047"/>
    <w:rsid w:val="001120AB"/>
    <w:rsid w:val="00113460"/>
    <w:rsid w:val="00113EC5"/>
    <w:rsid w:val="0011733C"/>
    <w:rsid w:val="001206C4"/>
    <w:rsid w:val="00120905"/>
    <w:rsid w:val="00120A80"/>
    <w:rsid w:val="00120DDA"/>
    <w:rsid w:val="00122482"/>
    <w:rsid w:val="001224CA"/>
    <w:rsid w:val="001235DF"/>
    <w:rsid w:val="001253C1"/>
    <w:rsid w:val="001300A8"/>
    <w:rsid w:val="001307EF"/>
    <w:rsid w:val="00130FFD"/>
    <w:rsid w:val="00131B9B"/>
    <w:rsid w:val="00132409"/>
    <w:rsid w:val="00132477"/>
    <w:rsid w:val="00134941"/>
    <w:rsid w:val="00135348"/>
    <w:rsid w:val="0013568E"/>
    <w:rsid w:val="0013577A"/>
    <w:rsid w:val="0013596A"/>
    <w:rsid w:val="001451A4"/>
    <w:rsid w:val="0015310D"/>
    <w:rsid w:val="0015356C"/>
    <w:rsid w:val="00155BE9"/>
    <w:rsid w:val="0015652F"/>
    <w:rsid w:val="0016076C"/>
    <w:rsid w:val="001618C7"/>
    <w:rsid w:val="00165708"/>
    <w:rsid w:val="00166E7A"/>
    <w:rsid w:val="001713CD"/>
    <w:rsid w:val="00174A8D"/>
    <w:rsid w:val="00176A0E"/>
    <w:rsid w:val="0018134E"/>
    <w:rsid w:val="00182643"/>
    <w:rsid w:val="001830D7"/>
    <w:rsid w:val="00185010"/>
    <w:rsid w:val="001850C4"/>
    <w:rsid w:val="001906D1"/>
    <w:rsid w:val="0019175D"/>
    <w:rsid w:val="00192E27"/>
    <w:rsid w:val="00194B76"/>
    <w:rsid w:val="00197685"/>
    <w:rsid w:val="0019777D"/>
    <w:rsid w:val="001A0D90"/>
    <w:rsid w:val="001A0EB6"/>
    <w:rsid w:val="001A1302"/>
    <w:rsid w:val="001A4995"/>
    <w:rsid w:val="001A529F"/>
    <w:rsid w:val="001B026C"/>
    <w:rsid w:val="001B0736"/>
    <w:rsid w:val="001B14D5"/>
    <w:rsid w:val="001B4B65"/>
    <w:rsid w:val="001B4C23"/>
    <w:rsid w:val="001C0532"/>
    <w:rsid w:val="001C0CCF"/>
    <w:rsid w:val="001C1FFB"/>
    <w:rsid w:val="001D3874"/>
    <w:rsid w:val="001D6198"/>
    <w:rsid w:val="001D6B2F"/>
    <w:rsid w:val="001D6CCA"/>
    <w:rsid w:val="001D7A7C"/>
    <w:rsid w:val="001E1BC7"/>
    <w:rsid w:val="001E398A"/>
    <w:rsid w:val="001E3C4F"/>
    <w:rsid w:val="001E4745"/>
    <w:rsid w:val="001E48C9"/>
    <w:rsid w:val="001E5169"/>
    <w:rsid w:val="001E60D1"/>
    <w:rsid w:val="001E6EA6"/>
    <w:rsid w:val="001E7031"/>
    <w:rsid w:val="001F0977"/>
    <w:rsid w:val="001F2061"/>
    <w:rsid w:val="001F259A"/>
    <w:rsid w:val="001F2D31"/>
    <w:rsid w:val="001F3E52"/>
    <w:rsid w:val="001F52C4"/>
    <w:rsid w:val="001F5A31"/>
    <w:rsid w:val="00201022"/>
    <w:rsid w:val="00204553"/>
    <w:rsid w:val="00207834"/>
    <w:rsid w:val="00211E1C"/>
    <w:rsid w:val="002131F0"/>
    <w:rsid w:val="002134C1"/>
    <w:rsid w:val="00213858"/>
    <w:rsid w:val="002140DF"/>
    <w:rsid w:val="002151EE"/>
    <w:rsid w:val="00215F43"/>
    <w:rsid w:val="00216C79"/>
    <w:rsid w:val="002172FA"/>
    <w:rsid w:val="00223218"/>
    <w:rsid w:val="00223C0E"/>
    <w:rsid w:val="002244FB"/>
    <w:rsid w:val="0022493F"/>
    <w:rsid w:val="002259B7"/>
    <w:rsid w:val="00226BD7"/>
    <w:rsid w:val="00230218"/>
    <w:rsid w:val="002304B2"/>
    <w:rsid w:val="00234AB5"/>
    <w:rsid w:val="00235A7C"/>
    <w:rsid w:val="00235E71"/>
    <w:rsid w:val="002366EC"/>
    <w:rsid w:val="00240B70"/>
    <w:rsid w:val="00241247"/>
    <w:rsid w:val="00241A35"/>
    <w:rsid w:val="00244EDA"/>
    <w:rsid w:val="002463C2"/>
    <w:rsid w:val="0024707D"/>
    <w:rsid w:val="00251EE6"/>
    <w:rsid w:val="00252A0E"/>
    <w:rsid w:val="00256F3C"/>
    <w:rsid w:val="002579AC"/>
    <w:rsid w:val="0026095A"/>
    <w:rsid w:val="00261E10"/>
    <w:rsid w:val="00262836"/>
    <w:rsid w:val="00266448"/>
    <w:rsid w:val="002666B6"/>
    <w:rsid w:val="00267F2E"/>
    <w:rsid w:val="00270AB4"/>
    <w:rsid w:val="0027125F"/>
    <w:rsid w:val="0027386D"/>
    <w:rsid w:val="00273CE7"/>
    <w:rsid w:val="00280004"/>
    <w:rsid w:val="00280295"/>
    <w:rsid w:val="00281900"/>
    <w:rsid w:val="00282D0F"/>
    <w:rsid w:val="00284440"/>
    <w:rsid w:val="00285487"/>
    <w:rsid w:val="00290049"/>
    <w:rsid w:val="0029092A"/>
    <w:rsid w:val="00290A37"/>
    <w:rsid w:val="00291A31"/>
    <w:rsid w:val="0029352A"/>
    <w:rsid w:val="00293E95"/>
    <w:rsid w:val="00294665"/>
    <w:rsid w:val="00297D1B"/>
    <w:rsid w:val="002A06F5"/>
    <w:rsid w:val="002A3990"/>
    <w:rsid w:val="002A3CF6"/>
    <w:rsid w:val="002A5275"/>
    <w:rsid w:val="002A78DB"/>
    <w:rsid w:val="002B11F2"/>
    <w:rsid w:val="002C12B1"/>
    <w:rsid w:val="002C3E2A"/>
    <w:rsid w:val="002C54D8"/>
    <w:rsid w:val="002C5F7F"/>
    <w:rsid w:val="002D285F"/>
    <w:rsid w:val="002D51A5"/>
    <w:rsid w:val="002D6413"/>
    <w:rsid w:val="002D78BD"/>
    <w:rsid w:val="002D7BEA"/>
    <w:rsid w:val="002E071E"/>
    <w:rsid w:val="002E23B1"/>
    <w:rsid w:val="002E3E90"/>
    <w:rsid w:val="002E3F94"/>
    <w:rsid w:val="002E4814"/>
    <w:rsid w:val="002E5B12"/>
    <w:rsid w:val="002E6738"/>
    <w:rsid w:val="002F0946"/>
    <w:rsid w:val="002F0E71"/>
    <w:rsid w:val="002F30E6"/>
    <w:rsid w:val="002F49D2"/>
    <w:rsid w:val="002F5D8F"/>
    <w:rsid w:val="002F5DF7"/>
    <w:rsid w:val="003007E9"/>
    <w:rsid w:val="00300F63"/>
    <w:rsid w:val="00302A03"/>
    <w:rsid w:val="00303151"/>
    <w:rsid w:val="0030484B"/>
    <w:rsid w:val="00305E56"/>
    <w:rsid w:val="00306415"/>
    <w:rsid w:val="00312539"/>
    <w:rsid w:val="00312A7C"/>
    <w:rsid w:val="00315ABB"/>
    <w:rsid w:val="003165DD"/>
    <w:rsid w:val="00320E9C"/>
    <w:rsid w:val="00321AB6"/>
    <w:rsid w:val="00321C69"/>
    <w:rsid w:val="00324BEB"/>
    <w:rsid w:val="00325DC4"/>
    <w:rsid w:val="0032699D"/>
    <w:rsid w:val="00331CBE"/>
    <w:rsid w:val="00331F0C"/>
    <w:rsid w:val="003344DE"/>
    <w:rsid w:val="0033607F"/>
    <w:rsid w:val="003366C3"/>
    <w:rsid w:val="0033717B"/>
    <w:rsid w:val="00341029"/>
    <w:rsid w:val="00341DF6"/>
    <w:rsid w:val="00342E35"/>
    <w:rsid w:val="0034412F"/>
    <w:rsid w:val="003467AA"/>
    <w:rsid w:val="00347DED"/>
    <w:rsid w:val="00350427"/>
    <w:rsid w:val="00351589"/>
    <w:rsid w:val="0035266A"/>
    <w:rsid w:val="003533CB"/>
    <w:rsid w:val="00354170"/>
    <w:rsid w:val="00357198"/>
    <w:rsid w:val="00360E2B"/>
    <w:rsid w:val="00362130"/>
    <w:rsid w:val="00362685"/>
    <w:rsid w:val="00362FDA"/>
    <w:rsid w:val="0036371B"/>
    <w:rsid w:val="00363840"/>
    <w:rsid w:val="00363D01"/>
    <w:rsid w:val="00364104"/>
    <w:rsid w:val="00365175"/>
    <w:rsid w:val="00365C3E"/>
    <w:rsid w:val="00365C92"/>
    <w:rsid w:val="00366870"/>
    <w:rsid w:val="00367676"/>
    <w:rsid w:val="003679CE"/>
    <w:rsid w:val="00370059"/>
    <w:rsid w:val="00371507"/>
    <w:rsid w:val="00373358"/>
    <w:rsid w:val="003734A9"/>
    <w:rsid w:val="003749D0"/>
    <w:rsid w:val="00375504"/>
    <w:rsid w:val="00380BF7"/>
    <w:rsid w:val="003817C2"/>
    <w:rsid w:val="003821BD"/>
    <w:rsid w:val="003961A8"/>
    <w:rsid w:val="00397B90"/>
    <w:rsid w:val="003A0AF8"/>
    <w:rsid w:val="003A12B6"/>
    <w:rsid w:val="003A2361"/>
    <w:rsid w:val="003A3825"/>
    <w:rsid w:val="003A3C1C"/>
    <w:rsid w:val="003A45DB"/>
    <w:rsid w:val="003A6687"/>
    <w:rsid w:val="003B0701"/>
    <w:rsid w:val="003B09EB"/>
    <w:rsid w:val="003B1F2D"/>
    <w:rsid w:val="003B2517"/>
    <w:rsid w:val="003B3548"/>
    <w:rsid w:val="003B43AA"/>
    <w:rsid w:val="003B480F"/>
    <w:rsid w:val="003B72A9"/>
    <w:rsid w:val="003B73C7"/>
    <w:rsid w:val="003C007A"/>
    <w:rsid w:val="003C09AC"/>
    <w:rsid w:val="003C3302"/>
    <w:rsid w:val="003C34EB"/>
    <w:rsid w:val="003C450F"/>
    <w:rsid w:val="003C49B8"/>
    <w:rsid w:val="003C5421"/>
    <w:rsid w:val="003C5430"/>
    <w:rsid w:val="003C73B6"/>
    <w:rsid w:val="003D00F6"/>
    <w:rsid w:val="003D4C25"/>
    <w:rsid w:val="003D6A99"/>
    <w:rsid w:val="003D7227"/>
    <w:rsid w:val="003D76AD"/>
    <w:rsid w:val="003E21AD"/>
    <w:rsid w:val="003E2E33"/>
    <w:rsid w:val="003E35A8"/>
    <w:rsid w:val="003E6702"/>
    <w:rsid w:val="003E7DA3"/>
    <w:rsid w:val="003F2113"/>
    <w:rsid w:val="003F35A5"/>
    <w:rsid w:val="003F3EE1"/>
    <w:rsid w:val="003F54E0"/>
    <w:rsid w:val="003F5A49"/>
    <w:rsid w:val="003F68EA"/>
    <w:rsid w:val="003F7B83"/>
    <w:rsid w:val="00400065"/>
    <w:rsid w:val="00414963"/>
    <w:rsid w:val="00415251"/>
    <w:rsid w:val="0041630C"/>
    <w:rsid w:val="004168DC"/>
    <w:rsid w:val="00416F7A"/>
    <w:rsid w:val="0042116F"/>
    <w:rsid w:val="00421DAD"/>
    <w:rsid w:val="004222E0"/>
    <w:rsid w:val="00422693"/>
    <w:rsid w:val="00422A55"/>
    <w:rsid w:val="00422C44"/>
    <w:rsid w:val="0042569B"/>
    <w:rsid w:val="0042757A"/>
    <w:rsid w:val="00427866"/>
    <w:rsid w:val="004278A7"/>
    <w:rsid w:val="0043223F"/>
    <w:rsid w:val="004338CE"/>
    <w:rsid w:val="00435AA6"/>
    <w:rsid w:val="004430A5"/>
    <w:rsid w:val="0044367E"/>
    <w:rsid w:val="004443E7"/>
    <w:rsid w:val="004501AD"/>
    <w:rsid w:val="00450263"/>
    <w:rsid w:val="0045273A"/>
    <w:rsid w:val="00453647"/>
    <w:rsid w:val="00454FF9"/>
    <w:rsid w:val="00457E2E"/>
    <w:rsid w:val="00460AA2"/>
    <w:rsid w:val="00462399"/>
    <w:rsid w:val="004625C3"/>
    <w:rsid w:val="00465C8A"/>
    <w:rsid w:val="00466085"/>
    <w:rsid w:val="0046668A"/>
    <w:rsid w:val="00466DE8"/>
    <w:rsid w:val="00476772"/>
    <w:rsid w:val="004807D8"/>
    <w:rsid w:val="004858C4"/>
    <w:rsid w:val="0048606B"/>
    <w:rsid w:val="00486360"/>
    <w:rsid w:val="004870E5"/>
    <w:rsid w:val="00487AC8"/>
    <w:rsid w:val="00490108"/>
    <w:rsid w:val="00492994"/>
    <w:rsid w:val="00492ED3"/>
    <w:rsid w:val="00492EE9"/>
    <w:rsid w:val="0049371D"/>
    <w:rsid w:val="0049518C"/>
    <w:rsid w:val="00496E36"/>
    <w:rsid w:val="004A008B"/>
    <w:rsid w:val="004A2A14"/>
    <w:rsid w:val="004A3574"/>
    <w:rsid w:val="004A3D8F"/>
    <w:rsid w:val="004A3ED8"/>
    <w:rsid w:val="004A44E9"/>
    <w:rsid w:val="004A4D27"/>
    <w:rsid w:val="004A760C"/>
    <w:rsid w:val="004B3011"/>
    <w:rsid w:val="004B3C41"/>
    <w:rsid w:val="004B3E4E"/>
    <w:rsid w:val="004B5B22"/>
    <w:rsid w:val="004B5B8D"/>
    <w:rsid w:val="004B702D"/>
    <w:rsid w:val="004B7A5D"/>
    <w:rsid w:val="004C01E3"/>
    <w:rsid w:val="004C0510"/>
    <w:rsid w:val="004C1824"/>
    <w:rsid w:val="004C1F8C"/>
    <w:rsid w:val="004C27A2"/>
    <w:rsid w:val="004C2C97"/>
    <w:rsid w:val="004C3BFC"/>
    <w:rsid w:val="004C4655"/>
    <w:rsid w:val="004C5A96"/>
    <w:rsid w:val="004C71FD"/>
    <w:rsid w:val="004D21F9"/>
    <w:rsid w:val="004D2D87"/>
    <w:rsid w:val="004D3C88"/>
    <w:rsid w:val="004D3EFD"/>
    <w:rsid w:val="004D6C39"/>
    <w:rsid w:val="004E0D3B"/>
    <w:rsid w:val="004E30ED"/>
    <w:rsid w:val="004E4D52"/>
    <w:rsid w:val="004E6514"/>
    <w:rsid w:val="004F0013"/>
    <w:rsid w:val="004F037B"/>
    <w:rsid w:val="004F1964"/>
    <w:rsid w:val="004F1E55"/>
    <w:rsid w:val="004F2741"/>
    <w:rsid w:val="004F2C86"/>
    <w:rsid w:val="004F4A43"/>
    <w:rsid w:val="004F57EA"/>
    <w:rsid w:val="004F5A1F"/>
    <w:rsid w:val="0050673A"/>
    <w:rsid w:val="00507910"/>
    <w:rsid w:val="005115F1"/>
    <w:rsid w:val="00513405"/>
    <w:rsid w:val="00517508"/>
    <w:rsid w:val="00524AB5"/>
    <w:rsid w:val="00530955"/>
    <w:rsid w:val="00530EBB"/>
    <w:rsid w:val="00531594"/>
    <w:rsid w:val="005339CE"/>
    <w:rsid w:val="0053469D"/>
    <w:rsid w:val="0053608D"/>
    <w:rsid w:val="00536394"/>
    <w:rsid w:val="00536771"/>
    <w:rsid w:val="0054086A"/>
    <w:rsid w:val="00541912"/>
    <w:rsid w:val="00541962"/>
    <w:rsid w:val="00542267"/>
    <w:rsid w:val="00544A1E"/>
    <w:rsid w:val="005454F7"/>
    <w:rsid w:val="00545A1D"/>
    <w:rsid w:val="00546FF3"/>
    <w:rsid w:val="00547A36"/>
    <w:rsid w:val="00552EA1"/>
    <w:rsid w:val="0055628A"/>
    <w:rsid w:val="00556603"/>
    <w:rsid w:val="00562A80"/>
    <w:rsid w:val="005659BA"/>
    <w:rsid w:val="00571031"/>
    <w:rsid w:val="00571D74"/>
    <w:rsid w:val="00574D07"/>
    <w:rsid w:val="00581D61"/>
    <w:rsid w:val="00583965"/>
    <w:rsid w:val="0058457D"/>
    <w:rsid w:val="00584C51"/>
    <w:rsid w:val="0059165F"/>
    <w:rsid w:val="00594812"/>
    <w:rsid w:val="00597492"/>
    <w:rsid w:val="005977CD"/>
    <w:rsid w:val="005A198A"/>
    <w:rsid w:val="005A2D99"/>
    <w:rsid w:val="005A556A"/>
    <w:rsid w:val="005A657A"/>
    <w:rsid w:val="005B1387"/>
    <w:rsid w:val="005B39F5"/>
    <w:rsid w:val="005B3CF3"/>
    <w:rsid w:val="005B6672"/>
    <w:rsid w:val="005B67E4"/>
    <w:rsid w:val="005B7AB9"/>
    <w:rsid w:val="005C038C"/>
    <w:rsid w:val="005C1F40"/>
    <w:rsid w:val="005C26E6"/>
    <w:rsid w:val="005C297C"/>
    <w:rsid w:val="005C50DE"/>
    <w:rsid w:val="005C669E"/>
    <w:rsid w:val="005C6BAF"/>
    <w:rsid w:val="005C79AB"/>
    <w:rsid w:val="005D0E62"/>
    <w:rsid w:val="005D120E"/>
    <w:rsid w:val="005E0B51"/>
    <w:rsid w:val="005E3AA1"/>
    <w:rsid w:val="005E3DDF"/>
    <w:rsid w:val="005E5481"/>
    <w:rsid w:val="005E5539"/>
    <w:rsid w:val="005E6047"/>
    <w:rsid w:val="005F13C2"/>
    <w:rsid w:val="005F37DF"/>
    <w:rsid w:val="005F3B95"/>
    <w:rsid w:val="005F559B"/>
    <w:rsid w:val="00600A83"/>
    <w:rsid w:val="00600F48"/>
    <w:rsid w:val="006013DE"/>
    <w:rsid w:val="00601E13"/>
    <w:rsid w:val="006025E7"/>
    <w:rsid w:val="00602A6E"/>
    <w:rsid w:val="00606E51"/>
    <w:rsid w:val="006110AC"/>
    <w:rsid w:val="0061385D"/>
    <w:rsid w:val="00614ECA"/>
    <w:rsid w:val="00615303"/>
    <w:rsid w:val="006163F2"/>
    <w:rsid w:val="00622721"/>
    <w:rsid w:val="0062393E"/>
    <w:rsid w:val="00624117"/>
    <w:rsid w:val="00624500"/>
    <w:rsid w:val="00626FA9"/>
    <w:rsid w:val="00627FC7"/>
    <w:rsid w:val="00630A1C"/>
    <w:rsid w:val="00632887"/>
    <w:rsid w:val="00634058"/>
    <w:rsid w:val="00634059"/>
    <w:rsid w:val="006340B5"/>
    <w:rsid w:val="00635984"/>
    <w:rsid w:val="00636C5D"/>
    <w:rsid w:val="00640096"/>
    <w:rsid w:val="00641597"/>
    <w:rsid w:val="0064227E"/>
    <w:rsid w:val="00645DC0"/>
    <w:rsid w:val="00653A3C"/>
    <w:rsid w:val="00660043"/>
    <w:rsid w:val="0067037C"/>
    <w:rsid w:val="006705E0"/>
    <w:rsid w:val="0067192F"/>
    <w:rsid w:val="0067283C"/>
    <w:rsid w:val="00673498"/>
    <w:rsid w:val="00673BA6"/>
    <w:rsid w:val="0067485A"/>
    <w:rsid w:val="00674B85"/>
    <w:rsid w:val="006755C2"/>
    <w:rsid w:val="0067661F"/>
    <w:rsid w:val="00680CAD"/>
    <w:rsid w:val="00681F30"/>
    <w:rsid w:val="00682B9C"/>
    <w:rsid w:val="00683D71"/>
    <w:rsid w:val="00683EB7"/>
    <w:rsid w:val="006857DF"/>
    <w:rsid w:val="0068713A"/>
    <w:rsid w:val="006907D5"/>
    <w:rsid w:val="00690FBE"/>
    <w:rsid w:val="00691E45"/>
    <w:rsid w:val="0069583C"/>
    <w:rsid w:val="00697BC5"/>
    <w:rsid w:val="006A535A"/>
    <w:rsid w:val="006A7A1E"/>
    <w:rsid w:val="006B752A"/>
    <w:rsid w:val="006B797B"/>
    <w:rsid w:val="006B7F97"/>
    <w:rsid w:val="006C1097"/>
    <w:rsid w:val="006C3937"/>
    <w:rsid w:val="006C57C7"/>
    <w:rsid w:val="006C5E75"/>
    <w:rsid w:val="006C7615"/>
    <w:rsid w:val="006D0B4B"/>
    <w:rsid w:val="006D0B9C"/>
    <w:rsid w:val="006D0CD7"/>
    <w:rsid w:val="006D0DE8"/>
    <w:rsid w:val="006D125F"/>
    <w:rsid w:val="006D5AD5"/>
    <w:rsid w:val="006D609F"/>
    <w:rsid w:val="006E0808"/>
    <w:rsid w:val="006E0C83"/>
    <w:rsid w:val="006E0F6E"/>
    <w:rsid w:val="006E26F4"/>
    <w:rsid w:val="006E3ACC"/>
    <w:rsid w:val="006E561B"/>
    <w:rsid w:val="006E7E40"/>
    <w:rsid w:val="006F0048"/>
    <w:rsid w:val="006F1F29"/>
    <w:rsid w:val="006F6DFA"/>
    <w:rsid w:val="00701BFA"/>
    <w:rsid w:val="007031AC"/>
    <w:rsid w:val="007045A7"/>
    <w:rsid w:val="007056CF"/>
    <w:rsid w:val="00706C72"/>
    <w:rsid w:val="007101BF"/>
    <w:rsid w:val="00710E18"/>
    <w:rsid w:val="00711D73"/>
    <w:rsid w:val="00712437"/>
    <w:rsid w:val="00712AB9"/>
    <w:rsid w:val="00712FBB"/>
    <w:rsid w:val="007202B8"/>
    <w:rsid w:val="007204CB"/>
    <w:rsid w:val="007234AB"/>
    <w:rsid w:val="00723F16"/>
    <w:rsid w:val="007264E7"/>
    <w:rsid w:val="00731470"/>
    <w:rsid w:val="0073473A"/>
    <w:rsid w:val="00734C96"/>
    <w:rsid w:val="00734FEE"/>
    <w:rsid w:val="00737D97"/>
    <w:rsid w:val="007421A3"/>
    <w:rsid w:val="007458E4"/>
    <w:rsid w:val="007516CF"/>
    <w:rsid w:val="00753B18"/>
    <w:rsid w:val="00755A42"/>
    <w:rsid w:val="00757231"/>
    <w:rsid w:val="00761B09"/>
    <w:rsid w:val="0076307E"/>
    <w:rsid w:val="00765D7F"/>
    <w:rsid w:val="00772F41"/>
    <w:rsid w:val="0077521B"/>
    <w:rsid w:val="007811AB"/>
    <w:rsid w:val="00785AEF"/>
    <w:rsid w:val="00785E4F"/>
    <w:rsid w:val="0078680E"/>
    <w:rsid w:val="007928C7"/>
    <w:rsid w:val="00793E36"/>
    <w:rsid w:val="00794D26"/>
    <w:rsid w:val="007A0AF9"/>
    <w:rsid w:val="007A1673"/>
    <w:rsid w:val="007A47D0"/>
    <w:rsid w:val="007A538E"/>
    <w:rsid w:val="007A7D08"/>
    <w:rsid w:val="007B0FAF"/>
    <w:rsid w:val="007B2F12"/>
    <w:rsid w:val="007B58FB"/>
    <w:rsid w:val="007B6079"/>
    <w:rsid w:val="007B6A98"/>
    <w:rsid w:val="007B7EE3"/>
    <w:rsid w:val="007C035E"/>
    <w:rsid w:val="007C0EC0"/>
    <w:rsid w:val="007C1898"/>
    <w:rsid w:val="007C6BBE"/>
    <w:rsid w:val="007C75FA"/>
    <w:rsid w:val="007D00B9"/>
    <w:rsid w:val="007D4329"/>
    <w:rsid w:val="007D4552"/>
    <w:rsid w:val="007D57B6"/>
    <w:rsid w:val="007D759B"/>
    <w:rsid w:val="007E1CC4"/>
    <w:rsid w:val="007E2D0F"/>
    <w:rsid w:val="007E2D1B"/>
    <w:rsid w:val="007E3507"/>
    <w:rsid w:val="007E377A"/>
    <w:rsid w:val="007E422B"/>
    <w:rsid w:val="007F139E"/>
    <w:rsid w:val="007F5B57"/>
    <w:rsid w:val="0080097C"/>
    <w:rsid w:val="00801B99"/>
    <w:rsid w:val="00803317"/>
    <w:rsid w:val="008036E6"/>
    <w:rsid w:val="008050C5"/>
    <w:rsid w:val="00812D80"/>
    <w:rsid w:val="00814E6B"/>
    <w:rsid w:val="00816305"/>
    <w:rsid w:val="0082240A"/>
    <w:rsid w:val="00822F18"/>
    <w:rsid w:val="008237AE"/>
    <w:rsid w:val="00830F5F"/>
    <w:rsid w:val="00831DA8"/>
    <w:rsid w:val="008338E9"/>
    <w:rsid w:val="0083456A"/>
    <w:rsid w:val="00837E5D"/>
    <w:rsid w:val="008400A9"/>
    <w:rsid w:val="00844881"/>
    <w:rsid w:val="00845DA7"/>
    <w:rsid w:val="0085078C"/>
    <w:rsid w:val="00851111"/>
    <w:rsid w:val="0085139E"/>
    <w:rsid w:val="00851BAA"/>
    <w:rsid w:val="00854839"/>
    <w:rsid w:val="00860209"/>
    <w:rsid w:val="00861447"/>
    <w:rsid w:val="00862F1A"/>
    <w:rsid w:val="008636CF"/>
    <w:rsid w:val="00863E78"/>
    <w:rsid w:val="0086541B"/>
    <w:rsid w:val="008659ED"/>
    <w:rsid w:val="00867868"/>
    <w:rsid w:val="00867964"/>
    <w:rsid w:val="00871FDA"/>
    <w:rsid w:val="00875E76"/>
    <w:rsid w:val="008760F4"/>
    <w:rsid w:val="00876C9B"/>
    <w:rsid w:val="00880E46"/>
    <w:rsid w:val="00884EE0"/>
    <w:rsid w:val="00885021"/>
    <w:rsid w:val="008857F3"/>
    <w:rsid w:val="0089097C"/>
    <w:rsid w:val="008913F6"/>
    <w:rsid w:val="008915C8"/>
    <w:rsid w:val="00891BB5"/>
    <w:rsid w:val="0089442D"/>
    <w:rsid w:val="008978BC"/>
    <w:rsid w:val="008A00DE"/>
    <w:rsid w:val="008A1135"/>
    <w:rsid w:val="008A5579"/>
    <w:rsid w:val="008B23ED"/>
    <w:rsid w:val="008B3CF6"/>
    <w:rsid w:val="008B6E3E"/>
    <w:rsid w:val="008C22C3"/>
    <w:rsid w:val="008C2872"/>
    <w:rsid w:val="008C4E93"/>
    <w:rsid w:val="008C5331"/>
    <w:rsid w:val="008D1C6E"/>
    <w:rsid w:val="008D487D"/>
    <w:rsid w:val="008D589B"/>
    <w:rsid w:val="008D5F36"/>
    <w:rsid w:val="008D6F39"/>
    <w:rsid w:val="008D74D8"/>
    <w:rsid w:val="008E0196"/>
    <w:rsid w:val="008E4A5E"/>
    <w:rsid w:val="008E4EA6"/>
    <w:rsid w:val="008E5BEA"/>
    <w:rsid w:val="008E61CF"/>
    <w:rsid w:val="008E66A7"/>
    <w:rsid w:val="008E7B94"/>
    <w:rsid w:val="008F0027"/>
    <w:rsid w:val="008F13F4"/>
    <w:rsid w:val="008F2248"/>
    <w:rsid w:val="008F429A"/>
    <w:rsid w:val="008F4885"/>
    <w:rsid w:val="008F69B0"/>
    <w:rsid w:val="008F6DFC"/>
    <w:rsid w:val="00900FA9"/>
    <w:rsid w:val="0090175B"/>
    <w:rsid w:val="0090254E"/>
    <w:rsid w:val="0090397D"/>
    <w:rsid w:val="00903B8A"/>
    <w:rsid w:val="009071AD"/>
    <w:rsid w:val="00911D77"/>
    <w:rsid w:val="00914D80"/>
    <w:rsid w:val="00915C0A"/>
    <w:rsid w:val="00916C61"/>
    <w:rsid w:val="00920BE6"/>
    <w:rsid w:val="00920D54"/>
    <w:rsid w:val="00922E91"/>
    <w:rsid w:val="009253A2"/>
    <w:rsid w:val="009260F9"/>
    <w:rsid w:val="009328BD"/>
    <w:rsid w:val="0093469C"/>
    <w:rsid w:val="009360EA"/>
    <w:rsid w:val="00940D53"/>
    <w:rsid w:val="00942081"/>
    <w:rsid w:val="009447BD"/>
    <w:rsid w:val="00944876"/>
    <w:rsid w:val="00945F75"/>
    <w:rsid w:val="00950D6C"/>
    <w:rsid w:val="00952B8F"/>
    <w:rsid w:val="00953321"/>
    <w:rsid w:val="00955935"/>
    <w:rsid w:val="00956877"/>
    <w:rsid w:val="009574EE"/>
    <w:rsid w:val="00957C3F"/>
    <w:rsid w:val="009630AF"/>
    <w:rsid w:val="00964F16"/>
    <w:rsid w:val="0096690F"/>
    <w:rsid w:val="0096729D"/>
    <w:rsid w:val="00970692"/>
    <w:rsid w:val="00971686"/>
    <w:rsid w:val="00973845"/>
    <w:rsid w:val="009743E5"/>
    <w:rsid w:val="0097620C"/>
    <w:rsid w:val="0097647D"/>
    <w:rsid w:val="00983A52"/>
    <w:rsid w:val="00984B13"/>
    <w:rsid w:val="00986AE7"/>
    <w:rsid w:val="00987773"/>
    <w:rsid w:val="00987A32"/>
    <w:rsid w:val="00993600"/>
    <w:rsid w:val="0099428B"/>
    <w:rsid w:val="00997D11"/>
    <w:rsid w:val="009A0A96"/>
    <w:rsid w:val="009A1D8B"/>
    <w:rsid w:val="009A2498"/>
    <w:rsid w:val="009A271D"/>
    <w:rsid w:val="009A44F9"/>
    <w:rsid w:val="009A64A6"/>
    <w:rsid w:val="009A70D5"/>
    <w:rsid w:val="009B10B0"/>
    <w:rsid w:val="009B2507"/>
    <w:rsid w:val="009B2E8E"/>
    <w:rsid w:val="009B3004"/>
    <w:rsid w:val="009B348C"/>
    <w:rsid w:val="009B5293"/>
    <w:rsid w:val="009B6EAF"/>
    <w:rsid w:val="009B7712"/>
    <w:rsid w:val="009C0636"/>
    <w:rsid w:val="009C08BA"/>
    <w:rsid w:val="009C4B87"/>
    <w:rsid w:val="009C6F32"/>
    <w:rsid w:val="009C797B"/>
    <w:rsid w:val="009D02E8"/>
    <w:rsid w:val="009D0C05"/>
    <w:rsid w:val="009D2987"/>
    <w:rsid w:val="009D4274"/>
    <w:rsid w:val="009D461F"/>
    <w:rsid w:val="009D5D74"/>
    <w:rsid w:val="009D622C"/>
    <w:rsid w:val="009E1268"/>
    <w:rsid w:val="009E5716"/>
    <w:rsid w:val="009E61F7"/>
    <w:rsid w:val="009E708C"/>
    <w:rsid w:val="009E7B3D"/>
    <w:rsid w:val="009E7BE7"/>
    <w:rsid w:val="009E7EB2"/>
    <w:rsid w:val="009F145D"/>
    <w:rsid w:val="009F17D1"/>
    <w:rsid w:val="009F7CAB"/>
    <w:rsid w:val="00A00D15"/>
    <w:rsid w:val="00A011F7"/>
    <w:rsid w:val="00A02E6E"/>
    <w:rsid w:val="00A03F22"/>
    <w:rsid w:val="00A05B28"/>
    <w:rsid w:val="00A064C9"/>
    <w:rsid w:val="00A0662C"/>
    <w:rsid w:val="00A12624"/>
    <w:rsid w:val="00A1407B"/>
    <w:rsid w:val="00A14B13"/>
    <w:rsid w:val="00A14B40"/>
    <w:rsid w:val="00A15BF3"/>
    <w:rsid w:val="00A17FEB"/>
    <w:rsid w:val="00A20772"/>
    <w:rsid w:val="00A214C8"/>
    <w:rsid w:val="00A21567"/>
    <w:rsid w:val="00A215C7"/>
    <w:rsid w:val="00A223D3"/>
    <w:rsid w:val="00A24B13"/>
    <w:rsid w:val="00A30451"/>
    <w:rsid w:val="00A3148A"/>
    <w:rsid w:val="00A31B46"/>
    <w:rsid w:val="00A324AB"/>
    <w:rsid w:val="00A34E09"/>
    <w:rsid w:val="00A34F55"/>
    <w:rsid w:val="00A35B35"/>
    <w:rsid w:val="00A4004C"/>
    <w:rsid w:val="00A44A6C"/>
    <w:rsid w:val="00A44E5B"/>
    <w:rsid w:val="00A45819"/>
    <w:rsid w:val="00A4687A"/>
    <w:rsid w:val="00A46D17"/>
    <w:rsid w:val="00A47C08"/>
    <w:rsid w:val="00A52F47"/>
    <w:rsid w:val="00A54695"/>
    <w:rsid w:val="00A54D83"/>
    <w:rsid w:val="00A61176"/>
    <w:rsid w:val="00A61F5C"/>
    <w:rsid w:val="00A63384"/>
    <w:rsid w:val="00A71631"/>
    <w:rsid w:val="00A71754"/>
    <w:rsid w:val="00A717E7"/>
    <w:rsid w:val="00A71EDB"/>
    <w:rsid w:val="00A74152"/>
    <w:rsid w:val="00A76A28"/>
    <w:rsid w:val="00A81A62"/>
    <w:rsid w:val="00A8284E"/>
    <w:rsid w:val="00A82DC6"/>
    <w:rsid w:val="00A83243"/>
    <w:rsid w:val="00A83CC9"/>
    <w:rsid w:val="00A8789C"/>
    <w:rsid w:val="00A90111"/>
    <w:rsid w:val="00A91528"/>
    <w:rsid w:val="00A95196"/>
    <w:rsid w:val="00A9738A"/>
    <w:rsid w:val="00AA1EFF"/>
    <w:rsid w:val="00AA5115"/>
    <w:rsid w:val="00AA70DF"/>
    <w:rsid w:val="00AA7241"/>
    <w:rsid w:val="00AB14C7"/>
    <w:rsid w:val="00AB2264"/>
    <w:rsid w:val="00AB4E47"/>
    <w:rsid w:val="00AB67F7"/>
    <w:rsid w:val="00AC0715"/>
    <w:rsid w:val="00AC146C"/>
    <w:rsid w:val="00AC1BA8"/>
    <w:rsid w:val="00AC1F76"/>
    <w:rsid w:val="00AC2615"/>
    <w:rsid w:val="00AC5AB5"/>
    <w:rsid w:val="00AC64D8"/>
    <w:rsid w:val="00AD0AF6"/>
    <w:rsid w:val="00AD12D2"/>
    <w:rsid w:val="00AD1729"/>
    <w:rsid w:val="00AD1C00"/>
    <w:rsid w:val="00AD2774"/>
    <w:rsid w:val="00AD3BAE"/>
    <w:rsid w:val="00AD5261"/>
    <w:rsid w:val="00AE2CB2"/>
    <w:rsid w:val="00AE357A"/>
    <w:rsid w:val="00AE38B2"/>
    <w:rsid w:val="00AE5A4E"/>
    <w:rsid w:val="00AE76F9"/>
    <w:rsid w:val="00AF1F8B"/>
    <w:rsid w:val="00AF4117"/>
    <w:rsid w:val="00AF4295"/>
    <w:rsid w:val="00AF4B9E"/>
    <w:rsid w:val="00AF6636"/>
    <w:rsid w:val="00B11692"/>
    <w:rsid w:val="00B14116"/>
    <w:rsid w:val="00B1486E"/>
    <w:rsid w:val="00B159E2"/>
    <w:rsid w:val="00B15BDD"/>
    <w:rsid w:val="00B20443"/>
    <w:rsid w:val="00B214AB"/>
    <w:rsid w:val="00B22EB9"/>
    <w:rsid w:val="00B259CE"/>
    <w:rsid w:val="00B25B50"/>
    <w:rsid w:val="00B26510"/>
    <w:rsid w:val="00B30680"/>
    <w:rsid w:val="00B31DD7"/>
    <w:rsid w:val="00B32CAF"/>
    <w:rsid w:val="00B33432"/>
    <w:rsid w:val="00B336D5"/>
    <w:rsid w:val="00B35F18"/>
    <w:rsid w:val="00B3657C"/>
    <w:rsid w:val="00B42372"/>
    <w:rsid w:val="00B423A4"/>
    <w:rsid w:val="00B437D6"/>
    <w:rsid w:val="00B4446B"/>
    <w:rsid w:val="00B445C1"/>
    <w:rsid w:val="00B523FB"/>
    <w:rsid w:val="00B5525E"/>
    <w:rsid w:val="00B57726"/>
    <w:rsid w:val="00B63604"/>
    <w:rsid w:val="00B63CFC"/>
    <w:rsid w:val="00B63FA9"/>
    <w:rsid w:val="00B650CC"/>
    <w:rsid w:val="00B663D5"/>
    <w:rsid w:val="00B7078F"/>
    <w:rsid w:val="00B71457"/>
    <w:rsid w:val="00B73394"/>
    <w:rsid w:val="00B750BF"/>
    <w:rsid w:val="00B75217"/>
    <w:rsid w:val="00B75366"/>
    <w:rsid w:val="00B81AFD"/>
    <w:rsid w:val="00B83085"/>
    <w:rsid w:val="00B85442"/>
    <w:rsid w:val="00B85BF4"/>
    <w:rsid w:val="00B91090"/>
    <w:rsid w:val="00B926B7"/>
    <w:rsid w:val="00B94A3A"/>
    <w:rsid w:val="00B95094"/>
    <w:rsid w:val="00BB0F96"/>
    <w:rsid w:val="00BB12EA"/>
    <w:rsid w:val="00BB2F95"/>
    <w:rsid w:val="00BC2829"/>
    <w:rsid w:val="00BC4096"/>
    <w:rsid w:val="00BC60A9"/>
    <w:rsid w:val="00BC65BA"/>
    <w:rsid w:val="00BD55FE"/>
    <w:rsid w:val="00BE0383"/>
    <w:rsid w:val="00BE07A0"/>
    <w:rsid w:val="00BE0C7C"/>
    <w:rsid w:val="00BE1C3A"/>
    <w:rsid w:val="00BE70FF"/>
    <w:rsid w:val="00BF1079"/>
    <w:rsid w:val="00BF2768"/>
    <w:rsid w:val="00BF5859"/>
    <w:rsid w:val="00BF6DFF"/>
    <w:rsid w:val="00C00048"/>
    <w:rsid w:val="00C00239"/>
    <w:rsid w:val="00C012B8"/>
    <w:rsid w:val="00C11842"/>
    <w:rsid w:val="00C12994"/>
    <w:rsid w:val="00C1363B"/>
    <w:rsid w:val="00C14D24"/>
    <w:rsid w:val="00C1538F"/>
    <w:rsid w:val="00C15926"/>
    <w:rsid w:val="00C16139"/>
    <w:rsid w:val="00C17609"/>
    <w:rsid w:val="00C177ED"/>
    <w:rsid w:val="00C2265C"/>
    <w:rsid w:val="00C24E8F"/>
    <w:rsid w:val="00C25AB2"/>
    <w:rsid w:val="00C278A9"/>
    <w:rsid w:val="00C30985"/>
    <w:rsid w:val="00C3350C"/>
    <w:rsid w:val="00C33BB9"/>
    <w:rsid w:val="00C3464B"/>
    <w:rsid w:val="00C35140"/>
    <w:rsid w:val="00C35A34"/>
    <w:rsid w:val="00C367F2"/>
    <w:rsid w:val="00C3715A"/>
    <w:rsid w:val="00C3717F"/>
    <w:rsid w:val="00C408DA"/>
    <w:rsid w:val="00C421FF"/>
    <w:rsid w:val="00C425BE"/>
    <w:rsid w:val="00C44F2B"/>
    <w:rsid w:val="00C545D3"/>
    <w:rsid w:val="00C54A8C"/>
    <w:rsid w:val="00C5675C"/>
    <w:rsid w:val="00C61233"/>
    <w:rsid w:val="00C61911"/>
    <w:rsid w:val="00C627D8"/>
    <w:rsid w:val="00C62EB5"/>
    <w:rsid w:val="00C65EB9"/>
    <w:rsid w:val="00C718D9"/>
    <w:rsid w:val="00C72850"/>
    <w:rsid w:val="00C73632"/>
    <w:rsid w:val="00C75175"/>
    <w:rsid w:val="00C7543D"/>
    <w:rsid w:val="00C759F9"/>
    <w:rsid w:val="00C75CB7"/>
    <w:rsid w:val="00C777E7"/>
    <w:rsid w:val="00C81E92"/>
    <w:rsid w:val="00C82A83"/>
    <w:rsid w:val="00C91F28"/>
    <w:rsid w:val="00C92ED2"/>
    <w:rsid w:val="00C93239"/>
    <w:rsid w:val="00C94BF8"/>
    <w:rsid w:val="00C94F86"/>
    <w:rsid w:val="00CA180E"/>
    <w:rsid w:val="00CA23F1"/>
    <w:rsid w:val="00CA4DB3"/>
    <w:rsid w:val="00CA574E"/>
    <w:rsid w:val="00CA69FF"/>
    <w:rsid w:val="00CA7FEE"/>
    <w:rsid w:val="00CB0CBA"/>
    <w:rsid w:val="00CB11FA"/>
    <w:rsid w:val="00CC0F98"/>
    <w:rsid w:val="00CC1F38"/>
    <w:rsid w:val="00CC4D3B"/>
    <w:rsid w:val="00CC6328"/>
    <w:rsid w:val="00CC69B1"/>
    <w:rsid w:val="00CC7D94"/>
    <w:rsid w:val="00CD0996"/>
    <w:rsid w:val="00CD17D9"/>
    <w:rsid w:val="00CD218F"/>
    <w:rsid w:val="00CD417B"/>
    <w:rsid w:val="00CD4EA9"/>
    <w:rsid w:val="00CE0A40"/>
    <w:rsid w:val="00CE0C33"/>
    <w:rsid w:val="00CE2480"/>
    <w:rsid w:val="00CE3871"/>
    <w:rsid w:val="00CE39D5"/>
    <w:rsid w:val="00CE52D0"/>
    <w:rsid w:val="00CE7671"/>
    <w:rsid w:val="00CF1043"/>
    <w:rsid w:val="00CF1336"/>
    <w:rsid w:val="00CF2265"/>
    <w:rsid w:val="00CF38DA"/>
    <w:rsid w:val="00CF6B12"/>
    <w:rsid w:val="00CF6CA8"/>
    <w:rsid w:val="00CF797E"/>
    <w:rsid w:val="00CF7AF4"/>
    <w:rsid w:val="00CF7C9B"/>
    <w:rsid w:val="00D01079"/>
    <w:rsid w:val="00D02059"/>
    <w:rsid w:val="00D03B55"/>
    <w:rsid w:val="00D04D65"/>
    <w:rsid w:val="00D10FDF"/>
    <w:rsid w:val="00D15CC8"/>
    <w:rsid w:val="00D20615"/>
    <w:rsid w:val="00D206F9"/>
    <w:rsid w:val="00D20796"/>
    <w:rsid w:val="00D238ED"/>
    <w:rsid w:val="00D2538D"/>
    <w:rsid w:val="00D268C9"/>
    <w:rsid w:val="00D26D00"/>
    <w:rsid w:val="00D301ED"/>
    <w:rsid w:val="00D313B0"/>
    <w:rsid w:val="00D319D4"/>
    <w:rsid w:val="00D36569"/>
    <w:rsid w:val="00D36FBF"/>
    <w:rsid w:val="00D40062"/>
    <w:rsid w:val="00D405E7"/>
    <w:rsid w:val="00D4133A"/>
    <w:rsid w:val="00D440FF"/>
    <w:rsid w:val="00D44DD1"/>
    <w:rsid w:val="00D50BC2"/>
    <w:rsid w:val="00D515C2"/>
    <w:rsid w:val="00D51801"/>
    <w:rsid w:val="00D5622E"/>
    <w:rsid w:val="00D570CE"/>
    <w:rsid w:val="00D66F14"/>
    <w:rsid w:val="00D679C1"/>
    <w:rsid w:val="00D67A9D"/>
    <w:rsid w:val="00D7638B"/>
    <w:rsid w:val="00D76DCC"/>
    <w:rsid w:val="00D77028"/>
    <w:rsid w:val="00D77D9E"/>
    <w:rsid w:val="00D81C8D"/>
    <w:rsid w:val="00D81D6D"/>
    <w:rsid w:val="00D8340F"/>
    <w:rsid w:val="00D86400"/>
    <w:rsid w:val="00D867D6"/>
    <w:rsid w:val="00D868DE"/>
    <w:rsid w:val="00D90503"/>
    <w:rsid w:val="00D94A33"/>
    <w:rsid w:val="00D97FE0"/>
    <w:rsid w:val="00DA1C78"/>
    <w:rsid w:val="00DA6875"/>
    <w:rsid w:val="00DB0107"/>
    <w:rsid w:val="00DB0B44"/>
    <w:rsid w:val="00DB18E3"/>
    <w:rsid w:val="00DB297D"/>
    <w:rsid w:val="00DB4314"/>
    <w:rsid w:val="00DB6163"/>
    <w:rsid w:val="00DB66A1"/>
    <w:rsid w:val="00DB75D0"/>
    <w:rsid w:val="00DB7C7C"/>
    <w:rsid w:val="00DC0A19"/>
    <w:rsid w:val="00DC0C8E"/>
    <w:rsid w:val="00DC1BE6"/>
    <w:rsid w:val="00DC68AF"/>
    <w:rsid w:val="00DD1317"/>
    <w:rsid w:val="00DD2426"/>
    <w:rsid w:val="00DD2F1D"/>
    <w:rsid w:val="00DD3ACE"/>
    <w:rsid w:val="00DD60CF"/>
    <w:rsid w:val="00DE02C0"/>
    <w:rsid w:val="00DE0C01"/>
    <w:rsid w:val="00DE3797"/>
    <w:rsid w:val="00DE4E97"/>
    <w:rsid w:val="00DE5AB2"/>
    <w:rsid w:val="00DE671D"/>
    <w:rsid w:val="00DF4497"/>
    <w:rsid w:val="00DF44DC"/>
    <w:rsid w:val="00DF4E4D"/>
    <w:rsid w:val="00DF715B"/>
    <w:rsid w:val="00E00C09"/>
    <w:rsid w:val="00E01840"/>
    <w:rsid w:val="00E03760"/>
    <w:rsid w:val="00E03EFD"/>
    <w:rsid w:val="00E0764D"/>
    <w:rsid w:val="00E0782E"/>
    <w:rsid w:val="00E10D0C"/>
    <w:rsid w:val="00E10E49"/>
    <w:rsid w:val="00E1639B"/>
    <w:rsid w:val="00E16966"/>
    <w:rsid w:val="00E16B58"/>
    <w:rsid w:val="00E173A4"/>
    <w:rsid w:val="00E1777D"/>
    <w:rsid w:val="00E20B76"/>
    <w:rsid w:val="00E21B6D"/>
    <w:rsid w:val="00E22996"/>
    <w:rsid w:val="00E31245"/>
    <w:rsid w:val="00E319E4"/>
    <w:rsid w:val="00E34FE8"/>
    <w:rsid w:val="00E377D4"/>
    <w:rsid w:val="00E406E1"/>
    <w:rsid w:val="00E4111A"/>
    <w:rsid w:val="00E418B7"/>
    <w:rsid w:val="00E419D1"/>
    <w:rsid w:val="00E41A8F"/>
    <w:rsid w:val="00E47A9E"/>
    <w:rsid w:val="00E52810"/>
    <w:rsid w:val="00E536A2"/>
    <w:rsid w:val="00E56F5D"/>
    <w:rsid w:val="00E60A9C"/>
    <w:rsid w:val="00E61924"/>
    <w:rsid w:val="00E61E2A"/>
    <w:rsid w:val="00E62870"/>
    <w:rsid w:val="00E63015"/>
    <w:rsid w:val="00E6532F"/>
    <w:rsid w:val="00E70E68"/>
    <w:rsid w:val="00E7106D"/>
    <w:rsid w:val="00E7401E"/>
    <w:rsid w:val="00E762FB"/>
    <w:rsid w:val="00E808E3"/>
    <w:rsid w:val="00E817C5"/>
    <w:rsid w:val="00E81DDF"/>
    <w:rsid w:val="00E82791"/>
    <w:rsid w:val="00E8332D"/>
    <w:rsid w:val="00E85DFB"/>
    <w:rsid w:val="00E85F74"/>
    <w:rsid w:val="00E865C1"/>
    <w:rsid w:val="00E87CCD"/>
    <w:rsid w:val="00E87EBC"/>
    <w:rsid w:val="00E90614"/>
    <w:rsid w:val="00E92C08"/>
    <w:rsid w:val="00E94054"/>
    <w:rsid w:val="00E9426D"/>
    <w:rsid w:val="00E947D0"/>
    <w:rsid w:val="00E94B32"/>
    <w:rsid w:val="00E94F48"/>
    <w:rsid w:val="00E95122"/>
    <w:rsid w:val="00E95A5B"/>
    <w:rsid w:val="00EA02B6"/>
    <w:rsid w:val="00EA0BAE"/>
    <w:rsid w:val="00EA1009"/>
    <w:rsid w:val="00EA1F39"/>
    <w:rsid w:val="00EA328C"/>
    <w:rsid w:val="00EA50FC"/>
    <w:rsid w:val="00EA6123"/>
    <w:rsid w:val="00EB170B"/>
    <w:rsid w:val="00EB290D"/>
    <w:rsid w:val="00EB474C"/>
    <w:rsid w:val="00EB5517"/>
    <w:rsid w:val="00EB632A"/>
    <w:rsid w:val="00EC36BC"/>
    <w:rsid w:val="00ED18AF"/>
    <w:rsid w:val="00ED2203"/>
    <w:rsid w:val="00ED2569"/>
    <w:rsid w:val="00ED25B1"/>
    <w:rsid w:val="00ED3109"/>
    <w:rsid w:val="00ED621F"/>
    <w:rsid w:val="00ED7FAF"/>
    <w:rsid w:val="00EE0104"/>
    <w:rsid w:val="00EE07DA"/>
    <w:rsid w:val="00EE2AD2"/>
    <w:rsid w:val="00EE324B"/>
    <w:rsid w:val="00EE56CB"/>
    <w:rsid w:val="00EE6B8D"/>
    <w:rsid w:val="00EE6C48"/>
    <w:rsid w:val="00EF0079"/>
    <w:rsid w:val="00EF4E25"/>
    <w:rsid w:val="00EF5AEB"/>
    <w:rsid w:val="00EF5E4C"/>
    <w:rsid w:val="00EF6B7E"/>
    <w:rsid w:val="00F03DD9"/>
    <w:rsid w:val="00F06A8A"/>
    <w:rsid w:val="00F0761C"/>
    <w:rsid w:val="00F1054C"/>
    <w:rsid w:val="00F11975"/>
    <w:rsid w:val="00F1246B"/>
    <w:rsid w:val="00F243C8"/>
    <w:rsid w:val="00F25F70"/>
    <w:rsid w:val="00F26D6A"/>
    <w:rsid w:val="00F304A9"/>
    <w:rsid w:val="00F30688"/>
    <w:rsid w:val="00F30C1A"/>
    <w:rsid w:val="00F33F84"/>
    <w:rsid w:val="00F34FB2"/>
    <w:rsid w:val="00F35A11"/>
    <w:rsid w:val="00F400ED"/>
    <w:rsid w:val="00F420CC"/>
    <w:rsid w:val="00F43840"/>
    <w:rsid w:val="00F43BBA"/>
    <w:rsid w:val="00F45E41"/>
    <w:rsid w:val="00F50479"/>
    <w:rsid w:val="00F507CD"/>
    <w:rsid w:val="00F52083"/>
    <w:rsid w:val="00F53C91"/>
    <w:rsid w:val="00F56191"/>
    <w:rsid w:val="00F56E87"/>
    <w:rsid w:val="00F61FC5"/>
    <w:rsid w:val="00F64BB0"/>
    <w:rsid w:val="00F6546C"/>
    <w:rsid w:val="00F709AA"/>
    <w:rsid w:val="00F73E51"/>
    <w:rsid w:val="00F75244"/>
    <w:rsid w:val="00F801B9"/>
    <w:rsid w:val="00F8304C"/>
    <w:rsid w:val="00F85A8C"/>
    <w:rsid w:val="00F86E62"/>
    <w:rsid w:val="00F915F1"/>
    <w:rsid w:val="00F91721"/>
    <w:rsid w:val="00F920ED"/>
    <w:rsid w:val="00F95601"/>
    <w:rsid w:val="00F957DB"/>
    <w:rsid w:val="00FA5879"/>
    <w:rsid w:val="00FA58E9"/>
    <w:rsid w:val="00FA5CFA"/>
    <w:rsid w:val="00FB04D2"/>
    <w:rsid w:val="00FB0604"/>
    <w:rsid w:val="00FB209F"/>
    <w:rsid w:val="00FB6215"/>
    <w:rsid w:val="00FB6448"/>
    <w:rsid w:val="00FD0668"/>
    <w:rsid w:val="00FD2335"/>
    <w:rsid w:val="00FD2AED"/>
    <w:rsid w:val="00FD739B"/>
    <w:rsid w:val="00FD784E"/>
    <w:rsid w:val="00FE0A74"/>
    <w:rsid w:val="00FE0E36"/>
    <w:rsid w:val="00FE2790"/>
    <w:rsid w:val="00FE4D23"/>
    <w:rsid w:val="00FE639A"/>
    <w:rsid w:val="00FE6EA5"/>
    <w:rsid w:val="00FE76EB"/>
    <w:rsid w:val="00FE7BE9"/>
    <w:rsid w:val="00FF344D"/>
    <w:rsid w:val="00FF366D"/>
    <w:rsid w:val="00FF401B"/>
    <w:rsid w:val="00FF463F"/>
    <w:rsid w:val="00FF55FB"/>
    <w:rsid w:val="00FF5C61"/>
    <w:rsid w:val="00FF7F98"/>
    <w:rsid w:val="016D0AE4"/>
    <w:rsid w:val="0173558A"/>
    <w:rsid w:val="018B513A"/>
    <w:rsid w:val="01C55CBC"/>
    <w:rsid w:val="02021905"/>
    <w:rsid w:val="020C2A3C"/>
    <w:rsid w:val="02347182"/>
    <w:rsid w:val="0256505D"/>
    <w:rsid w:val="02840791"/>
    <w:rsid w:val="02873BB9"/>
    <w:rsid w:val="02C35A8C"/>
    <w:rsid w:val="02F32FFC"/>
    <w:rsid w:val="02F33C8E"/>
    <w:rsid w:val="02F4124E"/>
    <w:rsid w:val="0312709C"/>
    <w:rsid w:val="032D650E"/>
    <w:rsid w:val="03315E11"/>
    <w:rsid w:val="03483348"/>
    <w:rsid w:val="035319A4"/>
    <w:rsid w:val="0363259C"/>
    <w:rsid w:val="03646924"/>
    <w:rsid w:val="03A13EF0"/>
    <w:rsid w:val="03E80C4F"/>
    <w:rsid w:val="03FC0559"/>
    <w:rsid w:val="03FC5AE5"/>
    <w:rsid w:val="04447FB3"/>
    <w:rsid w:val="045E7583"/>
    <w:rsid w:val="04722D72"/>
    <w:rsid w:val="047D4AC7"/>
    <w:rsid w:val="04EB042F"/>
    <w:rsid w:val="053A3164"/>
    <w:rsid w:val="054D2B00"/>
    <w:rsid w:val="055052D8"/>
    <w:rsid w:val="0596101C"/>
    <w:rsid w:val="061614DB"/>
    <w:rsid w:val="063D115E"/>
    <w:rsid w:val="063E2346"/>
    <w:rsid w:val="066F0F41"/>
    <w:rsid w:val="06741ABD"/>
    <w:rsid w:val="068C79F0"/>
    <w:rsid w:val="069570A1"/>
    <w:rsid w:val="06B11E4C"/>
    <w:rsid w:val="06C158EB"/>
    <w:rsid w:val="06CC1C4B"/>
    <w:rsid w:val="06F32700"/>
    <w:rsid w:val="06F832D7"/>
    <w:rsid w:val="077A3CEC"/>
    <w:rsid w:val="07B0770E"/>
    <w:rsid w:val="07D27EA8"/>
    <w:rsid w:val="08363DD4"/>
    <w:rsid w:val="085812C8"/>
    <w:rsid w:val="08622C24"/>
    <w:rsid w:val="08653728"/>
    <w:rsid w:val="08BF40AC"/>
    <w:rsid w:val="090C4E18"/>
    <w:rsid w:val="098470A4"/>
    <w:rsid w:val="09B43E53"/>
    <w:rsid w:val="0A2006DF"/>
    <w:rsid w:val="0A3D734D"/>
    <w:rsid w:val="0A4831D0"/>
    <w:rsid w:val="0A483924"/>
    <w:rsid w:val="0B071D3B"/>
    <w:rsid w:val="0B267E65"/>
    <w:rsid w:val="0B435506"/>
    <w:rsid w:val="0B4D6655"/>
    <w:rsid w:val="0B500328"/>
    <w:rsid w:val="0B5218A1"/>
    <w:rsid w:val="0B5E2329"/>
    <w:rsid w:val="0BDA5E91"/>
    <w:rsid w:val="0C01398D"/>
    <w:rsid w:val="0C4C7929"/>
    <w:rsid w:val="0C853010"/>
    <w:rsid w:val="0CAF6800"/>
    <w:rsid w:val="0D3606B5"/>
    <w:rsid w:val="0D426F90"/>
    <w:rsid w:val="0D5A6454"/>
    <w:rsid w:val="0D5D20E6"/>
    <w:rsid w:val="0D8C3BEB"/>
    <w:rsid w:val="0DB8556E"/>
    <w:rsid w:val="0E124C7E"/>
    <w:rsid w:val="0E1518A1"/>
    <w:rsid w:val="0E1B3AE0"/>
    <w:rsid w:val="0E285C93"/>
    <w:rsid w:val="0E2F5830"/>
    <w:rsid w:val="0E3C5C14"/>
    <w:rsid w:val="0E7E2229"/>
    <w:rsid w:val="0F622805"/>
    <w:rsid w:val="0F987405"/>
    <w:rsid w:val="0FDC42A7"/>
    <w:rsid w:val="10367123"/>
    <w:rsid w:val="10417984"/>
    <w:rsid w:val="10895666"/>
    <w:rsid w:val="1090553E"/>
    <w:rsid w:val="10AF63B7"/>
    <w:rsid w:val="10E02E12"/>
    <w:rsid w:val="118F7CFF"/>
    <w:rsid w:val="1197619F"/>
    <w:rsid w:val="11FF19BD"/>
    <w:rsid w:val="12426DD2"/>
    <w:rsid w:val="12A70E1F"/>
    <w:rsid w:val="12AF0CEE"/>
    <w:rsid w:val="12B72FCD"/>
    <w:rsid w:val="12D524C3"/>
    <w:rsid w:val="12D6271E"/>
    <w:rsid w:val="130518A2"/>
    <w:rsid w:val="130D6092"/>
    <w:rsid w:val="133A0200"/>
    <w:rsid w:val="135950FD"/>
    <w:rsid w:val="136B50CE"/>
    <w:rsid w:val="137E6912"/>
    <w:rsid w:val="13842C16"/>
    <w:rsid w:val="13B660AC"/>
    <w:rsid w:val="13B758FF"/>
    <w:rsid w:val="13C5743C"/>
    <w:rsid w:val="13D029CA"/>
    <w:rsid w:val="14725BD8"/>
    <w:rsid w:val="14A423A8"/>
    <w:rsid w:val="14E32A08"/>
    <w:rsid w:val="14E62BA3"/>
    <w:rsid w:val="15151870"/>
    <w:rsid w:val="1517224A"/>
    <w:rsid w:val="157D01C2"/>
    <w:rsid w:val="159B7C4F"/>
    <w:rsid w:val="15B57EA4"/>
    <w:rsid w:val="15C947BC"/>
    <w:rsid w:val="15E74C42"/>
    <w:rsid w:val="165226A8"/>
    <w:rsid w:val="165A2530"/>
    <w:rsid w:val="16AD5139"/>
    <w:rsid w:val="17083EDC"/>
    <w:rsid w:val="17147CB9"/>
    <w:rsid w:val="17233A58"/>
    <w:rsid w:val="174C4B7F"/>
    <w:rsid w:val="177158A7"/>
    <w:rsid w:val="17E42C71"/>
    <w:rsid w:val="18043C32"/>
    <w:rsid w:val="180B4D7E"/>
    <w:rsid w:val="180E3144"/>
    <w:rsid w:val="181007CF"/>
    <w:rsid w:val="182857AC"/>
    <w:rsid w:val="184A1286"/>
    <w:rsid w:val="18A06742"/>
    <w:rsid w:val="1929079B"/>
    <w:rsid w:val="19314B52"/>
    <w:rsid w:val="193843DE"/>
    <w:rsid w:val="19483C4A"/>
    <w:rsid w:val="19595E57"/>
    <w:rsid w:val="196533B7"/>
    <w:rsid w:val="197C1A0D"/>
    <w:rsid w:val="19B47531"/>
    <w:rsid w:val="19EF2318"/>
    <w:rsid w:val="19FB70C4"/>
    <w:rsid w:val="1A4D0B70"/>
    <w:rsid w:val="1A6D0A09"/>
    <w:rsid w:val="1A6D6BAE"/>
    <w:rsid w:val="1A7840BB"/>
    <w:rsid w:val="1A7F6325"/>
    <w:rsid w:val="1A895970"/>
    <w:rsid w:val="1A8D4D62"/>
    <w:rsid w:val="1AC467AA"/>
    <w:rsid w:val="1B787B31"/>
    <w:rsid w:val="1BD21EF1"/>
    <w:rsid w:val="1C1C260C"/>
    <w:rsid w:val="1C3D60E3"/>
    <w:rsid w:val="1C7238D5"/>
    <w:rsid w:val="1C840525"/>
    <w:rsid w:val="1C84143D"/>
    <w:rsid w:val="1C8B701C"/>
    <w:rsid w:val="1C977472"/>
    <w:rsid w:val="1CF163A7"/>
    <w:rsid w:val="1D1A3062"/>
    <w:rsid w:val="1D23178A"/>
    <w:rsid w:val="1D3C5EE1"/>
    <w:rsid w:val="1D4666A1"/>
    <w:rsid w:val="1D473226"/>
    <w:rsid w:val="1D4A4435"/>
    <w:rsid w:val="1D546098"/>
    <w:rsid w:val="1E635786"/>
    <w:rsid w:val="1E9E7418"/>
    <w:rsid w:val="1EC52E72"/>
    <w:rsid w:val="1EC91BF5"/>
    <w:rsid w:val="1EF831D2"/>
    <w:rsid w:val="1F562B02"/>
    <w:rsid w:val="1FDA25D0"/>
    <w:rsid w:val="1FE049EE"/>
    <w:rsid w:val="20194A40"/>
    <w:rsid w:val="203B529E"/>
    <w:rsid w:val="204469BC"/>
    <w:rsid w:val="20524E44"/>
    <w:rsid w:val="20844494"/>
    <w:rsid w:val="20863AF3"/>
    <w:rsid w:val="209B2E36"/>
    <w:rsid w:val="20D61200"/>
    <w:rsid w:val="210E7527"/>
    <w:rsid w:val="2146615C"/>
    <w:rsid w:val="21587A1D"/>
    <w:rsid w:val="21651998"/>
    <w:rsid w:val="221A39C9"/>
    <w:rsid w:val="22271A7E"/>
    <w:rsid w:val="22334F35"/>
    <w:rsid w:val="22551AD5"/>
    <w:rsid w:val="226371B8"/>
    <w:rsid w:val="226C59F0"/>
    <w:rsid w:val="22D24D60"/>
    <w:rsid w:val="23060D8C"/>
    <w:rsid w:val="234611FA"/>
    <w:rsid w:val="23485551"/>
    <w:rsid w:val="237467A2"/>
    <w:rsid w:val="239A18B2"/>
    <w:rsid w:val="23CD7DA1"/>
    <w:rsid w:val="23FA5FEA"/>
    <w:rsid w:val="241C7A13"/>
    <w:rsid w:val="244D65B8"/>
    <w:rsid w:val="248E2DE1"/>
    <w:rsid w:val="249809B4"/>
    <w:rsid w:val="24CA4117"/>
    <w:rsid w:val="24D64A43"/>
    <w:rsid w:val="24FD50EE"/>
    <w:rsid w:val="25347747"/>
    <w:rsid w:val="25697422"/>
    <w:rsid w:val="256A4E4D"/>
    <w:rsid w:val="25875AFA"/>
    <w:rsid w:val="25897AC4"/>
    <w:rsid w:val="259E376E"/>
    <w:rsid w:val="25DD571A"/>
    <w:rsid w:val="25F74A2E"/>
    <w:rsid w:val="262E0970"/>
    <w:rsid w:val="26483950"/>
    <w:rsid w:val="268F2EB8"/>
    <w:rsid w:val="26B01932"/>
    <w:rsid w:val="26D27C2D"/>
    <w:rsid w:val="27280C17"/>
    <w:rsid w:val="273864DE"/>
    <w:rsid w:val="275D4D64"/>
    <w:rsid w:val="276E51C4"/>
    <w:rsid w:val="276F7EC0"/>
    <w:rsid w:val="27C13000"/>
    <w:rsid w:val="2849353B"/>
    <w:rsid w:val="28642907"/>
    <w:rsid w:val="286940D9"/>
    <w:rsid w:val="286D5F65"/>
    <w:rsid w:val="28997FF9"/>
    <w:rsid w:val="28ED2118"/>
    <w:rsid w:val="290D7B43"/>
    <w:rsid w:val="29A0418A"/>
    <w:rsid w:val="29E33C4B"/>
    <w:rsid w:val="29F30D4C"/>
    <w:rsid w:val="2A261D85"/>
    <w:rsid w:val="2A344CC5"/>
    <w:rsid w:val="2AA0533E"/>
    <w:rsid w:val="2B51698E"/>
    <w:rsid w:val="2B6761B2"/>
    <w:rsid w:val="2BC21530"/>
    <w:rsid w:val="2BDC1AD4"/>
    <w:rsid w:val="2C062A3B"/>
    <w:rsid w:val="2CBA2FB1"/>
    <w:rsid w:val="2D030DB2"/>
    <w:rsid w:val="2D3F4D6F"/>
    <w:rsid w:val="2D6A1F89"/>
    <w:rsid w:val="2DD1218E"/>
    <w:rsid w:val="2DF53F49"/>
    <w:rsid w:val="2E1343CF"/>
    <w:rsid w:val="2E1819E5"/>
    <w:rsid w:val="2E2B2D7C"/>
    <w:rsid w:val="2EA01DE3"/>
    <w:rsid w:val="2EA663FE"/>
    <w:rsid w:val="2EB24CE0"/>
    <w:rsid w:val="2EC7265D"/>
    <w:rsid w:val="2EF27956"/>
    <w:rsid w:val="2F0F4239"/>
    <w:rsid w:val="2FA920B8"/>
    <w:rsid w:val="2FC418D8"/>
    <w:rsid w:val="2FE52A7E"/>
    <w:rsid w:val="300E7950"/>
    <w:rsid w:val="304C61CA"/>
    <w:rsid w:val="307329D5"/>
    <w:rsid w:val="307C4E72"/>
    <w:rsid w:val="30A74C5B"/>
    <w:rsid w:val="30B01B4A"/>
    <w:rsid w:val="30D20571"/>
    <w:rsid w:val="310F3573"/>
    <w:rsid w:val="317821EF"/>
    <w:rsid w:val="31E4090D"/>
    <w:rsid w:val="31FD161E"/>
    <w:rsid w:val="32153857"/>
    <w:rsid w:val="32794A1C"/>
    <w:rsid w:val="328775B4"/>
    <w:rsid w:val="330723DC"/>
    <w:rsid w:val="337E0C62"/>
    <w:rsid w:val="33CF0D98"/>
    <w:rsid w:val="346A7BCF"/>
    <w:rsid w:val="348A193A"/>
    <w:rsid w:val="349D42F5"/>
    <w:rsid w:val="35415CC5"/>
    <w:rsid w:val="354C1656"/>
    <w:rsid w:val="356814A4"/>
    <w:rsid w:val="357A2F85"/>
    <w:rsid w:val="358337C3"/>
    <w:rsid w:val="359B703E"/>
    <w:rsid w:val="35D958F9"/>
    <w:rsid w:val="360D7D52"/>
    <w:rsid w:val="36176A26"/>
    <w:rsid w:val="362E7FFA"/>
    <w:rsid w:val="36315D3A"/>
    <w:rsid w:val="366157C4"/>
    <w:rsid w:val="366D4898"/>
    <w:rsid w:val="367B2569"/>
    <w:rsid w:val="36AE1139"/>
    <w:rsid w:val="36AF31C8"/>
    <w:rsid w:val="36C23C6D"/>
    <w:rsid w:val="370074BA"/>
    <w:rsid w:val="37045804"/>
    <w:rsid w:val="378679C0"/>
    <w:rsid w:val="37A367C3"/>
    <w:rsid w:val="37D77D6E"/>
    <w:rsid w:val="37E30F28"/>
    <w:rsid w:val="3835795C"/>
    <w:rsid w:val="384E78A9"/>
    <w:rsid w:val="385B37C8"/>
    <w:rsid w:val="386B35B8"/>
    <w:rsid w:val="387C313D"/>
    <w:rsid w:val="38A94FE7"/>
    <w:rsid w:val="38B236C7"/>
    <w:rsid w:val="38D736B9"/>
    <w:rsid w:val="38ED560D"/>
    <w:rsid w:val="39335925"/>
    <w:rsid w:val="393C6ED0"/>
    <w:rsid w:val="39B00F52"/>
    <w:rsid w:val="39CC10E9"/>
    <w:rsid w:val="39D26841"/>
    <w:rsid w:val="39D81877"/>
    <w:rsid w:val="39EE04F3"/>
    <w:rsid w:val="3A5902A4"/>
    <w:rsid w:val="3A655FB2"/>
    <w:rsid w:val="3A6B2F3C"/>
    <w:rsid w:val="3A742699"/>
    <w:rsid w:val="3A7F400B"/>
    <w:rsid w:val="3AAD08CD"/>
    <w:rsid w:val="3B61579D"/>
    <w:rsid w:val="3B6E4235"/>
    <w:rsid w:val="3BA7084C"/>
    <w:rsid w:val="3BCA3066"/>
    <w:rsid w:val="3C01771B"/>
    <w:rsid w:val="3C764097"/>
    <w:rsid w:val="3CA55B29"/>
    <w:rsid w:val="3CB21A52"/>
    <w:rsid w:val="3CC35212"/>
    <w:rsid w:val="3CD84EB3"/>
    <w:rsid w:val="3D000214"/>
    <w:rsid w:val="3D0072B8"/>
    <w:rsid w:val="3D0173C5"/>
    <w:rsid w:val="3D332398"/>
    <w:rsid w:val="3DE83833"/>
    <w:rsid w:val="3E104487"/>
    <w:rsid w:val="3E465B7C"/>
    <w:rsid w:val="3E4660FB"/>
    <w:rsid w:val="3E734A16"/>
    <w:rsid w:val="3E752DDF"/>
    <w:rsid w:val="3E92628C"/>
    <w:rsid w:val="3EF728D5"/>
    <w:rsid w:val="3F877A39"/>
    <w:rsid w:val="40093884"/>
    <w:rsid w:val="400D176C"/>
    <w:rsid w:val="401D2E8B"/>
    <w:rsid w:val="40251D40"/>
    <w:rsid w:val="406366DD"/>
    <w:rsid w:val="40DF6392"/>
    <w:rsid w:val="41887122"/>
    <w:rsid w:val="418F7312"/>
    <w:rsid w:val="41AC096A"/>
    <w:rsid w:val="41BB295C"/>
    <w:rsid w:val="41E974C9"/>
    <w:rsid w:val="42593309"/>
    <w:rsid w:val="425F29E4"/>
    <w:rsid w:val="42BB2A00"/>
    <w:rsid w:val="42CF1A6D"/>
    <w:rsid w:val="42D9578F"/>
    <w:rsid w:val="42FB3958"/>
    <w:rsid w:val="433504EC"/>
    <w:rsid w:val="434F4957"/>
    <w:rsid w:val="435E59BE"/>
    <w:rsid w:val="4362385A"/>
    <w:rsid w:val="43CE580F"/>
    <w:rsid w:val="4401783A"/>
    <w:rsid w:val="440A4948"/>
    <w:rsid w:val="44406889"/>
    <w:rsid w:val="44550E45"/>
    <w:rsid w:val="44931781"/>
    <w:rsid w:val="44B94D9B"/>
    <w:rsid w:val="45196317"/>
    <w:rsid w:val="452C3A1D"/>
    <w:rsid w:val="454D74A9"/>
    <w:rsid w:val="45E004FC"/>
    <w:rsid w:val="45E138F4"/>
    <w:rsid w:val="46547D5A"/>
    <w:rsid w:val="46AE6F33"/>
    <w:rsid w:val="46B1432D"/>
    <w:rsid w:val="46D77AF0"/>
    <w:rsid w:val="47046B53"/>
    <w:rsid w:val="47376F28"/>
    <w:rsid w:val="47CC6923"/>
    <w:rsid w:val="480E207F"/>
    <w:rsid w:val="480F6038"/>
    <w:rsid w:val="48576465"/>
    <w:rsid w:val="48FC2DB1"/>
    <w:rsid w:val="49522D5E"/>
    <w:rsid w:val="49A02651"/>
    <w:rsid w:val="49C47659"/>
    <w:rsid w:val="49DF11B1"/>
    <w:rsid w:val="4A2B5779"/>
    <w:rsid w:val="4A450EF1"/>
    <w:rsid w:val="4A5D5D84"/>
    <w:rsid w:val="4A88006B"/>
    <w:rsid w:val="4A9401EE"/>
    <w:rsid w:val="4A9F52A4"/>
    <w:rsid w:val="4AD351BA"/>
    <w:rsid w:val="4B050259"/>
    <w:rsid w:val="4B0557AD"/>
    <w:rsid w:val="4B06733D"/>
    <w:rsid w:val="4B0B4954"/>
    <w:rsid w:val="4B6F670D"/>
    <w:rsid w:val="4B730369"/>
    <w:rsid w:val="4BAB27B1"/>
    <w:rsid w:val="4BB26B7D"/>
    <w:rsid w:val="4BD935B2"/>
    <w:rsid w:val="4C420357"/>
    <w:rsid w:val="4C420BC6"/>
    <w:rsid w:val="4C5C2F8D"/>
    <w:rsid w:val="4C8F4AEF"/>
    <w:rsid w:val="4CAD2284"/>
    <w:rsid w:val="4CBF59B7"/>
    <w:rsid w:val="4DFF1E22"/>
    <w:rsid w:val="4E04701D"/>
    <w:rsid w:val="4E0F02B7"/>
    <w:rsid w:val="4E19737E"/>
    <w:rsid w:val="4E6E2FB5"/>
    <w:rsid w:val="4E8D38D2"/>
    <w:rsid w:val="4EB175DB"/>
    <w:rsid w:val="4EBA414E"/>
    <w:rsid w:val="4F5662D3"/>
    <w:rsid w:val="4F5A491C"/>
    <w:rsid w:val="500E28C5"/>
    <w:rsid w:val="50606A7D"/>
    <w:rsid w:val="50A62A29"/>
    <w:rsid w:val="50D61B66"/>
    <w:rsid w:val="50E06415"/>
    <w:rsid w:val="50EF617E"/>
    <w:rsid w:val="511C715A"/>
    <w:rsid w:val="51207AE6"/>
    <w:rsid w:val="513A03FE"/>
    <w:rsid w:val="51547B32"/>
    <w:rsid w:val="519A7131"/>
    <w:rsid w:val="51C0603E"/>
    <w:rsid w:val="5218720A"/>
    <w:rsid w:val="521E46DD"/>
    <w:rsid w:val="52217827"/>
    <w:rsid w:val="52412A09"/>
    <w:rsid w:val="52445A58"/>
    <w:rsid w:val="524B13D8"/>
    <w:rsid w:val="5266074B"/>
    <w:rsid w:val="52727066"/>
    <w:rsid w:val="527F3531"/>
    <w:rsid w:val="52B86C7A"/>
    <w:rsid w:val="52D715BF"/>
    <w:rsid w:val="53675712"/>
    <w:rsid w:val="536F3457"/>
    <w:rsid w:val="537155BE"/>
    <w:rsid w:val="537B63EF"/>
    <w:rsid w:val="53D61885"/>
    <w:rsid w:val="53DF24DA"/>
    <w:rsid w:val="543A1E06"/>
    <w:rsid w:val="54417169"/>
    <w:rsid w:val="54444075"/>
    <w:rsid w:val="54482775"/>
    <w:rsid w:val="54CA7B59"/>
    <w:rsid w:val="54D45954"/>
    <w:rsid w:val="54FD4609"/>
    <w:rsid w:val="55030E5B"/>
    <w:rsid w:val="550D3B58"/>
    <w:rsid w:val="555A1BA0"/>
    <w:rsid w:val="55810253"/>
    <w:rsid w:val="55CA674D"/>
    <w:rsid w:val="55D02697"/>
    <w:rsid w:val="55DA64AD"/>
    <w:rsid w:val="55F76BEE"/>
    <w:rsid w:val="561A081A"/>
    <w:rsid w:val="561D19DF"/>
    <w:rsid w:val="56292132"/>
    <w:rsid w:val="56307F1D"/>
    <w:rsid w:val="56B850C9"/>
    <w:rsid w:val="56C02A96"/>
    <w:rsid w:val="56CF0F2B"/>
    <w:rsid w:val="56DD7F5E"/>
    <w:rsid w:val="56F73FDE"/>
    <w:rsid w:val="57032983"/>
    <w:rsid w:val="572A285B"/>
    <w:rsid w:val="57527466"/>
    <w:rsid w:val="576D24F2"/>
    <w:rsid w:val="57A51C8C"/>
    <w:rsid w:val="57A5783A"/>
    <w:rsid w:val="57EF4246"/>
    <w:rsid w:val="5832685C"/>
    <w:rsid w:val="584568AC"/>
    <w:rsid w:val="58824ACC"/>
    <w:rsid w:val="589200EC"/>
    <w:rsid w:val="58A91476"/>
    <w:rsid w:val="58B3435E"/>
    <w:rsid w:val="590D7131"/>
    <w:rsid w:val="591253D6"/>
    <w:rsid w:val="594B37F1"/>
    <w:rsid w:val="599E5578"/>
    <w:rsid w:val="59C37040"/>
    <w:rsid w:val="59CB0374"/>
    <w:rsid w:val="59DE0CA7"/>
    <w:rsid w:val="5A1A3741"/>
    <w:rsid w:val="5A7616BE"/>
    <w:rsid w:val="5A770749"/>
    <w:rsid w:val="5A861ABD"/>
    <w:rsid w:val="5A8F20BE"/>
    <w:rsid w:val="5AA837AC"/>
    <w:rsid w:val="5AB67D0C"/>
    <w:rsid w:val="5ABE59E9"/>
    <w:rsid w:val="5AC4067B"/>
    <w:rsid w:val="5ADF6E56"/>
    <w:rsid w:val="5B0116C7"/>
    <w:rsid w:val="5B380C90"/>
    <w:rsid w:val="5B6363EB"/>
    <w:rsid w:val="5B7D338F"/>
    <w:rsid w:val="5B9F14C4"/>
    <w:rsid w:val="5BA1276A"/>
    <w:rsid w:val="5BA57C0C"/>
    <w:rsid w:val="5C234513"/>
    <w:rsid w:val="5C425CFC"/>
    <w:rsid w:val="5C462667"/>
    <w:rsid w:val="5C4F6BD1"/>
    <w:rsid w:val="5C7E21D6"/>
    <w:rsid w:val="5C910A31"/>
    <w:rsid w:val="5C9367F6"/>
    <w:rsid w:val="5CB77CFA"/>
    <w:rsid w:val="5D214E4E"/>
    <w:rsid w:val="5D630DB1"/>
    <w:rsid w:val="5D9562FF"/>
    <w:rsid w:val="5DAB0B66"/>
    <w:rsid w:val="5DDE6F83"/>
    <w:rsid w:val="5E16050E"/>
    <w:rsid w:val="5E327DFC"/>
    <w:rsid w:val="5E4D122B"/>
    <w:rsid w:val="5E8425FB"/>
    <w:rsid w:val="5E9F11E3"/>
    <w:rsid w:val="5EF336FC"/>
    <w:rsid w:val="5F01627C"/>
    <w:rsid w:val="5F074FDA"/>
    <w:rsid w:val="5F35068C"/>
    <w:rsid w:val="5F405E81"/>
    <w:rsid w:val="5F4C0C3F"/>
    <w:rsid w:val="60A76A75"/>
    <w:rsid w:val="60A90CC5"/>
    <w:rsid w:val="61241947"/>
    <w:rsid w:val="612E6AAD"/>
    <w:rsid w:val="61633FDA"/>
    <w:rsid w:val="616A7D2F"/>
    <w:rsid w:val="61745166"/>
    <w:rsid w:val="61974113"/>
    <w:rsid w:val="61C64A0E"/>
    <w:rsid w:val="61F40A0D"/>
    <w:rsid w:val="62173786"/>
    <w:rsid w:val="621C2B4B"/>
    <w:rsid w:val="62404A8B"/>
    <w:rsid w:val="6241261C"/>
    <w:rsid w:val="62420210"/>
    <w:rsid w:val="62611DB0"/>
    <w:rsid w:val="62662018"/>
    <w:rsid w:val="62B47326"/>
    <w:rsid w:val="62EE553D"/>
    <w:rsid w:val="6300421A"/>
    <w:rsid w:val="630901A6"/>
    <w:rsid w:val="632C0E07"/>
    <w:rsid w:val="6349725C"/>
    <w:rsid w:val="63865AC3"/>
    <w:rsid w:val="638A4820"/>
    <w:rsid w:val="63931D5D"/>
    <w:rsid w:val="63A27AA9"/>
    <w:rsid w:val="64035650"/>
    <w:rsid w:val="644A2A60"/>
    <w:rsid w:val="64812DEB"/>
    <w:rsid w:val="64CB0227"/>
    <w:rsid w:val="656138C5"/>
    <w:rsid w:val="65942779"/>
    <w:rsid w:val="663C677D"/>
    <w:rsid w:val="66987842"/>
    <w:rsid w:val="66A001EE"/>
    <w:rsid w:val="66B206ED"/>
    <w:rsid w:val="66EF4ABB"/>
    <w:rsid w:val="67CC59E3"/>
    <w:rsid w:val="68264A5A"/>
    <w:rsid w:val="685B20EE"/>
    <w:rsid w:val="68907DEF"/>
    <w:rsid w:val="68E93DF6"/>
    <w:rsid w:val="690359D6"/>
    <w:rsid w:val="691427CE"/>
    <w:rsid w:val="69826F10"/>
    <w:rsid w:val="6992118F"/>
    <w:rsid w:val="69F04850"/>
    <w:rsid w:val="6A087A2A"/>
    <w:rsid w:val="6A2A2395"/>
    <w:rsid w:val="6A435043"/>
    <w:rsid w:val="6A5E2F38"/>
    <w:rsid w:val="6AF52ECD"/>
    <w:rsid w:val="6B113469"/>
    <w:rsid w:val="6B2A277C"/>
    <w:rsid w:val="6B43383E"/>
    <w:rsid w:val="6B8D6867"/>
    <w:rsid w:val="6B8D71AD"/>
    <w:rsid w:val="6BAA5F82"/>
    <w:rsid w:val="6BAE515B"/>
    <w:rsid w:val="6BFE1359"/>
    <w:rsid w:val="6D264A09"/>
    <w:rsid w:val="6D285EEE"/>
    <w:rsid w:val="6D3A4256"/>
    <w:rsid w:val="6D912FC0"/>
    <w:rsid w:val="6DAB2AD4"/>
    <w:rsid w:val="6DB4632D"/>
    <w:rsid w:val="6DDE162C"/>
    <w:rsid w:val="6E196680"/>
    <w:rsid w:val="6E380D0C"/>
    <w:rsid w:val="6EC647D7"/>
    <w:rsid w:val="6ED919F6"/>
    <w:rsid w:val="6EDE3796"/>
    <w:rsid w:val="6EF410D7"/>
    <w:rsid w:val="6EFA4214"/>
    <w:rsid w:val="6F5153EC"/>
    <w:rsid w:val="6FC84312"/>
    <w:rsid w:val="6FE605C4"/>
    <w:rsid w:val="70265F41"/>
    <w:rsid w:val="703B2D36"/>
    <w:rsid w:val="70673123"/>
    <w:rsid w:val="706C3BCA"/>
    <w:rsid w:val="70A34986"/>
    <w:rsid w:val="70B704DA"/>
    <w:rsid w:val="70FA674D"/>
    <w:rsid w:val="710B069E"/>
    <w:rsid w:val="714844A1"/>
    <w:rsid w:val="714C17A4"/>
    <w:rsid w:val="7161057A"/>
    <w:rsid w:val="71793B16"/>
    <w:rsid w:val="71A12B08"/>
    <w:rsid w:val="71AF4994"/>
    <w:rsid w:val="71FD4F1A"/>
    <w:rsid w:val="722975D2"/>
    <w:rsid w:val="72457E9C"/>
    <w:rsid w:val="7270316B"/>
    <w:rsid w:val="72757CAB"/>
    <w:rsid w:val="727C248C"/>
    <w:rsid w:val="734B2C0B"/>
    <w:rsid w:val="739648B7"/>
    <w:rsid w:val="73B37F21"/>
    <w:rsid w:val="73EF00BF"/>
    <w:rsid w:val="7406050A"/>
    <w:rsid w:val="7420296E"/>
    <w:rsid w:val="74746816"/>
    <w:rsid w:val="74747483"/>
    <w:rsid w:val="74CE0C97"/>
    <w:rsid w:val="752306D3"/>
    <w:rsid w:val="752537A3"/>
    <w:rsid w:val="759676DE"/>
    <w:rsid w:val="75D23344"/>
    <w:rsid w:val="75D60E9A"/>
    <w:rsid w:val="75E579CC"/>
    <w:rsid w:val="76184CE8"/>
    <w:rsid w:val="76525E43"/>
    <w:rsid w:val="76783713"/>
    <w:rsid w:val="76BB7D9C"/>
    <w:rsid w:val="76FF4ABD"/>
    <w:rsid w:val="77813724"/>
    <w:rsid w:val="778E6FF9"/>
    <w:rsid w:val="77BC650A"/>
    <w:rsid w:val="77D50689"/>
    <w:rsid w:val="781A4D46"/>
    <w:rsid w:val="782E006B"/>
    <w:rsid w:val="786A240A"/>
    <w:rsid w:val="78827754"/>
    <w:rsid w:val="7892370F"/>
    <w:rsid w:val="789B5F87"/>
    <w:rsid w:val="78F02F79"/>
    <w:rsid w:val="79086F68"/>
    <w:rsid w:val="792E05AF"/>
    <w:rsid w:val="79C678D4"/>
    <w:rsid w:val="79EE1860"/>
    <w:rsid w:val="7A08012D"/>
    <w:rsid w:val="7B036820"/>
    <w:rsid w:val="7B08205F"/>
    <w:rsid w:val="7B4927AB"/>
    <w:rsid w:val="7BFF157E"/>
    <w:rsid w:val="7C391482"/>
    <w:rsid w:val="7C611615"/>
    <w:rsid w:val="7C9932A4"/>
    <w:rsid w:val="7CA943D8"/>
    <w:rsid w:val="7CF0563E"/>
    <w:rsid w:val="7D060CAB"/>
    <w:rsid w:val="7D0B50EE"/>
    <w:rsid w:val="7D7942E8"/>
    <w:rsid w:val="7D9552CA"/>
    <w:rsid w:val="7DF42BD8"/>
    <w:rsid w:val="7E255143"/>
    <w:rsid w:val="7E7200FE"/>
    <w:rsid w:val="7EA46823"/>
    <w:rsid w:val="7EE46AA6"/>
    <w:rsid w:val="7EEA05E4"/>
    <w:rsid w:val="7EED5B43"/>
    <w:rsid w:val="7F402117"/>
    <w:rsid w:val="7F5B6A68"/>
    <w:rsid w:val="7F871130"/>
    <w:rsid w:val="7F907C00"/>
    <w:rsid w:val="7FC97A14"/>
    <w:rsid w:val="7FF64583"/>
    <w:rsid w:val="7FFB7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27"/>
    <w:qFormat/>
    <w:uiPriority w:val="0"/>
    <w:pPr>
      <w:keepNext/>
      <w:autoSpaceDE w:val="0"/>
      <w:autoSpaceDN w:val="0"/>
      <w:adjustRightInd w:val="0"/>
      <w:jc w:val="center"/>
      <w:outlineLvl w:val="0"/>
    </w:pPr>
    <w:rPr>
      <w:rFonts w:ascii="宋体"/>
      <w:color w:val="000000"/>
      <w:sz w:val="28"/>
      <w:szCs w:val="20"/>
    </w:rPr>
  </w:style>
  <w:style w:type="paragraph" w:styleId="4">
    <w:name w:val="heading 2"/>
    <w:basedOn w:val="1"/>
    <w:next w:val="1"/>
    <w:link w:val="32"/>
    <w:qFormat/>
    <w:uiPriority w:val="0"/>
    <w:pPr>
      <w:keepNext/>
      <w:keepLines/>
      <w:spacing w:before="260" w:after="260" w:line="416" w:lineRule="auto"/>
      <w:outlineLvl w:val="1"/>
    </w:pPr>
    <w:rPr>
      <w:rFonts w:ascii="Arial" w:hAnsi="Arial"/>
      <w:b/>
      <w:bCs/>
      <w:sz w:val="32"/>
      <w:szCs w:val="32"/>
    </w:rPr>
  </w:style>
  <w:style w:type="paragraph" w:styleId="5">
    <w:name w:val="heading 3"/>
    <w:basedOn w:val="1"/>
    <w:next w:val="1"/>
    <w:link w:val="34"/>
    <w:semiHidden/>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35"/>
    <w:qFormat/>
    <w:uiPriority w:val="0"/>
    <w:pPr>
      <w:keepNext/>
      <w:keepLines/>
      <w:spacing w:before="280" w:after="290" w:line="376" w:lineRule="auto"/>
      <w:outlineLvl w:val="3"/>
    </w:pPr>
    <w:rPr>
      <w:rFonts w:ascii="Cambria" w:hAnsi="Cambria"/>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pacing w:before="25" w:after="25" w:line="240" w:lineRule="auto"/>
      <w:ind w:firstLine="0"/>
      <w:jc w:val="left"/>
    </w:pPr>
    <w:rPr>
      <w:bCs/>
      <w:spacing w:val="10"/>
      <w:kern w:val="0"/>
      <w:sz w:val="24"/>
    </w:rPr>
  </w:style>
  <w:style w:type="paragraph" w:styleId="7">
    <w:name w:val="annotation text"/>
    <w:basedOn w:val="1"/>
    <w:link w:val="28"/>
    <w:unhideWhenUsed/>
    <w:qFormat/>
    <w:uiPriority w:val="99"/>
    <w:pPr>
      <w:jc w:val="left"/>
    </w:pPr>
  </w:style>
  <w:style w:type="paragraph" w:styleId="8">
    <w:name w:val="Body Text"/>
    <w:basedOn w:val="1"/>
    <w:next w:val="1"/>
    <w:qFormat/>
    <w:uiPriority w:val="0"/>
    <w:pPr>
      <w:spacing w:after="120"/>
    </w:pPr>
  </w:style>
  <w:style w:type="paragraph" w:styleId="9">
    <w:name w:val="Body Text Indent"/>
    <w:basedOn w:val="1"/>
    <w:unhideWhenUsed/>
    <w:qFormat/>
    <w:uiPriority w:val="99"/>
    <w:pPr>
      <w:spacing w:after="120"/>
      <w:ind w:left="420" w:leftChars="200"/>
    </w:pPr>
  </w:style>
  <w:style w:type="paragraph" w:styleId="10">
    <w:name w:val="Plain Text"/>
    <w:basedOn w:val="1"/>
    <w:link w:val="31"/>
    <w:qFormat/>
    <w:uiPriority w:val="0"/>
    <w:rPr>
      <w:rFonts w:ascii="宋体" w:hAnsi="Courier New" w:eastAsiaTheme="minorEastAsia" w:cstheme="minorBidi"/>
    </w:rPr>
  </w:style>
  <w:style w:type="paragraph" w:styleId="11">
    <w:name w:val="Date"/>
    <w:basedOn w:val="1"/>
    <w:next w:val="1"/>
    <w:link w:val="23"/>
    <w:qFormat/>
    <w:uiPriority w:val="0"/>
    <w:rPr>
      <w:rFonts w:ascii="宋体" w:hAnsi="Courier New"/>
      <w:kern w:val="0"/>
      <w:sz w:val="32"/>
      <w:szCs w:val="20"/>
    </w:rPr>
  </w:style>
  <w:style w:type="paragraph" w:styleId="12">
    <w:name w:val="Balloon Text"/>
    <w:basedOn w:val="1"/>
    <w:link w:val="24"/>
    <w:semiHidden/>
    <w:unhideWhenUsed/>
    <w:qFormat/>
    <w:uiPriority w:val="99"/>
    <w:rPr>
      <w:sz w:val="18"/>
      <w:szCs w:val="18"/>
    </w:rPr>
  </w:style>
  <w:style w:type="paragraph" w:styleId="13">
    <w:name w:val="footer"/>
    <w:basedOn w:val="1"/>
    <w:link w:val="26"/>
    <w:unhideWhenUsed/>
    <w:qFormat/>
    <w:uiPriority w:val="99"/>
    <w:pPr>
      <w:tabs>
        <w:tab w:val="center" w:pos="4153"/>
        <w:tab w:val="right" w:pos="8306"/>
      </w:tabs>
      <w:snapToGrid w:val="0"/>
      <w:jc w:val="left"/>
    </w:pPr>
    <w:rPr>
      <w:sz w:val="18"/>
      <w:szCs w:val="18"/>
    </w:rPr>
  </w:style>
  <w:style w:type="paragraph" w:styleId="14">
    <w:name w:val="header"/>
    <w:basedOn w:val="1"/>
    <w:link w:val="2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annotation subject"/>
    <w:basedOn w:val="7"/>
    <w:next w:val="7"/>
    <w:link w:val="29"/>
    <w:semiHidden/>
    <w:unhideWhenUsed/>
    <w:qFormat/>
    <w:uiPriority w:val="99"/>
    <w:rPr>
      <w:b/>
      <w:bCs/>
    </w:rPr>
  </w:style>
  <w:style w:type="paragraph" w:styleId="16">
    <w:name w:val="Body Text First Indent 2"/>
    <w:basedOn w:val="9"/>
    <w:qFormat/>
    <w:uiPriority w:val="0"/>
    <w:pPr>
      <w:ind w:firstLine="420" w:firstLineChars="200"/>
    </w:pPr>
    <w:rPr>
      <w:szCs w:val="24"/>
    </w:rPr>
  </w:style>
  <w:style w:type="table" w:styleId="18">
    <w:name w:val="Table Grid"/>
    <w:basedOn w:val="1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0">
    <w:name w:val="Hyperlink"/>
    <w:qFormat/>
    <w:uiPriority w:val="99"/>
    <w:rPr>
      <w:color w:val="0000FF"/>
      <w:u w:val="single"/>
    </w:rPr>
  </w:style>
  <w:style w:type="character" w:styleId="21">
    <w:name w:val="annotation reference"/>
    <w:basedOn w:val="19"/>
    <w:semiHidden/>
    <w:unhideWhenUsed/>
    <w:qFormat/>
    <w:uiPriority w:val="99"/>
    <w:rPr>
      <w:sz w:val="21"/>
      <w:szCs w:val="21"/>
    </w:rPr>
  </w:style>
  <w:style w:type="character" w:customStyle="1" w:styleId="22">
    <w:name w:val="日期 Char"/>
    <w:basedOn w:val="19"/>
    <w:link w:val="11"/>
    <w:qFormat/>
    <w:uiPriority w:val="0"/>
    <w:rPr>
      <w:rFonts w:ascii="宋体" w:hAnsi="Courier New" w:eastAsia="宋体" w:cs="Times New Roman"/>
      <w:kern w:val="0"/>
      <w:sz w:val="32"/>
      <w:szCs w:val="20"/>
    </w:rPr>
  </w:style>
  <w:style w:type="character" w:customStyle="1" w:styleId="23">
    <w:name w:val="日期 Char1"/>
    <w:basedOn w:val="19"/>
    <w:link w:val="11"/>
    <w:semiHidden/>
    <w:qFormat/>
    <w:uiPriority w:val="99"/>
    <w:rPr>
      <w:rFonts w:ascii="Calibri" w:hAnsi="Calibri" w:eastAsia="宋体" w:cs="Times New Roman"/>
    </w:rPr>
  </w:style>
  <w:style w:type="character" w:customStyle="1" w:styleId="24">
    <w:name w:val="批注框文本 Char"/>
    <w:basedOn w:val="19"/>
    <w:link w:val="12"/>
    <w:semiHidden/>
    <w:qFormat/>
    <w:uiPriority w:val="99"/>
    <w:rPr>
      <w:rFonts w:ascii="Calibri" w:hAnsi="Calibri" w:eastAsia="宋体" w:cs="Times New Roman"/>
      <w:sz w:val="18"/>
      <w:szCs w:val="18"/>
    </w:rPr>
  </w:style>
  <w:style w:type="character" w:customStyle="1" w:styleId="25">
    <w:name w:val="页眉 Char"/>
    <w:basedOn w:val="19"/>
    <w:link w:val="14"/>
    <w:semiHidden/>
    <w:qFormat/>
    <w:uiPriority w:val="99"/>
    <w:rPr>
      <w:rFonts w:ascii="Calibri" w:hAnsi="Calibri" w:eastAsia="宋体" w:cs="Times New Roman"/>
      <w:sz w:val="18"/>
      <w:szCs w:val="18"/>
    </w:rPr>
  </w:style>
  <w:style w:type="character" w:customStyle="1" w:styleId="26">
    <w:name w:val="页脚 Char"/>
    <w:basedOn w:val="19"/>
    <w:link w:val="13"/>
    <w:qFormat/>
    <w:uiPriority w:val="99"/>
    <w:rPr>
      <w:rFonts w:ascii="Calibri" w:hAnsi="Calibri" w:eastAsia="宋体" w:cs="Times New Roman"/>
      <w:sz w:val="18"/>
      <w:szCs w:val="18"/>
    </w:rPr>
  </w:style>
  <w:style w:type="character" w:customStyle="1" w:styleId="27">
    <w:name w:val="标题 1 Char"/>
    <w:basedOn w:val="19"/>
    <w:link w:val="3"/>
    <w:qFormat/>
    <w:uiPriority w:val="0"/>
    <w:rPr>
      <w:rFonts w:ascii="宋体" w:hAnsi="Calibri" w:eastAsia="宋体" w:cs="Times New Roman"/>
      <w:color w:val="000000"/>
      <w:sz w:val="28"/>
      <w:szCs w:val="20"/>
    </w:rPr>
  </w:style>
  <w:style w:type="character" w:customStyle="1" w:styleId="28">
    <w:name w:val="批注文字 Char"/>
    <w:basedOn w:val="19"/>
    <w:link w:val="7"/>
    <w:qFormat/>
    <w:uiPriority w:val="99"/>
    <w:rPr>
      <w:rFonts w:ascii="Calibri" w:hAnsi="Calibri" w:eastAsia="宋体" w:cs="Times New Roman"/>
    </w:rPr>
  </w:style>
  <w:style w:type="character" w:customStyle="1" w:styleId="29">
    <w:name w:val="批注主题 Char"/>
    <w:basedOn w:val="28"/>
    <w:link w:val="15"/>
    <w:semiHidden/>
    <w:qFormat/>
    <w:uiPriority w:val="99"/>
    <w:rPr>
      <w:b/>
      <w:bCs/>
    </w:rPr>
  </w:style>
  <w:style w:type="character" w:customStyle="1" w:styleId="30">
    <w:name w:val="纯文本 Char"/>
    <w:link w:val="10"/>
    <w:qFormat/>
    <w:uiPriority w:val="0"/>
    <w:rPr>
      <w:rFonts w:ascii="宋体" w:hAnsi="Courier New"/>
    </w:rPr>
  </w:style>
  <w:style w:type="character" w:customStyle="1" w:styleId="31">
    <w:name w:val="纯文本 Char1"/>
    <w:basedOn w:val="19"/>
    <w:link w:val="10"/>
    <w:semiHidden/>
    <w:qFormat/>
    <w:uiPriority w:val="99"/>
    <w:rPr>
      <w:rFonts w:ascii="宋体" w:hAnsi="Courier New" w:eastAsia="宋体" w:cs="Courier New"/>
      <w:szCs w:val="21"/>
    </w:rPr>
  </w:style>
  <w:style w:type="character" w:customStyle="1" w:styleId="32">
    <w:name w:val="标题 2 Char"/>
    <w:basedOn w:val="19"/>
    <w:link w:val="4"/>
    <w:qFormat/>
    <w:uiPriority w:val="0"/>
    <w:rPr>
      <w:rFonts w:ascii="Arial" w:hAnsi="Arial" w:eastAsia="宋体" w:cs="Times New Roman"/>
      <w:b/>
      <w:bCs/>
      <w:sz w:val="32"/>
      <w:szCs w:val="32"/>
    </w:rPr>
  </w:style>
  <w:style w:type="paragraph" w:styleId="33">
    <w:name w:val="List Paragraph"/>
    <w:basedOn w:val="1"/>
    <w:qFormat/>
    <w:uiPriority w:val="34"/>
    <w:pPr>
      <w:ind w:firstLine="420" w:firstLineChars="200"/>
    </w:pPr>
  </w:style>
  <w:style w:type="character" w:customStyle="1" w:styleId="34">
    <w:name w:val="标题 3 Char"/>
    <w:basedOn w:val="19"/>
    <w:link w:val="5"/>
    <w:semiHidden/>
    <w:qFormat/>
    <w:uiPriority w:val="9"/>
    <w:rPr>
      <w:rFonts w:ascii="Calibri" w:hAnsi="Calibri" w:eastAsia="宋体" w:cs="Times New Roman"/>
      <w:b/>
      <w:bCs/>
      <w:sz w:val="32"/>
      <w:szCs w:val="32"/>
    </w:rPr>
  </w:style>
  <w:style w:type="character" w:customStyle="1" w:styleId="35">
    <w:name w:val="标题 4 Char"/>
    <w:basedOn w:val="19"/>
    <w:link w:val="6"/>
    <w:qFormat/>
    <w:uiPriority w:val="0"/>
    <w:rPr>
      <w:rFonts w:ascii="Cambria" w:hAnsi="Cambria" w:eastAsia="宋体" w:cs="Times New Roman"/>
      <w:b/>
      <w:bCs/>
      <w:sz w:val="28"/>
      <w:szCs w:val="28"/>
    </w:rPr>
  </w:style>
  <w:style w:type="paragraph" w:customStyle="1" w:styleId="36">
    <w:name w:val="xl48"/>
    <w:basedOn w:val="1"/>
    <w:qFormat/>
    <w:uiPriority w:val="0"/>
    <w:pPr>
      <w:widowControl/>
      <w:pBdr>
        <w:bottom w:val="single" w:color="auto" w:sz="4" w:space="0"/>
      </w:pBdr>
      <w:spacing w:before="100" w:beforeAutospacing="1" w:after="100" w:afterAutospacing="1"/>
      <w:jc w:val="center"/>
      <w:textAlignment w:val="center"/>
    </w:pPr>
    <w:rPr>
      <w:rFonts w:eastAsia="Arial Unicode MS"/>
      <w:kern w:val="0"/>
      <w:sz w:val="24"/>
      <w:szCs w:val="24"/>
    </w:rPr>
  </w:style>
  <w:style w:type="paragraph" w:customStyle="1" w:styleId="37">
    <w:name w:val="1"/>
    <w:basedOn w:val="1"/>
    <w:next w:val="10"/>
    <w:qFormat/>
    <w:uiPriority w:val="0"/>
    <w:rPr>
      <w:rFonts w:ascii="宋体" w:hAnsi="Courier New"/>
      <w:szCs w:val="20"/>
    </w:rPr>
  </w:style>
  <w:style w:type="paragraph" w:customStyle="1" w:styleId="38">
    <w:name w:val="8"/>
    <w:basedOn w:val="1"/>
    <w:next w:val="10"/>
    <w:qFormat/>
    <w:uiPriority w:val="0"/>
    <w:rPr>
      <w:rFonts w:ascii="宋体" w:hAnsi="Courier New"/>
      <w:szCs w:val="20"/>
    </w:rPr>
  </w:style>
  <w:style w:type="paragraph" w:customStyle="1" w:styleId="39">
    <w:name w:val="_Style 55"/>
    <w:basedOn w:val="1"/>
    <w:next w:val="10"/>
    <w:qFormat/>
    <w:uiPriority w:val="0"/>
    <w:rPr>
      <w:rFonts w:ascii="宋体" w:hAnsi="Courier New"/>
      <w:szCs w:val="20"/>
    </w:rPr>
  </w:style>
  <w:style w:type="paragraph" w:customStyle="1" w:styleId="40">
    <w:name w:val="7"/>
    <w:basedOn w:val="1"/>
    <w:next w:val="10"/>
    <w:link w:val="41"/>
    <w:qFormat/>
    <w:uiPriority w:val="0"/>
    <w:rPr>
      <w:rFonts w:ascii="宋体" w:hAnsi="Courier New"/>
      <w:szCs w:val="20"/>
    </w:rPr>
  </w:style>
  <w:style w:type="character" w:customStyle="1" w:styleId="41">
    <w:name w:val="Char1"/>
    <w:link w:val="40"/>
    <w:qFormat/>
    <w:uiPriority w:val="0"/>
    <w:rPr>
      <w:rFonts w:ascii="宋体" w:hAnsi="Courier New" w:eastAsia="宋体" w:cs="Times New Roman"/>
      <w:szCs w:val="20"/>
    </w:rPr>
  </w:style>
  <w:style w:type="paragraph" w:customStyle="1" w:styleId="42">
    <w:name w:val="Body text|1"/>
    <w:basedOn w:val="1"/>
    <w:qFormat/>
    <w:uiPriority w:val="0"/>
    <w:pPr>
      <w:widowControl w:val="0"/>
      <w:shd w:val="clear" w:color="auto" w:fill="auto"/>
      <w:spacing w:line="396" w:lineRule="auto"/>
    </w:pPr>
    <w:rPr>
      <w:rFonts w:ascii="宋体" w:hAnsi="宋体" w:eastAsia="宋体" w:cs="宋体"/>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2ED83-26AA-4E65-B141-EB370BBE785F}">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3816</Words>
  <Characters>3897</Characters>
  <Lines>229</Lines>
  <Paragraphs>64</Paragraphs>
  <TotalTime>0</TotalTime>
  <ScaleCrop>false</ScaleCrop>
  <LinksUpToDate>false</LinksUpToDate>
  <CharactersWithSpaces>3933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2019-10-21T09:39:00Z</dcterms:created>
  <dc:creator>User</dc:creator>
  <cp:lastModifiedBy>中正招标李森创</cp:lastModifiedBy>
  <cp:lastPrinted>2020-05-21T02:27:00Z</cp:lastPrinted>
  <dcterms:modified xsi:type="dcterms:W3CDTF">2023-08-23T07:43:24Z</dcterms:modified>
  <cp:revision>1664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B946BEF99C8F409FBFCFBF89E6EAF5A4</vt:lpwstr>
  </property>
</Properties>
</file>