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项目需求</w:t>
      </w:r>
    </w:p>
    <w:p>
      <w:pPr>
        <w:widowControl/>
        <w:jc w:val="left"/>
      </w:pPr>
      <w:r>
        <w:rPr>
          <w:rFonts w:hint="eastAsia" w:ascii="仿宋" w:hAnsi="仿宋" w:eastAsia="仿宋"/>
          <w:b/>
          <w:bCs/>
          <w:sz w:val="28"/>
          <w:szCs w:val="21"/>
        </w:rPr>
        <w:t>一、采购预算</w:t>
      </w:r>
    </w:p>
    <w:tbl>
      <w:tblPr>
        <w:tblStyle w:val="17"/>
        <w:tblW w:w="915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040"/>
        <w:gridCol w:w="1110"/>
        <w:gridCol w:w="1845"/>
        <w:gridCol w:w="1830"/>
        <w:gridCol w:w="18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500"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2040"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110"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845"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采购控制金额（人民币元）</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lang w:val="en-US" w:eastAsia="zh-CN"/>
              </w:rPr>
            </w:pPr>
            <w:r>
              <w:rPr>
                <w:rFonts w:hint="eastAsia" w:ascii="仿宋" w:hAnsi="仿宋" w:eastAsia="仿宋"/>
                <w:b/>
                <w:kern w:val="0"/>
                <w:sz w:val="24"/>
                <w:szCs w:val="24"/>
                <w:lang w:val="en-US" w:eastAsia="zh-CN"/>
              </w:rPr>
              <w:t>最高限价</w:t>
            </w:r>
          </w:p>
          <w:p>
            <w:pPr>
              <w:spacing w:line="360" w:lineRule="auto"/>
              <w:jc w:val="center"/>
              <w:rPr>
                <w:rFonts w:hint="default" w:ascii="仿宋" w:hAnsi="仿宋" w:eastAsia="仿宋"/>
                <w:b/>
                <w:kern w:val="0"/>
                <w:sz w:val="24"/>
                <w:szCs w:val="24"/>
                <w:lang w:val="en-US" w:eastAsia="zh-CN"/>
              </w:rPr>
            </w:pPr>
            <w:r>
              <w:rPr>
                <w:rFonts w:hint="eastAsia" w:ascii="仿宋" w:hAnsi="仿宋" w:eastAsia="仿宋"/>
                <w:b/>
                <w:kern w:val="0"/>
                <w:sz w:val="24"/>
                <w:szCs w:val="24"/>
                <w:lang w:val="en-US" w:eastAsia="zh-CN"/>
              </w:rPr>
              <w:t>（人民币元）</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040" w:type="dxa"/>
            <w:noWrap w:val="0"/>
            <w:vAlign w:val="center"/>
          </w:tcPr>
          <w:p>
            <w:pPr>
              <w:spacing w:line="360" w:lineRule="auto"/>
              <w:jc w:val="center"/>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激光扫描共聚焦显微镜</w:t>
            </w:r>
          </w:p>
        </w:tc>
        <w:tc>
          <w:tcPr>
            <w:tcW w:w="1110"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1台</w:t>
            </w:r>
          </w:p>
        </w:tc>
        <w:tc>
          <w:tcPr>
            <w:tcW w:w="1845"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3,000,000</w:t>
            </w:r>
            <w:r>
              <w:rPr>
                <w:rFonts w:hint="eastAsia" w:ascii="仿宋" w:hAnsi="仿宋" w:eastAsia="仿宋" w:cs="Times New Roman"/>
                <w:sz w:val="24"/>
                <w:szCs w:val="24"/>
              </w:rPr>
              <w:t>.00</w:t>
            </w:r>
          </w:p>
        </w:tc>
        <w:tc>
          <w:tcPr>
            <w:tcW w:w="1830"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2,900,000.00</w:t>
            </w:r>
          </w:p>
        </w:tc>
        <w:tc>
          <w:tcPr>
            <w:tcW w:w="1830" w:type="dxa"/>
            <w:noWrap w:val="0"/>
            <w:vAlign w:val="center"/>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接受</w:t>
            </w:r>
            <w:r>
              <w:rPr>
                <w:rFonts w:hint="eastAsia" w:ascii="仿宋" w:hAnsi="仿宋" w:eastAsia="仿宋" w:cs="Times New Roman"/>
                <w:sz w:val="24"/>
                <w:szCs w:val="24"/>
              </w:rPr>
              <w:t>进口</w:t>
            </w:r>
          </w:p>
        </w:tc>
      </w:tr>
    </w:tbl>
    <w:p/>
    <w:p>
      <w:pPr>
        <w:widowControl/>
        <w:jc w:val="left"/>
        <w:rPr>
          <w:rFonts w:ascii="仿宋" w:hAnsi="仿宋" w:eastAsia="仿宋"/>
          <w:b/>
          <w:bCs/>
          <w:sz w:val="28"/>
          <w:szCs w:val="21"/>
        </w:rPr>
      </w:pPr>
      <w:r>
        <w:rPr>
          <w:rFonts w:hint="eastAsia" w:ascii="仿宋" w:hAnsi="仿宋" w:eastAsia="仿宋"/>
          <w:b/>
          <w:bCs/>
          <w:sz w:val="28"/>
          <w:szCs w:val="21"/>
        </w:rPr>
        <w:t>二、采购明细清单</w:t>
      </w:r>
      <w:bookmarkStart w:id="0" w:name="_GoBack"/>
      <w:bookmarkEnd w:id="0"/>
    </w:p>
    <w:tbl>
      <w:tblPr>
        <w:tblStyle w:val="17"/>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015"/>
        <w:gridCol w:w="15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4015" w:type="dxa"/>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货物名称</w:t>
            </w:r>
          </w:p>
        </w:tc>
        <w:tc>
          <w:tcPr>
            <w:tcW w:w="1559" w:type="dxa"/>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c>
          <w:tcPr>
            <w:tcW w:w="2127" w:type="dxa"/>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4015" w:type="dxa"/>
            <w:noWrap w:val="0"/>
            <w:vAlign w:val="top"/>
          </w:tcPr>
          <w:p>
            <w:pPr>
              <w:rPr>
                <w:rFonts w:hint="eastAsia" w:ascii="仿宋" w:hAnsi="仿宋" w:eastAsia="仿宋" w:cs="仿宋"/>
                <w:color w:val="000000"/>
                <w:kern w:val="0"/>
                <w:sz w:val="24"/>
                <w:szCs w:val="24"/>
              </w:rPr>
            </w:pPr>
            <w:r>
              <w:rPr>
                <w:rFonts w:hint="eastAsia" w:ascii="仿宋" w:hAnsi="仿宋" w:eastAsia="仿宋" w:cs="仿宋"/>
                <w:color w:val="000000"/>
                <w:sz w:val="24"/>
                <w:szCs w:val="24"/>
              </w:rPr>
              <w:t xml:space="preserve">405nm紫外激光器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4015" w:type="dxa"/>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488nm、561nm和638nm激光器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高分辨共聚焦扫描系统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超分辨图像处理系统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旋钮式操作控制器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6</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超高灵敏度阵列检测器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共聚焦专用全电动倒置显微镜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8</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明场检测器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9</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荧光光源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10</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DAPI、FITC和RHOD荧光激发滤块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11</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10倍、20倍、40倍和63倍共聚焦专用物镜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12</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高精度电动载物台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13</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共聚焦显微镜系统控制软件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14</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全标本浏览拼图软件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15</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共定位分析软件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16</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3D成像软件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17</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共聚焦显微镜图像处理工作站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18</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防震台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noWrap w:val="0"/>
            <w:vAlign w:val="top"/>
          </w:tcPr>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19</w:t>
            </w:r>
          </w:p>
        </w:tc>
        <w:tc>
          <w:tcPr>
            <w:tcW w:w="4015" w:type="dxa"/>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 xml:space="preserve">电脑台                                          </w:t>
            </w:r>
          </w:p>
        </w:tc>
        <w:tc>
          <w:tcPr>
            <w:tcW w:w="1559"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127" w:type="dxa"/>
            <w:noWrap w:val="0"/>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张</w:t>
            </w:r>
          </w:p>
        </w:tc>
      </w:tr>
    </w:tbl>
    <w:p>
      <w:pPr>
        <w:widowControl/>
        <w:jc w:val="left"/>
        <w:rPr>
          <w:rFonts w:ascii="仿宋" w:hAnsi="仿宋" w:eastAsia="仿宋"/>
          <w:b/>
          <w:bCs/>
          <w:sz w:val="28"/>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三、技术</w:t>
      </w:r>
      <w:r>
        <w:rPr>
          <w:rFonts w:hint="eastAsia" w:ascii="仿宋" w:hAnsi="仿宋" w:eastAsia="仿宋"/>
          <w:b/>
          <w:bCs/>
          <w:sz w:val="28"/>
          <w:szCs w:val="21"/>
          <w:lang w:val="en-US" w:eastAsia="zh-CN"/>
        </w:rPr>
        <w:t>要求</w:t>
      </w:r>
    </w:p>
    <w:tbl>
      <w:tblPr>
        <w:tblStyle w:val="17"/>
        <w:tblW w:w="8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设备名称</w:t>
            </w:r>
          </w:p>
        </w:tc>
        <w:tc>
          <w:tcPr>
            <w:tcW w:w="724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激光扫描共聚焦显微镜</w:t>
            </w:r>
          </w:p>
        </w:tc>
        <w:tc>
          <w:tcPr>
            <w:tcW w:w="724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000000"/>
                <w:sz w:val="24"/>
                <w:szCs w:val="24"/>
              </w:rPr>
            </w:pPr>
            <w:r>
              <w:rPr>
                <w:rFonts w:hint="eastAsia" w:ascii="仿宋" w:hAnsi="仿宋" w:eastAsia="仿宋" w:cs="仿宋"/>
                <w:color w:val="000000"/>
                <w:sz w:val="24"/>
                <w:szCs w:val="24"/>
              </w:rPr>
              <w:t>1、激光器系统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▲1.1 采用长寿命、高能量、无噪音的固体激光器，覆盖可见光及紫外光：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1.1.1紫外激光器405nm，最大功率≥50mW；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1.1.2蓝光激光器488nm，最大功率≥20mW；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1.1.3绿光激光器561nm，最大功率≥20mW；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1.1.4近红外激光器639nm，最大功率≥30mW；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1.2 激光器开闭和电压调节由计算机的激光共聚焦扫描软件系统控制，与整个系统偶合程度高，电噪声小，安全，并有良好的激光管寿命保护装置。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2、扫描检测系统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2.1 扫描光学模块包含显微镜和扫描头上的完整扫描光学元件，一体化像差及色差校正，以保证高质量，高分辨率成像。软件对硬件的有效控制，使系统有优异的稳定性及可维护性。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2.2 能够进行X、Y、Z、T、λ（光谱波长）、θ（旋转角度）、I（光强度）、A（区域）等多维组合扫描，可实现点扫描、线扫描、曲线扫描、区域扫描、光谱波长扫描等。可最多同时进行5个荧光信号外加1个透射光的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▲2.3高效率棱镜分光系统，分光效率≥94%，连续检测荧光波长范围410～850nm，光谱分辨率≤1nm；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▲2.4 可见光专用光学扫描部件，波长校正范围410～850nm；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▲2.5 最大扫描视场对角线≥22mm；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▲2.6高分辨率扫描振镜：扫描速度≥10fps（512 x 512分辨率）；双向扫描速度≥5200线/秒；最大扫描分辨率≥8192 x 8192；扫描速度调节步进1Hz，不少于100档扫描速度调节；光学扫描放大0.75X～48X，连续可调；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2.7内置光谱型荧光检测器≥3个，所有检测器均为超高灵敏度硅基阵列混合型检测器，500nm处探测效率≥58%，所有检测器均支持光子计数模式，模拟模式和反射光模式，光子计数模式时间分辨率&lt;100ps，模拟模式采样频率≥80MHz，能结合光电子脉冲信号的宽度，进行0-1-2光子的精确计数，适合高速高亮度的光子计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2.8配有</w:t>
            </w:r>
            <w:r>
              <w:rPr>
                <w:rFonts w:hint="eastAsia" w:ascii="仿宋" w:hAnsi="仿宋" w:eastAsia="仿宋" w:cs="仿宋"/>
                <w:color w:val="000000"/>
                <w:sz w:val="24"/>
                <w:szCs w:val="24"/>
                <w:lang w:val="en-US" w:eastAsia="zh-CN"/>
              </w:rPr>
              <w:t>至少</w:t>
            </w:r>
            <w:r>
              <w:rPr>
                <w:rFonts w:hint="eastAsia" w:ascii="仿宋" w:hAnsi="仿宋" w:eastAsia="仿宋" w:cs="仿宋"/>
                <w:color w:val="000000"/>
                <w:sz w:val="24"/>
                <w:szCs w:val="24"/>
              </w:rPr>
              <w:t>1个透射光明场检测器；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3、激光共聚焦高分辨率系统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▲3.1成像分辨率：XY方向≤120nm，Z方向≤200nm，在高分辨率模式下支持在线大视野拼图；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▲3.2检测器为超高灵敏度的硅基64阵列混合型检测器，可进行光谱式成像，光谱检测范围410-850nm；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▲3.3同一个实验中可实现蓝、绿、红、红外等任意3种颜色的超分辨率同时成像，可实现多达20种颜色的超分辨率序列成像；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3.4所有适合配置激光器激发的荧光样品均可进行高分辨率成像，无需选择特殊荧光抗体及试剂；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▲3.5同一样品具有与激光共聚焦相同的成像深度，最大成像深度（样品无需透明化处理）≥150μm；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3.6高分辨率成像为线性成像，所有高分辨率成像均可用作定量分析，如荧光强度分析、FRAP分析、FRET分析等；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4、光学显微镜系统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4.1共聚焦级别的倒置研究显微镜：具有闭环反馈调节机制，可实现高精度定位，具备明场、荧光观察功能，可通过彩色触摸屏、遥控器、机身按钮、共聚焦软件来控制；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4.2显微镜透射光源：LED光源，色温恒定4500K；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▲4.3镜体电动Z轴调焦，步进精度≤5nm，调焦行程≥12mm；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4.4 电动6位物镜转换器，带有防水保护装置；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4.5电动聚光镜，电动照明光轴，电动调节透射光和荧光的孔径光阑和视场光阑；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4.6长寿命荧光光源，工作寿命≥2000小时，光纤导光，对镜体无热辐射；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4.7电动6孔荧光滤色块转盘，自动荧光强度管理系统，5档荧光光强调节，12个可调视场光阑；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4.8 配有DAPI、FITC、RHOD带通荧光激发滤块；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4.9宽视野双目观察筒，倾角45º，瞳距调节55-75mm，视场数25mm；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4.10宽视野平场目镜10倍，视场数25mm，屈光度可补偿调节；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4.11物镜采用共聚焦专用物镜，包括：</w:t>
            </w:r>
          </w:p>
          <w:p>
            <w:pPr>
              <w:pStyle w:val="2"/>
              <w:rPr>
                <w:rFonts w:hint="eastAsia" w:ascii="仿宋" w:hAnsi="仿宋" w:eastAsia="仿宋" w:cs="仿宋"/>
                <w:color w:val="000000"/>
                <w:sz w:val="24"/>
                <w:szCs w:val="24"/>
              </w:rPr>
            </w:pPr>
            <w:r>
              <w:rPr>
                <w:rFonts w:hint="eastAsia" w:ascii="仿宋" w:hAnsi="仿宋" w:eastAsia="仿宋" w:cs="仿宋"/>
                <w:color w:val="000000"/>
                <w:sz w:val="24"/>
                <w:szCs w:val="24"/>
              </w:rPr>
              <w:t>10倍共聚焦专用荧石物镜，数值孔径≥0.30；</w:t>
            </w:r>
          </w:p>
          <w:p>
            <w:pPr>
              <w:pStyle w:val="2"/>
              <w:rPr>
                <w:rFonts w:hint="eastAsia" w:ascii="仿宋" w:hAnsi="仿宋" w:eastAsia="仿宋" w:cs="仿宋"/>
                <w:color w:val="000000"/>
                <w:sz w:val="24"/>
                <w:szCs w:val="24"/>
              </w:rPr>
            </w:pPr>
            <w:r>
              <w:rPr>
                <w:rFonts w:hint="eastAsia" w:ascii="仿宋" w:hAnsi="仿宋" w:eastAsia="仿宋" w:cs="仿宋"/>
                <w:color w:val="000000"/>
                <w:sz w:val="24"/>
                <w:szCs w:val="24"/>
              </w:rPr>
              <w:t>20倍共聚焦专用复消色差物镜，数值孔径≥0.75；</w:t>
            </w:r>
          </w:p>
          <w:p>
            <w:pPr>
              <w:pStyle w:val="2"/>
              <w:rPr>
                <w:rFonts w:hint="eastAsia" w:ascii="仿宋" w:hAnsi="仿宋" w:eastAsia="仿宋" w:cs="仿宋"/>
                <w:color w:val="000000"/>
                <w:sz w:val="24"/>
                <w:szCs w:val="24"/>
              </w:rPr>
            </w:pPr>
            <w:r>
              <w:rPr>
                <w:rFonts w:hint="eastAsia" w:ascii="仿宋" w:hAnsi="仿宋" w:eastAsia="仿宋" w:cs="仿宋"/>
                <w:color w:val="000000"/>
                <w:sz w:val="24"/>
                <w:szCs w:val="24"/>
              </w:rPr>
              <w:t>40倍共聚焦专用复消色差物镜，数值孔径≥0.95；</w:t>
            </w:r>
          </w:p>
          <w:p>
            <w:pPr>
              <w:pStyle w:val="2"/>
              <w:rPr>
                <w:rFonts w:hint="eastAsia" w:ascii="仿宋" w:hAnsi="仿宋" w:eastAsia="仿宋" w:cs="仿宋"/>
                <w:color w:val="000000"/>
                <w:sz w:val="24"/>
                <w:szCs w:val="24"/>
              </w:rPr>
            </w:pPr>
            <w:r>
              <w:rPr>
                <w:rFonts w:hint="eastAsia" w:ascii="仿宋" w:hAnsi="仿宋" w:eastAsia="仿宋" w:cs="仿宋"/>
                <w:color w:val="000000"/>
                <w:sz w:val="24"/>
                <w:szCs w:val="24"/>
              </w:rPr>
              <w:t>63倍共聚焦专用复消色差油镜，数值孔径≥1.40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4.12 XY电动扫描载物台，行程83x127mm，通用样品夹，适合直径24-68毫米的培养皿，适合长度120毫米的玻片；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4.13 配有台面≥900x900mm专业倒置显微镜用防震台。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5、图像处理工作站：高性能电脑，配置不低于6核6线程CPU，内存32GB，高性能CUDA GPU显卡2034个内核，显存8GB，37.5英寸4K液晶真彩高亮度显示屏，分辨率3840 x 1600，固态硬盘768GB（256+512GB），硬盘4T，DVD+/- RW刻录，Windows 10 Professional(64位)操作系统；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6、图像处理软件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6.1 专业的软件，用于控制扫描过程和图像处理，使用先进程序语言，程序执行效率高、快、稳定，整个系统程序，包括控制，检测、分析功能设计合理，操作界面友好，操作简便；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6.2 控制硬件的功能：控制电动显微镜、选择激光波长、调节激光强度、拍摄2-5维图像、选择光谱拍摄范围、成像分辨率、实验条件实时记录、一键式恢复等；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6.3 三维重构软件：具有多种三维重构渲染方式，包括最大强度投影、透明、深度标识和阴影投影等方式，允许xy、xz、yz任意角度进行切面观察，可对重构图进行任意角度旋转、平移、放大和缩小，可对每个荧光通道的强度、灰阶、伽马值及透明度进行独立调节，可根据用户需要对不同荧光通道进行颜色分割显示，可将复杂的3D重构效果导出成电影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6.4 共定位分析软件：通过散点图法对双色荧光数据进行共定位分析，可分别对每个通道的背景及阈值进行调节，得出共定位百分比及皮尔森相关系数等统计数据，数据可导出至Excel表格；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6.5 图像调节亮度、对比度，单个通道分别调节或多个通道同时调节；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6.6 图像处理：旋转、裁剪、多种滤镜、添加标尺、箭头、文字等；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6.7 多功能全标本导航，全标本拼图，能进行自定义ROI形状的拼图，能拼接出长条形或圆形的大图，节省不必需的区域成像，加快拼图速度。能指定不同ROI区域使用不同的物镜进行拼图。能一次性批量化扫描多个标本多个ROI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8" w:type="dxa"/>
            <w:vMerge w:val="continue"/>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olor w:val="000000"/>
                <w:sz w:val="24"/>
                <w:szCs w:val="24"/>
              </w:rPr>
            </w:pPr>
          </w:p>
        </w:tc>
        <w:tc>
          <w:tcPr>
            <w:tcW w:w="724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000000"/>
                <w:sz w:val="24"/>
                <w:szCs w:val="24"/>
              </w:rPr>
            </w:pPr>
            <w:r>
              <w:rPr>
                <w:rFonts w:hint="eastAsia" w:ascii="仿宋" w:hAnsi="仿宋" w:eastAsia="仿宋" w:cs="仿宋"/>
                <w:color w:val="000000"/>
                <w:sz w:val="24"/>
                <w:szCs w:val="24"/>
              </w:rPr>
              <w:t>6.8 能进行全片无缝拼图扫描，带聚焦地形图功能，能适应标本高低不同的焦面进行多焦点自动对焦及拼图，用户能自定义多个不同的焦点，能结合电动Z轴进行三维拼图，拼接结果能根据需求进行大图三维重建、大图三维叠加；</w:t>
            </w:r>
          </w:p>
        </w:tc>
      </w:tr>
    </w:tbl>
    <w:p>
      <w:pPr>
        <w:widowControl/>
        <w:ind w:firstLine="770" w:firstLineChars="350"/>
        <w:jc w:val="left"/>
        <w:rPr>
          <w:rFonts w:ascii="仿宋" w:hAnsi="仿宋" w:eastAsia="仿宋"/>
          <w:bCs/>
          <w:sz w:val="22"/>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四、商务</w:t>
      </w:r>
      <w:r>
        <w:rPr>
          <w:rFonts w:hint="eastAsia" w:ascii="仿宋" w:hAnsi="仿宋" w:eastAsia="仿宋"/>
          <w:b/>
          <w:bCs/>
          <w:sz w:val="28"/>
          <w:szCs w:val="21"/>
          <w:lang w:val="en-US" w:eastAsia="zh-CN"/>
        </w:rPr>
        <w:t>要求</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062"/>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60"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062"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6998"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062" w:type="dxa"/>
            <w:vMerge w:val="restart"/>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kern w:val="0"/>
                <w:sz w:val="24"/>
                <w:szCs w:val="24"/>
              </w:rPr>
              <w:t>维修及维护服务</w:t>
            </w: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b/>
                <w:bCs/>
                <w:color w:val="000000"/>
                <w:sz w:val="24"/>
                <w:szCs w:val="24"/>
              </w:rPr>
              <w:t>★1）整机免费保修期≥3年，终身维修，时间自验收合格之日起算。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b/>
                <w:bCs/>
                <w:color w:val="000000"/>
                <w:sz w:val="24"/>
                <w:szCs w:val="24"/>
              </w:rPr>
            </w:pPr>
            <w:r>
              <w:rPr>
                <w:rFonts w:hint="eastAsia" w:ascii="仿宋" w:hAnsi="仿宋" w:eastAsia="仿宋" w:cs="仿宋"/>
                <w:color w:val="000000"/>
                <w:sz w:val="24"/>
                <w:szCs w:val="24"/>
              </w:rPr>
              <w:t>2）保修期内,年度定期预防性维护保养次数应不少于 4 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3）由设备制造商提供售后服务， 2 小时内响应， 24 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4）投标人负责货物的终身维修，保证 5 年以上供应维修配件， 5 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5）投标人提供的仪器设备的设计使用年限必须≥5年；仪器设备的生产日期必须在一年半内生产。（特别提示：生产日期、设计使用年限达不到招标文件要求的，该投标文件初审不通过）。【设计年限需提供相关证明材料进行佐证；生产日期需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062"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kern w:val="0"/>
                <w:sz w:val="24"/>
                <w:szCs w:val="24"/>
              </w:rPr>
              <w:t>质量保证</w:t>
            </w:r>
          </w:p>
        </w:tc>
        <w:tc>
          <w:tcPr>
            <w:tcW w:w="6998" w:type="dxa"/>
            <w:noWrap w:val="0"/>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 投标人应确保年开机率在95%以上, 若不能达到此开机率，将作以下处理：</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pPr>
              <w:spacing w:line="360" w:lineRule="auto"/>
              <w:rPr>
                <w:rFonts w:hint="eastAsia" w:ascii="仿宋" w:hAnsi="仿宋" w:eastAsia="仿宋" w:cs="仿宋"/>
                <w:color w:val="000000"/>
                <w:kern w:val="0"/>
                <w:sz w:val="24"/>
                <w:szCs w:val="24"/>
              </w:rPr>
            </w:pPr>
            <w:r>
              <w:rPr>
                <w:rFonts w:hint="eastAsia" w:ascii="仿宋" w:hAnsi="仿宋" w:eastAsia="仿宋" w:cs="仿宋"/>
                <w:b/>
                <w:bCs/>
                <w:sz w:val="24"/>
                <w:szCs w:val="24"/>
                <w:highlight w:val="none"/>
              </w:rPr>
              <w:t>注：</w:t>
            </w:r>
            <w:r>
              <w:rPr>
                <w:rFonts w:hint="eastAsia" w:ascii="仿宋" w:hAnsi="仿宋" w:eastAsia="仿宋" w:cs="仿宋"/>
                <w:bCs/>
                <w:sz w:val="24"/>
                <w:szCs w:val="24"/>
                <w:highlight w:val="none"/>
              </w:rPr>
              <w:t>年开机率</w:t>
            </w:r>
            <w:r>
              <w:rPr>
                <w:rFonts w:hint="eastAsia" w:ascii="仿宋" w:hAnsi="仿宋" w:eastAsia="仿宋" w:cs="仿宋"/>
                <w:bCs/>
                <w:sz w:val="24"/>
                <w:szCs w:val="24"/>
                <w:highlight w:val="yellow"/>
              </w:rPr>
              <w:t>（实际开机天数/</w:t>
            </w:r>
            <w:r>
              <w:rPr>
                <w:rFonts w:hint="eastAsia" w:ascii="仿宋" w:hAnsi="仿宋" w:eastAsia="仿宋" w:cs="仿宋"/>
                <w:bCs/>
                <w:sz w:val="24"/>
                <w:szCs w:val="24"/>
                <w:highlight w:val="yellow"/>
                <w:lang w:eastAsia="zh-CN"/>
              </w:rPr>
              <w:t>日历日</w:t>
            </w:r>
            <w:r>
              <w:rPr>
                <w:rFonts w:hint="eastAsia" w:ascii="仿宋" w:hAnsi="仿宋" w:eastAsia="仿宋" w:cs="仿宋"/>
                <w:bCs/>
                <w:sz w:val="24"/>
                <w:szCs w:val="24"/>
                <w:highlight w:val="yello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062" w:type="dxa"/>
            <w:vMerge w:val="restart"/>
            <w:noWrap w:val="0"/>
            <w:vAlign w:val="center"/>
          </w:tcPr>
          <w:p>
            <w:pPr>
              <w:spacing w:line="360" w:lineRule="auto"/>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维修零配件、消耗品和延续保修合同的报价</w:t>
            </w: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1）由设备</w:t>
            </w:r>
            <w:r>
              <w:rPr>
                <w:rFonts w:hint="eastAsia" w:ascii="仿宋" w:hAnsi="仿宋" w:eastAsia="仿宋" w:cs="仿宋"/>
                <w:color w:val="000000"/>
                <w:sz w:val="24"/>
                <w:szCs w:val="24"/>
              </w:rPr>
              <w:t>制造商</w:t>
            </w:r>
            <w:r>
              <w:rPr>
                <w:rFonts w:hint="eastAsia" w:ascii="仿宋" w:hAnsi="仿宋" w:eastAsia="仿宋" w:cs="仿宋"/>
                <w:bCs/>
                <w:color w:val="000000"/>
                <w:sz w:val="24"/>
                <w:szCs w:val="24"/>
              </w:rPr>
              <w:t>提供售后服务，</w:t>
            </w:r>
            <w:r>
              <w:rPr>
                <w:rFonts w:hint="eastAsia" w:ascii="仿宋" w:hAnsi="仿宋" w:eastAsia="仿宋" w:cs="仿宋"/>
                <w:bCs/>
                <w:color w:val="000000"/>
                <w:sz w:val="24"/>
                <w:szCs w:val="24"/>
                <w:u w:val="single"/>
              </w:rPr>
              <w:t xml:space="preserve"> 2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noWrap w:val="0"/>
            <w:vAlign w:val="top"/>
          </w:tcPr>
          <w:p>
            <w:pPr>
              <w:spacing w:line="360" w:lineRule="auto"/>
              <w:rPr>
                <w:rFonts w:hint="eastAsia" w:ascii="仿宋" w:hAnsi="仿宋" w:eastAsia="仿宋" w:cs="仿宋"/>
                <w:b/>
                <w:color w:val="000000"/>
                <w:sz w:val="24"/>
                <w:szCs w:val="24"/>
              </w:rPr>
            </w:pPr>
          </w:p>
        </w:tc>
        <w:tc>
          <w:tcPr>
            <w:tcW w:w="1062" w:type="dxa"/>
            <w:vMerge w:val="continue"/>
            <w:noWrap w:val="0"/>
            <w:vAlign w:val="top"/>
          </w:tcPr>
          <w:p>
            <w:pPr>
              <w:spacing w:line="360" w:lineRule="auto"/>
              <w:rPr>
                <w:rFonts w:hint="eastAsia" w:ascii="仿宋" w:hAnsi="仿宋" w:eastAsia="仿宋" w:cs="仿宋"/>
                <w:b/>
                <w:color w:val="000000"/>
                <w:sz w:val="24"/>
                <w:szCs w:val="24"/>
              </w:rPr>
            </w:pP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2）保修期满后，投标人应以优惠价供应维修零配件、消耗品和延续保修</w:t>
            </w:r>
            <w:r>
              <w:rPr>
                <w:rFonts w:hint="eastAsia" w:ascii="仿宋" w:hAnsi="仿宋" w:eastAsia="仿宋" w:cs="仿宋"/>
                <w:color w:val="000000"/>
                <w:sz w:val="24"/>
                <w:szCs w:val="24"/>
              </w:rPr>
              <w:t>合同</w:t>
            </w:r>
            <w:r>
              <w:rPr>
                <w:rFonts w:hint="eastAsia" w:ascii="仿宋" w:hAnsi="仿宋" w:eastAsia="仿宋" w:cs="仿宋"/>
                <w:bCs/>
                <w:color w:val="000000"/>
                <w:sz w:val="24"/>
                <w:szCs w:val="24"/>
              </w:rPr>
              <w:t>。价格最高的前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noWrap w:val="0"/>
            <w:vAlign w:val="top"/>
          </w:tcPr>
          <w:p>
            <w:pPr>
              <w:spacing w:line="360" w:lineRule="auto"/>
              <w:rPr>
                <w:rFonts w:hint="eastAsia" w:ascii="仿宋" w:hAnsi="仿宋" w:eastAsia="仿宋" w:cs="仿宋"/>
                <w:b/>
                <w:color w:val="000000"/>
                <w:sz w:val="24"/>
                <w:szCs w:val="24"/>
              </w:rPr>
            </w:pPr>
          </w:p>
        </w:tc>
        <w:tc>
          <w:tcPr>
            <w:tcW w:w="1062" w:type="dxa"/>
            <w:vMerge w:val="continue"/>
            <w:noWrap w:val="0"/>
            <w:vAlign w:val="top"/>
          </w:tcPr>
          <w:p>
            <w:pPr>
              <w:spacing w:line="360" w:lineRule="auto"/>
              <w:rPr>
                <w:rFonts w:hint="eastAsia" w:ascii="仿宋" w:hAnsi="仿宋" w:eastAsia="仿宋" w:cs="仿宋"/>
                <w:b/>
                <w:color w:val="000000"/>
                <w:sz w:val="24"/>
                <w:szCs w:val="24"/>
              </w:rPr>
            </w:pP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noWrap w:val="0"/>
            <w:vAlign w:val="top"/>
          </w:tcPr>
          <w:p>
            <w:pPr>
              <w:spacing w:line="360" w:lineRule="auto"/>
              <w:rPr>
                <w:rFonts w:hint="eastAsia" w:ascii="仿宋" w:hAnsi="仿宋" w:eastAsia="仿宋" w:cs="仿宋"/>
                <w:b/>
                <w:color w:val="000000"/>
                <w:sz w:val="24"/>
                <w:szCs w:val="24"/>
              </w:rPr>
            </w:pPr>
          </w:p>
        </w:tc>
        <w:tc>
          <w:tcPr>
            <w:tcW w:w="1062" w:type="dxa"/>
            <w:vMerge w:val="continue"/>
            <w:noWrap w:val="0"/>
            <w:vAlign w:val="top"/>
          </w:tcPr>
          <w:p>
            <w:pPr>
              <w:spacing w:line="360" w:lineRule="auto"/>
              <w:rPr>
                <w:rFonts w:hint="eastAsia" w:ascii="仿宋" w:hAnsi="仿宋" w:eastAsia="仿宋" w:cs="仿宋"/>
                <w:b/>
                <w:color w:val="000000"/>
                <w:sz w:val="24"/>
                <w:szCs w:val="24"/>
              </w:rPr>
            </w:pP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4）设备</w:t>
            </w:r>
            <w:r>
              <w:rPr>
                <w:rFonts w:hint="eastAsia" w:ascii="仿宋" w:hAnsi="仿宋" w:eastAsia="仿宋" w:cs="仿宋"/>
                <w:color w:val="000000"/>
                <w:sz w:val="24"/>
                <w:szCs w:val="24"/>
              </w:rPr>
              <w:t>制造商</w:t>
            </w:r>
            <w:r>
              <w:rPr>
                <w:rFonts w:hint="eastAsia" w:ascii="仿宋" w:hAnsi="仿宋" w:eastAsia="仿宋" w:cs="仿宋"/>
                <w:bCs/>
                <w:color w:val="000000"/>
                <w:sz w:val="24"/>
                <w:szCs w:val="24"/>
              </w:rPr>
              <w:t>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noWrap w:val="0"/>
            <w:vAlign w:val="top"/>
          </w:tcPr>
          <w:p>
            <w:pPr>
              <w:spacing w:line="360" w:lineRule="auto"/>
              <w:rPr>
                <w:rFonts w:hint="eastAsia" w:ascii="仿宋" w:hAnsi="仿宋" w:eastAsia="仿宋" w:cs="仿宋"/>
                <w:b/>
                <w:color w:val="000000"/>
                <w:sz w:val="24"/>
                <w:szCs w:val="24"/>
              </w:rPr>
            </w:pPr>
          </w:p>
        </w:tc>
        <w:tc>
          <w:tcPr>
            <w:tcW w:w="1062" w:type="dxa"/>
            <w:vMerge w:val="continue"/>
            <w:noWrap w:val="0"/>
            <w:vAlign w:val="top"/>
          </w:tcPr>
          <w:p>
            <w:pPr>
              <w:spacing w:line="360" w:lineRule="auto"/>
              <w:rPr>
                <w:rFonts w:hint="eastAsia" w:ascii="仿宋" w:hAnsi="仿宋" w:eastAsia="仿宋" w:cs="仿宋"/>
                <w:b/>
                <w:color w:val="000000"/>
                <w:sz w:val="24"/>
                <w:szCs w:val="24"/>
              </w:rPr>
            </w:pP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noWrap w:val="0"/>
            <w:vAlign w:val="top"/>
          </w:tcPr>
          <w:p>
            <w:pPr>
              <w:spacing w:line="360" w:lineRule="auto"/>
              <w:rPr>
                <w:rFonts w:hint="eastAsia" w:ascii="仿宋" w:hAnsi="仿宋" w:eastAsia="仿宋" w:cs="仿宋"/>
                <w:b/>
                <w:color w:val="000000"/>
                <w:sz w:val="24"/>
                <w:szCs w:val="24"/>
              </w:rPr>
            </w:pPr>
          </w:p>
        </w:tc>
        <w:tc>
          <w:tcPr>
            <w:tcW w:w="1062" w:type="dxa"/>
            <w:vMerge w:val="continue"/>
            <w:noWrap w:val="0"/>
            <w:vAlign w:val="top"/>
          </w:tcPr>
          <w:p>
            <w:pPr>
              <w:spacing w:line="360" w:lineRule="auto"/>
              <w:rPr>
                <w:rFonts w:hint="eastAsia" w:ascii="仿宋" w:hAnsi="仿宋" w:eastAsia="仿宋" w:cs="仿宋"/>
                <w:b/>
                <w:color w:val="000000"/>
                <w:sz w:val="24"/>
                <w:szCs w:val="24"/>
              </w:rPr>
            </w:pP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6）仪器配套封闭试剂及耗材需在深圳市卫生耗材阳光采购平台上注册，并承诺提供深圳市内最低供货价。【提供深圳市卫生耗材阳光采购平台上注册证明和承诺函（格式自拟）】，若无封闭试剂及耗材，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062" w:type="dxa"/>
            <w:vMerge w:val="restart"/>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交货要求</w:t>
            </w:r>
          </w:p>
        </w:tc>
        <w:tc>
          <w:tcPr>
            <w:tcW w:w="6998" w:type="dxa"/>
            <w:noWrap w:val="0"/>
            <w:vAlign w:val="top"/>
          </w:tcPr>
          <w:p>
            <w:pPr>
              <w:spacing w:line="360" w:lineRule="auto"/>
              <w:ind w:left="420" w:hanging="480" w:hangingChars="200"/>
              <w:rPr>
                <w:rFonts w:hint="eastAsia" w:ascii="仿宋" w:hAnsi="仿宋" w:eastAsia="仿宋" w:cs="仿宋"/>
                <w:color w:val="000000"/>
                <w:spacing w:val="-3"/>
                <w:sz w:val="24"/>
                <w:szCs w:val="24"/>
              </w:rPr>
            </w:pPr>
            <w:r>
              <w:rPr>
                <w:rFonts w:hint="eastAsia" w:ascii="仿宋" w:hAnsi="仿宋" w:eastAsia="仿宋" w:cs="仿宋"/>
                <w:bCs/>
                <w:color w:val="000000"/>
                <w:sz w:val="24"/>
                <w:szCs w:val="24"/>
              </w:rPr>
              <w:t>★</w:t>
            </w:r>
            <w:r>
              <w:rPr>
                <w:rFonts w:hint="eastAsia" w:ascii="仿宋" w:hAnsi="仿宋" w:eastAsia="仿宋" w:cs="仿宋"/>
                <w:b/>
                <w:bCs/>
                <w:color w:val="000000"/>
                <w:sz w:val="24"/>
                <w:szCs w:val="24"/>
              </w:rPr>
              <w:t>1）签订合同之日起</w:t>
            </w:r>
            <w:r>
              <w:rPr>
                <w:rFonts w:hint="eastAsia" w:ascii="仿宋" w:hAnsi="仿宋" w:eastAsia="仿宋" w:cs="仿宋"/>
                <w:b/>
                <w:bCs/>
                <w:color w:val="000000"/>
                <w:sz w:val="24"/>
                <w:szCs w:val="24"/>
                <w:u w:val="single"/>
              </w:rPr>
              <w:t xml:space="preserve"> 120 </w:t>
            </w:r>
            <w:r>
              <w:rPr>
                <w:rFonts w:hint="eastAsia" w:ascii="仿宋" w:hAnsi="仿宋" w:eastAsia="仿宋" w:cs="仿宋"/>
                <w:b/>
                <w:bCs/>
                <w:color w:val="000000"/>
                <w:sz w:val="24"/>
                <w:szCs w:val="24"/>
              </w:rPr>
              <w:t>日历日内交货</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bCs/>
                <w:color w:val="000000"/>
                <w:kern w:val="0"/>
                <w:sz w:val="24"/>
                <w:szCs w:val="24"/>
              </w:rPr>
            </w:pP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bCs/>
                <w:color w:val="000000"/>
                <w:kern w:val="0"/>
                <w:sz w:val="24"/>
                <w:szCs w:val="24"/>
              </w:rPr>
            </w:pP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bCs/>
                <w:color w:val="000000"/>
                <w:sz w:val="24"/>
                <w:szCs w:val="24"/>
              </w:rPr>
              <w:t>提供的货物必须为全新、经检验合格的产品。产品如需要计量检定的应</w:t>
            </w:r>
            <w:r>
              <w:rPr>
                <w:rFonts w:hint="eastAsia" w:ascii="仿宋" w:hAnsi="仿宋" w:eastAsia="仿宋" w:cs="仿宋"/>
                <w:color w:val="000000"/>
                <w:sz w:val="24"/>
                <w:szCs w:val="24"/>
              </w:rPr>
              <w:t>提供</w:t>
            </w:r>
            <w:r>
              <w:rPr>
                <w:rFonts w:hint="eastAsia" w:ascii="仿宋" w:hAnsi="仿宋" w:eastAsia="仿宋" w:cs="仿宋"/>
                <w:bCs/>
                <w:color w:val="000000"/>
                <w:sz w:val="24"/>
                <w:szCs w:val="24"/>
              </w:rPr>
              <w:t>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062"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rPr>
              <w:t>运输、安装和验收</w:t>
            </w:r>
          </w:p>
        </w:tc>
        <w:tc>
          <w:tcPr>
            <w:tcW w:w="6998" w:type="dxa"/>
            <w:noWrap w:val="0"/>
            <w:vAlign w:val="top"/>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安全无损运抵采购人指定地点,并承担设备的包装、运输、保险、装卸、安装调试、培训、商检及计量检测、关税、增值税和进口代理等费用</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1062"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kern w:val="0"/>
                <w:sz w:val="24"/>
                <w:szCs w:val="24"/>
              </w:rPr>
              <w:t>培训</w:t>
            </w:r>
          </w:p>
        </w:tc>
        <w:tc>
          <w:tcPr>
            <w:tcW w:w="6998" w:type="dxa"/>
            <w:noWrap w:val="0"/>
            <w:vAlign w:val="top"/>
          </w:tcPr>
          <w:p>
            <w:pPr>
              <w:spacing w:line="360" w:lineRule="auto"/>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4</w:t>
            </w:r>
          </w:p>
        </w:tc>
        <w:tc>
          <w:tcPr>
            <w:tcW w:w="1062"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知识产权</w:t>
            </w:r>
          </w:p>
        </w:tc>
        <w:tc>
          <w:tcPr>
            <w:tcW w:w="6998"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1）投标人应保证采购人在使用该货物或其任何一部分时，免受第三方</w:t>
            </w:r>
            <w:r>
              <w:rPr>
                <w:rFonts w:hint="eastAsia" w:ascii="仿宋" w:hAnsi="仿宋" w:eastAsia="仿宋" w:cs="仿宋"/>
                <w:color w:val="000000"/>
                <w:sz w:val="24"/>
                <w:szCs w:val="24"/>
              </w:rPr>
              <w:t>提出</w:t>
            </w:r>
            <w:r>
              <w:rPr>
                <w:rFonts w:hint="eastAsia" w:ascii="仿宋" w:hAnsi="仿宋" w:eastAsia="仿宋" w:cs="仿宋"/>
                <w:bCs/>
                <w:color w:val="000000"/>
                <w:sz w:val="24"/>
                <w:szCs w:val="24"/>
              </w:rPr>
              <w:t>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tabs>
                <w:tab w:val="left" w:pos="1260"/>
              </w:tabs>
              <w:spacing w:line="360" w:lineRule="auto"/>
              <w:jc w:val="center"/>
              <w:rPr>
                <w:rFonts w:hint="eastAsia" w:ascii="仿宋" w:hAnsi="仿宋" w:eastAsia="仿宋" w:cs="仿宋"/>
                <w:b/>
                <w:bCs/>
                <w:color w:val="000000"/>
                <w:kern w:val="0"/>
                <w:sz w:val="24"/>
                <w:szCs w:val="24"/>
              </w:rPr>
            </w:pPr>
          </w:p>
        </w:tc>
        <w:tc>
          <w:tcPr>
            <w:tcW w:w="6998" w:type="dxa"/>
            <w:noWrap w:val="0"/>
            <w:vAlign w:val="top"/>
          </w:tcPr>
          <w:p>
            <w:pPr>
              <w:spacing w:line="360" w:lineRule="auto"/>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60"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1062" w:type="dxa"/>
            <w:noWrap w:val="0"/>
            <w:vAlign w:val="center"/>
          </w:tcPr>
          <w:p>
            <w:pPr>
              <w:tabs>
                <w:tab w:val="left" w:pos="1260"/>
              </w:tabs>
              <w:spacing w:line="360" w:lineRule="auto"/>
              <w:jc w:val="center"/>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rPr>
              <w:t>付款方式</w:t>
            </w:r>
          </w:p>
        </w:tc>
        <w:tc>
          <w:tcPr>
            <w:tcW w:w="6998" w:type="dxa"/>
            <w:noWrap w:val="0"/>
            <w:vAlign w:val="top"/>
          </w:tcPr>
          <w:p>
            <w:pPr>
              <w:tabs>
                <w:tab w:val="left" w:pos="1260"/>
              </w:tabs>
              <w:spacing w:line="360" w:lineRule="auto"/>
              <w:rPr>
                <w:rFonts w:hint="eastAsia" w:ascii="仿宋" w:hAnsi="仿宋" w:eastAsia="仿宋" w:cs="仿宋"/>
                <w:color w:val="000000"/>
                <w:kern w:val="0"/>
                <w:sz w:val="24"/>
                <w:szCs w:val="24"/>
              </w:rPr>
            </w:pPr>
            <w:r>
              <w:rPr>
                <w:rFonts w:hint="eastAsia" w:ascii="仿宋" w:hAnsi="仿宋" w:eastAsia="仿宋" w:cs="仿宋"/>
                <w:color w:val="auto"/>
                <w:sz w:val="24"/>
                <w:szCs w:val="24"/>
              </w:rPr>
              <w:t>合同签订后，乙方支付合同总金额的5%作为履约保证金；甲方收到乙方履约保证金并且收到乙方开具的50%合同总金额发票后，向乙方支付50%预付款；乙方将货物送到指定地点、验收合格并提供剩余50%合同总金额发票后，甲方向乙方支付合同总金额的50%货款；设备验收合同后，乙方向甲方申请退回该履约保证金，甲方收到申请审核同意后，无息返还乙方的履约保证金。因乙方原因而未能达到本项目验收标准或验收不通过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60" w:type="dxa"/>
            <w:vMerge w:val="restart"/>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w:t>
            </w:r>
          </w:p>
        </w:tc>
        <w:tc>
          <w:tcPr>
            <w:tcW w:w="1062" w:type="dxa"/>
            <w:vMerge w:val="restart"/>
            <w:noWrap w:val="0"/>
            <w:vAlign w:val="center"/>
          </w:tcPr>
          <w:p>
            <w:pPr>
              <w:spacing w:line="360" w:lineRule="auto"/>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违约责任</w:t>
            </w:r>
          </w:p>
        </w:tc>
        <w:tc>
          <w:tcPr>
            <w:tcW w:w="6998" w:type="dxa"/>
            <w:noWrap w:val="0"/>
            <w:vAlign w:val="top"/>
          </w:tcPr>
          <w:p>
            <w:pPr>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sz w:val="24"/>
                <w:szCs w:val="24"/>
              </w:rPr>
              <w:t>1）如中标人未按照投标文件中承诺的时间交货或提供服务，中标人</w:t>
            </w:r>
            <w:r>
              <w:rPr>
                <w:rFonts w:hint="eastAsia" w:ascii="仿宋" w:hAnsi="仿宋" w:eastAsia="仿宋" w:cs="仿宋"/>
                <w:color w:val="000000"/>
                <w:sz w:val="24"/>
                <w:szCs w:val="24"/>
              </w:rPr>
              <w:t>应承担</w:t>
            </w:r>
            <w:r>
              <w:rPr>
                <w:rFonts w:hint="eastAsia" w:ascii="仿宋" w:hAnsi="仿宋" w:eastAsia="仿宋" w:cs="仿宋"/>
                <w:bCs/>
                <w:color w:val="000000"/>
                <w:sz w:val="24"/>
                <w:szCs w:val="24"/>
              </w:rPr>
              <w:t>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十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noWrap w:val="0"/>
            <w:vAlign w:val="center"/>
          </w:tcPr>
          <w:p>
            <w:pPr>
              <w:spacing w:line="360" w:lineRule="auto"/>
              <w:jc w:val="center"/>
              <w:rPr>
                <w:rFonts w:hint="eastAsia" w:ascii="仿宋" w:hAnsi="仿宋" w:eastAsia="仿宋" w:cs="仿宋"/>
                <w:b/>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b/>
                <w:color w:val="000000"/>
                <w:kern w:val="0"/>
                <w:sz w:val="24"/>
                <w:szCs w:val="24"/>
              </w:rPr>
            </w:pPr>
          </w:p>
        </w:tc>
        <w:tc>
          <w:tcPr>
            <w:tcW w:w="6998" w:type="dxa"/>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7</w:t>
            </w:r>
          </w:p>
        </w:tc>
        <w:tc>
          <w:tcPr>
            <w:tcW w:w="1062" w:type="dxa"/>
            <w:noWrap w:val="0"/>
            <w:vAlign w:val="center"/>
          </w:tcPr>
          <w:p>
            <w:pPr>
              <w:spacing w:line="360" w:lineRule="auto"/>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其他</w:t>
            </w:r>
          </w:p>
        </w:tc>
        <w:tc>
          <w:tcPr>
            <w:tcW w:w="6998" w:type="dxa"/>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restart"/>
            <w:noWrap w:val="0"/>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8</w:t>
            </w:r>
          </w:p>
        </w:tc>
        <w:tc>
          <w:tcPr>
            <w:tcW w:w="1062" w:type="dxa"/>
            <w:vMerge w:val="restart"/>
            <w:noWrap w:val="0"/>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项目（产品）要求</w:t>
            </w:r>
          </w:p>
        </w:tc>
        <w:tc>
          <w:tcPr>
            <w:tcW w:w="6998" w:type="dxa"/>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
                <w:color w:val="000000"/>
                <w:sz w:val="24"/>
                <w:szCs w:val="24"/>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noWrap w:val="0"/>
            <w:vAlign w:val="center"/>
          </w:tcPr>
          <w:p>
            <w:pPr>
              <w:spacing w:line="360" w:lineRule="auto"/>
              <w:jc w:val="center"/>
              <w:rPr>
                <w:rFonts w:hint="eastAsia" w:ascii="仿宋" w:hAnsi="仿宋" w:eastAsia="仿宋" w:cs="仿宋"/>
                <w:color w:val="000000"/>
                <w:sz w:val="24"/>
                <w:szCs w:val="24"/>
              </w:rPr>
            </w:pPr>
          </w:p>
        </w:tc>
        <w:tc>
          <w:tcPr>
            <w:tcW w:w="1062" w:type="dxa"/>
            <w:vMerge w:val="continue"/>
            <w:noWrap w:val="0"/>
            <w:vAlign w:val="center"/>
          </w:tcPr>
          <w:p>
            <w:pPr>
              <w:spacing w:line="360" w:lineRule="auto"/>
              <w:jc w:val="center"/>
              <w:rPr>
                <w:rFonts w:hint="eastAsia" w:ascii="仿宋" w:hAnsi="仿宋" w:eastAsia="仿宋" w:cs="仿宋"/>
                <w:color w:val="000000"/>
                <w:sz w:val="24"/>
                <w:szCs w:val="24"/>
              </w:rPr>
            </w:pPr>
          </w:p>
        </w:tc>
        <w:tc>
          <w:tcPr>
            <w:tcW w:w="6998" w:type="dxa"/>
            <w:noWrap w:val="0"/>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b/>
                <w:color w:val="000000"/>
                <w:sz w:val="24"/>
                <w:szCs w:val="24"/>
              </w:rPr>
              <w:t>★8.2若所投产品为进口，则投标人必须提供由设备制造商或授权的中国总代理签署的合法有效的保修、维修承诺函（免费保修期满足招标文件要求）扫描件，原件备查；若所投产品为国产产品，则无需提供。</w:t>
            </w:r>
          </w:p>
        </w:tc>
      </w:tr>
    </w:tbl>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3"/>
          <w:jc w:val="center"/>
        </w:pP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6D77AF0"/>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4B2C0B"/>
    <w:rsid w:val="739648B7"/>
    <w:rsid w:val="73B37F21"/>
    <w:rsid w:val="73EF00BF"/>
    <w:rsid w:val="7406050A"/>
    <w:rsid w:val="7420296E"/>
    <w:rsid w:val="74746816"/>
    <w:rsid w:val="74747483"/>
    <w:rsid w:val="74CE0C97"/>
    <w:rsid w:val="752306D3"/>
    <w:rsid w:val="752537A3"/>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2"/>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5"/>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7">
    <w:name w:val="annotation text"/>
    <w:basedOn w:val="1"/>
    <w:link w:val="28"/>
    <w:unhideWhenUsed/>
    <w:qFormat/>
    <w:uiPriority w:val="99"/>
    <w:pPr>
      <w:jc w:val="left"/>
    </w:pPr>
  </w:style>
  <w:style w:type="paragraph" w:styleId="8">
    <w:name w:val="Body Text"/>
    <w:basedOn w:val="1"/>
    <w:next w:val="1"/>
    <w:qFormat/>
    <w:uiPriority w:val="0"/>
    <w:pPr>
      <w:spacing w:after="120"/>
    </w:pPr>
  </w:style>
  <w:style w:type="paragraph" w:styleId="9">
    <w:name w:val="Body Text Indent"/>
    <w:basedOn w:val="1"/>
    <w:unhideWhenUsed/>
    <w:qFormat/>
    <w:uiPriority w:val="99"/>
    <w:pPr>
      <w:spacing w:after="120"/>
      <w:ind w:left="420" w:leftChars="200"/>
    </w:pPr>
  </w:style>
  <w:style w:type="paragraph" w:styleId="10">
    <w:name w:val="Plain Text"/>
    <w:basedOn w:val="1"/>
    <w:link w:val="31"/>
    <w:qFormat/>
    <w:uiPriority w:val="0"/>
    <w:rPr>
      <w:rFonts w:ascii="宋体" w:hAnsi="Courier New" w:eastAsiaTheme="minorEastAsia" w:cstheme="minorBidi"/>
    </w:rPr>
  </w:style>
  <w:style w:type="paragraph" w:styleId="11">
    <w:name w:val="Date"/>
    <w:basedOn w:val="1"/>
    <w:next w:val="1"/>
    <w:link w:val="23"/>
    <w:qFormat/>
    <w:uiPriority w:val="0"/>
    <w:rPr>
      <w:rFonts w:ascii="宋体" w:hAnsi="Courier New"/>
      <w:kern w:val="0"/>
      <w:sz w:val="32"/>
      <w:szCs w:val="20"/>
    </w:rPr>
  </w:style>
  <w:style w:type="paragraph" w:styleId="12">
    <w:name w:val="Balloon Text"/>
    <w:basedOn w:val="1"/>
    <w:link w:val="24"/>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annotation subject"/>
    <w:basedOn w:val="7"/>
    <w:next w:val="7"/>
    <w:link w:val="29"/>
    <w:semiHidden/>
    <w:unhideWhenUsed/>
    <w:qFormat/>
    <w:uiPriority w:val="99"/>
    <w:rPr>
      <w:b/>
      <w:bCs/>
    </w:rPr>
  </w:style>
  <w:style w:type="paragraph" w:styleId="16">
    <w:name w:val="Body Text First Indent 2"/>
    <w:basedOn w:val="9"/>
    <w:qFormat/>
    <w:uiPriority w:val="0"/>
    <w:pPr>
      <w:ind w:firstLine="420" w:firstLineChars="200"/>
    </w:pPr>
    <w:rPr>
      <w:szCs w:val="24"/>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qFormat/>
    <w:uiPriority w:val="99"/>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日期 Char"/>
    <w:basedOn w:val="19"/>
    <w:link w:val="11"/>
    <w:qFormat/>
    <w:uiPriority w:val="0"/>
    <w:rPr>
      <w:rFonts w:ascii="宋体" w:hAnsi="Courier New" w:eastAsia="宋体" w:cs="Times New Roman"/>
      <w:kern w:val="0"/>
      <w:sz w:val="32"/>
      <w:szCs w:val="20"/>
    </w:rPr>
  </w:style>
  <w:style w:type="character" w:customStyle="1" w:styleId="23">
    <w:name w:val="日期 Char1"/>
    <w:basedOn w:val="19"/>
    <w:link w:val="11"/>
    <w:semiHidden/>
    <w:qFormat/>
    <w:uiPriority w:val="99"/>
    <w:rPr>
      <w:rFonts w:ascii="Calibri" w:hAnsi="Calibri" w:eastAsia="宋体" w:cs="Times New Roman"/>
    </w:rPr>
  </w:style>
  <w:style w:type="character" w:customStyle="1" w:styleId="24">
    <w:name w:val="批注框文本 Char"/>
    <w:basedOn w:val="19"/>
    <w:link w:val="12"/>
    <w:semiHidden/>
    <w:qFormat/>
    <w:uiPriority w:val="99"/>
    <w:rPr>
      <w:rFonts w:ascii="Calibri" w:hAnsi="Calibri" w:eastAsia="宋体" w:cs="Times New Roman"/>
      <w:sz w:val="18"/>
      <w:szCs w:val="18"/>
    </w:rPr>
  </w:style>
  <w:style w:type="character" w:customStyle="1" w:styleId="25">
    <w:name w:val="页眉 Char"/>
    <w:basedOn w:val="19"/>
    <w:link w:val="14"/>
    <w:semiHidden/>
    <w:qFormat/>
    <w:uiPriority w:val="99"/>
    <w:rPr>
      <w:rFonts w:ascii="Calibri" w:hAnsi="Calibri" w:eastAsia="宋体" w:cs="Times New Roman"/>
      <w:sz w:val="18"/>
      <w:szCs w:val="18"/>
    </w:rPr>
  </w:style>
  <w:style w:type="character" w:customStyle="1" w:styleId="26">
    <w:name w:val="页脚 Char"/>
    <w:basedOn w:val="19"/>
    <w:link w:val="13"/>
    <w:qFormat/>
    <w:uiPriority w:val="99"/>
    <w:rPr>
      <w:rFonts w:ascii="Calibri" w:hAnsi="Calibri" w:eastAsia="宋体" w:cs="Times New Roman"/>
      <w:sz w:val="18"/>
      <w:szCs w:val="18"/>
    </w:rPr>
  </w:style>
  <w:style w:type="character" w:customStyle="1" w:styleId="27">
    <w:name w:val="标题 1 Char"/>
    <w:basedOn w:val="19"/>
    <w:link w:val="3"/>
    <w:qFormat/>
    <w:uiPriority w:val="0"/>
    <w:rPr>
      <w:rFonts w:ascii="宋体" w:hAnsi="Calibri" w:eastAsia="宋体" w:cs="Times New Roman"/>
      <w:color w:val="000000"/>
      <w:sz w:val="28"/>
      <w:szCs w:val="20"/>
    </w:rPr>
  </w:style>
  <w:style w:type="character" w:customStyle="1" w:styleId="28">
    <w:name w:val="批注文字 Char"/>
    <w:basedOn w:val="19"/>
    <w:link w:val="7"/>
    <w:qFormat/>
    <w:uiPriority w:val="99"/>
    <w:rPr>
      <w:rFonts w:ascii="Calibri" w:hAnsi="Calibri" w:eastAsia="宋体" w:cs="Times New Roman"/>
    </w:rPr>
  </w:style>
  <w:style w:type="character" w:customStyle="1" w:styleId="29">
    <w:name w:val="批注主题 Char"/>
    <w:basedOn w:val="28"/>
    <w:link w:val="15"/>
    <w:semiHidden/>
    <w:qFormat/>
    <w:uiPriority w:val="99"/>
    <w:rPr>
      <w:b/>
      <w:bCs/>
    </w:rPr>
  </w:style>
  <w:style w:type="character" w:customStyle="1" w:styleId="30">
    <w:name w:val="纯文本 Char"/>
    <w:link w:val="10"/>
    <w:qFormat/>
    <w:uiPriority w:val="0"/>
    <w:rPr>
      <w:rFonts w:ascii="宋体" w:hAnsi="Courier New"/>
    </w:rPr>
  </w:style>
  <w:style w:type="character" w:customStyle="1" w:styleId="31">
    <w:name w:val="纯文本 Char1"/>
    <w:basedOn w:val="19"/>
    <w:link w:val="10"/>
    <w:semiHidden/>
    <w:qFormat/>
    <w:uiPriority w:val="99"/>
    <w:rPr>
      <w:rFonts w:ascii="宋体" w:hAnsi="Courier New" w:eastAsia="宋体" w:cs="Courier New"/>
      <w:szCs w:val="21"/>
    </w:rPr>
  </w:style>
  <w:style w:type="character" w:customStyle="1" w:styleId="32">
    <w:name w:val="标题 2 Char"/>
    <w:basedOn w:val="19"/>
    <w:link w:val="4"/>
    <w:qFormat/>
    <w:uiPriority w:val="0"/>
    <w:rPr>
      <w:rFonts w:ascii="Arial" w:hAnsi="Arial" w:eastAsia="宋体" w:cs="Times New Roman"/>
      <w:b/>
      <w:bCs/>
      <w:sz w:val="32"/>
      <w:szCs w:val="32"/>
    </w:rPr>
  </w:style>
  <w:style w:type="paragraph" w:styleId="33">
    <w:name w:val="List Paragraph"/>
    <w:basedOn w:val="1"/>
    <w:qFormat/>
    <w:uiPriority w:val="34"/>
    <w:pPr>
      <w:ind w:firstLine="420" w:firstLineChars="200"/>
    </w:pPr>
  </w:style>
  <w:style w:type="character" w:customStyle="1" w:styleId="34">
    <w:name w:val="标题 3 Char"/>
    <w:basedOn w:val="19"/>
    <w:link w:val="5"/>
    <w:semiHidden/>
    <w:qFormat/>
    <w:uiPriority w:val="9"/>
    <w:rPr>
      <w:rFonts w:ascii="Calibri" w:hAnsi="Calibri" w:eastAsia="宋体" w:cs="Times New Roman"/>
      <w:b/>
      <w:bCs/>
      <w:sz w:val="32"/>
      <w:szCs w:val="32"/>
    </w:rPr>
  </w:style>
  <w:style w:type="character" w:customStyle="1" w:styleId="35">
    <w:name w:val="标题 4 Char"/>
    <w:basedOn w:val="19"/>
    <w:link w:val="6"/>
    <w:qFormat/>
    <w:uiPriority w:val="0"/>
    <w:rPr>
      <w:rFonts w:ascii="Cambria" w:hAnsi="Cambria" w:eastAsia="宋体" w:cs="Times New Roman"/>
      <w:b/>
      <w:bCs/>
      <w:sz w:val="28"/>
      <w:szCs w:val="28"/>
    </w:rPr>
  </w:style>
  <w:style w:type="paragraph" w:customStyle="1" w:styleId="36">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7">
    <w:name w:val="1"/>
    <w:basedOn w:val="1"/>
    <w:next w:val="10"/>
    <w:qFormat/>
    <w:uiPriority w:val="0"/>
    <w:rPr>
      <w:rFonts w:ascii="宋体" w:hAnsi="Courier New"/>
      <w:szCs w:val="20"/>
    </w:rPr>
  </w:style>
  <w:style w:type="paragraph" w:customStyle="1" w:styleId="38">
    <w:name w:val="8"/>
    <w:basedOn w:val="1"/>
    <w:next w:val="10"/>
    <w:qFormat/>
    <w:uiPriority w:val="0"/>
    <w:rPr>
      <w:rFonts w:ascii="宋体" w:hAnsi="Courier New"/>
      <w:szCs w:val="20"/>
    </w:rPr>
  </w:style>
  <w:style w:type="paragraph" w:customStyle="1" w:styleId="39">
    <w:name w:val="_Style 55"/>
    <w:basedOn w:val="1"/>
    <w:next w:val="10"/>
    <w:qFormat/>
    <w:uiPriority w:val="0"/>
    <w:rPr>
      <w:rFonts w:ascii="宋体" w:hAnsi="Courier New"/>
      <w:szCs w:val="20"/>
    </w:rPr>
  </w:style>
  <w:style w:type="paragraph" w:customStyle="1" w:styleId="40">
    <w:name w:val="7"/>
    <w:basedOn w:val="1"/>
    <w:next w:val="10"/>
    <w:link w:val="41"/>
    <w:qFormat/>
    <w:uiPriority w:val="0"/>
    <w:rPr>
      <w:rFonts w:ascii="宋体" w:hAnsi="Courier New"/>
      <w:szCs w:val="20"/>
    </w:rPr>
  </w:style>
  <w:style w:type="character" w:customStyle="1" w:styleId="41">
    <w:name w:val="Char1"/>
    <w:link w:val="40"/>
    <w:qFormat/>
    <w:uiPriority w:val="0"/>
    <w:rPr>
      <w:rFonts w:ascii="宋体" w:hAnsi="Courier New" w:eastAsia="宋体" w:cs="Times New Roman"/>
      <w:szCs w:val="20"/>
    </w:rPr>
  </w:style>
  <w:style w:type="paragraph" w:customStyle="1" w:styleId="42">
    <w:name w:val="Body text|1"/>
    <w:basedOn w:val="1"/>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3816</Words>
  <Characters>3897</Characters>
  <Lines>229</Lines>
  <Paragraphs>64</Paragraphs>
  <TotalTime>0</TotalTime>
  <ScaleCrop>false</ScaleCrop>
  <LinksUpToDate>false</LinksUpToDate>
  <CharactersWithSpaces>3933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中正招标李森创</cp:lastModifiedBy>
  <cp:lastPrinted>2020-05-21T02:27:00Z</cp:lastPrinted>
  <dcterms:modified xsi:type="dcterms:W3CDTF">2023-08-23T07:43:24Z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B946BEF99C8F409FBFCFBF89E6EAF5A4</vt:lpwstr>
  </property>
</Properties>
</file>