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3075" o:spt="202" type="#_x0000_t202" style="position:absolute;left:0pt;margin-left:45.7pt;margin-top:-3.3pt;height:46.8pt;width:294.8pt;z-index:251659264;mso-width-relative:margin;mso-height-relative:margin;" stroked="t" coordsize="21600,21600">
            <v:path/>
            <v:fill focussize="0,0"/>
            <v:stroke color="#FFFFFF" joinstyle="miter"/>
            <v:imagedata o:title=""/>
            <o:lock v:ext="edit"/>
            <v:textbo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ind w:left="682" w:leftChars="-203" w:hanging="1108" w:hangingChars="154"/>
        <w:rPr>
          <w:sz w:val="72"/>
          <w:szCs w:val="72"/>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center"/>
        <w:rPr>
          <w:rFonts w:asciiTheme="minorEastAsia" w:hAnsiTheme="minorEastAsia" w:eastAsiaTheme="minorEastAsia"/>
          <w:b/>
          <w:snapToGrid w:val="0"/>
          <w:kern w:val="0"/>
          <w:sz w:val="70"/>
          <w:szCs w:val="70"/>
        </w:rPr>
      </w:pPr>
      <w:r>
        <w:rPr>
          <w:rFonts w:hint="eastAsia" w:asciiTheme="minorEastAsia" w:hAnsiTheme="minorEastAsia" w:eastAsiaTheme="minorEastAsia"/>
          <w:b/>
          <w:bCs/>
          <w:snapToGrid w:val="0"/>
          <w:kern w:val="0"/>
          <w:sz w:val="70"/>
          <w:szCs w:val="70"/>
        </w:rPr>
        <w:t>阴道显微镜采购项目</w:t>
      </w: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招　标　文　件</w:t>
      </w:r>
    </w:p>
    <w:p>
      <w:pPr>
        <w:adjustRightInd w:val="0"/>
        <w:snapToGrid w:val="0"/>
        <w:spacing w:line="300" w:lineRule="auto"/>
        <w:jc w:val="center"/>
        <w:rPr>
          <w:rFonts w:ascii="经典等线简" w:eastAsia="经典等线简"/>
          <w:b/>
          <w:snapToGrid w:val="0"/>
          <w:kern w:val="0"/>
          <w:sz w:val="32"/>
        </w:rPr>
      </w:pPr>
    </w:p>
    <w:p>
      <w:pPr>
        <w:adjustRightInd w:val="0"/>
        <w:snapToGrid w:val="0"/>
        <w:spacing w:line="300" w:lineRule="auto"/>
        <w:jc w:val="center"/>
        <w:rPr>
          <w:rFonts w:ascii="经典等线简" w:eastAsiaTheme="minorEastAsia"/>
          <w:b/>
          <w:snapToGrid w:val="0"/>
          <w:kern w:val="0"/>
          <w:sz w:val="18"/>
          <w:szCs w:val="18"/>
        </w:rPr>
      </w:pPr>
      <w:r>
        <w:rPr>
          <w:rFonts w:hint="eastAsia" w:asciiTheme="minorEastAsia" w:hAnsiTheme="minorEastAsia" w:eastAsiaTheme="minorEastAsia"/>
          <w:b/>
          <w:snapToGrid w:val="0"/>
          <w:kern w:val="0"/>
          <w:sz w:val="32"/>
        </w:rPr>
        <w:t>项目编号：</w:t>
      </w:r>
      <w:r>
        <w:rPr>
          <w:rFonts w:asciiTheme="minorEastAsia" w:hAnsiTheme="minorEastAsia" w:eastAsiaTheme="minorEastAsia"/>
          <w:b/>
          <w:snapToGrid w:val="0"/>
          <w:kern w:val="0"/>
          <w:sz w:val="32"/>
        </w:rPr>
        <w:t>SZZZ2021-QA0</w:t>
      </w:r>
      <w:r>
        <w:rPr>
          <w:rFonts w:hint="eastAsia" w:asciiTheme="minorEastAsia" w:hAnsiTheme="minorEastAsia" w:eastAsiaTheme="minorEastAsia"/>
          <w:b/>
          <w:snapToGrid w:val="0"/>
          <w:kern w:val="0"/>
          <w:sz w:val="32"/>
        </w:rPr>
        <w:t>210</w:t>
      </w:r>
    </w:p>
    <w:p>
      <w:pPr>
        <w:adjustRightInd w:val="0"/>
        <w:snapToGrid w:val="0"/>
        <w:spacing w:line="300" w:lineRule="auto"/>
        <w:jc w:val="center"/>
        <w:rPr>
          <w:rFonts w:eastAsia="经典标宋简"/>
          <w:b/>
          <w:snapToGrid w:val="0"/>
          <w:kern w:val="0"/>
          <w:sz w:val="44"/>
        </w:rPr>
      </w:pPr>
    </w:p>
    <w:p>
      <w:pPr>
        <w:adjustRightInd w:val="0"/>
        <w:snapToGrid w:val="0"/>
        <w:spacing w:line="300" w:lineRule="auto"/>
        <w:jc w:val="center"/>
        <w:rPr>
          <w:rFonts w:eastAsia="经典标宋简"/>
          <w:b/>
          <w:snapToGrid w:val="0"/>
          <w:kern w:val="0"/>
          <w:sz w:val="44"/>
        </w:rPr>
      </w:pPr>
    </w:p>
    <w:p>
      <w:pPr>
        <w:pStyle w:val="28"/>
        <w:adjustRightInd w:val="0"/>
        <w:snapToGrid w:val="0"/>
        <w:spacing w:line="300" w:lineRule="auto"/>
        <w:jc w:val="center"/>
        <w:rPr>
          <w:rFonts w:ascii="Times New Roman" w:hAnsi="Times New Roman" w:eastAsia="经典等线简"/>
          <w:b/>
          <w:snapToGrid w:val="0"/>
          <w:sz w:val="30"/>
        </w:rPr>
      </w:pPr>
    </w:p>
    <w:p/>
    <w:p/>
    <w:p>
      <w:pPr>
        <w:pStyle w:val="28"/>
        <w:adjustRightInd w:val="0"/>
        <w:snapToGrid w:val="0"/>
        <w:spacing w:line="300" w:lineRule="auto"/>
        <w:ind w:hanging="835"/>
        <w:jc w:val="center"/>
        <w:rPr>
          <w:b/>
          <w:kern w:val="0"/>
          <w:sz w:val="28"/>
          <w:szCs w:val="28"/>
        </w:rPr>
      </w:pPr>
      <w:r>
        <w:rPr>
          <w:rFonts w:hint="eastAsia"/>
          <w:b/>
          <w:snapToGrid w:val="0"/>
          <w:sz w:val="30"/>
        </w:rPr>
        <w:t>二〇二一年</w:t>
      </w:r>
      <w:r>
        <w:rPr>
          <w:rFonts w:hint="eastAsia"/>
          <w:b/>
          <w:snapToGrid w:val="0"/>
          <w:sz w:val="30"/>
          <w:lang w:val="en-US" w:eastAsia="zh-CN"/>
        </w:rPr>
        <w:t>九</w:t>
      </w:r>
      <w:r>
        <w:rPr>
          <w:rFonts w:hint="eastAsia"/>
          <w:b/>
          <w:snapToGrid w:val="0"/>
          <w:sz w:val="30"/>
        </w:rPr>
        <w:t>月</w:t>
      </w:r>
      <w:r>
        <w:rPr>
          <w:b/>
          <w:kern w:val="0"/>
          <w:sz w:val="28"/>
          <w:szCs w:val="28"/>
        </w:rPr>
        <w:br w:type="page"/>
      </w:r>
    </w:p>
    <w:p>
      <w:pPr>
        <w:adjustRightInd w:val="0"/>
        <w:snapToGrid w:val="0"/>
        <w:spacing w:line="300" w:lineRule="auto"/>
        <w:jc w:val="left"/>
        <w:rPr>
          <w:b/>
          <w:kern w:val="0"/>
          <w:sz w:val="28"/>
          <w:szCs w:val="28"/>
        </w:rPr>
      </w:pPr>
    </w:p>
    <w:p>
      <w:pPr>
        <w:jc w:val="center"/>
        <w:rPr>
          <w:rFonts w:asciiTheme="minorEastAsia" w:hAnsiTheme="minorEastAsia" w:eastAsiaTheme="minorEastAsia"/>
          <w:b/>
          <w:bCs/>
          <w:szCs w:val="21"/>
        </w:rPr>
      </w:pP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pPr>
        <w:spacing w:line="360" w:lineRule="auto"/>
        <w:ind w:firstLine="480" w:firstLineChars="200"/>
        <w:rPr>
          <w:rFonts w:ascii="宋体" w:hAnsi="宋体"/>
          <w:sz w:val="24"/>
        </w:rPr>
      </w:pPr>
    </w:p>
    <w:p>
      <w:pPr>
        <w:spacing w:line="360" w:lineRule="auto"/>
        <w:ind w:firstLine="480" w:firstLineChars="200"/>
        <w:rPr>
          <w:rFonts w:ascii="仿宋" w:hAnsi="仿宋" w:eastAsia="仿宋"/>
          <w:sz w:val="24"/>
        </w:rPr>
      </w:pPr>
      <w:r>
        <w:rPr>
          <w:rFonts w:hint="eastAsia" w:ascii="仿宋" w:hAnsi="仿宋" w:eastAsia="仿宋"/>
          <w:sz w:val="24"/>
        </w:rPr>
        <w:t>一、《深圳经济特区政府采购条例》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360" w:lineRule="auto"/>
        <w:ind w:firstLine="480" w:firstLineChars="200"/>
        <w:rPr>
          <w:rFonts w:ascii="仿宋" w:hAnsi="仿宋" w:eastAsia="仿宋"/>
          <w:sz w:val="24"/>
        </w:rPr>
      </w:pPr>
      <w:r>
        <w:rPr>
          <w:rFonts w:hint="eastAsia" w:ascii="仿宋" w:hAnsi="仿宋" w:eastAsia="仿宋"/>
          <w:sz w:val="24"/>
        </w:rPr>
        <w:t>（一）在采购活动中应当回避而未回避的；</w:t>
      </w:r>
    </w:p>
    <w:p>
      <w:pPr>
        <w:spacing w:line="360" w:lineRule="auto"/>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pPr>
        <w:spacing w:line="360" w:lineRule="auto"/>
        <w:ind w:firstLine="480" w:firstLineChars="200"/>
        <w:rPr>
          <w:rFonts w:ascii="仿宋" w:hAnsi="仿宋" w:eastAsia="仿宋"/>
          <w:sz w:val="24"/>
        </w:rPr>
      </w:pPr>
      <w:r>
        <w:rPr>
          <w:rFonts w:hint="eastAsia" w:ascii="仿宋" w:hAnsi="仿宋" w:eastAsia="仿宋"/>
          <w:sz w:val="24"/>
        </w:rPr>
        <w:t>（三）隐瞒真实情况，提供虚假资料的；</w:t>
      </w:r>
    </w:p>
    <w:p>
      <w:pPr>
        <w:spacing w:line="360" w:lineRule="auto"/>
        <w:ind w:firstLine="480" w:firstLineChars="200"/>
        <w:rPr>
          <w:rFonts w:ascii="仿宋" w:hAnsi="仿宋" w:eastAsia="仿宋"/>
          <w:sz w:val="24"/>
        </w:rPr>
      </w:pPr>
      <w:r>
        <w:rPr>
          <w:rFonts w:hint="eastAsia" w:ascii="仿宋" w:hAnsi="仿宋" w:eastAsia="仿宋"/>
          <w:sz w:val="24"/>
        </w:rPr>
        <w:t>（四）以非法手段排斥其他供应商参与竞争的；</w:t>
      </w:r>
    </w:p>
    <w:p>
      <w:pPr>
        <w:spacing w:line="360" w:lineRule="auto"/>
        <w:ind w:firstLine="480" w:firstLineChars="200"/>
        <w:rPr>
          <w:rFonts w:ascii="仿宋" w:hAnsi="仿宋" w:eastAsia="仿宋"/>
          <w:sz w:val="24"/>
        </w:rPr>
      </w:pPr>
      <w:r>
        <w:rPr>
          <w:rFonts w:hint="eastAsia" w:ascii="仿宋" w:hAnsi="仿宋" w:eastAsia="仿宋"/>
          <w:sz w:val="24"/>
        </w:rPr>
        <w:t>（五）与其他采购参加人串通投标的；</w:t>
      </w:r>
    </w:p>
    <w:p>
      <w:pPr>
        <w:spacing w:line="360" w:lineRule="auto"/>
        <w:ind w:firstLine="480" w:firstLineChars="200"/>
        <w:rPr>
          <w:rFonts w:ascii="仿宋" w:hAnsi="仿宋" w:eastAsia="仿宋"/>
          <w:sz w:val="24"/>
        </w:rPr>
      </w:pPr>
      <w:r>
        <w:rPr>
          <w:rFonts w:hint="eastAsia" w:ascii="仿宋" w:hAnsi="仿宋" w:eastAsia="仿宋"/>
          <w:sz w:val="24"/>
        </w:rPr>
        <w:t>（六）恶意投诉的；</w:t>
      </w:r>
    </w:p>
    <w:p>
      <w:pPr>
        <w:spacing w:line="360" w:lineRule="auto"/>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pPr>
        <w:spacing w:line="360" w:lineRule="auto"/>
        <w:ind w:firstLine="480" w:firstLineChars="200"/>
        <w:rPr>
          <w:rFonts w:ascii="仿宋" w:hAnsi="仿宋" w:eastAsia="仿宋"/>
          <w:sz w:val="24"/>
        </w:rPr>
      </w:pPr>
      <w:r>
        <w:rPr>
          <w:rFonts w:hint="eastAsia" w:ascii="仿宋" w:hAnsi="仿宋" w:eastAsia="仿宋"/>
          <w:sz w:val="24"/>
        </w:rPr>
        <w:t>（八）阻碍、抗拒主管部门监督检查的；</w:t>
      </w:r>
    </w:p>
    <w:p>
      <w:pPr>
        <w:spacing w:line="360" w:lineRule="auto"/>
        <w:ind w:firstLine="480" w:firstLineChars="200"/>
        <w:rPr>
          <w:rFonts w:ascii="仿宋" w:hAnsi="仿宋" w:eastAsia="仿宋"/>
          <w:sz w:val="24"/>
        </w:rPr>
      </w:pPr>
      <w:r>
        <w:rPr>
          <w:rFonts w:hint="eastAsia" w:ascii="仿宋" w:hAnsi="仿宋" w:eastAsia="仿宋"/>
          <w:sz w:val="24"/>
        </w:rPr>
        <w:t>（九）其他违反本条例规定的行为。</w:t>
      </w: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r>
        <w:rPr>
          <w:rFonts w:hint="eastAsia" w:ascii="仿宋" w:hAnsi="仿宋" w:eastAsia="仿宋"/>
          <w:sz w:val="24"/>
        </w:rPr>
        <w:t>二、《深圳经济特区政府采购条例实施细则》第七十六条 供应商有下列行为之一的，由主管部门记入供应商诚信档案并作出以下处罚：</w:t>
      </w:r>
    </w:p>
    <w:p>
      <w:pPr>
        <w:spacing w:line="360" w:lineRule="auto"/>
        <w:ind w:firstLine="480" w:firstLineChars="200"/>
        <w:rPr>
          <w:rFonts w:ascii="仿宋" w:hAnsi="仿宋" w:eastAsia="仿宋"/>
          <w:sz w:val="24"/>
        </w:rPr>
      </w:pPr>
      <w:r>
        <w:rPr>
          <w:rFonts w:hint="eastAsia" w:ascii="仿宋" w:hAnsi="仿宋" w:eastAsia="仿宋"/>
          <w:sz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pPr>
        <w:spacing w:line="360" w:lineRule="auto"/>
        <w:ind w:firstLine="480" w:firstLineChars="200"/>
        <w:rPr>
          <w:rFonts w:ascii="仿宋" w:hAnsi="仿宋" w:eastAsia="仿宋"/>
          <w:sz w:val="24"/>
        </w:rPr>
      </w:pPr>
      <w:r>
        <w:rPr>
          <w:rFonts w:hint="eastAsia" w:ascii="仿宋" w:hAnsi="仿宋" w:eastAsia="仿宋"/>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pPr>
        <w:spacing w:line="360" w:lineRule="auto"/>
        <w:ind w:firstLine="480" w:firstLineChars="200"/>
        <w:rPr>
          <w:rFonts w:ascii="仿宋" w:hAnsi="仿宋" w:eastAsia="仿宋"/>
          <w:sz w:val="24"/>
        </w:rPr>
      </w:pPr>
      <w:r>
        <w:rPr>
          <w:rFonts w:hint="eastAsia" w:ascii="仿宋" w:hAnsi="仿宋" w:eastAsia="仿宋"/>
          <w:sz w:val="24"/>
        </w:rPr>
        <w:t xml:space="preserve">第七十七条 供应商有下列行为之一的，属于情节严重，由市场监管部门依法吊销其营业执照，主管部门取消其参与本市政府采购的资格，并作出以下处罚： </w:t>
      </w:r>
    </w:p>
    <w:p>
      <w:pPr>
        <w:spacing w:line="360" w:lineRule="auto"/>
        <w:ind w:firstLine="480" w:firstLineChars="200"/>
        <w:rPr>
          <w:rFonts w:ascii="仿宋" w:hAnsi="仿宋" w:eastAsia="仿宋"/>
          <w:sz w:val="24"/>
        </w:rPr>
      </w:pPr>
      <w:r>
        <w:rPr>
          <w:rFonts w:hint="eastAsia" w:ascii="仿宋" w:hAnsi="仿宋" w:eastAsia="仿宋"/>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spacing w:line="360" w:lineRule="auto"/>
        <w:ind w:firstLine="480" w:firstLineChars="200"/>
        <w:rPr>
          <w:rFonts w:ascii="仿宋" w:hAnsi="仿宋" w:eastAsia="仿宋"/>
          <w:sz w:val="24"/>
        </w:rPr>
      </w:pPr>
      <w:r>
        <w:rPr>
          <w:rFonts w:hint="eastAsia" w:ascii="仿宋" w:hAnsi="仿宋" w:eastAsia="仿宋"/>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spacing w:line="360" w:lineRule="auto"/>
        <w:ind w:firstLine="480" w:firstLineChars="200"/>
        <w:rPr>
          <w:rFonts w:ascii="仿宋" w:hAnsi="仿宋" w:eastAsia="仿宋"/>
          <w:sz w:val="24"/>
        </w:rPr>
      </w:pPr>
      <w:r>
        <w:rPr>
          <w:rFonts w:hint="eastAsia" w:ascii="仿宋" w:hAnsi="仿宋" w:eastAsia="仿宋"/>
          <w:sz w:val="24"/>
        </w:rPr>
        <w:t>第七十九条 供应商有下列情形的，属于采购条例所称的串通投标行为，按照采购条例第五十七条有关规定处理：</w:t>
      </w:r>
    </w:p>
    <w:p>
      <w:pPr>
        <w:spacing w:line="360" w:lineRule="auto"/>
        <w:ind w:firstLine="480" w:firstLineChars="200"/>
        <w:rPr>
          <w:rFonts w:ascii="仿宋" w:hAnsi="仿宋" w:eastAsia="仿宋"/>
          <w:sz w:val="24"/>
        </w:rPr>
      </w:pPr>
      <w:r>
        <w:rPr>
          <w:rFonts w:hint="eastAsia" w:ascii="仿宋" w:hAnsi="仿宋" w:eastAsia="仿宋"/>
          <w:sz w:val="24"/>
        </w:rPr>
        <w:t>（一）投标供应商之间相互约定给予未中标的供应商利益补偿；</w:t>
      </w:r>
    </w:p>
    <w:p>
      <w:pPr>
        <w:spacing w:line="360" w:lineRule="auto"/>
        <w:ind w:firstLine="480" w:firstLineChars="200"/>
        <w:rPr>
          <w:rFonts w:ascii="仿宋" w:hAnsi="仿宋" w:eastAsia="仿宋"/>
          <w:sz w:val="24"/>
        </w:rPr>
      </w:pPr>
      <w:r>
        <w:rPr>
          <w:rFonts w:hint="eastAsia" w:ascii="仿宋" w:hAnsi="仿宋" w:eastAsia="仿宋"/>
          <w:sz w:val="24"/>
        </w:rPr>
        <w:t xml:space="preserve">（二）不同投标供应商的法定代表人、主要经营负责人、项目投标授权代表人、项目负责人、主要技术人员为同一人、属同一单位或者在同一单位缴纳社会保险；          </w:t>
      </w:r>
    </w:p>
    <w:p>
      <w:pPr>
        <w:spacing w:line="360" w:lineRule="auto"/>
        <w:ind w:firstLine="480" w:firstLineChars="200"/>
        <w:rPr>
          <w:rFonts w:ascii="仿宋" w:hAnsi="仿宋" w:eastAsia="仿宋"/>
          <w:sz w:val="24"/>
        </w:rPr>
      </w:pPr>
      <w:r>
        <w:rPr>
          <w:rFonts w:hint="eastAsia" w:ascii="仿宋" w:hAnsi="仿宋" w:eastAsia="仿宋"/>
          <w:sz w:val="24"/>
        </w:rPr>
        <w:t>（三）不同投标供应商的投标文件由同一单位或者同一人编制，或者由同一人分阶段参与编制的；</w:t>
      </w:r>
    </w:p>
    <w:p>
      <w:pPr>
        <w:spacing w:line="360" w:lineRule="auto"/>
        <w:ind w:firstLine="480" w:firstLineChars="200"/>
        <w:rPr>
          <w:rFonts w:ascii="仿宋" w:hAnsi="仿宋" w:eastAsia="仿宋"/>
          <w:sz w:val="24"/>
        </w:rPr>
      </w:pPr>
      <w:r>
        <w:rPr>
          <w:rFonts w:hint="eastAsia" w:ascii="仿宋" w:hAnsi="仿宋" w:eastAsia="仿宋"/>
          <w:sz w:val="24"/>
        </w:rPr>
        <w:t>（四）不同投标供应商的投标文件或部分投标文件相互混装；</w:t>
      </w:r>
    </w:p>
    <w:p>
      <w:pPr>
        <w:spacing w:line="360" w:lineRule="auto"/>
        <w:ind w:firstLine="480" w:firstLineChars="200"/>
        <w:rPr>
          <w:rFonts w:ascii="仿宋" w:hAnsi="仿宋" w:eastAsia="仿宋"/>
          <w:sz w:val="24"/>
        </w:rPr>
      </w:pPr>
      <w:r>
        <w:rPr>
          <w:rFonts w:hint="eastAsia" w:ascii="仿宋" w:hAnsi="仿宋" w:eastAsia="仿宋"/>
          <w:sz w:val="24"/>
        </w:rPr>
        <w:t>（五）不同投标供应商的投标文件内容存在非正常一致；</w:t>
      </w:r>
    </w:p>
    <w:p>
      <w:pPr>
        <w:spacing w:line="360" w:lineRule="auto"/>
        <w:ind w:firstLine="480" w:firstLineChars="200"/>
        <w:rPr>
          <w:rFonts w:ascii="仿宋" w:hAnsi="仿宋" w:eastAsia="仿宋"/>
          <w:sz w:val="24"/>
        </w:rPr>
      </w:pPr>
      <w:r>
        <w:rPr>
          <w:rFonts w:hint="eastAsia" w:ascii="仿宋" w:hAnsi="仿宋" w:eastAsia="仿宋"/>
          <w:sz w:val="24"/>
        </w:rPr>
        <w:t>（六）由同一单位工作人员为两家以上（含两家）供应商进行同一项投标活动的；</w:t>
      </w:r>
    </w:p>
    <w:p>
      <w:pPr>
        <w:spacing w:line="360" w:lineRule="auto"/>
        <w:ind w:firstLine="480" w:firstLineChars="200"/>
        <w:rPr>
          <w:rFonts w:ascii="仿宋" w:hAnsi="仿宋" w:eastAsia="仿宋"/>
          <w:sz w:val="24"/>
        </w:rPr>
      </w:pPr>
      <w:r>
        <w:rPr>
          <w:rFonts w:hint="eastAsia" w:ascii="仿宋" w:hAnsi="仿宋" w:eastAsia="仿宋"/>
          <w:sz w:val="24"/>
        </w:rPr>
        <w:t>（七）主管部门依照法律、法规认定的其他情形。</w:t>
      </w:r>
    </w:p>
    <w:p>
      <w:pPr>
        <w:spacing w:line="360" w:lineRule="auto"/>
        <w:ind w:firstLine="480" w:firstLineChars="200"/>
        <w:rPr>
          <w:rFonts w:ascii="仿宋" w:hAnsi="仿宋" w:eastAsia="仿宋"/>
          <w:sz w:val="24"/>
        </w:rPr>
      </w:pPr>
      <w:r>
        <w:rPr>
          <w:rFonts w:hint="eastAsia" w:ascii="仿宋" w:hAnsi="仿宋" w:eastAsia="仿宋"/>
          <w:sz w:val="24"/>
        </w:rPr>
        <w:t>第八十一条 供应商有下列情形之一的，属于隐瞒真实情况，提供虚假资料，按照采购条例第五十七的有关规定处理：</w:t>
      </w:r>
    </w:p>
    <w:p>
      <w:pPr>
        <w:spacing w:line="360" w:lineRule="auto"/>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pPr>
        <w:spacing w:line="360" w:lineRule="auto"/>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pPr>
        <w:spacing w:line="360" w:lineRule="auto"/>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pPr>
        <w:spacing w:line="360" w:lineRule="auto"/>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pPr>
        <w:spacing w:line="360" w:lineRule="auto"/>
        <w:ind w:firstLine="480" w:firstLineChars="200"/>
        <w:rPr>
          <w:rFonts w:ascii="仿宋" w:hAnsi="仿宋" w:eastAsia="仿宋"/>
          <w:sz w:val="24"/>
        </w:rPr>
      </w:pPr>
      <w:r>
        <w:rPr>
          <w:rFonts w:hint="eastAsia" w:ascii="仿宋" w:hAnsi="仿宋" w:eastAsia="仿宋"/>
          <w:sz w:val="24"/>
        </w:rPr>
        <w:t>（五）其他隐瞒真实情况、提供虚假资料的行为。</w:t>
      </w:r>
    </w:p>
    <w:p>
      <w:pPr>
        <w:spacing w:line="360" w:lineRule="auto"/>
        <w:ind w:firstLine="480" w:firstLineChars="200"/>
      </w:pPr>
      <w:r>
        <w:rPr>
          <w:rFonts w:hint="eastAsia" w:ascii="仿宋" w:hAnsi="仿宋" w:eastAsia="仿宋"/>
          <w:sz w:val="24"/>
        </w:rPr>
        <w:t>投标供应商不能提供项目负责人或者主要技术人员的劳动合同、社会保险等劳动关系证明材料的，视为存在前款第（三）项规定的情形。</w:t>
      </w:r>
      <w:r>
        <w:rPr>
          <w:rFonts w:hint="eastAsia" w:ascii="仿宋" w:hAnsi="仿宋" w:eastAsia="仿宋"/>
          <w:sz w:val="24"/>
        </w:rPr>
        <w:cr/>
      </w:r>
    </w:p>
    <w:sdt>
      <w:sdtPr>
        <w:rPr>
          <w:rFonts w:ascii="Times New Roman" w:hAnsi="Times New Roman" w:eastAsia="宋体" w:cs="Times New Roman"/>
          <w:b w:val="0"/>
          <w:bCs w:val="0"/>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color w:val="auto"/>
          <w:kern w:val="2"/>
          <w:sz w:val="21"/>
          <w:szCs w:val="24"/>
          <w:lang w:val="en-US"/>
        </w:rPr>
      </w:sdtEndPr>
      <w:sdtContent>
        <w:p>
          <w:pPr>
            <w:pStyle w:val="504"/>
            <w:jc w:val="center"/>
            <w:rPr>
              <w:color w:val="auto"/>
              <w:lang w:val="zh-CN"/>
            </w:rPr>
          </w:pPr>
          <w:r>
            <w:rPr>
              <w:color w:val="auto"/>
              <w:lang w:val="zh-CN"/>
            </w:rPr>
            <w:t>目录</w:t>
          </w:r>
        </w:p>
        <w:p>
          <w:pPr>
            <w:rPr>
              <w:lang w:val="zh-CN"/>
            </w:rPr>
          </w:pPr>
        </w:p>
        <w:p>
          <w:pPr>
            <w:pStyle w:val="34"/>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TOC \o "1-3" \h \z \u </w:instrText>
          </w:r>
          <w:r>
            <w:fldChar w:fldCharType="separate"/>
          </w:r>
          <w:r>
            <w:fldChar w:fldCharType="begin"/>
          </w:r>
          <w:r>
            <w:instrText xml:space="preserve"> HYPERLINK \l "_Toc73610135"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_Toc73610135 \h </w:instrText>
          </w:r>
          <w:r>
            <w:rPr>
              <w:rFonts w:hint="eastAsia" w:ascii="仿宋_GB2312" w:eastAsia="仿宋_GB2312"/>
              <w:sz w:val="24"/>
            </w:rPr>
            <w:fldChar w:fldCharType="separate"/>
          </w:r>
          <w:r>
            <w:rPr>
              <w:rFonts w:hint="eastAsia" w:ascii="仿宋_GB2312" w:eastAsia="仿宋_GB2312"/>
              <w:sz w:val="24"/>
            </w:rPr>
            <w:t>6</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"_Toc73610136"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_Toc73610136 \h </w:instrText>
          </w:r>
          <w:r>
            <w:rPr>
              <w:rFonts w:hint="eastAsia" w:ascii="仿宋_GB2312" w:eastAsia="仿宋_GB2312"/>
              <w:sz w:val="24"/>
            </w:rPr>
            <w:fldChar w:fldCharType="separate"/>
          </w:r>
          <w:r>
            <w:rPr>
              <w:rFonts w:hint="eastAsia" w:ascii="仿宋_GB2312" w:eastAsia="仿宋_GB2312"/>
              <w:sz w:val="24"/>
            </w:rPr>
            <w:t>9</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"_Toc73610140"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_Toc73610140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"_Toc73610141"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_Toc73610141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"_Toc73610142"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_Toc73610142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"_Toc73610143"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_Toc73610143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"_Toc73610144"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_Toc73610144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pPr>
            <w:pStyle w:val="25"/>
            <w:tabs>
              <w:tab w:val="right" w:leader="dot" w:pos="9628"/>
            </w:tabs>
            <w:spacing w:line="380" w:lineRule="exact"/>
            <w:rPr>
              <w:rFonts w:ascii="仿宋_GB2312" w:eastAsia="仿宋_GB2312" w:hAnsiTheme="minorHAnsi" w:cstheme="minorBidi"/>
              <w:iCs w:val="0"/>
              <w:sz w:val="24"/>
            </w:rPr>
          </w:pPr>
          <w:r>
            <w:fldChar w:fldCharType="begin"/>
          </w:r>
          <w:r>
            <w:instrText xml:space="preserve"> HYPERLINK \l "_Toc73610145"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_Toc73610145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pPr>
            <w:pStyle w:val="25"/>
            <w:tabs>
              <w:tab w:val="right" w:leader="dot" w:pos="9628"/>
            </w:tabs>
            <w:spacing w:line="380" w:lineRule="exact"/>
            <w:rPr>
              <w:rFonts w:ascii="仿宋_GB2312" w:eastAsia="仿宋_GB2312" w:hAnsiTheme="minorHAnsi" w:cstheme="minorBidi"/>
              <w:iCs w:val="0"/>
              <w:sz w:val="24"/>
            </w:rPr>
          </w:pPr>
          <w:r>
            <w:fldChar w:fldCharType="begin"/>
          </w:r>
          <w:r>
            <w:instrText xml:space="preserve"> HYPERLINK \l "_Toc73610146" </w:instrText>
          </w:r>
          <w:r>
            <w:fldChar w:fldCharType="separate"/>
          </w:r>
          <w:r>
            <w:rPr>
              <w:rStyle w:val="57"/>
              <w:rFonts w:hint="eastAsia" w:ascii="仿宋_GB2312" w:eastAsia="仿宋_GB2312" w:hAnsiTheme="minorEastAsia"/>
              <w:sz w:val="24"/>
            </w:rPr>
            <w:t>2、政府采购优惠政策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_Toc73610146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"_Toc73610147"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_Toc73610147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"_Toc73610148"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_Toc73610148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"_Toc73610149"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_Toc73610149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"_Toc73610150"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_Toc73610150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"_Toc73610151"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_Toc73610151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"_Toc73610152"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_Toc73610152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"_Toc73610153"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_Toc73610153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"_Toc73610154"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_Toc73610154 \h </w:instrText>
          </w:r>
          <w:r>
            <w:rPr>
              <w:rFonts w:hint="eastAsia" w:ascii="仿宋_GB2312" w:eastAsia="仿宋_GB2312"/>
              <w:sz w:val="24"/>
            </w:rPr>
            <w:fldChar w:fldCharType="separate"/>
          </w:r>
          <w:r>
            <w:rPr>
              <w:rFonts w:hint="eastAsia" w:ascii="仿宋_GB2312" w:eastAsia="仿宋_GB2312"/>
              <w:sz w:val="24"/>
            </w:rPr>
            <w:t>29</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"_Toc73610155"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_Toc73610155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"_Toc73610156"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_Toc73610156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"_Toc73610157"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_Toc73610157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"_Toc73610160"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_Toc73610160 \h </w:instrText>
          </w:r>
          <w:r>
            <w:rPr>
              <w:rFonts w:hint="eastAsia" w:ascii="仿宋_GB2312" w:eastAsia="仿宋_GB2312"/>
              <w:sz w:val="24"/>
            </w:rPr>
            <w:fldChar w:fldCharType="separate"/>
          </w:r>
          <w:r>
            <w:rPr>
              <w:rFonts w:hint="eastAsia" w:ascii="仿宋_GB2312" w:eastAsia="仿宋_GB2312"/>
              <w:sz w:val="24"/>
            </w:rPr>
            <w:t>57</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"_Toc73610161"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_Toc73610161 \h </w:instrText>
          </w:r>
          <w:r>
            <w:rPr>
              <w:rFonts w:hint="eastAsia" w:ascii="仿宋_GB2312" w:eastAsia="仿宋_GB2312"/>
              <w:sz w:val="24"/>
            </w:rPr>
            <w:fldChar w:fldCharType="separate"/>
          </w:r>
          <w:r>
            <w:rPr>
              <w:rFonts w:hint="eastAsia" w:ascii="仿宋_GB2312" w:eastAsia="仿宋_GB2312"/>
              <w:sz w:val="24"/>
            </w:rPr>
            <w:t>61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iCs/>
              <w:sz w:val="24"/>
            </w:rPr>
          </w:pPr>
          <w:r>
            <w:fldChar w:fldCharType="begin"/>
          </w:r>
          <w:r>
            <w:instrText xml:space="preserve"> HYPERLINK \l "_Toc73610162"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_Toc73610162 \h </w:instrText>
          </w:r>
          <w:r>
            <w:rPr>
              <w:rFonts w:hint="eastAsia" w:ascii="仿宋_GB2312" w:eastAsia="仿宋_GB2312"/>
              <w:sz w:val="24"/>
            </w:rPr>
            <w:fldChar w:fldCharType="separate"/>
          </w:r>
          <w:r>
            <w:rPr>
              <w:rFonts w:hint="eastAsia" w:ascii="仿宋_GB2312" w:eastAsia="仿宋_GB2312"/>
              <w:sz w:val="24"/>
            </w:rPr>
            <w:t>61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iCs/>
              <w:sz w:val="24"/>
            </w:rPr>
          </w:pPr>
          <w:r>
            <w:fldChar w:fldCharType="begin"/>
          </w:r>
          <w:r>
            <w:instrText xml:space="preserve"> HYPERLINK \l "_Toc73610163"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_Toc73610163 \h </w:instrText>
          </w:r>
          <w:r>
            <w:rPr>
              <w:rFonts w:hint="eastAsia" w:ascii="仿宋_GB2312" w:eastAsia="仿宋_GB2312"/>
              <w:sz w:val="24"/>
            </w:rPr>
            <w:fldChar w:fldCharType="separate"/>
          </w:r>
          <w:r>
            <w:rPr>
              <w:rFonts w:hint="eastAsia" w:ascii="仿宋_GB2312" w:eastAsia="仿宋_GB2312"/>
              <w:sz w:val="24"/>
            </w:rPr>
            <w:t>65</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iCs/>
              <w:sz w:val="24"/>
            </w:rPr>
          </w:pPr>
          <w:r>
            <w:fldChar w:fldCharType="begin"/>
          </w:r>
          <w:r>
            <w:instrText xml:space="preserve"> HYPERLINK \l "_Toc73610164" </w:instrText>
          </w:r>
          <w:r>
            <w:fldChar w:fldCharType="separate"/>
          </w:r>
          <w:r>
            <w:rPr>
              <w:rStyle w:val="57"/>
              <w:rFonts w:hint="eastAsia" w:ascii="仿宋_GB2312" w:eastAsia="仿宋_GB2312" w:hAnsiTheme="minorEastAsia"/>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_Toc73610164 \h </w:instrText>
          </w:r>
          <w:r>
            <w:rPr>
              <w:rFonts w:hint="eastAsia" w:ascii="仿宋_GB2312" w:eastAsia="仿宋_GB2312"/>
              <w:sz w:val="24"/>
            </w:rPr>
            <w:fldChar w:fldCharType="separate"/>
          </w:r>
          <w:r>
            <w:rPr>
              <w:rFonts w:hint="eastAsia" w:ascii="仿宋_GB2312" w:eastAsia="仿宋_GB2312"/>
              <w:sz w:val="24"/>
            </w:rPr>
            <w:t>68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Theme="minorHAnsi" w:hAnsiTheme="minorHAnsi" w:eastAsiaTheme="minorEastAsia" w:cstheme="minorBidi"/>
              <w:iCs/>
              <w:szCs w:val="22"/>
            </w:rPr>
          </w:pPr>
          <w:r>
            <w:fldChar w:fldCharType="begin"/>
          </w:r>
          <w:r>
            <w:instrText xml:space="preserve"> HYPERLINK \l "_Toc73610165"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_Toc73610165 \h </w:instrText>
          </w:r>
          <w:r>
            <w:rPr>
              <w:rFonts w:hint="eastAsia" w:ascii="仿宋_GB2312" w:eastAsia="仿宋_GB2312"/>
              <w:sz w:val="24"/>
            </w:rPr>
            <w:fldChar w:fldCharType="separate"/>
          </w:r>
          <w:r>
            <w:rPr>
              <w:rFonts w:hint="eastAsia" w:ascii="仿宋_GB2312" w:eastAsia="仿宋_GB2312"/>
              <w:sz w:val="24"/>
            </w:rPr>
            <w:t>71</w:t>
          </w:r>
          <w:r>
            <w:rPr>
              <w:rFonts w:hint="eastAsia" w:ascii="仿宋_GB2312" w:eastAsia="仿宋_GB2312"/>
              <w:sz w:val="24"/>
            </w:rPr>
            <w:fldChar w:fldCharType="end"/>
          </w:r>
          <w:r>
            <w:rPr>
              <w:rFonts w:hint="eastAsia" w:ascii="仿宋_GB2312" w:eastAsia="仿宋_GB2312"/>
              <w:sz w:val="24"/>
            </w:rPr>
            <w:fldChar w:fldCharType="end"/>
          </w:r>
        </w:p>
        <w:p>
          <w:r>
            <w:fldChar w:fldCharType="end"/>
          </w:r>
        </w:p>
      </w:sdtContent>
    </w:sdt>
    <w:p>
      <w:pPr>
        <w:widowControl/>
        <w:jc w:val="left"/>
      </w:pPr>
      <w:r>
        <w:br w:type="page"/>
      </w:r>
    </w:p>
    <w:p>
      <w:pPr>
        <w:pStyle w:val="2"/>
        <w:jc w:val="center"/>
      </w:pPr>
      <w:bookmarkStart w:id="0" w:name="_Toc73610135"/>
      <w:r>
        <w:rPr>
          <w:rFonts w:hint="eastAsia"/>
        </w:rPr>
        <w:t>第一章  投标邀请</w:t>
      </w:r>
      <w:bookmarkEnd w:id="0"/>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阴道显微镜采购项目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2021年</w:t>
      </w:r>
      <w:r>
        <w:rPr>
          <w:rFonts w:hint="eastAsia" w:ascii="宋体" w:hAnsi="宋体" w:cs="Arial Unicode MS"/>
          <w:snapToGrid w:val="0"/>
          <w:kern w:val="0"/>
          <w:szCs w:val="21"/>
          <w:u w:val="single"/>
          <w:lang w:val="en-US" w:eastAsia="zh-CN"/>
        </w:rPr>
        <w:t>10</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13</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pPr>
        <w:adjustRightInd w:val="0"/>
        <w:snapToGrid w:val="0"/>
        <w:spacing w:line="360" w:lineRule="auto"/>
        <w:ind w:firstLine="420" w:firstLineChars="200"/>
        <w:jc w:val="left"/>
        <w:rPr>
          <w:rFonts w:ascii="宋体" w:hAnsi="宋体" w:cs="Arial Unicode MS"/>
          <w:snapToGrid w:val="0"/>
          <w:kern w:val="0"/>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pPr>
        <w:pStyle w:val="453"/>
        <w:adjustRightInd w:val="0"/>
        <w:snapToGrid w:val="0"/>
        <w:spacing w:before="0" w:beforeAutospacing="0" w:after="0" w:afterAutospacing="0" w:line="360" w:lineRule="auto"/>
        <w:ind w:left="359" w:leftChars="171" w:firstLine="65" w:firstLineChars="31"/>
        <w:rPr>
          <w:rFonts w:ascii="宋体" w:hAnsi="宋体" w:eastAsiaTheme="minorEastAsia"/>
          <w:b/>
          <w:snapToGrid w:val="0"/>
          <w:color w:val="auto"/>
          <w:sz w:val="21"/>
          <w:szCs w:val="21"/>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rPr>
        <w:t>SZZZ2021-QA0210</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2、项目名称：阴道显微镜采购项目</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u w:val="single"/>
        </w:rPr>
        <w:t>50</w:t>
      </w:r>
      <w:r>
        <w:rPr>
          <w:rFonts w:hint="eastAsia" w:ascii="宋体" w:hAnsi="宋体" w:eastAsia="宋体"/>
          <w:snapToGrid w:val="0"/>
          <w:color w:val="auto"/>
          <w:sz w:val="21"/>
          <w:szCs w:val="21"/>
        </w:rPr>
        <w:t>万元</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u w:val="single"/>
          <w:lang w:val="en-US" w:eastAsia="zh-CN"/>
        </w:rPr>
        <w:t>47</w:t>
      </w:r>
      <w:r>
        <w:rPr>
          <w:rFonts w:hint="eastAsia" w:ascii="宋体" w:hAnsi="宋体" w:eastAsia="宋体"/>
          <w:snapToGrid w:val="0"/>
          <w:color w:val="auto"/>
          <w:sz w:val="21"/>
          <w:szCs w:val="21"/>
        </w:rPr>
        <w:t>万元</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637"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97"/>
        <w:gridCol w:w="1338"/>
        <w:gridCol w:w="656"/>
        <w:gridCol w:w="672"/>
        <w:gridCol w:w="5157"/>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368" w:hRule="atLeast"/>
        </w:trPr>
        <w:tc>
          <w:tcPr>
            <w:tcW w:w="697" w:type="dxa"/>
            <w:shd w:val="clear" w:color="auto" w:fill="ABCDEF"/>
            <w:vAlign w:val="center"/>
          </w:tcPr>
          <w:p>
            <w:pPr>
              <w:pStyle w:val="45"/>
              <w:spacing w:before="0" w:beforeAutospacing="0" w:after="0" w:afterAutospacing="0" w:line="360" w:lineRule="auto"/>
              <w:jc w:val="center"/>
              <w:rPr>
                <w:sz w:val="21"/>
              </w:rPr>
            </w:pPr>
            <w:r>
              <w:rPr>
                <w:rFonts w:hint="eastAsia"/>
                <w:sz w:val="21"/>
              </w:rPr>
              <w:t>序号</w:t>
            </w:r>
          </w:p>
        </w:tc>
        <w:tc>
          <w:tcPr>
            <w:tcW w:w="1338" w:type="dxa"/>
            <w:shd w:val="clear" w:color="auto" w:fill="ABCDEF"/>
            <w:vAlign w:val="center"/>
          </w:tcPr>
          <w:p>
            <w:pPr>
              <w:pStyle w:val="45"/>
              <w:spacing w:line="360" w:lineRule="auto"/>
              <w:jc w:val="center"/>
              <w:rPr>
                <w:sz w:val="21"/>
              </w:rPr>
            </w:pPr>
            <w:r>
              <w:rPr>
                <w:sz w:val="21"/>
              </w:rPr>
              <w:t>标的名称</w:t>
            </w:r>
          </w:p>
        </w:tc>
        <w:tc>
          <w:tcPr>
            <w:tcW w:w="656" w:type="dxa"/>
            <w:shd w:val="clear" w:color="auto" w:fill="ABCDEF"/>
            <w:vAlign w:val="center"/>
          </w:tcPr>
          <w:p>
            <w:pPr>
              <w:pStyle w:val="45"/>
              <w:spacing w:before="0" w:beforeAutospacing="0" w:after="0" w:afterAutospacing="0" w:line="360" w:lineRule="auto"/>
              <w:jc w:val="center"/>
              <w:rPr>
                <w:sz w:val="21"/>
              </w:rPr>
            </w:pPr>
            <w:r>
              <w:rPr>
                <w:sz w:val="21"/>
              </w:rPr>
              <w:t>数量</w:t>
            </w:r>
          </w:p>
        </w:tc>
        <w:tc>
          <w:tcPr>
            <w:tcW w:w="672" w:type="dxa"/>
            <w:shd w:val="clear" w:color="auto" w:fill="ABCDEF"/>
            <w:vAlign w:val="center"/>
          </w:tcPr>
          <w:p>
            <w:pPr>
              <w:pStyle w:val="45"/>
              <w:spacing w:before="0" w:beforeAutospacing="0" w:after="0" w:afterAutospacing="0" w:line="360" w:lineRule="auto"/>
              <w:jc w:val="center"/>
              <w:rPr>
                <w:sz w:val="21"/>
              </w:rPr>
            </w:pPr>
            <w:r>
              <w:rPr>
                <w:sz w:val="21"/>
              </w:rPr>
              <w:t>单位</w:t>
            </w:r>
          </w:p>
        </w:tc>
        <w:tc>
          <w:tcPr>
            <w:tcW w:w="5157" w:type="dxa"/>
            <w:shd w:val="clear" w:color="auto" w:fill="ABCDEF"/>
            <w:vAlign w:val="center"/>
          </w:tcPr>
          <w:p>
            <w:pPr>
              <w:pStyle w:val="45"/>
              <w:spacing w:before="0" w:beforeAutospacing="0" w:after="0" w:afterAutospacing="0" w:line="360" w:lineRule="auto"/>
              <w:jc w:val="center"/>
              <w:rPr>
                <w:sz w:val="21"/>
              </w:rPr>
            </w:pPr>
            <w:r>
              <w:rPr>
                <w:rFonts w:hint="eastAsia"/>
                <w:sz w:val="21"/>
              </w:rPr>
              <w:t>简要技术需求或服务要求</w:t>
            </w:r>
          </w:p>
        </w:tc>
        <w:tc>
          <w:tcPr>
            <w:tcW w:w="1117" w:type="dxa"/>
            <w:shd w:val="clear" w:color="auto" w:fill="ABCDEF"/>
            <w:vAlign w:val="center"/>
          </w:tcPr>
          <w:p>
            <w:pPr>
              <w:pStyle w:val="45"/>
              <w:spacing w:before="0" w:beforeAutospacing="0" w:after="0" w:afterAutospacing="0" w:line="360" w:lineRule="auto"/>
              <w:jc w:val="center"/>
              <w:rPr>
                <w:sz w:val="21"/>
              </w:rPr>
            </w:pPr>
            <w:r>
              <w:rPr>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1210" w:hRule="atLeast"/>
        </w:trPr>
        <w:tc>
          <w:tcPr>
            <w:tcW w:w="697"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1338" w:type="dxa"/>
            <w:shd w:val="clear" w:color="auto" w:fill="auto"/>
            <w:vAlign w:val="center"/>
          </w:tcPr>
          <w:p>
            <w:pPr>
              <w:pStyle w:val="45"/>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阴道显微镜</w:t>
            </w:r>
          </w:p>
        </w:tc>
        <w:tc>
          <w:tcPr>
            <w:tcW w:w="656"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eastAsiaTheme="minorEastAsia"/>
                <w:sz w:val="21"/>
                <w:szCs w:val="21"/>
              </w:rPr>
              <w:t>1</w:t>
            </w:r>
          </w:p>
        </w:tc>
        <w:tc>
          <w:tcPr>
            <w:tcW w:w="672"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eastAsiaTheme="minorEastAsia"/>
                <w:sz w:val="21"/>
                <w:szCs w:val="21"/>
              </w:rPr>
              <w:t>套</w:t>
            </w:r>
          </w:p>
        </w:tc>
        <w:tc>
          <w:tcPr>
            <w:tcW w:w="5157" w:type="dxa"/>
            <w:shd w:val="clear" w:color="auto" w:fill="auto"/>
            <w:vAlign w:val="center"/>
          </w:tcPr>
          <w:p>
            <w:pPr>
              <w:pStyle w:val="45"/>
              <w:spacing w:line="360" w:lineRule="auto"/>
              <w:rPr>
                <w:rFonts w:asciiTheme="minorEastAsia" w:hAnsiTheme="minorEastAsia" w:eastAsiaTheme="minorEastAsia"/>
                <w:sz w:val="21"/>
              </w:rPr>
            </w:pPr>
            <w:r>
              <w:rPr>
                <w:rFonts w:hint="eastAsia" w:asciiTheme="minorEastAsia" w:hAnsiTheme="minorEastAsia" w:eastAsiaTheme="minorEastAsia"/>
                <w:sz w:val="21"/>
              </w:rPr>
              <w:t>针对女性的宫颈、阴道和外阴的非接触性观察和影像记录，并通过软件实现对记录图像和数据的管理、查看、传输、储存和打印。</w:t>
            </w:r>
          </w:p>
        </w:tc>
        <w:tc>
          <w:tcPr>
            <w:tcW w:w="1117" w:type="dxa"/>
            <w:shd w:val="clear" w:color="auto" w:fill="auto"/>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接受进口</w:t>
            </w:r>
          </w:p>
        </w:tc>
      </w:tr>
    </w:tbl>
    <w:p>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7、合同履行期限：签订合同后30（天）日历日内。</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（1）参与本项目投标前三年内，在经营活动中没有重大违法记录（须按本项目投标文件格式要求提供《政府采购投标及履约承诺函》加盖投标人公章）；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单位负责人为同一人或者存在直接控股、管理关系的不同供应商，不得参加同一合同项下的政府采购活动（须按本项目投标文件格式要求提供《股东构成审查表》和《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投标人未被列入失信被执行人、重大税收违法案件当事人名单及政府采购严重违法失信行为记录名单（“信用中国”（www.creditchina.gov.cn）“信用服务”栏的“重大税收违法案件当事人名单”、“失信被执行人”，“中国政府采购”（www.ccgp.gov.cn）“政府采购严重违法失信行为记录名单”，“深圳信用网”（www.szcredit.com.cn）以及“深圳市政府采购监管网”（zfcg.sz.gov.cn）为投标人信用信息查询渠道，相关信息以开标当日的查询结果为准。由招标代理机构查询，投标人无需提供证明材料）；</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（6）本项目不接受联合体投标，不允许分包或转包；</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（7）本项目接受进口产品但不排斥国产产品参与投标（进口产品是指通过中国海关报关验放进入中国境内且产自关境外的产品，相关内容以“财库【2007】119号文”和“财办库【2008】248号文”的相关规定为准）。</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2021年</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28</w:t>
      </w:r>
      <w:r>
        <w:rPr>
          <w:rFonts w:hint="eastAsia" w:ascii="宋体" w:hAnsi="宋体" w:eastAsia="宋体"/>
          <w:snapToGrid w:val="0"/>
          <w:color w:val="auto"/>
          <w:sz w:val="21"/>
          <w:szCs w:val="21"/>
          <w:u w:val="single"/>
        </w:rPr>
        <w:t>日至2021年</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11</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 xml:space="preserve">深圳市福田区民田路171号新华保险大厦903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3、方式：</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（1）现场获取：投标人按以上时间和地点在我司现场报名和获取招标文件。</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（2）线上获取：投标人通过邮件报名及获取招标文件，报名时间以我司邮箱收件时间为准（我司邮箱：qtszzzzb@163.com），逾期不予受理。</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 xml:space="preserve">现场及线上报名均需提供以下资料: </w:t>
      </w:r>
      <w:r>
        <w:rPr>
          <w:rFonts w:ascii="宋体" w:hAnsi="宋体" w:eastAsia="宋体"/>
          <w:snapToGrid w:val="0"/>
          <w:color w:val="auto"/>
          <w:sz w:val="21"/>
          <w:szCs w:val="21"/>
        </w:rPr>
        <w:fldChar w:fldCharType="begin"/>
      </w:r>
      <w:r>
        <w:rPr>
          <w:rFonts w:hint="eastAsia" w:ascii="宋体" w:hAnsi="宋体" w:eastAsia="宋体"/>
          <w:snapToGrid w:val="0"/>
          <w:color w:val="auto"/>
          <w:sz w:val="21"/>
          <w:szCs w:val="21"/>
        </w:rPr>
        <w:instrText xml:space="preserve">= 1 \* GB3</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①</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加盖公章的《购买标书登记表》（下载地址：www.szzzt.com 首页“下载中心”）；</w:t>
      </w:r>
      <w:r>
        <w:rPr>
          <w:rFonts w:ascii="宋体" w:hAnsi="宋体" w:eastAsia="宋体"/>
          <w:snapToGrid w:val="0"/>
          <w:color w:val="auto"/>
          <w:sz w:val="21"/>
          <w:szCs w:val="21"/>
        </w:rPr>
        <w:fldChar w:fldCharType="begin"/>
      </w:r>
      <w:r>
        <w:rPr>
          <w:rFonts w:hint="eastAsia" w:ascii="宋体" w:hAnsi="宋体" w:eastAsia="宋体"/>
          <w:snapToGrid w:val="0"/>
          <w:color w:val="auto"/>
          <w:sz w:val="21"/>
          <w:szCs w:val="21"/>
        </w:rPr>
        <w:instrText xml:space="preserve">= 2 \* GB3</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②</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加盖公章的营业执照复印件或扫描件；</w:t>
      </w:r>
      <w:r>
        <w:rPr>
          <w:rFonts w:ascii="宋体" w:hAnsi="宋体" w:eastAsia="宋体"/>
          <w:snapToGrid w:val="0"/>
          <w:color w:val="auto"/>
          <w:sz w:val="21"/>
          <w:szCs w:val="21"/>
        </w:rPr>
        <w:fldChar w:fldCharType="begin"/>
      </w:r>
      <w:r>
        <w:rPr>
          <w:rFonts w:hint="eastAsia" w:ascii="宋体" w:hAnsi="宋体" w:eastAsia="宋体"/>
          <w:snapToGrid w:val="0"/>
          <w:color w:val="auto"/>
          <w:sz w:val="21"/>
          <w:szCs w:val="21"/>
        </w:rPr>
        <w:instrText xml:space="preserve">= 3 \* GB3</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③</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加盖公章的法人授权委托书复印件或扫描件；</w:t>
      </w:r>
      <w:r>
        <w:rPr>
          <w:rFonts w:ascii="宋体" w:hAnsi="宋体" w:eastAsia="宋体"/>
          <w:snapToGrid w:val="0"/>
          <w:color w:val="auto"/>
          <w:sz w:val="21"/>
          <w:szCs w:val="21"/>
        </w:rPr>
        <w:fldChar w:fldCharType="begin"/>
      </w:r>
      <w:r>
        <w:rPr>
          <w:rFonts w:hint="eastAsia" w:ascii="宋体" w:hAnsi="宋体" w:eastAsia="宋体"/>
          <w:snapToGrid w:val="0"/>
          <w:color w:val="auto"/>
          <w:sz w:val="21"/>
          <w:szCs w:val="21"/>
        </w:rPr>
        <w:instrText xml:space="preserve">= 4 \* GB3</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④</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购买招标文件费用的银行转账凭证。</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开户银行：上海银行深圳分行天安支行</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2021年</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13</w:t>
      </w:r>
      <w:r>
        <w:rPr>
          <w:rFonts w:hint="eastAsia" w:ascii="宋体" w:hAnsi="宋体" w:eastAsia="宋体"/>
          <w:snapToGrid w:val="0"/>
          <w:color w:val="auto"/>
          <w:sz w:val="21"/>
          <w:szCs w:val="21"/>
          <w:u w:val="single"/>
        </w:rPr>
        <w:t>日14点30分（北京时间）</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pPr>
        <w:pStyle w:val="453"/>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rPr>
      </w:pPr>
      <w:r>
        <w:rPr>
          <w:rFonts w:hint="eastAsia" w:ascii="宋体" w:hAnsi="宋体" w:eastAsia="宋体"/>
          <w:b/>
          <w:snapToGrid w:val="0"/>
          <w:color w:val="auto"/>
          <w:sz w:val="21"/>
          <w:szCs w:val="21"/>
        </w:rPr>
        <w:t>1、凡参与深圳市政府采购活动的供应商，应自行在深圳公共资源交易中心网站上办理注册（注册网址：</w:t>
      </w:r>
      <w:r>
        <w:rPr>
          <w:rFonts w:asciiTheme="minorEastAsia" w:hAnsiTheme="minorEastAsia" w:eastAsiaTheme="minorEastAsia"/>
          <w:b/>
          <w:snapToGrid w:val="0"/>
          <w:color w:val="auto"/>
          <w:sz w:val="21"/>
        </w:rPr>
        <w:t>www.szzfcg.cn</w:t>
      </w:r>
      <w:r>
        <w:rPr>
          <w:rFonts w:hint="eastAsia" w:ascii="宋体" w:hAnsi="宋体" w:eastAsia="宋体"/>
          <w:b/>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2、本项目需要落实的政府采购政策：《财政部 工业和信息化部关于印发&lt;政府采购促进中小企业发展管理办法&gt;的通知》(财库〔2020〕46号)、《关于政府采购支持监狱企业发展有关问题的通知》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、《关于环境标志产品政府采购实施的意见》（财库〔</w:t>
      </w:r>
      <w:r>
        <w:rPr>
          <w:rFonts w:ascii="宋体" w:hAnsi="宋体" w:eastAsia="宋体"/>
          <w:snapToGrid w:val="0"/>
          <w:color w:val="auto"/>
          <w:sz w:val="21"/>
          <w:szCs w:val="21"/>
        </w:rPr>
        <w:t>2006</w:t>
      </w:r>
      <w:r>
        <w:rPr>
          <w:rFonts w:hint="eastAsia" w:ascii="宋体" w:hAnsi="宋体" w:eastAsia="宋体"/>
          <w:snapToGrid w:val="0"/>
          <w:color w:val="auto"/>
          <w:sz w:val="21"/>
          <w:szCs w:val="21"/>
        </w:rPr>
        <w:t>〕</w:t>
      </w:r>
      <w:r>
        <w:rPr>
          <w:rFonts w:ascii="宋体" w:hAnsi="宋体" w:eastAsia="宋体"/>
          <w:snapToGrid w:val="0"/>
          <w:color w:val="auto"/>
          <w:sz w:val="21"/>
          <w:szCs w:val="21"/>
        </w:rPr>
        <w:t>90</w:t>
      </w:r>
      <w:r>
        <w:rPr>
          <w:rFonts w:hint="eastAsia" w:ascii="宋体" w:hAnsi="宋体" w:eastAsia="宋体"/>
          <w:snapToGrid w:val="0"/>
          <w:color w:val="auto"/>
          <w:sz w:val="21"/>
          <w:szCs w:val="21"/>
        </w:rPr>
        <w:t>号）、《节能产品政府采购实施意见》的通知（财库〔</w:t>
      </w:r>
      <w:r>
        <w:rPr>
          <w:rFonts w:ascii="宋体" w:hAnsi="宋体" w:eastAsia="宋体"/>
          <w:snapToGrid w:val="0"/>
          <w:color w:val="auto"/>
          <w:sz w:val="21"/>
          <w:szCs w:val="21"/>
        </w:rPr>
        <w:t>2004</w:t>
      </w:r>
      <w:r>
        <w:rPr>
          <w:rFonts w:hint="eastAsia" w:ascii="宋体" w:hAnsi="宋体" w:eastAsia="宋体"/>
          <w:snapToGrid w:val="0"/>
          <w:color w:val="auto"/>
          <w:sz w:val="21"/>
          <w:szCs w:val="21"/>
        </w:rPr>
        <w:t>〕</w:t>
      </w:r>
      <w:r>
        <w:rPr>
          <w:rFonts w:ascii="宋体" w:hAnsi="宋体" w:eastAsia="宋体"/>
          <w:snapToGrid w:val="0"/>
          <w:color w:val="auto"/>
          <w:sz w:val="21"/>
          <w:szCs w:val="21"/>
        </w:rPr>
        <w:t>185</w:t>
      </w:r>
      <w:r>
        <w:rPr>
          <w:rFonts w:hint="eastAsia" w:ascii="宋体" w:hAnsi="宋体" w:eastAsia="宋体"/>
          <w:snapToGrid w:val="0"/>
          <w:color w:val="auto"/>
          <w:sz w:val="21"/>
          <w:szCs w:val="21"/>
        </w:rPr>
        <w:t>号）、《关于调整优化节能产品、环境标志产品政府采购执行机制的通知》（财库〔</w:t>
      </w:r>
      <w:r>
        <w:rPr>
          <w:rFonts w:ascii="宋体" w:hAnsi="宋体" w:eastAsia="宋体"/>
          <w:snapToGrid w:val="0"/>
          <w:color w:val="auto"/>
          <w:sz w:val="21"/>
          <w:szCs w:val="21"/>
        </w:rPr>
        <w:t>2019</w:t>
      </w:r>
      <w:r>
        <w:rPr>
          <w:rFonts w:hint="eastAsia" w:ascii="宋体" w:hAnsi="宋体" w:eastAsia="宋体"/>
          <w:snapToGrid w:val="0"/>
          <w:color w:val="auto"/>
          <w:sz w:val="21"/>
          <w:szCs w:val="21"/>
        </w:rPr>
        <w:t>〕</w:t>
      </w:r>
      <w:r>
        <w:rPr>
          <w:rFonts w:ascii="宋体" w:hAnsi="宋体" w:eastAsia="宋体"/>
          <w:snapToGrid w:val="0"/>
          <w:color w:val="auto"/>
          <w:sz w:val="21"/>
          <w:szCs w:val="21"/>
        </w:rPr>
        <w:t>9</w:t>
      </w:r>
      <w:r>
        <w:rPr>
          <w:rFonts w:hint="eastAsia" w:ascii="宋体" w:hAnsi="宋体" w:eastAsia="宋体"/>
          <w:snapToGrid w:val="0"/>
          <w:color w:val="auto"/>
          <w:sz w:val="21"/>
          <w:szCs w:val="21"/>
        </w:rPr>
        <w:t>号）。</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3、本项目相关公告在以下媒体发布：</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2）深圳公共资源交易中心网站（www.szzfcg.cn）；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名称：龙岗区第二人民医院</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w:t>
      </w:r>
      <w:r>
        <w:rPr>
          <w:rFonts w:hint="eastAsia" w:ascii="宋体" w:hAnsi="宋体" w:cs="宋体"/>
          <w:sz w:val="20"/>
          <w:szCs w:val="20"/>
        </w:rPr>
        <w:t>龙岗区第二人民医院</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联系方式：陈小姐</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2、招标代理机构信息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联系方式：李工，0755-83026699</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项目联系人：李工</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联系电话：0755-83026699</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rFonts w:hint="eastAsia" w:ascii="宋体" w:hAnsi="宋体"/>
          <w:snapToGrid w:val="0"/>
          <w:kern w:val="0"/>
          <w:sz w:val="24"/>
        </w:rPr>
      </w:pPr>
      <w:r>
        <w:rPr>
          <w:rFonts w:ascii="宋体" w:hAnsi="宋体"/>
          <w:snapToGrid w:val="0"/>
          <w:kern w:val="0"/>
          <w:sz w:val="24"/>
        </w:rPr>
        <w:t>202</w:t>
      </w:r>
      <w:r>
        <w:rPr>
          <w:rFonts w:hint="eastAsia" w:ascii="宋体" w:hAnsi="宋体"/>
          <w:snapToGrid w:val="0"/>
          <w:kern w:val="0"/>
          <w:sz w:val="24"/>
        </w:rPr>
        <w:t>1</w:t>
      </w:r>
      <w:r>
        <w:rPr>
          <w:rFonts w:ascii="宋体" w:hAnsi="宋体"/>
          <w:snapToGrid w:val="0"/>
          <w:kern w:val="0"/>
          <w:sz w:val="24"/>
        </w:rPr>
        <w:t>年</w:t>
      </w:r>
      <w:r>
        <w:rPr>
          <w:rFonts w:hint="eastAsia" w:ascii="宋体" w:hAnsi="宋体"/>
          <w:snapToGrid w:val="0"/>
          <w:kern w:val="0"/>
          <w:sz w:val="24"/>
          <w:lang w:val="en-US" w:eastAsia="zh-CN"/>
        </w:rPr>
        <w:t>09</w:t>
      </w:r>
      <w:r>
        <w:rPr>
          <w:rFonts w:ascii="宋体" w:hAnsi="宋体"/>
          <w:snapToGrid w:val="0"/>
          <w:kern w:val="0"/>
          <w:sz w:val="24"/>
        </w:rPr>
        <w:t>月</w:t>
      </w:r>
      <w:r>
        <w:rPr>
          <w:rFonts w:hint="eastAsia" w:ascii="宋体" w:hAnsi="宋体"/>
          <w:snapToGrid w:val="0"/>
          <w:kern w:val="0"/>
          <w:sz w:val="24"/>
          <w:lang w:val="en-US" w:eastAsia="zh-CN"/>
        </w:rPr>
        <w:t>28</w:t>
      </w:r>
      <w:r>
        <w:rPr>
          <w:rFonts w:hint="eastAsia" w:ascii="宋体" w:hAnsi="宋体"/>
          <w:snapToGrid w:val="0"/>
          <w:kern w:val="0"/>
          <w:sz w:val="24"/>
        </w:rPr>
        <w:t>日</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rFonts w:hint="eastAsia" w:ascii="宋体" w:hAnsi="宋体"/>
          <w:snapToGrid w:val="0"/>
          <w:kern w:val="0"/>
          <w:sz w:val="24"/>
        </w:rPr>
      </w:pPr>
    </w:p>
    <w:p>
      <w:pPr>
        <w:pStyle w:val="2"/>
      </w:pPr>
      <w:bookmarkStart w:id="1" w:name="_Toc73610136"/>
      <w:r>
        <w:rPr>
          <w:rFonts w:hint="eastAsia"/>
        </w:rPr>
        <w:t>第二章  项目需求</w:t>
      </w:r>
      <w:bookmarkEnd w:id="1"/>
    </w:p>
    <w:p>
      <w:pPr>
        <w:spacing w:afterLines="50" w:line="360" w:lineRule="auto"/>
        <w:ind w:left="2"/>
        <w:jc w:val="center"/>
        <w:rPr>
          <w:rFonts w:ascii="宋体" w:hAnsi="宋体"/>
          <w:b/>
          <w:sz w:val="28"/>
          <w:szCs w:val="28"/>
        </w:rPr>
      </w:pPr>
      <w:r>
        <w:rPr>
          <w:rFonts w:hint="eastAsia" w:ascii="宋体" w:hAnsi="宋体"/>
          <w:b/>
          <w:sz w:val="28"/>
          <w:szCs w:val="28"/>
        </w:rPr>
        <w:t>特别说明</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1、本章项目需求中所出现的工艺、材料、设备或参照的品牌等仅为方便描述而没有限制性，投标人可以在其提供的文件资料中选用替代标准，但这些替代标准要优于或相当于技术规格中要求的标准。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投标人提供证书或检测报告等证明材料的，颁发证书、出具报告的机构须是合法设立的机构，且具有颁发相应证书或者出具相应报告的资质。</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3、技术参数设置为区间要求的（例如：潮气量：</w:t>
      </w:r>
      <w:r>
        <w:rPr>
          <w:rFonts w:ascii="仿宋_GB2312" w:eastAsia="仿宋_GB2312"/>
          <w:sz w:val="24"/>
        </w:rPr>
        <w:t>0-2000ML</w:t>
      </w:r>
      <w:r>
        <w:rPr>
          <w:rFonts w:hint="eastAsia" w:ascii="仿宋_GB2312" w:eastAsia="仿宋_GB2312"/>
          <w:sz w:val="24"/>
        </w:rPr>
        <w:t>），投标产品参数区间与招标要求不完全一致的均视为负偏离。</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4、对于定制类产品，投标人需在投标文件“分项价格表”中明确注明“定制”，否则该产品技术参数按负偏离处理。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5、加注▲的条款为重要条款要求，如不满足将按照第四章“评标标准”进行扣分。</w:t>
      </w:r>
    </w:p>
    <w:p>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6、加注★的条款为不可负偏离条款，任一项未响应或不满足要求的，将导致投标无效。</w:t>
      </w:r>
    </w:p>
    <w:p>
      <w:pPr>
        <w:spacing w:line="360" w:lineRule="auto"/>
        <w:ind w:left="510"/>
        <w:rPr>
          <w:rFonts w:eastAsia="黑体"/>
          <w:bCs/>
          <w:snapToGrid w:val="0"/>
          <w:kern w:val="0"/>
          <w:sz w:val="24"/>
        </w:rPr>
      </w:pPr>
    </w:p>
    <w:p>
      <w:pPr>
        <w:spacing w:line="360" w:lineRule="auto"/>
        <w:ind w:left="2"/>
        <w:rPr>
          <w:rFonts w:ascii="宋体" w:hAnsi="宋体"/>
          <w:b/>
          <w:sz w:val="24"/>
        </w:rPr>
      </w:pPr>
      <w:r>
        <w:rPr>
          <w:rFonts w:hint="eastAsia" w:ascii="宋体" w:hAnsi="宋体"/>
          <w:bCs/>
          <w:snapToGrid w:val="0"/>
          <w:kern w:val="0"/>
          <w:sz w:val="24"/>
        </w:rPr>
        <w:t>一、</w:t>
      </w:r>
      <w:r>
        <w:rPr>
          <w:rFonts w:hint="eastAsia" w:ascii="宋体" w:hAnsi="宋体"/>
          <w:b/>
          <w:sz w:val="24"/>
        </w:rPr>
        <w:t>采购范围</w:t>
      </w:r>
    </w:p>
    <w:p>
      <w:pPr>
        <w:rPr>
          <w:rFonts w:ascii="宋体" w:hAnsi="宋体"/>
          <w:b/>
          <w:szCs w:val="21"/>
        </w:rPr>
      </w:pPr>
      <w:r>
        <w:rPr>
          <w:rFonts w:hint="eastAsia" w:ascii="宋体" w:hAnsi="宋体"/>
          <w:b/>
          <w:szCs w:val="21"/>
        </w:rPr>
        <w:t>（一）货物总清单</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3119"/>
        <w:gridCol w:w="850"/>
        <w:gridCol w:w="993"/>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851"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119"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项目名称</w:t>
            </w:r>
          </w:p>
        </w:tc>
        <w:tc>
          <w:tcPr>
            <w:tcW w:w="850" w:type="dxa"/>
            <w:tcMar>
              <w:top w:w="0" w:type="dxa"/>
              <w:left w:w="108" w:type="dxa"/>
              <w:bottom w:w="0" w:type="dxa"/>
              <w:right w:w="108" w:type="dxa"/>
            </w:tcMar>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993"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701" w:type="dxa"/>
            <w:vAlign w:val="center"/>
          </w:tcPr>
          <w:p>
            <w:pPr>
              <w:widowControl/>
              <w:spacing w:line="360" w:lineRule="auto"/>
              <w:jc w:val="center"/>
              <w:rPr>
                <w:rFonts w:hint="default" w:ascii="宋体" w:hAnsi="宋体" w:eastAsia="宋体" w:cs="宋体"/>
                <w:b/>
                <w:kern w:val="0"/>
                <w:szCs w:val="21"/>
                <w:lang w:val="en-US" w:eastAsia="zh-CN"/>
              </w:rPr>
            </w:pPr>
            <w:r>
              <w:rPr>
                <w:rFonts w:hint="eastAsia" w:ascii="宋体" w:hAnsi="宋体" w:cs="宋体"/>
                <w:b/>
                <w:kern w:val="0"/>
                <w:szCs w:val="21"/>
              </w:rPr>
              <w:t>采购</w:t>
            </w:r>
            <w:r>
              <w:rPr>
                <w:rFonts w:hint="eastAsia" w:ascii="宋体" w:hAnsi="宋体" w:cs="宋体"/>
                <w:b/>
                <w:kern w:val="0"/>
                <w:szCs w:val="21"/>
                <w:lang w:val="en-US" w:eastAsia="zh-CN"/>
              </w:rPr>
              <w:t>最高限价</w:t>
            </w:r>
          </w:p>
          <w:p>
            <w:pPr>
              <w:widowControl/>
              <w:spacing w:line="360" w:lineRule="auto"/>
              <w:jc w:val="center"/>
              <w:rPr>
                <w:rFonts w:ascii="宋体" w:hAnsi="宋体" w:cs="宋体"/>
                <w:bCs/>
                <w:kern w:val="0"/>
                <w:szCs w:val="21"/>
              </w:rPr>
            </w:pPr>
            <w:r>
              <w:rPr>
                <w:rFonts w:hint="eastAsia" w:ascii="宋体" w:hAnsi="宋体" w:cs="宋体"/>
                <w:b/>
                <w:szCs w:val="21"/>
              </w:rPr>
              <w:t>（人民币元）</w:t>
            </w:r>
          </w:p>
        </w:tc>
        <w:tc>
          <w:tcPr>
            <w:tcW w:w="1417"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851"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119"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阴道显微镜</w:t>
            </w:r>
          </w:p>
        </w:tc>
        <w:tc>
          <w:tcPr>
            <w:tcW w:w="850" w:type="dxa"/>
            <w:tcMar>
              <w:top w:w="0" w:type="dxa"/>
              <w:left w:w="108" w:type="dxa"/>
              <w:bottom w:w="0" w:type="dxa"/>
              <w:right w:w="108"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993"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套</w:t>
            </w:r>
          </w:p>
        </w:tc>
        <w:tc>
          <w:tcPr>
            <w:tcW w:w="1701" w:type="dxa"/>
            <w:vAlign w:val="center"/>
          </w:tcPr>
          <w:p>
            <w:pPr>
              <w:jc w:val="center"/>
              <w:rPr>
                <w:rFonts w:ascii="宋体" w:hAnsi="宋体" w:cs="宋体"/>
                <w:bCs/>
                <w:kern w:val="0"/>
                <w:szCs w:val="21"/>
              </w:rPr>
            </w:pPr>
            <w:r>
              <w:rPr>
                <w:rFonts w:hint="eastAsia" w:ascii="宋体" w:hAnsi="宋体" w:cs="宋体"/>
                <w:bCs/>
                <w:kern w:val="0"/>
                <w:szCs w:val="21"/>
                <w:lang w:val="en-US" w:eastAsia="zh-CN"/>
              </w:rPr>
              <w:t>47</w:t>
            </w:r>
            <w:r>
              <w:rPr>
                <w:rFonts w:hint="eastAsia" w:ascii="宋体" w:hAnsi="宋体" w:cs="宋体"/>
                <w:bCs/>
                <w:kern w:val="0"/>
                <w:szCs w:val="21"/>
              </w:rPr>
              <w:t>0,000.00</w:t>
            </w:r>
          </w:p>
        </w:tc>
        <w:tc>
          <w:tcPr>
            <w:tcW w:w="1417"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接受进口</w:t>
            </w:r>
          </w:p>
        </w:tc>
      </w:tr>
    </w:tbl>
    <w:p>
      <w:pPr>
        <w:widowControl/>
        <w:snapToGrid w:val="0"/>
        <w:spacing w:line="360" w:lineRule="auto"/>
        <w:ind w:left="2"/>
        <w:jc w:val="left"/>
        <w:rPr>
          <w:rFonts w:ascii="宋体" w:hAnsi="宋体"/>
          <w:bCs/>
          <w:snapToGrid w:val="0"/>
          <w:kern w:val="0"/>
          <w:szCs w:val="21"/>
        </w:rPr>
      </w:pPr>
    </w:p>
    <w:p>
      <w:pPr>
        <w:widowControl/>
        <w:snapToGrid w:val="0"/>
        <w:spacing w:line="360" w:lineRule="auto"/>
        <w:ind w:left="2"/>
        <w:jc w:val="left"/>
        <w:rPr>
          <w:rFonts w:ascii="宋体" w:hAnsi="宋体"/>
          <w:bCs/>
          <w:snapToGrid w:val="0"/>
          <w:kern w:val="0"/>
          <w:szCs w:val="21"/>
        </w:rPr>
      </w:pPr>
    </w:p>
    <w:p>
      <w:pPr>
        <w:pStyle w:val="453"/>
        <w:adjustRightInd w:val="0"/>
        <w:snapToGrid w:val="0"/>
        <w:spacing w:before="0" w:beforeAutospacing="0" w:after="0" w:afterAutospacing="0" w:line="360" w:lineRule="auto"/>
        <w:ind w:firstLine="424" w:firstLineChars="202"/>
        <w:rPr>
          <w:rFonts w:ascii="宋体" w:hAnsi="宋体" w:eastAsia="宋体"/>
          <w:b/>
          <w:snapToGrid w:val="0"/>
          <w:color w:val="auto"/>
          <w:sz w:val="21"/>
          <w:szCs w:val="21"/>
        </w:rPr>
      </w:pPr>
      <w:r>
        <w:rPr>
          <w:rFonts w:hint="eastAsia" w:ascii="宋体" w:hAnsi="宋体" w:eastAsia="宋体" w:cs="Times New Roman"/>
          <w:color w:val="auto"/>
          <w:kern w:val="2"/>
          <w:sz w:val="21"/>
          <w:szCs w:val="21"/>
        </w:rPr>
        <w:t>注：（1）</w:t>
      </w:r>
      <w:r>
        <w:rPr>
          <w:rFonts w:hint="eastAsia" w:ascii="宋体" w:hAnsi="宋体" w:eastAsia="宋体" w:cs="Times New Roman"/>
          <w:b/>
          <w:color w:val="auto"/>
          <w:kern w:val="2"/>
          <w:sz w:val="21"/>
          <w:szCs w:val="21"/>
        </w:rPr>
        <w:t>本项目所属行业为</w:t>
      </w:r>
      <w:r>
        <w:rPr>
          <w:rFonts w:hint="eastAsia" w:ascii="宋体" w:hAnsi="宋体" w:eastAsia="宋体" w:cs="Times New Roman"/>
          <w:b/>
          <w:color w:val="auto"/>
          <w:kern w:val="2"/>
          <w:sz w:val="21"/>
          <w:szCs w:val="21"/>
          <w:u w:val="single"/>
        </w:rPr>
        <w:t xml:space="preserve">  工业  </w:t>
      </w:r>
      <w:r>
        <w:rPr>
          <w:rFonts w:hint="eastAsia" w:ascii="宋体" w:hAnsi="宋体" w:eastAsia="宋体" w:cs="Times New Roman"/>
          <w:b/>
          <w:color w:val="auto"/>
          <w:kern w:val="2"/>
          <w:sz w:val="21"/>
          <w:szCs w:val="21"/>
        </w:rPr>
        <w:t>，标的名称详见以上货物清单明细。</w:t>
      </w:r>
      <w:r>
        <w:rPr>
          <w:rFonts w:hint="eastAsia" w:ascii="宋体" w:hAnsi="宋体" w:eastAsia="宋体" w:cs="Times New Roman"/>
          <w:color w:val="auto"/>
          <w:kern w:val="2"/>
          <w:sz w:val="21"/>
          <w:szCs w:val="21"/>
        </w:rPr>
        <w:t>投标人应根据《工业和信息化部、国家统计局、国家发展和改革委员会、财政部关于印发中小企业划型标准规定的通知》(工信部联企业〔2011〕300号)规定的中小企业划型标准填写《中小企业声明函》。</w:t>
      </w:r>
    </w:p>
    <w:p>
      <w:pPr>
        <w:adjustRightInd w:val="0"/>
        <w:snapToGrid w:val="0"/>
        <w:spacing w:line="360" w:lineRule="auto"/>
        <w:ind w:firstLine="422" w:firstLineChars="201"/>
        <w:rPr>
          <w:rFonts w:ascii="宋体" w:hAnsi="宋体"/>
          <w:b/>
          <w:bCs/>
          <w:snapToGrid w:val="0"/>
          <w:kern w:val="0"/>
          <w:szCs w:val="21"/>
        </w:rPr>
      </w:pPr>
      <w:r>
        <w:rPr>
          <w:rFonts w:hint="eastAsia" w:ascii="宋体" w:hAnsi="宋体"/>
          <w:bCs/>
          <w:snapToGrid w:val="0"/>
          <w:kern w:val="0"/>
          <w:szCs w:val="21"/>
        </w:rPr>
        <w:t>（2）</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 xml:space="preserve">（3）备注栏注明“拒绝进口”的产品不接受投标人选用进口产品参与投标；注明“接受进口”的产品允许投标人选用进口产品参与投标，但不排斥国内产品。 </w:t>
      </w:r>
    </w:p>
    <w:p>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4）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spacing w:line="360" w:lineRule="auto"/>
        <w:rPr>
          <w:rFonts w:cs="Arial Unicode MS" w:asciiTheme="minorEastAsia" w:hAnsiTheme="minorEastAsia" w:eastAsiaTheme="minorEastAsia"/>
          <w:snapToGrid w:val="0"/>
          <w:kern w:val="0"/>
          <w:szCs w:val="18"/>
        </w:rPr>
      </w:pPr>
      <w:r>
        <w:rPr>
          <w:rFonts w:hint="eastAsia" w:cs="宋体" w:asciiTheme="minorEastAsia" w:hAnsiTheme="minorEastAsia" w:eastAsiaTheme="minorEastAsia"/>
          <w:kern w:val="0"/>
          <w:szCs w:val="21"/>
        </w:rPr>
        <w:t>★</w:t>
      </w:r>
      <w:r>
        <w:rPr>
          <w:rFonts w:hint="eastAsia" w:cs="Arial Unicode MS" w:asciiTheme="minorEastAsia" w:hAnsiTheme="minorEastAsia" w:eastAsiaTheme="minorEastAsia"/>
          <w:snapToGrid w:val="0"/>
          <w:kern w:val="0"/>
          <w:szCs w:val="18"/>
        </w:rPr>
        <w:t>（5）若投标人为所投产品的生产企业，必须提供《医疗器械生产企业许可证》或备案凭证，且生产范围包含该产品；若投标人为所投产品的代理商或授权供应商，必须提供《医疗器械经营企业许可证》或备案凭证，且经营范围包含该产品；当所投产品属于第一类医疗器械时无须提供《医疗器械经营企业许可证》或备案凭证，但投标人应在投标文件中对其所属类别进行书面说明【提供以上证明材料的复印件或扫面件并加盖投标人公章，原件备查】；</w:t>
      </w:r>
    </w:p>
    <w:p>
      <w:pPr>
        <w:spacing w:line="360" w:lineRule="auto"/>
        <w:rPr>
          <w:rFonts w:cs="Arial Unicode MS" w:asciiTheme="minorEastAsia" w:hAnsiTheme="minorEastAsia" w:eastAsiaTheme="minorEastAsia"/>
          <w:snapToGrid w:val="0"/>
          <w:kern w:val="0"/>
          <w:szCs w:val="18"/>
        </w:rPr>
      </w:pPr>
      <w:r>
        <w:rPr>
          <w:rFonts w:hint="eastAsia" w:cs="宋体" w:asciiTheme="minorEastAsia" w:hAnsiTheme="minorEastAsia" w:eastAsiaTheme="minorEastAsia"/>
          <w:kern w:val="0"/>
          <w:szCs w:val="21"/>
        </w:rPr>
        <w:t>★</w:t>
      </w:r>
      <w:r>
        <w:rPr>
          <w:rFonts w:hint="eastAsia" w:cs="Arial Unicode MS" w:asciiTheme="minorEastAsia" w:hAnsiTheme="minorEastAsia" w:eastAsiaTheme="minorEastAsia"/>
          <w:snapToGrid w:val="0"/>
          <w:kern w:val="0"/>
          <w:szCs w:val="18"/>
        </w:rPr>
        <w:t>（6）投标人必须提供所投产品的《医疗器械注册（备案）证》的扫描件，原件备查（开标时，该注册证应在有效期内；若不在有效期内，则需提供该注册证和所投产品在该注册证有效期内生产的药监局出具的证明文件）；</w:t>
      </w:r>
    </w:p>
    <w:p>
      <w:pPr>
        <w:adjustRightInd w:val="0"/>
        <w:snapToGrid w:val="0"/>
        <w:spacing w:line="360" w:lineRule="auto"/>
        <w:ind w:firstLine="422" w:firstLineChars="201"/>
        <w:rPr>
          <w:rFonts w:ascii="宋体" w:hAnsi="宋体"/>
          <w:bCs/>
          <w:snapToGrid w:val="0"/>
          <w:kern w:val="0"/>
          <w:szCs w:val="21"/>
        </w:rPr>
      </w:pPr>
    </w:p>
    <w:p>
      <w:pPr>
        <w:spacing w:line="360" w:lineRule="auto"/>
        <w:ind w:left="2" w:firstLine="484" w:firstLineChars="201"/>
        <w:rPr>
          <w:rFonts w:ascii="宋体" w:hAnsi="宋体"/>
          <w:b/>
          <w:bCs/>
          <w:snapToGrid w:val="0"/>
          <w:kern w:val="0"/>
          <w:sz w:val="24"/>
        </w:rPr>
      </w:pPr>
    </w:p>
    <w:p>
      <w:pPr>
        <w:spacing w:line="360" w:lineRule="auto"/>
        <w:rPr>
          <w:rFonts w:ascii="宋体" w:hAnsi="宋体"/>
          <w:b/>
          <w:bCs/>
          <w:snapToGrid w:val="0"/>
          <w:kern w:val="0"/>
          <w:sz w:val="24"/>
        </w:rPr>
      </w:pPr>
      <w:r>
        <w:rPr>
          <w:rFonts w:hint="eastAsia" w:ascii="宋体" w:hAnsi="宋体"/>
          <w:b/>
          <w:bCs/>
          <w:snapToGrid w:val="0"/>
          <w:kern w:val="0"/>
          <w:sz w:val="24"/>
        </w:rPr>
        <w:t>二、技术要求</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0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b/>
                <w:snapToGrid w:val="0"/>
                <w:kern w:val="0"/>
                <w:sz w:val="24"/>
              </w:rPr>
            </w:pPr>
            <w:r>
              <w:rPr>
                <w:rFonts w:hint="eastAsia" w:ascii="宋体" w:hAnsi="宋体"/>
                <w:b/>
                <w:snapToGrid w:val="0"/>
                <w:kern w:val="0"/>
                <w:sz w:val="24"/>
              </w:rPr>
              <w:t>配置</w:t>
            </w:r>
          </w:p>
        </w:tc>
        <w:tc>
          <w:tcPr>
            <w:tcW w:w="86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firstLine="484" w:firstLineChars="201"/>
              <w:jc w:val="center"/>
              <w:rPr>
                <w:rFonts w:ascii="宋体" w:hAnsi="宋体"/>
                <w:b/>
                <w:snapToGrid w:val="0"/>
                <w:kern w:val="0"/>
                <w:sz w:val="24"/>
              </w:rPr>
            </w:pPr>
            <w:r>
              <w:rPr>
                <w:rFonts w:hint="eastAsia" w:ascii="宋体" w:hAnsi="宋体"/>
                <w:b/>
                <w:snapToGrid w:val="0"/>
                <w:kern w:val="0"/>
                <w:sz w:val="24"/>
              </w:rPr>
              <w:t>主要技术参数和指标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bCs/>
                <w:snapToGrid w:val="0"/>
                <w:kern w:val="0"/>
                <w:szCs w:val="21"/>
              </w:rPr>
            </w:pPr>
            <w:r>
              <w:rPr>
                <w:rFonts w:hint="eastAsia" w:ascii="宋体" w:hAnsi="宋体"/>
                <w:bCs/>
                <w:snapToGrid w:val="0"/>
                <w:kern w:val="0"/>
                <w:szCs w:val="21"/>
              </w:rPr>
              <w:t>用途</w:t>
            </w:r>
          </w:p>
        </w:tc>
        <w:tc>
          <w:tcPr>
            <w:tcW w:w="86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针对女性的宫颈、阴道和外阴的非接触性观察和影像记录，并通过软件实现对记录图像和数据的管理、查看、传输、储存和打印。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008"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bCs/>
                <w:snapToGrid w:val="0"/>
                <w:kern w:val="0"/>
                <w:szCs w:val="21"/>
              </w:rPr>
            </w:pPr>
            <w:r>
              <w:rPr>
                <w:rFonts w:hint="eastAsia" w:ascii="宋体" w:hAnsi="宋体"/>
                <w:bCs/>
                <w:snapToGrid w:val="0"/>
                <w:kern w:val="0"/>
                <w:szCs w:val="21"/>
              </w:rPr>
              <w:t>一、主要技术及系统要求：</w:t>
            </w:r>
          </w:p>
        </w:tc>
        <w:tc>
          <w:tcPr>
            <w:tcW w:w="86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left"/>
              <w:rPr>
                <w:rFonts w:ascii="宋体" w:hAnsi="宋体"/>
                <w:bCs/>
                <w:snapToGrid w:val="0"/>
                <w:kern w:val="0"/>
                <w:szCs w:val="21"/>
              </w:rPr>
            </w:pPr>
            <w:r>
              <w:rPr>
                <w:rFonts w:hint="eastAsia" w:ascii="宋体" w:hAnsi="宋体"/>
                <w:bCs/>
                <w:snapToGrid w:val="0"/>
                <w:kern w:val="0"/>
                <w:szCs w:val="21"/>
              </w:rPr>
              <w:t>1、硬件配置部分</w:t>
            </w:r>
          </w:p>
          <w:p>
            <w:pPr>
              <w:adjustRightInd w:val="0"/>
              <w:snapToGrid w:val="0"/>
              <w:spacing w:line="360" w:lineRule="auto"/>
              <w:ind w:firstLine="422" w:firstLineChars="201"/>
              <w:jc w:val="left"/>
              <w:rPr>
                <w:rFonts w:ascii="宋体" w:hAnsi="宋体"/>
                <w:bCs/>
                <w:snapToGrid w:val="0"/>
                <w:kern w:val="0"/>
                <w:szCs w:val="21"/>
              </w:rPr>
            </w:pPr>
            <w:r>
              <w:rPr>
                <w:rFonts w:hint="eastAsia" w:ascii="宋体" w:hAnsi="宋体"/>
                <w:bCs/>
                <w:snapToGrid w:val="0"/>
                <w:kern w:val="0"/>
                <w:szCs w:val="21"/>
              </w:rPr>
              <w:t>1.1. 镜头部分：</w:t>
            </w:r>
            <w:bookmarkStart w:id="2" w:name="_Hlk83074300"/>
            <w:r>
              <w:rPr>
                <w:rFonts w:hint="eastAsia" w:ascii="宋体" w:hAnsi="宋体"/>
                <w:bCs/>
                <w:snapToGrid w:val="0"/>
                <w:kern w:val="0"/>
                <w:szCs w:val="21"/>
              </w:rPr>
              <w:t>集光源、目镜、相机接口一体化。</w:t>
            </w:r>
            <w:bookmarkEnd w:id="2"/>
          </w:p>
          <w:p>
            <w:pPr>
              <w:adjustRightInd w:val="0"/>
              <w:snapToGrid w:val="0"/>
              <w:spacing w:line="360" w:lineRule="auto"/>
              <w:ind w:firstLine="422" w:firstLineChars="201"/>
              <w:jc w:val="left"/>
              <w:rPr>
                <w:rFonts w:ascii="宋体" w:hAnsi="宋体"/>
                <w:bCs/>
                <w:snapToGrid w:val="0"/>
                <w:kern w:val="0"/>
                <w:szCs w:val="21"/>
              </w:rPr>
            </w:pPr>
            <w:r>
              <w:rPr>
                <w:rFonts w:hint="eastAsia" w:ascii="宋体" w:hAnsi="宋体"/>
                <w:bCs/>
                <w:snapToGrid w:val="0"/>
                <w:kern w:val="0"/>
                <w:szCs w:val="21"/>
              </w:rPr>
              <w:t xml:space="preserve">1.2. </w:t>
            </w:r>
            <w:bookmarkStart w:id="3" w:name="_Hlk83109987"/>
            <w:r>
              <w:rPr>
                <w:rFonts w:hint="eastAsia" w:ascii="宋体" w:hAnsi="宋体"/>
                <w:bCs/>
                <w:snapToGrid w:val="0"/>
                <w:kern w:val="0"/>
                <w:szCs w:val="21"/>
              </w:rPr>
              <w:t xml:space="preserve">▲光学系统：采用三通道独立光路系统，保证进入双目镜及摄像系统的光线都是100%。 </w:t>
            </w:r>
          </w:p>
          <w:bookmarkEnd w:id="3"/>
          <w:p>
            <w:pPr>
              <w:adjustRightInd w:val="0"/>
              <w:snapToGrid w:val="0"/>
              <w:spacing w:line="360" w:lineRule="auto"/>
              <w:ind w:firstLine="422" w:firstLineChars="201"/>
              <w:jc w:val="left"/>
              <w:rPr>
                <w:rFonts w:ascii="宋体" w:hAnsi="宋体"/>
                <w:bCs/>
                <w:snapToGrid w:val="0"/>
                <w:kern w:val="0"/>
                <w:szCs w:val="21"/>
              </w:rPr>
            </w:pPr>
            <w:r>
              <w:rPr>
                <w:rFonts w:hint="eastAsia" w:ascii="宋体" w:hAnsi="宋体"/>
                <w:bCs/>
                <w:snapToGrid w:val="0"/>
                <w:kern w:val="0"/>
                <w:szCs w:val="21"/>
              </w:rPr>
              <w:t>1.3.▲内置测量：具有内置目镜测量功能，不需软件定标能迅速测量病灶实际大小。</w:t>
            </w:r>
          </w:p>
          <w:p>
            <w:pPr>
              <w:adjustRightInd w:val="0"/>
              <w:snapToGrid w:val="0"/>
              <w:spacing w:line="360" w:lineRule="auto"/>
              <w:ind w:firstLine="422" w:firstLineChars="201"/>
              <w:jc w:val="left"/>
              <w:rPr>
                <w:rFonts w:ascii="宋体" w:hAnsi="宋体"/>
                <w:bCs/>
                <w:snapToGrid w:val="0"/>
                <w:kern w:val="0"/>
                <w:szCs w:val="21"/>
              </w:rPr>
            </w:pPr>
            <w:r>
              <w:rPr>
                <w:rFonts w:hint="eastAsia" w:ascii="宋体" w:hAnsi="宋体"/>
                <w:bCs/>
                <w:snapToGrid w:val="0"/>
                <w:kern w:val="0"/>
                <w:szCs w:val="21"/>
              </w:rPr>
              <w:t>1.4.▲放大倍数：1:1光学放大倍数，在显微镜头上有7.5倍,15倍,30倍固定变倍刻度标识，真实达到以上倍数，固定变倍有利于病人复诊。具有15倍光学放大国际金标准。</w:t>
            </w:r>
          </w:p>
          <w:p>
            <w:pPr>
              <w:adjustRightInd w:val="0"/>
              <w:snapToGrid w:val="0"/>
              <w:spacing w:line="360" w:lineRule="auto"/>
              <w:ind w:firstLine="422" w:firstLineChars="201"/>
              <w:jc w:val="left"/>
              <w:rPr>
                <w:rFonts w:ascii="宋体" w:hAnsi="宋体"/>
                <w:bCs/>
                <w:snapToGrid w:val="0"/>
                <w:kern w:val="0"/>
                <w:szCs w:val="21"/>
              </w:rPr>
            </w:pPr>
            <w:r>
              <w:rPr>
                <w:rFonts w:hint="eastAsia" w:ascii="宋体" w:hAnsi="宋体"/>
                <w:bCs/>
                <w:snapToGrid w:val="0"/>
                <w:kern w:val="0"/>
                <w:szCs w:val="21"/>
              </w:rPr>
              <w:t>1.5.变倍比：4:1。</w:t>
            </w:r>
          </w:p>
          <w:p>
            <w:pPr>
              <w:adjustRightInd w:val="0"/>
              <w:snapToGrid w:val="0"/>
              <w:spacing w:line="360" w:lineRule="auto"/>
              <w:ind w:firstLine="422" w:firstLineChars="201"/>
              <w:jc w:val="left"/>
              <w:rPr>
                <w:rFonts w:ascii="宋体" w:hAnsi="宋体"/>
                <w:bCs/>
                <w:snapToGrid w:val="0"/>
                <w:kern w:val="0"/>
                <w:szCs w:val="21"/>
              </w:rPr>
            </w:pPr>
            <w:r>
              <w:rPr>
                <w:rFonts w:hint="eastAsia" w:ascii="宋体" w:hAnsi="宋体"/>
                <w:bCs/>
                <w:snapToGrid w:val="0"/>
                <w:kern w:val="0"/>
                <w:szCs w:val="21"/>
              </w:rPr>
              <w:t xml:space="preserve">1.6.物镜：完整的消色差物镜。 </w:t>
            </w:r>
          </w:p>
          <w:p>
            <w:pPr>
              <w:adjustRightInd w:val="0"/>
              <w:snapToGrid w:val="0"/>
              <w:spacing w:line="360" w:lineRule="auto"/>
              <w:ind w:firstLine="422" w:firstLineChars="201"/>
              <w:jc w:val="left"/>
              <w:rPr>
                <w:rFonts w:ascii="宋体" w:hAnsi="宋体"/>
                <w:bCs/>
                <w:snapToGrid w:val="0"/>
                <w:kern w:val="0"/>
                <w:szCs w:val="21"/>
              </w:rPr>
            </w:pPr>
            <w:r>
              <w:rPr>
                <w:rFonts w:hint="eastAsia" w:ascii="宋体" w:hAnsi="宋体"/>
                <w:bCs/>
                <w:snapToGrid w:val="0"/>
                <w:kern w:val="0"/>
                <w:szCs w:val="21"/>
              </w:rPr>
              <w:t>1.7.观测系统: 双目收敛观测系统，倾斜角≥30度。</w:t>
            </w:r>
          </w:p>
          <w:p>
            <w:pPr>
              <w:adjustRightInd w:val="0"/>
              <w:snapToGrid w:val="0"/>
              <w:spacing w:line="360" w:lineRule="auto"/>
              <w:ind w:firstLine="422" w:firstLineChars="201"/>
              <w:jc w:val="left"/>
              <w:rPr>
                <w:rFonts w:ascii="宋体" w:hAnsi="宋体"/>
                <w:bCs/>
                <w:snapToGrid w:val="0"/>
                <w:kern w:val="0"/>
                <w:szCs w:val="21"/>
              </w:rPr>
            </w:pPr>
            <w:r>
              <w:rPr>
                <w:rFonts w:hint="eastAsia" w:ascii="宋体" w:hAnsi="宋体"/>
                <w:bCs/>
                <w:snapToGrid w:val="0"/>
                <w:kern w:val="0"/>
                <w:szCs w:val="21"/>
              </w:rPr>
              <w:t>1.8.视野范围：7.5X下视野范围≥46mm,15X下视野范围≥23mm, 30X下视野范围≥11.5mm。</w:t>
            </w:r>
          </w:p>
          <w:p>
            <w:pPr>
              <w:adjustRightInd w:val="0"/>
              <w:snapToGrid w:val="0"/>
              <w:spacing w:line="360" w:lineRule="auto"/>
              <w:ind w:firstLine="422" w:firstLineChars="201"/>
              <w:jc w:val="left"/>
              <w:rPr>
                <w:rFonts w:ascii="宋体" w:hAnsi="宋体"/>
                <w:bCs/>
                <w:snapToGrid w:val="0"/>
                <w:kern w:val="0"/>
                <w:szCs w:val="21"/>
              </w:rPr>
            </w:pPr>
            <w:r>
              <w:rPr>
                <w:rFonts w:hint="eastAsia" w:ascii="宋体" w:hAnsi="宋体"/>
                <w:bCs/>
                <w:snapToGrid w:val="0"/>
                <w:kern w:val="0"/>
                <w:szCs w:val="21"/>
              </w:rPr>
              <w:t>1.9.工作距离：≤300mm。</w:t>
            </w:r>
          </w:p>
          <w:p>
            <w:pPr>
              <w:adjustRightInd w:val="0"/>
              <w:snapToGrid w:val="0"/>
              <w:spacing w:line="360" w:lineRule="auto"/>
              <w:ind w:firstLine="422" w:firstLineChars="201"/>
              <w:jc w:val="left"/>
              <w:rPr>
                <w:rFonts w:ascii="宋体" w:hAnsi="宋体"/>
                <w:bCs/>
                <w:snapToGrid w:val="0"/>
                <w:kern w:val="0"/>
                <w:szCs w:val="21"/>
              </w:rPr>
            </w:pPr>
            <w:r>
              <w:rPr>
                <w:rFonts w:hint="eastAsia" w:ascii="宋体" w:hAnsi="宋体"/>
                <w:bCs/>
                <w:snapToGrid w:val="0"/>
                <w:kern w:val="0"/>
                <w:szCs w:val="21"/>
              </w:rPr>
              <w:t>1.10.筒间距调节：≤100mm。</w:t>
            </w:r>
          </w:p>
          <w:p>
            <w:pPr>
              <w:adjustRightInd w:val="0"/>
              <w:snapToGrid w:val="0"/>
              <w:spacing w:line="360" w:lineRule="auto"/>
              <w:ind w:firstLine="422" w:firstLineChars="201"/>
              <w:jc w:val="left"/>
              <w:rPr>
                <w:rFonts w:ascii="宋体" w:hAnsi="宋体"/>
                <w:bCs/>
                <w:snapToGrid w:val="0"/>
                <w:kern w:val="0"/>
                <w:szCs w:val="21"/>
              </w:rPr>
            </w:pPr>
            <w:r>
              <w:rPr>
                <w:rFonts w:hint="eastAsia" w:ascii="宋体" w:hAnsi="宋体"/>
                <w:bCs/>
                <w:snapToGrid w:val="0"/>
                <w:kern w:val="0"/>
                <w:szCs w:val="21"/>
              </w:rPr>
              <w:t>1.11.视力修正：调整范围+7到-7之间。</w:t>
            </w:r>
          </w:p>
          <w:p>
            <w:pPr>
              <w:adjustRightInd w:val="0"/>
              <w:snapToGrid w:val="0"/>
              <w:spacing w:line="360" w:lineRule="auto"/>
              <w:ind w:firstLine="422" w:firstLineChars="201"/>
              <w:jc w:val="left"/>
              <w:rPr>
                <w:rFonts w:ascii="宋体" w:hAnsi="宋体"/>
                <w:bCs/>
                <w:snapToGrid w:val="0"/>
                <w:kern w:val="0"/>
                <w:szCs w:val="21"/>
              </w:rPr>
            </w:pPr>
            <w:r>
              <w:rPr>
                <w:rFonts w:hint="eastAsia" w:ascii="宋体" w:hAnsi="宋体"/>
                <w:bCs/>
                <w:snapToGrid w:val="0"/>
                <w:kern w:val="0"/>
                <w:szCs w:val="21"/>
              </w:rPr>
              <w:t>1.12.调焦旋钮：通过旋转手柄可实现+50mm到-50mm之间范围内微动调焦。</w:t>
            </w:r>
          </w:p>
          <w:p>
            <w:pPr>
              <w:adjustRightInd w:val="0"/>
              <w:snapToGrid w:val="0"/>
              <w:spacing w:line="360" w:lineRule="auto"/>
              <w:ind w:firstLine="422" w:firstLineChars="201"/>
              <w:jc w:val="left"/>
              <w:rPr>
                <w:rFonts w:ascii="宋体" w:hAnsi="宋体"/>
                <w:bCs/>
                <w:snapToGrid w:val="0"/>
                <w:kern w:val="0"/>
                <w:szCs w:val="21"/>
              </w:rPr>
            </w:pPr>
            <w:r>
              <w:rPr>
                <w:rFonts w:hint="eastAsia" w:ascii="宋体" w:hAnsi="宋体"/>
                <w:bCs/>
                <w:snapToGrid w:val="0"/>
                <w:kern w:val="0"/>
                <w:szCs w:val="21"/>
              </w:rPr>
              <w:t>1.13.灯源： LED冷光源照明系统，LED光源通过镜头一体的通道照射，光斑范围≥55mm。</w:t>
            </w:r>
          </w:p>
          <w:p>
            <w:pPr>
              <w:adjustRightInd w:val="0"/>
              <w:snapToGrid w:val="0"/>
              <w:spacing w:line="360" w:lineRule="auto"/>
              <w:ind w:firstLine="422" w:firstLineChars="201"/>
              <w:jc w:val="left"/>
              <w:rPr>
                <w:rFonts w:ascii="宋体" w:hAnsi="宋体"/>
                <w:bCs/>
                <w:snapToGrid w:val="0"/>
                <w:kern w:val="0"/>
                <w:szCs w:val="21"/>
              </w:rPr>
            </w:pPr>
            <w:r>
              <w:rPr>
                <w:rFonts w:hint="eastAsia" w:ascii="宋体" w:hAnsi="宋体"/>
                <w:bCs/>
                <w:snapToGrid w:val="0"/>
                <w:kern w:val="0"/>
                <w:szCs w:val="21"/>
              </w:rPr>
              <w:t xml:space="preserve">1.14.▲光学滤镜片：光源里有内置可调绿色滤镜片，绿色滤镜片位于显微镜内部，色温≥5500K。 </w:t>
            </w:r>
          </w:p>
          <w:p>
            <w:pPr>
              <w:adjustRightInd w:val="0"/>
              <w:snapToGrid w:val="0"/>
              <w:spacing w:line="360" w:lineRule="auto"/>
              <w:ind w:firstLine="422" w:firstLineChars="201"/>
              <w:jc w:val="left"/>
              <w:rPr>
                <w:rFonts w:ascii="宋体" w:hAnsi="宋体"/>
                <w:bCs/>
                <w:snapToGrid w:val="0"/>
                <w:kern w:val="0"/>
                <w:szCs w:val="21"/>
              </w:rPr>
            </w:pPr>
            <w:r>
              <w:rPr>
                <w:rFonts w:hint="eastAsia" w:ascii="宋体" w:hAnsi="宋体"/>
                <w:bCs/>
                <w:snapToGrid w:val="0"/>
                <w:kern w:val="0"/>
                <w:szCs w:val="21"/>
              </w:rPr>
              <w:t>1.15.光照强度：工作距离300mm处≥45000Lux。</w:t>
            </w:r>
          </w:p>
          <w:p>
            <w:pPr>
              <w:adjustRightInd w:val="0"/>
              <w:snapToGrid w:val="0"/>
              <w:spacing w:line="360" w:lineRule="auto"/>
              <w:ind w:firstLine="422" w:firstLineChars="201"/>
              <w:jc w:val="left"/>
              <w:rPr>
                <w:rFonts w:ascii="宋体" w:hAnsi="宋体"/>
                <w:bCs/>
                <w:snapToGrid w:val="0"/>
                <w:kern w:val="0"/>
                <w:szCs w:val="21"/>
              </w:rPr>
            </w:pPr>
            <w:r>
              <w:rPr>
                <w:rFonts w:hint="eastAsia" w:ascii="宋体" w:hAnsi="宋体"/>
                <w:bCs/>
                <w:snapToGrid w:val="0"/>
                <w:kern w:val="0"/>
                <w:szCs w:val="21"/>
              </w:rPr>
              <w:t>1.16.支架：原装可旋转的气压式升降支架，带气泡水平仪的稳定五轮底架，可以放在检查床左边或右边。支架可以以120cm的半径自由水平移动。</w:t>
            </w:r>
          </w:p>
          <w:p>
            <w:pPr>
              <w:adjustRightInd w:val="0"/>
              <w:snapToGrid w:val="0"/>
              <w:spacing w:line="360" w:lineRule="auto"/>
              <w:ind w:firstLine="422" w:firstLineChars="201"/>
              <w:jc w:val="left"/>
              <w:rPr>
                <w:rFonts w:ascii="宋体" w:hAnsi="宋体"/>
                <w:bCs/>
                <w:snapToGrid w:val="0"/>
                <w:kern w:val="0"/>
                <w:szCs w:val="21"/>
              </w:rPr>
            </w:pPr>
            <w:r>
              <w:rPr>
                <w:rFonts w:hint="eastAsia" w:ascii="宋体" w:hAnsi="宋体"/>
                <w:bCs/>
                <w:snapToGrid w:val="0"/>
                <w:kern w:val="0"/>
                <w:szCs w:val="21"/>
              </w:rPr>
              <w:t>1.17.镜头水平支臂：旋钮调节镜头水平支臂，轻松实现镜头水平/垂直方向自由移动。</w:t>
            </w:r>
          </w:p>
          <w:p>
            <w:pPr>
              <w:adjustRightInd w:val="0"/>
              <w:snapToGrid w:val="0"/>
              <w:spacing w:line="360" w:lineRule="auto"/>
              <w:ind w:firstLine="422" w:firstLineChars="201"/>
              <w:jc w:val="left"/>
              <w:rPr>
                <w:rFonts w:ascii="宋体" w:hAnsi="宋体"/>
                <w:bCs/>
                <w:snapToGrid w:val="0"/>
                <w:kern w:val="0"/>
                <w:szCs w:val="21"/>
              </w:rPr>
            </w:pPr>
            <w:r>
              <w:rPr>
                <w:rFonts w:hint="eastAsia" w:ascii="宋体" w:hAnsi="宋体"/>
                <w:bCs/>
                <w:snapToGrid w:val="0"/>
                <w:kern w:val="0"/>
                <w:szCs w:val="21"/>
              </w:rPr>
              <w:t>1.18.手柄微调功能：有微调功能，可使镜头左右，上仰下倾，前后移动镜头。</w:t>
            </w:r>
          </w:p>
          <w:p>
            <w:pPr>
              <w:adjustRightInd w:val="0"/>
              <w:snapToGrid w:val="0"/>
              <w:spacing w:line="360" w:lineRule="auto"/>
              <w:ind w:firstLine="422" w:firstLineChars="201"/>
              <w:jc w:val="left"/>
              <w:rPr>
                <w:rFonts w:ascii="宋体" w:hAnsi="宋体"/>
                <w:bCs/>
                <w:snapToGrid w:val="0"/>
                <w:kern w:val="0"/>
                <w:szCs w:val="21"/>
              </w:rPr>
            </w:pPr>
            <w:r>
              <w:rPr>
                <w:rFonts w:hint="eastAsia" w:ascii="宋体" w:hAnsi="宋体"/>
                <w:bCs/>
                <w:snapToGrid w:val="0"/>
                <w:kern w:val="0"/>
                <w:szCs w:val="21"/>
              </w:rPr>
              <w:t>1.19. 摄像系统：数字专业相机，≥2400万超高像素图像采集，HDMI(≥1920X1080)高清实时图像显示。同步输出：镜下图像与显示器图像100%同步显示。</w:t>
            </w:r>
          </w:p>
          <w:p>
            <w:pPr>
              <w:adjustRightInd w:val="0"/>
              <w:snapToGrid w:val="0"/>
              <w:spacing w:line="360" w:lineRule="auto"/>
              <w:ind w:firstLine="422" w:firstLineChars="201"/>
              <w:jc w:val="left"/>
              <w:rPr>
                <w:rFonts w:ascii="宋体" w:hAnsi="宋体"/>
                <w:bCs/>
                <w:snapToGrid w:val="0"/>
                <w:kern w:val="0"/>
                <w:szCs w:val="21"/>
              </w:rPr>
            </w:pPr>
            <w:r>
              <w:rPr>
                <w:rFonts w:hint="eastAsia" w:ascii="宋体" w:hAnsi="宋体"/>
                <w:bCs/>
                <w:snapToGrid w:val="0"/>
                <w:kern w:val="0"/>
                <w:szCs w:val="21"/>
              </w:rPr>
              <w:t>1.20.图像处理器：一体化主机,  ≥8G内存，≥1T硬盘，≥21.5寸高亮度液晶显示, Windows 7/10/XP操作系统；专业阴道镜软件及相关驱动程序。</w:t>
            </w:r>
          </w:p>
          <w:p>
            <w:pPr>
              <w:adjustRightInd w:val="0"/>
              <w:snapToGrid w:val="0"/>
              <w:spacing w:line="360" w:lineRule="auto"/>
              <w:ind w:firstLine="422" w:firstLineChars="201"/>
              <w:jc w:val="left"/>
              <w:rPr>
                <w:rFonts w:ascii="宋体" w:hAnsi="宋体"/>
                <w:bCs/>
                <w:snapToGrid w:val="0"/>
                <w:kern w:val="0"/>
                <w:szCs w:val="21"/>
              </w:rPr>
            </w:pPr>
            <w:r>
              <w:rPr>
                <w:rFonts w:hint="eastAsia" w:ascii="宋体" w:hAnsi="宋体"/>
                <w:bCs/>
                <w:snapToGrid w:val="0"/>
                <w:kern w:val="0"/>
                <w:szCs w:val="21"/>
              </w:rPr>
              <w:t>1.21.打印输出：激光彩色打印机。</w:t>
            </w:r>
          </w:p>
          <w:p>
            <w:pPr>
              <w:adjustRightInd w:val="0"/>
              <w:snapToGrid w:val="0"/>
              <w:spacing w:line="360" w:lineRule="auto"/>
              <w:jc w:val="left"/>
              <w:rPr>
                <w:rFonts w:ascii="宋体" w:hAnsi="宋体"/>
                <w:bCs/>
                <w:snapToGrid w:val="0"/>
                <w:kern w:val="0"/>
                <w:szCs w:val="21"/>
              </w:rPr>
            </w:pPr>
            <w:r>
              <w:rPr>
                <w:rFonts w:hint="eastAsia" w:ascii="宋体" w:hAnsi="宋体"/>
                <w:bCs/>
                <w:snapToGrid w:val="0"/>
                <w:kern w:val="0"/>
                <w:szCs w:val="21"/>
              </w:rPr>
              <w:t xml:space="preserve">2、软件管理系统： </w:t>
            </w:r>
          </w:p>
          <w:p>
            <w:pPr>
              <w:adjustRightInd w:val="0"/>
              <w:snapToGrid w:val="0"/>
              <w:spacing w:line="360" w:lineRule="auto"/>
              <w:ind w:firstLine="422" w:firstLineChars="201"/>
              <w:jc w:val="left"/>
              <w:rPr>
                <w:rFonts w:ascii="宋体" w:hAnsi="宋体"/>
                <w:bCs/>
                <w:snapToGrid w:val="0"/>
                <w:kern w:val="0"/>
                <w:szCs w:val="21"/>
              </w:rPr>
            </w:pPr>
            <w:r>
              <w:rPr>
                <w:rFonts w:hint="eastAsia" w:ascii="宋体" w:hAnsi="宋体"/>
                <w:bCs/>
                <w:snapToGrid w:val="0"/>
                <w:kern w:val="0"/>
                <w:szCs w:val="21"/>
              </w:rPr>
              <w:t>2.1.具有无缝缩放技术，实现数字显微图像采集（采一张图就可获得所有光学倍数下的高清图像，可以放大≤60倍）。</w:t>
            </w:r>
          </w:p>
          <w:p>
            <w:pPr>
              <w:adjustRightInd w:val="0"/>
              <w:snapToGrid w:val="0"/>
              <w:spacing w:line="360" w:lineRule="auto"/>
              <w:ind w:firstLine="422" w:firstLineChars="201"/>
              <w:jc w:val="left"/>
              <w:rPr>
                <w:rFonts w:ascii="宋体" w:hAnsi="宋体"/>
                <w:bCs/>
                <w:snapToGrid w:val="0"/>
                <w:kern w:val="0"/>
                <w:szCs w:val="21"/>
              </w:rPr>
            </w:pPr>
            <w:r>
              <w:rPr>
                <w:rFonts w:hint="eastAsia" w:ascii="宋体" w:hAnsi="宋体"/>
                <w:bCs/>
                <w:snapToGrid w:val="0"/>
                <w:kern w:val="0"/>
                <w:szCs w:val="21"/>
              </w:rPr>
              <w:t>2.2.能够对检查全过程的图像进行采集、显示、冻结、储存、删除等操作。可进行姓名、年龄、病种、日期等查询方式。脚踏板控制采集方式。</w:t>
            </w:r>
          </w:p>
          <w:p>
            <w:pPr>
              <w:adjustRightInd w:val="0"/>
              <w:snapToGrid w:val="0"/>
              <w:spacing w:line="360" w:lineRule="auto"/>
              <w:ind w:firstLine="422" w:firstLineChars="201"/>
              <w:jc w:val="left"/>
              <w:rPr>
                <w:rFonts w:ascii="宋体" w:hAnsi="宋体"/>
                <w:bCs/>
                <w:snapToGrid w:val="0"/>
                <w:kern w:val="0"/>
                <w:szCs w:val="21"/>
              </w:rPr>
            </w:pPr>
            <w:r>
              <w:rPr>
                <w:rFonts w:hint="eastAsia" w:ascii="宋体" w:hAnsi="宋体"/>
                <w:bCs/>
                <w:snapToGrid w:val="0"/>
                <w:kern w:val="0"/>
                <w:szCs w:val="21"/>
              </w:rPr>
              <w:t>2.3.具有阴道镜血管分布增强显影功能,即对影像进行过滤变换处理,在滤除组织粘液同时，清晰显现毛细血管形态及收缩功能。</w:t>
            </w:r>
          </w:p>
          <w:p>
            <w:pPr>
              <w:adjustRightInd w:val="0"/>
              <w:snapToGrid w:val="0"/>
              <w:spacing w:line="360" w:lineRule="auto"/>
              <w:ind w:firstLine="422" w:firstLineChars="201"/>
              <w:jc w:val="left"/>
              <w:rPr>
                <w:rFonts w:ascii="宋体" w:hAnsi="宋体"/>
                <w:bCs/>
                <w:snapToGrid w:val="0"/>
                <w:kern w:val="0"/>
                <w:szCs w:val="21"/>
              </w:rPr>
            </w:pPr>
            <w:r>
              <w:rPr>
                <w:rFonts w:hint="eastAsia" w:ascii="宋体" w:hAnsi="宋体"/>
                <w:bCs/>
                <w:snapToGrid w:val="0"/>
                <w:kern w:val="0"/>
                <w:szCs w:val="21"/>
              </w:rPr>
              <w:t>2.4.提供对比分析,具备真实的测量功能，如病灶周长、面积的参数，具备加注标识(如活检检查)和RCI评估功能、国际标准。提供年、季、月统计功能。</w:t>
            </w:r>
          </w:p>
          <w:p>
            <w:pPr>
              <w:adjustRightInd w:val="0"/>
              <w:snapToGrid w:val="0"/>
              <w:spacing w:line="360" w:lineRule="auto"/>
              <w:ind w:firstLine="422" w:firstLineChars="201"/>
              <w:jc w:val="left"/>
              <w:rPr>
                <w:rFonts w:ascii="宋体" w:hAnsi="宋体"/>
                <w:bCs/>
                <w:snapToGrid w:val="0"/>
                <w:kern w:val="0"/>
                <w:szCs w:val="21"/>
              </w:rPr>
            </w:pPr>
            <w:r>
              <w:rPr>
                <w:rFonts w:hint="eastAsia" w:ascii="宋体" w:hAnsi="宋体"/>
                <w:bCs/>
                <w:snapToGrid w:val="0"/>
                <w:kern w:val="0"/>
                <w:szCs w:val="21"/>
              </w:rPr>
              <w:t>2.5.可单幅、双幅、四幅彩色图像的中文病历报告打印。</w:t>
            </w:r>
          </w:p>
          <w:p>
            <w:pPr>
              <w:adjustRightInd w:val="0"/>
              <w:snapToGrid w:val="0"/>
              <w:spacing w:line="360" w:lineRule="auto"/>
              <w:ind w:firstLine="422" w:firstLineChars="201"/>
              <w:jc w:val="left"/>
              <w:rPr>
                <w:rFonts w:ascii="宋体" w:hAnsi="宋体"/>
                <w:bCs/>
                <w:snapToGrid w:val="0"/>
                <w:kern w:val="0"/>
                <w:szCs w:val="21"/>
              </w:rPr>
            </w:pPr>
            <w:r>
              <w:rPr>
                <w:rFonts w:hint="eastAsia" w:ascii="宋体" w:hAnsi="宋体"/>
                <w:bCs/>
                <w:snapToGrid w:val="0"/>
                <w:kern w:val="0"/>
                <w:szCs w:val="21"/>
              </w:rPr>
              <w:t>2.6.临床表现、临床处理、诊断意见等提供标准术语库、用户可进行修改。</w:t>
            </w:r>
          </w:p>
          <w:p>
            <w:pPr>
              <w:adjustRightInd w:val="0"/>
              <w:snapToGrid w:val="0"/>
              <w:spacing w:line="360" w:lineRule="auto"/>
              <w:ind w:firstLine="422" w:firstLineChars="201"/>
              <w:jc w:val="left"/>
              <w:rPr>
                <w:rFonts w:ascii="宋体" w:hAnsi="宋体"/>
                <w:bCs/>
                <w:snapToGrid w:val="0"/>
                <w:kern w:val="0"/>
                <w:szCs w:val="21"/>
              </w:rPr>
            </w:pPr>
            <w:r>
              <w:rPr>
                <w:rFonts w:hint="eastAsia" w:ascii="宋体" w:hAnsi="宋体"/>
                <w:bCs/>
                <w:snapToGrid w:val="0"/>
                <w:kern w:val="0"/>
                <w:szCs w:val="21"/>
              </w:rPr>
              <w:t>2.7.采用特殊图像压缩技术、具有大容量图像存储、数据库管理，要求能储存200万幅以上图像数据，每次连续采图量1-100幅，并能保存。</w:t>
            </w:r>
          </w:p>
          <w:p>
            <w:pPr>
              <w:adjustRightInd w:val="0"/>
              <w:snapToGrid w:val="0"/>
              <w:spacing w:line="360" w:lineRule="auto"/>
              <w:ind w:firstLine="422" w:firstLineChars="201"/>
              <w:jc w:val="left"/>
              <w:rPr>
                <w:rFonts w:ascii="宋体" w:hAnsi="宋体"/>
                <w:bCs/>
                <w:snapToGrid w:val="0"/>
                <w:kern w:val="0"/>
                <w:szCs w:val="21"/>
              </w:rPr>
            </w:pPr>
            <w:r>
              <w:rPr>
                <w:rFonts w:hint="eastAsia" w:ascii="宋体" w:hAnsi="宋体"/>
                <w:bCs/>
                <w:snapToGrid w:val="0"/>
                <w:kern w:val="0"/>
                <w:szCs w:val="21"/>
              </w:rPr>
              <w:t>2.8.支持30小时动态实时图像&amp;声音硬盘录像，实时回放检查过程。</w:t>
            </w:r>
          </w:p>
          <w:p>
            <w:pPr>
              <w:adjustRightInd w:val="0"/>
              <w:snapToGrid w:val="0"/>
              <w:spacing w:line="360" w:lineRule="auto"/>
              <w:ind w:firstLine="422" w:firstLineChars="201"/>
              <w:jc w:val="left"/>
              <w:rPr>
                <w:rFonts w:ascii="宋体" w:hAnsi="宋体"/>
                <w:bCs/>
                <w:snapToGrid w:val="0"/>
                <w:kern w:val="0"/>
                <w:szCs w:val="21"/>
              </w:rPr>
            </w:pPr>
            <w:r>
              <w:rPr>
                <w:rFonts w:hint="eastAsia" w:ascii="宋体" w:hAnsi="宋体"/>
                <w:bCs/>
                <w:snapToGrid w:val="0"/>
                <w:kern w:val="0"/>
                <w:szCs w:val="21"/>
              </w:rPr>
              <w:t>2.9.检查图像自带检查时间，便于医生查证。</w:t>
            </w:r>
          </w:p>
          <w:p>
            <w:pPr>
              <w:adjustRightInd w:val="0"/>
              <w:snapToGrid w:val="0"/>
              <w:spacing w:line="360" w:lineRule="auto"/>
              <w:ind w:firstLine="422" w:firstLineChars="201"/>
              <w:jc w:val="left"/>
              <w:rPr>
                <w:rFonts w:ascii="宋体" w:hAnsi="宋体"/>
                <w:bCs/>
                <w:snapToGrid w:val="0"/>
                <w:kern w:val="0"/>
                <w:szCs w:val="21"/>
              </w:rPr>
            </w:pPr>
            <w:r>
              <w:rPr>
                <w:rFonts w:hint="eastAsia" w:ascii="宋体" w:hAnsi="宋体"/>
                <w:bCs/>
                <w:snapToGrid w:val="0"/>
                <w:kern w:val="0"/>
                <w:szCs w:val="21"/>
              </w:rPr>
              <w:t>2.10.具有醋酸实验时间提示。</w:t>
            </w:r>
          </w:p>
          <w:p>
            <w:pPr>
              <w:adjustRightInd w:val="0"/>
              <w:snapToGrid w:val="0"/>
              <w:spacing w:line="360" w:lineRule="auto"/>
              <w:ind w:firstLine="422" w:firstLineChars="201"/>
              <w:jc w:val="left"/>
              <w:rPr>
                <w:rFonts w:ascii="宋体" w:hAnsi="宋体"/>
                <w:bCs/>
                <w:snapToGrid w:val="0"/>
                <w:kern w:val="0"/>
                <w:szCs w:val="21"/>
              </w:rPr>
            </w:pPr>
            <w:r>
              <w:rPr>
                <w:rFonts w:hint="eastAsia" w:ascii="宋体" w:hAnsi="宋体"/>
                <w:bCs/>
                <w:snapToGrid w:val="0"/>
                <w:kern w:val="0"/>
                <w:szCs w:val="21"/>
              </w:rPr>
              <w:t>2.11.动、静态图像对比模式，全图库自动预览。</w:t>
            </w:r>
          </w:p>
          <w:p>
            <w:pPr>
              <w:adjustRightInd w:val="0"/>
              <w:snapToGrid w:val="0"/>
              <w:spacing w:line="360" w:lineRule="auto"/>
              <w:ind w:firstLine="422" w:firstLineChars="201"/>
              <w:jc w:val="left"/>
              <w:rPr>
                <w:rFonts w:ascii="宋体" w:hAnsi="宋体"/>
                <w:bCs/>
                <w:snapToGrid w:val="0"/>
                <w:kern w:val="0"/>
                <w:szCs w:val="21"/>
              </w:rPr>
            </w:pPr>
            <w:r>
              <w:rPr>
                <w:rFonts w:hint="eastAsia" w:ascii="宋体" w:hAnsi="宋体"/>
                <w:bCs/>
                <w:snapToGrid w:val="0"/>
                <w:kern w:val="0"/>
                <w:szCs w:val="21"/>
              </w:rPr>
              <w:t>2.12.卫生部两癌筛查标准报告模式，三阶梯标准报告。</w:t>
            </w:r>
          </w:p>
          <w:p>
            <w:pPr>
              <w:adjustRightInd w:val="0"/>
              <w:snapToGrid w:val="0"/>
              <w:spacing w:line="360" w:lineRule="auto"/>
              <w:ind w:firstLine="422" w:firstLineChars="201"/>
              <w:jc w:val="left"/>
              <w:rPr>
                <w:rFonts w:ascii="宋体" w:hAnsi="宋体"/>
                <w:bCs/>
                <w:snapToGrid w:val="0"/>
                <w:kern w:val="0"/>
                <w:szCs w:val="21"/>
              </w:rPr>
            </w:pPr>
            <w:r>
              <w:rPr>
                <w:rFonts w:hint="eastAsia" w:ascii="宋体" w:hAnsi="宋体"/>
                <w:bCs/>
                <w:snapToGrid w:val="0"/>
                <w:kern w:val="0"/>
                <w:szCs w:val="21"/>
              </w:rPr>
              <w:t>2.13.病历图片自动生成幻灯模式。所有病历报告可以保存在任意指定文件夹，并可以随时导出报告。</w:t>
            </w:r>
          </w:p>
          <w:p>
            <w:pPr>
              <w:adjustRightInd w:val="0"/>
              <w:snapToGrid w:val="0"/>
              <w:spacing w:line="360" w:lineRule="auto"/>
              <w:ind w:firstLine="422" w:firstLineChars="201"/>
              <w:jc w:val="left"/>
              <w:rPr>
                <w:rFonts w:ascii="宋体" w:hAnsi="宋体"/>
                <w:bCs/>
                <w:snapToGrid w:val="0"/>
                <w:kern w:val="0"/>
                <w:szCs w:val="21"/>
              </w:rPr>
            </w:pPr>
            <w:r>
              <w:rPr>
                <w:rFonts w:hint="eastAsia" w:ascii="宋体" w:hAnsi="宋体"/>
                <w:bCs/>
                <w:snapToGrid w:val="0"/>
                <w:kern w:val="0"/>
                <w:szCs w:val="21"/>
              </w:rPr>
              <w:t>2.14.不同的病种以不同的颜色标记，方便查询和统计。</w:t>
            </w:r>
          </w:p>
          <w:p>
            <w:pPr>
              <w:adjustRightInd w:val="0"/>
              <w:snapToGrid w:val="0"/>
              <w:spacing w:line="360" w:lineRule="auto"/>
              <w:ind w:firstLine="422" w:firstLineChars="201"/>
              <w:jc w:val="left"/>
              <w:rPr>
                <w:rFonts w:ascii="宋体" w:hAnsi="宋体"/>
                <w:bCs/>
                <w:snapToGrid w:val="0"/>
                <w:kern w:val="0"/>
                <w:szCs w:val="21"/>
              </w:rPr>
            </w:pPr>
            <w:r>
              <w:rPr>
                <w:rFonts w:hint="eastAsia" w:ascii="宋体" w:hAnsi="宋体"/>
                <w:bCs/>
                <w:snapToGrid w:val="0"/>
                <w:kern w:val="0"/>
                <w:szCs w:val="21"/>
              </w:rPr>
              <w:t>2.15.图像后期细节处理，包括图像颜色、亮度的调整，能使采集的图像更完美。</w:t>
            </w:r>
          </w:p>
          <w:p>
            <w:pPr>
              <w:adjustRightInd w:val="0"/>
              <w:snapToGrid w:val="0"/>
              <w:spacing w:line="360" w:lineRule="auto"/>
              <w:ind w:firstLine="422" w:firstLineChars="201"/>
              <w:jc w:val="left"/>
              <w:rPr>
                <w:rFonts w:ascii="宋体" w:hAnsi="宋体"/>
                <w:bCs/>
                <w:snapToGrid w:val="0"/>
                <w:kern w:val="0"/>
                <w:szCs w:val="21"/>
              </w:rPr>
            </w:pPr>
            <w:r>
              <w:rPr>
                <w:rFonts w:hint="eastAsia" w:ascii="宋体" w:hAnsi="宋体"/>
                <w:bCs/>
                <w:snapToGrid w:val="0"/>
                <w:kern w:val="0"/>
                <w:szCs w:val="21"/>
              </w:rPr>
              <w:t xml:space="preserve">2.16.▲ </w:t>
            </w:r>
            <w:bookmarkStart w:id="4" w:name="_Hlk83110054"/>
            <w:r>
              <w:rPr>
                <w:rFonts w:hint="eastAsia" w:ascii="宋体" w:hAnsi="宋体"/>
                <w:bCs/>
                <w:snapToGrid w:val="0"/>
                <w:kern w:val="0"/>
                <w:szCs w:val="21"/>
              </w:rPr>
              <w:t>预装人工智能AICS图像识别系统:自动识别正常图像、低级别图像、高级别图像、癌、杂类图像；自动标识活病灶活检范围；不用联网上传云端，可对宫颈图像进行智能识别。</w:t>
            </w:r>
          </w:p>
          <w:bookmarkEnd w:id="4"/>
          <w:p>
            <w:pPr>
              <w:adjustRightInd w:val="0"/>
              <w:snapToGrid w:val="0"/>
              <w:spacing w:line="360" w:lineRule="auto"/>
              <w:jc w:val="left"/>
              <w:rPr>
                <w:rFonts w:ascii="宋体" w:hAnsi="宋体"/>
                <w:bCs/>
                <w:snapToGrid w:val="0"/>
                <w:kern w:val="0"/>
                <w:szCs w:val="21"/>
              </w:rPr>
            </w:pPr>
            <w:r>
              <w:rPr>
                <w:rFonts w:hint="eastAsia" w:ascii="宋体" w:hAnsi="宋体"/>
                <w:bCs/>
                <w:snapToGrid w:val="0"/>
                <w:kern w:val="0"/>
                <w:szCs w:val="21"/>
              </w:rPr>
              <w:t>其他要求：</w:t>
            </w:r>
          </w:p>
          <w:p>
            <w:pPr>
              <w:adjustRightInd w:val="0"/>
              <w:snapToGrid w:val="0"/>
              <w:spacing w:line="360" w:lineRule="auto"/>
              <w:jc w:val="left"/>
              <w:rPr>
                <w:rFonts w:ascii="宋体" w:hAnsi="宋体"/>
                <w:bCs/>
                <w:snapToGrid w:val="0"/>
                <w:kern w:val="0"/>
                <w:szCs w:val="21"/>
              </w:rPr>
            </w:pPr>
            <w:r>
              <w:rPr>
                <w:rFonts w:hint="eastAsia" w:ascii="宋体" w:hAnsi="宋体"/>
                <w:bCs/>
                <w:snapToGrid w:val="0"/>
                <w:kern w:val="0"/>
                <w:szCs w:val="21"/>
              </w:rPr>
              <w:t>1、验收周期：安装后1个月。</w:t>
            </w:r>
          </w:p>
          <w:p>
            <w:pPr>
              <w:adjustRightInd w:val="0"/>
              <w:snapToGrid w:val="0"/>
              <w:spacing w:line="360" w:lineRule="auto"/>
              <w:jc w:val="left"/>
              <w:rPr>
                <w:rFonts w:ascii="宋体" w:hAnsi="宋体"/>
                <w:bCs/>
                <w:snapToGrid w:val="0"/>
                <w:kern w:val="0"/>
                <w:szCs w:val="21"/>
              </w:rPr>
            </w:pPr>
            <w:r>
              <w:rPr>
                <w:rFonts w:hint="eastAsia" w:ascii="宋体" w:hAnsi="宋体"/>
                <w:bCs/>
                <w:snapToGrid w:val="0"/>
                <w:kern w:val="0"/>
                <w:szCs w:val="21"/>
              </w:rPr>
              <w:t>2、交货时，设备出厂时间：≤1年。</w:t>
            </w:r>
          </w:p>
          <w:p>
            <w:pPr>
              <w:adjustRightInd w:val="0"/>
              <w:snapToGrid w:val="0"/>
              <w:spacing w:line="360" w:lineRule="auto"/>
              <w:jc w:val="left"/>
              <w:rPr>
                <w:rFonts w:ascii="宋体" w:hAnsi="宋体"/>
                <w:bCs/>
                <w:snapToGrid w:val="0"/>
                <w:kern w:val="0"/>
                <w:szCs w:val="21"/>
              </w:rPr>
            </w:pPr>
            <w:r>
              <w:rPr>
                <w:rFonts w:hint="eastAsia" w:ascii="宋体" w:hAnsi="宋体"/>
                <w:bCs/>
                <w:snapToGrid w:val="0"/>
                <w:kern w:val="0"/>
                <w:szCs w:val="21"/>
              </w:rPr>
              <w:t>3、配件价格不得高于深圳市成交价，投标文件中提供配件报价清单。</w:t>
            </w:r>
          </w:p>
          <w:p>
            <w:pPr>
              <w:adjustRightInd w:val="0"/>
              <w:snapToGrid w:val="0"/>
              <w:spacing w:line="360" w:lineRule="auto"/>
              <w:jc w:val="left"/>
              <w:rPr>
                <w:rFonts w:ascii="宋体" w:hAnsi="宋体"/>
                <w:bCs/>
                <w:snapToGrid w:val="0"/>
                <w:kern w:val="0"/>
                <w:szCs w:val="21"/>
              </w:rPr>
            </w:pPr>
            <w:r>
              <w:rPr>
                <w:rFonts w:hint="eastAsia" w:ascii="宋体" w:hAnsi="宋体"/>
                <w:bCs/>
                <w:snapToGrid w:val="0"/>
                <w:kern w:val="0"/>
                <w:szCs w:val="21"/>
              </w:rPr>
              <w:t>4、年全保费用低于设备价格5% 。</w:t>
            </w:r>
          </w:p>
          <w:p>
            <w:pPr>
              <w:adjustRightInd w:val="0"/>
              <w:snapToGrid w:val="0"/>
              <w:spacing w:line="360" w:lineRule="auto"/>
              <w:jc w:val="left"/>
              <w:rPr>
                <w:rFonts w:ascii="宋体" w:hAnsi="宋体"/>
                <w:bCs/>
                <w:snapToGrid w:val="0"/>
                <w:kern w:val="0"/>
                <w:szCs w:val="21"/>
              </w:rPr>
            </w:pPr>
            <w:r>
              <w:rPr>
                <w:rFonts w:hint="eastAsia" w:ascii="宋体" w:hAnsi="宋体"/>
                <w:bCs/>
                <w:snapToGrid w:val="0"/>
                <w:kern w:val="0"/>
                <w:szCs w:val="21"/>
              </w:rPr>
              <w:t>5、设备使用年限：≥5年。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08"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 xml:space="preserve"> 二、标准配置要求：</w:t>
            </w:r>
          </w:p>
        </w:tc>
        <w:tc>
          <w:tcPr>
            <w:tcW w:w="8680"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jc w:val="left"/>
              <w:rPr>
                <w:rFonts w:ascii="宋体" w:hAnsi="宋体"/>
                <w:bCs/>
                <w:snapToGrid w:val="0"/>
                <w:kern w:val="0"/>
                <w:szCs w:val="21"/>
              </w:rPr>
            </w:pPr>
            <w:r>
              <w:rPr>
                <w:rFonts w:hint="eastAsia" w:ascii="宋体" w:hAnsi="宋体"/>
                <w:bCs/>
                <w:snapToGrid w:val="0"/>
                <w:kern w:val="0"/>
                <w:szCs w:val="21"/>
              </w:rPr>
              <w:t>阴道显微镜 1套 ：</w:t>
            </w:r>
          </w:p>
          <w:p>
            <w:pPr>
              <w:adjustRightInd w:val="0"/>
              <w:snapToGrid w:val="0"/>
              <w:spacing w:line="360" w:lineRule="auto"/>
              <w:jc w:val="left"/>
              <w:rPr>
                <w:rFonts w:ascii="宋体" w:hAnsi="宋体"/>
                <w:bCs/>
                <w:snapToGrid w:val="0"/>
                <w:kern w:val="0"/>
                <w:szCs w:val="21"/>
              </w:rPr>
            </w:pPr>
            <w:r>
              <w:rPr>
                <w:rFonts w:hint="eastAsia" w:ascii="宋体" w:hAnsi="宋体"/>
                <w:bCs/>
                <w:snapToGrid w:val="0"/>
                <w:kern w:val="0"/>
                <w:szCs w:val="21"/>
              </w:rPr>
              <w:t>1.显微光学镜头</w:t>
            </w:r>
            <w:r>
              <w:rPr>
                <w:rFonts w:hint="eastAsia" w:ascii="宋体" w:hAnsi="宋体"/>
                <w:bCs/>
                <w:snapToGrid w:val="0"/>
                <w:kern w:val="0"/>
                <w:szCs w:val="21"/>
              </w:rPr>
              <w:tab/>
            </w:r>
            <w:r>
              <w:rPr>
                <w:rFonts w:hint="eastAsia" w:ascii="宋体" w:hAnsi="宋体"/>
                <w:bCs/>
                <w:snapToGrid w:val="0"/>
                <w:kern w:val="0"/>
                <w:szCs w:val="21"/>
              </w:rPr>
              <w:t xml:space="preserve">     1套</w:t>
            </w:r>
          </w:p>
          <w:p>
            <w:pPr>
              <w:adjustRightInd w:val="0"/>
              <w:snapToGrid w:val="0"/>
              <w:spacing w:line="360" w:lineRule="auto"/>
              <w:jc w:val="left"/>
              <w:rPr>
                <w:rFonts w:ascii="宋体" w:hAnsi="宋体"/>
                <w:bCs/>
                <w:snapToGrid w:val="0"/>
                <w:kern w:val="0"/>
                <w:szCs w:val="21"/>
              </w:rPr>
            </w:pPr>
            <w:r>
              <w:rPr>
                <w:rFonts w:hint="eastAsia" w:ascii="宋体" w:hAnsi="宋体"/>
                <w:bCs/>
                <w:snapToGrid w:val="0"/>
                <w:kern w:val="0"/>
                <w:szCs w:val="21"/>
              </w:rPr>
              <w:t>2.摄像系统</w:t>
            </w:r>
            <w:r>
              <w:rPr>
                <w:rFonts w:hint="eastAsia" w:ascii="宋体" w:hAnsi="宋体"/>
                <w:bCs/>
                <w:snapToGrid w:val="0"/>
                <w:kern w:val="0"/>
                <w:szCs w:val="21"/>
              </w:rPr>
              <w:tab/>
            </w:r>
            <w:r>
              <w:rPr>
                <w:rFonts w:hint="eastAsia" w:ascii="宋体" w:hAnsi="宋体"/>
                <w:bCs/>
                <w:snapToGrid w:val="0"/>
                <w:kern w:val="0"/>
                <w:szCs w:val="21"/>
              </w:rPr>
              <w:t xml:space="preserve">         1套</w:t>
            </w:r>
          </w:p>
          <w:p>
            <w:pPr>
              <w:adjustRightInd w:val="0"/>
              <w:snapToGrid w:val="0"/>
              <w:spacing w:line="360" w:lineRule="auto"/>
              <w:jc w:val="left"/>
              <w:rPr>
                <w:rFonts w:ascii="宋体" w:hAnsi="宋体"/>
                <w:bCs/>
                <w:snapToGrid w:val="0"/>
                <w:kern w:val="0"/>
                <w:szCs w:val="21"/>
              </w:rPr>
            </w:pPr>
            <w:r>
              <w:rPr>
                <w:rFonts w:hint="eastAsia" w:ascii="宋体" w:hAnsi="宋体"/>
                <w:bCs/>
                <w:snapToGrid w:val="0"/>
                <w:kern w:val="0"/>
                <w:szCs w:val="21"/>
              </w:rPr>
              <w:t>3.LED冷光源照明系统</w:t>
            </w:r>
            <w:r>
              <w:rPr>
                <w:rFonts w:hint="eastAsia" w:ascii="宋体" w:hAnsi="宋体"/>
                <w:bCs/>
                <w:snapToGrid w:val="0"/>
                <w:kern w:val="0"/>
                <w:szCs w:val="21"/>
              </w:rPr>
              <w:tab/>
            </w:r>
            <w:r>
              <w:rPr>
                <w:rFonts w:hint="eastAsia" w:ascii="宋体" w:hAnsi="宋体"/>
                <w:bCs/>
                <w:snapToGrid w:val="0"/>
                <w:kern w:val="0"/>
                <w:szCs w:val="21"/>
              </w:rPr>
              <w:t xml:space="preserve"> 1台</w:t>
            </w:r>
          </w:p>
          <w:p>
            <w:pPr>
              <w:adjustRightInd w:val="0"/>
              <w:snapToGrid w:val="0"/>
              <w:spacing w:line="360" w:lineRule="auto"/>
              <w:jc w:val="left"/>
              <w:rPr>
                <w:rFonts w:ascii="宋体" w:hAnsi="宋体"/>
                <w:bCs/>
                <w:snapToGrid w:val="0"/>
                <w:kern w:val="0"/>
                <w:szCs w:val="21"/>
              </w:rPr>
            </w:pPr>
            <w:r>
              <w:rPr>
                <w:rFonts w:hint="eastAsia" w:ascii="宋体" w:hAnsi="宋体"/>
                <w:bCs/>
                <w:snapToGrid w:val="0"/>
                <w:kern w:val="0"/>
                <w:szCs w:val="21"/>
              </w:rPr>
              <w:t xml:space="preserve">4.图像处理器     </w:t>
            </w:r>
            <w:r>
              <w:rPr>
                <w:rFonts w:hint="eastAsia" w:ascii="宋体" w:hAnsi="宋体"/>
                <w:bCs/>
                <w:snapToGrid w:val="0"/>
                <w:kern w:val="0"/>
                <w:szCs w:val="21"/>
              </w:rPr>
              <w:tab/>
            </w:r>
            <w:r>
              <w:rPr>
                <w:rFonts w:hint="eastAsia" w:ascii="宋体" w:hAnsi="宋体"/>
                <w:bCs/>
                <w:snapToGrid w:val="0"/>
                <w:kern w:val="0"/>
                <w:szCs w:val="21"/>
              </w:rPr>
              <w:t xml:space="preserve"> 1套</w:t>
            </w:r>
          </w:p>
          <w:p>
            <w:pPr>
              <w:adjustRightInd w:val="0"/>
              <w:snapToGrid w:val="0"/>
              <w:spacing w:line="360" w:lineRule="auto"/>
              <w:jc w:val="left"/>
              <w:rPr>
                <w:rFonts w:ascii="宋体" w:hAnsi="宋体"/>
                <w:bCs/>
                <w:snapToGrid w:val="0"/>
                <w:kern w:val="0"/>
                <w:szCs w:val="21"/>
              </w:rPr>
            </w:pPr>
            <w:r>
              <w:rPr>
                <w:rFonts w:hint="eastAsia" w:ascii="宋体" w:hAnsi="宋体"/>
                <w:bCs/>
                <w:snapToGrid w:val="0"/>
                <w:kern w:val="0"/>
                <w:szCs w:val="21"/>
              </w:rPr>
              <w:t>5.辅助支架系统</w:t>
            </w:r>
            <w:r>
              <w:rPr>
                <w:rFonts w:hint="eastAsia" w:ascii="宋体" w:hAnsi="宋体"/>
                <w:bCs/>
                <w:snapToGrid w:val="0"/>
                <w:kern w:val="0"/>
                <w:szCs w:val="21"/>
              </w:rPr>
              <w:tab/>
            </w:r>
            <w:r>
              <w:rPr>
                <w:rFonts w:hint="eastAsia" w:ascii="宋体" w:hAnsi="宋体"/>
                <w:bCs/>
                <w:snapToGrid w:val="0"/>
                <w:kern w:val="0"/>
                <w:szCs w:val="21"/>
              </w:rPr>
              <w:t xml:space="preserve">     1套</w:t>
            </w:r>
          </w:p>
          <w:p>
            <w:pPr>
              <w:adjustRightInd w:val="0"/>
              <w:snapToGrid w:val="0"/>
              <w:spacing w:line="360" w:lineRule="auto"/>
              <w:jc w:val="left"/>
              <w:rPr>
                <w:rFonts w:ascii="宋体" w:hAnsi="宋体"/>
                <w:bCs/>
                <w:snapToGrid w:val="0"/>
                <w:kern w:val="0"/>
                <w:szCs w:val="21"/>
              </w:rPr>
            </w:pPr>
            <w:r>
              <w:rPr>
                <w:rFonts w:hint="eastAsia" w:ascii="宋体" w:hAnsi="宋体"/>
                <w:bCs/>
                <w:snapToGrid w:val="0"/>
                <w:kern w:val="0"/>
                <w:szCs w:val="21"/>
              </w:rPr>
              <w:t>6.彩色激光打印机     1台</w:t>
            </w:r>
          </w:p>
          <w:p>
            <w:pPr>
              <w:adjustRightInd w:val="0"/>
              <w:snapToGrid w:val="0"/>
              <w:spacing w:line="360" w:lineRule="auto"/>
              <w:jc w:val="left"/>
              <w:rPr>
                <w:rFonts w:ascii="宋体" w:hAnsi="宋体"/>
                <w:bCs/>
                <w:snapToGrid w:val="0"/>
                <w:kern w:val="0"/>
                <w:szCs w:val="21"/>
              </w:rPr>
            </w:pPr>
            <w:r>
              <w:rPr>
                <w:rFonts w:hint="eastAsia" w:ascii="宋体" w:hAnsi="宋体"/>
                <w:bCs/>
                <w:snapToGrid w:val="0"/>
                <w:kern w:val="0"/>
                <w:szCs w:val="21"/>
              </w:rPr>
              <w:t>7.照片打印纸         500张</w:t>
            </w:r>
          </w:p>
        </w:tc>
      </w:tr>
    </w:tbl>
    <w:p>
      <w:pPr>
        <w:spacing w:line="360" w:lineRule="auto"/>
        <w:rPr>
          <w:rFonts w:ascii="宋体" w:hAnsi="宋体"/>
          <w:b/>
          <w:bCs/>
          <w:snapToGrid w:val="0"/>
          <w:kern w:val="0"/>
          <w:sz w:val="24"/>
        </w:rPr>
      </w:pPr>
    </w:p>
    <w:p>
      <w:pPr>
        <w:spacing w:line="360" w:lineRule="auto"/>
        <w:rPr>
          <w:rFonts w:ascii="宋体" w:hAnsi="宋体"/>
          <w:b/>
          <w:bCs/>
          <w:snapToGrid w:val="0"/>
          <w:kern w:val="0"/>
          <w:sz w:val="24"/>
        </w:rPr>
      </w:pPr>
      <w:r>
        <w:rPr>
          <w:rFonts w:hint="eastAsia" w:ascii="宋体" w:hAnsi="宋体"/>
          <w:b/>
          <w:bCs/>
          <w:snapToGrid w:val="0"/>
          <w:kern w:val="0"/>
          <w:sz w:val="24"/>
        </w:rPr>
        <w:t>三、商务要求</w:t>
      </w:r>
    </w:p>
    <w:p>
      <w:pPr>
        <w:widowControl/>
        <w:spacing w:line="360" w:lineRule="auto"/>
        <w:jc w:val="left"/>
        <w:outlineLvl w:val="0"/>
        <w:rPr>
          <w:rFonts w:ascii="宋体" w:hAnsi="宋体"/>
          <w:b/>
          <w:kern w:val="0"/>
          <w:szCs w:val="21"/>
        </w:rPr>
      </w:pPr>
      <w:bookmarkStart w:id="5" w:name="_Toc73610137"/>
      <w:r>
        <w:rPr>
          <w:rFonts w:hint="eastAsia" w:ascii="宋体" w:hAnsi="宋体"/>
          <w:kern w:val="0"/>
          <w:szCs w:val="21"/>
          <w:highlight w:val="yellow"/>
        </w:rPr>
        <w:t>★</w:t>
      </w:r>
      <w:r>
        <w:rPr>
          <w:rFonts w:hint="eastAsia" w:ascii="宋体" w:hAnsi="宋体"/>
          <w:b/>
          <w:kern w:val="0"/>
          <w:szCs w:val="21"/>
          <w:highlight w:val="yellow"/>
        </w:rPr>
        <w:t>（一）交货期：签订合同后</w:t>
      </w:r>
      <w:r>
        <w:rPr>
          <w:rFonts w:hint="eastAsia" w:ascii="宋体" w:hAnsi="宋体"/>
          <w:b/>
          <w:kern w:val="0"/>
          <w:szCs w:val="21"/>
          <w:highlight w:val="yellow"/>
          <w:u w:val="single"/>
        </w:rPr>
        <w:t>30天（日历日）</w:t>
      </w:r>
      <w:r>
        <w:rPr>
          <w:rFonts w:hint="eastAsia" w:ascii="宋体" w:hAnsi="宋体"/>
          <w:b/>
          <w:kern w:val="0"/>
          <w:szCs w:val="21"/>
          <w:highlight w:val="yellow"/>
        </w:rPr>
        <w:t>内交货。指合同生效后，中标人将全部货物运抵采购人指定地点并安装调试完成，经验收合格，正式交付采购人使用所需的时间。</w:t>
      </w:r>
      <w:bookmarkEnd w:id="5"/>
    </w:p>
    <w:p>
      <w:pPr>
        <w:widowControl/>
        <w:spacing w:line="360" w:lineRule="auto"/>
        <w:jc w:val="left"/>
        <w:outlineLvl w:val="0"/>
        <w:rPr>
          <w:rFonts w:ascii="宋体" w:hAnsi="宋体"/>
          <w:kern w:val="0"/>
          <w:szCs w:val="21"/>
        </w:rPr>
      </w:pPr>
      <w:bookmarkStart w:id="6" w:name="_Toc73610138"/>
      <w:r>
        <w:rPr>
          <w:rFonts w:hint="eastAsia" w:ascii="宋体" w:hAnsi="宋体"/>
          <w:kern w:val="0"/>
          <w:szCs w:val="21"/>
        </w:rPr>
        <w:t>（二）交货地点：采购人指定地点。</w:t>
      </w:r>
      <w:bookmarkEnd w:id="6"/>
    </w:p>
    <w:p>
      <w:pPr>
        <w:widowControl/>
        <w:spacing w:line="360" w:lineRule="auto"/>
        <w:jc w:val="left"/>
        <w:outlineLvl w:val="0"/>
        <w:rPr>
          <w:rFonts w:ascii="宋体" w:hAnsi="宋体"/>
          <w:kern w:val="0"/>
          <w:szCs w:val="21"/>
        </w:rPr>
      </w:pPr>
      <w:bookmarkStart w:id="7" w:name="_Toc73610139"/>
      <w:r>
        <w:rPr>
          <w:rFonts w:hint="eastAsia" w:ascii="宋体" w:hAnsi="宋体"/>
          <w:kern w:val="0"/>
          <w:szCs w:val="21"/>
        </w:rPr>
        <w:t>（三）报价要求：投标报价必须是完成该项目的一切费用总和，包括设备费、运输费、装卸费、安装费、调试费、保险费、技术培训费、售后服务费、国家规定的各项税费等全部费用。</w:t>
      </w:r>
      <w:bookmarkEnd w:id="7"/>
    </w:p>
    <w:p>
      <w:pPr>
        <w:spacing w:line="360" w:lineRule="auto"/>
        <w:jc w:val="left"/>
        <w:rPr>
          <w:rFonts w:ascii="宋体" w:hAnsi="宋体"/>
          <w:szCs w:val="21"/>
        </w:rPr>
      </w:pPr>
      <w:r>
        <w:rPr>
          <w:rFonts w:hint="eastAsia" w:ascii="宋体" w:hAnsi="宋体"/>
          <w:szCs w:val="21"/>
        </w:rPr>
        <w:t>（四）付款方式：</w:t>
      </w:r>
    </w:p>
    <w:p>
      <w:pPr>
        <w:spacing w:line="360" w:lineRule="auto"/>
        <w:ind w:firstLine="630" w:firstLineChars="300"/>
        <w:jc w:val="left"/>
        <w:rPr>
          <w:rFonts w:ascii="宋体" w:hAnsi="宋体"/>
          <w:szCs w:val="21"/>
        </w:rPr>
      </w:pPr>
      <w:r>
        <w:rPr>
          <w:rFonts w:hint="eastAsia" w:ascii="宋体" w:hAnsi="宋体"/>
          <w:szCs w:val="21"/>
        </w:rPr>
        <w:t>按龙岗区财政局相关规定执行。</w:t>
      </w:r>
    </w:p>
    <w:p>
      <w:pPr>
        <w:spacing w:line="360" w:lineRule="auto"/>
        <w:jc w:val="left"/>
      </w:pPr>
      <w:r>
        <w:rPr>
          <w:rFonts w:hint="eastAsia"/>
        </w:rPr>
        <w:t>（五）售后服务条款</w:t>
      </w:r>
    </w:p>
    <w:p>
      <w:pPr>
        <w:spacing w:line="360" w:lineRule="auto"/>
        <w:jc w:val="left"/>
      </w:pPr>
      <w:r>
        <w:rPr>
          <w:rFonts w:hint="eastAsia"/>
        </w:rPr>
        <w:t>1、在广东省内有售后服务机构，并提供其服务机构的证明材料及详细的地址、联系方式。</w:t>
      </w:r>
    </w:p>
    <w:p>
      <w:pPr>
        <w:spacing w:line="360" w:lineRule="auto"/>
        <w:jc w:val="left"/>
      </w:pPr>
      <w:r>
        <w:rPr>
          <w:rFonts w:hint="eastAsia"/>
        </w:rPr>
        <w:t>2、验收时提供产品中文说明书、操作手册、维修手册、设备操作流程卡、故障代码表、维修密码及一切和本项目有关的资料及说明；如是进口产品还应提供英文说明书、操作手册、维修手册。如不能提供维修资料，保修期在原基础上延长12个月。</w:t>
      </w:r>
    </w:p>
    <w:p>
      <w:pPr>
        <w:spacing w:line="360" w:lineRule="auto"/>
        <w:jc w:val="left"/>
      </w:pPr>
      <w:r>
        <w:rPr>
          <w:rFonts w:hint="eastAsia"/>
        </w:rPr>
        <w:t>3、（1）对所提供的设备整机质保期：至少3年，（以验收合格之日起计算），保修期：3年。</w:t>
      </w:r>
    </w:p>
    <w:p>
      <w:pPr>
        <w:spacing w:line="360" w:lineRule="auto"/>
        <w:jc w:val="left"/>
      </w:pPr>
      <w:r>
        <w:rPr>
          <w:rFonts w:hint="eastAsia"/>
        </w:rPr>
        <w:t>（2）质保期内保证每年有4次或以上预防性维护保养。</w:t>
      </w:r>
    </w:p>
    <w:p>
      <w:pPr>
        <w:spacing w:line="360" w:lineRule="auto"/>
        <w:jc w:val="left"/>
      </w:pPr>
      <w:r>
        <w:rPr>
          <w:rFonts w:hint="eastAsia"/>
        </w:rPr>
        <w:t>（3）在质保期和保修期内，一旦发生质量问题，投标人保证在接到通知24小时内赶到现场进行修理或更换。质保期内非因用户的人为原因而出现质量问题，由投标人负责包修、包换或者包退，并承担修理、调换或退换的实际费用。投标人不能修理或不能调换，按不能交货处理。</w:t>
      </w:r>
    </w:p>
    <w:p>
      <w:pPr>
        <w:spacing w:line="360" w:lineRule="auto"/>
        <w:jc w:val="left"/>
      </w:pPr>
      <w:r>
        <w:rPr>
          <w:rFonts w:hint="eastAsia"/>
        </w:rPr>
        <w:t>（4）保修期内，免费维修，用户只承担更换零备件的费用。</w:t>
      </w:r>
    </w:p>
    <w:p>
      <w:pPr>
        <w:spacing w:line="360" w:lineRule="auto"/>
        <w:jc w:val="left"/>
      </w:pPr>
      <w:r>
        <w:rPr>
          <w:rFonts w:hint="eastAsia"/>
        </w:rPr>
        <w:t>（5）由生产厂家提供承诺书，终身维护。</w:t>
      </w:r>
    </w:p>
    <w:p>
      <w:pPr>
        <w:spacing w:line="360" w:lineRule="auto"/>
        <w:jc w:val="left"/>
      </w:pPr>
      <w:r>
        <w:rPr>
          <w:rFonts w:hint="eastAsia"/>
        </w:rPr>
        <w:t>4、终身免费提供软件升级、软件备份。</w:t>
      </w:r>
    </w:p>
    <w:p>
      <w:pPr>
        <w:spacing w:line="360" w:lineRule="auto"/>
        <w:jc w:val="left"/>
      </w:pPr>
      <w:r>
        <w:rPr>
          <w:rFonts w:hint="eastAsia"/>
        </w:rPr>
        <w:t>5、提供备品备件清单, 提供消耗品优惠价格，提供零配件优惠价格。</w:t>
      </w:r>
    </w:p>
    <w:p>
      <w:pPr>
        <w:spacing w:line="360" w:lineRule="auto"/>
        <w:jc w:val="left"/>
      </w:pPr>
      <w:r>
        <w:rPr>
          <w:rFonts w:hint="eastAsia"/>
        </w:rPr>
        <w:t>6、安排专业人员免费在现场对采购单位临床操作人员进行专业的培训，并对维修工程师进行维护、维修培训。保证使用人员能够熟练掌握各种设备和软件等常规使用方法，以及小故障的判断与解决。</w:t>
      </w:r>
    </w:p>
    <w:p>
      <w:pPr>
        <w:spacing w:line="360" w:lineRule="auto"/>
        <w:jc w:val="left"/>
      </w:pPr>
      <w:r>
        <w:rPr>
          <w:rFonts w:hint="eastAsia"/>
        </w:rPr>
        <w:t>7、在保修期内，中标人必须保证设备的开机率&gt;95%；若不能达到此开机率，将作以下处理：⑴开机率在90-95%之间按一赔二延长保修期；⑵开机率在85-90%之间按一赔五延长保修期；⑶开机率低于85%，中标人必须无条件更换新机，并重新计算保修期，以及赔偿用户的直接经济损失和间接经济损失。</w:t>
      </w:r>
    </w:p>
    <w:p>
      <w:pPr>
        <w:spacing w:line="360" w:lineRule="auto"/>
        <w:jc w:val="left"/>
      </w:pPr>
      <w:r>
        <w:rPr>
          <w:rFonts w:hint="eastAsia"/>
        </w:rPr>
        <w:t>8、（1）投标时，供应商承诺保修期外，能及时为用户提供备品备件、专用试剂及耗材。</w:t>
      </w:r>
    </w:p>
    <w:p>
      <w:pPr>
        <w:spacing w:line="360" w:lineRule="auto"/>
        <w:jc w:val="left"/>
      </w:pPr>
      <w:r>
        <w:rPr>
          <w:rFonts w:hint="eastAsia"/>
        </w:rPr>
        <w:t>（2）签订合同时，为保证设备正常运行由生产厂家或中国总代理出具承诺书，保证该设备购置后至少7年供应的备品备件、专用试剂及耗材是在注册证有效期内生产的，并加盖生产厂家或中国总代理公章。（作为备品备件供应的考核项）</w:t>
      </w:r>
    </w:p>
    <w:p>
      <w:pPr>
        <w:spacing w:line="360" w:lineRule="auto"/>
        <w:jc w:val="left"/>
      </w:pPr>
      <w:r>
        <w:rPr>
          <w:rFonts w:hint="eastAsia"/>
        </w:rPr>
        <w:t>9、投标人在投标文件所承诺的仪器功能，所需的硬件和软件必须配置齐全。</w:t>
      </w:r>
    </w:p>
    <w:p>
      <w:pPr>
        <w:spacing w:line="360" w:lineRule="auto"/>
        <w:jc w:val="left"/>
      </w:pPr>
      <w:r>
        <w:rPr>
          <w:rFonts w:hint="eastAsia"/>
        </w:rPr>
        <w:t>10、投标人投标时须提供《投标人承诺在合同签订前能提供生产商或生产商指定的具有售后服务资质的机构出具的符合招标要求的售后服务承诺函原件》的承诺，投标人在签订合同时未能提供该售后服务承诺函原件的，不予签订合同。</w:t>
      </w:r>
    </w:p>
    <w:p/>
    <w:p/>
    <w:p>
      <w:pPr>
        <w:widowControl/>
        <w:jc w:val="left"/>
      </w:pPr>
    </w:p>
    <w:p>
      <w:pPr>
        <w:widowControl/>
        <w:jc w:val="left"/>
      </w:pPr>
      <w:r>
        <w:br w:type="page"/>
      </w:r>
    </w:p>
    <w:p/>
    <w:p>
      <w:pPr>
        <w:pStyle w:val="2"/>
      </w:pPr>
      <w:bookmarkStart w:id="8" w:name="_Toc73610140"/>
      <w:r>
        <w:rPr>
          <w:rFonts w:hint="eastAsia"/>
        </w:rPr>
        <w:t>第三章  投标文件初审</w:t>
      </w:r>
      <w:bookmarkEnd w:id="8"/>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pPr>
        <w:adjustRightInd w:val="0"/>
        <w:spacing w:line="360" w:lineRule="auto"/>
        <w:rPr>
          <w:snapToGrid w:val="0"/>
          <w:kern w:val="0"/>
        </w:rPr>
      </w:pPr>
    </w:p>
    <w:p>
      <w:pPr>
        <w:adjustRightInd w:val="0"/>
        <w:spacing w:line="360" w:lineRule="auto"/>
        <w:rPr>
          <w:snapToGrid w:val="0"/>
          <w:kern w:val="0"/>
        </w:rPr>
      </w:pPr>
      <w:r>
        <w:rPr>
          <w:rFonts w:hint="eastAsia"/>
          <w:snapToGrid w:val="0"/>
          <w:kern w:val="0"/>
        </w:rPr>
        <w:t>一、资格性</w:t>
      </w:r>
      <w:r>
        <w:rPr>
          <w:rFonts w:hint="eastAsia" w:ascii="宋体" w:hAnsi="宋体"/>
          <w:snapToGrid w:val="0"/>
          <w:kern w:val="0"/>
        </w:rPr>
        <w:t>审查</w:t>
      </w:r>
    </w:p>
    <w:p>
      <w:pPr>
        <w:adjustRightInd w:val="0"/>
        <w:spacing w:line="360" w:lineRule="auto"/>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pPr>
        <w:adjustRightInd w:val="0"/>
        <w:spacing w:line="360" w:lineRule="auto"/>
        <w:rPr>
          <w:rFonts w:ascii="宋体" w:hAnsi="宋体"/>
          <w:snapToGrid w:val="0"/>
          <w:kern w:val="0"/>
        </w:rPr>
      </w:pPr>
    </w:p>
    <w:p>
      <w:pPr>
        <w:adjustRightInd w:val="0"/>
        <w:spacing w:line="360" w:lineRule="auto"/>
        <w:rPr>
          <w:rFonts w:ascii="宋体" w:hAnsi="宋体"/>
          <w:snapToGrid w:val="0"/>
          <w:kern w:val="0"/>
        </w:rPr>
      </w:pPr>
      <w:r>
        <w:rPr>
          <w:rFonts w:hint="eastAsia" w:ascii="宋体" w:hAnsi="宋体"/>
          <w:snapToGrid w:val="0"/>
          <w:kern w:val="0"/>
        </w:rPr>
        <w:t>二、符合性审查</w:t>
      </w:r>
    </w:p>
    <w:p>
      <w:pPr>
        <w:adjustRightInd w:val="0"/>
        <w:spacing w:line="360" w:lineRule="auto"/>
        <w:rPr>
          <w:rFonts w:ascii="宋体" w:hAnsi="宋体"/>
          <w:snapToGrid w:val="0"/>
          <w:kern w:val="0"/>
        </w:rPr>
      </w:pPr>
      <w:r>
        <w:rPr>
          <w:rFonts w:hint="eastAsia" w:ascii="宋体" w:hAnsi="宋体"/>
          <w:snapToGrid w:val="0"/>
          <w:kern w:val="0"/>
        </w:rPr>
        <w:t>1、投标人提供的投标文件数量不符合招标文件要求。</w:t>
      </w:r>
    </w:p>
    <w:p>
      <w:pPr>
        <w:adjustRightInd w:val="0"/>
        <w:spacing w:line="360" w:lineRule="auto"/>
        <w:rPr>
          <w:rFonts w:ascii="宋体" w:hAnsi="宋体"/>
          <w:snapToGrid w:val="0"/>
          <w:kern w:val="0"/>
        </w:rPr>
      </w:pPr>
      <w:r>
        <w:rPr>
          <w:rFonts w:hint="eastAsia" w:ascii="宋体" w:hAnsi="宋体"/>
          <w:snapToGrid w:val="0"/>
          <w:kern w:val="0"/>
        </w:rPr>
        <w:t>2、投标文件未按照招标文件要求制作、密封和标记。</w:t>
      </w:r>
    </w:p>
    <w:p>
      <w:pPr>
        <w:adjustRightInd w:val="0"/>
        <w:spacing w:line="360" w:lineRule="auto"/>
        <w:rPr>
          <w:rFonts w:ascii="宋体" w:hAnsi="宋体"/>
          <w:snapToGrid w:val="0"/>
          <w:kern w:val="0"/>
        </w:rPr>
      </w:pPr>
      <w:r>
        <w:rPr>
          <w:rFonts w:hint="eastAsia" w:ascii="宋体" w:hAnsi="宋体"/>
          <w:snapToGrid w:val="0"/>
          <w:kern w:val="0"/>
        </w:rPr>
        <w:t>3、未按招标文件要求提供法定代表人证明书和法定代表人授权委托证明书。</w:t>
      </w:r>
    </w:p>
    <w:p>
      <w:pPr>
        <w:adjustRightInd w:val="0"/>
        <w:spacing w:line="360" w:lineRule="auto"/>
        <w:ind w:left="283" w:hanging="283" w:hangingChars="135"/>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pPr>
        <w:adjustRightInd w:val="0"/>
        <w:spacing w:line="360" w:lineRule="auto"/>
        <w:rPr>
          <w:rFonts w:ascii="宋体" w:hAnsi="宋体"/>
          <w:snapToGrid w:val="0"/>
          <w:kern w:val="0"/>
        </w:rPr>
      </w:pPr>
      <w:r>
        <w:rPr>
          <w:rFonts w:hint="eastAsia" w:ascii="宋体" w:hAnsi="宋体"/>
          <w:snapToGrid w:val="0"/>
          <w:kern w:val="0"/>
        </w:rPr>
        <w:t>5、投标文件的关键内容字迹模糊、无法辨认的。</w:t>
      </w:r>
    </w:p>
    <w:p>
      <w:pPr>
        <w:adjustRightInd w:val="0"/>
        <w:spacing w:line="360" w:lineRule="auto"/>
        <w:rPr>
          <w:rFonts w:ascii="宋体" w:hAnsi="宋体"/>
          <w:snapToGrid w:val="0"/>
          <w:kern w:val="0"/>
        </w:rPr>
      </w:pPr>
      <w:r>
        <w:rPr>
          <w:rFonts w:hint="eastAsia" w:ascii="宋体" w:hAnsi="宋体"/>
          <w:snapToGrid w:val="0"/>
          <w:kern w:val="0"/>
        </w:rPr>
        <w:t>6、投标报价有严重缺漏项的。</w:t>
      </w:r>
    </w:p>
    <w:p>
      <w:pPr>
        <w:adjustRightInd w:val="0"/>
        <w:spacing w:line="360" w:lineRule="auto"/>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pPr>
        <w:adjustRightInd w:val="0"/>
        <w:spacing w:line="360" w:lineRule="auto"/>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pPr>
        <w:adjustRightInd w:val="0"/>
        <w:spacing w:line="360" w:lineRule="auto"/>
        <w:rPr>
          <w:rFonts w:ascii="宋体" w:hAnsi="宋体"/>
          <w:snapToGrid w:val="0"/>
          <w:kern w:val="0"/>
        </w:rPr>
      </w:pPr>
      <w:r>
        <w:rPr>
          <w:rFonts w:hint="eastAsia" w:ascii="宋体" w:hAnsi="宋体"/>
          <w:snapToGrid w:val="0"/>
          <w:kern w:val="0"/>
        </w:rPr>
        <w:t>9、将一个项目包拆分投标，对同一货物及服务投标时，同时提供两套或以上的投标方案。</w:t>
      </w:r>
    </w:p>
    <w:p>
      <w:pPr>
        <w:adjustRightInd w:val="0"/>
        <w:spacing w:line="360" w:lineRule="auto"/>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pPr>
        <w:adjustRightInd w:val="0"/>
        <w:spacing w:line="360" w:lineRule="auto"/>
        <w:rPr>
          <w:rFonts w:ascii="宋体" w:hAnsi="宋体"/>
          <w:snapToGrid w:val="0"/>
          <w:kern w:val="0"/>
        </w:rPr>
      </w:pPr>
      <w:r>
        <w:rPr>
          <w:rFonts w:hint="eastAsia" w:ascii="宋体" w:hAnsi="宋体"/>
          <w:snapToGrid w:val="0"/>
          <w:kern w:val="0"/>
        </w:rPr>
        <w:t>11、投标违规行为：如以他人名义竞标、串通投标或者以其他弄虚作假方式投标的。</w:t>
      </w:r>
    </w:p>
    <w:p>
      <w:pPr>
        <w:adjustRightInd w:val="0"/>
        <w:spacing w:line="360" w:lineRule="auto"/>
        <w:rPr>
          <w:rFonts w:ascii="宋体" w:hAnsi="宋体"/>
          <w:snapToGrid w:val="0"/>
          <w:kern w:val="0"/>
        </w:rPr>
      </w:pPr>
      <w:r>
        <w:rPr>
          <w:rFonts w:hint="eastAsia" w:ascii="宋体" w:hAnsi="宋体"/>
          <w:snapToGrid w:val="0"/>
          <w:kern w:val="0"/>
        </w:rPr>
        <w:t>12、</w:t>
      </w:r>
      <w:r>
        <w:rPr>
          <w:rFonts w:hint="eastAsia" w:ascii="宋体" w:hAnsi="宋体"/>
          <w:bCs/>
          <w:szCs w:val="21"/>
        </w:rPr>
        <w:t>投标人的投标总价超过采购预算金额或最高投标限价的</w:t>
      </w:r>
      <w:r>
        <w:rPr>
          <w:rFonts w:hint="eastAsia" w:ascii="宋体" w:hAnsi="宋体"/>
          <w:snapToGrid w:val="0"/>
          <w:kern w:val="0"/>
        </w:rPr>
        <w:t>。</w:t>
      </w:r>
    </w:p>
    <w:p>
      <w:pPr>
        <w:adjustRightInd w:val="0"/>
        <w:spacing w:line="360" w:lineRule="auto"/>
        <w:rPr>
          <w:rFonts w:ascii="宋体" w:hAnsi="宋体"/>
          <w:snapToGrid w:val="0"/>
          <w:kern w:val="0"/>
        </w:rPr>
      </w:pPr>
      <w:r>
        <w:rPr>
          <w:rFonts w:hint="eastAsia" w:ascii="宋体" w:hAnsi="宋体"/>
          <w:snapToGrid w:val="0"/>
          <w:kern w:val="0"/>
        </w:rPr>
        <w:t>13、法律法规规定的其它情形。</w:t>
      </w:r>
    </w:p>
    <w:p/>
    <w:p/>
    <w:p/>
    <w:p/>
    <w:p>
      <w:pPr>
        <w:widowControl/>
        <w:jc w:val="left"/>
      </w:pPr>
      <w:r>
        <w:br w:type="page"/>
      </w:r>
    </w:p>
    <w:p/>
    <w:p>
      <w:pPr>
        <w:pStyle w:val="2"/>
        <w:spacing w:afterLines="100"/>
      </w:pPr>
      <w:bookmarkStart w:id="9" w:name="_Toc73610141"/>
      <w:r>
        <w:rPr>
          <w:rFonts w:hint="eastAsia"/>
        </w:rPr>
        <w:t>第四章  评标方法和标准</w:t>
      </w:r>
      <w:bookmarkEnd w:id="9"/>
    </w:p>
    <w:p>
      <w:pPr>
        <w:pStyle w:val="4"/>
        <w:spacing w:before="0" w:after="0"/>
      </w:pPr>
      <w:bookmarkStart w:id="10" w:name="_Toc44691161"/>
      <w:bookmarkStart w:id="11" w:name="_Toc73610142"/>
      <w:bookmarkStart w:id="12" w:name="_Toc44690702"/>
      <w:bookmarkStart w:id="13" w:name="_Toc44690429"/>
      <w:bookmarkStart w:id="14" w:name="_Toc44691393"/>
      <w:r>
        <w:rPr>
          <w:rFonts w:hint="eastAsia"/>
        </w:rPr>
        <w:t>一、</w:t>
      </w:r>
      <w:r>
        <w:t>评标方法</w:t>
      </w:r>
      <w:bookmarkEnd w:id="10"/>
      <w:bookmarkEnd w:id="11"/>
      <w:bookmarkEnd w:id="12"/>
      <w:bookmarkEnd w:id="13"/>
      <w:bookmarkEnd w:id="14"/>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综合评分法，是指投标文件满足招标文件全部实质性要求，且按照评审因素的量化指标评审得分最高的投标人为中标候选人的评标方法。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3、中标人及中标候选人数量：</w:t>
      </w:r>
      <w:r>
        <w:rPr>
          <w:rFonts w:hint="eastAsia" w:cs="仿宋" w:asciiTheme="minorEastAsia" w:hAnsiTheme="minorEastAsia" w:eastAsiaTheme="minorEastAsia"/>
          <w:kern w:val="2"/>
          <w:sz w:val="21"/>
          <w:szCs w:val="21"/>
        </w:rPr>
        <w:t>中标人数量：1名，中标候选人数量：1名。</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若评审得分相同，则按投标报价由低到高顺序排列；若评审得分及投标报价均相同，则按技术服务优劣顺序排列（即按技术部分得分由高到低顺序排列）；以上均相同的由评标委员会抽签决定排序。</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5、推荐中标候选人：</w:t>
      </w:r>
    </w:p>
    <w:p>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评标排名第一的投标人</w:t>
      </w:r>
      <w:r>
        <w:rPr>
          <w:rFonts w:hint="eastAsia" w:cs="仿宋" w:asciiTheme="minorEastAsia" w:hAnsiTheme="minorEastAsia" w:eastAsiaTheme="minorEastAsia"/>
          <w:kern w:val="2"/>
          <w:sz w:val="21"/>
          <w:szCs w:val="21"/>
        </w:rPr>
        <w:t>作为中标候选人。</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6、确定中标人：</w:t>
      </w:r>
    </w:p>
    <w:p>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仿宋" w:asciiTheme="minorEastAsia" w:hAnsiTheme="minorEastAsia" w:eastAsiaTheme="minorEastAsia"/>
          <w:szCs w:val="21"/>
        </w:rPr>
        <w:t>非评定分离项目：采购人在评标报告确定的中标候选人名单中按顺序确定1名中标人。</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pPr>
        <w:spacing w:line="360" w:lineRule="auto"/>
        <w:ind w:firstLine="424" w:firstLineChars="202"/>
        <w:rPr>
          <w:rFonts w:asciiTheme="minorEastAsia" w:hAnsiTheme="minorEastAsia" w:eastAsiaTheme="minorEastAsia"/>
        </w:rPr>
      </w:pPr>
    </w:p>
    <w:p>
      <w:pPr>
        <w:pStyle w:val="4"/>
        <w:spacing w:before="0" w:after="0"/>
      </w:pPr>
      <w:bookmarkStart w:id="15" w:name="_Toc73610143"/>
      <w:r>
        <w:rPr>
          <w:rFonts w:hint="eastAsia"/>
        </w:rPr>
        <w:t>二、评标标准</w:t>
      </w:r>
      <w:bookmarkEnd w:id="15"/>
    </w:p>
    <w:p>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评标委员会按照以下量化的评审因素，对各投标文件进行分析和比较：</w:t>
      </w:r>
    </w:p>
    <w:tbl>
      <w:tblPr>
        <w:tblStyle w:val="5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2659"/>
        <w:gridCol w:w="960"/>
        <w:gridCol w:w="409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noWrap/>
            <w:vAlign w:val="center"/>
          </w:tcPr>
          <w:p>
            <w:pPr>
              <w:wordWrap w:val="0"/>
              <w:jc w:val="center"/>
              <w:rPr>
                <w:rFonts w:ascii="宋体" w:hAnsi="宋体" w:cs="宋体"/>
                <w:b/>
                <w:bCs/>
                <w:sz w:val="24"/>
              </w:rPr>
            </w:pPr>
            <w:bookmarkStart w:id="16" w:name="_Toc44691394"/>
            <w:bookmarkStart w:id="17" w:name="_Toc44690430"/>
            <w:bookmarkStart w:id="18" w:name="_Toc73610144"/>
            <w:bookmarkStart w:id="19" w:name="_Toc44691162"/>
            <w:bookmarkStart w:id="20" w:name="_Toc44690703"/>
            <w:r>
              <w:rPr>
                <w:b/>
                <w:bCs/>
              </w:rPr>
              <w:t>序号</w:t>
            </w:r>
          </w:p>
        </w:tc>
        <w:tc>
          <w:tcPr>
            <w:tcW w:w="4299" w:type="dxa"/>
            <w:gridSpan w:val="3"/>
            <w:tcBorders>
              <w:top w:val="single" w:color="000000" w:sz="8" w:space="0"/>
              <w:left w:val="single" w:color="000000" w:sz="8" w:space="0"/>
              <w:bottom w:val="single" w:color="000000" w:sz="8" w:space="0"/>
              <w:right w:val="single" w:color="000000" w:sz="8" w:space="0"/>
            </w:tcBorders>
            <w:shd w:val="clear" w:color="auto" w:fill="E6EFFA"/>
            <w:noWrap/>
            <w:vAlign w:val="center"/>
          </w:tcPr>
          <w:p>
            <w:pPr>
              <w:wordWrap w:val="0"/>
              <w:jc w:val="center"/>
              <w:rPr>
                <w:rFonts w:ascii="宋体" w:hAnsi="宋体" w:cs="宋体"/>
                <w:b/>
                <w:bCs/>
                <w:sz w:val="24"/>
              </w:rPr>
            </w:pPr>
            <w:r>
              <w:rPr>
                <w:b/>
                <w:bCs/>
              </w:rPr>
              <w:t>评分项</w:t>
            </w:r>
          </w:p>
        </w:tc>
        <w:tc>
          <w:tcPr>
            <w:tcW w:w="4093" w:type="dxa"/>
            <w:tcBorders>
              <w:top w:val="single" w:color="000000" w:sz="8" w:space="0"/>
              <w:left w:val="single" w:color="000000" w:sz="8" w:space="0"/>
              <w:bottom w:val="single" w:color="000000" w:sz="8" w:space="0"/>
              <w:right w:val="single" w:color="000000" w:sz="8" w:space="0"/>
            </w:tcBorders>
            <w:shd w:val="clear" w:color="auto" w:fill="E6EFFA"/>
            <w:noWrap/>
            <w:vAlign w:val="center"/>
          </w:tcPr>
          <w:p>
            <w:pPr>
              <w:wordWrap w:val="0"/>
              <w:jc w:val="center"/>
              <w:rPr>
                <w:rFonts w:ascii="宋体" w:hAnsi="宋体" w:cs="宋体"/>
                <w:b/>
                <w:bCs/>
                <w:sz w:val="24"/>
              </w:rPr>
            </w:pPr>
            <w:r>
              <w:rPr>
                <w:b/>
                <w:bCs/>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noWrap/>
          </w:tcPr>
          <w:p>
            <w:pPr>
              <w:wordWrap w:val="0"/>
              <w:jc w:val="center"/>
              <w:rPr>
                <w:rFonts w:ascii="宋体" w:hAnsi="宋体" w:cs="宋体"/>
                <w:b/>
                <w:bCs/>
                <w:color w:val="0000FF"/>
                <w:sz w:val="24"/>
              </w:rPr>
            </w:pPr>
            <w:r>
              <w:rPr>
                <w:b/>
                <w:bCs/>
                <w:color w:val="0000FF"/>
              </w:rPr>
              <w:t>1</w:t>
            </w:r>
          </w:p>
        </w:tc>
        <w:tc>
          <w:tcPr>
            <w:tcW w:w="4299" w:type="dxa"/>
            <w:gridSpan w:val="3"/>
            <w:tcBorders>
              <w:top w:val="single" w:color="000000" w:sz="8" w:space="0"/>
              <w:left w:val="single" w:color="000000" w:sz="8" w:space="0"/>
              <w:bottom w:val="single" w:color="000000" w:sz="8" w:space="0"/>
              <w:right w:val="single" w:color="000000" w:sz="8" w:space="0"/>
            </w:tcBorders>
            <w:noWrap/>
          </w:tcPr>
          <w:p>
            <w:pPr>
              <w:wordWrap w:val="0"/>
              <w:jc w:val="center"/>
              <w:rPr>
                <w:rFonts w:ascii="宋体" w:hAnsi="宋体" w:cs="宋体"/>
                <w:b/>
                <w:bCs/>
                <w:color w:val="0000FF"/>
                <w:sz w:val="24"/>
              </w:rPr>
            </w:pPr>
            <w:r>
              <w:rPr>
                <w:b/>
                <w:bCs/>
                <w:color w:val="0000FF"/>
              </w:rPr>
              <w:t>价格</w:t>
            </w:r>
          </w:p>
        </w:tc>
        <w:tc>
          <w:tcPr>
            <w:tcW w:w="4093" w:type="dxa"/>
            <w:tcBorders>
              <w:top w:val="single" w:color="000000" w:sz="8" w:space="0"/>
              <w:left w:val="single" w:color="000000" w:sz="8" w:space="0"/>
              <w:bottom w:val="single" w:color="000000" w:sz="8" w:space="0"/>
              <w:right w:val="single" w:color="000000" w:sz="8" w:space="0"/>
            </w:tcBorders>
            <w:noWrap/>
          </w:tcPr>
          <w:p>
            <w:pPr>
              <w:wordWrap w:val="0"/>
              <w:jc w:val="center"/>
              <w:rPr>
                <w:rFonts w:ascii="宋体" w:hAnsi="宋体" w:cs="宋体"/>
                <w:b/>
                <w:bCs/>
                <w:color w:val="0000FF"/>
                <w:sz w:val="24"/>
              </w:rPr>
            </w:pPr>
            <w:r>
              <w:rPr>
                <w:rFonts w:hint="eastAsia"/>
                <w:b/>
                <w:bCs/>
                <w:color w:val="0000FF"/>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noWrap/>
          </w:tcPr>
          <w:p>
            <w:pPr>
              <w:wordWrap w:val="0"/>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noWrap/>
          </w:tcPr>
          <w:p>
            <w:pPr>
              <w:wordWrap w:val="0"/>
              <w:jc w:val="center"/>
              <w:rPr>
                <w:rFonts w:ascii="宋体" w:hAnsi="宋体" w:cs="宋体"/>
                <w:b/>
                <w:bCs/>
                <w:color w:val="0000FF"/>
                <w:sz w:val="24"/>
              </w:rPr>
            </w:pPr>
            <w:r>
              <w:rPr>
                <w:b/>
                <w:bCs/>
                <w:color w:val="0000FF"/>
              </w:rPr>
              <w:t>2</w:t>
            </w:r>
          </w:p>
        </w:tc>
        <w:tc>
          <w:tcPr>
            <w:tcW w:w="4299" w:type="dxa"/>
            <w:gridSpan w:val="3"/>
            <w:tcBorders>
              <w:top w:val="single" w:color="000000" w:sz="8" w:space="0"/>
              <w:left w:val="single" w:color="000000" w:sz="8" w:space="0"/>
              <w:bottom w:val="single" w:color="000000" w:sz="8" w:space="0"/>
              <w:right w:val="single" w:color="000000" w:sz="8" w:space="0"/>
            </w:tcBorders>
            <w:noWrap/>
          </w:tcPr>
          <w:p>
            <w:pPr>
              <w:wordWrap w:val="0"/>
              <w:jc w:val="center"/>
              <w:rPr>
                <w:rFonts w:ascii="宋体" w:hAnsi="宋体" w:cs="宋体"/>
                <w:b/>
                <w:bCs/>
                <w:color w:val="0000FF"/>
                <w:sz w:val="24"/>
              </w:rPr>
            </w:pPr>
            <w:r>
              <w:rPr>
                <w:b/>
                <w:bCs/>
                <w:color w:val="0000FF"/>
              </w:rPr>
              <w:t>技术部分</w:t>
            </w:r>
          </w:p>
        </w:tc>
        <w:tc>
          <w:tcPr>
            <w:tcW w:w="4093" w:type="dxa"/>
            <w:tcBorders>
              <w:top w:val="single" w:color="000000" w:sz="8" w:space="0"/>
              <w:left w:val="single" w:color="000000" w:sz="8" w:space="0"/>
              <w:bottom w:val="single" w:color="000000" w:sz="8" w:space="0"/>
              <w:right w:val="single" w:color="000000" w:sz="8" w:space="0"/>
            </w:tcBorders>
            <w:noWrap/>
          </w:tcPr>
          <w:p>
            <w:pPr>
              <w:wordWrap w:val="0"/>
              <w:ind w:firstLine="1897" w:firstLineChars="900"/>
              <w:rPr>
                <w:rFonts w:ascii="宋体" w:hAnsi="宋体" w:cs="宋体"/>
                <w:b/>
                <w:bCs/>
                <w:color w:val="0000FF"/>
                <w:sz w:val="24"/>
              </w:rPr>
            </w:pPr>
            <w:r>
              <w:rPr>
                <w:rFonts w:hint="eastAsia" w:ascii="宋体" w:hAnsi="宋体" w:cs="宋体"/>
                <w:b/>
                <w:bCs/>
                <w:color w:val="0000FF"/>
                <w:szCs w:val="21"/>
              </w:rPr>
              <w:t>47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noWrap/>
          </w:tcPr>
          <w:p>
            <w:pPr>
              <w:wordWrap w:val="0"/>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noWrap/>
            <w:vAlign w:val="center"/>
          </w:tcPr>
          <w:p>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noWrap/>
            <w:vAlign w:val="center"/>
          </w:tcPr>
          <w:p>
            <w:pPr>
              <w:wordWrap w:val="0"/>
              <w:jc w:val="center"/>
              <w:rPr>
                <w:rFonts w:ascii="宋体" w:hAnsi="宋体" w:cs="宋体"/>
                <w:szCs w:val="21"/>
              </w:rPr>
            </w:pPr>
            <w:r>
              <w:rPr>
                <w:szCs w:val="21"/>
              </w:rPr>
              <w:t>序号</w:t>
            </w:r>
          </w:p>
        </w:tc>
        <w:tc>
          <w:tcPr>
            <w:tcW w:w="2659" w:type="dxa"/>
            <w:tcBorders>
              <w:top w:val="outset" w:color="000000" w:sz="6" w:space="0"/>
              <w:left w:val="outset" w:color="000000" w:sz="6" w:space="0"/>
              <w:bottom w:val="outset" w:color="000000" w:sz="6" w:space="0"/>
              <w:right w:val="outset" w:color="000000" w:sz="6" w:space="0"/>
            </w:tcBorders>
            <w:shd w:val="clear" w:color="auto" w:fill="E6EFFA"/>
            <w:noWrap/>
            <w:vAlign w:val="center"/>
          </w:tcPr>
          <w:p>
            <w:pPr>
              <w:wordWrap w:val="0"/>
              <w:jc w:val="center"/>
              <w:rPr>
                <w:rFonts w:ascii="宋体" w:hAnsi="宋体" w:cs="宋体"/>
                <w:szCs w:val="21"/>
              </w:rPr>
            </w:pPr>
            <w:r>
              <w:rPr>
                <w:szCs w:val="21"/>
              </w:rPr>
              <w:t>评分因素</w:t>
            </w:r>
          </w:p>
        </w:tc>
        <w:tc>
          <w:tcPr>
            <w:tcW w:w="960" w:type="dxa"/>
            <w:tcBorders>
              <w:top w:val="outset" w:color="000000" w:sz="6" w:space="0"/>
              <w:left w:val="outset" w:color="000000" w:sz="6" w:space="0"/>
              <w:bottom w:val="outset" w:color="000000" w:sz="6" w:space="0"/>
              <w:right w:val="outset" w:color="000000" w:sz="6" w:space="0"/>
            </w:tcBorders>
            <w:shd w:val="clear" w:color="auto" w:fill="E6EFFA"/>
            <w:noWrap/>
            <w:vAlign w:val="center"/>
          </w:tcPr>
          <w:p>
            <w:pPr>
              <w:wordWrap w:val="0"/>
              <w:jc w:val="center"/>
              <w:rPr>
                <w:rFonts w:ascii="宋体" w:hAnsi="宋体" w:cs="宋体"/>
                <w:szCs w:val="21"/>
              </w:rPr>
            </w:pPr>
            <w:r>
              <w:rPr>
                <w:szCs w:val="21"/>
              </w:rPr>
              <w:t>权重(%)</w:t>
            </w:r>
          </w:p>
        </w:tc>
        <w:tc>
          <w:tcPr>
            <w:tcW w:w="4093" w:type="dxa"/>
            <w:tcBorders>
              <w:top w:val="outset" w:color="000000" w:sz="6" w:space="0"/>
              <w:left w:val="outset" w:color="000000" w:sz="6" w:space="0"/>
              <w:bottom w:val="outset" w:color="000000" w:sz="6" w:space="0"/>
              <w:right w:val="outset" w:color="000000" w:sz="6" w:space="0"/>
            </w:tcBorders>
            <w:shd w:val="clear" w:color="auto" w:fill="E6EFFA"/>
            <w:noWrap/>
            <w:vAlign w:val="center"/>
          </w:tcPr>
          <w:p>
            <w:pPr>
              <w:wordWrap w:val="0"/>
              <w:jc w:val="center"/>
              <w:rPr>
                <w:rFonts w:ascii="宋体" w:hAnsi="宋体" w:cs="宋体"/>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noWrap/>
            <w:vAlign w:val="center"/>
          </w:tcPr>
          <w:p>
            <w:pPr>
              <w:wordWrap w:val="0"/>
              <w:jc w:val="center"/>
              <w:rPr>
                <w:rFonts w:ascii="宋体" w:hAnsi="宋体" w:cs="宋体"/>
                <w:szCs w:val="21"/>
              </w:rPr>
            </w:pPr>
            <w:r>
              <w:rPr>
                <w:szCs w:val="21"/>
              </w:rPr>
              <w:t>1</w:t>
            </w:r>
          </w:p>
        </w:tc>
        <w:tc>
          <w:tcPr>
            <w:tcW w:w="2659" w:type="dxa"/>
            <w:tcBorders>
              <w:top w:val="single" w:color="000000" w:sz="8" w:space="0"/>
              <w:left w:val="single" w:color="000000" w:sz="8" w:space="0"/>
              <w:bottom w:val="single" w:color="000000" w:sz="8" w:space="0"/>
              <w:right w:val="single" w:color="000000" w:sz="8" w:space="0"/>
            </w:tcBorders>
            <w:noWrap/>
            <w:vAlign w:val="center"/>
          </w:tcPr>
          <w:p>
            <w:pPr>
              <w:wordWrap w:val="0"/>
              <w:rPr>
                <w:rFonts w:ascii="宋体" w:hAnsi="宋体" w:cs="宋体"/>
                <w:szCs w:val="21"/>
              </w:rPr>
            </w:pPr>
            <w:r>
              <w:rPr>
                <w:szCs w:val="21"/>
              </w:rPr>
              <w:t>所投产品”▲“参数响应情况评价</w:t>
            </w:r>
          </w:p>
        </w:tc>
        <w:tc>
          <w:tcPr>
            <w:tcW w:w="960" w:type="dxa"/>
            <w:tcBorders>
              <w:top w:val="single" w:color="000000" w:sz="8" w:space="0"/>
              <w:left w:val="single" w:color="000000" w:sz="8" w:space="0"/>
              <w:bottom w:val="single" w:color="000000" w:sz="8" w:space="0"/>
              <w:right w:val="single" w:color="000000" w:sz="8" w:space="0"/>
            </w:tcBorders>
            <w:noWrap/>
            <w:vAlign w:val="center"/>
          </w:tcPr>
          <w:p>
            <w:pPr>
              <w:wordWrap w:val="0"/>
              <w:jc w:val="center"/>
              <w:rPr>
                <w:rFonts w:ascii="宋体" w:hAnsi="宋体" w:cs="宋体"/>
                <w:szCs w:val="21"/>
              </w:rPr>
            </w:pPr>
            <w:r>
              <w:rPr>
                <w:szCs w:val="21"/>
              </w:rPr>
              <w:t>30</w:t>
            </w:r>
          </w:p>
        </w:tc>
        <w:tc>
          <w:tcPr>
            <w:tcW w:w="4093" w:type="dxa"/>
            <w:tcBorders>
              <w:top w:val="single" w:color="000000" w:sz="8" w:space="0"/>
              <w:left w:val="single" w:color="000000" w:sz="8" w:space="0"/>
              <w:bottom w:val="single" w:color="000000" w:sz="8" w:space="0"/>
              <w:right w:val="single" w:color="000000" w:sz="8" w:space="0"/>
            </w:tcBorders>
            <w:noWrap/>
            <w:vAlign w:val="center"/>
          </w:tcPr>
          <w:p>
            <w:pPr>
              <w:numPr>
                <w:ilvl w:val="0"/>
                <w:numId w:val="4"/>
              </w:numPr>
              <w:wordWrap w:val="0"/>
              <w:rPr>
                <w:szCs w:val="21"/>
              </w:rPr>
            </w:pPr>
            <w:r>
              <w:rPr>
                <w:szCs w:val="21"/>
              </w:rPr>
              <w:t>评分内容：所投产品▲技术参数全部满足得100%；有负偏离的，每负偏离一项扣20%，扣完为止。</w:t>
            </w:r>
          </w:p>
          <w:p>
            <w:pPr>
              <w:wordWrap w:val="0"/>
              <w:rPr>
                <w:rFonts w:ascii="宋体" w:hAnsi="宋体" w:cs="宋体"/>
                <w:szCs w:val="21"/>
              </w:rPr>
            </w:pPr>
            <w:r>
              <w:rPr>
                <w:szCs w:val="21"/>
              </w:rPr>
              <w:t>（二）评审依据：《技术规格偏离表》</w:t>
            </w:r>
            <w:r>
              <w:rPr>
                <w:rFonts w:hint="eastAsia" w:ascii="宋体" w:hAnsi="宋体"/>
                <w:bCs/>
                <w:szCs w:val="21"/>
              </w:rPr>
              <w:t>为评分依据，投标人</w:t>
            </w:r>
            <w:r>
              <w:rPr>
                <w:rFonts w:hint="eastAsia" w:ascii="宋体" w:hAnsi="宋体" w:cs="仿宋"/>
                <w:szCs w:val="21"/>
              </w:rPr>
              <w:t>按招标文件要求提供相应的证明材料复印件或扫描件加盖投标人公章（原件备查），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w:t>
            </w:r>
            <w:r>
              <w:rPr>
                <w:rFonts w:hint="eastAsia" w:ascii="宋体" w:hAnsi="宋体"/>
                <w:szCs w:val="21"/>
              </w:rPr>
              <w:t>对于不同货物的技术要求中的相同项不满足时按一项不满足进行扣分，不对某一项技术要求重复扣分。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365" w:hRule="atLeast"/>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ascii="宋体" w:hAnsi="宋体" w:cs="宋体"/>
                <w:b/>
                <w:bCs/>
                <w:color w:val="0000FF"/>
                <w:sz w:val="24"/>
              </w:rPr>
            </w:pPr>
          </w:p>
        </w:tc>
        <w:tc>
          <w:tcPr>
            <w:tcW w:w="680" w:type="dxa"/>
            <w:tcBorders>
              <w:top w:val="single" w:color="000000" w:sz="8" w:space="0"/>
              <w:left w:val="single" w:color="000000" w:sz="8" w:space="0"/>
              <w:right w:val="single" w:color="000000" w:sz="8" w:space="0"/>
            </w:tcBorders>
            <w:noWrap/>
            <w:vAlign w:val="center"/>
          </w:tcPr>
          <w:p>
            <w:pPr>
              <w:wordWrap w:val="0"/>
              <w:jc w:val="center"/>
              <w:rPr>
                <w:rFonts w:ascii="宋体" w:hAnsi="宋体" w:cs="宋体"/>
                <w:szCs w:val="21"/>
              </w:rPr>
            </w:pPr>
            <w:r>
              <w:rPr>
                <w:szCs w:val="21"/>
              </w:rPr>
              <w:t>2</w:t>
            </w:r>
          </w:p>
        </w:tc>
        <w:tc>
          <w:tcPr>
            <w:tcW w:w="2659" w:type="dxa"/>
            <w:tcBorders>
              <w:top w:val="single" w:color="000000" w:sz="8" w:space="0"/>
              <w:left w:val="single" w:color="000000" w:sz="8" w:space="0"/>
              <w:right w:val="single" w:color="000000" w:sz="8" w:space="0"/>
            </w:tcBorders>
            <w:noWrap/>
            <w:vAlign w:val="center"/>
          </w:tcPr>
          <w:p>
            <w:pPr>
              <w:wordWrap w:val="0"/>
              <w:rPr>
                <w:rFonts w:ascii="宋体" w:hAnsi="宋体" w:cs="宋体"/>
                <w:szCs w:val="21"/>
              </w:rPr>
            </w:pPr>
            <w:r>
              <w:rPr>
                <w:szCs w:val="21"/>
              </w:rPr>
              <w:t>所投产品一般技术参数（非”▲“参数）响应情况评价</w:t>
            </w:r>
          </w:p>
        </w:tc>
        <w:tc>
          <w:tcPr>
            <w:tcW w:w="960" w:type="dxa"/>
            <w:tcBorders>
              <w:top w:val="single" w:color="000000" w:sz="8" w:space="0"/>
              <w:left w:val="single" w:color="000000" w:sz="8" w:space="0"/>
              <w:right w:val="single" w:color="000000" w:sz="8" w:space="0"/>
            </w:tcBorders>
            <w:noWrap/>
            <w:vAlign w:val="center"/>
          </w:tcPr>
          <w:p>
            <w:pPr>
              <w:wordWrap w:val="0"/>
              <w:jc w:val="center"/>
              <w:rPr>
                <w:szCs w:val="21"/>
              </w:rPr>
            </w:pPr>
          </w:p>
          <w:p>
            <w:pPr>
              <w:wordWrap w:val="0"/>
              <w:jc w:val="center"/>
              <w:rPr>
                <w:rFonts w:ascii="宋体" w:hAnsi="宋体" w:cs="宋体"/>
                <w:szCs w:val="21"/>
              </w:rPr>
            </w:pPr>
            <w:r>
              <w:rPr>
                <w:rFonts w:hint="eastAsia"/>
                <w:szCs w:val="21"/>
              </w:rPr>
              <w:t>17</w:t>
            </w:r>
          </w:p>
        </w:tc>
        <w:tc>
          <w:tcPr>
            <w:tcW w:w="4093" w:type="dxa"/>
            <w:tcBorders>
              <w:top w:val="single" w:color="000000" w:sz="8" w:space="0"/>
              <w:left w:val="single" w:color="000000" w:sz="8" w:space="0"/>
              <w:bottom w:val="single" w:color="000000" w:sz="8" w:space="0"/>
              <w:right w:val="single" w:color="000000" w:sz="8" w:space="0"/>
            </w:tcBorders>
            <w:noWrap/>
            <w:vAlign w:val="center"/>
          </w:tcPr>
          <w:p>
            <w:pPr>
              <w:numPr>
                <w:ilvl w:val="0"/>
                <w:numId w:val="5"/>
              </w:numPr>
              <w:wordWrap w:val="0"/>
              <w:rPr>
                <w:szCs w:val="21"/>
              </w:rPr>
            </w:pPr>
            <w:r>
              <w:rPr>
                <w:szCs w:val="21"/>
              </w:rPr>
              <w:t>评分内容：所投产品一般技术参数全部满足得100%；有负偏离的，每负偏离一项最多扣10%，扣完为止。</w:t>
            </w:r>
          </w:p>
          <w:p>
            <w:pPr>
              <w:wordWrap w:val="0"/>
              <w:rPr>
                <w:rFonts w:ascii="宋体" w:hAnsi="宋体" w:cs="宋体"/>
                <w:szCs w:val="21"/>
              </w:rPr>
            </w:pPr>
            <w:r>
              <w:rPr>
                <w:szCs w:val="21"/>
              </w:rPr>
              <w:t>（二）评审依据：《技术规格偏离表》</w:t>
            </w:r>
            <w:r>
              <w:rPr>
                <w:rFonts w:hint="eastAsia" w:ascii="宋体" w:hAnsi="宋体"/>
                <w:bCs/>
                <w:szCs w:val="21"/>
              </w:rPr>
              <w:t>为评分依据，投标人</w:t>
            </w:r>
            <w:r>
              <w:rPr>
                <w:rFonts w:hint="eastAsia" w:ascii="宋体" w:hAnsi="宋体" w:cs="仿宋"/>
                <w:szCs w:val="21"/>
              </w:rPr>
              <w:t>按招标文件要求提供相应的证明材料复印件或扫描件加盖投标人公章（原件备查），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w:t>
            </w:r>
            <w:r>
              <w:rPr>
                <w:rFonts w:hint="eastAsia" w:ascii="宋体" w:hAnsi="宋体"/>
                <w:szCs w:val="21"/>
              </w:rPr>
              <w:t>对于不同货物的技术要求中的相同项不满足时按一项不满足进行扣分，不对某一项技术要求重复扣分。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noWrap/>
          </w:tcPr>
          <w:p>
            <w:pPr>
              <w:wordWrap w:val="0"/>
              <w:jc w:val="center"/>
              <w:rPr>
                <w:rFonts w:ascii="宋体" w:hAnsi="宋体" w:cs="宋体"/>
                <w:b/>
                <w:bCs/>
                <w:color w:val="0000FF"/>
                <w:sz w:val="24"/>
              </w:rPr>
            </w:pPr>
            <w:r>
              <w:rPr>
                <w:b/>
                <w:bCs/>
                <w:color w:val="0000FF"/>
              </w:rPr>
              <w:t>3</w:t>
            </w:r>
          </w:p>
        </w:tc>
        <w:tc>
          <w:tcPr>
            <w:tcW w:w="4299" w:type="dxa"/>
            <w:gridSpan w:val="3"/>
            <w:tcBorders>
              <w:top w:val="single" w:color="000000" w:sz="8" w:space="0"/>
              <w:left w:val="single" w:color="000000" w:sz="8" w:space="0"/>
              <w:bottom w:val="single" w:color="000000" w:sz="8" w:space="0"/>
              <w:right w:val="single" w:color="000000" w:sz="8" w:space="0"/>
            </w:tcBorders>
            <w:noWrap/>
            <w:vAlign w:val="center"/>
          </w:tcPr>
          <w:p>
            <w:pPr>
              <w:wordWrap w:val="0"/>
              <w:jc w:val="center"/>
              <w:rPr>
                <w:rFonts w:ascii="宋体" w:hAnsi="宋体" w:cs="宋体"/>
                <w:b/>
                <w:bCs/>
                <w:color w:val="0000FF"/>
                <w:sz w:val="24"/>
              </w:rPr>
            </w:pPr>
            <w:r>
              <w:rPr>
                <w:b/>
                <w:bCs/>
                <w:color w:val="0000FF"/>
              </w:rPr>
              <w:t>综合实力部分</w:t>
            </w:r>
          </w:p>
        </w:tc>
        <w:tc>
          <w:tcPr>
            <w:tcW w:w="4093" w:type="dxa"/>
            <w:tcBorders>
              <w:top w:val="single" w:color="000000" w:sz="8" w:space="0"/>
              <w:left w:val="single" w:color="000000" w:sz="8" w:space="0"/>
              <w:bottom w:val="single" w:color="000000" w:sz="8" w:space="0"/>
              <w:right w:val="single" w:color="000000" w:sz="8" w:space="0"/>
            </w:tcBorders>
            <w:noWrap/>
            <w:vAlign w:val="center"/>
          </w:tcPr>
          <w:p>
            <w:pPr>
              <w:wordWrap w:val="0"/>
              <w:jc w:val="center"/>
              <w:rPr>
                <w:rFonts w:ascii="宋体" w:hAnsi="宋体" w:cs="宋体"/>
                <w:b/>
                <w:bCs/>
                <w:color w:val="0000FF"/>
                <w:sz w:val="24"/>
              </w:rPr>
            </w:pPr>
            <w:r>
              <w:rPr>
                <w:rFonts w:hint="eastAsia" w:ascii="宋体" w:hAnsi="宋体" w:cs="宋体"/>
                <w:b/>
                <w:bCs/>
                <w:color w:val="0000FF"/>
                <w:sz w:val="24"/>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noWrap/>
            <w:vAlign w:val="center"/>
          </w:tcPr>
          <w:p>
            <w:pPr>
              <w:wordWrap w:val="0"/>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noWrap/>
            <w:vAlign w:val="center"/>
          </w:tcPr>
          <w:p>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noWrap/>
            <w:vAlign w:val="center"/>
          </w:tcPr>
          <w:p>
            <w:pPr>
              <w:wordWrap w:val="0"/>
              <w:jc w:val="center"/>
              <w:rPr>
                <w:rFonts w:ascii="宋体" w:hAnsi="宋体" w:cs="宋体"/>
                <w:szCs w:val="21"/>
              </w:rPr>
            </w:pPr>
            <w:r>
              <w:rPr>
                <w:szCs w:val="21"/>
              </w:rPr>
              <w:t>序号</w:t>
            </w:r>
          </w:p>
        </w:tc>
        <w:tc>
          <w:tcPr>
            <w:tcW w:w="2659" w:type="dxa"/>
            <w:tcBorders>
              <w:top w:val="outset" w:color="000000" w:sz="6" w:space="0"/>
              <w:left w:val="outset" w:color="000000" w:sz="6" w:space="0"/>
              <w:bottom w:val="outset" w:color="000000" w:sz="6" w:space="0"/>
              <w:right w:val="outset" w:color="000000" w:sz="6" w:space="0"/>
            </w:tcBorders>
            <w:shd w:val="clear" w:color="auto" w:fill="E6EFFA"/>
            <w:noWrap/>
            <w:vAlign w:val="center"/>
          </w:tcPr>
          <w:p>
            <w:pPr>
              <w:wordWrap w:val="0"/>
              <w:jc w:val="center"/>
              <w:rPr>
                <w:rFonts w:ascii="宋体" w:hAnsi="宋体" w:cs="宋体"/>
                <w:szCs w:val="21"/>
              </w:rPr>
            </w:pPr>
            <w:r>
              <w:rPr>
                <w:szCs w:val="21"/>
              </w:rPr>
              <w:t>评分因素</w:t>
            </w:r>
          </w:p>
        </w:tc>
        <w:tc>
          <w:tcPr>
            <w:tcW w:w="960" w:type="dxa"/>
            <w:tcBorders>
              <w:top w:val="outset" w:color="000000" w:sz="6" w:space="0"/>
              <w:left w:val="outset" w:color="000000" w:sz="6" w:space="0"/>
              <w:bottom w:val="outset" w:color="000000" w:sz="6" w:space="0"/>
              <w:right w:val="outset" w:color="000000" w:sz="6" w:space="0"/>
            </w:tcBorders>
            <w:shd w:val="clear" w:color="auto" w:fill="E6EFFA"/>
            <w:noWrap/>
            <w:vAlign w:val="center"/>
          </w:tcPr>
          <w:p>
            <w:pPr>
              <w:wordWrap w:val="0"/>
              <w:jc w:val="center"/>
              <w:rPr>
                <w:rFonts w:ascii="宋体" w:hAnsi="宋体" w:cs="宋体"/>
                <w:szCs w:val="21"/>
              </w:rPr>
            </w:pPr>
            <w:r>
              <w:rPr>
                <w:szCs w:val="21"/>
              </w:rPr>
              <w:t>权重(%)</w:t>
            </w:r>
          </w:p>
        </w:tc>
        <w:tc>
          <w:tcPr>
            <w:tcW w:w="4093" w:type="dxa"/>
            <w:tcBorders>
              <w:top w:val="outset" w:color="000000" w:sz="6" w:space="0"/>
              <w:left w:val="outset" w:color="000000" w:sz="6" w:space="0"/>
              <w:bottom w:val="outset" w:color="000000" w:sz="6" w:space="0"/>
              <w:right w:val="outset" w:color="000000" w:sz="6" w:space="0"/>
            </w:tcBorders>
            <w:shd w:val="clear" w:color="auto" w:fill="E6EFFA"/>
            <w:noWrap/>
            <w:vAlign w:val="center"/>
          </w:tcPr>
          <w:p>
            <w:pPr>
              <w:wordWrap w:val="0"/>
              <w:jc w:val="center"/>
              <w:rPr>
                <w:rFonts w:ascii="宋体" w:hAnsi="宋体" w:cs="宋体"/>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noWrap/>
            <w:vAlign w:val="center"/>
          </w:tcPr>
          <w:p>
            <w:pPr>
              <w:wordWrap w:val="0"/>
              <w:jc w:val="center"/>
              <w:rPr>
                <w:rFonts w:ascii="宋体" w:hAnsi="宋体" w:cs="宋体"/>
                <w:szCs w:val="21"/>
              </w:rPr>
            </w:pPr>
            <w:r>
              <w:rPr>
                <w:szCs w:val="21"/>
              </w:rPr>
              <w:t>1</w:t>
            </w:r>
          </w:p>
        </w:tc>
        <w:tc>
          <w:tcPr>
            <w:tcW w:w="2659" w:type="dxa"/>
            <w:tcBorders>
              <w:top w:val="single" w:color="000000" w:sz="8" w:space="0"/>
              <w:left w:val="single" w:color="000000" w:sz="8" w:space="0"/>
              <w:bottom w:val="single" w:color="000000" w:sz="8" w:space="0"/>
              <w:right w:val="single" w:color="000000" w:sz="8" w:space="0"/>
            </w:tcBorders>
            <w:noWrap/>
            <w:vAlign w:val="center"/>
          </w:tcPr>
          <w:p>
            <w:pPr>
              <w:wordWrap w:val="0"/>
              <w:rPr>
                <w:rFonts w:ascii="宋体" w:hAnsi="宋体" w:cs="宋体"/>
                <w:szCs w:val="21"/>
              </w:rPr>
            </w:pPr>
            <w:r>
              <w:rPr>
                <w:rFonts w:hint="eastAsia"/>
                <w:szCs w:val="21"/>
              </w:rPr>
              <w:t>同类销售业绩</w:t>
            </w:r>
          </w:p>
        </w:tc>
        <w:tc>
          <w:tcPr>
            <w:tcW w:w="960" w:type="dxa"/>
            <w:tcBorders>
              <w:top w:val="single" w:color="000000" w:sz="8" w:space="0"/>
              <w:left w:val="single" w:color="000000" w:sz="8" w:space="0"/>
              <w:bottom w:val="single" w:color="000000" w:sz="8" w:space="0"/>
              <w:right w:val="single" w:color="000000" w:sz="8" w:space="0"/>
            </w:tcBorders>
            <w:noWrap/>
            <w:vAlign w:val="center"/>
          </w:tcPr>
          <w:p>
            <w:pPr>
              <w:wordWrap w:val="0"/>
              <w:jc w:val="center"/>
              <w:rPr>
                <w:rFonts w:ascii="宋体" w:hAnsi="宋体" w:cs="宋体"/>
                <w:szCs w:val="21"/>
              </w:rPr>
            </w:pPr>
            <w:r>
              <w:rPr>
                <w:rFonts w:hint="eastAsia" w:ascii="宋体" w:hAnsi="宋体" w:cs="宋体"/>
                <w:szCs w:val="21"/>
              </w:rPr>
              <w:t>1</w:t>
            </w:r>
          </w:p>
        </w:tc>
        <w:tc>
          <w:tcPr>
            <w:tcW w:w="4093" w:type="dxa"/>
            <w:tcBorders>
              <w:top w:val="single" w:color="000000" w:sz="8" w:space="0"/>
              <w:left w:val="single" w:color="000000" w:sz="8" w:space="0"/>
              <w:bottom w:val="single" w:color="000000" w:sz="8" w:space="0"/>
              <w:right w:val="single" w:color="000000" w:sz="8" w:space="0"/>
            </w:tcBorders>
            <w:noWrap/>
            <w:vAlign w:val="center"/>
          </w:tcPr>
          <w:p>
            <w:pPr>
              <w:numPr>
                <w:ilvl w:val="0"/>
                <w:numId w:val="6"/>
              </w:numPr>
              <w:wordWrap w:val="0"/>
              <w:rPr>
                <w:szCs w:val="21"/>
              </w:rPr>
            </w:pPr>
            <w:r>
              <w:rPr>
                <w:szCs w:val="21"/>
              </w:rPr>
              <w:t>评分内容：</w:t>
            </w:r>
            <w:r>
              <w:rPr>
                <w:rFonts w:hint="eastAsia"/>
                <w:szCs w:val="21"/>
              </w:rPr>
              <w:t>2018年1月1日以后（以合同签定日期为准），投标人具有的同类设备的销售业绩，每提供1份得</w:t>
            </w:r>
            <w:r>
              <w:rPr>
                <w:szCs w:val="21"/>
              </w:rPr>
              <w:t>50</w:t>
            </w:r>
            <w:r>
              <w:rPr>
                <w:rFonts w:hint="eastAsia"/>
                <w:szCs w:val="21"/>
              </w:rPr>
              <w:t>%，满分100%。</w:t>
            </w:r>
          </w:p>
          <w:p>
            <w:pPr>
              <w:wordWrap w:val="0"/>
              <w:rPr>
                <w:rFonts w:ascii="宋体" w:hAnsi="宋体" w:cs="宋体"/>
                <w:szCs w:val="21"/>
              </w:rPr>
            </w:pPr>
            <w:r>
              <w:rPr>
                <w:szCs w:val="21"/>
              </w:rPr>
              <w:t>（二）评分依据：提供</w:t>
            </w:r>
            <w:r>
              <w:rPr>
                <w:rFonts w:hint="eastAsia"/>
                <w:szCs w:val="21"/>
              </w:rPr>
              <w:t>投标人的</w:t>
            </w:r>
            <w:r>
              <w:rPr>
                <w:szCs w:val="21"/>
              </w:rPr>
              <w:t>销售合同关键页及验收报告。</w:t>
            </w:r>
            <w:r>
              <w:rPr>
                <w:rFonts w:hint="eastAsia"/>
                <w:szCs w:val="21"/>
              </w:rPr>
              <w:t>（提供扫描件或复印件）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noWrap/>
            <w:vAlign w:val="center"/>
          </w:tcPr>
          <w:p>
            <w:pPr>
              <w:wordWrap w:val="0"/>
              <w:jc w:val="center"/>
              <w:rPr>
                <w:rFonts w:ascii="宋体" w:hAnsi="宋体" w:cs="宋体"/>
                <w:szCs w:val="21"/>
              </w:rPr>
            </w:pPr>
            <w:r>
              <w:rPr>
                <w:szCs w:val="21"/>
              </w:rPr>
              <w:t>2</w:t>
            </w:r>
          </w:p>
        </w:tc>
        <w:tc>
          <w:tcPr>
            <w:tcW w:w="2659" w:type="dxa"/>
            <w:tcBorders>
              <w:top w:val="single" w:color="000000" w:sz="8" w:space="0"/>
              <w:left w:val="single" w:color="000000" w:sz="8" w:space="0"/>
              <w:bottom w:val="single" w:color="000000" w:sz="8" w:space="0"/>
              <w:right w:val="single" w:color="000000" w:sz="8" w:space="0"/>
            </w:tcBorders>
            <w:noWrap/>
            <w:vAlign w:val="center"/>
          </w:tcPr>
          <w:p>
            <w:pPr>
              <w:wordWrap w:val="0"/>
              <w:rPr>
                <w:rFonts w:ascii="宋体" w:hAnsi="宋体" w:cs="宋体"/>
                <w:szCs w:val="21"/>
              </w:rPr>
            </w:pPr>
            <w:r>
              <w:rPr>
                <w:szCs w:val="21"/>
              </w:rPr>
              <w:t>投标文件编制质量</w:t>
            </w:r>
          </w:p>
        </w:tc>
        <w:tc>
          <w:tcPr>
            <w:tcW w:w="960" w:type="dxa"/>
            <w:tcBorders>
              <w:top w:val="single" w:color="000000" w:sz="8" w:space="0"/>
              <w:left w:val="single" w:color="000000" w:sz="8" w:space="0"/>
              <w:bottom w:val="single" w:color="000000" w:sz="8" w:space="0"/>
              <w:right w:val="single" w:color="000000" w:sz="8" w:space="0"/>
            </w:tcBorders>
            <w:noWrap/>
            <w:vAlign w:val="center"/>
          </w:tcPr>
          <w:p>
            <w:pPr>
              <w:wordWrap w:val="0"/>
              <w:jc w:val="center"/>
              <w:rPr>
                <w:rFonts w:ascii="宋体" w:hAnsi="宋体" w:cs="宋体"/>
                <w:szCs w:val="21"/>
              </w:rPr>
            </w:pPr>
            <w:r>
              <w:rPr>
                <w:szCs w:val="21"/>
              </w:rPr>
              <w:t>1</w:t>
            </w:r>
          </w:p>
        </w:tc>
        <w:tc>
          <w:tcPr>
            <w:tcW w:w="4093" w:type="dxa"/>
            <w:tcBorders>
              <w:top w:val="single" w:color="000000" w:sz="8" w:space="0"/>
              <w:left w:val="single" w:color="000000" w:sz="8" w:space="0"/>
              <w:bottom w:val="single" w:color="000000" w:sz="8" w:space="0"/>
              <w:right w:val="single" w:color="000000" w:sz="8" w:space="0"/>
            </w:tcBorders>
            <w:noWrap/>
            <w:vAlign w:val="center"/>
          </w:tcPr>
          <w:p>
            <w:pPr>
              <w:numPr>
                <w:ilvl w:val="0"/>
                <w:numId w:val="7"/>
              </w:numPr>
              <w:wordWrap w:val="0"/>
              <w:rPr>
                <w:szCs w:val="21"/>
              </w:rPr>
            </w:pPr>
            <w:r>
              <w:rPr>
                <w:szCs w:val="21"/>
              </w:rPr>
              <w:t>评分内容： 1.投标文件不按招标文件中规定的投标文件节点内容填写的扣 40%；2.投标文件有缺漏项但未导致实质性偏离的扣 20%； 3.投标文件资料扫描不清晰的扣20%； 4.投标文件编排混乱的扣 20%； 无上述情况本项得 100%。</w:t>
            </w:r>
          </w:p>
          <w:p>
            <w:pPr>
              <w:wordWrap w:val="0"/>
              <w:rPr>
                <w:rFonts w:ascii="宋体" w:hAnsi="宋体" w:cs="宋体"/>
                <w:szCs w:val="21"/>
              </w:rPr>
            </w:pPr>
            <w:r>
              <w:rPr>
                <w:szCs w:val="21"/>
              </w:rPr>
              <w:t>（二）评分依据：评审委员会根据投标文件编制质量判断。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noWrap/>
            <w:vAlign w:val="center"/>
          </w:tcPr>
          <w:p>
            <w:pPr>
              <w:wordWrap w:val="0"/>
              <w:jc w:val="center"/>
              <w:rPr>
                <w:rFonts w:ascii="宋体" w:hAnsi="宋体" w:cs="宋体"/>
                <w:szCs w:val="21"/>
              </w:rPr>
            </w:pPr>
            <w:r>
              <w:rPr>
                <w:szCs w:val="21"/>
              </w:rPr>
              <w:t>3</w:t>
            </w:r>
          </w:p>
        </w:tc>
        <w:tc>
          <w:tcPr>
            <w:tcW w:w="2659" w:type="dxa"/>
            <w:tcBorders>
              <w:top w:val="single" w:color="000000" w:sz="8" w:space="0"/>
              <w:left w:val="single" w:color="000000" w:sz="8" w:space="0"/>
              <w:bottom w:val="single" w:color="000000" w:sz="8" w:space="0"/>
              <w:right w:val="single" w:color="000000" w:sz="8" w:space="0"/>
            </w:tcBorders>
            <w:noWrap/>
            <w:vAlign w:val="center"/>
          </w:tcPr>
          <w:p>
            <w:pPr>
              <w:wordWrap w:val="0"/>
              <w:rPr>
                <w:rFonts w:ascii="宋体" w:hAnsi="宋体" w:cs="宋体"/>
                <w:szCs w:val="21"/>
              </w:rPr>
            </w:pPr>
            <w:r>
              <w:rPr>
                <w:szCs w:val="21"/>
              </w:rPr>
              <w:t>诚信</w:t>
            </w:r>
          </w:p>
        </w:tc>
        <w:tc>
          <w:tcPr>
            <w:tcW w:w="960" w:type="dxa"/>
            <w:tcBorders>
              <w:top w:val="single" w:color="000000" w:sz="8" w:space="0"/>
              <w:left w:val="single" w:color="000000" w:sz="8" w:space="0"/>
              <w:bottom w:val="single" w:color="000000" w:sz="8" w:space="0"/>
              <w:right w:val="single" w:color="000000" w:sz="8" w:space="0"/>
            </w:tcBorders>
            <w:noWrap/>
            <w:vAlign w:val="center"/>
          </w:tcPr>
          <w:p>
            <w:pPr>
              <w:wordWrap w:val="0"/>
              <w:jc w:val="center"/>
              <w:rPr>
                <w:rFonts w:ascii="宋体" w:hAnsi="宋体" w:cs="宋体"/>
                <w:szCs w:val="21"/>
              </w:rPr>
            </w:pPr>
            <w:r>
              <w:rPr>
                <w:szCs w:val="21"/>
              </w:rPr>
              <w:t>5</w:t>
            </w:r>
          </w:p>
        </w:tc>
        <w:tc>
          <w:tcPr>
            <w:tcW w:w="4093" w:type="dxa"/>
            <w:tcBorders>
              <w:top w:val="single" w:color="000000" w:sz="8" w:space="0"/>
              <w:left w:val="single" w:color="000000" w:sz="8" w:space="0"/>
              <w:bottom w:val="single" w:color="000000" w:sz="8" w:space="0"/>
              <w:right w:val="single" w:color="000000" w:sz="8" w:space="0"/>
            </w:tcBorders>
            <w:noWrap/>
            <w:vAlign w:val="center"/>
          </w:tcPr>
          <w:p>
            <w:pPr>
              <w:wordWrap w:val="0"/>
              <w:rPr>
                <w:rFonts w:ascii="宋体" w:hAnsi="宋体" w:cs="宋体"/>
                <w:szCs w:val="21"/>
              </w:rPr>
            </w:pPr>
            <w:r>
              <w:rPr>
                <w:rFonts w:hint="eastAsia" w:ascii="宋体" w:hAnsi="宋体" w:cs="宋体"/>
                <w:szCs w:val="21"/>
              </w:rPr>
              <w:t>投标人参与政府采购活动在诚信管理中受过主管部门通报处理且仍在实施期限内的本项不得分，否则得5分。【投标人须按招标文件格式如实提供《诚信承诺函》加盖投标人公章，且承诺函格式及内容不得修改，否则不得分。如若投标人承诺与实际情况不相符，将按虚假应标报相关主管部门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noWrap/>
          </w:tcPr>
          <w:p>
            <w:pPr>
              <w:wordWrap w:val="0"/>
              <w:jc w:val="center"/>
              <w:rPr>
                <w:rFonts w:ascii="宋体" w:hAnsi="宋体" w:cs="宋体"/>
                <w:b/>
                <w:bCs/>
                <w:color w:val="0000FF"/>
                <w:sz w:val="24"/>
              </w:rPr>
            </w:pPr>
            <w:r>
              <w:rPr>
                <w:b/>
                <w:bCs/>
                <w:color w:val="0000FF"/>
              </w:rPr>
              <w:t>4</w:t>
            </w:r>
          </w:p>
        </w:tc>
        <w:tc>
          <w:tcPr>
            <w:tcW w:w="4299" w:type="dxa"/>
            <w:gridSpan w:val="3"/>
            <w:tcBorders>
              <w:top w:val="single" w:color="000000" w:sz="8" w:space="0"/>
              <w:left w:val="single" w:color="000000" w:sz="8" w:space="0"/>
              <w:bottom w:val="single" w:color="000000" w:sz="8" w:space="0"/>
              <w:right w:val="single" w:color="000000" w:sz="8" w:space="0"/>
            </w:tcBorders>
            <w:noWrap/>
            <w:vAlign w:val="center"/>
          </w:tcPr>
          <w:p>
            <w:pPr>
              <w:wordWrap w:val="0"/>
              <w:jc w:val="center"/>
              <w:rPr>
                <w:rFonts w:ascii="宋体" w:hAnsi="宋体" w:cs="宋体"/>
                <w:b/>
                <w:bCs/>
                <w:color w:val="0000FF"/>
                <w:sz w:val="24"/>
              </w:rPr>
            </w:pPr>
            <w:r>
              <w:rPr>
                <w:b/>
                <w:bCs/>
                <w:color w:val="0000FF"/>
              </w:rPr>
              <w:t>后续服务部分</w:t>
            </w:r>
          </w:p>
        </w:tc>
        <w:tc>
          <w:tcPr>
            <w:tcW w:w="4093" w:type="dxa"/>
            <w:tcBorders>
              <w:top w:val="single" w:color="000000" w:sz="8" w:space="0"/>
              <w:left w:val="single" w:color="000000" w:sz="8" w:space="0"/>
              <w:bottom w:val="single" w:color="000000" w:sz="8" w:space="0"/>
              <w:right w:val="single" w:color="000000" w:sz="8" w:space="0"/>
            </w:tcBorders>
            <w:noWrap/>
            <w:vAlign w:val="center"/>
          </w:tcPr>
          <w:p>
            <w:pPr>
              <w:wordWrap w:val="0"/>
              <w:jc w:val="center"/>
              <w:rPr>
                <w:rFonts w:ascii="宋体" w:hAnsi="宋体" w:cs="宋体"/>
                <w:b/>
                <w:bCs/>
                <w:color w:val="0000FF"/>
                <w:sz w:val="24"/>
              </w:rPr>
            </w:pPr>
            <w:r>
              <w:rPr>
                <w:b/>
                <w:bCs/>
                <w:color w:val="0000FF"/>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noWrap/>
            <w:vAlign w:val="center"/>
          </w:tcPr>
          <w:p>
            <w:pPr>
              <w:wordWrap w:val="0"/>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noWrap/>
            <w:vAlign w:val="center"/>
          </w:tcPr>
          <w:p>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noWrap/>
            <w:vAlign w:val="center"/>
          </w:tcPr>
          <w:p>
            <w:pPr>
              <w:wordWrap w:val="0"/>
              <w:jc w:val="center"/>
              <w:rPr>
                <w:rFonts w:ascii="宋体" w:hAnsi="宋体" w:cs="宋体"/>
                <w:szCs w:val="21"/>
              </w:rPr>
            </w:pPr>
            <w:r>
              <w:rPr>
                <w:szCs w:val="21"/>
              </w:rPr>
              <w:t>序号</w:t>
            </w:r>
          </w:p>
        </w:tc>
        <w:tc>
          <w:tcPr>
            <w:tcW w:w="2659" w:type="dxa"/>
            <w:tcBorders>
              <w:top w:val="outset" w:color="000000" w:sz="6" w:space="0"/>
              <w:left w:val="outset" w:color="000000" w:sz="6" w:space="0"/>
              <w:bottom w:val="outset" w:color="000000" w:sz="6" w:space="0"/>
              <w:right w:val="outset" w:color="000000" w:sz="6" w:space="0"/>
            </w:tcBorders>
            <w:shd w:val="clear" w:color="auto" w:fill="E6EFFA"/>
            <w:noWrap/>
            <w:vAlign w:val="center"/>
          </w:tcPr>
          <w:p>
            <w:pPr>
              <w:wordWrap w:val="0"/>
              <w:jc w:val="center"/>
              <w:rPr>
                <w:rFonts w:ascii="宋体" w:hAnsi="宋体" w:cs="宋体"/>
                <w:szCs w:val="21"/>
              </w:rPr>
            </w:pPr>
            <w:r>
              <w:rPr>
                <w:szCs w:val="21"/>
              </w:rPr>
              <w:t>评分因素</w:t>
            </w:r>
          </w:p>
        </w:tc>
        <w:tc>
          <w:tcPr>
            <w:tcW w:w="960" w:type="dxa"/>
            <w:tcBorders>
              <w:top w:val="outset" w:color="000000" w:sz="6" w:space="0"/>
              <w:left w:val="outset" w:color="000000" w:sz="6" w:space="0"/>
              <w:bottom w:val="outset" w:color="000000" w:sz="6" w:space="0"/>
              <w:right w:val="outset" w:color="000000" w:sz="6" w:space="0"/>
            </w:tcBorders>
            <w:shd w:val="clear" w:color="auto" w:fill="E6EFFA"/>
            <w:noWrap/>
            <w:vAlign w:val="center"/>
          </w:tcPr>
          <w:p>
            <w:pPr>
              <w:wordWrap w:val="0"/>
              <w:jc w:val="center"/>
              <w:rPr>
                <w:rFonts w:ascii="宋体" w:hAnsi="宋体" w:cs="宋体"/>
                <w:szCs w:val="21"/>
              </w:rPr>
            </w:pPr>
            <w:r>
              <w:rPr>
                <w:szCs w:val="21"/>
              </w:rPr>
              <w:t>权重(%)</w:t>
            </w:r>
          </w:p>
        </w:tc>
        <w:tc>
          <w:tcPr>
            <w:tcW w:w="4093" w:type="dxa"/>
            <w:tcBorders>
              <w:top w:val="outset" w:color="000000" w:sz="6" w:space="0"/>
              <w:left w:val="outset" w:color="000000" w:sz="6" w:space="0"/>
              <w:bottom w:val="outset" w:color="000000" w:sz="6" w:space="0"/>
              <w:right w:val="outset" w:color="000000" w:sz="6" w:space="0"/>
            </w:tcBorders>
            <w:shd w:val="clear" w:color="auto" w:fill="E6EFFA"/>
            <w:noWrap/>
            <w:vAlign w:val="center"/>
          </w:tcPr>
          <w:p>
            <w:pPr>
              <w:wordWrap w:val="0"/>
              <w:jc w:val="center"/>
              <w:rPr>
                <w:rFonts w:ascii="宋体" w:hAnsi="宋体" w:cs="宋体"/>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noWrap/>
            <w:vAlign w:val="center"/>
          </w:tcPr>
          <w:p>
            <w:pPr>
              <w:wordWrap w:val="0"/>
              <w:jc w:val="center"/>
              <w:rPr>
                <w:rFonts w:ascii="宋体" w:hAnsi="宋体" w:cs="宋体"/>
                <w:szCs w:val="21"/>
              </w:rPr>
            </w:pPr>
            <w:r>
              <w:rPr>
                <w:szCs w:val="21"/>
              </w:rPr>
              <w:t>1</w:t>
            </w:r>
          </w:p>
        </w:tc>
        <w:tc>
          <w:tcPr>
            <w:tcW w:w="2659" w:type="dxa"/>
            <w:tcBorders>
              <w:top w:val="single" w:color="000000" w:sz="8" w:space="0"/>
              <w:left w:val="single" w:color="000000" w:sz="8" w:space="0"/>
              <w:bottom w:val="single" w:color="000000" w:sz="8" w:space="0"/>
              <w:right w:val="single" w:color="000000" w:sz="8" w:space="0"/>
            </w:tcBorders>
            <w:noWrap/>
            <w:vAlign w:val="center"/>
          </w:tcPr>
          <w:p>
            <w:pPr>
              <w:wordWrap w:val="0"/>
              <w:rPr>
                <w:rFonts w:ascii="宋体" w:hAnsi="宋体" w:cs="宋体"/>
                <w:szCs w:val="21"/>
              </w:rPr>
            </w:pPr>
            <w:r>
              <w:rPr>
                <w:szCs w:val="21"/>
              </w:rPr>
              <w:t>质保期</w:t>
            </w:r>
          </w:p>
        </w:tc>
        <w:tc>
          <w:tcPr>
            <w:tcW w:w="960" w:type="dxa"/>
            <w:tcBorders>
              <w:top w:val="single" w:color="000000" w:sz="8" w:space="0"/>
              <w:left w:val="single" w:color="000000" w:sz="8" w:space="0"/>
              <w:bottom w:val="single" w:color="000000" w:sz="8" w:space="0"/>
              <w:right w:val="single" w:color="000000" w:sz="8" w:space="0"/>
            </w:tcBorders>
            <w:noWrap/>
            <w:vAlign w:val="center"/>
          </w:tcPr>
          <w:p>
            <w:pPr>
              <w:wordWrap w:val="0"/>
              <w:jc w:val="center"/>
              <w:rPr>
                <w:rFonts w:ascii="宋体" w:hAnsi="宋体" w:cs="宋体"/>
                <w:szCs w:val="21"/>
              </w:rPr>
            </w:pPr>
            <w:r>
              <w:rPr>
                <w:szCs w:val="21"/>
              </w:rPr>
              <w:t>2</w:t>
            </w:r>
          </w:p>
        </w:tc>
        <w:tc>
          <w:tcPr>
            <w:tcW w:w="4093" w:type="dxa"/>
            <w:tcBorders>
              <w:top w:val="single" w:color="000000" w:sz="8" w:space="0"/>
              <w:left w:val="single" w:color="000000" w:sz="8" w:space="0"/>
              <w:bottom w:val="single" w:color="000000" w:sz="8" w:space="0"/>
              <w:right w:val="single" w:color="000000" w:sz="8" w:space="0"/>
            </w:tcBorders>
            <w:noWrap/>
            <w:vAlign w:val="center"/>
          </w:tcPr>
          <w:p>
            <w:pPr>
              <w:numPr>
                <w:ilvl w:val="0"/>
                <w:numId w:val="8"/>
              </w:numPr>
              <w:wordWrap w:val="0"/>
              <w:rPr>
                <w:szCs w:val="21"/>
              </w:rPr>
            </w:pPr>
            <w:r>
              <w:rPr>
                <w:szCs w:val="21"/>
              </w:rPr>
              <w:t>评分内容：必须满足用户质保要求的情况下，质保期每增加半年得 25%，满分 100%。</w:t>
            </w:r>
          </w:p>
          <w:p>
            <w:pPr>
              <w:wordWrap w:val="0"/>
              <w:rPr>
                <w:rFonts w:ascii="宋体" w:hAnsi="宋体" w:cs="宋体"/>
                <w:szCs w:val="21"/>
              </w:rPr>
            </w:pPr>
            <w:r>
              <w:rPr>
                <w:szCs w:val="21"/>
              </w:rPr>
              <w:t>（二）评分依据：《商务条款偏离表》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noWrap/>
            <w:vAlign w:val="center"/>
          </w:tcPr>
          <w:p>
            <w:pPr>
              <w:wordWrap w:val="0"/>
              <w:jc w:val="center"/>
              <w:rPr>
                <w:rFonts w:ascii="宋体" w:hAnsi="宋体" w:cs="宋体"/>
                <w:szCs w:val="21"/>
              </w:rPr>
            </w:pPr>
            <w:r>
              <w:rPr>
                <w:szCs w:val="21"/>
              </w:rPr>
              <w:t>2</w:t>
            </w:r>
          </w:p>
        </w:tc>
        <w:tc>
          <w:tcPr>
            <w:tcW w:w="2659" w:type="dxa"/>
            <w:tcBorders>
              <w:top w:val="single" w:color="000000" w:sz="8" w:space="0"/>
              <w:left w:val="single" w:color="000000" w:sz="8" w:space="0"/>
              <w:bottom w:val="single" w:color="000000" w:sz="8" w:space="0"/>
              <w:right w:val="single" w:color="000000" w:sz="8" w:space="0"/>
            </w:tcBorders>
            <w:noWrap/>
            <w:vAlign w:val="center"/>
          </w:tcPr>
          <w:p>
            <w:pPr>
              <w:wordWrap w:val="0"/>
              <w:rPr>
                <w:rFonts w:ascii="宋体" w:hAnsi="宋体" w:cs="宋体"/>
                <w:szCs w:val="21"/>
              </w:rPr>
            </w:pPr>
            <w:r>
              <w:rPr>
                <w:szCs w:val="21"/>
              </w:rPr>
              <w:t>预防性维修保养</w:t>
            </w:r>
          </w:p>
        </w:tc>
        <w:tc>
          <w:tcPr>
            <w:tcW w:w="960" w:type="dxa"/>
            <w:tcBorders>
              <w:top w:val="single" w:color="000000" w:sz="8" w:space="0"/>
              <w:left w:val="single" w:color="000000" w:sz="8" w:space="0"/>
              <w:bottom w:val="single" w:color="000000" w:sz="8" w:space="0"/>
              <w:right w:val="single" w:color="000000" w:sz="8" w:space="0"/>
            </w:tcBorders>
            <w:noWrap/>
            <w:vAlign w:val="center"/>
          </w:tcPr>
          <w:p>
            <w:pPr>
              <w:wordWrap w:val="0"/>
              <w:jc w:val="center"/>
              <w:rPr>
                <w:rFonts w:ascii="宋体" w:hAnsi="宋体" w:cs="宋体"/>
                <w:szCs w:val="21"/>
              </w:rPr>
            </w:pPr>
            <w:r>
              <w:rPr>
                <w:szCs w:val="21"/>
              </w:rPr>
              <w:t>1</w:t>
            </w:r>
          </w:p>
        </w:tc>
        <w:tc>
          <w:tcPr>
            <w:tcW w:w="4093" w:type="dxa"/>
            <w:tcBorders>
              <w:top w:val="single" w:color="000000" w:sz="8" w:space="0"/>
              <w:left w:val="single" w:color="000000" w:sz="8" w:space="0"/>
              <w:bottom w:val="single" w:color="000000" w:sz="8" w:space="0"/>
              <w:right w:val="single" w:color="000000" w:sz="8" w:space="0"/>
            </w:tcBorders>
            <w:noWrap/>
            <w:vAlign w:val="center"/>
          </w:tcPr>
          <w:p>
            <w:pPr>
              <w:numPr>
                <w:ilvl w:val="0"/>
                <w:numId w:val="9"/>
              </w:numPr>
              <w:wordWrap w:val="0"/>
              <w:rPr>
                <w:szCs w:val="21"/>
              </w:rPr>
            </w:pPr>
            <w:r>
              <w:rPr>
                <w:szCs w:val="21"/>
              </w:rPr>
              <w:t>评分内容：满足用户要求的情况下，质保期内每年每增加一次得 50%，满分 100%。</w:t>
            </w:r>
          </w:p>
          <w:p>
            <w:pPr>
              <w:wordWrap w:val="0"/>
              <w:rPr>
                <w:rFonts w:ascii="宋体" w:hAnsi="宋体" w:cs="宋体"/>
                <w:szCs w:val="21"/>
              </w:rPr>
            </w:pPr>
            <w:r>
              <w:rPr>
                <w:szCs w:val="21"/>
              </w:rPr>
              <w:t>（二）评分依据：《商务条款偏离表》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noWrap/>
            <w:vAlign w:val="center"/>
          </w:tcPr>
          <w:p>
            <w:pPr>
              <w:wordWrap w:val="0"/>
              <w:jc w:val="center"/>
              <w:rPr>
                <w:rFonts w:ascii="宋体" w:hAnsi="宋体" w:cs="宋体"/>
                <w:szCs w:val="21"/>
              </w:rPr>
            </w:pPr>
            <w:r>
              <w:rPr>
                <w:szCs w:val="21"/>
              </w:rPr>
              <w:t>3</w:t>
            </w:r>
          </w:p>
        </w:tc>
        <w:tc>
          <w:tcPr>
            <w:tcW w:w="2659" w:type="dxa"/>
            <w:tcBorders>
              <w:top w:val="single" w:color="000000" w:sz="8" w:space="0"/>
              <w:left w:val="single" w:color="000000" w:sz="8" w:space="0"/>
              <w:bottom w:val="single" w:color="000000" w:sz="8" w:space="0"/>
              <w:right w:val="single" w:color="000000" w:sz="8" w:space="0"/>
            </w:tcBorders>
            <w:noWrap/>
            <w:vAlign w:val="center"/>
          </w:tcPr>
          <w:p>
            <w:pPr>
              <w:wordWrap w:val="0"/>
              <w:rPr>
                <w:rFonts w:ascii="宋体" w:hAnsi="宋体" w:cs="宋体"/>
                <w:szCs w:val="21"/>
              </w:rPr>
            </w:pPr>
            <w:r>
              <w:rPr>
                <w:szCs w:val="21"/>
              </w:rPr>
              <w:t>售后服务机构</w:t>
            </w:r>
          </w:p>
        </w:tc>
        <w:tc>
          <w:tcPr>
            <w:tcW w:w="960" w:type="dxa"/>
            <w:tcBorders>
              <w:top w:val="single" w:color="000000" w:sz="8" w:space="0"/>
              <w:left w:val="single" w:color="000000" w:sz="8" w:space="0"/>
              <w:bottom w:val="single" w:color="000000" w:sz="8" w:space="0"/>
              <w:right w:val="single" w:color="000000" w:sz="8" w:space="0"/>
            </w:tcBorders>
            <w:noWrap/>
            <w:vAlign w:val="center"/>
          </w:tcPr>
          <w:p>
            <w:pPr>
              <w:wordWrap w:val="0"/>
              <w:jc w:val="center"/>
              <w:rPr>
                <w:rFonts w:ascii="宋体" w:hAnsi="宋体" w:cs="宋体"/>
                <w:szCs w:val="21"/>
              </w:rPr>
            </w:pPr>
            <w:r>
              <w:rPr>
                <w:szCs w:val="21"/>
              </w:rPr>
              <w:t>1</w:t>
            </w:r>
          </w:p>
        </w:tc>
        <w:tc>
          <w:tcPr>
            <w:tcW w:w="4093" w:type="dxa"/>
            <w:tcBorders>
              <w:top w:val="single" w:color="000000" w:sz="8" w:space="0"/>
              <w:left w:val="single" w:color="000000" w:sz="8" w:space="0"/>
              <w:bottom w:val="single" w:color="000000" w:sz="8" w:space="0"/>
              <w:right w:val="single" w:color="000000" w:sz="8" w:space="0"/>
            </w:tcBorders>
            <w:noWrap/>
            <w:vAlign w:val="center"/>
          </w:tcPr>
          <w:p>
            <w:pPr>
              <w:numPr>
                <w:ilvl w:val="0"/>
                <w:numId w:val="10"/>
              </w:numPr>
              <w:wordWrap w:val="0"/>
              <w:rPr>
                <w:szCs w:val="21"/>
              </w:rPr>
            </w:pPr>
            <w:r>
              <w:rPr>
                <w:szCs w:val="21"/>
              </w:rPr>
              <w:t>评分内容：1、投标人在广东省有售后服务场所的得80%；2、在深圳有售后服务场所的得100%；</w:t>
            </w:r>
            <w:r>
              <w:rPr>
                <w:rFonts w:hint="eastAsia"/>
                <w:szCs w:val="21"/>
              </w:rPr>
              <w:t>现在广东省无</w:t>
            </w:r>
            <w:r>
              <w:rPr>
                <w:szCs w:val="21"/>
              </w:rPr>
              <w:t>售后服务场所</w:t>
            </w:r>
            <w:r>
              <w:rPr>
                <w:rFonts w:hint="eastAsia"/>
                <w:szCs w:val="21"/>
              </w:rPr>
              <w:t>，</w:t>
            </w:r>
            <w:r>
              <w:rPr>
                <w:rFonts w:hint="eastAsia"/>
              </w:rPr>
              <w:t>投标人承诺中标后在深圳市设立售后服务机构的得30%</w:t>
            </w:r>
            <w:r>
              <w:rPr>
                <w:szCs w:val="21"/>
              </w:rPr>
              <w:t>。</w:t>
            </w:r>
          </w:p>
          <w:p>
            <w:pPr>
              <w:wordWrap w:val="0"/>
              <w:rPr>
                <w:rFonts w:ascii="宋体" w:hAnsi="宋体" w:cs="宋体"/>
                <w:szCs w:val="21"/>
              </w:rPr>
            </w:pPr>
            <w:r>
              <w:rPr>
                <w:szCs w:val="21"/>
              </w:rPr>
              <w:t>（二）评分依据：投标人如果是自有的办公场所，需提供自有证明；投标人如果是租赁的办公场所，需提供租赁合同。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noWrap/>
            <w:vAlign w:val="center"/>
          </w:tcPr>
          <w:p>
            <w:pPr>
              <w:wordWrap w:val="0"/>
              <w:jc w:val="center"/>
              <w:rPr>
                <w:rFonts w:ascii="宋体" w:hAnsi="宋体" w:cs="宋体"/>
                <w:szCs w:val="21"/>
              </w:rPr>
            </w:pPr>
            <w:r>
              <w:rPr>
                <w:szCs w:val="21"/>
              </w:rPr>
              <w:t>4</w:t>
            </w:r>
          </w:p>
        </w:tc>
        <w:tc>
          <w:tcPr>
            <w:tcW w:w="2659" w:type="dxa"/>
            <w:tcBorders>
              <w:top w:val="single" w:color="000000" w:sz="8" w:space="0"/>
              <w:left w:val="single" w:color="000000" w:sz="8" w:space="0"/>
              <w:bottom w:val="single" w:color="000000" w:sz="8" w:space="0"/>
              <w:right w:val="single" w:color="000000" w:sz="8" w:space="0"/>
            </w:tcBorders>
            <w:noWrap/>
            <w:vAlign w:val="center"/>
          </w:tcPr>
          <w:p>
            <w:pPr>
              <w:wordWrap w:val="0"/>
              <w:rPr>
                <w:rFonts w:ascii="宋体" w:hAnsi="宋体" w:cs="宋体"/>
                <w:szCs w:val="21"/>
              </w:rPr>
            </w:pPr>
            <w:r>
              <w:rPr>
                <w:szCs w:val="21"/>
              </w:rPr>
              <w:t>售后服务承诺</w:t>
            </w:r>
          </w:p>
        </w:tc>
        <w:tc>
          <w:tcPr>
            <w:tcW w:w="960" w:type="dxa"/>
            <w:tcBorders>
              <w:top w:val="single" w:color="000000" w:sz="8" w:space="0"/>
              <w:left w:val="single" w:color="000000" w:sz="8" w:space="0"/>
              <w:bottom w:val="single" w:color="000000" w:sz="8" w:space="0"/>
              <w:right w:val="single" w:color="000000" w:sz="8" w:space="0"/>
            </w:tcBorders>
            <w:noWrap/>
            <w:vAlign w:val="center"/>
          </w:tcPr>
          <w:p>
            <w:pPr>
              <w:wordWrap w:val="0"/>
              <w:jc w:val="center"/>
              <w:rPr>
                <w:rFonts w:ascii="宋体" w:hAnsi="宋体" w:cs="宋体"/>
                <w:szCs w:val="21"/>
              </w:rPr>
            </w:pPr>
            <w:r>
              <w:rPr>
                <w:szCs w:val="21"/>
              </w:rPr>
              <w:t>1</w:t>
            </w:r>
          </w:p>
        </w:tc>
        <w:tc>
          <w:tcPr>
            <w:tcW w:w="4093" w:type="dxa"/>
            <w:tcBorders>
              <w:top w:val="single" w:color="000000" w:sz="8" w:space="0"/>
              <w:left w:val="single" w:color="000000" w:sz="8" w:space="0"/>
              <w:bottom w:val="single" w:color="000000" w:sz="8" w:space="0"/>
              <w:right w:val="single" w:color="000000" w:sz="8" w:space="0"/>
            </w:tcBorders>
            <w:noWrap/>
            <w:vAlign w:val="center"/>
          </w:tcPr>
          <w:p>
            <w:pPr>
              <w:numPr>
                <w:ilvl w:val="0"/>
                <w:numId w:val="11"/>
              </w:numPr>
              <w:wordWrap w:val="0"/>
              <w:rPr>
                <w:szCs w:val="21"/>
              </w:rPr>
            </w:pPr>
            <w:r>
              <w:rPr>
                <w:szCs w:val="21"/>
              </w:rPr>
              <w:t>评分内容：投标人提供承诺，承诺内容包含：“在合同签订前能提供生产商或生产商指定的具有售后服务资质的机构出具的符合招标要求的售后服务承诺函原件。”提供符合招标文件要求承诺的得 100%，未提供不得分。</w:t>
            </w:r>
          </w:p>
          <w:p>
            <w:pPr>
              <w:wordWrap w:val="0"/>
              <w:rPr>
                <w:rFonts w:ascii="宋体" w:hAnsi="宋体" w:cs="宋体"/>
                <w:szCs w:val="21"/>
              </w:rPr>
            </w:pPr>
            <w:r>
              <w:rPr>
                <w:szCs w:val="21"/>
              </w:rPr>
              <w:t>（二）评分依据：提供承诺函（格式自定）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noWrap/>
            <w:vAlign w:val="center"/>
          </w:tcPr>
          <w:p>
            <w:pPr>
              <w:wordWrap w:val="0"/>
              <w:jc w:val="center"/>
              <w:rPr>
                <w:rFonts w:ascii="宋体" w:hAnsi="宋体" w:cs="宋体"/>
                <w:szCs w:val="21"/>
              </w:rPr>
            </w:pPr>
            <w:r>
              <w:rPr>
                <w:szCs w:val="21"/>
              </w:rPr>
              <w:t>5</w:t>
            </w:r>
          </w:p>
        </w:tc>
        <w:tc>
          <w:tcPr>
            <w:tcW w:w="2659" w:type="dxa"/>
            <w:tcBorders>
              <w:top w:val="single" w:color="000000" w:sz="8" w:space="0"/>
              <w:left w:val="single" w:color="000000" w:sz="8" w:space="0"/>
              <w:bottom w:val="single" w:color="000000" w:sz="8" w:space="0"/>
              <w:right w:val="single" w:color="000000" w:sz="8" w:space="0"/>
            </w:tcBorders>
            <w:noWrap/>
            <w:vAlign w:val="center"/>
          </w:tcPr>
          <w:p>
            <w:pPr>
              <w:wordWrap w:val="0"/>
              <w:rPr>
                <w:rFonts w:ascii="宋体" w:hAnsi="宋体" w:cs="宋体"/>
                <w:szCs w:val="21"/>
              </w:rPr>
            </w:pPr>
            <w:r>
              <w:rPr>
                <w:szCs w:val="21"/>
              </w:rPr>
              <w:t>备品备件供应及价格优惠情况</w:t>
            </w:r>
          </w:p>
        </w:tc>
        <w:tc>
          <w:tcPr>
            <w:tcW w:w="960" w:type="dxa"/>
            <w:tcBorders>
              <w:top w:val="single" w:color="000000" w:sz="8" w:space="0"/>
              <w:left w:val="single" w:color="000000" w:sz="8" w:space="0"/>
              <w:bottom w:val="single" w:color="000000" w:sz="8" w:space="0"/>
              <w:right w:val="single" w:color="000000" w:sz="8" w:space="0"/>
            </w:tcBorders>
            <w:noWrap/>
            <w:vAlign w:val="center"/>
          </w:tcPr>
          <w:p>
            <w:pPr>
              <w:wordWrap w:val="0"/>
              <w:jc w:val="center"/>
              <w:rPr>
                <w:rFonts w:ascii="宋体" w:hAnsi="宋体" w:cs="宋体"/>
                <w:szCs w:val="21"/>
              </w:rPr>
            </w:pPr>
            <w:r>
              <w:rPr>
                <w:szCs w:val="21"/>
              </w:rPr>
              <w:t>1</w:t>
            </w:r>
          </w:p>
        </w:tc>
        <w:tc>
          <w:tcPr>
            <w:tcW w:w="4093" w:type="dxa"/>
            <w:tcBorders>
              <w:top w:val="single" w:color="000000" w:sz="8" w:space="0"/>
              <w:left w:val="single" w:color="000000" w:sz="8" w:space="0"/>
              <w:bottom w:val="single" w:color="000000" w:sz="8" w:space="0"/>
              <w:right w:val="single" w:color="000000" w:sz="8" w:space="0"/>
            </w:tcBorders>
            <w:noWrap/>
            <w:vAlign w:val="center"/>
          </w:tcPr>
          <w:p>
            <w:pPr>
              <w:numPr>
                <w:ilvl w:val="0"/>
                <w:numId w:val="12"/>
              </w:numPr>
              <w:wordWrap w:val="0"/>
              <w:rPr>
                <w:szCs w:val="21"/>
              </w:rPr>
            </w:pPr>
            <w:r>
              <w:rPr>
                <w:szCs w:val="21"/>
              </w:rPr>
              <w:t>评分内容：根据折扣率由低到高排序（备品备件中有多个折扣率的，以折扣率最高的参与排序），折扣率最低的为第一名，得 100%，第二名得 80%，其他得 60%，未提供或折扣率≥1 得 0 分。</w:t>
            </w:r>
          </w:p>
          <w:p>
            <w:pPr>
              <w:wordWrap w:val="0"/>
              <w:rPr>
                <w:rFonts w:ascii="宋体" w:hAnsi="宋体" w:cs="宋体"/>
                <w:szCs w:val="21"/>
              </w:rPr>
            </w:pPr>
            <w:r>
              <w:rPr>
                <w:szCs w:val="21"/>
              </w:rPr>
              <w:t>（二）评分依据：《主要零配件价格表》</w:t>
            </w:r>
          </w:p>
        </w:tc>
      </w:tr>
    </w:tbl>
    <w:p>
      <w:pPr>
        <w:pStyle w:val="4"/>
        <w:spacing w:before="0" w:after="0"/>
        <w:jc w:val="left"/>
        <w:rPr>
          <w:rFonts w:asciiTheme="minorEastAsia" w:hAnsiTheme="minorEastAsia"/>
          <w:bCs w:val="0"/>
          <w:sz w:val="21"/>
          <w:szCs w:val="21"/>
        </w:rPr>
      </w:pPr>
      <w:r>
        <w:rPr>
          <w:rFonts w:hint="eastAsia" w:asciiTheme="minorEastAsia" w:hAnsiTheme="minorEastAsia"/>
          <w:bCs w:val="0"/>
          <w:sz w:val="21"/>
          <w:szCs w:val="21"/>
        </w:rPr>
        <w:t>备注：</w:t>
      </w:r>
      <w:bookmarkEnd w:id="16"/>
      <w:bookmarkEnd w:id="17"/>
      <w:bookmarkEnd w:id="18"/>
      <w:bookmarkEnd w:id="19"/>
      <w:bookmarkEnd w:id="20"/>
    </w:p>
    <w:p>
      <w:pPr>
        <w:pStyle w:val="3"/>
        <w:spacing w:before="0" w:after="0"/>
      </w:pPr>
      <w:bookmarkStart w:id="21" w:name="_Toc73610145"/>
      <w:r>
        <w:rPr>
          <w:rFonts w:hint="eastAsia"/>
        </w:rPr>
        <w:t>1、资质证书有效期</w:t>
      </w:r>
      <w:bookmarkEnd w:id="21"/>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adjustRightInd w:val="0"/>
        <w:spacing w:line="360" w:lineRule="exact"/>
        <w:rPr>
          <w:rFonts w:asciiTheme="minorEastAsia" w:hAnsiTheme="minorEastAsia" w:eastAsiaTheme="minorEastAsia"/>
          <w:b/>
        </w:rPr>
      </w:pPr>
    </w:p>
    <w:p>
      <w:pPr>
        <w:pStyle w:val="3"/>
        <w:spacing w:before="0" w:after="0"/>
        <w:rPr>
          <w:rFonts w:asciiTheme="minorEastAsia" w:hAnsiTheme="minorEastAsia" w:eastAsiaTheme="minorEastAsia"/>
        </w:rPr>
      </w:pPr>
      <w:bookmarkStart w:id="22" w:name="_Toc73610146"/>
      <w:r>
        <w:rPr>
          <w:rFonts w:hint="eastAsia" w:asciiTheme="minorEastAsia" w:hAnsiTheme="minorEastAsia" w:eastAsiaTheme="minorEastAsia"/>
        </w:rPr>
        <w:t>2、政府采购优惠政策</w:t>
      </w:r>
      <w:bookmarkEnd w:id="22"/>
    </w:p>
    <w:p>
      <w:pPr>
        <w:adjustRightInd w:val="0"/>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优惠政策的证明材料的投标人，</w:t>
      </w:r>
      <w:r>
        <w:rPr>
          <w:rFonts w:hint="eastAsia" w:asciiTheme="minorEastAsia" w:hAnsiTheme="minorEastAsia" w:eastAsiaTheme="minorEastAsia"/>
          <w:b/>
        </w:rPr>
        <w:t>其投标报价扣除</w:t>
      </w:r>
      <w:r>
        <w:rPr>
          <w:rFonts w:hint="eastAsia" w:asciiTheme="minorEastAsia" w:hAnsiTheme="minorEastAsia" w:eastAsiaTheme="minorEastAsia"/>
          <w:b/>
          <w:u w:val="single"/>
        </w:rPr>
        <w:t xml:space="preserve"> 6 </w:t>
      </w:r>
      <w:r>
        <w:rPr>
          <w:rFonts w:hint="eastAsia" w:asciiTheme="minorEastAsia" w:hAnsiTheme="minorEastAsia" w:eastAsiaTheme="minorEastAsia"/>
          <w:b/>
        </w:rPr>
        <w:t>%（请在6%-10%范围内选择）后参与评审</w:t>
      </w:r>
      <w:r>
        <w:rPr>
          <w:rFonts w:hint="eastAsia" w:asciiTheme="minorEastAsia" w:hAnsiTheme="minorEastAsia" w:eastAsiaTheme="minorEastAsia"/>
        </w:rPr>
        <w:t>。对于同时属于小微企业、监狱企业或残疾人福利性单位的，不重复进行投标报价扣除。</w:t>
      </w:r>
    </w:p>
    <w:p>
      <w:pPr>
        <w:adjustRightInd w:val="0"/>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rPr>
        <w:t>（2）联合协议中约定，小型、微型企业的协议合同金额占到联合体协议合同总金额30%以上的，可给予</w:t>
      </w:r>
      <w:r>
        <w:rPr>
          <w:rFonts w:hint="eastAsia" w:asciiTheme="minorEastAsia" w:hAnsiTheme="minorEastAsia" w:eastAsiaTheme="minorEastAsia"/>
          <w:b/>
        </w:rPr>
        <w:t>联合体</w:t>
      </w:r>
      <w:r>
        <w:rPr>
          <w:rFonts w:hint="eastAsia" w:asciiTheme="minorEastAsia" w:hAnsiTheme="minorEastAsia" w:eastAsiaTheme="minorEastAsia"/>
          <w:b/>
          <w:u w:val="single"/>
        </w:rPr>
        <w:t xml:space="preserve"> / </w:t>
      </w:r>
      <w:r>
        <w:rPr>
          <w:rFonts w:hint="eastAsia" w:asciiTheme="minorEastAsia" w:hAnsiTheme="minorEastAsia" w:eastAsiaTheme="minorEastAsia"/>
          <w:b/>
        </w:rPr>
        <w:t>%（请在2</w:t>
      </w:r>
      <w:r>
        <w:rPr>
          <w:rFonts w:asciiTheme="minorEastAsia" w:hAnsiTheme="minorEastAsia" w:eastAsiaTheme="minorEastAsia"/>
          <w:b/>
        </w:rPr>
        <w:t>%-</w:t>
      </w:r>
      <w:r>
        <w:rPr>
          <w:rFonts w:hint="eastAsia" w:asciiTheme="minorEastAsia" w:hAnsiTheme="minorEastAsia" w:eastAsiaTheme="minorEastAsia"/>
          <w:b/>
        </w:rPr>
        <w:t>3</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p>
    <w:p>
      <w:pPr>
        <w:spacing w:line="360" w:lineRule="auto"/>
        <w:ind w:firstLine="424" w:firstLineChars="202"/>
        <w:jc w:val="left"/>
        <w:rPr>
          <w:rFonts w:asciiTheme="minorEastAsia" w:hAnsiTheme="minorEastAsia" w:eastAsiaTheme="minorEastAsia"/>
        </w:rPr>
      </w:pPr>
      <w:r>
        <w:rPr>
          <w:rFonts w:hint="eastAsia" w:asciiTheme="minorEastAsia" w:hAnsiTheme="minorEastAsia" w:eastAsiaTheme="minorEastAsia"/>
        </w:rPr>
        <w:t>联合体各方均为小型、微型企业、监狱企业和</w:t>
      </w:r>
      <w:r>
        <w:rPr>
          <w:rFonts w:hint="eastAsia" w:ascii="宋体" w:hAnsi="宋体"/>
        </w:rPr>
        <w:t>残疾人福利性单位</w:t>
      </w:r>
      <w:r>
        <w:rPr>
          <w:rFonts w:hint="eastAsia" w:asciiTheme="minorEastAsia" w:hAnsiTheme="minorEastAsia" w:eastAsiaTheme="minorEastAsia"/>
        </w:rPr>
        <w:t>的，联合体视同为小型、微型企业、监狱企业和</w:t>
      </w:r>
      <w:r>
        <w:rPr>
          <w:rFonts w:hint="eastAsia" w:ascii="宋体" w:hAnsi="宋体"/>
        </w:rPr>
        <w:t>残疾人福利性单位</w:t>
      </w:r>
      <w:r>
        <w:rPr>
          <w:rFonts w:hint="eastAsia" w:asciiTheme="minorEastAsia" w:hAnsiTheme="minorEastAsia" w:eastAsiaTheme="minorEastAsia"/>
        </w:rPr>
        <w:t>，均享受</w:t>
      </w:r>
      <w:r>
        <w:rPr>
          <w:rFonts w:hint="eastAsia" w:asciiTheme="minorEastAsia" w:hAnsiTheme="minorEastAsia" w:eastAsiaTheme="minorEastAsia"/>
          <w:b/>
          <w:bCs/>
        </w:rPr>
        <w:t>政府采购优惠政策</w:t>
      </w:r>
      <w:r>
        <w:rPr>
          <w:rFonts w:hint="eastAsia" w:asciiTheme="minorEastAsia" w:hAnsiTheme="minorEastAsia" w:eastAsiaTheme="minorEastAsia"/>
          <w:b/>
        </w:rPr>
        <w:t>第一款</w:t>
      </w:r>
      <w:r>
        <w:rPr>
          <w:rFonts w:hint="eastAsia" w:asciiTheme="minorEastAsia" w:hAnsiTheme="minorEastAsia" w:eastAsiaTheme="minorEastAsia"/>
        </w:rPr>
        <w:t>的优惠政策。</w:t>
      </w:r>
    </w:p>
    <w:p>
      <w:pPr>
        <w:spacing w:line="360" w:lineRule="auto"/>
        <w:ind w:firstLine="424" w:firstLineChars="202"/>
        <w:jc w:val="left"/>
        <w:rPr>
          <w:rFonts w:asciiTheme="minorEastAsia" w:hAnsiTheme="minorEastAsia" w:eastAsiaTheme="minorEastAsia"/>
        </w:rPr>
      </w:pPr>
      <w:r>
        <w:rPr>
          <w:rFonts w:hint="eastAsia" w:asciiTheme="minorEastAsia" w:hAnsiTheme="minorEastAsia" w:eastAsiaTheme="minorEastAsia"/>
        </w:rPr>
        <w:t>（3）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（4）投标产品属于《关于调整优化节能产品环境标志产品政府采购执行机制的通知》（财库〔2019〕9号）、《关于印发环境标志产品政府采购品目清单的通知》（财库〔2019〕18号）和《关于印发节能产品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对符合条件的获证产品（强制采购产品除外）</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%的价格扣除，用扣除后的价格参与价格分的评审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pPr>
        <w:spacing w:line="360" w:lineRule="auto"/>
        <w:ind w:firstLine="424" w:firstLineChars="202"/>
        <w:jc w:val="left"/>
        <w:rPr>
          <w:rFonts w:hint="eastAsia" w:asciiTheme="minorEastAsia" w:hAnsiTheme="minorEastAsia" w:eastAsiaTheme="minorEastAsia"/>
          <w:szCs w:val="21"/>
        </w:rPr>
      </w:pPr>
      <w:r>
        <w:rPr>
          <w:rFonts w:hint="eastAsia" w:asciiTheme="minorEastAsia" w:hAnsiTheme="minorEastAsia" w:eastAsiaTheme="minorEastAsia"/>
          <w:szCs w:val="21"/>
        </w:rPr>
        <w:t>（5）为缓解中小企业融资难题，我市推出政府采购订单融资改革举措。订单融资具体流程及试点金融机构订单融资服务承诺可参阅深圳市政府采购监管网（www.zfcg.sz.gov.cn）信息公开栏目或深圳公共资源交易中心网站（www.szzfcg.cn）政府采购订单融资栏目。</w:t>
      </w:r>
    </w:p>
    <w:p>
      <w:pPr>
        <w:spacing w:line="360" w:lineRule="auto"/>
        <w:ind w:firstLine="424" w:firstLineChars="202"/>
        <w:jc w:val="left"/>
        <w:rPr>
          <w:rFonts w:hint="eastAsia" w:asciiTheme="minorEastAsia" w:hAnsiTheme="minorEastAsia" w:eastAsiaTheme="minorEastAsia"/>
          <w:szCs w:val="21"/>
        </w:rPr>
      </w:pPr>
    </w:p>
    <w:p>
      <w:pPr>
        <w:pStyle w:val="2"/>
        <w:spacing w:beforeLines="50"/>
      </w:pPr>
      <w:bookmarkStart w:id="23" w:name="_Toc73610147"/>
      <w:r>
        <w:rPr>
          <w:rFonts w:hint="eastAsia"/>
        </w:rPr>
        <w:t>第五章  投标人须知前附表</w:t>
      </w:r>
      <w:bookmarkEnd w:id="23"/>
    </w:p>
    <w:p>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项号</w:t>
            </w:r>
          </w:p>
        </w:tc>
        <w:tc>
          <w:tcPr>
            <w:tcW w:w="1038" w:type="dxa"/>
            <w:vAlign w:val="center"/>
          </w:tcPr>
          <w:p>
            <w:pPr>
              <w:pStyle w:val="26"/>
              <w:spacing w:line="360" w:lineRule="auto"/>
              <w:jc w:val="center"/>
              <w:rPr>
                <w:rFonts w:hAnsi="宋体"/>
              </w:rPr>
            </w:pPr>
            <w:r>
              <w:rPr>
                <w:rFonts w:hint="eastAsia" w:hAnsi="宋体"/>
              </w:rPr>
              <w:t>条款号</w:t>
            </w:r>
          </w:p>
        </w:tc>
        <w:tc>
          <w:tcPr>
            <w:tcW w:w="1843" w:type="dxa"/>
            <w:vAlign w:val="center"/>
          </w:tcPr>
          <w:p>
            <w:pPr>
              <w:pStyle w:val="26"/>
              <w:spacing w:line="360" w:lineRule="auto"/>
              <w:jc w:val="center"/>
              <w:rPr>
                <w:rFonts w:hAnsi="宋体"/>
              </w:rPr>
            </w:pPr>
            <w:r>
              <w:rPr>
                <w:rFonts w:hint="eastAsia" w:hAnsi="宋体"/>
              </w:rPr>
              <w:t>内容</w:t>
            </w:r>
          </w:p>
        </w:tc>
        <w:tc>
          <w:tcPr>
            <w:tcW w:w="6520" w:type="dxa"/>
          </w:tcPr>
          <w:p>
            <w:pPr>
              <w:pStyle w:val="26"/>
              <w:spacing w:line="360" w:lineRule="auto"/>
              <w:jc w:val="center"/>
              <w:rPr>
                <w:rFonts w:hAnsi="宋体"/>
              </w:rPr>
            </w:pPr>
            <w:r>
              <w:rPr>
                <w:rFonts w:hint="eastAsia" w:hAnsi="宋体"/>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Ansi="宋体"/>
              </w:rPr>
              <w:t>1</w:t>
            </w:r>
          </w:p>
        </w:tc>
        <w:tc>
          <w:tcPr>
            <w:tcW w:w="1038" w:type="dxa"/>
            <w:vAlign w:val="center"/>
          </w:tcPr>
          <w:p>
            <w:pPr>
              <w:pStyle w:val="26"/>
              <w:spacing w:line="360" w:lineRule="auto"/>
              <w:jc w:val="center"/>
              <w:rPr>
                <w:rFonts w:hAnsi="宋体"/>
              </w:rPr>
            </w:pPr>
            <w:r>
              <w:rPr>
                <w:rFonts w:hAnsi="宋体"/>
              </w:rPr>
              <w:t>1.1</w:t>
            </w:r>
          </w:p>
        </w:tc>
        <w:tc>
          <w:tcPr>
            <w:tcW w:w="1843" w:type="dxa"/>
            <w:vAlign w:val="center"/>
          </w:tcPr>
          <w:p>
            <w:pPr>
              <w:pStyle w:val="26"/>
              <w:spacing w:line="360" w:lineRule="exact"/>
              <w:jc w:val="center"/>
              <w:rPr>
                <w:rFonts w:hAnsi="宋体"/>
              </w:rPr>
            </w:pPr>
            <w:r>
              <w:rPr>
                <w:rFonts w:hint="eastAsia" w:hAnsi="宋体"/>
              </w:rPr>
              <w:t>项目名称</w:t>
            </w:r>
          </w:p>
        </w:tc>
        <w:tc>
          <w:tcPr>
            <w:tcW w:w="6520" w:type="dxa"/>
            <w:vAlign w:val="center"/>
          </w:tcPr>
          <w:p>
            <w:pPr>
              <w:pStyle w:val="26"/>
              <w:spacing w:line="360" w:lineRule="exact"/>
            </w:pPr>
            <w:r>
              <w:rPr>
                <w:rFonts w:hint="eastAsia" w:hAnsi="宋体" w:cs="宋体"/>
                <w:kern w:val="0"/>
                <w:sz w:val="20"/>
              </w:rPr>
              <w:t>阴道显微镜采购项目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2</w:t>
            </w:r>
          </w:p>
        </w:tc>
        <w:tc>
          <w:tcPr>
            <w:tcW w:w="1038" w:type="dxa"/>
            <w:vAlign w:val="center"/>
          </w:tcPr>
          <w:p>
            <w:pPr>
              <w:pStyle w:val="26"/>
              <w:spacing w:line="360" w:lineRule="auto"/>
              <w:jc w:val="center"/>
              <w:rPr>
                <w:rFonts w:hAnsi="宋体"/>
              </w:rPr>
            </w:pPr>
            <w:r>
              <w:rPr>
                <w:rFonts w:hAnsi="宋体"/>
              </w:rPr>
              <w:t>2.1</w:t>
            </w:r>
          </w:p>
        </w:tc>
        <w:tc>
          <w:tcPr>
            <w:tcW w:w="1843" w:type="dxa"/>
            <w:vAlign w:val="center"/>
          </w:tcPr>
          <w:p>
            <w:pPr>
              <w:pStyle w:val="26"/>
              <w:spacing w:line="360" w:lineRule="exact"/>
              <w:jc w:val="center"/>
              <w:rPr>
                <w:rFonts w:hAnsi="宋体"/>
              </w:rPr>
            </w:pPr>
            <w:r>
              <w:rPr>
                <w:rFonts w:hint="eastAsia" w:hAnsi="宋体"/>
              </w:rPr>
              <w:t>采购人</w:t>
            </w:r>
          </w:p>
        </w:tc>
        <w:tc>
          <w:tcPr>
            <w:tcW w:w="6520" w:type="dxa"/>
            <w:vAlign w:val="center"/>
          </w:tcPr>
          <w:p>
            <w:pPr>
              <w:pStyle w:val="26"/>
              <w:spacing w:line="360" w:lineRule="exact"/>
              <w:rPr>
                <w:rFonts w:hAnsi="宋体"/>
                <w:szCs w:val="24"/>
              </w:rPr>
            </w:pPr>
            <w:r>
              <w:rPr>
                <w:rFonts w:hint="eastAsia" w:hAnsi="宋体" w:cs="宋体"/>
                <w:kern w:val="0"/>
                <w:sz w:val="20"/>
              </w:rPr>
              <w:t>龙岗区第二人民医院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3</w:t>
            </w:r>
          </w:p>
        </w:tc>
        <w:tc>
          <w:tcPr>
            <w:tcW w:w="1038" w:type="dxa"/>
            <w:vAlign w:val="center"/>
          </w:tcPr>
          <w:p>
            <w:pPr>
              <w:pStyle w:val="26"/>
              <w:spacing w:line="360" w:lineRule="auto"/>
              <w:jc w:val="center"/>
              <w:rPr>
                <w:rFonts w:hAnsi="宋体"/>
              </w:rPr>
            </w:pPr>
            <w:r>
              <w:rPr>
                <w:rFonts w:hAnsi="宋体"/>
              </w:rPr>
              <w:t>2.2</w:t>
            </w:r>
          </w:p>
        </w:tc>
        <w:tc>
          <w:tcPr>
            <w:tcW w:w="1843" w:type="dxa"/>
            <w:vAlign w:val="center"/>
          </w:tcPr>
          <w:p>
            <w:pPr>
              <w:pStyle w:val="26"/>
              <w:spacing w:line="360" w:lineRule="exact"/>
              <w:jc w:val="center"/>
              <w:rPr>
                <w:rFonts w:hAnsi="宋体"/>
              </w:rPr>
            </w:pPr>
            <w:r>
              <w:rPr>
                <w:rFonts w:hint="eastAsia" w:hAnsi="宋体"/>
              </w:rPr>
              <w:t>招标代理机构</w:t>
            </w:r>
          </w:p>
        </w:tc>
        <w:tc>
          <w:tcPr>
            <w:tcW w:w="6520" w:type="dxa"/>
            <w:vAlign w:val="center"/>
          </w:tcPr>
          <w:p>
            <w:pPr>
              <w:pStyle w:val="26"/>
              <w:spacing w:line="360" w:lineRule="exact"/>
              <w:rPr>
                <w:rFonts w:hAnsi="宋体"/>
              </w:rPr>
            </w:pPr>
            <w:r>
              <w:rPr>
                <w:rFonts w:hAnsi="宋体"/>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pPr>
              <w:pStyle w:val="26"/>
              <w:spacing w:line="360" w:lineRule="auto"/>
              <w:jc w:val="center"/>
              <w:rPr>
                <w:rFonts w:hAnsi="宋体"/>
              </w:rPr>
            </w:pPr>
            <w:r>
              <w:rPr>
                <w:rFonts w:hint="eastAsia" w:hAnsi="宋体"/>
              </w:rPr>
              <w:t>4</w:t>
            </w:r>
          </w:p>
        </w:tc>
        <w:tc>
          <w:tcPr>
            <w:tcW w:w="1038" w:type="dxa"/>
            <w:vAlign w:val="center"/>
          </w:tcPr>
          <w:p>
            <w:pPr>
              <w:pStyle w:val="26"/>
              <w:spacing w:line="360" w:lineRule="auto"/>
              <w:jc w:val="center"/>
              <w:rPr>
                <w:rFonts w:hAnsi="宋体"/>
              </w:rPr>
            </w:pPr>
            <w:r>
              <w:rPr>
                <w:rFonts w:hint="eastAsia" w:hAnsi="宋体"/>
              </w:rPr>
              <w:t>3.1</w:t>
            </w:r>
          </w:p>
        </w:tc>
        <w:tc>
          <w:tcPr>
            <w:tcW w:w="1843" w:type="dxa"/>
            <w:vAlign w:val="center"/>
          </w:tcPr>
          <w:p>
            <w:pPr>
              <w:pStyle w:val="26"/>
              <w:spacing w:line="360" w:lineRule="exact"/>
              <w:jc w:val="center"/>
              <w:rPr>
                <w:rFonts w:hAnsi="宋体"/>
              </w:rPr>
            </w:pPr>
            <w:r>
              <w:rPr>
                <w:rFonts w:hint="eastAsia" w:hAnsi="宋体"/>
              </w:rPr>
              <w:t>资金来源</w:t>
            </w:r>
          </w:p>
        </w:tc>
        <w:tc>
          <w:tcPr>
            <w:tcW w:w="6520" w:type="dxa"/>
            <w:vAlign w:val="center"/>
          </w:tcPr>
          <w:p>
            <w:pPr>
              <w:pStyle w:val="26"/>
              <w:spacing w:line="360" w:lineRule="exact"/>
              <w:rPr>
                <w:rFonts w:hAnsi="宋体"/>
              </w:rPr>
            </w:pPr>
            <w:r>
              <w:rPr>
                <w:rFonts w:hint="eastAsia" w:hAnsi="宋体" w:eastAsia="MS Mincho" w:cs="MS Mincho"/>
                <w:sz w:val="24"/>
                <w:szCs w:val="24"/>
              </w:rPr>
              <w:t>☑</w:t>
            </w:r>
            <w:r>
              <w:rPr>
                <w:rFonts w:hint="eastAsia" w:hAnsi="宋体"/>
              </w:rPr>
              <w:t>预算内资金/□预算外资金/□自筹资金/□其它资金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pPr>
              <w:pStyle w:val="26"/>
              <w:spacing w:line="360" w:lineRule="auto"/>
              <w:jc w:val="center"/>
              <w:rPr>
                <w:rFonts w:hAnsi="宋体"/>
              </w:rPr>
            </w:pPr>
            <w:r>
              <w:rPr>
                <w:rFonts w:hint="eastAsia" w:hAnsi="宋体"/>
              </w:rPr>
              <w:t>5</w:t>
            </w:r>
          </w:p>
        </w:tc>
        <w:tc>
          <w:tcPr>
            <w:tcW w:w="1038" w:type="dxa"/>
            <w:vAlign w:val="center"/>
          </w:tcPr>
          <w:p>
            <w:pPr>
              <w:pStyle w:val="26"/>
              <w:spacing w:line="360" w:lineRule="auto"/>
              <w:jc w:val="center"/>
              <w:rPr>
                <w:rFonts w:hAnsi="宋体"/>
              </w:rPr>
            </w:pPr>
            <w:r>
              <w:rPr>
                <w:rFonts w:hint="eastAsia" w:hAnsi="宋体"/>
              </w:rPr>
              <w:t>4.7</w:t>
            </w:r>
          </w:p>
        </w:tc>
        <w:tc>
          <w:tcPr>
            <w:tcW w:w="1843" w:type="dxa"/>
            <w:vAlign w:val="center"/>
          </w:tcPr>
          <w:p>
            <w:pPr>
              <w:pStyle w:val="26"/>
              <w:spacing w:line="360" w:lineRule="auto"/>
              <w:jc w:val="center"/>
              <w:rPr>
                <w:rFonts w:hAnsi="宋体"/>
              </w:rPr>
            </w:pPr>
            <w:r>
              <w:rPr>
                <w:rFonts w:hint="eastAsia" w:hAnsi="宋体"/>
              </w:rPr>
              <w:t>投标人资格要求</w:t>
            </w:r>
          </w:p>
        </w:tc>
        <w:tc>
          <w:tcPr>
            <w:tcW w:w="6520" w:type="dxa"/>
            <w:vAlign w:val="center"/>
          </w:tcPr>
          <w:p>
            <w:pPr>
              <w:pStyle w:val="26"/>
              <w:spacing w:line="360" w:lineRule="auto"/>
              <w:rPr>
                <w:rFonts w:hAnsi="宋体"/>
                <w:szCs w:val="21"/>
              </w:rPr>
            </w:pPr>
            <w:r>
              <w:rPr>
                <w:rFonts w:hint="eastAsia" w:hAnsi="宋体"/>
                <w:szCs w:val="21"/>
              </w:rPr>
              <w:t>详见《第一章 投标邀请》“申请人的资格要求”</w:t>
            </w:r>
          </w:p>
          <w:p>
            <w:pPr>
              <w:pStyle w:val="26"/>
              <w:spacing w:line="360" w:lineRule="auto"/>
              <w:rPr>
                <w:rFonts w:hAnsi="宋体"/>
                <w:b/>
                <w:bCs/>
                <w:szCs w:val="21"/>
              </w:rPr>
            </w:pPr>
            <w:r>
              <w:rPr>
                <w:rFonts w:hint="eastAsia" w:hAnsi="宋体"/>
                <w:b/>
                <w:bCs/>
                <w:szCs w:val="21"/>
              </w:rPr>
              <w:t>（投标人资格证明文件详见第七章 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6</w:t>
            </w:r>
          </w:p>
        </w:tc>
        <w:tc>
          <w:tcPr>
            <w:tcW w:w="1038" w:type="dxa"/>
            <w:vAlign w:val="center"/>
          </w:tcPr>
          <w:p>
            <w:pPr>
              <w:pStyle w:val="26"/>
              <w:spacing w:line="360" w:lineRule="auto"/>
              <w:jc w:val="center"/>
              <w:rPr>
                <w:rFonts w:hAnsi="宋体"/>
              </w:rPr>
            </w:pPr>
            <w:r>
              <w:rPr>
                <w:rFonts w:hint="eastAsia" w:hAnsi="宋体"/>
              </w:rPr>
              <w:t>4.8</w:t>
            </w:r>
          </w:p>
        </w:tc>
        <w:tc>
          <w:tcPr>
            <w:tcW w:w="1843" w:type="dxa"/>
            <w:vAlign w:val="center"/>
          </w:tcPr>
          <w:p>
            <w:pPr>
              <w:pStyle w:val="26"/>
              <w:spacing w:line="360" w:lineRule="auto"/>
              <w:jc w:val="center"/>
              <w:rPr>
                <w:rFonts w:hAnsi="宋体"/>
              </w:rPr>
            </w:pPr>
            <w:r>
              <w:rPr>
                <w:rFonts w:hint="eastAsia" w:hAnsi="宋体"/>
              </w:rPr>
              <w:t>联合体投标</w:t>
            </w:r>
          </w:p>
        </w:tc>
        <w:tc>
          <w:tcPr>
            <w:tcW w:w="6520" w:type="dxa"/>
          </w:tcPr>
          <w:p>
            <w:pPr>
              <w:pStyle w:val="26"/>
              <w:spacing w:line="360" w:lineRule="auto"/>
              <w:rPr>
                <w:rFonts w:hAnsi="宋体"/>
              </w:rPr>
            </w:pPr>
            <w:r>
              <w:rPr>
                <w:rFonts w:hint="eastAsia" w:hAnsi="宋体"/>
              </w:rPr>
              <w:t>不接受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7</w:t>
            </w:r>
          </w:p>
        </w:tc>
        <w:tc>
          <w:tcPr>
            <w:tcW w:w="1038" w:type="dxa"/>
            <w:vAlign w:val="center"/>
          </w:tcPr>
          <w:p>
            <w:pPr>
              <w:pStyle w:val="26"/>
              <w:spacing w:line="360" w:lineRule="auto"/>
              <w:jc w:val="center"/>
              <w:rPr>
                <w:rFonts w:hAnsi="宋体"/>
              </w:rPr>
            </w:pPr>
            <w:r>
              <w:rPr>
                <w:rFonts w:hint="eastAsia" w:hAnsi="宋体"/>
              </w:rPr>
              <w:t>6.1</w:t>
            </w:r>
          </w:p>
        </w:tc>
        <w:tc>
          <w:tcPr>
            <w:tcW w:w="1843" w:type="dxa"/>
            <w:vAlign w:val="center"/>
          </w:tcPr>
          <w:p>
            <w:pPr>
              <w:pStyle w:val="26"/>
              <w:spacing w:line="360" w:lineRule="auto"/>
              <w:jc w:val="center"/>
              <w:rPr>
                <w:rFonts w:hAnsi="宋体"/>
              </w:rPr>
            </w:pPr>
            <w:r>
              <w:rPr>
                <w:rFonts w:hint="eastAsia" w:hAnsi="宋体"/>
              </w:rPr>
              <w:t>踏勘现场</w:t>
            </w:r>
          </w:p>
        </w:tc>
        <w:tc>
          <w:tcPr>
            <w:tcW w:w="6520" w:type="dxa"/>
          </w:tcPr>
          <w:p>
            <w:pPr>
              <w:pStyle w:val="26"/>
              <w:spacing w:line="360" w:lineRule="auto"/>
              <w:rPr>
                <w:rFonts w:hAnsi="宋体"/>
              </w:rPr>
            </w:pPr>
            <w:r>
              <w:rPr>
                <w:rFonts w:hint="eastAsia" w:hAnsi="宋体"/>
              </w:rPr>
              <w:t>不统一组织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pPr>
              <w:pStyle w:val="26"/>
              <w:spacing w:line="360" w:lineRule="auto"/>
              <w:jc w:val="center"/>
              <w:rPr>
                <w:rFonts w:hAnsi="宋体"/>
              </w:rPr>
            </w:pPr>
            <w:r>
              <w:rPr>
                <w:rFonts w:hint="eastAsia" w:hAnsi="宋体"/>
              </w:rPr>
              <w:t>8</w:t>
            </w:r>
          </w:p>
        </w:tc>
        <w:tc>
          <w:tcPr>
            <w:tcW w:w="1038" w:type="dxa"/>
            <w:vAlign w:val="center"/>
          </w:tcPr>
          <w:p>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pPr>
              <w:pStyle w:val="26"/>
              <w:spacing w:line="360" w:lineRule="auto"/>
              <w:jc w:val="center"/>
              <w:rPr>
                <w:rFonts w:hAnsi="宋体"/>
              </w:rPr>
            </w:pPr>
            <w:r>
              <w:rPr>
                <w:rFonts w:hint="eastAsia" w:hAnsi="宋体"/>
              </w:rPr>
              <w:t>投标有效期</w:t>
            </w:r>
          </w:p>
        </w:tc>
        <w:tc>
          <w:tcPr>
            <w:tcW w:w="6520" w:type="dxa"/>
          </w:tcPr>
          <w:p>
            <w:pPr>
              <w:pStyle w:val="26"/>
              <w:spacing w:line="360" w:lineRule="auto"/>
              <w:rPr>
                <w:rFonts w:hAnsi="宋体"/>
              </w:rPr>
            </w:pPr>
            <w:r>
              <w:rPr>
                <w:rFonts w:hint="eastAsia" w:hAnsi="宋体"/>
              </w:rPr>
              <w:t>90</w:t>
            </w:r>
            <w:r>
              <w:rPr>
                <w:rFonts w:hAnsi="宋体"/>
              </w:rPr>
              <w:t>日历天（从投标截止之日算起）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pPr>
              <w:pStyle w:val="26"/>
              <w:spacing w:line="360" w:lineRule="auto"/>
              <w:jc w:val="center"/>
              <w:rPr>
                <w:rFonts w:hAnsi="宋体"/>
              </w:rPr>
            </w:pPr>
            <w:r>
              <w:rPr>
                <w:rFonts w:hint="eastAsia" w:hAnsi="宋体"/>
              </w:rPr>
              <w:t>9</w:t>
            </w:r>
          </w:p>
        </w:tc>
        <w:tc>
          <w:tcPr>
            <w:tcW w:w="1038" w:type="dxa"/>
            <w:vAlign w:val="center"/>
          </w:tcPr>
          <w:p>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投标保证金</w:t>
            </w:r>
          </w:p>
        </w:tc>
        <w:tc>
          <w:tcPr>
            <w:tcW w:w="6520" w:type="dxa"/>
            <w:vAlign w:val="center"/>
          </w:tcPr>
          <w:p>
            <w:pPr>
              <w:tabs>
                <w:tab w:val="left" w:pos="915"/>
              </w:tabs>
              <w:spacing w:line="360" w:lineRule="exact"/>
              <w:rPr>
                <w:rFonts w:hAnsi="宋体"/>
              </w:rPr>
            </w:pPr>
            <w:r>
              <w:rPr>
                <w:rFonts w:hint="eastAsia" w:hAnsi="宋体"/>
              </w:rPr>
              <w:t>不要求向招标代理机构提交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pPr>
              <w:pStyle w:val="26"/>
              <w:spacing w:line="360" w:lineRule="auto"/>
              <w:jc w:val="center"/>
              <w:rPr>
                <w:rFonts w:hAnsi="宋体"/>
              </w:rPr>
            </w:pPr>
            <w:r>
              <w:rPr>
                <w:rFonts w:hint="eastAsia" w:hAnsi="宋体"/>
              </w:rPr>
              <w:t>10</w:t>
            </w:r>
          </w:p>
        </w:tc>
        <w:tc>
          <w:tcPr>
            <w:tcW w:w="1038" w:type="dxa"/>
            <w:vAlign w:val="center"/>
          </w:tcPr>
          <w:p>
            <w:pPr>
              <w:pStyle w:val="26"/>
              <w:spacing w:line="360" w:lineRule="auto"/>
              <w:jc w:val="center"/>
              <w:rPr>
                <w:rFonts w:hAnsi="宋体"/>
              </w:rPr>
            </w:pPr>
            <w:r>
              <w:rPr>
                <w:rFonts w:hint="eastAsia" w:hAnsi="宋体"/>
              </w:rPr>
              <w:t>16.1</w:t>
            </w:r>
          </w:p>
        </w:tc>
        <w:tc>
          <w:tcPr>
            <w:tcW w:w="1843" w:type="dxa"/>
            <w:vAlign w:val="center"/>
          </w:tcPr>
          <w:p>
            <w:pPr>
              <w:pStyle w:val="26"/>
              <w:spacing w:line="360" w:lineRule="auto"/>
              <w:jc w:val="center"/>
              <w:rPr>
                <w:rFonts w:hAnsi="宋体"/>
              </w:rPr>
            </w:pPr>
            <w:r>
              <w:rPr>
                <w:rFonts w:hint="eastAsia" w:hAnsi="宋体"/>
              </w:rPr>
              <w:t>投标预备会</w:t>
            </w:r>
          </w:p>
          <w:p>
            <w:pPr>
              <w:pStyle w:val="26"/>
              <w:spacing w:line="360" w:lineRule="auto"/>
              <w:jc w:val="center"/>
              <w:rPr>
                <w:rFonts w:hAnsi="宋体"/>
              </w:rPr>
            </w:pPr>
            <w:r>
              <w:rPr>
                <w:rFonts w:hint="eastAsia" w:hAnsi="宋体"/>
              </w:rPr>
              <w:t>（答疑会）</w:t>
            </w:r>
          </w:p>
        </w:tc>
        <w:tc>
          <w:tcPr>
            <w:tcW w:w="6520" w:type="dxa"/>
            <w:vAlign w:val="center"/>
          </w:tcPr>
          <w:p>
            <w:pPr>
              <w:pStyle w:val="26"/>
              <w:spacing w:line="360" w:lineRule="auto"/>
              <w:rPr>
                <w:rFonts w:hAnsi="宋体"/>
              </w:rPr>
            </w:pPr>
            <w:r>
              <w:rPr>
                <w:rFonts w:hint="eastAsia" w:hAnsi="宋体"/>
              </w:rPr>
              <w:t>不召开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11</w:t>
            </w:r>
          </w:p>
        </w:tc>
        <w:tc>
          <w:tcPr>
            <w:tcW w:w="1038" w:type="dxa"/>
            <w:vAlign w:val="center"/>
          </w:tcPr>
          <w:p>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pPr>
              <w:pStyle w:val="26"/>
              <w:spacing w:line="360" w:lineRule="auto"/>
              <w:jc w:val="center"/>
              <w:rPr>
                <w:rFonts w:hAnsi="宋体"/>
              </w:rPr>
            </w:pPr>
            <w:r>
              <w:rPr>
                <w:rFonts w:hint="eastAsia" w:hAnsi="宋体"/>
              </w:rPr>
              <w:t>投标文件份数</w:t>
            </w:r>
          </w:p>
        </w:tc>
        <w:tc>
          <w:tcPr>
            <w:tcW w:w="6520" w:type="dxa"/>
          </w:tcPr>
          <w:p>
            <w:pPr>
              <w:pStyle w:val="26"/>
              <w:spacing w:line="360" w:lineRule="auto"/>
              <w:rPr>
                <w:rFonts w:hAnsi="宋体"/>
              </w:rPr>
            </w:pPr>
            <w:r>
              <w:rPr>
                <w:rFonts w:asciiTheme="minorEastAsia" w:hAnsiTheme="minorEastAsia" w:eastAsiaTheme="minorEastAsia"/>
              </w:rPr>
              <w:t>正本1份，副本 4 份，</w:t>
            </w:r>
            <w:r>
              <w:rPr>
                <w:rFonts w:hint="eastAsia" w:asciiTheme="minorEastAsia" w:hAnsiTheme="minorEastAsia" w:eastAsiaTheme="minorEastAsia"/>
              </w:rPr>
              <w:t>电子</w:t>
            </w:r>
            <w:r>
              <w:rPr>
                <w:rFonts w:asciiTheme="minorEastAsia" w:hAnsiTheme="minorEastAsia" w:eastAsiaTheme="minorEastAsia"/>
              </w:rPr>
              <w:t>备份光盘（或U盘）1份</w:t>
            </w:r>
            <w:r>
              <w:rPr>
                <w:rFonts w:hint="eastAsia" w:asciiTheme="minorEastAsia" w:hAnsiTheme="minorEastAsia" w:eastAsiaTheme="minorEastAsia"/>
              </w:rPr>
              <w:t>（内容为投标文件正本盖章扫描件）。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12</w:t>
            </w:r>
          </w:p>
        </w:tc>
        <w:tc>
          <w:tcPr>
            <w:tcW w:w="1038" w:type="dxa"/>
            <w:vAlign w:val="center"/>
          </w:tcPr>
          <w:p>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pPr>
              <w:pStyle w:val="26"/>
              <w:spacing w:line="360" w:lineRule="auto"/>
              <w:jc w:val="center"/>
              <w:rPr>
                <w:rFonts w:hAnsi="宋体"/>
              </w:rPr>
            </w:pPr>
            <w:r>
              <w:rPr>
                <w:rFonts w:hint="eastAsia" w:hAnsi="宋体"/>
              </w:rPr>
              <w:t>开标</w:t>
            </w:r>
          </w:p>
        </w:tc>
        <w:tc>
          <w:tcPr>
            <w:tcW w:w="6520" w:type="dxa"/>
          </w:tcPr>
          <w:p>
            <w:pPr>
              <w:pStyle w:val="26"/>
              <w:spacing w:line="360" w:lineRule="auto"/>
              <w:rPr>
                <w:rFonts w:hAnsi="宋体"/>
                <w:b/>
              </w:rPr>
            </w:pPr>
            <w:r>
              <w:rPr>
                <w:rFonts w:hAnsi="宋体"/>
                <w:b/>
              </w:rPr>
              <w:t>时间：</w:t>
            </w:r>
            <w:r>
              <w:rPr>
                <w:rFonts w:hint="eastAsia" w:hAnsi="宋体"/>
                <w:b/>
                <w:snapToGrid w:val="0"/>
                <w:szCs w:val="18"/>
              </w:rPr>
              <w:t>2021年</w:t>
            </w:r>
            <w:r>
              <w:rPr>
                <w:rFonts w:hint="eastAsia" w:hAnsi="宋体"/>
                <w:b/>
                <w:snapToGrid w:val="0"/>
                <w:szCs w:val="18"/>
                <w:lang w:val="en-US" w:eastAsia="zh-CN"/>
              </w:rPr>
              <w:t>10</w:t>
            </w:r>
            <w:r>
              <w:rPr>
                <w:rFonts w:hint="eastAsia" w:hAnsi="宋体"/>
                <w:b/>
                <w:snapToGrid w:val="0"/>
                <w:szCs w:val="18"/>
              </w:rPr>
              <w:t>月</w:t>
            </w:r>
            <w:r>
              <w:rPr>
                <w:rFonts w:hint="eastAsia" w:hAnsi="宋体"/>
                <w:b/>
                <w:snapToGrid w:val="0"/>
                <w:szCs w:val="18"/>
                <w:lang w:val="en-US" w:eastAsia="zh-CN"/>
              </w:rPr>
              <w:t>13</w:t>
            </w:r>
            <w:r>
              <w:rPr>
                <w:rFonts w:hint="eastAsia" w:hAnsi="宋体"/>
                <w:b/>
                <w:snapToGrid w:val="0"/>
                <w:szCs w:val="18"/>
              </w:rPr>
              <w:t>日14点30分</w:t>
            </w:r>
            <w:r>
              <w:rPr>
                <w:rFonts w:hAnsi="宋体"/>
                <w:b/>
              </w:rPr>
              <w:t>（北京时间）</w:t>
            </w:r>
          </w:p>
          <w:p>
            <w:pPr>
              <w:pStyle w:val="26"/>
              <w:spacing w:line="360" w:lineRule="auto"/>
              <w:rPr>
                <w:rFonts w:hAnsi="宋体"/>
              </w:rPr>
            </w:pPr>
            <w:r>
              <w:rPr>
                <w:rFonts w:hAnsi="宋体"/>
              </w:rPr>
              <w:t>地点：</w:t>
            </w:r>
            <w:r>
              <w:rPr>
                <w:rFonts w:hint="eastAsia" w:hAnsi="宋体"/>
                <w:snapToGrid w:val="0"/>
              </w:rPr>
              <w:t>深圳市福田区民田路171号新华保险大厦903中正招标会议室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13</w:t>
            </w:r>
          </w:p>
        </w:tc>
        <w:tc>
          <w:tcPr>
            <w:tcW w:w="1038" w:type="dxa"/>
            <w:vAlign w:val="center"/>
          </w:tcPr>
          <w:p>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投标截止时间</w:t>
            </w:r>
          </w:p>
        </w:tc>
        <w:tc>
          <w:tcPr>
            <w:tcW w:w="6520" w:type="dxa"/>
          </w:tcPr>
          <w:p>
            <w:pPr>
              <w:pStyle w:val="26"/>
              <w:spacing w:line="360" w:lineRule="auto"/>
              <w:rPr>
                <w:rFonts w:hAnsi="宋体"/>
                <w:b/>
              </w:rPr>
            </w:pPr>
            <w:r>
              <w:rPr>
                <w:rFonts w:hint="eastAsia" w:hAnsi="宋体"/>
                <w:b/>
                <w:snapToGrid w:val="0"/>
                <w:szCs w:val="18"/>
              </w:rPr>
              <w:t>2021年</w:t>
            </w:r>
            <w:r>
              <w:rPr>
                <w:rFonts w:hint="eastAsia" w:hAnsi="宋体"/>
                <w:b/>
                <w:snapToGrid w:val="0"/>
                <w:szCs w:val="18"/>
                <w:lang w:val="en-US" w:eastAsia="zh-CN"/>
              </w:rPr>
              <w:t>10</w:t>
            </w:r>
            <w:r>
              <w:rPr>
                <w:rFonts w:hint="eastAsia" w:hAnsi="宋体"/>
                <w:b/>
                <w:snapToGrid w:val="0"/>
                <w:szCs w:val="18"/>
              </w:rPr>
              <w:t>月</w:t>
            </w:r>
            <w:r>
              <w:rPr>
                <w:rFonts w:hint="eastAsia" w:hAnsi="宋体"/>
                <w:b/>
                <w:snapToGrid w:val="0"/>
                <w:szCs w:val="18"/>
                <w:lang w:val="en-US" w:eastAsia="zh-CN"/>
              </w:rPr>
              <w:t>13</w:t>
            </w:r>
            <w:r>
              <w:rPr>
                <w:rFonts w:hint="eastAsia" w:hAnsi="宋体"/>
                <w:b/>
                <w:snapToGrid w:val="0"/>
                <w:szCs w:val="18"/>
              </w:rPr>
              <w:t>日14点30分</w:t>
            </w:r>
            <w:bookmarkStart w:id="93" w:name="_GoBack"/>
            <w:bookmarkEnd w:id="93"/>
            <w:r>
              <w:rPr>
                <w:rFonts w:hint="eastAsia" w:hAnsi="宋体"/>
                <w:b/>
              </w:rPr>
              <w:t>（北京时间）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14</w:t>
            </w:r>
          </w:p>
        </w:tc>
        <w:tc>
          <w:tcPr>
            <w:tcW w:w="1038" w:type="dxa"/>
            <w:vAlign w:val="center"/>
          </w:tcPr>
          <w:p>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pPr>
              <w:pStyle w:val="26"/>
              <w:spacing w:line="360" w:lineRule="auto"/>
              <w:jc w:val="center"/>
              <w:rPr>
                <w:rFonts w:hAnsi="宋体"/>
              </w:rPr>
            </w:pPr>
            <w:r>
              <w:rPr>
                <w:rFonts w:hint="eastAsia" w:hAnsi="宋体"/>
              </w:rPr>
              <w:t>评标办法</w:t>
            </w:r>
          </w:p>
        </w:tc>
        <w:tc>
          <w:tcPr>
            <w:tcW w:w="6520" w:type="dxa"/>
          </w:tcPr>
          <w:p>
            <w:pPr>
              <w:pStyle w:val="26"/>
              <w:spacing w:line="360" w:lineRule="auto"/>
              <w:rPr>
                <w:rFonts w:hAnsi="宋体"/>
              </w:rPr>
            </w:pPr>
            <w:r>
              <w:rPr>
                <w:rFonts w:hint="eastAsia" w:hAnsi="宋体"/>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15</w:t>
            </w:r>
          </w:p>
        </w:tc>
        <w:tc>
          <w:tcPr>
            <w:tcW w:w="1038" w:type="dxa"/>
            <w:vAlign w:val="center"/>
          </w:tcPr>
          <w:p>
            <w:pPr>
              <w:pStyle w:val="26"/>
              <w:spacing w:line="360" w:lineRule="auto"/>
              <w:jc w:val="center"/>
              <w:rPr>
                <w:rFonts w:hAnsi="宋体"/>
              </w:rPr>
            </w:pPr>
            <w:r>
              <w:rPr>
                <w:rFonts w:hint="eastAsia" w:hAnsi="宋体"/>
              </w:rPr>
              <w:t>33</w:t>
            </w:r>
            <w:r>
              <w:rPr>
                <w:rFonts w:hAnsi="宋体"/>
              </w:rPr>
              <w:t>.1</w:t>
            </w:r>
          </w:p>
        </w:tc>
        <w:tc>
          <w:tcPr>
            <w:tcW w:w="1843" w:type="dxa"/>
            <w:vAlign w:val="center"/>
          </w:tcPr>
          <w:p>
            <w:pPr>
              <w:pStyle w:val="26"/>
              <w:spacing w:line="360" w:lineRule="auto"/>
              <w:jc w:val="center"/>
              <w:rPr>
                <w:snapToGrid w:val="0"/>
                <w:kern w:val="0"/>
              </w:rPr>
            </w:pPr>
            <w:r>
              <w:rPr>
                <w:rFonts w:hint="eastAsia"/>
                <w:snapToGrid w:val="0"/>
                <w:kern w:val="0"/>
              </w:rPr>
              <w:t>履约保证金</w:t>
            </w:r>
          </w:p>
        </w:tc>
        <w:tc>
          <w:tcPr>
            <w:tcW w:w="6520" w:type="dxa"/>
          </w:tcPr>
          <w:p>
            <w:pPr>
              <w:pStyle w:val="26"/>
              <w:spacing w:line="360" w:lineRule="auto"/>
              <w:rPr>
                <w:rFonts w:hAnsi="宋体"/>
              </w:rPr>
            </w:pPr>
            <w:r>
              <w:rPr>
                <w:rFonts w:hint="eastAsia"/>
                <w:snapToGrid w:val="0"/>
                <w:kern w:val="0"/>
              </w:rPr>
              <w:t>按签订的合同条款执行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16</w:t>
            </w:r>
          </w:p>
        </w:tc>
        <w:tc>
          <w:tcPr>
            <w:tcW w:w="1038" w:type="dxa"/>
            <w:vAlign w:val="center"/>
          </w:tcPr>
          <w:p>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pPr>
              <w:pStyle w:val="26"/>
              <w:spacing w:line="360" w:lineRule="auto"/>
              <w:jc w:val="center"/>
              <w:rPr>
                <w:rFonts w:hAnsi="宋体"/>
              </w:rPr>
            </w:pPr>
            <w:r>
              <w:rPr>
                <w:rFonts w:hint="eastAsia" w:hAnsi="宋体"/>
              </w:rPr>
              <w:t>中标服务费</w:t>
            </w:r>
          </w:p>
        </w:tc>
        <w:tc>
          <w:tcPr>
            <w:tcW w:w="6520" w:type="dxa"/>
          </w:tcPr>
          <w:p>
            <w:pPr>
              <w:pStyle w:val="26"/>
              <w:spacing w:line="360" w:lineRule="auto"/>
              <w:rPr>
                <w:rFonts w:hAnsi="宋体"/>
              </w:rPr>
            </w:pPr>
            <w:r>
              <w:rPr>
                <w:rFonts w:hint="eastAsia" w:asciiTheme="minorEastAsia" w:hAnsiTheme="minorEastAsia" w:eastAsiaTheme="minorEastAsia"/>
                <w:szCs w:val="21"/>
              </w:rPr>
              <w:t>按深财购[2018]27号文件的代理费用参考标准（</w:t>
            </w:r>
            <w:r>
              <w:rPr>
                <w:rFonts w:hint="eastAsia" w:asciiTheme="minorEastAsia" w:hAnsiTheme="minorEastAsia" w:eastAsiaTheme="minorEastAsia"/>
              </w:rPr>
              <w:t>详见《投标人须知》</w:t>
            </w:r>
            <w:r>
              <w:rPr>
                <w:rFonts w:hint="eastAsia" w:asciiTheme="minorEastAsia" w:hAnsiTheme="minorEastAsia" w:eastAsiaTheme="minorEastAsia"/>
                <w:szCs w:val="21"/>
              </w:rPr>
              <w:t>），向中标供应商收取</w:t>
            </w:r>
            <w:r>
              <w:rPr>
                <w:rFonts w:hint="eastAsia" w:asciiTheme="minorEastAsia" w:hAnsiTheme="minorEastAsia" w:eastAsiaTheme="minorEastAsia"/>
              </w:rPr>
              <w:t>。</w:t>
            </w:r>
          </w:p>
        </w:tc>
      </w:tr>
    </w:tbl>
    <w:p>
      <w:pPr>
        <w:widowControl/>
        <w:jc w:val="left"/>
      </w:pPr>
      <w:r>
        <w:br w:type="page"/>
      </w:r>
    </w:p>
    <w:p/>
    <w:p>
      <w:pPr>
        <w:pStyle w:val="2"/>
      </w:pPr>
      <w:bookmarkStart w:id="24" w:name="_Toc73610148"/>
      <w:r>
        <w:rPr>
          <w:rFonts w:hint="eastAsia"/>
        </w:rPr>
        <w:t>第六章  投标人须知</w:t>
      </w:r>
      <w:bookmarkEnd w:id="24"/>
    </w:p>
    <w:p>
      <w:pPr>
        <w:pStyle w:val="4"/>
        <w:spacing w:before="0" w:after="0"/>
      </w:pPr>
      <w:bookmarkStart w:id="25" w:name="_Toc73610149"/>
      <w:r>
        <w:rPr>
          <w:rFonts w:hint="eastAsia"/>
        </w:rPr>
        <w:t>一、说明</w:t>
      </w:r>
      <w:bookmarkEnd w:id="25"/>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1.适用范围</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及有关招投标法规、规章、规定通过招标来择优选定投标人。</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”系指前附表第2项所述。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”系前附表第3项所述。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 “投标人”系指向</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提交投标文件的供应商。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4“货物”系指投标人按招标文件规定，向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提供的设备及材料。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“工程”系指投标人按招标文件规定，向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提供的设备及材料的安装。</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“服务”系指投标人按招标文件规定，向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提供符合方案的服务。</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（2）投标联合体各方必须有一方先行注册成深圳市政府采购中心供应商。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（3）联合体中有同类资质的供应商按照联合体分工承担相同工作的，应当按照资质等级较低的供应商确定资质等级。</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（4）是否允许联合体参加投标，应当由采购人和采购代理机构根据项目的实际情况和潜在供应商的数量自主决定，如果决定接受联合体投标则应当在采购公告中明示。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（6）投标人的投标文件及中标后签署的合同协议对联合体各方均具法律约束力。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（7）联合体各方应当签订共同投标协议，明确约定各方拟承担的工作和责任，该共同投标协议应作为投标文件不可缺的组成部分。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（8）联合体中标后，联合体各方应当共同与采购人签订合同，就中标项目向采购人承担连带责任。</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（9）联合体的各方应当共同推荐一联合体投标授权代表，由联合体各方提交一份授权书，证明其有资格代表联合体各方签署投标文件，该授权书应作为投标文件不可缺的组成部分。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以联合体形式参加政府采购活动的，联合体各方不得再单独参加或者与其他供应商另外组成联合体参加同一合同项下的政府采购活动，出现上述情况者，其投标和与此有关的联合体、总包单位的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（11）本次招标中“投标人”一词亦指联合体各方，《投标人须知前附表》另有规定或说明的除外。</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6.1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将按前附表第7项的规定，组织投标人对现场及周围环境进行踏勘，以便投标人获取须自己负责的有关编制投标文件和签署合同所需的所有资料。踏勘现场所发生的费用由投标人自己承担。</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对投标人由此而做出的推论、理解和结论概不负责。</w:t>
      </w:r>
    </w:p>
    <w:p>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pPr>
        <w:adjustRightInd w:val="0"/>
        <w:spacing w:line="360" w:lineRule="auto"/>
        <w:jc w:val="center"/>
        <w:rPr>
          <w:rFonts w:asciiTheme="minorEastAsia" w:hAnsiTheme="minorEastAsia" w:eastAsiaTheme="minorEastAsia"/>
          <w:b/>
          <w:snapToGrid w:val="0"/>
          <w:kern w:val="0"/>
        </w:rPr>
      </w:pPr>
      <w:bookmarkStart w:id="26" w:name="q5"/>
      <w:bookmarkEnd w:id="26"/>
    </w:p>
    <w:p>
      <w:pPr>
        <w:pStyle w:val="4"/>
        <w:spacing w:before="0" w:after="0"/>
      </w:pPr>
      <w:bookmarkStart w:id="27" w:name="_Toc73610150"/>
      <w:r>
        <w:rPr>
          <w:rFonts w:hint="eastAsia"/>
        </w:rPr>
        <w:t>二、招标文件说明</w:t>
      </w:r>
      <w:bookmarkEnd w:id="27"/>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招标文件是用以阐明所需设备及服务的情况，以及招标、投标程序和相应的合同条款。招标文件由下述部份组成：</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招标代理机构。招标代理机构将视情况确定采用适当方式予以澄清或以书面形式予以答复，并在其认为必要时，将不标明查询来源的书面答复发给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在投标截止日3日前，招标代理机构可主动或依据投标人要求澄清的问题修改招标文件，并以书面形式通知所有购买招标文件的每一投标人，对方在收到该通知后应立即以书面的形式予以确认。</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pPr>
        <w:adjustRightInd w:val="0"/>
        <w:spacing w:line="360" w:lineRule="auto"/>
        <w:ind w:firstLine="600"/>
        <w:jc w:val="center"/>
        <w:rPr>
          <w:rFonts w:asciiTheme="minorEastAsia" w:hAnsiTheme="minorEastAsia" w:eastAsiaTheme="minorEastAsia"/>
          <w:b/>
          <w:snapToGrid w:val="0"/>
          <w:kern w:val="0"/>
        </w:rPr>
      </w:pPr>
    </w:p>
    <w:p>
      <w:pPr>
        <w:pStyle w:val="4"/>
        <w:spacing w:before="0" w:after="0"/>
      </w:pPr>
      <w:bookmarkStart w:id="28" w:name="q6"/>
      <w:bookmarkEnd w:id="28"/>
      <w:bookmarkStart w:id="29" w:name="_Toc73610151"/>
      <w:r>
        <w:rPr>
          <w:rFonts w:hint="eastAsia"/>
        </w:rPr>
        <w:t>三、投标文件的编写</w:t>
      </w:r>
      <w:bookmarkEnd w:id="29"/>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就投标交换的文件和往来的信件，应以中文书写。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（2）评标指引表</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snapToGrid w:val="0"/>
          <w:kern w:val="0"/>
          <w:szCs w:val="21"/>
        </w:rPr>
        <w:t>法定代表人证明书及授权委托书</w:t>
      </w:r>
      <w:r>
        <w:rPr>
          <w:rFonts w:hint="eastAsia" w:asciiTheme="minorEastAsia" w:hAnsiTheme="minorEastAsia" w:eastAsiaTheme="minorEastAsia"/>
          <w:snapToGrid w:val="0"/>
          <w:kern w:val="0"/>
        </w:rPr>
        <w:t>（投标文件格式2）</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（5）投标函（投标文件格式3） </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（7）报价表（投标文件格式6）</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（8）技术规格（投标文件格式7）</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（9）交付进度（投标文件格式8）</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（10）售后服务和质量承诺（投标文件格式9）</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投标人资格</w:t>
      </w:r>
      <w:r>
        <w:rPr>
          <w:rFonts w:hint="eastAsia" w:asciiTheme="minorEastAsia" w:hAnsiTheme="minorEastAsia" w:eastAsiaTheme="minorEastAsia"/>
          <w:snapToGrid w:val="0"/>
          <w:kern w:val="0"/>
        </w:rPr>
        <w:t>声明 （投标文件格式10）</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（12）偏离表（投标文件格式11）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（13）招标文件要求的其他资料或投标人认为需要补充的资料（投标文件格式12）</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（14）装有“法定代表人证明书、法定代表人授权书”和“开标一览表”单独密封的信封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（15）装有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（16）产品样品或产品样板（如有）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投标报价应为到指定地点价，以人民币为结算单位。</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 投标人应分别在招标文件所附的“开标一览表”（投标文件格式4）和“报价表”（投标文件格式5）上写明投标货物的单价和投标总价。投标人对每种项目只允许有一个报价，招标代理机构不接受有任何选择的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投标人必须提交证明其有资格进行投标，和中标后有能力履行合同的证明文件（投标文件格式1与格式9），作为投标文件的一部分。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既不要求也不允许其修改投标文件。</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投标保证金（本项目不适用）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投标保证金为投标文件的组成部份之一。</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提交一笔不少于前附表第9项所规定的投标保证金。</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pPr>
        <w:adjustRightInd w:val="0"/>
        <w:spacing w:line="360" w:lineRule="auto"/>
        <w:ind w:left="630" w:hanging="630" w:hangingChars="300"/>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4投标保证金应以支票、银行转账或招标机构能够接受的其它非现金形式提交。（注：投标保证金必须从投标供应商基本账户转出，否则属于隐瞒真实情况，提供虚假资料。）</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未中标的投标人的投标保证金，招标代理机构将在中标通知书发出且收到投标人的《投标保证金退还申请表》后5个工作日内退还。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中标人的投标保证金，招标代理机构将在中标人签订合同并支付中标服务费后5个工作日内退还。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已递交了投标保证金的投标人放弃投标，而没有在投标保证金递交截止时间前书面通知招标代理机构的；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另行书面通知的时间和地点，派出代表出席</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主持的投标预备会。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将做出澄清和解答。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为了便于投标文件保存，需提交一份投标文件备份光盘（或U盘）。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 投标文件正本及开标一览表须打印，并经法定代表人或其授权代表签字和盖章，投标文件的副本可采用正本复印件。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4除投标人对错处做必要修改外，投标文件中不许有加行、涂抹或改写，如有修改遗漏处，必须由投标人法定代表人或其授权代表签字和盖章。</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5电报、电话、传真形式的投标概不接受。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17.6  投标文件不符合上述规定，为无效投标。</w:t>
      </w:r>
    </w:p>
    <w:p>
      <w:pPr>
        <w:adjustRightInd w:val="0"/>
        <w:spacing w:line="360" w:lineRule="auto"/>
        <w:rPr>
          <w:rFonts w:asciiTheme="minorEastAsia" w:hAnsiTheme="minorEastAsia" w:eastAsiaTheme="minorEastAsia"/>
          <w:snapToGrid w:val="0"/>
          <w:kern w:val="0"/>
        </w:rPr>
      </w:pPr>
    </w:p>
    <w:p>
      <w:pPr>
        <w:pStyle w:val="4"/>
        <w:spacing w:before="0" w:after="0"/>
      </w:pPr>
      <w:bookmarkStart w:id="30" w:name="q7"/>
      <w:bookmarkEnd w:id="30"/>
      <w:bookmarkStart w:id="31" w:name="_Toc73610152"/>
      <w:r>
        <w:rPr>
          <w:rFonts w:hint="eastAsia"/>
        </w:rPr>
        <w:t>四、投标文件的递交</w:t>
      </w:r>
      <w:bookmarkEnd w:id="31"/>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18.投标文件的密封和标记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投标人应将投标文件备份文件光盘密封于一信封，在信封上注明“备份光盘（或U盘）”。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w:t>
      </w:r>
      <w:r>
        <w:rPr>
          <w:rFonts w:hint="eastAsia"/>
          <w:snapToGrid w:val="0"/>
          <w:kern w:val="0"/>
        </w:rPr>
        <w:t>“备份光盘（或U盘）”一起封装在同一个外层包封中，同时还应在封套上载明以下信息</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备份光盘（或U盘）</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e.  年月日时分（开标时间）前不得开封。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18.4投标人应将“法定代表人证明书、法定代表人授权委托证明书”和“开标一览表”单独密封于一信封，在递交投标文件时单独交与</w:t>
      </w:r>
      <w:r>
        <w:rPr>
          <w:rFonts w:hint="eastAsia"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，在信封上应：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注明：“开标一览表”和“法定代表人证明书、法定代表人授权委托证明书”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e.  年月日时分（开标时间）前不得开封。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招标代理机构将拒收或者告知投标人，招标代理机构将不承担投标文件错放或提前开封的责任。对由此造成的提前开封的投标文件将予以拒绝，并退还给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投标人应按18.1～18.7中的规定进行密封和标记后，将投标文件按照前附表第12项中注明的地址送至招标代理机构。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在前附表第</w:t>
      </w:r>
      <w:bookmarkStart w:id="32" w:name="_Hlt35050056"/>
      <w:bookmarkEnd w:id="32"/>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修改通知规定的时间递交。</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在投标截止时间前30分钟开始接收投标文件。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将拒绝接收在投标截止时间后递交的投标文件。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pPr>
        <w:tabs>
          <w:tab w:val="left" w:pos="0"/>
        </w:tabs>
        <w:adjustRightInd w:val="0"/>
        <w:spacing w:line="360" w:lineRule="auto"/>
        <w:rPr>
          <w:rFonts w:asciiTheme="minorEastAsia" w:hAnsiTheme="minorEastAsia" w:eastAsiaTheme="minorEastAsia"/>
          <w:snapToGrid w:val="0"/>
          <w:kern w:val="0"/>
        </w:rPr>
      </w:pPr>
    </w:p>
    <w:p>
      <w:pPr>
        <w:pStyle w:val="4"/>
        <w:spacing w:before="0" w:after="0"/>
      </w:pPr>
      <w:bookmarkStart w:id="33" w:name="q8"/>
      <w:bookmarkEnd w:id="33"/>
      <w:bookmarkStart w:id="34" w:name="_Toc73610153"/>
      <w:r>
        <w:rPr>
          <w:rFonts w:hint="eastAsia"/>
        </w:rPr>
        <w:t>五、开标和评标</w:t>
      </w:r>
      <w:bookmarkEnd w:id="34"/>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22.开标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在前附表第12项规定的时间和地点公开开标。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认为合适的其他内容。</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专家组成。评标委员会对投标文件进行审查、质疑、评估和比较。</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招标机构就投标文件中的资格证明等内容对投标供应商进行资格审查，审查不合格的，认定其投标无效。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zCs w:val="21"/>
        </w:rPr>
        <w:t xml:space="preserve">    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在对投标文件进行详细评估之前，评标委员会将依据投标人提供的“资格证明文件”审查投标人的财务、技术和生产能力。如果确定投标人无资格履行合同，其投标将被拒绝。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评标委员会判断投标文件的响应性，仅基于招标文件和投标文件本身而不靠外部证据。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评标委员会将拒绝被确定为非实质性响应的投标人。投标人不能通过修正或撤销不符之处，而使其投标成为实质性响应的投标。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24.8  评标委员会允许修改投标中不构成重大偏离的、微小的、非正规、不一致或不规则的地方。</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24.9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24.10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r>
        <w:rPr>
          <w:rFonts w:hint="eastAsia" w:asciiTheme="minorEastAsia" w:hAnsiTheme="minorEastAsia" w:eastAsiaTheme="minorEastAsia"/>
          <w:szCs w:val="21"/>
        </w:rPr>
        <w:t>。</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评标方法和标准”所述进行详细评审，并推荐中标候选人。</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评标期间，评委会将对投标文件中有关问题分别向投标人进行询问。各投标人应予以认真答复。重要或复杂问题的答复需以书面形式，并经法定代表人或授权人签署。澄清文件将作为投标文件的组成部份。</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评委会不向落标方解释落标原因，不退还投标文件。</w:t>
      </w:r>
    </w:p>
    <w:p>
      <w:pPr>
        <w:adjustRightInd w:val="0"/>
        <w:spacing w:line="360" w:lineRule="auto"/>
        <w:ind w:left="357"/>
        <w:jc w:val="center"/>
        <w:rPr>
          <w:rFonts w:asciiTheme="minorEastAsia" w:hAnsiTheme="minorEastAsia" w:eastAsiaTheme="minorEastAsia"/>
          <w:b/>
          <w:snapToGrid w:val="0"/>
          <w:kern w:val="0"/>
        </w:rPr>
      </w:pPr>
      <w:bookmarkStart w:id="35" w:name="q9"/>
      <w:bookmarkEnd w:id="35"/>
    </w:p>
    <w:p>
      <w:pPr>
        <w:pStyle w:val="4"/>
        <w:spacing w:before="0" w:after="0"/>
      </w:pPr>
      <w:bookmarkStart w:id="36" w:name="_Toc73610154"/>
      <w:r>
        <w:rPr>
          <w:rFonts w:hint="eastAsia"/>
        </w:rPr>
        <w:t>六、授予合同</w:t>
      </w:r>
      <w:bookmarkEnd w:id="36"/>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中标人向招标代理机构支付中标服务费后，领取《中标通知书》。</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中标服务费按前附表第16项所述。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31"/>
        <w:gridCol w:w="1897"/>
        <w:gridCol w:w="1898"/>
        <w:gridCol w:w="18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5" w:hRule="atLeast"/>
          <w:jc w:val="center"/>
        </w:trPr>
        <w:tc>
          <w:tcPr>
            <w:tcW w:w="2131" w:type="dxa"/>
          </w:tcPr>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pict>
                <v:shape id="__TH_B3733" o:spid="_x0000_s3091" o:spt="202" type="#_x0000_t202" style="position:absolute;left:0pt;margin-left:56.4pt;margin-top:43.5pt;height:9.4pt;width:4.3pt;z-index:251674624;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元</w:t>
                        </w:r>
                      </w:p>
                    </w:txbxContent>
                  </v:textbox>
                </v:shape>
              </w:pict>
            </w:r>
            <w:r>
              <w:rPr>
                <w:rFonts w:asciiTheme="minorEastAsia" w:hAnsiTheme="minorEastAsia" w:eastAsiaTheme="minorEastAsia"/>
              </w:rPr>
              <w:pict>
                <v:shape id="__TH_B3632" o:spid="_x0000_s3090" o:spt="202" type="#_x0000_t202" style="position:absolute;left:0pt;margin-left:44.55pt;margin-top:42.35pt;height:9.4pt;width:9.85pt;z-index:251673600;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万</w:t>
                        </w:r>
                      </w:p>
                    </w:txbxContent>
                  </v:textbox>
                </v:shape>
              </w:pict>
            </w:r>
            <w:r>
              <w:rPr>
                <w:rFonts w:asciiTheme="minorEastAsia" w:hAnsiTheme="minorEastAsia" w:eastAsiaTheme="minorEastAsia"/>
              </w:rPr>
              <w:pict>
                <v:shape id="__TH_B3531" o:spid="_x0000_s3089" o:spt="202" type="#_x0000_t202" style="position:absolute;left:0pt;margin-left:38.45pt;margin-top:41.2pt;height:9.4pt;width:3.9pt;z-index:251672576;mso-width-relative:page;mso-height-relative:page;" filled="f" stroked="f" coordsize="21600,21600">
                  <v:path/>
                  <v:fill on="f" focussize="0,0"/>
                  <v:stroke on="f" joinstyle="miter"/>
                  <v:imagedata o:title=""/>
                  <o:lock v:ext="edit"/>
                  <v:textbox inset="0mm,0mm,0mm,0mm">
                    <w:txbxContent>
                      <w:p>
                        <w:pPr>
                          <w:snapToGrid w:val="0"/>
                          <w:rPr>
                            <w:sz w:val="15"/>
                          </w:rPr>
                        </w:pPr>
                        <w:r>
                          <w:rPr>
                            <w:sz w:val="15"/>
                          </w:rPr>
                          <w:t>(</w:t>
                        </w:r>
                      </w:p>
                    </w:txbxContent>
                  </v:textbox>
                </v:shape>
              </w:pict>
            </w:r>
            <w:r>
              <w:rPr>
                <w:rFonts w:asciiTheme="minorEastAsia" w:hAnsiTheme="minorEastAsia" w:eastAsiaTheme="minorEastAsia"/>
              </w:rPr>
              <w:pict>
                <v:shape id="__TH_B3430" o:spid="_x0000_s3088" o:spt="202" type="#_x0000_t202" style="position:absolute;left:0pt;margin-left:26.35pt;margin-top:40.05pt;height:9.4pt;width:9.9pt;z-index:251671552;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额</w:t>
                        </w:r>
                      </w:p>
                    </w:txbxContent>
                  </v:textbox>
                </v:shape>
              </w:pict>
            </w:r>
            <w:r>
              <w:rPr>
                <w:rFonts w:asciiTheme="minorEastAsia" w:hAnsiTheme="minorEastAsia" w:eastAsiaTheme="minorEastAsia"/>
              </w:rPr>
              <w:pict>
                <v:shape id="__TH_B3329" o:spid="_x0000_s3087" o:spt="202" type="#_x0000_t202" style="position:absolute;left:0pt;margin-left:17.3pt;margin-top:38.9pt;height:9.4pt;width:9.85pt;z-index:251670528;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金</w:t>
                        </w:r>
                      </w:p>
                    </w:txbxContent>
                  </v:textbox>
                </v:shape>
              </w:pict>
            </w:r>
            <w:r>
              <w:rPr>
                <w:rFonts w:asciiTheme="minorEastAsia" w:hAnsiTheme="minorEastAsia" w:eastAsiaTheme="minorEastAsia"/>
              </w:rPr>
              <w:pict>
                <v:shape id="__TH_B3228" o:spid="_x0000_s3086" o:spt="202" type="#_x0000_t202" style="position:absolute;left:0pt;margin-left:8.2pt;margin-top:37.75pt;height:9.4pt;width:9.9pt;z-index:251669504;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标</w:t>
                        </w:r>
                      </w:p>
                    </w:txbxContent>
                  </v:textbox>
                </v:shape>
              </w:pict>
            </w:r>
            <w:r>
              <w:rPr>
                <w:rFonts w:asciiTheme="minorEastAsia" w:hAnsiTheme="minorEastAsia" w:eastAsiaTheme="minorEastAsia"/>
              </w:rPr>
              <w:pict>
                <v:shape id="__TH_B3127" o:spid="_x0000_s3085" o:spt="202" type="#_x0000_t202" style="position:absolute;left:0pt;margin-left:-0.85pt;margin-top:36.6pt;height:9.4pt;width:9.85pt;z-index:251668480;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中</w:t>
                        </w:r>
                      </w:p>
                    </w:txbxContent>
                  </v:textbox>
                </v:shape>
              </w:pict>
            </w:r>
            <w:r>
              <w:rPr>
                <w:rFonts w:asciiTheme="minorEastAsia" w:hAnsiTheme="minorEastAsia" w:eastAsiaTheme="minorEastAsia"/>
              </w:rPr>
              <w:pict>
                <v:shape id="__TH_B2226" o:spid="_x0000_s3084" o:spt="202" type="#_x0000_t202" style="position:absolute;left:0pt;margin-left:63.4pt;margin-top:32.05pt;height:9.35pt;width:9.85pt;z-index:251667456;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率</w:t>
                        </w:r>
                      </w:p>
                    </w:txbxContent>
                  </v:textbox>
                </v:shape>
              </w:pict>
            </w:r>
            <w:r>
              <w:rPr>
                <w:rFonts w:asciiTheme="minorEastAsia" w:hAnsiTheme="minorEastAsia" w:eastAsiaTheme="minorEastAsia"/>
              </w:rPr>
              <w:pict>
                <v:shape id="__TH_B2125" o:spid="_x0000_s3083" o:spt="202" type="#_x0000_t202" style="position:absolute;left:0pt;margin-left:19.95pt;margin-top:10.05pt;height:9.4pt;width:9.9pt;z-index:251666432;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费</w:t>
                        </w:r>
                      </w:p>
                    </w:txbxContent>
                  </v:textbox>
                </v:shape>
              </w:pict>
            </w:r>
            <w:r>
              <w:rPr>
                <w:rFonts w:asciiTheme="minorEastAsia" w:hAnsiTheme="minorEastAsia" w:eastAsiaTheme="minorEastAsia"/>
              </w:rPr>
              <w:pict>
                <v:shape id="__TH_B1424" o:spid="_x0000_s3082" o:spt="202" type="#_x0000_t202" style="position:absolute;left:0pt;margin-left:88.65pt;margin-top:32.35pt;height:9.35pt;width:9.85pt;z-index:251665408;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型</w:t>
                        </w:r>
                      </w:p>
                    </w:txbxContent>
                  </v:textbox>
                </v:shape>
              </w:pict>
            </w:r>
            <w:r>
              <w:rPr>
                <w:rFonts w:asciiTheme="minorEastAsia" w:hAnsiTheme="minorEastAsia" w:eastAsiaTheme="minorEastAsia"/>
              </w:rPr>
              <w:pict>
                <v:shape id="__TH_B1323" o:spid="_x0000_s3081" o:spt="202" type="#_x0000_t202" style="position:absolute;left:0pt;margin-left:83.95pt;margin-top:22.8pt;height:9.4pt;width:9.85pt;z-index:251664384;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类</w:t>
                        </w:r>
                      </w:p>
                    </w:txbxContent>
                  </v:textbox>
                </v:shape>
              </w:pict>
            </w:r>
            <w:r>
              <w:rPr>
                <w:rFonts w:asciiTheme="minorEastAsia" w:hAnsiTheme="minorEastAsia" w:eastAsiaTheme="minorEastAsia"/>
              </w:rPr>
              <w:pict>
                <v:shape id="__TH_B1222" o:spid="_x0000_s3080" o:spt="202" type="#_x0000_t202" style="position:absolute;left:0pt;margin-left:79.25pt;margin-top:13.3pt;height:9.4pt;width:9.85pt;z-index:251663360;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务</w:t>
                        </w:r>
                      </w:p>
                    </w:txbxContent>
                  </v:textbox>
                </v:shape>
              </w:pict>
            </w:r>
            <w:r>
              <w:rPr>
                <w:rFonts w:asciiTheme="minorEastAsia" w:hAnsiTheme="minorEastAsia" w:eastAsiaTheme="minorEastAsia"/>
              </w:rPr>
              <w:pict>
                <v:shape id="__TH_B1121" o:spid="_x0000_s3079" o:spt="202" type="#_x0000_t202" style="position:absolute;left:0pt;margin-left:74.55pt;margin-top:3.8pt;height:9.4pt;width:9.85pt;z-index:251662336;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服</w:t>
                        </w:r>
                      </w:p>
                    </w:txbxContent>
                  </v:textbox>
                </v:shape>
              </w:pict>
            </w:r>
            <w:r>
              <w:rPr>
                <w:rFonts w:asciiTheme="minorEastAsia" w:hAnsiTheme="minorEastAsia" w:eastAsiaTheme="minorEastAsia"/>
              </w:rPr>
              <w:pict>
                <v:line id="__TH_L20" o:spid="_x0000_s3078" o:spt="20" style="position:absolute;left:0pt;margin-left:-5.15pt;margin-top:26.85pt;height:26.8pt;width:106pt;z-index:251661312;mso-width-relative:page;mso-height-relative:page;" coordsize="21600,21600">
                  <v:path arrowok="t"/>
                  <v:fill focussize="0,0"/>
                  <v:stroke weight="0.5pt"/>
                  <v:imagedata o:title=""/>
                  <o:lock v:ext="edit"/>
                </v:line>
              </w:pict>
            </w:r>
            <w:r>
              <w:rPr>
                <w:rFonts w:asciiTheme="minorEastAsia" w:hAnsiTheme="minorEastAsia" w:eastAsiaTheme="minorEastAsia"/>
              </w:rPr>
              <w:pict>
                <v:line id="__TH_L19" o:spid="_x0000_s3077" o:spt="20" style="position:absolute;left:0pt;margin-left:47.85pt;margin-top:0pt;height:53.65pt;width:53pt;z-index:251660288;mso-width-relative:page;mso-height-relative:page;" coordsize="21600,21600">
                  <v:path arrowok="t"/>
                  <v:fill focussize="0,0"/>
                  <v:stroke weight="0.5pt"/>
                  <v:imagedata o:title=""/>
                  <o:lock v:ext="edit"/>
                </v:line>
              </w:pict>
            </w:r>
          </w:p>
        </w:tc>
        <w:tc>
          <w:tcPr>
            <w:tcW w:w="1897" w:type="dxa"/>
            <w:tcBorders>
              <w:right w:val="single" w:color="auto" w:sz="4" w:space="0"/>
            </w:tcBorders>
            <w:vAlign w:val="center"/>
          </w:tcPr>
          <w:p>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工程招标</w:t>
            </w:r>
          </w:p>
        </w:tc>
        <w:tc>
          <w:tcPr>
            <w:tcW w:w="1898" w:type="dxa"/>
            <w:tcBorders>
              <w:left w:val="single" w:color="auto" w:sz="4" w:space="0"/>
              <w:right w:val="single" w:color="auto" w:sz="4" w:space="0"/>
            </w:tcBorders>
            <w:vAlign w:val="center"/>
          </w:tcPr>
          <w:p>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货物招标</w:t>
            </w:r>
          </w:p>
        </w:tc>
        <w:tc>
          <w:tcPr>
            <w:tcW w:w="1898" w:type="dxa"/>
            <w:tcBorders>
              <w:left w:val="single" w:color="auto" w:sz="4" w:space="0"/>
            </w:tcBorders>
            <w:vAlign w:val="center"/>
          </w:tcPr>
          <w:p>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服务招标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1.00%</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1.50%</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1.50%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100-500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0.70%</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1.10%</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0.80%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500-1000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0.55%</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0.80%</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0.45%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1000-5000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0.35%</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0.50%</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0.25%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5000-10000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0.20%</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0.25%</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10000-100000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0.05%</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0.05%</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100000以上</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0.01%</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0.01%</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0.01%</w:t>
            </w:r>
          </w:p>
        </w:tc>
      </w:tr>
    </w:tbl>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注：1、中标服务费按差额定率累进法计算。例如：某货物类项目中标金额为1000万元，计算中标服务费如下：</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（500-100）万元×1.1%=4.4万元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（1000-500）×0.8%=4万元</w:t>
      </w:r>
    </w:p>
    <w:p>
      <w:pPr>
        <w:adjustRightInd w:val="0"/>
        <w:snapToGrid w:val="0"/>
        <w:spacing w:line="300" w:lineRule="auto"/>
        <w:ind w:left="424" w:leftChars="202"/>
        <w:rPr>
          <w:rFonts w:asciiTheme="minorEastAsia" w:hAnsiTheme="minorEastAsia" w:eastAsiaTheme="minorEastAsia"/>
          <w:snapToGrid w:val="0"/>
          <w:kern w:val="0"/>
          <w:sz w:val="24"/>
        </w:rPr>
      </w:pPr>
      <w:r>
        <w:rPr>
          <w:rFonts w:hint="eastAsia" w:asciiTheme="minorEastAsia" w:hAnsiTheme="minorEastAsia" w:eastAsiaTheme="minorEastAsia"/>
        </w:rPr>
        <w:t>合计收费=1.5+4.4+4＝9.9（万元）</w:t>
      </w:r>
    </w:p>
    <w:p>
      <w:pPr>
        <w:jc w:val="center"/>
        <w:rPr>
          <w:b/>
          <w:sz w:val="52"/>
          <w:szCs w:val="52"/>
        </w:rPr>
      </w:pPr>
    </w:p>
    <w:p/>
    <w:p/>
    <w:p/>
    <w:p/>
    <w:p/>
    <w:p/>
    <w:p/>
    <w:p>
      <w:pPr>
        <w:widowControl/>
        <w:jc w:val="left"/>
      </w:pPr>
      <w:r>
        <w:br w:type="page"/>
      </w:r>
    </w:p>
    <w:p/>
    <w:p>
      <w:pPr>
        <w:pStyle w:val="2"/>
      </w:pPr>
      <w:bookmarkStart w:id="37" w:name="_Toc73610155"/>
      <w:r>
        <w:rPr>
          <w:rFonts w:hint="eastAsia"/>
        </w:rPr>
        <w:t>第七章  投标文件格式</w:t>
      </w:r>
      <w:bookmarkEnd w:id="37"/>
    </w:p>
    <w:p>
      <w:pPr>
        <w:jc w:val="center"/>
        <w:rPr>
          <w:b/>
          <w:sz w:val="52"/>
          <w:szCs w:val="52"/>
        </w:rPr>
      </w:pPr>
    </w:p>
    <w:p>
      <w:pPr>
        <w:pStyle w:val="4"/>
        <w:spacing w:line="400" w:lineRule="exact"/>
        <w:rPr>
          <w:rFonts w:ascii="仿宋" w:hAnsi="仿宋" w:eastAsia="仿宋"/>
        </w:rPr>
      </w:pPr>
      <w:bookmarkStart w:id="38" w:name="_Toc44691163"/>
      <w:bookmarkStart w:id="39" w:name="_Toc44690431"/>
      <w:bookmarkStart w:id="40" w:name="_Toc14934"/>
      <w:bookmarkStart w:id="41" w:name="_Toc11772"/>
      <w:bookmarkStart w:id="42" w:name="_Toc44690704"/>
      <w:bookmarkStart w:id="43" w:name="_Toc73610156"/>
      <w:bookmarkStart w:id="44" w:name="_Toc44691395"/>
      <w:bookmarkStart w:id="45" w:name="_Toc31468"/>
      <w:bookmarkStart w:id="46" w:name="_Toc25194"/>
      <w:r>
        <w:rPr>
          <w:rFonts w:hint="eastAsia" w:ascii="仿宋" w:hAnsi="仿宋" w:eastAsia="仿宋"/>
        </w:rPr>
        <w:t>投标文件编制说明</w:t>
      </w:r>
      <w:bookmarkEnd w:id="38"/>
      <w:bookmarkEnd w:id="39"/>
      <w:bookmarkEnd w:id="40"/>
      <w:bookmarkEnd w:id="41"/>
      <w:bookmarkEnd w:id="42"/>
      <w:bookmarkEnd w:id="43"/>
      <w:bookmarkEnd w:id="44"/>
      <w:bookmarkEnd w:id="45"/>
      <w:bookmarkEnd w:id="46"/>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详见第六章“投标人须知”第18条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法定代表人证明书、法定代表人授权委托证明书和开标一览表（封包2）。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投标文件中，复印件或扫描件应加盖公章。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投标文件应加盖骑缝章。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3.4 签字方式可以是手写方式、盖人名章方式或盖手签章方式。</w:t>
            </w:r>
          </w:p>
        </w:tc>
      </w:tr>
    </w:tbl>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jc w:val="center"/>
        <w:rPr>
          <w:b/>
          <w:sz w:val="52"/>
          <w:szCs w:val="52"/>
        </w:rPr>
      </w:pPr>
    </w:p>
    <w:p/>
    <w:p/>
    <w:p/>
    <w:p/>
    <w:p/>
    <w:p/>
    <w:p>
      <w:pPr>
        <w:jc w:val="center"/>
        <w:rPr>
          <w:b/>
          <w:bCs/>
          <w:sz w:val="52"/>
        </w:rPr>
      </w:pPr>
    </w:p>
    <w:p>
      <w:pPr>
        <w:jc w:val="center"/>
        <w:rPr>
          <w:b/>
          <w:bCs/>
          <w:sz w:val="52"/>
        </w:rPr>
      </w:pPr>
      <w:r>
        <w:rPr>
          <w:rFonts w:hint="eastAsia"/>
          <w:b/>
          <w:bCs/>
          <w:sz w:val="52"/>
        </w:rPr>
        <w:t>投 标 文 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rFonts w:ascii="宋体" w:hAnsi="宋体"/>
          <w:b/>
          <w:bCs/>
          <w:sz w:val="30"/>
          <w:szCs w:val="30"/>
        </w:rPr>
      </w:pPr>
      <w:r>
        <w:rPr>
          <w:rFonts w:hint="eastAsia" w:ascii="宋体" w:hAnsi="宋体"/>
          <w:b/>
          <w:bCs/>
          <w:sz w:val="30"/>
          <w:szCs w:val="30"/>
        </w:rPr>
        <w:t>（正本/副本）</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75" w:firstLineChars="529"/>
        <w:rPr>
          <w:b/>
          <w:bCs/>
          <w:sz w:val="24"/>
          <w:u w:val="single"/>
        </w:rPr>
      </w:pPr>
      <w:r>
        <w:rPr>
          <w:rFonts w:hint="eastAsia"/>
          <w:b/>
          <w:bCs/>
          <w:sz w:val="24"/>
        </w:rPr>
        <w:t>项 目  名 称：</w:t>
      </w:r>
    </w:p>
    <w:p>
      <w:pPr>
        <w:spacing w:line="480" w:lineRule="auto"/>
        <w:ind w:firstLine="1275" w:firstLineChars="529"/>
        <w:rPr>
          <w:b/>
          <w:bCs/>
          <w:sz w:val="24"/>
        </w:rPr>
      </w:pPr>
      <w:r>
        <w:rPr>
          <w:rFonts w:hint="eastAsia"/>
          <w:b/>
          <w:bCs/>
          <w:sz w:val="24"/>
        </w:rPr>
        <w:t>法定代表人或</w:t>
      </w:r>
    </w:p>
    <w:p>
      <w:pPr>
        <w:spacing w:line="480" w:lineRule="auto"/>
        <w:ind w:firstLine="1275" w:firstLineChars="529"/>
        <w:rPr>
          <w:sz w:val="24"/>
          <w:u w:val="dotted"/>
        </w:rPr>
      </w:pPr>
      <w:r>
        <w:rPr>
          <w:rFonts w:hint="eastAsia"/>
          <w:b/>
          <w:bCs/>
          <w:sz w:val="24"/>
        </w:rPr>
        <w:t>委 托 代理人：</w:t>
      </w:r>
    </w:p>
    <w:p>
      <w:pPr>
        <w:spacing w:line="480" w:lineRule="auto"/>
        <w:ind w:firstLine="1275" w:firstLineChars="529"/>
        <w:rPr>
          <w:b/>
          <w:bCs/>
          <w:sz w:val="24"/>
          <w:u w:val="dotted"/>
        </w:rPr>
      </w:pPr>
      <w:r>
        <w:rPr>
          <w:rFonts w:hint="eastAsia"/>
          <w:b/>
          <w:bCs/>
          <w:sz w:val="24"/>
        </w:rPr>
        <w:t>投   标   人：</w:t>
      </w:r>
    </w:p>
    <w:p>
      <w:pPr>
        <w:spacing w:line="480" w:lineRule="auto"/>
        <w:ind w:firstLine="1275" w:firstLineChars="529"/>
      </w:pPr>
      <w:r>
        <w:rPr>
          <w:rFonts w:hint="eastAsia"/>
          <w:b/>
          <w:bCs/>
          <w:sz w:val="24"/>
        </w:rPr>
        <w:t>日        期：年月日</w:t>
      </w:r>
    </w:p>
    <w:p>
      <w:pPr>
        <w:rPr>
          <w:b/>
          <w:bCs/>
        </w:rPr>
      </w:pPr>
    </w:p>
    <w:p>
      <w:pPr>
        <w:rPr>
          <w:b/>
          <w:bCs/>
        </w:rPr>
      </w:pPr>
      <w:bookmarkStart w:id="47" w:name="_投标文件格式（第一册）"/>
      <w:bookmarkEnd w:id="47"/>
      <w:bookmarkStart w:id="48" w:name="q0"/>
      <w:r>
        <w:rPr>
          <w:rFonts w:ascii="仿宋" w:hAnsi="仿宋" w:eastAsia="仿宋"/>
        </w:rPr>
        <w:br w:type="page"/>
      </w:r>
    </w:p>
    <w:p>
      <w:pPr>
        <w:pStyle w:val="4"/>
        <w:spacing w:line="400" w:lineRule="exact"/>
        <w:rPr>
          <w:rFonts w:ascii="仿宋" w:hAnsi="仿宋" w:eastAsia="仿宋"/>
        </w:rPr>
      </w:pPr>
    </w:p>
    <w:p>
      <w:pPr>
        <w:pStyle w:val="4"/>
        <w:spacing w:line="400" w:lineRule="exact"/>
        <w:rPr>
          <w:rFonts w:ascii="仿宋" w:hAnsi="仿宋" w:eastAsia="仿宋"/>
        </w:rPr>
      </w:pPr>
      <w:bookmarkStart w:id="49" w:name="_Toc73610157"/>
      <w:r>
        <w:rPr>
          <w:rFonts w:hint="eastAsia" w:ascii="仿宋" w:hAnsi="仿宋" w:eastAsia="仿宋"/>
        </w:rPr>
        <w:t>投标文件格式</w:t>
      </w:r>
      <w:bookmarkEnd w:id="49"/>
    </w:p>
    <w:bookmarkEnd w:id="48"/>
    <w:p>
      <w:pPr>
        <w:numPr>
          <w:ilvl w:val="0"/>
          <w:numId w:val="13"/>
        </w:numPr>
        <w:adjustRightInd w:val="0"/>
        <w:spacing w:line="360" w:lineRule="auto"/>
        <w:rPr>
          <w:rFonts w:ascii="宋体" w:hAnsi="宋体"/>
          <w:snapToGrid w:val="0"/>
          <w:kern w:val="0"/>
          <w:szCs w:val="21"/>
        </w:rPr>
      </w:pPr>
      <w:r>
        <w:rPr>
          <w:rFonts w:hint="eastAsia" w:ascii="宋体" w:hAnsi="宋体"/>
          <w:snapToGrid w:val="0"/>
          <w:kern w:val="0"/>
          <w:szCs w:val="21"/>
        </w:rPr>
        <w:t>目录（自拟）</w:t>
      </w:r>
    </w:p>
    <w:p>
      <w:pPr>
        <w:numPr>
          <w:ilvl w:val="0"/>
          <w:numId w:val="13"/>
        </w:numPr>
        <w:adjustRightInd w:val="0"/>
        <w:spacing w:line="360" w:lineRule="auto"/>
        <w:rPr>
          <w:rFonts w:ascii="宋体" w:hAnsi="宋体"/>
          <w:snapToGrid w:val="0"/>
          <w:kern w:val="0"/>
          <w:szCs w:val="21"/>
        </w:rPr>
      </w:pPr>
      <w:r>
        <w:rPr>
          <w:rFonts w:hint="eastAsia" w:ascii="宋体" w:hAnsi="宋体"/>
          <w:snapToGrid w:val="0"/>
          <w:kern w:val="0"/>
          <w:szCs w:val="21"/>
        </w:rPr>
        <w:t>评标指引表</w:t>
      </w:r>
    </w:p>
    <w:p>
      <w:pPr>
        <w:numPr>
          <w:ilvl w:val="0"/>
          <w:numId w:val="13"/>
        </w:numPr>
        <w:adjustRightInd w:val="0"/>
        <w:spacing w:line="360" w:lineRule="auto"/>
        <w:rPr>
          <w:snapToGrid w:val="0"/>
          <w:kern w:val="0"/>
          <w:szCs w:val="21"/>
        </w:rPr>
      </w:pPr>
      <w:r>
        <w:rPr>
          <w:rFonts w:hint="eastAsia"/>
          <w:snapToGrid w:val="0"/>
          <w:kern w:val="0"/>
          <w:szCs w:val="21"/>
        </w:rPr>
        <w:t>投标人资格证明文件（格式1）</w:t>
      </w:r>
    </w:p>
    <w:p>
      <w:pPr>
        <w:numPr>
          <w:ilvl w:val="0"/>
          <w:numId w:val="13"/>
        </w:numPr>
        <w:adjustRightInd w:val="0"/>
        <w:spacing w:line="360" w:lineRule="auto"/>
        <w:rPr>
          <w:snapToGrid w:val="0"/>
          <w:kern w:val="0"/>
          <w:szCs w:val="21"/>
        </w:rPr>
      </w:pPr>
      <w:r>
        <w:rPr>
          <w:rFonts w:hint="eastAsia"/>
          <w:snapToGrid w:val="0"/>
          <w:kern w:val="0"/>
          <w:szCs w:val="21"/>
        </w:rPr>
        <w:t>法定代表人证明书及授权委托书</w:t>
      </w:r>
      <w:r>
        <w:rPr>
          <w:rFonts w:hint="eastAsia" w:ascii="宋体" w:hAnsi="宋体"/>
          <w:snapToGrid w:val="0"/>
          <w:kern w:val="0"/>
          <w:szCs w:val="21"/>
        </w:rPr>
        <w:t>（格式2）</w:t>
      </w:r>
    </w:p>
    <w:p>
      <w:pPr>
        <w:numPr>
          <w:ilvl w:val="0"/>
          <w:numId w:val="13"/>
        </w:numPr>
        <w:adjustRightInd w:val="0"/>
        <w:spacing w:line="360" w:lineRule="auto"/>
        <w:rPr>
          <w:rFonts w:ascii="宋体" w:hAnsi="宋体"/>
          <w:snapToGrid w:val="0"/>
          <w:kern w:val="0"/>
          <w:szCs w:val="21"/>
        </w:rPr>
      </w:pPr>
      <w:r>
        <w:rPr>
          <w:rFonts w:hint="eastAsia" w:ascii="宋体" w:hAnsi="宋体"/>
          <w:snapToGrid w:val="0"/>
          <w:kern w:val="0"/>
          <w:szCs w:val="21"/>
        </w:rPr>
        <w:t>投标函（格式3）</w:t>
      </w:r>
    </w:p>
    <w:p>
      <w:pPr>
        <w:numPr>
          <w:ilvl w:val="0"/>
          <w:numId w:val="13"/>
        </w:numPr>
        <w:adjustRightInd w:val="0"/>
        <w:spacing w:line="360" w:lineRule="auto"/>
        <w:rPr>
          <w:rFonts w:ascii="宋体" w:hAnsi="宋体"/>
          <w:snapToGrid w:val="0"/>
          <w:kern w:val="0"/>
          <w:szCs w:val="21"/>
        </w:rPr>
      </w:pPr>
      <w:r>
        <w:rPr>
          <w:rFonts w:hint="eastAsia" w:ascii="宋体" w:hAnsi="宋体"/>
          <w:snapToGrid w:val="0"/>
          <w:kern w:val="0"/>
          <w:szCs w:val="21"/>
        </w:rPr>
        <w:t>评分中涉及的承诺及声明函（格式4）</w:t>
      </w:r>
    </w:p>
    <w:p>
      <w:pPr>
        <w:numPr>
          <w:ilvl w:val="0"/>
          <w:numId w:val="13"/>
        </w:numPr>
        <w:adjustRightInd w:val="0"/>
        <w:spacing w:line="360" w:lineRule="auto"/>
        <w:rPr>
          <w:rFonts w:ascii="宋体" w:hAnsi="宋体"/>
          <w:snapToGrid w:val="0"/>
          <w:kern w:val="0"/>
          <w:szCs w:val="21"/>
        </w:rPr>
      </w:pPr>
      <w:r>
        <w:rPr>
          <w:rFonts w:hint="eastAsia" w:ascii="宋体" w:hAnsi="宋体"/>
          <w:snapToGrid w:val="0"/>
          <w:kern w:val="0"/>
          <w:szCs w:val="21"/>
        </w:rPr>
        <w:t>开标一览表（格式5）</w:t>
      </w:r>
    </w:p>
    <w:p>
      <w:pPr>
        <w:adjustRightInd w:val="0"/>
        <w:spacing w:line="360" w:lineRule="auto"/>
        <w:ind w:firstLine="422" w:firstLineChars="200"/>
        <w:rPr>
          <w:rFonts w:ascii="宋体" w:hAnsi="宋体"/>
          <w:b/>
          <w:bCs/>
          <w:snapToGrid w:val="0"/>
          <w:kern w:val="0"/>
          <w:szCs w:val="21"/>
        </w:rPr>
      </w:pPr>
      <w:r>
        <w:rPr>
          <w:rFonts w:hint="eastAsia" w:ascii="宋体" w:hAnsi="宋体"/>
          <w:b/>
          <w:snapToGrid w:val="0"/>
          <w:kern w:val="0"/>
          <w:szCs w:val="21"/>
        </w:rPr>
        <w:t>注：此表应与“法定代表人证明书、法定代表人授权委托证明书”一起密封于一信封，在递交投标文件时单独交与</w:t>
      </w:r>
      <w:r>
        <w:rPr>
          <w:rFonts w:hint="eastAsia" w:ascii="宋体" w:hAnsi="宋体"/>
          <w:b/>
          <w:bCs/>
          <w:snapToGrid w:val="0"/>
          <w:kern w:val="0"/>
          <w:szCs w:val="21"/>
        </w:rPr>
        <w:t>招标代理机构。</w:t>
      </w:r>
    </w:p>
    <w:p>
      <w:pPr>
        <w:numPr>
          <w:ilvl w:val="0"/>
          <w:numId w:val="13"/>
        </w:numPr>
        <w:adjustRightInd w:val="0"/>
        <w:spacing w:line="360" w:lineRule="auto"/>
        <w:rPr>
          <w:rFonts w:ascii="宋体" w:hAnsi="宋体"/>
          <w:snapToGrid w:val="0"/>
          <w:kern w:val="0"/>
          <w:szCs w:val="21"/>
        </w:rPr>
      </w:pPr>
      <w:r>
        <w:rPr>
          <w:rFonts w:hint="eastAsia" w:ascii="宋体" w:hAnsi="宋体"/>
          <w:snapToGrid w:val="0"/>
          <w:kern w:val="0"/>
          <w:szCs w:val="21"/>
        </w:rPr>
        <w:t>报价表（格式6）</w:t>
      </w:r>
    </w:p>
    <w:p>
      <w:pPr>
        <w:numPr>
          <w:ilvl w:val="0"/>
          <w:numId w:val="13"/>
        </w:numPr>
        <w:adjustRightInd w:val="0"/>
        <w:spacing w:line="360" w:lineRule="auto"/>
        <w:rPr>
          <w:rFonts w:ascii="宋体" w:hAnsi="宋体"/>
          <w:snapToGrid w:val="0"/>
          <w:kern w:val="0"/>
          <w:szCs w:val="21"/>
        </w:rPr>
      </w:pPr>
      <w:r>
        <w:rPr>
          <w:rFonts w:hint="eastAsia" w:ascii="宋体" w:hAnsi="宋体"/>
          <w:snapToGrid w:val="0"/>
          <w:kern w:val="0"/>
          <w:szCs w:val="21"/>
        </w:rPr>
        <w:t>技术规格（格式7）</w:t>
      </w:r>
    </w:p>
    <w:p>
      <w:pPr>
        <w:numPr>
          <w:ilvl w:val="0"/>
          <w:numId w:val="13"/>
        </w:numPr>
        <w:adjustRightInd w:val="0"/>
        <w:spacing w:line="360" w:lineRule="auto"/>
        <w:rPr>
          <w:rFonts w:ascii="宋体" w:hAnsi="宋体"/>
          <w:snapToGrid w:val="0"/>
          <w:kern w:val="0"/>
          <w:szCs w:val="21"/>
        </w:rPr>
      </w:pPr>
      <w:r>
        <w:rPr>
          <w:rFonts w:hint="eastAsia" w:ascii="宋体" w:hAnsi="宋体"/>
          <w:snapToGrid w:val="0"/>
          <w:kern w:val="0"/>
          <w:szCs w:val="21"/>
        </w:rPr>
        <w:t>交付进度（格式8）</w:t>
      </w:r>
    </w:p>
    <w:p>
      <w:pPr>
        <w:numPr>
          <w:ilvl w:val="0"/>
          <w:numId w:val="13"/>
        </w:numPr>
        <w:adjustRightInd w:val="0"/>
        <w:spacing w:line="360" w:lineRule="auto"/>
        <w:rPr>
          <w:rFonts w:ascii="宋体" w:hAnsi="宋体"/>
          <w:snapToGrid w:val="0"/>
          <w:kern w:val="0"/>
          <w:szCs w:val="21"/>
        </w:rPr>
      </w:pPr>
      <w:r>
        <w:rPr>
          <w:rFonts w:hint="eastAsia" w:ascii="宋体" w:hAnsi="宋体"/>
          <w:snapToGrid w:val="0"/>
          <w:kern w:val="0"/>
          <w:szCs w:val="21"/>
        </w:rPr>
        <w:t>售后服务和质量承诺（格式9）</w:t>
      </w:r>
    </w:p>
    <w:p>
      <w:pPr>
        <w:numPr>
          <w:ilvl w:val="0"/>
          <w:numId w:val="13"/>
        </w:numPr>
        <w:adjustRightInd w:val="0"/>
        <w:spacing w:line="360" w:lineRule="auto"/>
        <w:rPr>
          <w:rFonts w:ascii="宋体" w:hAnsi="宋体"/>
          <w:snapToGrid w:val="0"/>
          <w:kern w:val="0"/>
          <w:szCs w:val="21"/>
        </w:rPr>
      </w:pPr>
      <w:r>
        <w:rPr>
          <w:rFonts w:ascii="宋体" w:hAnsi="宋体"/>
          <w:snapToGrid w:val="0"/>
          <w:kern w:val="0"/>
        </w:rPr>
        <w:t>投标人资格</w:t>
      </w:r>
      <w:r>
        <w:rPr>
          <w:rFonts w:hint="eastAsia" w:ascii="宋体" w:hAnsi="宋体"/>
          <w:snapToGrid w:val="0"/>
          <w:kern w:val="0"/>
        </w:rPr>
        <w:t>声</w:t>
      </w:r>
      <w:r>
        <w:rPr>
          <w:rFonts w:ascii="宋体" w:hAnsi="宋体"/>
          <w:snapToGrid w:val="0"/>
          <w:kern w:val="0"/>
        </w:rPr>
        <w:t>明</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10</w:t>
      </w:r>
      <w:r>
        <w:rPr>
          <w:rFonts w:ascii="宋体" w:hAnsi="宋体"/>
          <w:snapToGrid w:val="0"/>
          <w:kern w:val="0"/>
        </w:rPr>
        <w:t>）</w:t>
      </w:r>
    </w:p>
    <w:p>
      <w:pPr>
        <w:numPr>
          <w:ilvl w:val="0"/>
          <w:numId w:val="13"/>
        </w:numPr>
        <w:adjustRightInd w:val="0"/>
        <w:spacing w:line="360" w:lineRule="auto"/>
        <w:rPr>
          <w:rFonts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11</w:t>
      </w:r>
      <w:r>
        <w:rPr>
          <w:rFonts w:ascii="宋体" w:hAnsi="宋体"/>
          <w:snapToGrid w:val="0"/>
          <w:kern w:val="0"/>
          <w:szCs w:val="21"/>
        </w:rPr>
        <w:t>）</w:t>
      </w:r>
    </w:p>
    <w:p>
      <w:pPr>
        <w:numPr>
          <w:ilvl w:val="0"/>
          <w:numId w:val="13"/>
        </w:numPr>
        <w:adjustRightInd w:val="0"/>
        <w:spacing w:line="360" w:lineRule="auto"/>
        <w:rPr>
          <w:rFonts w:ascii="宋体" w:hAnsi="宋体"/>
          <w:snapToGrid w:val="0"/>
          <w:kern w:val="0"/>
          <w:szCs w:val="21"/>
        </w:rPr>
      </w:pP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（格式12）</w:t>
      </w: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ind w:hanging="2"/>
        <w:rPr>
          <w:b/>
          <w:bCs/>
          <w:sz w:val="28"/>
        </w:rPr>
      </w:pPr>
    </w:p>
    <w:p>
      <w:pPr>
        <w:adjustRightInd w:val="0"/>
        <w:snapToGrid w:val="0"/>
        <w:spacing w:line="300" w:lineRule="auto"/>
        <w:jc w:val="center"/>
      </w:pPr>
      <w:bookmarkStart w:id="50" w:name="_格式1__投标人资格证明文件"/>
      <w:bookmarkEnd w:id="50"/>
      <w:r>
        <w:br w:type="page"/>
      </w:r>
    </w:p>
    <w:p>
      <w:pPr>
        <w:adjustRightInd w:val="0"/>
        <w:snapToGrid w:val="0"/>
        <w:spacing w:line="300" w:lineRule="auto"/>
        <w:jc w:val="center"/>
      </w:pPr>
    </w:p>
    <w:p>
      <w:pPr>
        <w:pStyle w:val="4"/>
        <w:spacing w:line="400" w:lineRule="exact"/>
        <w:rPr>
          <w:rFonts w:ascii="仿宋" w:hAnsi="仿宋" w:eastAsia="仿宋"/>
        </w:rPr>
      </w:pPr>
      <w:bookmarkStart w:id="51" w:name="_Toc73610158"/>
      <w:r>
        <w:rPr>
          <w:rFonts w:hint="eastAsia" w:ascii="仿宋" w:hAnsi="仿宋" w:eastAsia="仿宋"/>
        </w:rPr>
        <w:t>评标指引表</w:t>
      </w:r>
      <w:bookmarkEnd w:id="51"/>
    </w:p>
    <w:p>
      <w:pPr>
        <w:jc w:val="center"/>
        <w:rPr>
          <w:b/>
          <w:szCs w:val="21"/>
        </w:rPr>
      </w:pPr>
    </w:p>
    <w:p>
      <w:pPr>
        <w:spacing w:line="360" w:lineRule="auto"/>
        <w:ind w:firstLine="420" w:firstLineChars="200"/>
        <w:rPr>
          <w:rFonts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pPr>
        <w:spacing w:line="360" w:lineRule="auto"/>
        <w:ind w:firstLine="420" w:firstLineChars="200"/>
        <w:rPr>
          <w:rFonts w:ascii="宋体" w:hAnsi="宋体"/>
          <w:szCs w:val="21"/>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综合评分指引（参见第四章  评标方法和标准）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85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评分项目</w:t>
            </w:r>
          </w:p>
        </w:tc>
        <w:tc>
          <w:tcPr>
            <w:tcW w:w="2169"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价格部分</w:t>
            </w:r>
          </w:p>
        </w:tc>
        <w:tc>
          <w:tcPr>
            <w:tcW w:w="4854" w:type="dxa"/>
            <w:vAlign w:val="center"/>
          </w:tcPr>
          <w:p>
            <w:pPr>
              <w:rPr>
                <w:rFonts w:asciiTheme="minorEastAsia" w:hAnsiTheme="minorEastAsia" w:eastAsiaTheme="minorEastAsia"/>
              </w:rPr>
            </w:pPr>
            <w:r>
              <w:rPr>
                <w:rFonts w:hint="eastAsia" w:asciiTheme="minorEastAsia" w:hAnsiTheme="minorEastAsia" w:eastAsiaTheme="minorEastAsia"/>
                <w:szCs w:val="21"/>
              </w:rPr>
              <w:t>《节能产品政府采购品目清单》或《环境标志产品政府采购品目清单》中列示的产品，或</w:t>
            </w: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w:t>
            </w:r>
            <w:r>
              <w:rPr>
                <w:rFonts w:hint="eastAsia" w:asciiTheme="minorEastAsia" w:hAnsiTheme="minorEastAsia" w:eastAsiaTheme="minorEastAsia"/>
                <w:bCs/>
                <w:szCs w:val="21"/>
              </w:rPr>
              <w:t>优惠政策。</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bl>
    <w:p>
      <w:pPr>
        <w:pStyle w:val="26"/>
        <w:spacing w:line="360" w:lineRule="auto"/>
        <w:ind w:firstLine="424" w:firstLineChars="201"/>
        <w:rPr>
          <w:rFonts w:hAnsi="宋体"/>
          <w:b/>
          <w:szCs w:val="21"/>
        </w:rPr>
      </w:pPr>
    </w:p>
    <w:p>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pPr>
        <w:pStyle w:val="3"/>
        <w:jc w:val="center"/>
      </w:pPr>
    </w:p>
    <w:p/>
    <w:p/>
    <w:p/>
    <w:p/>
    <w:p/>
    <w:p/>
    <w:p/>
    <w:p/>
    <w:p/>
    <w:p/>
    <w:p>
      <w:pPr>
        <w:widowControl/>
        <w:jc w:val="left"/>
      </w:pPr>
      <w:r>
        <w:br w:type="page"/>
      </w:r>
    </w:p>
    <w:p/>
    <w:p>
      <w:pPr>
        <w:pStyle w:val="6"/>
        <w:numPr>
          <w:ilvl w:val="0"/>
          <w:numId w:val="0"/>
        </w:numPr>
        <w:tabs>
          <w:tab w:val="clear" w:pos="2111"/>
        </w:tabs>
        <w:spacing w:before="120" w:after="120"/>
        <w:ind w:left="-1" w:leftChars="-1" w:hanging="1"/>
        <w:jc w:val="center"/>
        <w:rPr>
          <w:rFonts w:asciiTheme="minorEastAsia" w:hAnsiTheme="minorEastAsia" w:eastAsiaTheme="minorEastAsia"/>
          <w:snapToGrid w:val="0"/>
          <w:kern w:val="0"/>
          <w:sz w:val="24"/>
        </w:rPr>
      </w:pPr>
      <w:bookmarkStart w:id="52" w:name="_Toc44691164"/>
      <w:bookmarkStart w:id="53" w:name="_Toc44690432"/>
      <w:bookmarkStart w:id="54" w:name="_Toc44691396"/>
      <w:bookmarkStart w:id="55" w:name="_Toc44690705"/>
      <w:r>
        <w:rPr>
          <w:rFonts w:hint="eastAsia" w:asciiTheme="minorEastAsia" w:hAnsiTheme="minorEastAsia" w:eastAsiaTheme="minorEastAsia"/>
          <w:sz w:val="24"/>
        </w:rPr>
        <w:t>格式1  投标人资格证明文件</w:t>
      </w:r>
      <w:bookmarkEnd w:id="52"/>
      <w:bookmarkEnd w:id="53"/>
      <w:bookmarkEnd w:id="54"/>
      <w:bookmarkEnd w:id="55"/>
    </w:p>
    <w:p>
      <w:pPr>
        <w:adjustRightInd w:val="0"/>
        <w:snapToGrid w:val="0"/>
        <w:spacing w:line="360" w:lineRule="auto"/>
        <w:rPr>
          <w:rFonts w:ascii="宋体" w:hAnsi="宋体"/>
          <w:bCs/>
          <w:snapToGrid w:val="0"/>
          <w:kern w:val="0"/>
          <w:szCs w:val="21"/>
        </w:rPr>
      </w:pPr>
    </w:p>
    <w:p>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pPr>
        <w:adjustRightInd w:val="0"/>
        <w:snapToGrid w:val="0"/>
        <w:spacing w:line="360" w:lineRule="auto"/>
        <w:ind w:firstLine="424" w:firstLineChars="202"/>
        <w:rPr>
          <w:rFonts w:ascii="宋体" w:hAnsi="宋体"/>
        </w:rPr>
      </w:pPr>
      <w:r>
        <w:rPr>
          <w:rFonts w:hint="eastAsia" w:ascii="宋体" w:hAnsi="宋体"/>
        </w:rPr>
        <w:t>3、股东构成审查表</w:t>
      </w:r>
    </w:p>
    <w:p>
      <w:pPr>
        <w:adjustRightInd w:val="0"/>
        <w:snapToGrid w:val="0"/>
        <w:spacing w:line="360" w:lineRule="auto"/>
        <w:ind w:firstLine="424" w:firstLineChars="202"/>
        <w:rPr>
          <w:rFonts w:ascii="宋体" w:hAnsi="宋体"/>
        </w:rPr>
      </w:pPr>
      <w:r>
        <w:rPr>
          <w:rFonts w:hint="eastAsia" w:ascii="宋体" w:hAnsi="宋体"/>
        </w:rPr>
        <w:t>4、其它资格证明材料（按第一章投标邀请“申请人的资格要求”提供）</w:t>
      </w:r>
    </w:p>
    <w:p>
      <w:pPr>
        <w:adjustRightInd w:val="0"/>
        <w:snapToGrid w:val="0"/>
        <w:spacing w:line="360" w:lineRule="auto"/>
        <w:rPr>
          <w:rFonts w:ascii="宋体" w:hAnsi="宋体"/>
          <w:bCs/>
          <w:snapToGrid w:val="0"/>
          <w:kern w:val="0"/>
        </w:rPr>
      </w:pPr>
    </w:p>
    <w:p>
      <w:pPr>
        <w:adjustRightInd w:val="0"/>
        <w:snapToGrid w:val="0"/>
        <w:spacing w:line="360" w:lineRule="auto"/>
        <w:ind w:firstLine="424" w:firstLineChars="201"/>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pPr>
        <w:adjustRightInd w:val="0"/>
        <w:snapToGrid w:val="0"/>
        <w:spacing w:line="300" w:lineRule="auto"/>
        <w:jc w:val="right"/>
        <w:rPr>
          <w:snapToGrid w:val="0"/>
          <w:kern w:val="0"/>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widowControl/>
        <w:jc w:val="left"/>
        <w:rPr>
          <w:b/>
          <w:snapToGrid w:val="0"/>
          <w:sz w:val="32"/>
          <w:szCs w:val="32"/>
        </w:rPr>
      </w:pPr>
      <w:r>
        <w:rPr>
          <w:b/>
          <w:snapToGrid w:val="0"/>
          <w:sz w:val="32"/>
          <w:szCs w:val="32"/>
        </w:rPr>
        <w:br w:type="page"/>
      </w:r>
    </w:p>
    <w:p>
      <w:pPr>
        <w:adjustRightInd w:val="0"/>
        <w:snapToGrid w:val="0"/>
        <w:spacing w:line="300" w:lineRule="auto"/>
        <w:jc w:val="center"/>
        <w:rPr>
          <w:b/>
          <w:snapToGrid w:val="0"/>
          <w:sz w:val="32"/>
          <w:szCs w:val="32"/>
        </w:rPr>
      </w:pPr>
    </w:p>
    <w:p>
      <w:pPr>
        <w:adjustRightInd w:val="0"/>
        <w:spacing w:line="300" w:lineRule="auto"/>
        <w:ind w:hanging="2"/>
        <w:jc w:val="center"/>
      </w:pPr>
      <w:r>
        <w:rPr>
          <w:rFonts w:hint="eastAsia"/>
          <w:b/>
          <w:snapToGrid w:val="0"/>
          <w:kern w:val="0"/>
          <w:sz w:val="28"/>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1.我单位满足《中华人民共和国政府采购法》第二十二条规定的条件。</w:t>
      </w:r>
    </w:p>
    <w:p>
      <w:pPr>
        <w:spacing w:line="4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pPr>
        <w:spacing w:line="400" w:lineRule="exact"/>
        <w:ind w:firstLine="420" w:firstLineChars="200"/>
        <w:rPr>
          <w:rFonts w:ascii="宋体" w:hAnsi="宋体"/>
          <w:szCs w:val="21"/>
        </w:rPr>
      </w:pPr>
      <w:r>
        <w:rPr>
          <w:rFonts w:hint="eastAsia" w:ascii="宋体" w:hAnsi="宋体"/>
          <w:szCs w:val="21"/>
        </w:rPr>
        <w:t>4.我单位承诺不非法转包或分包。</w:t>
      </w:r>
    </w:p>
    <w:p>
      <w:pPr>
        <w:spacing w:line="400" w:lineRule="exact"/>
        <w:ind w:firstLine="420" w:firstLineChars="200"/>
        <w:rPr>
          <w:rFonts w:ascii="宋体" w:hAnsi="宋体"/>
          <w:szCs w:val="21"/>
        </w:rPr>
      </w:pPr>
      <w:r>
        <w:rPr>
          <w:rFonts w:hint="eastAsia" w:ascii="宋体" w:hAnsi="宋体"/>
          <w:szCs w:val="21"/>
        </w:rPr>
        <w:t>5.我单位本招标项目所提供的货物或服务未侵犯知识产权。</w:t>
      </w:r>
    </w:p>
    <w:p>
      <w:pPr>
        <w:spacing w:line="400" w:lineRule="exact"/>
        <w:ind w:firstLine="420" w:firstLineChars="200"/>
        <w:rPr>
          <w:rFonts w:ascii="宋体" w:hAnsi="宋体"/>
          <w:szCs w:val="21"/>
        </w:rPr>
      </w:pPr>
      <w:r>
        <w:rPr>
          <w:rFonts w:hint="eastAsia" w:ascii="宋体" w:hAnsi="宋体"/>
          <w:szCs w:val="21"/>
        </w:rPr>
        <w:t>6.我单位参与该项目投标，严格遵循公平竞争的原则，不恶意串通，不妨碍其他投标人的竞争行为，不损害采购人或者其他投标人的合法权益。我单位已清楚，如违反上述要求，将作投标无效处理。</w:t>
      </w:r>
    </w:p>
    <w:p>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pPr>
        <w:spacing w:line="360" w:lineRule="auto"/>
        <w:ind w:firstLine="6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r>
        <w:br w:type="page"/>
      </w:r>
    </w:p>
    <w:p>
      <w:pPr>
        <w:adjustRightInd w:val="0"/>
        <w:snapToGrid w:val="0"/>
        <w:spacing w:line="360" w:lineRule="auto"/>
        <w:ind w:firstLine="600"/>
        <w:jc w:val="right"/>
      </w:pPr>
    </w:p>
    <w:p>
      <w:pPr>
        <w:pStyle w:val="3"/>
        <w:spacing w:before="0" w:after="0" w:line="360" w:lineRule="auto"/>
        <w:jc w:val="center"/>
        <w:rPr>
          <w:rFonts w:asciiTheme="minorEastAsia" w:hAnsiTheme="minorEastAsia" w:eastAsiaTheme="minorEastAsia"/>
          <w:kern w:val="0"/>
          <w:sz w:val="28"/>
          <w:szCs w:val="28"/>
        </w:rPr>
      </w:pPr>
      <w:bookmarkStart w:id="56" w:name="_Toc73610159"/>
      <w:r>
        <w:rPr>
          <w:rFonts w:hint="eastAsia" w:asciiTheme="minorEastAsia" w:hAnsiTheme="minorEastAsia" w:eastAsiaTheme="minorEastAsia"/>
          <w:kern w:val="0"/>
          <w:sz w:val="28"/>
          <w:szCs w:val="28"/>
        </w:rPr>
        <w:t>股东构成审查表</w:t>
      </w:r>
      <w:bookmarkEnd w:id="56"/>
    </w:p>
    <w:p/>
    <w:p>
      <w:pPr>
        <w:spacing w:line="360" w:lineRule="auto"/>
        <w:rPr>
          <w:rFonts w:asciiTheme="minorEastAsia" w:hAnsiTheme="minorEastAsia" w:eastAsiaTheme="minorEastAsia"/>
          <w:szCs w:val="21"/>
          <w:u w:val="single"/>
        </w:rPr>
      </w:pPr>
      <w:r>
        <w:rPr>
          <w:rFonts w:hint="eastAsia" w:asciiTheme="minorEastAsia" w:hAnsiTheme="minorEastAsia" w:eastAsiaTheme="minorEastAsia"/>
          <w:snapToGrid w:val="0"/>
          <w:szCs w:val="21"/>
        </w:rPr>
        <w:t>项目</w:t>
      </w:r>
      <w:r>
        <w:rPr>
          <w:rFonts w:hint="eastAsia" w:asciiTheme="minorEastAsia" w:hAnsiTheme="minorEastAsia" w:eastAsiaTheme="minorEastAsia"/>
          <w:szCs w:val="21"/>
        </w:rPr>
        <w:t>名称：</w:t>
      </w:r>
    </w:p>
    <w:p>
      <w:pPr>
        <w:spacing w:line="360" w:lineRule="auto"/>
        <w:rPr>
          <w:rFonts w:asciiTheme="minorEastAsia" w:hAnsiTheme="minorEastAsia" w:eastAsiaTheme="minorEastAsia"/>
          <w:szCs w:val="21"/>
          <w:u w:val="single"/>
        </w:rPr>
      </w:pPr>
      <w:r>
        <w:rPr>
          <w:rFonts w:hint="eastAsia" w:asciiTheme="minorEastAsia" w:hAnsiTheme="minorEastAsia" w:eastAsiaTheme="minorEastAsia"/>
          <w:szCs w:val="21"/>
        </w:rPr>
        <w:t>项目编号：</w:t>
      </w:r>
    </w:p>
    <w:tbl>
      <w:tblPr>
        <w:tblStyle w:val="50"/>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5244"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投标人股东构成审查内容</w:t>
            </w:r>
          </w:p>
        </w:tc>
        <w:tc>
          <w:tcPr>
            <w:tcW w:w="1748"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投标人响应情况</w:t>
            </w:r>
          </w:p>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（是或否）</w:t>
            </w:r>
          </w:p>
        </w:tc>
        <w:tc>
          <w:tcPr>
            <w:tcW w:w="2222"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524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是否存在“与投标供应商单位负责人（法定代表人）为同一人的不同单位”</w:t>
            </w:r>
          </w:p>
        </w:tc>
        <w:tc>
          <w:tcPr>
            <w:tcW w:w="1748" w:type="dxa"/>
            <w:vAlign w:val="center"/>
          </w:tcPr>
          <w:p>
            <w:pPr>
              <w:spacing w:line="360" w:lineRule="auto"/>
              <w:jc w:val="center"/>
              <w:rPr>
                <w:rFonts w:asciiTheme="minorEastAsia" w:hAnsiTheme="minorEastAsia" w:eastAsiaTheme="minorEastAsia"/>
                <w:szCs w:val="21"/>
              </w:rPr>
            </w:pPr>
          </w:p>
        </w:tc>
        <w:tc>
          <w:tcPr>
            <w:tcW w:w="2222" w:type="dxa"/>
            <w:vAlign w:val="center"/>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524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是否存在“与投标供应商存在管理关系的不同单位”</w:t>
            </w:r>
          </w:p>
        </w:tc>
        <w:tc>
          <w:tcPr>
            <w:tcW w:w="1748" w:type="dxa"/>
            <w:vAlign w:val="center"/>
          </w:tcPr>
          <w:p>
            <w:pPr>
              <w:spacing w:line="360" w:lineRule="auto"/>
              <w:jc w:val="center"/>
              <w:rPr>
                <w:rFonts w:asciiTheme="minorEastAsia" w:hAnsiTheme="minorEastAsia" w:eastAsiaTheme="minorEastAsia"/>
                <w:szCs w:val="21"/>
              </w:rPr>
            </w:pPr>
          </w:p>
        </w:tc>
        <w:tc>
          <w:tcPr>
            <w:tcW w:w="2222" w:type="dxa"/>
            <w:vAlign w:val="center"/>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524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投标供应商是否有控股的子公司</w:t>
            </w:r>
          </w:p>
        </w:tc>
        <w:tc>
          <w:tcPr>
            <w:tcW w:w="1748" w:type="dxa"/>
            <w:vAlign w:val="center"/>
          </w:tcPr>
          <w:p>
            <w:pPr>
              <w:spacing w:line="360" w:lineRule="auto"/>
              <w:jc w:val="center"/>
              <w:rPr>
                <w:rFonts w:asciiTheme="minorEastAsia" w:hAnsiTheme="minorEastAsia" w:eastAsiaTheme="minorEastAsia"/>
                <w:szCs w:val="21"/>
              </w:rPr>
            </w:pPr>
          </w:p>
        </w:tc>
        <w:tc>
          <w:tcPr>
            <w:tcW w:w="2222" w:type="dxa"/>
            <w:vAlign w:val="center"/>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524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股东情况：控股投标供应商的股东名单</w:t>
            </w:r>
          </w:p>
        </w:tc>
        <w:tc>
          <w:tcPr>
            <w:tcW w:w="1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2222" w:type="dxa"/>
            <w:vAlign w:val="center"/>
          </w:tcPr>
          <w:p>
            <w:pPr>
              <w:spacing w:line="360" w:lineRule="auto"/>
              <w:jc w:val="center"/>
              <w:rPr>
                <w:rFonts w:asciiTheme="minorEastAsia" w:hAnsiTheme="minorEastAsia" w:eastAsiaTheme="minorEastAsia"/>
                <w:szCs w:val="21"/>
              </w:rPr>
            </w:pPr>
          </w:p>
        </w:tc>
      </w:tr>
    </w:tbl>
    <w:p>
      <w:pPr>
        <w:spacing w:line="360" w:lineRule="auto"/>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注：</w:t>
      </w:r>
    </w:p>
    <w:p>
      <w:pPr>
        <w:spacing w:line="360" w:lineRule="auto"/>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1、响应情况为“是”，需在“名单”栏中提供相应的单位、子公司和股东的名单；响应情况为“否”，在“名单”栏填写“无”；股东情况仅需列明股东名单即可。</w:t>
      </w:r>
    </w:p>
    <w:p>
      <w:pPr>
        <w:spacing w:line="360" w:lineRule="auto"/>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2、管理关系是指：投标供应商与特定企业之间因通过间接控股、投资关系、协议或者其他安排，存在实际管理关系。</w:t>
      </w:r>
    </w:p>
    <w:p>
      <w:pPr>
        <w:spacing w:line="360" w:lineRule="auto"/>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仿宋_GB2312" w:eastAsia="仿宋_GB2312" w:hAnsiTheme="minorEastAsia"/>
          <w:b/>
          <w:i/>
          <w:color w:val="FF0000"/>
          <w:sz w:val="24"/>
        </w:rPr>
      </w:pPr>
      <w:r>
        <w:rPr>
          <w:rFonts w:hint="eastAsia" w:ascii="仿宋_GB2312" w:eastAsia="仿宋_GB2312" w:hAnsiTheme="minorEastAsia"/>
          <w:b/>
          <w:i/>
          <w:color w:val="FF0000"/>
          <w:sz w:val="24"/>
        </w:rPr>
        <w:t>根据《中华人民共和国政府采购法实施条例》第十八条规定：“单位负责人为同一人或者存在直接控股、管理关系的不同供应商，不得参加同一合同项下的政府采购活动。”</w:t>
      </w:r>
    </w:p>
    <w:p>
      <w:pPr>
        <w:spacing w:line="300" w:lineRule="auto"/>
        <w:rPr>
          <w:rFonts w:asciiTheme="minorEastAsia" w:hAnsiTheme="minorEastAsia" w:eastAsiaTheme="minorEastAsia"/>
          <w:szCs w:val="21"/>
        </w:rPr>
      </w:pPr>
    </w:p>
    <w:p>
      <w:pPr>
        <w:spacing w:line="300" w:lineRule="auto"/>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投标单位：（盖章）</w:t>
      </w:r>
    </w:p>
    <w:p>
      <w:pPr>
        <w:spacing w:line="300" w:lineRule="auto"/>
        <w:rPr>
          <w:rFonts w:asciiTheme="minorEastAsia" w:hAnsiTheme="minorEastAsia" w:eastAsiaTheme="minorEastAsia"/>
          <w:snapToGrid w:val="0"/>
          <w:szCs w:val="21"/>
        </w:rPr>
      </w:pPr>
    </w:p>
    <w:p>
      <w:pPr>
        <w:spacing w:line="300" w:lineRule="auto"/>
        <w:rPr>
          <w:rFonts w:asciiTheme="minorEastAsia" w:hAnsiTheme="minorEastAsia" w:eastAsiaTheme="minorEastAsia"/>
          <w:snapToGrid w:val="0"/>
          <w:szCs w:val="21"/>
        </w:rPr>
      </w:pPr>
    </w:p>
    <w:p>
      <w:pPr>
        <w:spacing w:line="300" w:lineRule="auto"/>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授权代表或法定代表人：（签字）</w:t>
      </w:r>
    </w:p>
    <w:p>
      <w:pPr>
        <w:spacing w:line="360" w:lineRule="auto"/>
        <w:ind w:firstLine="600"/>
        <w:jc w:val="right"/>
        <w:rPr>
          <w:b/>
          <w:snapToGrid w:val="0"/>
          <w:sz w:val="32"/>
          <w:szCs w:val="32"/>
        </w:rPr>
      </w:pPr>
      <w:r>
        <w:rPr>
          <w:rFonts w:hint="eastAsia" w:asciiTheme="minorEastAsia" w:hAnsiTheme="minorEastAsia" w:eastAsiaTheme="minorEastAsia"/>
          <w:szCs w:val="21"/>
        </w:rPr>
        <w:t>年     月    日</w:t>
      </w:r>
      <w:r>
        <w:rPr>
          <w:b/>
          <w:snapToGrid w:val="0"/>
          <w:sz w:val="32"/>
          <w:szCs w:val="32"/>
        </w:rPr>
        <w:br w:type="page"/>
      </w:r>
    </w:p>
    <w:p>
      <w:pPr>
        <w:adjustRightInd w:val="0"/>
        <w:snapToGrid w:val="0"/>
        <w:spacing w:line="300" w:lineRule="auto"/>
        <w:jc w:val="center"/>
        <w:rPr>
          <w:b/>
          <w:snapToGrid w:val="0"/>
          <w:sz w:val="32"/>
          <w:szCs w:val="32"/>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napToGrid w:val="0"/>
          <w:kern w:val="0"/>
          <w:sz w:val="24"/>
        </w:rPr>
      </w:pPr>
      <w:r>
        <w:rPr>
          <w:rFonts w:hint="eastAsia" w:asciiTheme="minorEastAsia" w:hAnsiTheme="minorEastAsia" w:eastAsiaTheme="minorEastAsia"/>
          <w:sz w:val="24"/>
        </w:rPr>
        <w:t>格式2  法定代表人证明书及授权委托书</w:t>
      </w:r>
    </w:p>
    <w:p>
      <w:pPr>
        <w:adjustRightInd w:val="0"/>
        <w:snapToGrid w:val="0"/>
        <w:spacing w:line="300" w:lineRule="auto"/>
        <w:jc w:val="center"/>
        <w:rPr>
          <w:b/>
          <w:snapToGrid w:val="0"/>
          <w:sz w:val="32"/>
          <w:szCs w:val="32"/>
        </w:rPr>
      </w:pPr>
    </w:p>
    <w:p>
      <w:pPr>
        <w:tabs>
          <w:tab w:val="left" w:pos="450"/>
        </w:tabs>
        <w:jc w:val="center"/>
        <w:rPr>
          <w:rFonts w:ascii="宋体" w:hAnsi="宋体"/>
          <w:b/>
          <w:sz w:val="28"/>
          <w:szCs w:val="28"/>
        </w:rPr>
      </w:pPr>
      <w:r>
        <w:rPr>
          <w:rFonts w:hint="eastAsia" w:ascii="宋体" w:hAnsi="宋体"/>
          <w:b/>
          <w:sz w:val="28"/>
          <w:szCs w:val="28"/>
        </w:rPr>
        <w:t>法定代表人证明书（参考）</w:t>
      </w:r>
    </w:p>
    <w:p>
      <w:pPr>
        <w:spacing w:line="400" w:lineRule="exact"/>
        <w:rPr>
          <w:rFonts w:ascii="宋体" w:hAnsi="宋体"/>
          <w:bCs/>
          <w:sz w:val="28"/>
        </w:rPr>
      </w:pPr>
    </w:p>
    <w:p>
      <w:pPr>
        <w:tabs>
          <w:tab w:val="left" w:pos="900"/>
        </w:tabs>
        <w:spacing w:line="480" w:lineRule="auto"/>
        <w:ind w:firstLine="945" w:firstLineChars="450"/>
        <w:rPr>
          <w:rFonts w:ascii="宋体" w:hAnsi="宋体"/>
        </w:rPr>
      </w:pPr>
      <w:r>
        <w:rPr>
          <w:rFonts w:hint="eastAsia" w:ascii="宋体" w:hAnsi="宋体"/>
        </w:rPr>
        <w:t>______________同志，现任我单位职务，为法定代表人，特此证明。</w:t>
      </w:r>
    </w:p>
    <w:p>
      <w:pPr>
        <w:spacing w:line="480" w:lineRule="auto"/>
        <w:ind w:firstLine="420" w:firstLineChars="200"/>
        <w:rPr>
          <w:rFonts w:ascii="宋体" w:hAnsi="宋体"/>
        </w:rPr>
      </w:pPr>
      <w:r>
        <w:rPr>
          <w:rFonts w:hint="eastAsia" w:ascii="宋体" w:hAnsi="宋体"/>
        </w:rPr>
        <w:t>有效日期与本公司投标文件中标注的投标有效期相同。签发日期：年月日</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480" w:lineRule="auto"/>
        <w:ind w:firstLine="960" w:firstLineChars="400"/>
        <w:rPr>
          <w:rFonts w:ascii="宋体" w:hAnsi="宋体"/>
          <w:sz w:val="24"/>
        </w:rPr>
      </w:pPr>
    </w:p>
    <w:p>
      <w:pPr>
        <w:spacing w:line="500" w:lineRule="exact"/>
        <w:rPr>
          <w:rFonts w:ascii="宋体"/>
          <w:b/>
          <w:bCs/>
        </w:rPr>
      </w:pPr>
      <w:r>
        <w:rPr>
          <w:rFonts w:ascii="宋体"/>
          <w:b/>
          <w:bCs/>
        </w:rPr>
        <w:pict>
          <v:rect id="Rectangle 5" o:spid="_x0000_s3096" o:spt="1" style="position:absolute;left:0pt;margin-left:250.65pt;margin-top:10.75pt;height:156pt;width:243pt;z-index:251678720;mso-width-relative:page;mso-height-relative:page;" coordsize="21600,21600">
            <v:path/>
            <v:fill focussize="0,0"/>
            <v:stroke/>
            <v:imagedata o:title=""/>
            <o:lock v:ext="edit"/>
            <v:textbox>
              <w:txbxContent>
                <w:p>
                  <w:pPr>
                    <w:ind w:firstLine="1260" w:firstLineChars="600"/>
                  </w:pPr>
                  <w:r>
                    <w:rPr>
                      <w:rFonts w:hint="eastAsia"/>
                    </w:rPr>
                    <w:t xml:space="preserve">     法定代表人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v:textbox>
          </v:rect>
        </w:pict>
      </w:r>
      <w:r>
        <w:rPr>
          <w:rFonts w:ascii="宋体"/>
          <w:b/>
          <w:bCs/>
        </w:rPr>
        <w:pict>
          <v:rect id="Rectangle 4" o:spid="_x0000_s3095" o:spt="1" style="position:absolute;left:0pt;margin-left:-11.85pt;margin-top:10.75pt;height:156pt;width:243pt;z-index:251677696;mso-width-relative:page;mso-height-relative:page;" coordsize="21600,21600">
            <v:path/>
            <v:fill focussize="0,0"/>
            <v:stroke/>
            <v:imagedata o:title=""/>
            <o:lock v:ext="edit"/>
            <v:textbox>
              <w:txbxContent>
                <w:p>
                  <w:pPr>
                    <w:ind w:firstLine="1260" w:firstLineChars="600"/>
                    <w:jc w:val="left"/>
                  </w:pPr>
                  <w:r>
                    <w:rPr>
                      <w:rFonts w:hint="eastAsia"/>
                    </w:rPr>
                    <w:t xml:space="preserve">     法定代表人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v:textbox>
          </v:rect>
        </w:pict>
      </w: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360" w:lineRule="auto"/>
        <w:ind w:firstLine="539" w:firstLineChars="257"/>
      </w:pPr>
    </w:p>
    <w:p>
      <w:pPr>
        <w:spacing w:line="360" w:lineRule="auto"/>
        <w:ind w:firstLine="539" w:firstLineChars="257"/>
      </w:pPr>
      <w:r>
        <w:rPr>
          <w:rFonts w:hint="eastAsia"/>
        </w:rPr>
        <w:t>单位名称：（公章）：</w:t>
      </w:r>
    </w:p>
    <w:p>
      <w:pPr>
        <w:spacing w:line="360" w:lineRule="auto"/>
        <w:ind w:firstLine="539" w:firstLineChars="257"/>
      </w:pPr>
    </w:p>
    <w:p>
      <w:pPr>
        <w:spacing w:line="360" w:lineRule="auto"/>
        <w:ind w:firstLine="539" w:firstLineChars="257"/>
      </w:pPr>
      <w:r>
        <w:rPr>
          <w:rFonts w:hint="eastAsia"/>
        </w:rPr>
        <w:t>日期：年月 日</w:t>
      </w:r>
    </w:p>
    <w:p>
      <w:pPr>
        <w:widowControl/>
        <w:jc w:val="left"/>
        <w:rPr>
          <w:b/>
          <w:bCs/>
          <w:sz w:val="28"/>
        </w:rPr>
      </w:pPr>
      <w:r>
        <w:rPr>
          <w:b/>
          <w:bCs/>
          <w:sz w:val="28"/>
        </w:rPr>
        <w:br w:type="page"/>
      </w:r>
    </w:p>
    <w:p>
      <w:pPr>
        <w:ind w:firstLine="2249" w:firstLineChars="800"/>
        <w:rPr>
          <w:b/>
          <w:bCs/>
          <w:sz w:val="28"/>
        </w:rPr>
      </w:pPr>
    </w:p>
    <w:p>
      <w:pPr>
        <w:jc w:val="center"/>
        <w:rPr>
          <w:b/>
          <w:bCs/>
          <w:sz w:val="28"/>
        </w:rPr>
      </w:pPr>
      <w:r>
        <w:rPr>
          <w:rFonts w:hint="eastAsia"/>
          <w:b/>
          <w:bCs/>
          <w:sz w:val="28"/>
        </w:rPr>
        <w:t>法定代表人授权委托证明书（参考）</w:t>
      </w:r>
    </w:p>
    <w:p/>
    <w:p>
      <w:pPr>
        <w:rPr>
          <w:b/>
          <w:bCs/>
        </w:rPr>
      </w:pPr>
      <w:r>
        <w:rPr>
          <w:rFonts w:hint="eastAsia"/>
        </w:rPr>
        <w:t>深圳市中正招标有限公司</w:t>
      </w:r>
      <w:r>
        <w:rPr>
          <w:rFonts w:hint="eastAsia"/>
          <w:b/>
          <w:bCs/>
        </w:rPr>
        <w:t>：</w:t>
      </w:r>
    </w:p>
    <w:p>
      <w:pPr>
        <w:ind w:firstLine="630"/>
      </w:pPr>
    </w:p>
    <w:p>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u w:val="single"/>
        </w:rPr>
        <w:t xml:space="preserve">（招标项目名称、编号） </w:t>
      </w:r>
      <w:r>
        <w:rPr>
          <w:rFonts w:hint="eastAsia"/>
        </w:rPr>
        <w:t>招标活动，全权代表我单位处理投标的有关事宜。</w:t>
      </w:r>
    </w:p>
    <w:p>
      <w:pPr>
        <w:adjustRightInd w:val="0"/>
        <w:snapToGrid w:val="0"/>
        <w:spacing w:line="360" w:lineRule="auto"/>
        <w:ind w:firstLine="629"/>
      </w:pPr>
    </w:p>
    <w:p>
      <w:pPr>
        <w:ind w:firstLine="630"/>
      </w:pPr>
    </w:p>
    <w:p>
      <w:pPr>
        <w:adjustRightInd w:val="0"/>
        <w:snapToGrid w:val="0"/>
        <w:spacing w:line="360" w:lineRule="auto"/>
        <w:ind w:firstLine="629"/>
        <w:rPr>
          <w:b/>
          <w:bCs/>
        </w:rPr>
      </w:pPr>
      <w:r>
        <w:rPr>
          <w:rFonts w:hint="eastAsia"/>
          <w:b/>
          <w:bCs/>
        </w:rPr>
        <w:t>附授权代表情况：</w:t>
      </w:r>
    </w:p>
    <w:p>
      <w:pPr>
        <w:adjustRightInd w:val="0"/>
        <w:snapToGrid w:val="0"/>
        <w:spacing w:line="360" w:lineRule="auto"/>
        <w:ind w:firstLine="629"/>
      </w:pPr>
      <w:r>
        <w:rPr>
          <w:rFonts w:hint="eastAsia"/>
        </w:rPr>
        <w:t>姓名：            性别：</w:t>
      </w:r>
    </w:p>
    <w:p>
      <w:pPr>
        <w:adjustRightInd w:val="0"/>
        <w:snapToGrid w:val="0"/>
        <w:spacing w:line="360" w:lineRule="auto"/>
        <w:ind w:firstLine="629"/>
        <w:rPr>
          <w:b/>
          <w:bCs/>
        </w:rPr>
      </w:pPr>
      <w:r>
        <w:rPr>
          <w:rFonts w:hint="eastAsia"/>
        </w:rPr>
        <w:t>年龄：</w:t>
      </w:r>
    </w:p>
    <w:p>
      <w:pPr>
        <w:adjustRightInd w:val="0"/>
        <w:snapToGrid w:val="0"/>
        <w:spacing w:line="360" w:lineRule="auto"/>
        <w:ind w:firstLine="629"/>
      </w:pPr>
      <w:r>
        <w:rPr>
          <w:rFonts w:hint="eastAsia"/>
        </w:rPr>
        <w:t>职务：</w:t>
      </w:r>
    </w:p>
    <w:p>
      <w:pPr>
        <w:adjustRightInd w:val="0"/>
        <w:snapToGrid w:val="0"/>
        <w:spacing w:line="360" w:lineRule="auto"/>
        <w:ind w:firstLine="629"/>
      </w:pPr>
      <w:r>
        <w:rPr>
          <w:rFonts w:hint="eastAsia"/>
        </w:rPr>
        <w:t>身份证号码：</w:t>
      </w:r>
    </w:p>
    <w:p>
      <w:pPr>
        <w:adjustRightInd w:val="0"/>
        <w:snapToGrid w:val="0"/>
        <w:spacing w:line="360" w:lineRule="auto"/>
        <w:ind w:firstLine="629"/>
        <w:rPr>
          <w:b/>
          <w:bCs/>
        </w:rPr>
      </w:pPr>
      <w:r>
        <w:rPr>
          <w:rFonts w:hint="eastAsia"/>
        </w:rPr>
        <w:t>邮编：</w:t>
      </w:r>
    </w:p>
    <w:p>
      <w:pPr>
        <w:adjustRightInd w:val="0"/>
        <w:snapToGrid w:val="0"/>
        <w:spacing w:line="360" w:lineRule="auto"/>
        <w:ind w:firstLine="629"/>
      </w:pPr>
      <w:r>
        <w:rPr>
          <w:rFonts w:hint="eastAsia"/>
        </w:rPr>
        <w:t>通讯地址：</w:t>
      </w:r>
    </w:p>
    <w:p>
      <w:pPr>
        <w:adjustRightInd w:val="0"/>
        <w:snapToGrid w:val="0"/>
        <w:spacing w:line="360" w:lineRule="auto"/>
        <w:ind w:firstLine="629"/>
      </w:pPr>
      <w:r>
        <w:rPr>
          <w:rFonts w:hint="eastAsia"/>
        </w:rPr>
        <w:t>电话：</w:t>
      </w:r>
    </w:p>
    <w:p>
      <w:pPr>
        <w:adjustRightInd w:val="0"/>
        <w:snapToGrid w:val="0"/>
        <w:spacing w:line="360" w:lineRule="auto"/>
        <w:ind w:firstLine="629"/>
      </w:pPr>
    </w:p>
    <w:p>
      <w:pPr>
        <w:ind w:firstLine="630"/>
      </w:pPr>
      <w:r>
        <w:rPr>
          <w:rFonts w:hint="eastAsia"/>
        </w:rPr>
        <w:t>单位名称：（公章）</w:t>
      </w:r>
    </w:p>
    <w:p>
      <w:pPr>
        <w:ind w:firstLine="630"/>
      </w:pPr>
    </w:p>
    <w:p>
      <w:pPr>
        <w:ind w:firstLine="630"/>
      </w:pPr>
      <w:r>
        <w:rPr>
          <w:rFonts w:hint="eastAsia"/>
        </w:rPr>
        <w:t>法定代表人：（签字）</w:t>
      </w:r>
    </w:p>
    <w:p>
      <w:pPr>
        <w:ind w:firstLine="630"/>
      </w:pPr>
    </w:p>
    <w:p>
      <w:pPr>
        <w:adjustRightInd w:val="0"/>
        <w:snapToGrid w:val="0"/>
        <w:spacing w:line="300" w:lineRule="auto"/>
        <w:ind w:firstLine="5317" w:firstLineChars="2532"/>
      </w:pPr>
      <w:r>
        <w:rPr>
          <w:rFonts w:hint="eastAsia"/>
        </w:rPr>
        <w:t>年月日</w:t>
      </w:r>
    </w:p>
    <w:p>
      <w:pPr>
        <w:spacing w:line="440" w:lineRule="exact"/>
        <w:rPr>
          <w:rFonts w:ascii="黑体" w:eastAsia="黑体"/>
        </w:rPr>
      </w:pPr>
      <w:bookmarkStart w:id="57" w:name="_Toc226217114"/>
      <w:r>
        <w:rPr>
          <w:rFonts w:ascii="宋体"/>
        </w:rPr>
        <w:pict>
          <v:rect id="Rectangle 2" o:spid="_x0000_s3093" o:spt="1" style="position:absolute;left:0pt;margin-left:-10.35pt;margin-top:5.6pt;height:156pt;width:243pt;z-index:251675648;mso-width-relative:page;mso-height-relative:page;" coordsize="21600,21600">
            <v:path/>
            <v:fill focussize="0,0"/>
            <v:stroke/>
            <v:imagedata o:title=""/>
            <o:lock v:ext="edit"/>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v:textbox>
          </v:rect>
        </w:pict>
      </w:r>
      <w:r>
        <w:rPr>
          <w:rFonts w:ascii="黑体" w:eastAsia="黑体"/>
        </w:rPr>
        <w:pict>
          <v:rect id="Rectangle 3" o:spid="_x0000_s3094" o:spt="1" style="position:absolute;left:0pt;margin-left:249.9pt;margin-top:5.6pt;height:156pt;width:243pt;z-index:251676672;mso-width-relative:page;mso-height-relative:page;" coordsize="21600,21600">
            <v:path/>
            <v:fill focussize="0,0"/>
            <v:stroke/>
            <v:imagedata o:title=""/>
            <o:lock v:ext="edit"/>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v:textbox>
          </v:rect>
        </w:pict>
      </w:r>
      <w:bookmarkEnd w:id="57"/>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tabs>
          <w:tab w:val="left" w:pos="5115"/>
        </w:tabs>
        <w:spacing w:line="440" w:lineRule="exact"/>
        <w:rPr>
          <w:rFonts w:ascii="黑体" w:eastAsia="黑体"/>
        </w:rPr>
      </w:pPr>
      <w:r>
        <w:rPr>
          <w:rFonts w:ascii="黑体" w:eastAsia="黑体"/>
        </w:rPr>
        <w:tab/>
      </w:r>
    </w:p>
    <w:p>
      <w:pPr>
        <w:spacing w:line="440" w:lineRule="exact"/>
        <w:rPr>
          <w:rFonts w:ascii="黑体" w:eastAsia="黑体"/>
        </w:rPr>
      </w:pPr>
    </w:p>
    <w:p>
      <w:pPr>
        <w:adjustRightInd w:val="0"/>
        <w:snapToGrid w:val="0"/>
        <w:spacing w:line="300" w:lineRule="auto"/>
        <w:ind w:firstLine="5008" w:firstLineChars="2385"/>
      </w:pPr>
    </w:p>
    <w:p>
      <w:pPr>
        <w:adjustRightInd w:val="0"/>
        <w:snapToGrid w:val="0"/>
        <w:spacing w:line="300" w:lineRule="auto"/>
      </w:pPr>
    </w:p>
    <w:p>
      <w:pPr>
        <w:adjustRightInd w:val="0"/>
        <w:snapToGrid w:val="0"/>
        <w:spacing w:line="300" w:lineRule="auto"/>
      </w:pPr>
    </w:p>
    <w:p>
      <w:pPr>
        <w:adjustRightInd w:val="0"/>
        <w:snapToGrid w:val="0"/>
        <w:spacing w:line="300" w:lineRule="auto"/>
      </w:pPr>
      <w:r>
        <w:rPr>
          <w:rFonts w:hint="eastAsia" w:asciiTheme="majorEastAsia" w:hAnsiTheme="majorEastAsia" w:eastAsiaTheme="majorEastAsia"/>
          <w:b/>
          <w:sz w:val="24"/>
        </w:rPr>
        <w:t>注：法定代表人证明书和法定代表人授权委托证明书除装订于投标文件中外，还须另置一份按“投标人须知”18.4项要求单独密封。</w:t>
      </w:r>
    </w:p>
    <w:p>
      <w:pPr>
        <w:widowControl/>
        <w:jc w:val="left"/>
      </w:pPr>
      <w:r>
        <w:br w:type="page"/>
      </w:r>
    </w:p>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格式3  投标函</w:t>
      </w:r>
    </w:p>
    <w:p>
      <w:pPr>
        <w:adjustRightInd w:val="0"/>
        <w:snapToGrid w:val="0"/>
        <w:spacing w:line="312" w:lineRule="auto"/>
      </w:pPr>
    </w:p>
    <w:p>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2．我单位提交的投标文件为：投标书正本一份，副本四份，电子备份光盘（或U盘）一份（内容为投标文件正本盖章扫描件）。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4．我单位愿意提供招标代理机构在招标文件中要求的所有资料，且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6．我单位愿按《中华人民共和国民法典》履行自己的全部责任。</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asciiTheme="minorEastAsia" w:hAnsiTheme="minorEastAsia" w:eastAsiaTheme="minorEastAsia"/>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同意中标后向招标代理机构支付招标文件要求数额的中标服务费。</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pPr>
        <w:adjustRightInd w:val="0"/>
        <w:snapToGrid w:val="0"/>
        <w:spacing w:line="360" w:lineRule="auto"/>
        <w:ind w:firstLine="600"/>
      </w:pPr>
    </w:p>
    <w:p>
      <w:pPr>
        <w:adjustRightInd w:val="0"/>
        <w:snapToGrid w:val="0"/>
        <w:spacing w:line="360" w:lineRule="auto"/>
        <w:ind w:firstLine="426"/>
      </w:pPr>
      <w:r>
        <w:t>单    位： （盖章）</w:t>
      </w:r>
    </w:p>
    <w:p>
      <w:pPr>
        <w:adjustRightInd w:val="0"/>
        <w:snapToGrid w:val="0"/>
        <w:spacing w:line="360" w:lineRule="auto"/>
        <w:ind w:firstLine="426"/>
      </w:pPr>
      <w:r>
        <w:rPr>
          <w:rFonts w:hint="eastAsia"/>
        </w:rPr>
        <w:t>授权代表： （签字）</w:t>
      </w:r>
    </w:p>
    <w:p>
      <w:pPr>
        <w:adjustRightInd w:val="0"/>
        <w:snapToGrid w:val="0"/>
        <w:spacing w:line="360" w:lineRule="auto"/>
        <w:ind w:firstLine="426"/>
      </w:pPr>
      <w:r>
        <w:t xml:space="preserve">地    址： </w:t>
      </w:r>
    </w:p>
    <w:p>
      <w:pPr>
        <w:adjustRightInd w:val="0"/>
        <w:snapToGrid w:val="0"/>
        <w:spacing w:line="360" w:lineRule="auto"/>
        <w:ind w:firstLine="426"/>
      </w:pPr>
      <w:r>
        <w:t xml:space="preserve">电    话：     </w:t>
      </w:r>
    </w:p>
    <w:p>
      <w:pPr>
        <w:adjustRightInd w:val="0"/>
        <w:snapToGrid w:val="0"/>
        <w:spacing w:line="360" w:lineRule="auto"/>
        <w:ind w:firstLine="426"/>
      </w:pPr>
      <w:r>
        <w:t>传    真：</w:t>
      </w:r>
    </w:p>
    <w:p>
      <w:pPr>
        <w:adjustRightInd w:val="0"/>
        <w:snapToGrid w:val="0"/>
        <w:spacing w:line="360" w:lineRule="auto"/>
        <w:ind w:firstLine="426"/>
      </w:pPr>
      <w:r>
        <w:t>邮    编：</w:t>
      </w:r>
    </w:p>
    <w:p>
      <w:pPr>
        <w:adjustRightInd w:val="0"/>
        <w:snapToGrid w:val="0"/>
        <w:spacing w:line="360" w:lineRule="auto"/>
        <w:ind w:firstLine="426"/>
      </w:pPr>
      <w:r>
        <w:t xml:space="preserve">联 系 人： </w:t>
      </w:r>
    </w:p>
    <w:p>
      <w:pPr>
        <w:adjustRightInd w:val="0"/>
        <w:snapToGrid w:val="0"/>
        <w:spacing w:line="360" w:lineRule="auto"/>
        <w:ind w:firstLine="600"/>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pacing w:line="300" w:lineRule="auto"/>
        <w:ind w:hanging="2"/>
        <w:jc w:val="center"/>
        <w:rPr>
          <w:b/>
          <w:snapToGrid w:val="0"/>
          <w:kern w:val="0"/>
          <w:sz w:val="28"/>
        </w:rPr>
      </w:pPr>
    </w:p>
    <w:p>
      <w:pPr>
        <w:tabs>
          <w:tab w:val="left" w:pos="450"/>
        </w:tabs>
        <w:adjustRightInd w:val="0"/>
        <w:spacing w:line="300" w:lineRule="auto"/>
        <w:ind w:hanging="2"/>
        <w:rPr>
          <w:b/>
          <w:snapToGrid w:val="0"/>
          <w:kern w:val="0"/>
          <w:sz w:val="28"/>
        </w:rPr>
      </w:pPr>
      <w:r>
        <w:rPr>
          <w:b/>
          <w:snapToGrid w:val="0"/>
          <w:kern w:val="0"/>
          <w:sz w:val="28"/>
        </w:rPr>
        <w:tab/>
      </w:r>
      <w:r>
        <w:rPr>
          <w:rFonts w:asciiTheme="minorEastAsia" w:hAnsiTheme="minorEastAsia" w:eastAsiaTheme="minorEastAsia"/>
          <w:sz w:val="24"/>
        </w:rPr>
        <w:br w:type="page"/>
      </w: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格式4  评分中涉及的承诺及声明函</w:t>
      </w:r>
    </w:p>
    <w:p>
      <w:pPr>
        <w:adjustRightInd w:val="0"/>
        <w:spacing w:line="300" w:lineRule="auto"/>
        <w:ind w:hanging="2"/>
        <w:jc w:val="center"/>
        <w:rPr>
          <w:b/>
          <w:snapToGrid w:val="0"/>
          <w:kern w:val="0"/>
          <w:sz w:val="28"/>
        </w:rPr>
      </w:pPr>
      <w:r>
        <w:rPr>
          <w:rFonts w:hint="eastAsia"/>
          <w:b/>
          <w:snapToGrid w:val="0"/>
          <w:kern w:val="0"/>
          <w:sz w:val="28"/>
        </w:rPr>
        <w:t>诚信承诺函</w:t>
      </w:r>
    </w:p>
    <w:p>
      <w:pPr>
        <w:pStyle w:val="413"/>
        <w:keepNext w:val="0"/>
        <w:adjustRightInd/>
        <w:spacing w:before="0" w:after="0" w:line="240" w:lineRule="auto"/>
        <w:outlineLvl w:val="2"/>
        <w:rPr>
          <w:rFonts w:hAnsi="宋体"/>
          <w:szCs w:val="24"/>
        </w:rPr>
      </w:pPr>
    </w:p>
    <w:p>
      <w:pPr>
        <w:spacing w:line="360" w:lineRule="auto"/>
        <w:rPr>
          <w:rFonts w:cs="Courier New"/>
          <w:snapToGrid w:val="0"/>
          <w:szCs w:val="18"/>
        </w:rPr>
      </w:pPr>
      <w:r>
        <w:rPr>
          <w:rFonts w:hint="eastAsia" w:cs="Courier New"/>
          <w:snapToGrid w:val="0"/>
          <w:szCs w:val="18"/>
        </w:rPr>
        <w:t>深圳市中正招标有限公司：</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p>
    <w:p/>
    <w:p/>
    <w:p>
      <w:pPr>
        <w:adjustRightInd w:val="0"/>
        <w:spacing w:line="300" w:lineRule="auto"/>
        <w:ind w:hanging="2"/>
        <w:jc w:val="center"/>
        <w:rPr>
          <w:b/>
          <w:snapToGrid w:val="0"/>
          <w:kern w:val="0"/>
          <w:sz w:val="28"/>
        </w:rPr>
      </w:pPr>
    </w:p>
    <w:p>
      <w:pPr>
        <w:widowControl/>
        <w:jc w:val="left"/>
        <w:rPr>
          <w:b/>
          <w:snapToGrid w:val="0"/>
          <w:kern w:val="0"/>
          <w:sz w:val="28"/>
        </w:rPr>
      </w:pPr>
      <w:r>
        <w:rPr>
          <w:b/>
          <w:snapToGrid w:val="0"/>
          <w:kern w:val="0"/>
          <w:sz w:val="28"/>
        </w:rPr>
        <w:br w:type="page"/>
      </w:r>
    </w:p>
    <w:p>
      <w:pPr>
        <w:adjustRightInd w:val="0"/>
        <w:spacing w:line="300" w:lineRule="auto"/>
        <w:ind w:hanging="2"/>
        <w:jc w:val="center"/>
        <w:rPr>
          <w:b/>
          <w:snapToGrid w:val="0"/>
          <w:kern w:val="0"/>
          <w:sz w:val="28"/>
        </w:rPr>
      </w:pPr>
    </w:p>
    <w:p>
      <w:pPr>
        <w:pStyle w:val="5"/>
        <w:tabs>
          <w:tab w:val="left" w:pos="0"/>
        </w:tabs>
        <w:jc w:val="center"/>
        <w:rPr>
          <w:rFonts w:ascii="宋体" w:hAnsi="宋体" w:eastAsia="宋体"/>
        </w:rPr>
      </w:pPr>
      <w:r>
        <w:rPr>
          <w:rFonts w:hint="eastAsia" w:ascii="宋体" w:hAnsi="宋体" w:eastAsia="宋体"/>
        </w:rPr>
        <w:t>中小企业声明函</w:t>
      </w:r>
    </w:p>
    <w:p>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提供的货物全部由符合政策要求的中小企业制造</w:t>
      </w:r>
      <w:r>
        <w:rPr>
          <w:rFonts w:asciiTheme="minorEastAsia" w:hAnsiTheme="minorEastAsia" w:eastAsiaTheme="minorEastAsia"/>
          <w:szCs w:val="21"/>
        </w:rPr>
        <w:t>。相关企业（含联合体中的中小企业、签订分包意向协议的中小企业）的具体情况如下：</w:t>
      </w:r>
    </w:p>
    <w:p>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ab/>
      </w:r>
      <w:r>
        <w:rPr>
          <w:rFonts w:asciiTheme="minorEastAsia" w:hAnsiTheme="minorEastAsia" w:eastAsiaTheme="minorEastAsia"/>
          <w:szCs w:val="21"/>
        </w:rPr>
        <w:t>万元，资产总额为万元，属于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ab/>
      </w:r>
      <w:r>
        <w:rPr>
          <w:rFonts w:asciiTheme="minorEastAsia" w:hAnsiTheme="minorEastAsia" w:eastAsiaTheme="minorEastAsia"/>
          <w:szCs w:val="21"/>
        </w:rPr>
        <w:t>万元，资产总额为万元，属于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pPr>
        <w:pStyle w:val="20"/>
        <w:spacing w:before="108" w:line="304" w:lineRule="auto"/>
        <w:ind w:right="-1" w:firstLine="408"/>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rPr>
          <w:rFonts w:ascii="宋体" w:hAnsi="宋体"/>
          <w:szCs w:val="21"/>
        </w:rPr>
      </w:pPr>
      <w:r>
        <w:rPr>
          <w:rFonts w:hint="eastAsia" w:ascii="宋体" w:hAnsi="宋体"/>
          <w:szCs w:val="21"/>
        </w:rPr>
        <w:t>备注：</w:t>
      </w:r>
    </w:p>
    <w:p>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相关规定。如不符合前述相关规定所确定的</w:t>
      </w:r>
      <w:r>
        <w:rPr>
          <w:rFonts w:hint="eastAsia" w:ascii="宋体" w:hAnsi="宋体"/>
          <w:b/>
          <w:szCs w:val="21"/>
        </w:rPr>
        <w:t>小型和微型企业</w:t>
      </w:r>
      <w:r>
        <w:rPr>
          <w:rFonts w:hint="eastAsia" w:ascii="宋体" w:hAnsi="宋体"/>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pPr>
        <w:spacing w:line="360" w:lineRule="auto"/>
        <w:ind w:firstLine="420" w:firstLineChars="200"/>
        <w:rPr>
          <w:rFonts w:ascii="宋体" w:hAnsi="宋体"/>
          <w:szCs w:val="21"/>
        </w:rPr>
      </w:pPr>
      <w:r>
        <w:rPr>
          <w:rFonts w:hint="eastAsia" w:ascii="宋体" w:hAnsi="宋体"/>
          <w:szCs w:val="21"/>
        </w:rPr>
        <w:t>3、供应商提供的货物既有中小企业制造货物，也有大型企业制造货物的，不享受中小企业扶持政策。</w:t>
      </w:r>
    </w:p>
    <w:p>
      <w:pPr>
        <w:pStyle w:val="5"/>
        <w:tabs>
          <w:tab w:val="left" w:pos="0"/>
        </w:tabs>
        <w:jc w:val="center"/>
        <w:rPr>
          <w:rFonts w:ascii="宋体" w:hAnsi="宋体" w:eastAsia="宋体"/>
        </w:rPr>
      </w:pPr>
      <w:r>
        <w:rPr>
          <w:rFonts w:hint="eastAsia" w:ascii="宋体" w:hAnsi="宋体" w:eastAsia="宋体"/>
        </w:rPr>
        <w:t>监狱企业声明函</w:t>
      </w:r>
    </w:p>
    <w:p>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jc w:val="right"/>
        <w:rPr>
          <w:rFonts w:ascii="宋体" w:hAnsi="宋体"/>
          <w:szCs w:val="21"/>
        </w:rPr>
      </w:pPr>
    </w:p>
    <w:p>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pPr>
        <w:spacing w:line="360" w:lineRule="auto"/>
        <w:ind w:left="723" w:hanging="723" w:hangingChars="300"/>
        <w:rPr>
          <w:b/>
          <w:sz w:val="24"/>
        </w:rPr>
      </w:pPr>
    </w:p>
    <w:p>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pStyle w:val="5"/>
        <w:tabs>
          <w:tab w:val="left" w:pos="0"/>
        </w:tabs>
        <w:jc w:val="center"/>
        <w:rPr>
          <w:rFonts w:ascii="宋体" w:hAnsi="宋体" w:eastAsia="宋体"/>
        </w:rPr>
      </w:pPr>
      <w:r>
        <w:rPr>
          <w:rFonts w:hint="eastAsia" w:ascii="宋体" w:hAnsi="宋体" w:eastAsia="宋体"/>
        </w:rPr>
        <w:t>残疾人福利性单位声明函</w:t>
      </w: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jc w:val="left"/>
        <w:rPr>
          <w:rFonts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pPr>
        <w:pStyle w:val="5"/>
        <w:tabs>
          <w:tab w:val="left" w:pos="0"/>
        </w:tabs>
        <w:jc w:val="center"/>
        <w:rPr>
          <w:rFonts w:ascii="宋体" w:hAnsi="宋体" w:eastAsia="宋体"/>
        </w:rPr>
      </w:pPr>
      <w:r>
        <w:rPr>
          <w:rFonts w:hint="eastAsia" w:ascii="宋体" w:hAnsi="宋体" w:eastAsia="宋体"/>
        </w:rPr>
        <w:t>列入政府优先采购清单的投标产品一览表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989"/>
        <w:gridCol w:w="1080"/>
        <w:gridCol w:w="1464"/>
        <w:gridCol w:w="1503"/>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restart"/>
            <w:vAlign w:val="center"/>
          </w:tcPr>
          <w:p>
            <w:pPr>
              <w:rPr>
                <w:b/>
                <w:szCs w:val="21"/>
              </w:rPr>
            </w:pPr>
            <w:r>
              <w:rPr>
                <w:rFonts w:hint="eastAsia"/>
                <w:b/>
                <w:szCs w:val="21"/>
              </w:rPr>
              <w:t>序号</w:t>
            </w:r>
          </w:p>
        </w:tc>
        <w:tc>
          <w:tcPr>
            <w:tcW w:w="1213" w:type="dxa"/>
            <w:vMerge w:val="restart"/>
            <w:vAlign w:val="center"/>
          </w:tcPr>
          <w:p>
            <w:pPr>
              <w:jc w:val="center"/>
              <w:rPr>
                <w:b/>
                <w:szCs w:val="21"/>
              </w:rPr>
            </w:pPr>
            <w:r>
              <w:rPr>
                <w:rFonts w:hint="eastAsia"/>
                <w:b/>
                <w:szCs w:val="21"/>
              </w:rPr>
              <w:t>投标产品名称</w:t>
            </w:r>
          </w:p>
        </w:tc>
        <w:tc>
          <w:tcPr>
            <w:tcW w:w="1840" w:type="dxa"/>
            <w:vMerge w:val="restart"/>
            <w:vAlign w:val="center"/>
          </w:tcPr>
          <w:p>
            <w:pPr>
              <w:jc w:val="center"/>
              <w:rPr>
                <w:b/>
                <w:szCs w:val="21"/>
              </w:rPr>
            </w:pPr>
            <w:r>
              <w:rPr>
                <w:rFonts w:hint="eastAsia"/>
                <w:b/>
                <w:szCs w:val="21"/>
              </w:rPr>
              <w:t>规格及型号</w:t>
            </w:r>
          </w:p>
        </w:tc>
        <w:tc>
          <w:tcPr>
            <w:tcW w:w="4351" w:type="dxa"/>
            <w:gridSpan w:val="4"/>
          </w:tcPr>
          <w:p>
            <w:pPr>
              <w:jc w:val="center"/>
              <w:rPr>
                <w:b/>
                <w:szCs w:val="21"/>
              </w:rPr>
            </w:pPr>
            <w:r>
              <w:rPr>
                <w:rFonts w:hint="eastAsia"/>
                <w:b/>
                <w:szCs w:val="21"/>
              </w:rPr>
              <w:t>该投标产品报价及占投标总价的比例</w:t>
            </w:r>
          </w:p>
        </w:tc>
        <w:tc>
          <w:tcPr>
            <w:tcW w:w="1503" w:type="dxa"/>
            <w:vMerge w:val="restart"/>
            <w:vAlign w:val="center"/>
          </w:tcPr>
          <w:p>
            <w:pPr>
              <w:rPr>
                <w:b/>
                <w:szCs w:val="21"/>
              </w:rPr>
            </w:pPr>
            <w:r>
              <w:rPr>
                <w:rFonts w:hint="eastAsia"/>
                <w:b/>
                <w:szCs w:val="21"/>
              </w:rPr>
              <w:t>属于优先采购清单的类别</w:t>
            </w:r>
          </w:p>
        </w:tc>
        <w:tc>
          <w:tcPr>
            <w:tcW w:w="720" w:type="dxa"/>
            <w:vMerge w:val="restart"/>
            <w:vAlign w:val="center"/>
          </w:tcPr>
          <w:p>
            <w:pP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pPr>
              <w:rPr>
                <w:szCs w:val="21"/>
              </w:rPr>
            </w:pPr>
          </w:p>
        </w:tc>
        <w:tc>
          <w:tcPr>
            <w:tcW w:w="1213" w:type="dxa"/>
            <w:vMerge w:val="continue"/>
            <w:vAlign w:val="center"/>
          </w:tcPr>
          <w:p>
            <w:pPr>
              <w:rPr>
                <w:szCs w:val="21"/>
              </w:rPr>
            </w:pPr>
          </w:p>
        </w:tc>
        <w:tc>
          <w:tcPr>
            <w:tcW w:w="1840" w:type="dxa"/>
            <w:vMerge w:val="continue"/>
            <w:vAlign w:val="center"/>
          </w:tcPr>
          <w:p>
            <w:pPr>
              <w:rPr>
                <w:szCs w:val="21"/>
              </w:rPr>
            </w:pPr>
          </w:p>
        </w:tc>
        <w:tc>
          <w:tcPr>
            <w:tcW w:w="818" w:type="dxa"/>
            <w:vAlign w:val="center"/>
          </w:tcPr>
          <w:p>
            <w:pPr>
              <w:rPr>
                <w:szCs w:val="21"/>
              </w:rPr>
            </w:pPr>
            <w:r>
              <w:rPr>
                <w:rFonts w:hint="eastAsia"/>
                <w:szCs w:val="21"/>
              </w:rPr>
              <w:t>数量</w:t>
            </w:r>
          </w:p>
        </w:tc>
        <w:tc>
          <w:tcPr>
            <w:tcW w:w="989" w:type="dxa"/>
            <w:vAlign w:val="center"/>
          </w:tcPr>
          <w:p>
            <w:pPr>
              <w:rPr>
                <w:szCs w:val="21"/>
              </w:rPr>
            </w:pPr>
            <w:r>
              <w:rPr>
                <w:rFonts w:hint="eastAsia"/>
                <w:szCs w:val="21"/>
              </w:rPr>
              <w:t>投标单价（元）</w:t>
            </w:r>
          </w:p>
        </w:tc>
        <w:tc>
          <w:tcPr>
            <w:tcW w:w="1080" w:type="dxa"/>
            <w:vAlign w:val="center"/>
          </w:tcPr>
          <w:p>
            <w:pPr>
              <w:rPr>
                <w:szCs w:val="21"/>
              </w:rPr>
            </w:pPr>
            <w:r>
              <w:rPr>
                <w:rFonts w:hint="eastAsia"/>
                <w:szCs w:val="21"/>
              </w:rPr>
              <w:t>投标合计报价（元）</w:t>
            </w:r>
          </w:p>
        </w:tc>
        <w:tc>
          <w:tcPr>
            <w:tcW w:w="1464" w:type="dxa"/>
            <w:vAlign w:val="center"/>
          </w:tcPr>
          <w:p>
            <w:pPr>
              <w:rPr>
                <w:szCs w:val="21"/>
              </w:rPr>
            </w:pPr>
            <w:r>
              <w:rPr>
                <w:rFonts w:hint="eastAsia"/>
                <w:szCs w:val="21"/>
              </w:rPr>
              <w:t>占投标总价的比例（%）</w:t>
            </w:r>
          </w:p>
        </w:tc>
        <w:tc>
          <w:tcPr>
            <w:tcW w:w="1503" w:type="dxa"/>
            <w:vMerge w:val="continue"/>
            <w:vAlign w:val="center"/>
          </w:tcPr>
          <w:p>
            <w:pPr>
              <w:rPr>
                <w:szCs w:val="21"/>
              </w:rPr>
            </w:pPr>
          </w:p>
        </w:tc>
        <w:tc>
          <w:tcPr>
            <w:tcW w:w="720"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rPr>
                <w:rFonts w:ascii="宋体" w:hAnsi="宋体"/>
                <w:szCs w:val="21"/>
              </w:rPr>
            </w:pPr>
            <w:r>
              <w:rPr>
                <w:rFonts w:hint="eastAsia" w:ascii="宋体" w:hAnsi="宋体"/>
                <w:szCs w:val="21"/>
              </w:rPr>
              <w:t>1</w:t>
            </w:r>
          </w:p>
        </w:tc>
        <w:tc>
          <w:tcPr>
            <w:tcW w:w="1213" w:type="dxa"/>
          </w:tcPr>
          <w:p>
            <w:pPr>
              <w:rPr>
                <w:szCs w:val="21"/>
              </w:rPr>
            </w:pPr>
          </w:p>
        </w:tc>
        <w:tc>
          <w:tcPr>
            <w:tcW w:w="1840" w:type="dxa"/>
          </w:tcPr>
          <w:p>
            <w:pPr>
              <w:rPr>
                <w:szCs w:val="21"/>
              </w:rPr>
            </w:pPr>
          </w:p>
        </w:tc>
        <w:tc>
          <w:tcPr>
            <w:tcW w:w="818" w:type="dxa"/>
          </w:tcPr>
          <w:p>
            <w:pPr>
              <w:rPr>
                <w:szCs w:val="21"/>
              </w:rPr>
            </w:pPr>
          </w:p>
        </w:tc>
        <w:tc>
          <w:tcPr>
            <w:tcW w:w="989" w:type="dxa"/>
          </w:tcPr>
          <w:p>
            <w:pPr>
              <w:rPr>
                <w:szCs w:val="21"/>
              </w:rPr>
            </w:pPr>
          </w:p>
        </w:tc>
        <w:tc>
          <w:tcPr>
            <w:tcW w:w="1080" w:type="dxa"/>
          </w:tcPr>
          <w:p>
            <w:pPr>
              <w:rPr>
                <w:szCs w:val="21"/>
              </w:rPr>
            </w:pPr>
          </w:p>
        </w:tc>
        <w:tc>
          <w:tcPr>
            <w:tcW w:w="1464" w:type="dxa"/>
          </w:tcPr>
          <w:p>
            <w:pPr>
              <w:rPr>
                <w:szCs w:val="21"/>
              </w:rPr>
            </w:pPr>
          </w:p>
        </w:tc>
        <w:tc>
          <w:tcPr>
            <w:tcW w:w="1503" w:type="dxa"/>
          </w:tcPr>
          <w:p>
            <w:pPr>
              <w:rPr>
                <w:szCs w:val="21"/>
              </w:rPr>
            </w:pPr>
          </w:p>
        </w:tc>
        <w:tc>
          <w:tcPr>
            <w:tcW w:w="720"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rPr>
                <w:rFonts w:ascii="宋体" w:hAnsi="宋体"/>
                <w:szCs w:val="21"/>
              </w:rPr>
            </w:pPr>
            <w:r>
              <w:rPr>
                <w:rFonts w:hint="eastAsia" w:ascii="宋体" w:hAnsi="宋体"/>
                <w:szCs w:val="21"/>
              </w:rPr>
              <w:t>2</w:t>
            </w:r>
          </w:p>
        </w:tc>
        <w:tc>
          <w:tcPr>
            <w:tcW w:w="1213" w:type="dxa"/>
          </w:tcPr>
          <w:p>
            <w:pPr>
              <w:rPr>
                <w:szCs w:val="21"/>
              </w:rPr>
            </w:pPr>
          </w:p>
        </w:tc>
        <w:tc>
          <w:tcPr>
            <w:tcW w:w="1840" w:type="dxa"/>
          </w:tcPr>
          <w:p>
            <w:pPr>
              <w:rPr>
                <w:szCs w:val="21"/>
              </w:rPr>
            </w:pPr>
          </w:p>
        </w:tc>
        <w:tc>
          <w:tcPr>
            <w:tcW w:w="818" w:type="dxa"/>
          </w:tcPr>
          <w:p>
            <w:pPr>
              <w:rPr>
                <w:szCs w:val="21"/>
              </w:rPr>
            </w:pPr>
          </w:p>
        </w:tc>
        <w:tc>
          <w:tcPr>
            <w:tcW w:w="989" w:type="dxa"/>
          </w:tcPr>
          <w:p>
            <w:pPr>
              <w:rPr>
                <w:szCs w:val="21"/>
              </w:rPr>
            </w:pPr>
          </w:p>
        </w:tc>
        <w:tc>
          <w:tcPr>
            <w:tcW w:w="1080" w:type="dxa"/>
          </w:tcPr>
          <w:p>
            <w:pPr>
              <w:rPr>
                <w:szCs w:val="21"/>
              </w:rPr>
            </w:pPr>
          </w:p>
        </w:tc>
        <w:tc>
          <w:tcPr>
            <w:tcW w:w="1464" w:type="dxa"/>
          </w:tcPr>
          <w:p>
            <w:pPr>
              <w:rPr>
                <w:szCs w:val="21"/>
              </w:rPr>
            </w:pPr>
          </w:p>
        </w:tc>
        <w:tc>
          <w:tcPr>
            <w:tcW w:w="1503" w:type="dxa"/>
          </w:tcPr>
          <w:p>
            <w:pPr>
              <w:rPr>
                <w:szCs w:val="21"/>
              </w:rPr>
            </w:pPr>
          </w:p>
        </w:tc>
        <w:tc>
          <w:tcPr>
            <w:tcW w:w="720" w:type="dxa"/>
          </w:tcPr>
          <w:p>
            <w:pPr>
              <w:rPr>
                <w:szCs w:val="21"/>
              </w:rPr>
            </w:pPr>
          </w:p>
        </w:tc>
      </w:tr>
    </w:tbl>
    <w:p>
      <w:pPr>
        <w:spacing w:line="360" w:lineRule="auto"/>
        <w:rPr>
          <w:szCs w:val="21"/>
        </w:rPr>
      </w:pPr>
      <w:r>
        <w:rPr>
          <w:rFonts w:hint="eastAsia"/>
          <w:szCs w:val="21"/>
        </w:rPr>
        <w:t>注</w:t>
      </w:r>
      <w:r>
        <w:rPr>
          <w:rFonts w:hint="eastAsia" w:ascii="宋体" w:hAnsi="宋体"/>
          <w:szCs w:val="21"/>
        </w:rPr>
        <w:t xml:space="preserve">：1. </w:t>
      </w:r>
      <w:r>
        <w:rPr>
          <w:rFonts w:hint="eastAsia"/>
          <w:szCs w:val="21"/>
        </w:rPr>
        <w:t>投标人的投标产品若不属于招标文件第四章“政府采购</w:t>
      </w:r>
      <w:r>
        <w:rPr>
          <w:rFonts w:hint="eastAsia"/>
          <w:bCs/>
          <w:szCs w:val="21"/>
        </w:rPr>
        <w:t>优惠政策”</w:t>
      </w:r>
      <w:r>
        <w:rPr>
          <w:rFonts w:hint="eastAsia"/>
          <w:szCs w:val="21"/>
        </w:rPr>
        <w:t>中所述清单或目录范围内，则无需填写该表。</w:t>
      </w:r>
    </w:p>
    <w:p>
      <w:pPr>
        <w:spacing w:line="360" w:lineRule="auto"/>
        <w:rPr>
          <w:rFonts w:ascii="宋体" w:hAnsi="宋体"/>
          <w:szCs w:val="21"/>
        </w:rPr>
      </w:pPr>
      <w:r>
        <w:rPr>
          <w:rFonts w:hint="eastAsia" w:ascii="宋体" w:hAnsi="宋体"/>
          <w:szCs w:val="21"/>
        </w:rPr>
        <w:t>2. “该投标产品报价及占投标总价的比例”栏中须准确填报该投标产品的投标单价、数量、投标合计报价及占</w:t>
      </w:r>
      <w:r>
        <w:rPr>
          <w:rFonts w:hint="eastAsia"/>
          <w:szCs w:val="21"/>
        </w:rPr>
        <w:t>投标总</w:t>
      </w:r>
      <w:r>
        <w:rPr>
          <w:rFonts w:hint="eastAsia" w:ascii="宋体" w:hAnsi="宋体"/>
          <w:szCs w:val="21"/>
        </w:rPr>
        <w:t>价的比例。</w:t>
      </w:r>
    </w:p>
    <w:p>
      <w:pPr>
        <w:spacing w:line="360" w:lineRule="auto"/>
        <w:rPr>
          <w:rFonts w:ascii="宋体" w:hAnsi="宋体"/>
          <w:szCs w:val="21"/>
        </w:rPr>
      </w:pPr>
      <w:r>
        <w:rPr>
          <w:rFonts w:hint="eastAsia" w:ascii="宋体" w:hAnsi="宋体"/>
          <w:szCs w:val="21"/>
        </w:rPr>
        <w:t>3. “属于优先采购清单的类别”栏中填写“《节能产品政府采购品目清单》”、“《环境标志产品政府采购品目清单》”（以</w:t>
      </w:r>
      <w:r>
        <w:rPr>
          <w:rFonts w:hint="eastAsia" w:ascii="宋体" w:hAnsi="宋体"/>
          <w:bCs/>
          <w:szCs w:val="21"/>
        </w:rPr>
        <w:t>中国政府采购网（http://www.ccgp.gov.cn/）最新一期查询结果为准</w:t>
      </w:r>
      <w:r>
        <w:rPr>
          <w:rFonts w:hint="eastAsia" w:ascii="宋体" w:hAnsi="宋体"/>
          <w:szCs w:val="21"/>
        </w:rPr>
        <w:t>）。</w:t>
      </w:r>
    </w:p>
    <w:p>
      <w:pPr>
        <w:spacing w:line="360" w:lineRule="auto"/>
        <w:jc w:val="left"/>
      </w:pPr>
      <w:r>
        <w:rPr>
          <w:rFonts w:hint="eastAsia" w:ascii="宋体" w:hAnsi="宋体"/>
          <w:b/>
          <w:szCs w:val="21"/>
        </w:rPr>
        <w:t>4. 对上表所列</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left"/>
      </w:pPr>
    </w:p>
    <w:p>
      <w:pPr>
        <w:adjustRightInd w:val="0"/>
        <w:snapToGrid w:val="0"/>
        <w:spacing w:line="360" w:lineRule="auto"/>
        <w:ind w:firstLine="600"/>
        <w:jc w:val="left"/>
      </w:pPr>
    </w:p>
    <w:p>
      <w:pPr>
        <w:widowControl/>
        <w:jc w:val="left"/>
      </w:pPr>
      <w:r>
        <w:br w:type="page"/>
      </w:r>
    </w:p>
    <w:p>
      <w:pPr>
        <w:adjustRightInd w:val="0"/>
        <w:snapToGrid w:val="0"/>
        <w:spacing w:line="360" w:lineRule="auto"/>
        <w:ind w:firstLine="600"/>
        <w:jc w:val="left"/>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58" w:name="_Toc44690706"/>
      <w:bookmarkStart w:id="59" w:name="_Toc44690433"/>
      <w:bookmarkStart w:id="60" w:name="_Toc44691165"/>
      <w:bookmarkStart w:id="61" w:name="_Toc44691397"/>
      <w:r>
        <w:rPr>
          <w:rFonts w:hint="eastAsia" w:asciiTheme="minorEastAsia" w:hAnsiTheme="minorEastAsia" w:eastAsiaTheme="minorEastAsia"/>
          <w:sz w:val="24"/>
        </w:rPr>
        <w:t>格式5  开标一览表</w:t>
      </w:r>
      <w:bookmarkEnd w:id="58"/>
      <w:bookmarkEnd w:id="59"/>
      <w:bookmarkEnd w:id="60"/>
      <w:bookmarkEnd w:id="61"/>
    </w:p>
    <w:p>
      <w:pPr>
        <w:adjustRightInd w:val="0"/>
        <w:snapToGrid w:val="0"/>
        <w:spacing w:line="360" w:lineRule="auto"/>
        <w:rPr>
          <w:bCs/>
          <w:snapToGrid w:val="0"/>
          <w:kern w:val="0"/>
        </w:rPr>
      </w:pPr>
    </w:p>
    <w:p>
      <w:pPr>
        <w:adjustRightInd w:val="0"/>
        <w:snapToGrid w:val="0"/>
        <w:spacing w:line="360" w:lineRule="auto"/>
        <w:rPr>
          <w:bCs/>
          <w:snapToGrid w:val="0"/>
          <w:kern w:val="0"/>
        </w:rPr>
      </w:pPr>
      <w:r>
        <w:rPr>
          <w:bCs/>
          <w:snapToGrid w:val="0"/>
          <w:kern w:val="0"/>
        </w:rPr>
        <w:t>项目名称：</w:t>
      </w:r>
    </w:p>
    <w:p>
      <w:pPr>
        <w:adjustRightInd w:val="0"/>
        <w:snapToGrid w:val="0"/>
        <w:spacing w:line="360" w:lineRule="auto"/>
        <w:rPr>
          <w:bCs/>
          <w:snapToGrid w:val="0"/>
          <w:kern w:val="0"/>
        </w:rPr>
      </w:pPr>
      <w:r>
        <w:rPr>
          <w:rFonts w:hint="eastAsia"/>
          <w:bCs/>
          <w:snapToGrid w:val="0"/>
          <w:kern w:val="0"/>
        </w:rPr>
        <w:t>项目</w:t>
      </w:r>
      <w:r>
        <w:rPr>
          <w:bCs/>
          <w:snapToGrid w:val="0"/>
          <w:kern w:val="0"/>
        </w:rPr>
        <w:t>编号：</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4396"/>
        <w:gridCol w:w="226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976"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项目名称</w:t>
            </w:r>
          </w:p>
        </w:tc>
        <w:tc>
          <w:tcPr>
            <w:tcW w:w="4396"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pPr>
              <w:adjustRightInd w:val="0"/>
              <w:snapToGrid w:val="0"/>
              <w:spacing w:line="360" w:lineRule="auto"/>
              <w:jc w:val="center"/>
              <w:rPr>
                <w:snapToGrid w:val="0"/>
                <w:kern w:val="0"/>
              </w:rPr>
            </w:pPr>
            <w:r>
              <w:rPr>
                <w:snapToGrid w:val="0"/>
                <w:kern w:val="0"/>
              </w:rPr>
              <w:t>（人民币元）</w:t>
            </w:r>
          </w:p>
        </w:tc>
        <w:tc>
          <w:tcPr>
            <w:tcW w:w="2261"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rFonts w:hint="eastAsia"/>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2976" w:type="dxa"/>
            <w:tcBorders>
              <w:top w:val="single" w:color="auto" w:sz="4" w:space="0"/>
            </w:tcBorders>
            <w:vAlign w:val="center"/>
          </w:tcPr>
          <w:p>
            <w:pPr>
              <w:adjustRightInd w:val="0"/>
              <w:snapToGrid w:val="0"/>
              <w:spacing w:line="360" w:lineRule="auto"/>
              <w:jc w:val="center"/>
            </w:pPr>
          </w:p>
        </w:tc>
        <w:tc>
          <w:tcPr>
            <w:tcW w:w="4396" w:type="dxa"/>
            <w:tcBorders>
              <w:top w:val="single" w:color="auto" w:sz="4" w:space="0"/>
            </w:tcBorders>
            <w:vAlign w:val="center"/>
          </w:tcPr>
          <w:p>
            <w:pPr>
              <w:adjustRightInd w:val="0"/>
              <w:snapToGrid w:val="0"/>
              <w:spacing w:line="360" w:lineRule="auto"/>
              <w:rPr>
                <w:snapToGrid w:val="0"/>
                <w:kern w:val="0"/>
                <w:u w:val="single"/>
              </w:rPr>
            </w:pPr>
            <w:r>
              <w:rPr>
                <w:snapToGrid w:val="0"/>
                <w:kern w:val="0"/>
              </w:rPr>
              <w:t>大写：</w:t>
            </w:r>
          </w:p>
          <w:p>
            <w:pPr>
              <w:adjustRightInd w:val="0"/>
              <w:snapToGrid w:val="0"/>
              <w:spacing w:line="360" w:lineRule="auto"/>
              <w:rPr>
                <w:snapToGrid w:val="0"/>
                <w:kern w:val="0"/>
                <w:u w:val="single"/>
              </w:rPr>
            </w:pPr>
            <w:r>
              <w:rPr>
                <w:snapToGrid w:val="0"/>
                <w:kern w:val="0"/>
              </w:rPr>
              <w:t>小写：</w:t>
            </w:r>
          </w:p>
        </w:tc>
        <w:tc>
          <w:tcPr>
            <w:tcW w:w="2261" w:type="dxa"/>
            <w:tcBorders>
              <w:top w:val="single" w:color="auto" w:sz="4" w:space="0"/>
            </w:tcBorders>
            <w:vAlign w:val="center"/>
          </w:tcPr>
          <w:p>
            <w:pPr>
              <w:adjustRightInd w:val="0"/>
              <w:snapToGrid w:val="0"/>
              <w:spacing w:line="360" w:lineRule="auto"/>
              <w:jc w:val="center"/>
              <w:rPr>
                <w:snapToGrid w:val="0"/>
                <w:kern w:val="0"/>
              </w:rPr>
            </w:pPr>
          </w:p>
        </w:tc>
      </w:tr>
    </w:tbl>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投标单位：（盖章）</w:t>
      </w:r>
    </w:p>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法定代表人或授权代表：（签字）</w:t>
      </w:r>
    </w:p>
    <w:p>
      <w:pPr>
        <w:adjustRightInd w:val="0"/>
        <w:snapToGrid w:val="0"/>
        <w:spacing w:line="360" w:lineRule="auto"/>
        <w:ind w:firstLine="6825" w:firstLineChars="3250"/>
        <w:rPr>
          <w:snapToGrid w:val="0"/>
          <w:kern w:val="0"/>
        </w:rPr>
      </w:pPr>
      <w:r>
        <w:rPr>
          <w:snapToGrid w:val="0"/>
          <w:kern w:val="0"/>
        </w:rPr>
        <w:t>年    月    日</w:t>
      </w:r>
    </w:p>
    <w:p>
      <w:pPr>
        <w:adjustRightInd w:val="0"/>
        <w:snapToGrid w:val="0"/>
        <w:spacing w:line="360" w:lineRule="auto"/>
        <w:ind w:firstLine="1050" w:firstLineChars="500"/>
        <w:rPr>
          <w:snapToGrid w:val="0"/>
          <w:kern w:val="0"/>
        </w:rPr>
      </w:pPr>
    </w:p>
    <w:p>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pPr>
        <w:adjustRightInd w:val="0"/>
        <w:spacing w:line="312" w:lineRule="auto"/>
        <w:ind w:left="2" w:firstLine="424" w:firstLineChars="202"/>
        <w:rPr>
          <w:rFonts w:ascii="宋体" w:hAnsi="宋体"/>
          <w:bCs/>
        </w:rPr>
      </w:pPr>
      <w:r>
        <w:rPr>
          <w:rFonts w:ascii="宋体" w:hAnsi="宋体"/>
          <w:bCs/>
        </w:rPr>
        <w:t>2、</w:t>
      </w:r>
      <w:r>
        <w:rPr>
          <w:rFonts w:hint="eastAsia" w:ascii="宋体" w:hAnsi="宋体"/>
          <w:bCs/>
        </w:rPr>
        <w:t>投标</w:t>
      </w:r>
      <w:r>
        <w:rPr>
          <w:rFonts w:hint="eastAsia"/>
          <w:snapToGrid w:val="0"/>
          <w:kern w:val="0"/>
        </w:rPr>
        <w:t>总</w:t>
      </w:r>
      <w:r>
        <w:rPr>
          <w:rFonts w:hint="eastAsia" w:ascii="宋体" w:hAnsi="宋体"/>
          <w:bCs/>
        </w:rPr>
        <w:t>价必须是完成该项目的一切费用总和，包括设备费、运输费、装卸费、安装费、调试费、保险费、技术培训费、售后服务费、国家规定的各项税费等全部费用。</w:t>
      </w:r>
    </w:p>
    <w:p>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pPr>
        <w:adjustRightInd w:val="0"/>
        <w:spacing w:line="312" w:lineRule="auto"/>
        <w:ind w:firstLine="437"/>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pPr>
        <w:pStyle w:val="28"/>
        <w:adjustRightInd w:val="0"/>
        <w:snapToGrid w:val="0"/>
        <w:spacing w:line="312" w:lineRule="auto"/>
        <w:jc w:val="center"/>
        <w:rPr>
          <w:rFonts w:ascii="Times New Roman" w:hAnsi="Times New Roman"/>
          <w:b/>
          <w:sz w:val="28"/>
        </w:rPr>
      </w:pPr>
    </w:p>
    <w:p/>
    <w:p/>
    <w:p/>
    <w:p/>
    <w:p>
      <w:pPr>
        <w:widowControl/>
        <w:jc w:val="left"/>
      </w:pPr>
      <w:r>
        <w:br w:type="page"/>
      </w:r>
    </w:p>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62" w:name="_Toc44690707"/>
      <w:bookmarkStart w:id="63" w:name="_Toc44691398"/>
      <w:bookmarkStart w:id="64" w:name="_Toc44690434"/>
      <w:bookmarkStart w:id="65" w:name="_Toc44691166"/>
      <w:r>
        <w:rPr>
          <w:rFonts w:hint="eastAsia" w:asciiTheme="minorEastAsia" w:hAnsiTheme="minorEastAsia" w:eastAsiaTheme="minorEastAsia"/>
          <w:sz w:val="24"/>
        </w:rPr>
        <w:t>格式6  报价表</w:t>
      </w:r>
      <w:bookmarkEnd w:id="62"/>
      <w:bookmarkEnd w:id="63"/>
      <w:bookmarkEnd w:id="64"/>
      <w:bookmarkEnd w:id="65"/>
    </w:p>
    <w:p>
      <w:pPr>
        <w:spacing w:line="300" w:lineRule="auto"/>
        <w:rPr>
          <w:rFonts w:ascii="楷体_GB2312" w:eastAsia="楷体_GB2312"/>
          <w:b/>
          <w:sz w:val="24"/>
        </w:rPr>
      </w:pPr>
      <w:r>
        <w:rPr>
          <w:rFonts w:hint="eastAsia" w:ascii="楷体_GB2312" w:eastAsia="楷体_GB2312"/>
          <w:b/>
          <w:sz w:val="24"/>
        </w:rPr>
        <w:t>1   报价要求</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报价包括</w:t>
      </w:r>
      <w:r>
        <w:rPr>
          <w:rFonts w:hint="eastAsia" w:asciiTheme="minorEastAsia" w:hAnsiTheme="minorEastAsia" w:eastAsiaTheme="minorEastAsia"/>
          <w:bCs/>
        </w:rPr>
        <w:t>设备费、运输费、装卸费、安装费、调试费、保险费、技术培训费、售后服务费、国家规定的各项税费等全部费用</w:t>
      </w:r>
      <w:r>
        <w:rPr>
          <w:rFonts w:hint="eastAsia" w:asciiTheme="minorEastAsia" w:hAnsiTheme="minorEastAsia" w:eastAsiaTheme="minorEastAsia"/>
          <w:snapToGrid w:val="0"/>
          <w:kern w:val="0"/>
        </w:rPr>
        <w:t>。</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“分项价格表”应将所有设备报价，并分别列出“品牌、型号、产地及制造厂商”。</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1.4  此表应经法定代表人或授权委托人签名，并加盖公章。</w:t>
      </w:r>
    </w:p>
    <w:p>
      <w:pPr>
        <w:adjustRightInd w:val="0"/>
        <w:snapToGrid w:val="0"/>
        <w:spacing w:line="300" w:lineRule="auto"/>
        <w:rPr>
          <w:snapToGrid w:val="0"/>
          <w:kern w:val="0"/>
        </w:rPr>
      </w:pPr>
    </w:p>
    <w:p>
      <w:pPr>
        <w:spacing w:line="300" w:lineRule="auto"/>
        <w:rPr>
          <w:rFonts w:eastAsia="楷体_GB2312"/>
          <w:b/>
          <w:sz w:val="24"/>
        </w:rPr>
      </w:pPr>
      <w:r>
        <w:rPr>
          <w:rFonts w:hint="eastAsia" w:eastAsia="楷体_GB2312"/>
          <w:b/>
          <w:sz w:val="24"/>
        </w:rPr>
        <w:t>2   报价表</w:t>
      </w:r>
    </w:p>
    <w:p>
      <w:pPr>
        <w:adjustRightInd w:val="0"/>
        <w:snapToGrid w:val="0"/>
        <w:spacing w:line="300" w:lineRule="auto"/>
        <w:rPr>
          <w:snapToGrid w:val="0"/>
          <w:kern w:val="0"/>
        </w:rPr>
      </w:pPr>
    </w:p>
    <w:p>
      <w:pPr>
        <w:adjustRightInd w:val="0"/>
        <w:snapToGrid w:val="0"/>
        <w:spacing w:line="300" w:lineRule="auto"/>
        <w:jc w:val="center"/>
        <w:rPr>
          <w:rFonts w:asciiTheme="minorEastAsia" w:hAnsiTheme="minorEastAsia" w:eastAsiaTheme="minorEastAsia"/>
          <w:bCs/>
          <w:snapToGrid w:val="0"/>
          <w:kern w:val="0"/>
          <w:sz w:val="24"/>
          <w:u w:val="single"/>
        </w:rPr>
      </w:pPr>
      <w:r>
        <w:rPr>
          <w:rFonts w:hint="eastAsia" w:asciiTheme="minorEastAsia" w:hAnsiTheme="minorEastAsia" w:eastAsiaTheme="minorEastAsia"/>
          <w:snapToGrid w:val="0"/>
          <w:kern w:val="0"/>
          <w:sz w:val="24"/>
        </w:rPr>
        <w:t>（一）</w:t>
      </w:r>
      <w:r>
        <w:rPr>
          <w:rFonts w:hint="eastAsia" w:asciiTheme="minorEastAsia" w:hAnsiTheme="minorEastAsia" w:eastAsiaTheme="minorEastAsia"/>
          <w:bCs/>
          <w:snapToGrid w:val="0"/>
          <w:kern w:val="0"/>
          <w:sz w:val="24"/>
        </w:rPr>
        <w:t>报价总表</w:t>
      </w:r>
    </w:p>
    <w:p>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p>
    <w:p>
      <w:pPr>
        <w:adjustRightInd w:val="0"/>
        <w:snapToGrid w:val="0"/>
        <w:spacing w:line="300" w:lineRule="auto"/>
        <w:rPr>
          <w:rFonts w:asciiTheme="minorEastAsia" w:hAnsiTheme="minorEastAsia" w:eastAsiaTheme="minorEastAsia"/>
          <w:bCs/>
          <w:snapToGrid w:val="0"/>
          <w:kern w:val="0"/>
        </w:rPr>
      </w:pPr>
      <w:r>
        <w:rPr>
          <w:rFonts w:hint="eastAsia" w:asciiTheme="minorEastAsia" w:hAnsiTheme="minorEastAsia" w:eastAsiaTheme="minorEastAsia"/>
          <w:bCs/>
          <w:snapToGrid w:val="0"/>
          <w:kern w:val="0"/>
        </w:rPr>
        <w:t>项目编号：</w:t>
      </w:r>
    </w:p>
    <w:tbl>
      <w:tblPr>
        <w:tblStyle w:val="50"/>
        <w:tblW w:w="105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939"/>
        <w:gridCol w:w="483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序号</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名称</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总价（单位：元）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设备费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运输费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3</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装卸费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安装费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调试费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6</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保险费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技术培训费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售后服务费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国家规定的各项税费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其它</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5" w:type="dxa"/>
            <w:gridSpan w:val="2"/>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   计</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bl>
    <w:p>
      <w:pPr>
        <w:rPr>
          <w:rFonts w:asciiTheme="minorEastAsia" w:hAnsiTheme="minorEastAsia" w:eastAsiaTheme="minorEastAsia"/>
          <w:szCs w:val="21"/>
        </w:rPr>
      </w:pPr>
      <w:r>
        <w:rPr>
          <w:rFonts w:hint="eastAsia" w:asciiTheme="minorEastAsia" w:hAnsiTheme="minorEastAsia" w:eastAsiaTheme="minorEastAsia"/>
          <w:szCs w:val="21"/>
        </w:rPr>
        <w:t>备注：1、</w:t>
      </w:r>
      <w:r>
        <w:rPr>
          <w:rFonts w:hint="eastAsia" w:asciiTheme="minorEastAsia" w:hAnsiTheme="minorEastAsia" w:eastAsiaTheme="minorEastAsia"/>
          <w:bCs/>
          <w:szCs w:val="21"/>
        </w:rPr>
        <w:t>本表格仅为指导性范本，供应商可根据项目具体情况对各分项内容进行调整。</w:t>
      </w:r>
    </w:p>
    <w:p>
      <w:pPr>
        <w:adjustRightInd w:val="0"/>
        <w:jc w:val="left"/>
        <w:rPr>
          <w:rFonts w:asciiTheme="minorEastAsia" w:hAnsiTheme="minorEastAsia" w:eastAsiaTheme="minorEastAsia"/>
          <w:snapToGrid w:val="0"/>
          <w:kern w:val="0"/>
          <w:szCs w:val="21"/>
        </w:rPr>
      </w:pPr>
      <w:r>
        <w:rPr>
          <w:rFonts w:hint="eastAsia" w:asciiTheme="minorEastAsia" w:hAnsiTheme="minorEastAsia" w:eastAsiaTheme="minorEastAsia"/>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Theme="minorEastAsia" w:hAnsiTheme="minorEastAsia" w:eastAsiaTheme="minorEastAsia"/>
          <w:szCs w:val="21"/>
        </w:rPr>
        <w:t>。</w:t>
      </w:r>
    </w:p>
    <w:p>
      <w:pPr>
        <w:adjustRightInd w:val="0"/>
        <w:snapToGrid w:val="0"/>
        <w:spacing w:line="300" w:lineRule="auto"/>
        <w:rPr>
          <w:rFonts w:asciiTheme="minorEastAsia" w:hAnsiTheme="minorEastAsia" w:eastAsiaTheme="minorEastAsia"/>
          <w:snapToGrid w:val="0"/>
          <w:kern w:val="0"/>
        </w:rPr>
      </w:pPr>
    </w:p>
    <w:p>
      <w:pPr>
        <w:adjustRightInd w:val="0"/>
        <w:snapToGrid w:val="0"/>
        <w:spacing w:line="300" w:lineRule="auto"/>
        <w:jc w:val="center"/>
        <w:rPr>
          <w:rFonts w:asciiTheme="minorEastAsia" w:hAnsiTheme="minorEastAsia" w:eastAsiaTheme="minorEastAsia"/>
          <w:bCs/>
        </w:rPr>
      </w:pPr>
      <w:r>
        <w:rPr>
          <w:rFonts w:hint="eastAsia" w:asciiTheme="minorEastAsia" w:hAnsiTheme="minorEastAsia" w:eastAsiaTheme="minorEastAsia"/>
          <w:snapToGrid w:val="0"/>
          <w:kern w:val="0"/>
          <w:sz w:val="24"/>
        </w:rPr>
        <w:t>（二）</w:t>
      </w:r>
      <w:r>
        <w:rPr>
          <w:rFonts w:asciiTheme="minorEastAsia" w:hAnsiTheme="minorEastAsia" w:eastAsiaTheme="minorEastAsia"/>
          <w:snapToGrid w:val="0"/>
          <w:kern w:val="0"/>
          <w:sz w:val="24"/>
        </w:rPr>
        <w:t>分项价格表</w:t>
      </w:r>
    </w:p>
    <w:p>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p>
    <w:p>
      <w:pPr>
        <w:adjustRightInd w:val="0"/>
        <w:snapToGrid w:val="0"/>
        <w:spacing w:line="300" w:lineRule="auto"/>
        <w:rPr>
          <w:rFonts w:asciiTheme="minorEastAsia" w:hAnsiTheme="minorEastAsia" w:eastAsiaTheme="minorEastAsia"/>
          <w:snapToGrid w:val="0"/>
          <w:kern w:val="0"/>
          <w:sz w:val="24"/>
        </w:rPr>
      </w:pPr>
      <w:r>
        <w:rPr>
          <w:rFonts w:hint="eastAsia" w:asciiTheme="minorEastAsia" w:hAnsiTheme="minorEastAsia" w:eastAsiaTheme="minorEastAsia"/>
          <w:bCs/>
          <w:snapToGrid w:val="0"/>
          <w:kern w:val="0"/>
        </w:rPr>
        <w:t>项目编号：</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821"/>
        <w:gridCol w:w="709"/>
        <w:gridCol w:w="851"/>
        <w:gridCol w:w="1417"/>
        <w:gridCol w:w="992"/>
        <w:gridCol w:w="709"/>
        <w:gridCol w:w="873"/>
        <w:gridCol w:w="1276"/>
        <w:gridCol w:w="12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1821"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数量</w:t>
            </w: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127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1248" w:type="dxa"/>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4</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6</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7</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8</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9</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w:t>
            </w:r>
          </w:p>
        </w:tc>
        <w:tc>
          <w:tcPr>
            <w:tcW w:w="1821" w:type="dxa"/>
            <w:vAlign w:val="center"/>
          </w:tcPr>
          <w:p>
            <w:pPr>
              <w:widowControl/>
              <w:spacing w:line="360" w:lineRule="auto"/>
              <w:jc w:val="center"/>
              <w:rPr>
                <w:rFonts w:cs="Arial"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65" w:type="dxa"/>
            <w:gridSpan w:val="10"/>
            <w:vAlign w:val="center"/>
          </w:tcPr>
          <w:p>
            <w:pPr>
              <w:adjustRightInd w:val="0"/>
              <w:snapToGrid w:val="0"/>
              <w:spacing w:line="300" w:lineRule="auto"/>
              <w:jc w:val="left"/>
              <w:rPr>
                <w:rFonts w:asciiTheme="minorEastAsia" w:hAnsiTheme="minorEastAsia" w:eastAsiaTheme="minorEastAsia"/>
                <w:snapToGrid w:val="0"/>
                <w:kern w:val="0"/>
              </w:rPr>
            </w:pPr>
            <w:r>
              <w:rPr>
                <w:rFonts w:hint="eastAsia" w:asciiTheme="minorEastAsia" w:hAnsiTheme="minorEastAsia" w:eastAsiaTheme="minorEastAsia"/>
                <w:sz w:val="24"/>
              </w:rPr>
              <w:t>总计（即投标总价；币种：人民币；单位：元）：</w:t>
            </w:r>
          </w:p>
        </w:tc>
      </w:tr>
    </w:tbl>
    <w:p>
      <w:pPr>
        <w:rPr>
          <w:rFonts w:asciiTheme="minorEastAsia" w:hAnsiTheme="minorEastAsia" w:eastAsiaTheme="minorEastAsia"/>
        </w:rPr>
      </w:pPr>
      <w:r>
        <w:rPr>
          <w:rFonts w:hint="eastAsia" w:asciiTheme="minorEastAsia" w:hAnsiTheme="minorEastAsia" w:eastAsiaTheme="minorEastAsia"/>
          <w:snapToGrid w:val="0"/>
          <w:kern w:val="0"/>
        </w:rPr>
        <w:t>注：</w:t>
      </w:r>
      <w:r>
        <w:rPr>
          <w:rFonts w:hint="eastAsia" w:asciiTheme="minorEastAsia" w:hAnsiTheme="minorEastAsia" w:eastAsiaTheme="minorEastAsia"/>
        </w:rPr>
        <w:t>1. 本表</w:t>
      </w:r>
      <w:r>
        <w:rPr>
          <w:rFonts w:asciiTheme="minorEastAsia" w:hAnsiTheme="minorEastAsia" w:eastAsiaTheme="minorEastAsia"/>
        </w:rPr>
        <w:t>应</w:t>
      </w:r>
      <w:r>
        <w:rPr>
          <w:rFonts w:hint="eastAsia" w:asciiTheme="minorEastAsia" w:hAnsiTheme="minorEastAsia" w:eastAsiaTheme="minorEastAsia"/>
        </w:rPr>
        <w:t>根据</w:t>
      </w:r>
      <w:r>
        <w:rPr>
          <w:rFonts w:hint="eastAsia" w:ascii="宋体" w:hAnsi="宋体" w:cs="Arial"/>
          <w:bCs/>
          <w:szCs w:val="21"/>
        </w:rPr>
        <w:t>招标文件第二章《项目需求》中</w:t>
      </w:r>
      <w:r>
        <w:rPr>
          <w:rFonts w:hint="eastAsia" w:asciiTheme="minorEastAsia" w:hAnsiTheme="minorEastAsia" w:eastAsiaTheme="minorEastAsia"/>
        </w:rPr>
        <w:t>“一、采购范围”的</w:t>
      </w:r>
      <w:r>
        <w:rPr>
          <w:rFonts w:hint="eastAsia" w:asciiTheme="minorEastAsia" w:hAnsiTheme="minorEastAsia" w:eastAsiaTheme="minorEastAsia"/>
          <w:b/>
          <w:szCs w:val="21"/>
        </w:rPr>
        <w:t>“（二）货物清单明细”</w:t>
      </w:r>
      <w:r>
        <w:rPr>
          <w:rFonts w:hint="eastAsia" w:asciiTheme="minorEastAsia" w:hAnsiTheme="minorEastAsia" w:eastAsiaTheme="minorEastAsia"/>
        </w:rPr>
        <w:t>填写</w:t>
      </w:r>
      <w:r>
        <w:rPr>
          <w:rFonts w:asciiTheme="minorEastAsia" w:hAnsiTheme="minorEastAsia" w:eastAsiaTheme="minorEastAsia"/>
        </w:rPr>
        <w:t>，</w:t>
      </w:r>
      <w:r>
        <w:rPr>
          <w:rFonts w:hint="eastAsia" w:asciiTheme="minorEastAsia" w:hAnsiTheme="minorEastAsia" w:eastAsiaTheme="minorEastAsia"/>
          <w:b/>
        </w:rPr>
        <w:t>本表格式不得修改</w:t>
      </w:r>
      <w:r>
        <w:rPr>
          <w:rFonts w:hint="eastAsia" w:asciiTheme="minorEastAsia" w:hAnsiTheme="minorEastAsia" w:eastAsiaTheme="minorEastAsia"/>
        </w:rPr>
        <w:t>（续行除外）。</w:t>
      </w:r>
      <w:r>
        <w:rPr>
          <w:rFonts w:hint="eastAsia" w:asciiTheme="minorEastAsia" w:hAnsiTheme="minorEastAsia" w:eastAsiaTheme="minorEastAsia"/>
          <w:b/>
        </w:rPr>
        <w:t>对于定制类产品，可以不填写品牌、型号等信息，但必须注明“定制”，否则该产品技术参数按负偏离处理</w:t>
      </w:r>
      <w:r>
        <w:rPr>
          <w:rFonts w:asciiTheme="minorEastAsia" w:hAnsiTheme="minorEastAsia" w:eastAsiaTheme="minorEastAsia"/>
          <w:b/>
        </w:rPr>
        <w:t>。</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2、投标人必须对照进口产品的规定明确其投标产品是否为进口产品。</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3、投标总价应为以上各分项价格之和；投标总价和表中单个采购条目报价均不得超过对应的财政预算限额，否则将导致无效投标。</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4、开标一览表中的投标</w:t>
      </w:r>
      <w:r>
        <w:rPr>
          <w:rFonts w:hint="eastAsia"/>
          <w:snapToGrid w:val="0"/>
          <w:kern w:val="0"/>
        </w:rPr>
        <w:t>总</w:t>
      </w:r>
      <w:r>
        <w:rPr>
          <w:rFonts w:hint="eastAsia" w:asciiTheme="minorEastAsia" w:hAnsiTheme="minorEastAsia" w:eastAsiaTheme="minorEastAsia"/>
        </w:rPr>
        <w:t>价应与本表中的投标总价金额一致。</w:t>
      </w:r>
    </w:p>
    <w:p>
      <w:pPr>
        <w:adjustRightInd w:val="0"/>
        <w:snapToGrid w:val="0"/>
        <w:spacing w:line="300" w:lineRule="auto"/>
        <w:rPr>
          <w:rFonts w:asciiTheme="minorEastAsia" w:hAnsiTheme="minorEastAsia" w:eastAsiaTheme="minorEastAsia"/>
          <w:snapToGrid w:val="0"/>
          <w:kern w:val="0"/>
        </w:rPr>
      </w:pPr>
      <w:r>
        <w:rPr>
          <w:rFonts w:hint="eastAsia" w:asciiTheme="minorEastAsia" w:hAnsiTheme="minorEastAsia" w:eastAsiaTheme="minorEastAsia"/>
        </w:rPr>
        <w:t>5、“原产地”是指该产品的实际生产加工地，而非品牌总公司所在地。</w:t>
      </w:r>
    </w:p>
    <w:p>
      <w:pPr>
        <w:adjustRightInd w:val="0"/>
        <w:snapToGrid w:val="0"/>
        <w:spacing w:line="300" w:lineRule="auto"/>
        <w:jc w:val="center"/>
        <w:rPr>
          <w:rFonts w:asciiTheme="minorEastAsia" w:hAnsiTheme="minorEastAsia" w:eastAsiaTheme="minorEastAsia"/>
          <w:snapToGrid w:val="0"/>
          <w:kern w:val="0"/>
        </w:rPr>
      </w:pPr>
    </w:p>
    <w:p>
      <w:pPr>
        <w:adjustRightInd w:val="0"/>
        <w:snapToGrid w:val="0"/>
        <w:spacing w:line="300" w:lineRule="auto"/>
        <w:jc w:val="center"/>
        <w:rPr>
          <w:rFonts w:asciiTheme="minorEastAsia" w:hAnsiTheme="minorEastAsia" w:eastAsiaTheme="minorEastAsia"/>
          <w:snapToGrid w:val="0"/>
          <w:kern w:val="0"/>
        </w:rPr>
      </w:pPr>
    </w:p>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（三）</w:t>
      </w:r>
      <w:r>
        <w:rPr>
          <w:rFonts w:hint="eastAsia" w:asciiTheme="minorEastAsia" w:hAnsiTheme="minorEastAsia" w:eastAsiaTheme="minorEastAsia"/>
          <w:bCs/>
          <w:sz w:val="24"/>
        </w:rPr>
        <w:t>供应商认为需要涉及的其他内容报价清单</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
    <w:p/>
    <w:p>
      <w:pPr>
        <w:widowControl/>
        <w:jc w:val="left"/>
      </w:pPr>
      <w:r>
        <w:br w:type="page"/>
      </w:r>
    </w:p>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66" w:name="_Toc44690435"/>
      <w:bookmarkStart w:id="67" w:name="_Toc44691167"/>
      <w:bookmarkStart w:id="68" w:name="_Toc44690708"/>
      <w:bookmarkStart w:id="69" w:name="_Toc44691399"/>
      <w:r>
        <w:rPr>
          <w:rFonts w:hint="eastAsia" w:asciiTheme="minorEastAsia" w:hAnsiTheme="minorEastAsia" w:eastAsiaTheme="minorEastAsia"/>
          <w:sz w:val="24"/>
        </w:rPr>
        <w:t>格式7  技术规格</w:t>
      </w:r>
      <w:bookmarkEnd w:id="66"/>
      <w:bookmarkEnd w:id="67"/>
      <w:bookmarkEnd w:id="68"/>
      <w:bookmarkEnd w:id="69"/>
    </w:p>
    <w:p>
      <w:pPr>
        <w:pStyle w:val="7"/>
      </w:pPr>
    </w:p>
    <w:p>
      <w:pPr>
        <w:spacing w:line="360" w:lineRule="auto"/>
        <w:ind w:left="420"/>
        <w:rPr>
          <w:rFonts w:ascii="宋体" w:hAnsi="宋体"/>
        </w:rPr>
      </w:pPr>
      <w:r>
        <w:rPr>
          <w:rFonts w:hint="eastAsia" w:ascii="宋体" w:hAnsi="宋体"/>
        </w:rPr>
        <w:t>1、对投标产品的整体描述（包括采用文字、表格等形式）</w:t>
      </w:r>
    </w:p>
    <w:p>
      <w:pPr>
        <w:spacing w:line="360" w:lineRule="auto"/>
        <w:ind w:left="420"/>
        <w:rPr>
          <w:rFonts w:ascii="宋体" w:hAnsi="宋体"/>
        </w:rPr>
      </w:pPr>
      <w:r>
        <w:rPr>
          <w:rFonts w:hint="eastAsia" w:ascii="宋体" w:hAnsi="宋体"/>
        </w:rPr>
        <w:t>2、投标产品采用的技术标准</w:t>
      </w:r>
    </w:p>
    <w:p>
      <w:pPr>
        <w:spacing w:line="360" w:lineRule="auto"/>
        <w:ind w:left="420"/>
        <w:rPr>
          <w:rFonts w:ascii="宋体" w:hAnsi="宋体"/>
        </w:rPr>
      </w:pPr>
      <w:r>
        <w:rPr>
          <w:rFonts w:hint="eastAsia" w:ascii="宋体" w:hAnsi="宋体"/>
        </w:rPr>
        <w:t>3、投标产品的性能特点（包括新技术、新工艺、新材料的应用等）</w:t>
      </w:r>
    </w:p>
    <w:p>
      <w:pPr>
        <w:spacing w:line="360" w:lineRule="auto"/>
        <w:ind w:left="420"/>
        <w:rPr>
          <w:rFonts w:ascii="宋体" w:hAnsi="宋体"/>
        </w:rPr>
      </w:pPr>
      <w:r>
        <w:rPr>
          <w:rFonts w:hint="eastAsia" w:ascii="宋体" w:hAnsi="宋体"/>
        </w:rPr>
        <w:t>4、投标产品的外形尺寸图、成品的彩色图样等</w:t>
      </w:r>
    </w:p>
    <w:p>
      <w:pPr>
        <w:spacing w:line="360" w:lineRule="auto"/>
        <w:ind w:left="420"/>
        <w:rPr>
          <w:rFonts w:ascii="宋体" w:hAnsi="宋体"/>
        </w:rPr>
      </w:pPr>
      <w:r>
        <w:rPr>
          <w:rFonts w:hint="eastAsia" w:ascii="宋体" w:hAnsi="宋体"/>
        </w:rPr>
        <w:t>5、投标产品的说明书等</w:t>
      </w:r>
    </w:p>
    <w:p>
      <w:pPr>
        <w:spacing w:line="360" w:lineRule="auto"/>
        <w:ind w:left="420"/>
        <w:rPr>
          <w:rFonts w:ascii="宋体" w:hAnsi="宋体"/>
        </w:rPr>
      </w:pPr>
      <w:r>
        <w:rPr>
          <w:rFonts w:hint="eastAsia" w:ascii="宋体" w:hAnsi="宋体"/>
        </w:rPr>
        <w:t>6、其它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widowControl/>
        <w:jc w:val="left"/>
        <w:rPr>
          <w:b/>
          <w:szCs w:val="21"/>
        </w:rPr>
      </w:pPr>
      <w:r>
        <w:rPr>
          <w:b/>
          <w:szCs w:val="21"/>
        </w:rPr>
        <w:br w:type="page"/>
      </w:r>
    </w:p>
    <w:p>
      <w:pPr>
        <w:pStyle w:val="28"/>
        <w:adjustRightInd w:val="0"/>
        <w:snapToGrid w:val="0"/>
        <w:spacing w:line="312" w:lineRule="auto"/>
        <w:jc w:val="left"/>
        <w:rPr>
          <w:rFonts w:ascii="Times New Roman" w:hAnsi="Times New Roman"/>
          <w:b/>
          <w:sz w:val="21"/>
          <w:szCs w:val="21"/>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asciiTheme="minorEastAsia" w:hAnsiTheme="minorEastAsia" w:eastAsiaTheme="minorEastAsia"/>
          <w:sz w:val="24"/>
        </w:rPr>
        <w:t>格式</w:t>
      </w:r>
      <w:r>
        <w:rPr>
          <w:rFonts w:hint="eastAsia" w:asciiTheme="minorEastAsia" w:hAnsiTheme="minorEastAsia" w:eastAsiaTheme="minorEastAsia"/>
          <w:sz w:val="24"/>
        </w:rPr>
        <w:t>8</w:t>
      </w:r>
      <w:r>
        <w:rPr>
          <w:rFonts w:asciiTheme="minorEastAsia" w:hAnsiTheme="minorEastAsia" w:eastAsiaTheme="minorEastAsia"/>
          <w:sz w:val="24"/>
        </w:rPr>
        <w:t xml:space="preserve">  交付进度</w:t>
      </w:r>
    </w:p>
    <w:p/>
    <w:p>
      <w:pPr>
        <w:jc w:val="center"/>
      </w:pPr>
      <w:r>
        <w:t>货物交付进度表</w:t>
      </w:r>
    </w:p>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r>
    </w:tbl>
    <w:p/>
    <w:p/>
    <w:p>
      <w:pPr>
        <w:jc w:val="center"/>
      </w:pPr>
      <w:r>
        <w:t>安装调试进度表</w:t>
      </w:r>
    </w:p>
    <w:p>
      <w:pPr>
        <w:jc w:val="center"/>
      </w:pP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851"/>
        <w:gridCol w:w="120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851" w:type="dxa"/>
          </w:tcPr>
          <w:p>
            <w:pPr>
              <w:autoSpaceDE w:val="0"/>
              <w:autoSpaceDN w:val="0"/>
              <w:adjustRightInd w:val="0"/>
              <w:spacing w:before="120" w:after="120" w:line="240" w:lineRule="atLeast"/>
              <w:ind w:left="15" w:right="28"/>
              <w:jc w:val="center"/>
              <w:rPr>
                <w:kern w:val="0"/>
                <w:sz w:val="18"/>
                <w:szCs w:val="22"/>
              </w:rPr>
            </w:pPr>
          </w:p>
        </w:tc>
        <w:tc>
          <w:tcPr>
            <w:tcW w:w="1209" w:type="dxa"/>
          </w:tcPr>
          <w:p>
            <w:pPr>
              <w:autoSpaceDE w:val="0"/>
              <w:autoSpaceDN w:val="0"/>
              <w:adjustRightInd w:val="0"/>
              <w:spacing w:before="120" w:after="120" w:line="240" w:lineRule="atLeast"/>
              <w:ind w:left="15" w:right="28"/>
              <w:jc w:val="center"/>
              <w:rPr>
                <w:kern w:val="0"/>
                <w:sz w:val="18"/>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851" w:type="dxa"/>
          </w:tcPr>
          <w:p>
            <w:pPr>
              <w:autoSpaceDE w:val="0"/>
              <w:autoSpaceDN w:val="0"/>
              <w:adjustRightInd w:val="0"/>
              <w:spacing w:before="120" w:after="120" w:line="240" w:lineRule="atLeast"/>
              <w:ind w:left="15" w:right="28"/>
              <w:jc w:val="center"/>
              <w:rPr>
                <w:kern w:val="0"/>
                <w:sz w:val="18"/>
                <w:szCs w:val="22"/>
              </w:rPr>
            </w:pPr>
          </w:p>
        </w:tc>
        <w:tc>
          <w:tcPr>
            <w:tcW w:w="1209" w:type="dxa"/>
          </w:tcPr>
          <w:p>
            <w:pPr>
              <w:autoSpaceDE w:val="0"/>
              <w:autoSpaceDN w:val="0"/>
              <w:adjustRightInd w:val="0"/>
              <w:spacing w:before="120" w:after="120" w:line="240" w:lineRule="atLeast"/>
              <w:ind w:left="15" w:right="28"/>
              <w:jc w:val="center"/>
              <w:rPr>
                <w:kern w:val="0"/>
                <w:sz w:val="18"/>
                <w:szCs w:val="22"/>
              </w:rPr>
            </w:pPr>
          </w:p>
        </w:tc>
      </w:tr>
    </w:tbl>
    <w:p>
      <w:pPr>
        <w:jc w:val="cente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firstLine="6195" w:firstLineChars="2950"/>
        <w:rPr>
          <w:snapToGrid w:val="0"/>
          <w:kern w:val="0"/>
        </w:rPr>
      </w:pPr>
      <w:r>
        <w:rPr>
          <w:rFonts w:hint="eastAsia"/>
          <w:snapToGrid w:val="0"/>
          <w:kern w:val="0"/>
        </w:rPr>
        <w:t>年       月      日</w:t>
      </w:r>
    </w:p>
    <w:p>
      <w:pPr>
        <w:pStyle w:val="3"/>
        <w:spacing w:before="0"/>
        <w:rPr>
          <w:rFonts w:ascii="宋体" w:hAnsi="宋体"/>
          <w:sz w:val="28"/>
        </w:rPr>
      </w:pPr>
    </w:p>
    <w:p/>
    <w:p/>
    <w:p/>
    <w:p/>
    <w:p/>
    <w:p/>
    <w:p/>
    <w:p/>
    <w:p>
      <w:pPr>
        <w:widowControl/>
        <w:jc w:val="left"/>
        <w:rPr>
          <w:rFonts w:asciiTheme="minorEastAsia" w:hAnsiTheme="minorEastAsia" w:eastAsiaTheme="minorEastAsia"/>
          <w:b/>
          <w:sz w:val="24"/>
        </w:rPr>
      </w:pPr>
      <w:bookmarkStart w:id="70" w:name="_Toc44690436"/>
      <w:bookmarkStart w:id="71" w:name="_Toc44691168"/>
      <w:bookmarkStart w:id="72" w:name="_Toc44691400"/>
      <w:bookmarkStart w:id="73" w:name="_Toc44690709"/>
      <w:r>
        <w:rPr>
          <w:rFonts w:asciiTheme="minorEastAsia" w:hAnsiTheme="minorEastAsia" w:eastAsiaTheme="minorEastAsia"/>
          <w:sz w:val="24"/>
        </w:rPr>
        <w:br w:type="page"/>
      </w: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格式9  售后服务和质量承诺</w:t>
      </w:r>
      <w:bookmarkEnd w:id="70"/>
      <w:bookmarkEnd w:id="71"/>
      <w:bookmarkEnd w:id="72"/>
      <w:bookmarkEnd w:id="73"/>
    </w:p>
    <w:p>
      <w:pPr>
        <w:adjustRightInd w:val="0"/>
        <w:snapToGrid w:val="0"/>
        <w:spacing w:line="360" w:lineRule="auto"/>
        <w:rPr>
          <w:rFonts w:ascii="宋体" w:hAnsi="宋体"/>
        </w:rPr>
      </w:pPr>
    </w:p>
    <w:p>
      <w:pPr>
        <w:adjustRightInd w:val="0"/>
        <w:snapToGrid w:val="0"/>
        <w:spacing w:line="360" w:lineRule="auto"/>
        <w:rPr>
          <w:rFonts w:ascii="宋体" w:hAnsi="宋体"/>
        </w:rPr>
      </w:pPr>
      <w:r>
        <w:rPr>
          <w:rFonts w:hint="eastAsia" w:ascii="宋体" w:hAnsi="宋体"/>
        </w:rPr>
        <w:t>1、</w:t>
      </w:r>
      <w:r>
        <w:rPr>
          <w:rFonts w:hint="eastAsia"/>
        </w:rPr>
        <w:t>质保期和保修期服务承诺</w:t>
      </w:r>
    </w:p>
    <w:p>
      <w:pPr>
        <w:adjustRightInd w:val="0"/>
        <w:snapToGrid w:val="0"/>
        <w:spacing w:line="360" w:lineRule="auto"/>
        <w:rPr>
          <w:rFonts w:ascii="宋体" w:hAnsi="宋体"/>
        </w:rPr>
      </w:pPr>
      <w:r>
        <w:rPr>
          <w:rFonts w:hint="eastAsia" w:ascii="宋体" w:hAnsi="宋体"/>
        </w:rPr>
        <w:t>2、</w:t>
      </w:r>
      <w:r>
        <w:rPr>
          <w:rFonts w:hint="eastAsia"/>
        </w:rPr>
        <w:t>售后服务机构及维护人员配置</w:t>
      </w:r>
    </w:p>
    <w:p>
      <w:pPr>
        <w:adjustRightInd w:val="0"/>
        <w:snapToGrid w:val="0"/>
        <w:spacing w:line="360" w:lineRule="auto"/>
        <w:rPr>
          <w:rFonts w:ascii="宋体" w:hAnsi="宋体"/>
        </w:rPr>
      </w:pPr>
      <w:r>
        <w:rPr>
          <w:rFonts w:hint="eastAsia" w:ascii="宋体" w:hAnsi="宋体"/>
        </w:rPr>
        <w:t>3、</w:t>
      </w:r>
      <w:r>
        <w:rPr>
          <w:rFonts w:hint="eastAsia"/>
        </w:rPr>
        <w:t>售后服务应急措施</w:t>
      </w:r>
    </w:p>
    <w:p>
      <w:pPr>
        <w:adjustRightInd w:val="0"/>
        <w:snapToGrid w:val="0"/>
        <w:spacing w:line="360" w:lineRule="auto"/>
        <w:rPr>
          <w:rFonts w:ascii="宋体" w:hAnsi="宋体"/>
        </w:rPr>
      </w:pPr>
      <w:r>
        <w:rPr>
          <w:rFonts w:hint="eastAsia" w:ascii="宋体" w:hAnsi="宋体"/>
        </w:rPr>
        <w:t>4、</w:t>
      </w:r>
      <w:r>
        <w:rPr>
          <w:rFonts w:hint="eastAsia"/>
        </w:rPr>
        <w:t>故障或技术支持响应时间</w:t>
      </w:r>
    </w:p>
    <w:p>
      <w:pPr>
        <w:adjustRightInd w:val="0"/>
        <w:snapToGrid w:val="0"/>
        <w:spacing w:line="360" w:lineRule="auto"/>
        <w:rPr>
          <w:rFonts w:ascii="宋体" w:hAnsi="宋体"/>
        </w:rPr>
      </w:pPr>
      <w:r>
        <w:rPr>
          <w:rFonts w:hint="eastAsia" w:ascii="宋体" w:hAnsi="宋体"/>
        </w:rPr>
        <w:t>5、技术培训计划</w:t>
      </w:r>
    </w:p>
    <w:p>
      <w:pPr>
        <w:adjustRightInd w:val="0"/>
        <w:snapToGrid w:val="0"/>
        <w:spacing w:line="360" w:lineRule="auto"/>
        <w:rPr>
          <w:rFonts w:ascii="宋体" w:hAnsi="宋体"/>
        </w:rPr>
      </w:pPr>
      <w:r>
        <w:rPr>
          <w:rFonts w:hint="eastAsia" w:ascii="宋体" w:hAnsi="宋体"/>
        </w:rPr>
        <w:t>6、备/配件支持计划</w:t>
      </w:r>
    </w:p>
    <w:p>
      <w:pPr>
        <w:adjustRightInd w:val="0"/>
        <w:snapToGrid w:val="0"/>
        <w:spacing w:line="360" w:lineRule="auto"/>
        <w:rPr>
          <w:rFonts w:ascii="宋体" w:hAnsi="宋体"/>
          <w:bCs/>
        </w:rPr>
      </w:pPr>
      <w:r>
        <w:rPr>
          <w:rFonts w:hint="eastAsia" w:ascii="宋体" w:hAnsi="宋体"/>
        </w:rPr>
        <w:t>7、非</w:t>
      </w:r>
      <w:r>
        <w:rPr>
          <w:rFonts w:hint="eastAsia" w:ascii="宋体" w:hAnsi="宋体"/>
          <w:bCs/>
        </w:rPr>
        <w:t>保修期维修费用收取标准</w:t>
      </w:r>
    </w:p>
    <w:p>
      <w:pPr>
        <w:adjustRightInd w:val="0"/>
        <w:snapToGrid w:val="0"/>
        <w:spacing w:line="300" w:lineRule="auto"/>
        <w:rPr>
          <w:rFonts w:ascii="宋体" w:hAnsi="宋体"/>
          <w:bCs/>
        </w:rPr>
      </w:pPr>
      <w:r>
        <w:rPr>
          <w:rFonts w:hint="eastAsia" w:ascii="宋体" w:hAnsi="宋体"/>
          <w:bCs/>
        </w:rPr>
        <w:t>8、其它</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tabs>
          <w:tab w:val="left" w:pos="480"/>
        </w:tabs>
        <w:adjustRightInd w:val="0"/>
        <w:snapToGrid w:val="0"/>
        <w:spacing w:line="300" w:lineRule="auto"/>
        <w:rPr>
          <w:snapToGrid w:val="0"/>
          <w:kern w:val="0"/>
        </w:rPr>
      </w:pPr>
      <w:r>
        <w:rPr>
          <w:snapToGrid w:val="0"/>
          <w:kern w:val="0"/>
        </w:rPr>
        <w:tab/>
      </w:r>
    </w:p>
    <w:p>
      <w:pPr>
        <w:tabs>
          <w:tab w:val="left" w:pos="480"/>
        </w:tabs>
        <w:adjustRightInd w:val="0"/>
        <w:snapToGrid w:val="0"/>
        <w:spacing w:line="300" w:lineRule="auto"/>
        <w:rPr>
          <w:snapToGrid w:val="0"/>
          <w:kern w:val="0"/>
        </w:rPr>
      </w:pPr>
    </w:p>
    <w:p>
      <w:pPr>
        <w:tabs>
          <w:tab w:val="left" w:pos="480"/>
        </w:tabs>
        <w:adjustRightInd w:val="0"/>
        <w:snapToGrid w:val="0"/>
        <w:spacing w:line="300" w:lineRule="auto"/>
        <w:rPr>
          <w:snapToGrid w:val="0"/>
          <w:kern w:val="0"/>
        </w:rPr>
      </w:pPr>
    </w:p>
    <w:p>
      <w:pPr>
        <w:tabs>
          <w:tab w:val="left" w:pos="48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r>
        <w:rPr>
          <w:snapToGrid w:val="0"/>
          <w:kern w:val="0"/>
        </w:rPr>
        <w:br w:type="page"/>
      </w:r>
    </w:p>
    <w:p>
      <w:pPr>
        <w:tabs>
          <w:tab w:val="left" w:pos="1200"/>
        </w:tabs>
        <w:adjustRightInd w:val="0"/>
        <w:snapToGrid w:val="0"/>
        <w:spacing w:line="300" w:lineRule="auto"/>
        <w:rPr>
          <w:snapToGrid w:val="0"/>
          <w:kern w:val="0"/>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74" w:name="q16"/>
      <w:bookmarkEnd w:id="74"/>
      <w:bookmarkStart w:id="75" w:name="_格式4__"/>
      <w:bookmarkEnd w:id="75"/>
      <w:bookmarkStart w:id="76" w:name="q17"/>
      <w:bookmarkEnd w:id="76"/>
      <w:bookmarkStart w:id="77" w:name="_格式5__"/>
      <w:bookmarkEnd w:id="77"/>
      <w:bookmarkStart w:id="78" w:name="_格式2__投标保证金凭证"/>
      <w:bookmarkEnd w:id="78"/>
      <w:bookmarkStart w:id="79" w:name="_格式3__"/>
      <w:bookmarkEnd w:id="79"/>
      <w:bookmarkStart w:id="80" w:name="q15"/>
      <w:bookmarkEnd w:id="80"/>
      <w:r>
        <w:rPr>
          <w:rFonts w:asciiTheme="minorEastAsia" w:hAnsiTheme="minorEastAsia" w:eastAsiaTheme="minorEastAsia"/>
          <w:sz w:val="24"/>
        </w:rPr>
        <w:tab/>
      </w:r>
      <w:bookmarkStart w:id="81" w:name="_Toc44691401"/>
      <w:bookmarkStart w:id="82" w:name="_Toc44690437"/>
      <w:bookmarkStart w:id="83" w:name="_Toc44691169"/>
      <w:bookmarkStart w:id="84" w:name="_Toc44690710"/>
      <w:r>
        <w:rPr>
          <w:rFonts w:hint="eastAsia" w:asciiTheme="minorEastAsia" w:hAnsiTheme="minorEastAsia" w:eastAsiaTheme="minorEastAsia"/>
          <w:sz w:val="24"/>
        </w:rPr>
        <w:t>格式10  投标人资格声明</w:t>
      </w:r>
      <w:bookmarkEnd w:id="81"/>
      <w:bookmarkEnd w:id="82"/>
      <w:bookmarkEnd w:id="83"/>
      <w:bookmarkEnd w:id="84"/>
    </w:p>
    <w:p>
      <w:pPr>
        <w:snapToGrid w:val="0"/>
        <w:spacing w:line="300" w:lineRule="auto"/>
        <w:rPr>
          <w:rFonts w:ascii="宋体" w:hAnsi="宋体"/>
        </w:rPr>
      </w:pPr>
    </w:p>
    <w:p>
      <w:pPr>
        <w:adjustRightInd w:val="0"/>
        <w:snapToGrid w:val="0"/>
        <w:spacing w:line="360" w:lineRule="auto"/>
        <w:rPr>
          <w:rFonts w:ascii="宋体" w:hAnsi="宋体"/>
          <w:bCs/>
          <w:snapToGrid w:val="0"/>
          <w:kern w:val="0"/>
        </w:rPr>
      </w:pPr>
      <w:r>
        <w:rPr>
          <w:rFonts w:ascii="宋体" w:hAnsi="宋体"/>
          <w:bCs/>
          <w:snapToGrid w:val="0"/>
          <w:kern w:val="0"/>
        </w:rPr>
        <w:t>1、投标人资格声明</w:t>
      </w:r>
      <w:r>
        <w:rPr>
          <w:rFonts w:hint="eastAsia" w:ascii="宋体" w:hAnsi="宋体"/>
          <w:bCs/>
          <w:snapToGrid w:val="0"/>
          <w:kern w:val="0"/>
        </w:rPr>
        <w:t>；</w:t>
      </w:r>
    </w:p>
    <w:p>
      <w:pPr>
        <w:adjustRightInd w:val="0"/>
        <w:snapToGrid w:val="0"/>
        <w:spacing w:line="360" w:lineRule="auto"/>
        <w:rPr>
          <w:rFonts w:ascii="宋体" w:hAnsi="宋体"/>
          <w:bCs/>
          <w:snapToGrid w:val="0"/>
          <w:kern w:val="0"/>
        </w:rPr>
      </w:pPr>
      <w:r>
        <w:rPr>
          <w:rFonts w:hint="eastAsia" w:ascii="宋体" w:hAnsi="宋体"/>
          <w:bCs/>
          <w:snapToGrid w:val="0"/>
          <w:kern w:val="0"/>
        </w:rPr>
        <w:t>2、投标人基本情况简介，格式自拟，包括但不限于经营范围、依法纳税记录等；</w:t>
      </w:r>
    </w:p>
    <w:p>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3、</w:t>
      </w:r>
      <w:r>
        <w:rPr>
          <w:rFonts w:hint="eastAsia" w:ascii="宋体" w:hAnsi="宋体"/>
          <w:bCs/>
          <w:snapToGrid w:val="0"/>
          <w:kern w:val="0"/>
        </w:rPr>
        <w:t>投标人认为有必要提供的其他文件。</w:t>
      </w:r>
    </w:p>
    <w:p>
      <w:pPr>
        <w:adjustRightInd w:val="0"/>
        <w:snapToGrid w:val="0"/>
        <w:spacing w:line="360" w:lineRule="auto"/>
        <w:rPr>
          <w:bCs/>
          <w:snapToGrid w:val="0"/>
          <w:kern w:val="0"/>
        </w:rPr>
      </w:pPr>
    </w:p>
    <w:p>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pPr>
        <w:adjustRightInd w:val="0"/>
        <w:snapToGrid w:val="0"/>
        <w:spacing w:line="360" w:lineRule="auto"/>
        <w:rPr>
          <w:bCs/>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widowControl/>
        <w:jc w:val="left"/>
        <w:rPr>
          <w:snapToGrid w:val="0"/>
          <w:kern w:val="0"/>
        </w:rPr>
      </w:pPr>
      <w:r>
        <w:rPr>
          <w:snapToGrid w:val="0"/>
          <w:kern w:val="0"/>
        </w:rPr>
        <w:br w:type="page"/>
      </w:r>
    </w:p>
    <w:p>
      <w:pPr>
        <w:jc w:val="center"/>
        <w:rPr>
          <w:snapToGrid w:val="0"/>
          <w:kern w:val="0"/>
        </w:rPr>
      </w:pPr>
    </w:p>
    <w:p>
      <w:pPr>
        <w:jc w:val="center"/>
        <w:rPr>
          <w:b/>
          <w:bCs/>
          <w:sz w:val="28"/>
        </w:rPr>
      </w:pPr>
      <w:bookmarkStart w:id="85" w:name="_格式7__投标人资格声明"/>
      <w:bookmarkEnd w:id="85"/>
      <w:bookmarkStart w:id="86" w:name="q40"/>
      <w:r>
        <w:rPr>
          <w:rFonts w:hint="eastAsia"/>
          <w:b/>
          <w:bCs/>
          <w:sz w:val="28"/>
        </w:rPr>
        <w:t>投标人资格声明</w:t>
      </w:r>
    </w:p>
    <w:p>
      <w:pPr>
        <w:snapToGrid w:val="0"/>
        <w:spacing w:line="300" w:lineRule="auto"/>
        <w:rPr>
          <w:rFonts w:ascii="宋体" w:hAnsi="宋体"/>
        </w:rPr>
      </w:pPr>
    </w:p>
    <w:p>
      <w:pPr>
        <w:snapToGrid w:val="0"/>
        <w:spacing w:line="300" w:lineRule="auto"/>
        <w:rPr>
          <w:rFonts w:ascii="宋体" w:hAnsi="宋体"/>
        </w:rPr>
      </w:pPr>
      <w:r>
        <w:rPr>
          <w:rFonts w:hint="eastAsia" w:ascii="宋体" w:hAnsi="宋体"/>
        </w:rPr>
        <w:t>1、名称及其它情况：</w:t>
      </w:r>
    </w:p>
    <w:p>
      <w:pPr>
        <w:snapToGrid w:val="0"/>
        <w:spacing w:line="300" w:lineRule="auto"/>
        <w:ind w:left="420"/>
        <w:rPr>
          <w:rFonts w:ascii="宋体" w:hAnsi="宋体"/>
          <w:u w:val="single"/>
        </w:rPr>
      </w:pPr>
      <w:r>
        <w:rPr>
          <w:rFonts w:hint="eastAsia" w:ascii="宋体" w:hAnsi="宋体"/>
        </w:rPr>
        <w:t>⑴、名称：</w:t>
      </w:r>
    </w:p>
    <w:p>
      <w:pPr>
        <w:snapToGrid w:val="0"/>
        <w:spacing w:line="300" w:lineRule="auto"/>
        <w:ind w:left="420"/>
        <w:rPr>
          <w:rFonts w:ascii="宋体" w:hAnsi="宋体"/>
          <w:bCs/>
        </w:rPr>
      </w:pPr>
      <w:r>
        <w:rPr>
          <w:rFonts w:hint="eastAsia" w:ascii="宋体" w:hAnsi="宋体"/>
          <w:bCs/>
        </w:rPr>
        <w:t>⑵、地址：</w:t>
      </w:r>
    </w:p>
    <w:p>
      <w:pPr>
        <w:snapToGrid w:val="0"/>
        <w:spacing w:line="300" w:lineRule="auto"/>
        <w:ind w:left="420"/>
        <w:rPr>
          <w:rFonts w:ascii="宋体" w:hAnsi="宋体"/>
          <w:b/>
          <w:u w:val="single"/>
        </w:rPr>
      </w:pPr>
      <w:r>
        <w:rPr>
          <w:rFonts w:hint="eastAsia" w:ascii="宋体" w:hAnsi="宋体"/>
          <w:bCs/>
        </w:rPr>
        <w:t>⑶、成立和/或注册日期：</w:t>
      </w:r>
    </w:p>
    <w:p>
      <w:pPr>
        <w:snapToGrid w:val="0"/>
        <w:spacing w:line="300" w:lineRule="auto"/>
        <w:ind w:left="420"/>
        <w:rPr>
          <w:rFonts w:ascii="宋体" w:hAnsi="宋体"/>
          <w:b/>
          <w:u w:val="single"/>
        </w:rPr>
      </w:pPr>
      <w:r>
        <w:rPr>
          <w:rFonts w:ascii="宋体" w:hAnsi="宋体"/>
          <w:bCs/>
        </w:rPr>
        <w:fldChar w:fldCharType="begin"/>
      </w:r>
      <w:r>
        <w:rPr>
          <w:rFonts w:hint="eastAsia" w:ascii="宋体" w:hAnsi="宋体"/>
          <w:bCs/>
        </w:rPr>
        <w:instrText xml:space="preserve">= 4 \* GB2</w:instrText>
      </w:r>
      <w:r>
        <w:rPr>
          <w:rFonts w:ascii="宋体" w:hAnsi="宋体"/>
          <w:bCs/>
        </w:rPr>
        <w:fldChar w:fldCharType="separate"/>
      </w:r>
      <w:r>
        <w:rPr>
          <w:rFonts w:hint="eastAsia" w:ascii="宋体" w:hAnsi="宋体"/>
          <w:bCs/>
        </w:rPr>
        <w:t>⑷</w:t>
      </w:r>
      <w:r>
        <w:rPr>
          <w:rFonts w:ascii="宋体" w:hAnsi="宋体"/>
          <w:bCs/>
        </w:rPr>
        <w:fldChar w:fldCharType="end"/>
      </w:r>
      <w:r>
        <w:rPr>
          <w:rFonts w:hint="eastAsia" w:ascii="宋体" w:hAnsi="宋体"/>
          <w:bCs/>
        </w:rPr>
        <w:t>、企业性质：</w:t>
      </w:r>
    </w:p>
    <w:p>
      <w:pPr>
        <w:snapToGrid w:val="0"/>
        <w:spacing w:line="300" w:lineRule="auto"/>
        <w:ind w:left="708" w:hanging="707" w:hangingChars="337"/>
        <w:rPr>
          <w:rFonts w:ascii="宋体" w:hAnsi="宋体"/>
          <w:bCs/>
        </w:rPr>
      </w:pPr>
      <w:r>
        <w:rPr>
          <w:rFonts w:hint="eastAsia" w:ascii="宋体" w:hAnsi="宋体"/>
          <w:bCs/>
        </w:rPr>
        <w:t>2、近三年主要客户的名称和地址：</w:t>
      </w:r>
    </w:p>
    <w:p>
      <w:pPr>
        <w:snapToGrid w:val="0"/>
        <w:spacing w:line="300" w:lineRule="auto"/>
        <w:ind w:left="990"/>
        <w:rPr>
          <w:rFonts w:ascii="宋体" w:hAnsi="宋体"/>
          <w:bCs/>
        </w:rPr>
      </w:pPr>
      <w:r>
        <w:rPr>
          <w:rFonts w:hint="eastAsia" w:ascii="宋体" w:hAnsi="宋体"/>
          <w:bCs/>
        </w:rPr>
        <w:t>名称和地址                          项目名称</w:t>
      </w:r>
    </w:p>
    <w:p>
      <w:pPr>
        <w:snapToGrid w:val="0"/>
        <w:spacing w:line="300" w:lineRule="auto"/>
        <w:rPr>
          <w:rFonts w:ascii="宋体" w:hAnsi="宋体"/>
          <w:bCs/>
          <w:u w:val="single"/>
        </w:rPr>
      </w:pPr>
    </w:p>
    <w:p>
      <w:pPr>
        <w:snapToGrid w:val="0"/>
        <w:spacing w:line="300" w:lineRule="auto"/>
        <w:rPr>
          <w:rFonts w:ascii="宋体" w:hAnsi="宋体"/>
          <w:b/>
          <w:u w:val="single"/>
        </w:rPr>
      </w:pPr>
    </w:p>
    <w:p>
      <w:pPr>
        <w:snapToGrid w:val="0"/>
        <w:spacing w:line="300" w:lineRule="auto"/>
        <w:rPr>
          <w:rFonts w:ascii="宋体" w:hAnsi="宋体"/>
          <w:bCs/>
          <w:u w:val="single"/>
        </w:rPr>
      </w:pPr>
    </w:p>
    <w:p>
      <w:pPr>
        <w:snapToGrid w:val="0"/>
        <w:spacing w:line="300" w:lineRule="auto"/>
        <w:rPr>
          <w:rFonts w:ascii="宋体" w:hAnsi="宋体"/>
          <w:bCs/>
        </w:rPr>
      </w:pPr>
      <w:r>
        <w:rPr>
          <w:rFonts w:hint="eastAsia" w:ascii="宋体" w:hAnsi="宋体"/>
          <w:bCs/>
        </w:rPr>
        <w:t>3、近三年的营业额：</w:t>
      </w:r>
    </w:p>
    <w:p>
      <w:pPr>
        <w:snapToGrid w:val="0"/>
        <w:spacing w:line="300" w:lineRule="auto"/>
        <w:ind w:firstLine="420" w:firstLineChars="200"/>
        <w:rPr>
          <w:rFonts w:ascii="宋体" w:hAnsi="宋体"/>
          <w:bCs/>
        </w:rPr>
      </w:pPr>
      <w:r>
        <w:rPr>
          <w:rFonts w:hint="eastAsia" w:ascii="宋体" w:hAnsi="宋体"/>
          <w:bCs/>
        </w:rPr>
        <w:t>年份                国内                    国外                  总额</w:t>
      </w:r>
    </w:p>
    <w:p>
      <w:pPr>
        <w:snapToGrid w:val="0"/>
        <w:spacing w:line="300" w:lineRule="auto"/>
        <w:rPr>
          <w:rFonts w:ascii="宋体" w:hAnsi="宋体"/>
          <w:bCs/>
        </w:rPr>
      </w:pPr>
    </w:p>
    <w:p>
      <w:pPr>
        <w:snapToGrid w:val="0"/>
        <w:spacing w:line="300" w:lineRule="auto"/>
        <w:rPr>
          <w:rFonts w:ascii="宋体" w:hAnsi="宋体"/>
          <w:b/>
          <w:u w:val="single"/>
        </w:rPr>
      </w:pPr>
    </w:p>
    <w:p>
      <w:pPr>
        <w:snapToGrid w:val="0"/>
        <w:spacing w:line="300" w:lineRule="auto"/>
        <w:rPr>
          <w:rFonts w:ascii="宋体" w:hAnsi="宋体"/>
          <w:bCs/>
        </w:rPr>
      </w:pPr>
    </w:p>
    <w:p>
      <w:pPr>
        <w:snapToGrid w:val="0"/>
        <w:spacing w:line="300" w:lineRule="auto"/>
        <w:rPr>
          <w:rFonts w:ascii="宋体" w:hAnsi="宋体"/>
          <w:bCs/>
        </w:rPr>
      </w:pPr>
      <w:r>
        <w:rPr>
          <w:rFonts w:hint="eastAsia" w:ascii="宋体" w:hAnsi="宋体"/>
          <w:bCs/>
        </w:rPr>
        <w:t>4、有关开户银行的名称和地址：</w:t>
      </w:r>
    </w:p>
    <w:p>
      <w:pPr>
        <w:snapToGrid w:val="0"/>
        <w:spacing w:line="300" w:lineRule="auto"/>
        <w:rPr>
          <w:rFonts w:ascii="宋体" w:hAnsi="宋体"/>
          <w:b/>
          <w:u w:val="single"/>
        </w:rPr>
      </w:pPr>
      <w:r>
        <w:rPr>
          <w:rFonts w:hint="eastAsia" w:ascii="宋体" w:hAnsi="宋体"/>
          <w:bCs/>
        </w:rPr>
        <w:t>5、其他情况：</w:t>
      </w:r>
    </w:p>
    <w:p>
      <w:pPr>
        <w:snapToGrid w:val="0"/>
        <w:spacing w:line="300" w:lineRule="auto"/>
        <w:ind w:left="105" w:leftChars="50" w:firstLine="472" w:firstLineChars="225"/>
        <w:rPr>
          <w:rFonts w:ascii="宋体" w:hAnsi="宋体"/>
          <w:bCs/>
        </w:rPr>
      </w:pPr>
      <w:r>
        <w:rPr>
          <w:rFonts w:hint="eastAsia" w:ascii="宋体" w:hAnsi="宋体"/>
          <w:bCs/>
        </w:rPr>
        <w:t>兹证明上述声明是真实、正确的，并提供了全部能提供的资料和数据，我愿遵照贵方要求出示有关证明文件。</w:t>
      </w:r>
    </w:p>
    <w:p>
      <w:pPr>
        <w:snapToGrid w:val="0"/>
        <w:spacing w:line="300" w:lineRule="auto"/>
        <w:ind w:left="560"/>
        <w:rPr>
          <w:rFonts w:ascii="宋体" w:hAnsi="宋体"/>
          <w:bCs/>
        </w:rPr>
      </w:pPr>
    </w:p>
    <w:p>
      <w:pPr>
        <w:snapToGrid w:val="0"/>
        <w:spacing w:line="300" w:lineRule="auto"/>
        <w:ind w:left="560"/>
        <w:rPr>
          <w:rFonts w:ascii="宋体" w:hAnsi="宋体"/>
          <w:bCs/>
          <w:u w:val="single"/>
        </w:rPr>
      </w:pPr>
      <w:r>
        <w:rPr>
          <w:rFonts w:hint="eastAsia" w:ascii="宋体" w:hAnsi="宋体"/>
        </w:rPr>
        <w:t>投标单位</w:t>
      </w:r>
      <w:r>
        <w:rPr>
          <w:rFonts w:hint="eastAsia" w:ascii="宋体" w:hAnsi="宋体"/>
          <w:bCs/>
        </w:rPr>
        <w:t>名称（加盖公章）：</w:t>
      </w:r>
    </w:p>
    <w:p>
      <w:pPr>
        <w:snapToGrid w:val="0"/>
        <w:spacing w:line="300" w:lineRule="auto"/>
        <w:ind w:left="560"/>
        <w:rPr>
          <w:rFonts w:ascii="宋体" w:hAnsi="宋体"/>
          <w:bCs/>
          <w:u w:val="single"/>
        </w:rPr>
      </w:pPr>
      <w:r>
        <w:rPr>
          <w:rFonts w:hint="eastAsia" w:ascii="宋体" w:hAnsi="宋体"/>
          <w:bCs/>
        </w:rPr>
        <w:t>授权代表或法定代表人签字：</w:t>
      </w:r>
    </w:p>
    <w:p>
      <w:pPr>
        <w:snapToGrid w:val="0"/>
        <w:spacing w:line="300" w:lineRule="auto"/>
        <w:ind w:left="560"/>
        <w:rPr>
          <w:rFonts w:ascii="宋体" w:hAnsi="宋体"/>
          <w:bCs/>
          <w:u w:val="single"/>
        </w:rPr>
      </w:pPr>
      <w:r>
        <w:rPr>
          <w:rFonts w:hint="eastAsia" w:ascii="宋体" w:hAnsi="宋体"/>
          <w:bCs/>
        </w:rPr>
        <w:t>授权代表的职务：</w:t>
      </w:r>
    </w:p>
    <w:p>
      <w:pPr>
        <w:snapToGrid w:val="0"/>
        <w:spacing w:line="300" w:lineRule="auto"/>
        <w:ind w:left="560"/>
        <w:rPr>
          <w:rFonts w:ascii="宋体" w:hAnsi="宋体"/>
          <w:bCs/>
          <w:u w:val="single"/>
        </w:rPr>
      </w:pPr>
      <w:r>
        <w:rPr>
          <w:rFonts w:hint="eastAsia" w:ascii="宋体" w:hAnsi="宋体"/>
          <w:bCs/>
        </w:rPr>
        <w:t>电话：</w:t>
      </w:r>
    </w:p>
    <w:p>
      <w:pPr>
        <w:snapToGrid w:val="0"/>
        <w:spacing w:line="300" w:lineRule="auto"/>
        <w:ind w:left="560"/>
        <w:rPr>
          <w:rFonts w:ascii="宋体" w:hAnsi="宋体"/>
          <w:bCs/>
          <w:u w:val="single"/>
        </w:rPr>
      </w:pPr>
      <w:r>
        <w:rPr>
          <w:rFonts w:hint="eastAsia" w:ascii="宋体" w:hAnsi="宋体"/>
          <w:bCs/>
        </w:rPr>
        <w:t>传真：</w:t>
      </w:r>
    </w:p>
    <w:p>
      <w:pPr>
        <w:snapToGrid w:val="0"/>
        <w:spacing w:line="300" w:lineRule="auto"/>
        <w:ind w:left="560"/>
        <w:rPr>
          <w:rFonts w:ascii="宋体" w:hAnsi="宋体"/>
          <w:bCs/>
        </w:rPr>
      </w:pPr>
      <w:r>
        <w:rPr>
          <w:rFonts w:hint="eastAsia" w:ascii="宋体" w:hAnsi="宋体"/>
          <w:bCs/>
        </w:rPr>
        <w:t>日期：</w:t>
      </w:r>
      <w:r>
        <w:rPr>
          <w:rFonts w:hint="eastAsia"/>
          <w:snapToGrid w:val="0"/>
          <w:kern w:val="0"/>
          <w:u w:val="single"/>
        </w:rPr>
        <w:t>　　　　　　　　　　　　　　　</w:t>
      </w: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widowControl/>
        <w:jc w:val="left"/>
        <w:rPr>
          <w:b/>
          <w:szCs w:val="21"/>
        </w:rPr>
      </w:pPr>
      <w:r>
        <w:rPr>
          <w:b/>
          <w:szCs w:val="21"/>
        </w:rPr>
        <w:br w:type="page"/>
      </w:r>
    </w:p>
    <w:p>
      <w:pPr>
        <w:spacing w:line="360" w:lineRule="auto"/>
        <w:jc w:val="center"/>
        <w:rPr>
          <w:b/>
          <w:szCs w:val="21"/>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格式11  偏离表</w:t>
      </w:r>
    </w:p>
    <w:bookmarkEnd w:id="86"/>
    <w:p>
      <w:pPr>
        <w:spacing w:line="360" w:lineRule="auto"/>
        <w:jc w:val="center"/>
      </w:pPr>
    </w:p>
    <w:p>
      <w:pPr>
        <w:snapToGrid w:val="0"/>
        <w:spacing w:line="360" w:lineRule="auto"/>
        <w:jc w:val="center"/>
        <w:rPr>
          <w:b/>
        </w:rPr>
      </w:pPr>
      <w:r>
        <w:rPr>
          <w:rFonts w:hint="eastAsia"/>
          <w:b/>
        </w:rPr>
        <w:t>技术规格偏离表</w:t>
      </w:r>
    </w:p>
    <w:tbl>
      <w:tblPr>
        <w:tblStyle w:val="50"/>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序号</w:t>
            </w:r>
          </w:p>
        </w:tc>
        <w:tc>
          <w:tcPr>
            <w:tcW w:w="1418" w:type="dxa"/>
            <w:vAlign w:val="center"/>
          </w:tcPr>
          <w:p>
            <w:pPr>
              <w:spacing w:line="360" w:lineRule="auto"/>
              <w:jc w:val="center"/>
              <w:rPr>
                <w:rFonts w:ascii="宋体" w:hAnsi="宋体"/>
                <w:szCs w:val="21"/>
              </w:rPr>
            </w:pPr>
            <w:r>
              <w:rPr>
                <w:rFonts w:hint="eastAsia" w:ascii="宋体" w:hAnsi="宋体"/>
                <w:szCs w:val="21"/>
              </w:rPr>
              <w:t>货物名称</w:t>
            </w:r>
          </w:p>
        </w:tc>
        <w:tc>
          <w:tcPr>
            <w:tcW w:w="2482" w:type="dxa"/>
            <w:vAlign w:val="center"/>
          </w:tcPr>
          <w:p>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pPr>
              <w:spacing w:line="360" w:lineRule="auto"/>
              <w:jc w:val="center"/>
              <w:rPr>
                <w:rFonts w:ascii="宋体" w:hAnsi="宋体"/>
                <w:szCs w:val="21"/>
              </w:rPr>
            </w:pPr>
            <w:r>
              <w:rPr>
                <w:rFonts w:hint="eastAsia" w:ascii="宋体" w:hAnsi="宋体"/>
                <w:szCs w:val="21"/>
              </w:rPr>
              <w:t>偏离情况</w:t>
            </w:r>
          </w:p>
        </w:tc>
        <w:tc>
          <w:tcPr>
            <w:tcW w:w="2304" w:type="dxa"/>
            <w:vAlign w:val="center"/>
          </w:tcPr>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bl>
    <w:p>
      <w:pPr>
        <w:spacing w:line="400" w:lineRule="exact"/>
        <w:rPr>
          <w:rFonts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技术要求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”一栏应详细填写投标产品的具体参数响应情况。</w:t>
      </w:r>
    </w:p>
    <w:p>
      <w:pPr>
        <w:spacing w:line="400" w:lineRule="exact"/>
        <w:ind w:firstLine="424" w:firstLineChars="202"/>
        <w:rPr>
          <w:rFonts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招标文件第二章《项目需求》中“二、</w:t>
      </w:r>
      <w:r>
        <w:rPr>
          <w:rFonts w:hint="eastAsia" w:ascii="宋体" w:hAnsi="宋体"/>
          <w:b/>
          <w:bCs/>
          <w:snapToGrid w:val="0"/>
          <w:szCs w:val="21"/>
        </w:rPr>
        <w:t>技术要求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证明资料包括制造商公布的产品说明书、产品彩页和我国政府机构出具的产品检验和核准证件等。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pacing w:line="400" w:lineRule="exact"/>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4、证明资料（均为复印件或扫描件）的提供要求：</w:t>
      </w:r>
    </w:p>
    <w:p>
      <w:pPr>
        <w:spacing w:line="400" w:lineRule="exact"/>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 xml:space="preserve">（1）产品说明书或彩页应为制造商公布或出具的中文产品说明书或彩页；提供外文说明书或彩页的，需同时提供加盖制造商公章的对应中文翻译说明，评标依据以中文翻译内容为准，外文说明书或彩页仅供参考； </w:t>
      </w:r>
    </w:p>
    <w:p>
      <w:pPr>
        <w:spacing w:line="400" w:lineRule="exact"/>
        <w:ind w:firstLine="424" w:firstLineChars="202"/>
        <w:rPr>
          <w:rFonts w:ascii="宋体" w:hAnsi="宋体" w:cs="Arial"/>
          <w:b/>
          <w:bCs/>
          <w:szCs w:val="21"/>
        </w:rPr>
      </w:pPr>
      <w:r>
        <w:rPr>
          <w:rFonts w:hint="eastAsia" w:asciiTheme="minorEastAsia" w:hAnsiTheme="minorEastAsia" w:eastAsiaTheme="minorEastAsia"/>
          <w:szCs w:val="21"/>
        </w:rPr>
        <w:t>（2）我国政府机构出具的产品检验和核准证件应为证件正面、背面和附件标注的全部具体内容</w:t>
      </w:r>
      <w:r>
        <w:rPr>
          <w:rFonts w:hint="eastAsia" w:ascii="宋体" w:hAnsi="宋体" w:cs="Arial"/>
          <w:bCs/>
          <w:szCs w:val="21"/>
        </w:rPr>
        <w:t>。</w:t>
      </w:r>
    </w:p>
    <w:p>
      <w:pPr>
        <w:adjustRightInd w:val="0"/>
        <w:snapToGrid w:val="0"/>
        <w:spacing w:line="360" w:lineRule="auto"/>
        <w:rPr>
          <w:bCs/>
          <w:snapToGrid w:val="0"/>
        </w:rPr>
      </w:pPr>
    </w:p>
    <w:p>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spacing w:line="360" w:lineRule="auto"/>
              <w:jc w:val="center"/>
              <w:rPr>
                <w:rFonts w:ascii="宋体" w:hAnsi="宋体"/>
                <w:szCs w:val="21"/>
              </w:rPr>
            </w:pPr>
            <w:r>
              <w:rPr>
                <w:rFonts w:hint="eastAsia" w:ascii="宋体" w:hAnsi="宋体"/>
                <w:szCs w:val="21"/>
              </w:rPr>
              <w:t>序号</w:t>
            </w:r>
          </w:p>
        </w:tc>
        <w:tc>
          <w:tcPr>
            <w:tcW w:w="3077" w:type="dxa"/>
            <w:vAlign w:val="center"/>
          </w:tcPr>
          <w:p>
            <w:pPr>
              <w:spacing w:line="360" w:lineRule="auto"/>
              <w:jc w:val="center"/>
              <w:rPr>
                <w:rFonts w:ascii="宋体" w:hAnsi="宋体"/>
                <w:szCs w:val="21"/>
              </w:rPr>
            </w:pPr>
            <w:r>
              <w:rPr>
                <w:rFonts w:hint="eastAsia" w:ascii="宋体" w:hAnsi="宋体"/>
                <w:szCs w:val="21"/>
              </w:rPr>
              <w:t>招标商务需求</w:t>
            </w:r>
          </w:p>
        </w:tc>
        <w:tc>
          <w:tcPr>
            <w:tcW w:w="2735" w:type="dxa"/>
            <w:vAlign w:val="center"/>
          </w:tcPr>
          <w:p>
            <w:pPr>
              <w:spacing w:line="360" w:lineRule="auto"/>
              <w:jc w:val="center"/>
              <w:rPr>
                <w:rFonts w:ascii="宋体" w:hAnsi="宋体"/>
                <w:szCs w:val="21"/>
              </w:rPr>
            </w:pPr>
            <w:r>
              <w:rPr>
                <w:rFonts w:hint="eastAsia" w:ascii="宋体" w:hAnsi="宋体"/>
                <w:szCs w:val="21"/>
              </w:rPr>
              <w:t>投标商务响应</w:t>
            </w:r>
          </w:p>
        </w:tc>
        <w:tc>
          <w:tcPr>
            <w:tcW w:w="1801" w:type="dxa"/>
            <w:vAlign w:val="center"/>
          </w:tcPr>
          <w:p>
            <w:pPr>
              <w:spacing w:line="360" w:lineRule="auto"/>
              <w:jc w:val="center"/>
              <w:rPr>
                <w:rFonts w:ascii="宋体" w:hAnsi="宋体"/>
                <w:szCs w:val="21"/>
              </w:rPr>
            </w:pPr>
            <w:r>
              <w:rPr>
                <w:rFonts w:hint="eastAsia" w:ascii="宋体" w:hAnsi="宋体"/>
                <w:szCs w:val="21"/>
              </w:rPr>
              <w:t>偏离情况</w:t>
            </w:r>
          </w:p>
        </w:tc>
        <w:tc>
          <w:tcPr>
            <w:tcW w:w="1515" w:type="dxa"/>
            <w:vAlign w:val="center"/>
          </w:tcPr>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bCs/>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cs="宋体"/>
                <w:b/>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bCs/>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cs="宋体"/>
                <w:b/>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bl>
    <w:p>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pPr>
        <w:spacing w:line="400" w:lineRule="exact"/>
        <w:ind w:firstLine="420" w:firstLineChars="200"/>
      </w:pPr>
      <w:r>
        <w:rPr>
          <w:rFonts w:hint="eastAsia" w:asciiTheme="minorEastAsia" w:hAnsiTheme="minorEastAsia" w:eastAsiaTheme="minorEastAsia"/>
          <w:szCs w:val="21"/>
        </w:rPr>
        <w:t>3、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pacing w:line="400" w:lineRule="exact"/>
        <w:ind w:firstLine="420" w:firstLineChars="200"/>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rPr>
          <w:snapToGrid w:val="0"/>
          <w:kern w:val="0"/>
        </w:rPr>
      </w:pPr>
    </w:p>
    <w:p>
      <w:pPr>
        <w:adjustRightInd w:val="0"/>
        <w:snapToGrid w:val="0"/>
        <w:spacing w:line="300" w:lineRule="auto"/>
        <w:ind w:right="420"/>
        <w:jc w:val="center"/>
      </w:pPr>
      <w:r>
        <w:rPr>
          <w:rFonts w:hint="eastAsia"/>
          <w:snapToGrid w:val="0"/>
          <w:kern w:val="0"/>
        </w:rPr>
        <w:t xml:space="preserve">                                                            年    月    日</w:t>
      </w:r>
      <w:r>
        <w:br w:type="page"/>
      </w:r>
    </w:p>
    <w:p>
      <w:pPr>
        <w:adjustRightInd w:val="0"/>
        <w:snapToGrid w:val="0"/>
        <w:spacing w:line="300" w:lineRule="auto"/>
        <w:ind w:right="420"/>
        <w:jc w:val="cente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格式12  招标文件要求的其他资料或投标人认为需要补充的资料</w:t>
      </w:r>
    </w:p>
    <w:p>
      <w:pPr>
        <w:spacing w:line="360" w:lineRule="auto"/>
        <w:jc w:val="center"/>
      </w:pPr>
    </w:p>
    <w:p>
      <w:pPr>
        <w:spacing w:line="360" w:lineRule="auto"/>
        <w:ind w:firstLine="420" w:firstLineChars="200"/>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pPr>
        <w:adjustRightInd w:val="0"/>
        <w:snapToGrid w:val="0"/>
        <w:spacing w:line="360" w:lineRule="auto"/>
        <w:ind w:firstLine="420" w:firstLineChars="200"/>
        <w:rPr>
          <w:bCs/>
          <w:snapToGrid w:val="0"/>
          <w:kern w:val="0"/>
        </w:rPr>
      </w:pPr>
    </w:p>
    <w:p>
      <w:pPr>
        <w:adjustRightInd w:val="0"/>
        <w:snapToGrid w:val="0"/>
        <w:spacing w:line="300" w:lineRule="auto"/>
        <w:ind w:firstLine="420" w:firstLineChars="200"/>
        <w:rPr>
          <w:b/>
          <w:snapToGrid w:val="0"/>
          <w:kern w:val="0"/>
          <w:sz w:val="24"/>
        </w:rPr>
      </w:pPr>
      <w:r>
        <w:rPr>
          <w:rFonts w:hint="eastAsia"/>
          <w:bCs/>
          <w:snapToGrid w:val="0"/>
          <w:kern w:val="0"/>
        </w:rPr>
        <w:t>注：如需提供补充资料，本部分资料格式不做统一规定，由投标人自行设计。</w:t>
      </w:r>
    </w:p>
    <w:p>
      <w:pPr>
        <w:pStyle w:val="2"/>
        <w:keepNext w:val="0"/>
        <w:rPr>
          <w:b w:val="0"/>
          <w:snapToGrid w:val="0"/>
          <w:kern w:val="0"/>
          <w:sz w:val="52"/>
          <w:szCs w:val="52"/>
        </w:rPr>
      </w:pPr>
    </w:p>
    <w:p/>
    <w:p/>
    <w:p/>
    <w:p/>
    <w:p/>
    <w:p/>
    <w:p/>
    <w:p/>
    <w:p/>
    <w:p/>
    <w:p/>
    <w:p/>
    <w:p/>
    <w:p/>
    <w:p/>
    <w:p/>
    <w:p/>
    <w:p/>
    <w:p>
      <w:pPr>
        <w:tabs>
          <w:tab w:val="left" w:pos="1875"/>
        </w:tabs>
      </w:pPr>
      <w:r>
        <w:tab/>
      </w: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widowControl/>
        <w:jc w:val="left"/>
      </w:pPr>
      <w:r>
        <w:br w:type="page"/>
      </w:r>
    </w:p>
    <w:p>
      <w:pPr>
        <w:tabs>
          <w:tab w:val="left" w:pos="1875"/>
        </w:tabs>
      </w:pPr>
    </w:p>
    <w:p>
      <w:pPr>
        <w:tabs>
          <w:tab w:val="left" w:pos="1875"/>
        </w:tabs>
      </w:pPr>
    </w:p>
    <w:p>
      <w:pPr>
        <w:pStyle w:val="2"/>
        <w:spacing w:before="0" w:after="0"/>
      </w:pPr>
      <w:bookmarkStart w:id="87" w:name="_Toc73610160"/>
      <w:r>
        <w:rPr>
          <w:rFonts w:hint="eastAsia"/>
        </w:rPr>
        <w:t>第八章  合同条款</w:t>
      </w:r>
      <w:bookmarkEnd w:id="87"/>
    </w:p>
    <w:p>
      <w:pPr>
        <w:jc w:val="center"/>
        <w:rPr>
          <w:b/>
          <w:szCs w:val="21"/>
        </w:rPr>
      </w:pPr>
    </w:p>
    <w:p>
      <w:pPr>
        <w:adjustRightInd w:val="0"/>
        <w:snapToGrid w:val="0"/>
        <w:spacing w:after="60" w:line="360" w:lineRule="auto"/>
        <w:jc w:val="center"/>
        <w:rPr>
          <w:b/>
          <w:snapToGrid w:val="0"/>
          <w:kern w:val="0"/>
          <w:sz w:val="24"/>
        </w:rPr>
      </w:pPr>
      <w:r>
        <w:rPr>
          <w:rFonts w:hint="eastAsia"/>
          <w:b/>
          <w:snapToGrid w:val="0"/>
          <w:kern w:val="0"/>
          <w:sz w:val="24"/>
        </w:rPr>
        <w:t>（拟签订的合同文本）</w:t>
      </w:r>
    </w:p>
    <w:p>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pPr>
        <w:adjustRightInd w:val="0"/>
        <w:snapToGrid w:val="0"/>
        <w:spacing w:line="360" w:lineRule="auto"/>
        <w:jc w:val="center"/>
        <w:rPr>
          <w:b/>
          <w:snapToGrid w:val="0"/>
          <w:kern w:val="0"/>
          <w:sz w:val="28"/>
        </w:rPr>
      </w:pPr>
    </w:p>
    <w:p>
      <w:pPr>
        <w:spacing w:line="360" w:lineRule="auto"/>
        <w:rPr>
          <w:rFonts w:asciiTheme="minorEastAsia" w:hAnsiTheme="minorEastAsia"/>
          <w:b/>
          <w:bCs/>
          <w:szCs w:val="21"/>
        </w:rPr>
      </w:pPr>
      <w:r>
        <w:rPr>
          <w:rFonts w:hint="eastAsia" w:asciiTheme="minorEastAsia" w:hAnsiTheme="minorEastAsia"/>
          <w:b/>
          <w:bCs/>
          <w:szCs w:val="21"/>
        </w:rPr>
        <w:t>甲方（采购人）：</w:t>
      </w:r>
    </w:p>
    <w:p>
      <w:pPr>
        <w:spacing w:line="360" w:lineRule="auto"/>
        <w:rPr>
          <w:rFonts w:asciiTheme="minorEastAsia" w:hAnsiTheme="minorEastAsia"/>
          <w:szCs w:val="21"/>
        </w:rPr>
      </w:pPr>
      <w:r>
        <w:rPr>
          <w:rFonts w:hint="eastAsia" w:asciiTheme="minorEastAsia" w:hAnsiTheme="minorEastAsia"/>
          <w:b/>
          <w:bCs/>
          <w:szCs w:val="21"/>
        </w:rPr>
        <w:t>乙方（中标人）：</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根据招标项目（项目编号__________________）的中标结果，由_______________________单位为中标人。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第一条合同标的</w:t>
      </w:r>
    </w:p>
    <w:p>
      <w:pPr>
        <w:spacing w:line="360" w:lineRule="auto"/>
        <w:ind w:firstLine="420" w:firstLineChars="200"/>
        <w:rPr>
          <w:rFonts w:asciiTheme="minorEastAsia" w:hAnsiTheme="minorEastAsia"/>
          <w:szCs w:val="21"/>
        </w:rPr>
      </w:pPr>
      <w:r>
        <w:rPr>
          <w:rFonts w:hint="eastAsia" w:asciiTheme="minorEastAsia" w:hAnsiTheme="minorEastAsia"/>
          <w:szCs w:val="21"/>
        </w:rPr>
        <w:t>货物名称、规格型号、制造商、产地、单位、数量、单价、合同价，详见。</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第二条合同价款</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本合同项下总价款为（大写）人民币，分项价款详见。本合同总价款已包括乙方为履行本合同义务所发生的一切费用，系固定不变价格，且不随通货膨胀的影响而波动。</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第三条交货时间、地点和交货状态</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3.1交货时间：</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3.2交货地点：</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3.3交货状态：</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第四条质量标准和要求</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4.1乙方所提供的货物质量标准按照国家标准或者行业标准或者企业标准明确。没有国家标准、行业标准或企业标准的，按照通常标准或者符合合同目的的特定标准确定。</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4.2乙方应保证货物是全新、未使用过的原装合格正品（包括零部件），并完全符合甲方要求的质量、规格和性能的要求。如货物安装或配置了软件的，乙方保证相关软件均为正版软件。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420" w:firstLineChars="200"/>
        <w:jc w:val="left"/>
        <w:rPr>
          <w:rFonts w:asciiTheme="minorEastAsia" w:hAnsiTheme="minorEastAsia"/>
          <w:szCs w:val="21"/>
        </w:rPr>
      </w:pPr>
      <w:r>
        <w:rPr>
          <w:rFonts w:asciiTheme="minorEastAsia" w:hAnsiTheme="minorEastAsia"/>
          <w:szCs w:val="21"/>
        </w:rPr>
        <w:t>4.3乙方保证交货时一并提供货物的质量合格凭证或文件。</w:t>
      </w:r>
    </w:p>
    <w:p>
      <w:pPr>
        <w:spacing w:line="360" w:lineRule="auto"/>
        <w:ind w:firstLine="420" w:firstLineChars="20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4.4乙方所提供的全部货物均应按照标准保护措施进行包装，包装应适用于远距离运输、防潮、防震、防锈、防野蛮装卸等要求，以确保货物安全无损抵运指定交货地点。</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第五条权利保证</w:t>
      </w:r>
    </w:p>
    <w:p>
      <w:pPr>
        <w:spacing w:line="360" w:lineRule="auto"/>
        <w:ind w:firstLine="420" w:firstLineChars="20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420" w:firstLineChars="200"/>
        <w:jc w:val="left"/>
        <w:rPr>
          <w:rFonts w:asciiTheme="minorEastAsia" w:hAnsiTheme="minorEastAsia"/>
          <w:szCs w:val="21"/>
        </w:rPr>
      </w:pPr>
      <w:r>
        <w:rPr>
          <w:rFonts w:asciiTheme="minorEastAsia" w:hAnsiTheme="minorEastAsia"/>
          <w:szCs w:val="21"/>
        </w:rPr>
        <w:t>5.2乙方应保证其提供的货物不存在任何未曾向甲方透漏的担保物权，如抵押权、质押权、留置权等。</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第六条质量保障</w:t>
      </w:r>
    </w:p>
    <w:p>
      <w:pPr>
        <w:spacing w:line="360" w:lineRule="auto"/>
        <w:ind w:firstLine="420" w:firstLineChars="20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pPr>
        <w:spacing w:line="360" w:lineRule="auto"/>
        <w:ind w:firstLine="420" w:firstLineChars="20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6.3质量保证金：乙方应向甲方交纳</w:t>
      </w:r>
      <w:r>
        <w:rPr>
          <w:rFonts w:hint="eastAsia" w:asciiTheme="minorEastAsia" w:hAnsiTheme="minorEastAsia"/>
          <w:szCs w:val="21"/>
        </w:rPr>
        <w:t>元质量保证金，也可以采用支票或者甲方认可的银行出具的保函。质量保证金应在合同签订之日起日内一次性支付给甲方。验收合格后日内，甲方一次性将质量保证金无息退还给乙方。</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第七条交货和验收</w:t>
      </w:r>
    </w:p>
    <w:p>
      <w:pPr>
        <w:spacing w:line="360" w:lineRule="auto"/>
        <w:ind w:firstLine="420" w:firstLineChars="20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pPr>
        <w:spacing w:line="360" w:lineRule="auto"/>
        <w:ind w:firstLine="420" w:firstLineChars="20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420" w:firstLineChars="20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7.4甲方应当在到货后的</w:t>
      </w:r>
      <w:r>
        <w:rPr>
          <w:rFonts w:hint="eastAsia" w:asciiTheme="minorEastAsia" w:hAnsiTheme="minorEastAsia"/>
          <w:szCs w:val="21"/>
        </w:rPr>
        <w:t>个工作日内对货物进行验收；需要乙方对货物或系统进行安装调试的，甲方应在货物安装调试完毕后的个工作日内进行质量验收。</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第八条保修及其他服务</w:t>
      </w:r>
    </w:p>
    <w:p>
      <w:pPr>
        <w:spacing w:line="360" w:lineRule="auto"/>
        <w:ind w:firstLine="420" w:firstLineChars="20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pPr>
        <w:spacing w:line="360" w:lineRule="auto"/>
        <w:ind w:firstLine="420" w:firstLineChars="20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hint="eastAsia" w:asciiTheme="minorEastAsia" w:hAnsiTheme="minorEastAsia"/>
          <w:szCs w:val="21"/>
        </w:rPr>
        <w:t>所有货物保修服务方式均为乙方上门保修，即由乙方派员到货物使用现场维修，由此产生的一切费用均由乙方承担。保修期后的货物维护另行协商。</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第九条履约保证金</w:t>
      </w:r>
    </w:p>
    <w:p>
      <w:pPr>
        <w:spacing w:line="360" w:lineRule="auto"/>
        <w:ind w:firstLine="420" w:firstLineChars="20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pPr>
        <w:spacing w:line="360" w:lineRule="auto"/>
        <w:ind w:firstLine="420" w:firstLineChars="20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pPr>
        <w:spacing w:line="360" w:lineRule="auto"/>
        <w:ind w:firstLine="420" w:firstLineChars="20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第十条货款支付</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10.1本合同以人民币付款。</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10.2付款条件：</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10.3付款方式和时间：</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第十一条违约责任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pPr>
        <w:spacing w:line="360" w:lineRule="auto"/>
        <w:ind w:firstLine="420" w:firstLineChars="200"/>
        <w:jc w:val="left"/>
        <w:rPr>
          <w:rFonts w:asciiTheme="minorEastAsia" w:hAnsiTheme="minorEastAsia"/>
          <w:szCs w:val="21"/>
        </w:rPr>
      </w:pPr>
      <w:r>
        <w:rPr>
          <w:rFonts w:asciiTheme="minorEastAsia" w:hAnsiTheme="minorEastAsia"/>
          <w:szCs w:val="21"/>
        </w:rPr>
        <w:t>11.3乙方逾期交付货物的</w:t>
      </w:r>
      <w:r>
        <w:rPr>
          <w:rFonts w:hint="eastAsia" w:asciiTheme="minorEastAsia" w:hAnsiTheme="minorEastAsia"/>
          <w:szCs w:val="21"/>
        </w:rPr>
        <w:t>，</w:t>
      </w:r>
      <w:r>
        <w:rPr>
          <w:rFonts w:asciiTheme="minorEastAsia" w:hAnsiTheme="minorEastAsia"/>
          <w:szCs w:val="21"/>
        </w:rPr>
        <w:t>每逾期1天，乙方向甲方偿付逾期交货部分货款总额的</w:t>
      </w:r>
      <w:r>
        <w:rPr>
          <w:rFonts w:hint="eastAsia" w:asciiTheme="minorEastAsia" w:hAnsiTheme="minorEastAsia"/>
          <w:szCs w:val="21"/>
        </w:rPr>
        <w:t>【】</w:t>
      </w:r>
      <w:r>
        <w:rPr>
          <w:rFonts w:asciiTheme="minorEastAsia" w:hAnsiTheme="minorEastAsia"/>
          <w:szCs w:val="21"/>
        </w:rPr>
        <w:t>‰的滞纳金</w:t>
      </w:r>
      <w:r>
        <w:rPr>
          <w:rFonts w:hint="eastAsia" w:asciiTheme="minorEastAsia" w:hAnsiTheme="minorEastAsia"/>
          <w:szCs w:val="21"/>
        </w:rPr>
        <w:t>。如乙方逾期交货达天，甲方有权解除合同，履约保证金不予退回，同时乙方应向甲方支付合同总价【】％的违约金。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hint="eastAsia" w:asciiTheme="minorEastAsia" w:hAnsiTheme="minorEastAsia"/>
          <w:szCs w:val="21"/>
        </w:rPr>
        <w:t>或更换</w:t>
      </w:r>
      <w:r>
        <w:rPr>
          <w:rFonts w:asciiTheme="minorEastAsia" w:hAnsiTheme="minorEastAsia"/>
          <w:szCs w:val="21"/>
        </w:rPr>
        <w:t>，货物仍不能达到合同约定</w:t>
      </w:r>
      <w:r>
        <w:rPr>
          <w:rFonts w:hint="eastAsia" w:asciiTheme="minorEastAsia" w:hAnsiTheme="minorEastAsia"/>
          <w:szCs w:val="21"/>
        </w:rPr>
        <w:t>的</w:t>
      </w:r>
      <w:r>
        <w:rPr>
          <w:rFonts w:asciiTheme="minorEastAsia" w:hAnsiTheme="minorEastAsia"/>
          <w:szCs w:val="21"/>
        </w:rPr>
        <w:t>质量标准，甲方有权退货，乙方</w:t>
      </w:r>
      <w:r>
        <w:rPr>
          <w:rFonts w:hint="eastAsia" w:asciiTheme="minorEastAsia" w:hAnsiTheme="minorEastAsia"/>
          <w:szCs w:val="21"/>
        </w:rPr>
        <w:t>应</w:t>
      </w:r>
      <w:r>
        <w:rPr>
          <w:rFonts w:asciiTheme="minorEastAsia" w:hAnsiTheme="minorEastAsia"/>
          <w:szCs w:val="21"/>
        </w:rPr>
        <w:t>退回全部货款</w:t>
      </w:r>
      <w:r>
        <w:rPr>
          <w:rFonts w:hint="eastAsia" w:asciiTheme="minorEastAsia" w:hAnsiTheme="minorEastAsia"/>
          <w:szCs w:val="21"/>
        </w:rPr>
        <w:t>并</w:t>
      </w:r>
      <w:r>
        <w:rPr>
          <w:rFonts w:asciiTheme="minorEastAsia" w:hAnsiTheme="minorEastAsia"/>
          <w:szCs w:val="21"/>
        </w:rPr>
        <w:t>赔偿甲方因此遭受的损失。</w:t>
      </w:r>
    </w:p>
    <w:p>
      <w:pPr>
        <w:spacing w:line="360" w:lineRule="auto"/>
        <w:ind w:firstLine="420" w:firstLineChars="20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第十二条合同的变更、解除或终止</w:t>
      </w:r>
    </w:p>
    <w:p>
      <w:pPr>
        <w:spacing w:line="360" w:lineRule="auto"/>
        <w:ind w:firstLine="420" w:firstLineChars="20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pPr>
        <w:spacing w:line="360" w:lineRule="auto"/>
        <w:ind w:firstLine="420" w:firstLineChars="200"/>
        <w:jc w:val="left"/>
        <w:rPr>
          <w:rFonts w:asciiTheme="minorEastAsia" w:hAnsiTheme="minorEastAsia"/>
          <w:szCs w:val="21"/>
        </w:rPr>
      </w:pPr>
      <w:r>
        <w:rPr>
          <w:rFonts w:asciiTheme="minorEastAsia" w:hAnsiTheme="minorEastAsia"/>
          <w:szCs w:val="21"/>
        </w:rPr>
        <w:t>12.</w:t>
      </w:r>
      <w:r>
        <w:rPr>
          <w:rFonts w:hint="eastAsia" w:asciiTheme="minorEastAsia" w:hAnsiTheme="minor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第十三条争议的解决</w:t>
      </w:r>
    </w:p>
    <w:p>
      <w:pPr>
        <w:spacing w:line="360" w:lineRule="auto"/>
        <w:ind w:firstLine="420" w:firstLineChars="20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pPr>
        <w:spacing w:line="360" w:lineRule="auto"/>
        <w:ind w:firstLine="420" w:firstLineChars="20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第十四条合同生效及其他</w:t>
      </w:r>
    </w:p>
    <w:p>
      <w:pPr>
        <w:spacing w:line="360" w:lineRule="auto"/>
        <w:ind w:firstLine="420" w:firstLineChars="200"/>
        <w:jc w:val="left"/>
        <w:rPr>
          <w:rFonts w:asciiTheme="minorEastAsia" w:hAnsiTheme="minorEastAsia"/>
          <w:szCs w:val="21"/>
        </w:rPr>
      </w:pPr>
      <w:r>
        <w:rPr>
          <w:rFonts w:asciiTheme="minorEastAsia" w:hAnsiTheme="minorEastAsia"/>
          <w:szCs w:val="21"/>
        </w:rPr>
        <w:t>14.1下列文件均为本合同的组成部分：</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招标文件、答疑及补充通知；</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2）乙方的投标文件；</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3）本合同执行中甲乙双方共同签署的补充与修正文件。</w:t>
      </w:r>
    </w:p>
    <w:p>
      <w:pPr>
        <w:spacing w:line="360" w:lineRule="auto"/>
        <w:ind w:firstLine="420" w:firstLineChars="200"/>
        <w:jc w:val="left"/>
        <w:rPr>
          <w:rFonts w:asciiTheme="minorEastAsia" w:hAnsiTheme="minorEastAsia"/>
          <w:szCs w:val="21"/>
        </w:rPr>
      </w:pPr>
      <w:r>
        <w:rPr>
          <w:rFonts w:asciiTheme="minorEastAsia" w:hAnsiTheme="minorEastAsia"/>
          <w:szCs w:val="21"/>
        </w:rPr>
        <w:t>14.2本合同一式</w:t>
      </w:r>
      <w:r>
        <w:rPr>
          <w:rFonts w:hint="eastAsia" w:asciiTheme="minorEastAsia" w:hAnsiTheme="minorEastAsia"/>
          <w:szCs w:val="21"/>
        </w:rPr>
        <w:t>份，甲、乙方双方各执份，具有同等法律效力。本合同自双方签字并盖章之日起生效。</w:t>
      </w:r>
    </w:p>
    <w:p>
      <w:pPr>
        <w:snapToGrid w:val="0"/>
        <w:spacing w:line="360" w:lineRule="auto"/>
        <w:ind w:firstLine="420" w:firstLineChars="200"/>
        <w:rPr>
          <w:rFonts w:ascii="宋体" w:hAnsi="宋体"/>
          <w:szCs w:val="21"/>
        </w:rPr>
      </w:pPr>
      <w:r>
        <w:rPr>
          <w:rFonts w:asciiTheme="minorEastAsia" w:hAnsiTheme="minorEastAsia"/>
          <w:szCs w:val="21"/>
        </w:rPr>
        <w:t>14.</w:t>
      </w:r>
      <w:r>
        <w:rPr>
          <w:rFonts w:hint="eastAsia" w:asciiTheme="minorEastAsia" w:hAnsiTheme="minorEastAsia"/>
          <w:szCs w:val="21"/>
        </w:rPr>
        <w:t>3</w:t>
      </w:r>
      <w:r>
        <w:rPr>
          <w:rFonts w:hint="eastAsia" w:ascii="宋体" w:hAnsi="宋体"/>
          <w:szCs w:val="21"/>
        </w:rPr>
        <w:t>本合同未尽事宜，双方友好协商，达成解决方案，经双方签字后，可作为本合同的有效附件。</w:t>
      </w:r>
    </w:p>
    <w:p>
      <w:pPr>
        <w:spacing w:line="360" w:lineRule="auto"/>
        <w:ind w:firstLine="420" w:firstLineChars="200"/>
        <w:jc w:val="left"/>
        <w:rPr>
          <w:rFonts w:asciiTheme="minorEastAsia" w:hAnsiTheme="minorEastAsia"/>
          <w:szCs w:val="21"/>
        </w:rPr>
      </w:pPr>
    </w:p>
    <w:p>
      <w:pPr>
        <w:pStyle w:val="26"/>
        <w:snapToGrid w:val="0"/>
        <w:spacing w:line="360" w:lineRule="auto"/>
        <w:ind w:firstLine="420" w:firstLineChars="200"/>
        <w:rPr>
          <w:rFonts w:hAnsi="宋体"/>
          <w:szCs w:val="21"/>
        </w:rPr>
      </w:pPr>
      <w:r>
        <w:rPr>
          <w:rFonts w:hint="eastAsia" w:hAnsi="宋体"/>
          <w:szCs w:val="21"/>
        </w:rPr>
        <w:t>附件：</w:t>
      </w:r>
    </w:p>
    <w:p>
      <w:pPr>
        <w:snapToGrid w:val="0"/>
        <w:spacing w:line="360" w:lineRule="auto"/>
        <w:ind w:firstLine="420" w:firstLineChars="200"/>
        <w:rPr>
          <w:rFonts w:ascii="宋体" w:hAnsi="宋体"/>
          <w:szCs w:val="21"/>
        </w:rPr>
      </w:pPr>
      <w:r>
        <w:rPr>
          <w:rFonts w:hint="eastAsia" w:ascii="宋体" w:hAnsi="宋体"/>
          <w:szCs w:val="21"/>
        </w:rPr>
        <w:t>1、《中标通知书》</w:t>
      </w:r>
    </w:p>
    <w:p>
      <w:pPr>
        <w:snapToGrid w:val="0"/>
        <w:spacing w:line="360" w:lineRule="auto"/>
        <w:ind w:firstLine="420" w:firstLineChars="200"/>
        <w:rPr>
          <w:rFonts w:ascii="宋体" w:hAnsi="宋体"/>
          <w:szCs w:val="21"/>
        </w:rPr>
      </w:pPr>
      <w:r>
        <w:rPr>
          <w:rFonts w:hint="eastAsia" w:ascii="宋体" w:hAnsi="宋体"/>
          <w:szCs w:val="21"/>
        </w:rPr>
        <w:t>2、《投标文件》</w:t>
      </w:r>
    </w:p>
    <w:p>
      <w:pPr>
        <w:snapToGrid w:val="0"/>
        <w:spacing w:line="360" w:lineRule="auto"/>
        <w:ind w:firstLine="420" w:firstLineChars="200"/>
        <w:rPr>
          <w:rFonts w:ascii="宋体" w:hAnsi="宋体"/>
          <w:szCs w:val="21"/>
        </w:rPr>
      </w:pPr>
      <w:r>
        <w:rPr>
          <w:rFonts w:hint="eastAsia" w:ascii="宋体" w:hAnsi="宋体"/>
          <w:szCs w:val="21"/>
        </w:rPr>
        <w:t>3、《招标文件》</w:t>
      </w:r>
    </w:p>
    <w:p>
      <w:pPr>
        <w:spacing w:line="360" w:lineRule="auto"/>
        <w:ind w:firstLine="420" w:firstLineChars="200"/>
        <w:jc w:val="left"/>
        <w:rPr>
          <w:rFonts w:asciiTheme="minorEastAsia" w:hAnsiTheme="minorEastAsia"/>
          <w:szCs w:val="21"/>
        </w:rPr>
      </w:pP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  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委托代理人：</w:t>
      </w:r>
    </w:p>
    <w:p>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日期：   年     月    日</w:t>
      </w:r>
    </w:p>
    <w:p>
      <w:pPr>
        <w:jc w:val="center"/>
        <w:rPr>
          <w:b/>
          <w:sz w:val="52"/>
          <w:szCs w:val="52"/>
        </w:rPr>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pStyle w:val="2"/>
      </w:pPr>
      <w:bookmarkStart w:id="88" w:name="_Toc73610161"/>
      <w:r>
        <w:rPr>
          <w:rFonts w:hint="eastAsia"/>
        </w:rPr>
        <w:t>第九章  附件</w:t>
      </w:r>
      <w:bookmarkEnd w:id="88"/>
    </w:p>
    <w:p>
      <w:pPr>
        <w:pStyle w:val="3"/>
        <w:spacing w:before="0" w:after="0"/>
        <w:jc w:val="center"/>
      </w:pPr>
      <w:bookmarkStart w:id="89" w:name="_Toc73610162"/>
      <w:r>
        <w:rPr>
          <w:rFonts w:hint="eastAsia"/>
        </w:rPr>
        <w:t>一、财政部 工业和信息化部关于印发《政府采购促进中小企业发展管理办法》的通知</w:t>
      </w:r>
      <w:bookmarkEnd w:id="89"/>
    </w:p>
    <w:p>
      <w:pPr>
        <w:pStyle w:val="45"/>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财库〔2020〕46号</w:t>
      </w:r>
    </w:p>
    <w:p>
      <w:pPr>
        <w:pStyle w:val="45"/>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各中央预算单位办公厅（室），各省、自治区、直辖市、计划单列市财政厅（局）、工业和信息化主管部门，新疆生产建设兵团财政局、工业和信息化主管部门：</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附件：政府采购促进中小企业发展管理办法</w:t>
      </w:r>
    </w:p>
    <w:p>
      <w:pPr>
        <w:pStyle w:val="45"/>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财　　政　　部</w:t>
      </w:r>
    </w:p>
    <w:p>
      <w:pPr>
        <w:pStyle w:val="45"/>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工业和信息化部</w:t>
      </w:r>
    </w:p>
    <w:p>
      <w:pPr>
        <w:pStyle w:val="45"/>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2020年12月18日</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5"/>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附件</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5"/>
        <w:shd w:val="clear" w:color="auto" w:fill="FFFFFF"/>
        <w:spacing w:before="0" w:beforeAutospacing="0" w:after="0" w:afterAutospacing="0" w:line="360" w:lineRule="auto"/>
        <w:jc w:val="center"/>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政府采购促进中小企业发展管理办法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第一条</w:t>
      </w:r>
      <w:r>
        <w:rPr>
          <w:rFonts w:hint="eastAsia" w:asciiTheme="minorEastAsia" w:hAnsiTheme="minorEastAsia" w:eastAsiaTheme="minorEastAsia"/>
          <w:color w:val="333333"/>
          <w:sz w:val="21"/>
          <w:szCs w:val="21"/>
        </w:rPr>
        <w:t>　为了发挥政府采购的政策功能，促进中小企业健康发展，根据《中华人民共和国政府采购法》、《中华人民共和国中小企业促进法》等有关法律法规，制定本办法。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第二条</w:t>
      </w:r>
      <w:r>
        <w:rPr>
          <w:rFonts w:hint="eastAsia" w:asciiTheme="minorEastAsia" w:hAnsiTheme="minorEastAsia" w:eastAsiaTheme="minorEastAsia"/>
          <w:color w:val="333333"/>
          <w:sz w:val="21"/>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符合中小企业划分标准的个体工商户，在政府采购活动中视同中小企业。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第三条</w:t>
      </w:r>
      <w:r>
        <w:rPr>
          <w:rFonts w:hint="eastAsia" w:asciiTheme="minorEastAsia" w:hAnsiTheme="minorEastAsia" w:eastAsiaTheme="minorEastAsia"/>
          <w:color w:val="333333"/>
          <w:sz w:val="21"/>
          <w:szCs w:val="21"/>
        </w:rPr>
        <w:t>　采购人在政府采购活动中应当通过加强采购需求管理，落实预留采购份额、价格评审优惠、优先采购等措施，提高中小企业在政府采购中的份额，支持中小企业发展。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第四条</w:t>
      </w:r>
      <w:r>
        <w:rPr>
          <w:rFonts w:hint="eastAsia" w:asciiTheme="minorEastAsia" w:hAnsiTheme="minorEastAsia" w:eastAsiaTheme="minorEastAsia"/>
          <w:color w:val="333333"/>
          <w:sz w:val="21"/>
          <w:szCs w:val="21"/>
        </w:rPr>
        <w:t>　在政府采购活动中，供应商提供的货物、工程或者服务符合下列情形的，享受本办法规定的中小企业扶持政策：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（一）在货物采购项目中，货物由中小企业制造，即货物由中小企业生产且使用该中小企业商号或者注册商标；</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（二）在工程采购项目中，工程由中小企业承建，即工程施工单位为中小企业；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（三）在服务采购项目中，服务由中小企业承接，即提供服务的人员为中小企业依照《中华人民共和国劳动合同法》订立劳动合同的从业人员。</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在货物采购项目中，供应商提供的货物既有中小企业制造货物，也有大型企业制造货物的，不享受本办法规定的中小企业扶持政策。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以联合体形式参加政府采购活动，联合体各方均为中小企业的，联合体视同中小企业。其中，联合体各方均为小微企业的，联合体视同小微企业。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第五条</w:t>
      </w:r>
      <w:r>
        <w:rPr>
          <w:rFonts w:hint="eastAsia" w:asciiTheme="minorEastAsia" w:hAnsiTheme="minorEastAsia" w:eastAsiaTheme="minorEastAsia"/>
          <w:color w:val="333333"/>
          <w:sz w:val="21"/>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第六条</w:t>
      </w:r>
      <w:r>
        <w:rPr>
          <w:rFonts w:hint="eastAsia" w:asciiTheme="minorEastAsia" w:hAnsiTheme="minorEastAsia" w:eastAsiaTheme="minorEastAsia"/>
          <w:color w:val="333333"/>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符合下列情形之一的，可不专门面向中小企业预留采购份额：</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（一）法律法规和国家有关政策明确规定优先或者应当面向事业单位、社会组织等非企业主体采购的；</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（二）因确需使用不可替代的专利、专有技术，基础设施限制，或者提供特定公共服务等原因，只能从中小企业之外的供应商处采购的；</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（三）按照本办法规定预留采购份额无法确保充分供应、充分竞争，或者存在可能影响政府采购目标实现的情形；</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（四）框架协议采购项目；</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（五）省级以上人民政府财政部门规定的其他情形。</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除上述情形外，其他均为适宜由中小企业提供的情形。</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第七条</w:t>
      </w:r>
      <w:r>
        <w:rPr>
          <w:rFonts w:hint="eastAsia" w:asciiTheme="minorEastAsia" w:hAnsiTheme="minorEastAsia" w:eastAsiaTheme="minorEastAsia"/>
          <w:color w:val="333333"/>
          <w:sz w:val="21"/>
          <w:szCs w:val="21"/>
        </w:rPr>
        <w:t>　采购限额标准以上，200万元以下的货物和服务采购项目、400万元以下的工程采购项目，适宜由中小企业提供的，采购人应当专门面向中小企业采购。</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第八条</w:t>
      </w:r>
      <w:r>
        <w:rPr>
          <w:rFonts w:hint="eastAsia" w:asciiTheme="minorEastAsia" w:hAnsiTheme="minorEastAsia" w:eastAsiaTheme="minorEastAsia"/>
          <w:color w:val="333333"/>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（一）将采购项目整体或者设置采购包专门面向中小企业采购；</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（二）要求供应商以联合体形式参加采购活动，且联合体中中小企业承担的部分达到一定比例；</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（三）要求获得采购合同的供应商将采购项目中的一定比例分包给一家或者多家中小企业。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组成联合体或者接受分包合同的中小企业与联合体内其他企业、分包企业之间不得存在直接控股、管理关系。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第九条</w:t>
      </w:r>
      <w:r>
        <w:rPr>
          <w:rFonts w:hint="eastAsia" w:asciiTheme="minorEastAsia" w:hAnsiTheme="minorEastAsia" w:eastAsiaTheme="minorEastAsia"/>
          <w:color w:val="333333"/>
          <w:sz w:val="21"/>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第十条</w:t>
      </w:r>
      <w:r>
        <w:rPr>
          <w:rFonts w:hint="eastAsia" w:asciiTheme="minorEastAsia" w:hAnsiTheme="minorEastAsia" w:eastAsiaTheme="minorEastAsia"/>
          <w:color w:val="333333"/>
          <w:sz w:val="21"/>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第十一条</w:t>
      </w:r>
      <w:r>
        <w:rPr>
          <w:rFonts w:hint="eastAsia" w:asciiTheme="minorEastAsia" w:hAnsiTheme="minorEastAsia" w:eastAsiaTheme="minorEastAsia"/>
          <w:color w:val="333333"/>
          <w:sz w:val="21"/>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第十二条</w:t>
      </w:r>
      <w:r>
        <w:rPr>
          <w:rFonts w:hint="eastAsia" w:asciiTheme="minorEastAsia" w:hAnsiTheme="minorEastAsia" w:eastAsiaTheme="minorEastAsia"/>
          <w:color w:val="333333"/>
          <w:sz w:val="21"/>
          <w:szCs w:val="21"/>
        </w:rPr>
        <w:t>　采购项目涉及中小企业采购的，采购文件应当明确以下内容：</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（一）预留份额的采购项目或者采购包，明确该项目或相关采购包专门面向中小企业采购，以及相关标的及预算金额；</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（二）要求以联合体形式参加或者合同分包的，明确联合协议或者分包意向协议中中小企业合同金额应当达到的比例，并作为供应商资格条件；</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（三）非预留份额的采购项目或者采购包，明确有关价格扣除比例或者价格分加分比例；</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（四）规定依据本办法规定享受扶持政策获得政府采购合同的，小微企业不得将合同分包给大中型企业，中型企业不得将合同分包给大型企业；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（五）采购人认为具备相关条件的，明确对中小企业在资金支付期限、预付款比例等方面的优惠措施；</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（六）明确采购标的对应的中小企业划分标准所属行业；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（七）法律法规和省级以上人民政府财政部门规定的其他事项。</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第十三条</w:t>
      </w:r>
      <w:r>
        <w:rPr>
          <w:rFonts w:hint="eastAsia" w:asciiTheme="minorEastAsia" w:hAnsiTheme="minorEastAsia" w:eastAsiaTheme="minorEastAsia"/>
          <w:color w:val="333333"/>
          <w:sz w:val="21"/>
          <w:szCs w:val="21"/>
        </w:rPr>
        <w:t>　中标、成交供应商享受本办法规定的中小企业扶持政策的，采购人、采购代理机构应当随中标、成交结果公开中标、成交供应商的《中小企业声明函》。</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适用招标投标法的政府采购工程建设项目，应当在公示中标候选人时公开中标候选人的《中小企业声明函》。</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第十四条</w:t>
      </w:r>
      <w:r>
        <w:rPr>
          <w:rFonts w:hint="eastAsia" w:asciiTheme="minorEastAsia" w:hAnsiTheme="minorEastAsia" w:eastAsiaTheme="minorEastAsia"/>
          <w:color w:val="333333"/>
          <w:sz w:val="21"/>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第十五条</w:t>
      </w:r>
      <w:r>
        <w:rPr>
          <w:rFonts w:hint="eastAsia" w:asciiTheme="minorEastAsia" w:hAnsiTheme="minorEastAsia" w:eastAsiaTheme="minorEastAsia"/>
          <w:color w:val="333333"/>
          <w:sz w:val="21"/>
          <w:szCs w:val="21"/>
        </w:rPr>
        <w:t>　鼓励各地区、各部门在采购活动中允许中小企业引入信用担保手段，为中小企业在投标（响应）保证、履约保证等方面提供专业化服务。鼓励中小企业依法合规通过政府采购合同融资。</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第十六条</w:t>
      </w:r>
      <w:r>
        <w:rPr>
          <w:rFonts w:hint="eastAsia" w:asciiTheme="minorEastAsia" w:hAnsiTheme="minorEastAsia" w:eastAsiaTheme="minorEastAsia"/>
          <w:color w:val="333333"/>
          <w:sz w:val="21"/>
          <w:szCs w:val="21"/>
        </w:rPr>
        <w:t>　政府采购监督检查、投诉处理及政府采购行政处罚中对中小企业的认定，由货物制造商或者工程、服务供应商注册登记所在地的县级以上人民政府中小企业主管部门负责。</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中小企业主管部门应当在收到财政部门或者有关招标投标行政监督部门关于协助开展中小企业认定函后10个工作日内做出书面答复。</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第十七条</w:t>
      </w:r>
      <w:r>
        <w:rPr>
          <w:rFonts w:hint="eastAsia" w:asciiTheme="minorEastAsia" w:hAnsiTheme="minorEastAsia" w:eastAsiaTheme="minorEastAsia"/>
          <w:color w:val="333333"/>
          <w:sz w:val="21"/>
          <w:szCs w:val="21"/>
        </w:rPr>
        <w:t>　各地区、各部门应当对涉及中小企业采购的预算项目实施全过程绩效管理，合理设置绩效目标和指标，落实扶持中小企业有关政策要求，定期开展绩效监控和评价，强化绩效评价结果应用。</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第十八条</w:t>
      </w:r>
      <w:r>
        <w:rPr>
          <w:rFonts w:hint="eastAsia" w:asciiTheme="minorEastAsia" w:hAnsiTheme="minorEastAsia" w:eastAsiaTheme="minorEastAsia"/>
          <w:color w:val="333333"/>
          <w:sz w:val="21"/>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第十九条</w:t>
      </w:r>
      <w:r>
        <w:rPr>
          <w:rFonts w:hint="eastAsia" w:asciiTheme="minorEastAsia" w:hAnsiTheme="minorEastAsia" w:eastAsiaTheme="minorEastAsia"/>
          <w:color w:val="333333"/>
          <w:sz w:val="21"/>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第二十条</w:t>
      </w:r>
      <w:r>
        <w:rPr>
          <w:rFonts w:hint="eastAsia" w:asciiTheme="minorEastAsia" w:hAnsiTheme="minorEastAsia" w:eastAsiaTheme="minorEastAsia"/>
          <w:color w:val="333333"/>
          <w:sz w:val="21"/>
          <w:szCs w:val="21"/>
        </w:rPr>
        <w:t>　供应商按照本办法规定提供声明函内容不实的，属于提供虚假材料谋取中标、成交，依照《中华人民共和国政府采购法》等国家有关规定追究相应责任。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第二十一条</w:t>
      </w:r>
      <w:r>
        <w:rPr>
          <w:rFonts w:hint="eastAsia" w:asciiTheme="minorEastAsia" w:hAnsiTheme="minorEastAsia" w:eastAsiaTheme="minorEastAsia"/>
          <w:color w:val="333333"/>
          <w:sz w:val="21"/>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第二十二条</w:t>
      </w:r>
      <w:r>
        <w:rPr>
          <w:rFonts w:hint="eastAsia" w:asciiTheme="minorEastAsia" w:hAnsiTheme="minorEastAsia" w:eastAsiaTheme="minorEastAsia"/>
          <w:color w:val="333333"/>
          <w:sz w:val="21"/>
          <w:szCs w:val="21"/>
        </w:rPr>
        <w:t>　对外援助项目、国家相关资格或者资质管理制度另有规定的项目，不适用本办法。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第二十三条</w:t>
      </w:r>
      <w:r>
        <w:rPr>
          <w:rFonts w:hint="eastAsia" w:asciiTheme="minorEastAsia" w:hAnsiTheme="minorEastAsia" w:eastAsiaTheme="minorEastAsia"/>
          <w:color w:val="333333"/>
          <w:sz w:val="21"/>
          <w:szCs w:val="21"/>
        </w:rPr>
        <w:t>　关于视同中小企业的其他主体的政府采购扶持政策，由财政部会同有关部门另行规定。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第二十四条</w:t>
      </w:r>
      <w:r>
        <w:rPr>
          <w:rFonts w:hint="eastAsia" w:asciiTheme="minorEastAsia" w:hAnsiTheme="minorEastAsia" w:eastAsiaTheme="minorEastAsia"/>
          <w:color w:val="333333"/>
          <w:sz w:val="21"/>
          <w:szCs w:val="21"/>
        </w:rPr>
        <w:t>　省级财政部门可以会同中小企业主管部门根据本办法的规定制定具体实施办法。</w:t>
      </w:r>
    </w:p>
    <w:p>
      <w:pPr>
        <w:pStyle w:val="45"/>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第二十五条</w:t>
      </w:r>
      <w:r>
        <w:rPr>
          <w:rFonts w:hint="eastAsia" w:asciiTheme="minorEastAsia" w:hAnsiTheme="minorEastAsia" w:eastAsiaTheme="minorEastAsia"/>
          <w:color w:val="333333"/>
          <w:sz w:val="21"/>
          <w:szCs w:val="21"/>
        </w:rPr>
        <w:t>　本办法自2021年1月1日起施行。《财政部 工业和信息化部关于印发〈政府采购促进中小企业发展暂行办法〉的通知》（财库〔2011〕181号）同时废止。</w:t>
      </w:r>
    </w:p>
    <w:p>
      <w:pPr>
        <w:pStyle w:val="45"/>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p>
    <w:p>
      <w:pPr>
        <w:spacing w:line="360" w:lineRule="auto"/>
        <w:rPr>
          <w:rFonts w:asciiTheme="minorEastAsia" w:hAnsiTheme="minorEastAsia" w:eastAsiaTheme="minorEastAsia"/>
          <w:szCs w:val="21"/>
        </w:rPr>
      </w:pPr>
    </w:p>
    <w:p>
      <w:pPr>
        <w:pStyle w:val="3"/>
        <w:spacing w:before="0" w:after="0"/>
        <w:jc w:val="center"/>
      </w:pPr>
      <w:bookmarkStart w:id="90" w:name="_Toc73610163"/>
      <w:r>
        <w:rPr>
          <w:rFonts w:hint="eastAsia"/>
        </w:rPr>
        <w:t>二、关于印发中小企业划型标准规定的通知</w:t>
      </w:r>
      <w:bookmarkEnd w:id="90"/>
    </w:p>
    <w:p>
      <w:pPr>
        <w:pStyle w:val="45"/>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工信部联企业〔2011〕300号</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各省、自治区、直辖市人民政府，国务院各部委、各直属机构及有关单位：</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45"/>
        <w:shd w:val="clear" w:color="auto" w:fill="FFFFFF"/>
        <w:spacing w:line="360" w:lineRule="auto"/>
        <w:jc w:val="righ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工业和信息化部　国家统计局</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国家发展和改革委员会　财政部</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二○一一年六月十八日</w:t>
      </w:r>
    </w:p>
    <w:p>
      <w:pPr>
        <w:pStyle w:val="45"/>
        <w:shd w:val="clear" w:color="auto" w:fill="FFFFFF"/>
        <w:spacing w:line="360" w:lineRule="auto"/>
        <w:jc w:val="center"/>
        <w:rPr>
          <w:rFonts w:asciiTheme="minorEastAsia" w:hAnsiTheme="minorEastAsia" w:eastAsiaTheme="minorEastAsia"/>
          <w:color w:val="000000"/>
          <w:sz w:val="21"/>
          <w:szCs w:val="21"/>
        </w:rPr>
      </w:pPr>
      <w:r>
        <w:rPr>
          <w:rStyle w:val="53"/>
          <w:rFonts w:hint="eastAsia" w:asciiTheme="minorEastAsia" w:hAnsiTheme="minorEastAsia" w:eastAsiaTheme="minorEastAsia"/>
          <w:color w:val="000000"/>
          <w:sz w:val="21"/>
          <w:szCs w:val="21"/>
        </w:rPr>
        <w:t>中小企业划型标准规定</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一、根据《中华人民共和国中小企业促进法》和《国务院关于进一步促进中小企业发展的若干意见》(国发〔2009〕36号)，制定本规定。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二、中小企业划分为中型、小型、微型三种类型，具体标准根据企业从业人员、营业收入、资产总额等指标，结合行业特点制定。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四、各行业划型标准为：</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（一）农、林、牧、渔业。营业收入20000万元以下的为中小微型企业。其中，营业收入500万元及以上的为中型企业，营业收入50万元及以上的为小型企业，营业收入50万元以下的为微型企业。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（十六）其他未列明行业。从业人员300人以下的为中小微型企业。其中，从业人员100人及以上的为中型企业；从业人员10人及以上的为小型企业；从业人员10人以下的为微型企业。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五、企业类型的划分以统计部门的统计数据为依据。</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六、本规定适用于在中华人民共和国境内依法设立的各类所有制和各种组织形式的企业。个体工商户和本规定以外的行业，参照本规定进行划型。</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八、本规定由工业和信息化部、国家统计局会同有关部门根据《国民经济行业分类》修订情况和企业发展变化情况适时修订。</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九、本规定由工业和信息化部、国家统计局会同有关部门负责解释。</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十、本规定自发布之日起执行，原国家经贸委、原国家计委、财政部和国家统计局2003年颁布的《中小企业标准暂行规定》同时废止。</w:t>
      </w:r>
    </w:p>
    <w:p>
      <w:pPr>
        <w:pStyle w:val="45"/>
        <w:shd w:val="clear" w:color="auto" w:fill="FFFFFF"/>
        <w:spacing w:line="360" w:lineRule="auto"/>
        <w:rPr>
          <w:rFonts w:asciiTheme="minorEastAsia" w:hAnsiTheme="minorEastAsia" w:eastAsiaTheme="minorEastAsia"/>
          <w:color w:val="000000"/>
          <w:sz w:val="21"/>
          <w:szCs w:val="21"/>
        </w:rPr>
      </w:pPr>
    </w:p>
    <w:p>
      <w:pPr>
        <w:pStyle w:val="3"/>
        <w:spacing w:before="0" w:after="0"/>
        <w:jc w:val="center"/>
        <w:rPr>
          <w:rFonts w:asciiTheme="minorEastAsia" w:hAnsiTheme="minorEastAsia" w:eastAsiaTheme="minorEastAsia"/>
        </w:rPr>
      </w:pPr>
      <w:bookmarkStart w:id="91" w:name="_Toc73610164"/>
      <w:r>
        <w:rPr>
          <w:rFonts w:hint="eastAsia" w:asciiTheme="minorEastAsia" w:hAnsiTheme="minorEastAsia" w:eastAsiaTheme="minorEastAsia"/>
          <w:bCs w:val="0"/>
        </w:rPr>
        <w:t>三、</w:t>
      </w:r>
      <w:r>
        <w:rPr>
          <w:rFonts w:asciiTheme="minorEastAsia" w:hAnsiTheme="minorEastAsia" w:eastAsiaTheme="minorEastAsia"/>
          <w:bCs w:val="0"/>
        </w:rPr>
        <w:t>国家统计局关于印发《统计上大中小微型企业划分办法 （2017）》的通知</w:t>
      </w:r>
      <w:bookmarkEnd w:id="91"/>
      <w:r>
        <w:rPr>
          <w:rFonts w:asciiTheme="minorEastAsia" w:hAnsiTheme="minorEastAsia" w:eastAsiaTheme="minorEastAsia"/>
          <w:bCs w:val="0"/>
        </w:rPr>
        <w:t> </w:t>
      </w:r>
    </w:p>
    <w:p>
      <w:pPr>
        <w:widowControl/>
        <w:shd w:val="clear" w:color="auto" w:fill="FFFFFF"/>
        <w:spacing w:line="360" w:lineRule="auto"/>
        <w:jc w:val="left"/>
        <w:rPr>
          <w:rFonts w:cs="Arial" w:asciiTheme="minorEastAsia" w:hAnsiTheme="minorEastAsia" w:eastAsiaTheme="minorEastAsia"/>
          <w:color w:val="999999"/>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pPr>
        <w:widowControl/>
        <w:spacing w:line="360" w:lineRule="auto"/>
        <w:jc w:val="center"/>
        <w:rPr>
          <w:rFonts w:cs="宋体" w:asciiTheme="minorEastAsia" w:hAnsiTheme="minorEastAsia" w:eastAsiaTheme="minorEastAsia"/>
          <w:b/>
          <w:bCs/>
          <w:kern w:val="0"/>
          <w:szCs w:val="21"/>
        </w:rPr>
      </w:pP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pPr>
        <w:widowControl/>
        <w:spacing w:line="360" w:lineRule="auto"/>
        <w:jc w:val="left"/>
        <w:rPr>
          <w:rFonts w:cs="宋体" w:asciiTheme="minorEastAsia" w:hAnsiTheme="minorEastAsia" w:eastAsiaTheme="minorEastAsia"/>
          <w:kern w:val="0"/>
          <w:szCs w:val="21"/>
        </w:rPr>
      </w:pP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rPr>
          <w:rFonts w:asciiTheme="minorEastAsia" w:hAnsiTheme="minorEastAsia" w:eastAsiaTheme="minorEastAsia"/>
          <w:szCs w:val="21"/>
        </w:rPr>
      </w:pPr>
    </w:p>
    <w:p>
      <w:pPr>
        <w:pStyle w:val="3"/>
        <w:spacing w:before="0" w:after="0"/>
        <w:jc w:val="center"/>
      </w:pPr>
      <w:bookmarkStart w:id="92" w:name="_Toc73610165"/>
      <w:r>
        <w:rPr>
          <w:rFonts w:hint="eastAsia"/>
        </w:rPr>
        <w:t>四、</w:t>
      </w:r>
      <w:r>
        <w:t>财政部 民政部 中国残疾人联合会关于促进残疾人就业 政府采购政策的通知</w:t>
      </w:r>
      <w:bookmarkEnd w:id="92"/>
    </w:p>
    <w:p>
      <w:pPr>
        <w:pStyle w:val="45"/>
        <w:shd w:val="clear" w:color="auto" w:fill="FFFFFF"/>
        <w:spacing w:line="360" w:lineRule="auto"/>
        <w:jc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财库〔2017〕141号</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pPr>
        <w:widowControl/>
        <w:spacing w:line="360" w:lineRule="auto"/>
        <w:jc w:val="right"/>
        <w:rPr>
          <w:rFonts w:cs="宋体" w:asciiTheme="minorEastAsia" w:hAnsiTheme="minorEastAsia" w:eastAsiaTheme="minorEastAsia"/>
          <w:kern w:val="0"/>
          <w:szCs w:val="21"/>
        </w:rPr>
      </w:pPr>
    </w:p>
    <w:p>
      <w:pPr>
        <w:widowControl/>
        <w:spacing w:line="360" w:lineRule="auto"/>
        <w:jc w:val="right"/>
        <w:rPr>
          <w:rFonts w:asciiTheme="minorEastAsia" w:hAnsiTheme="minorEastAsia" w:eastAsiaTheme="minorEastAsia"/>
          <w:szCs w:val="21"/>
        </w:rPr>
      </w:pPr>
      <w:r>
        <w:rPr>
          <w:rFonts w:hint="eastAsia" w:cs="宋体" w:asciiTheme="minorEastAsia" w:hAnsiTheme="minorEastAsia" w:eastAsiaTheme="minorEastAsia"/>
          <w:kern w:val="0"/>
          <w:szCs w:val="21"/>
        </w:rPr>
        <w:t>  2017年8月22日</w:t>
      </w: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 Yb 2gj">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华文细黑">
    <w:altName w:val="微软雅黑"/>
    <w:panose1 w:val="02010600040101010101"/>
    <w:charset w:val="86"/>
    <w:family w:val="auto"/>
    <w:pitch w:val="default"/>
    <w:sig w:usb0="00000000" w:usb1="00000000" w:usb2="00000010" w:usb3="00000000" w:csb0="0004009F" w:csb1="00000000"/>
  </w:font>
  <w:font w:name="仿宋_GB2313">
    <w:altName w:val="宋体"/>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72</w:t>
    </w:r>
    <w:r>
      <w:rPr>
        <w:rStyle w:val="54"/>
      </w:rPr>
      <w:fldChar w:fldCharType="end"/>
    </w:r>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enter" w:pos="4819"/>
        <w:tab w:val="right" w:pos="9638"/>
      </w:tabs>
      <w:jc w:val="left"/>
      <w:rPr>
        <w:rFonts w:asciiTheme="minorEastAsia" w:hAnsiTheme="minorEastAsia" w:eastAsiaTheme="minorEastAsia"/>
      </w:rPr>
    </w:pPr>
    <w:r>
      <w:tab/>
    </w:r>
    <w:r>
      <w:rPr>
        <w:rFonts w:hint="eastAsia" w:asciiTheme="minorEastAsia" w:hAnsiTheme="minorEastAsia" w:eastAsiaTheme="minorEastAsia"/>
      </w:rPr>
      <w:t>项目名称：阴道显微镜采购项目                                      项目编号：SZZZ2021-QA0210</w:t>
    </w:r>
  </w:p>
  <w:p>
    <w:pPr>
      <w:pStyle w:val="32"/>
      <w:tabs>
        <w:tab w:val="center" w:pos="4819"/>
        <w:tab w:val="right" w:pos="9638"/>
      </w:tabs>
      <w:jc w:val="left"/>
      <w:rPr>
        <w:u w:val="single"/>
      </w:rPr>
    </w:pPr>
    <w:r>
      <w:rPr>
        <w:u w:val="single"/>
      </w:rPr>
      <w:tab/>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85492"/>
    <w:multiLevelType w:val="singleLevel"/>
    <w:tmpl w:val="89585492"/>
    <w:lvl w:ilvl="0" w:tentative="0">
      <w:start w:val="1"/>
      <w:numFmt w:val="chineseCounting"/>
      <w:suff w:val="nothing"/>
      <w:lvlText w:val="（%1）"/>
      <w:lvlJc w:val="left"/>
      <w:rPr>
        <w:rFonts w:hint="eastAsia"/>
      </w:rPr>
    </w:lvl>
  </w:abstractNum>
  <w:abstractNum w:abstractNumId="1">
    <w:nsid w:val="91E12B44"/>
    <w:multiLevelType w:val="singleLevel"/>
    <w:tmpl w:val="91E12B44"/>
    <w:lvl w:ilvl="0" w:tentative="0">
      <w:start w:val="1"/>
      <w:numFmt w:val="chineseCounting"/>
      <w:suff w:val="nothing"/>
      <w:lvlText w:val="（%1）"/>
      <w:lvlJc w:val="left"/>
      <w:rPr>
        <w:rFonts w:hint="eastAsia"/>
      </w:rPr>
    </w:lvl>
  </w:abstractNum>
  <w:abstractNum w:abstractNumId="2">
    <w:nsid w:val="94B1FEEC"/>
    <w:multiLevelType w:val="singleLevel"/>
    <w:tmpl w:val="94B1FEEC"/>
    <w:lvl w:ilvl="0" w:tentative="0">
      <w:start w:val="1"/>
      <w:numFmt w:val="chineseCounting"/>
      <w:suff w:val="space"/>
      <w:lvlText w:val="（%1）"/>
      <w:lvlJc w:val="left"/>
      <w:rPr>
        <w:rFonts w:hint="eastAsia"/>
      </w:rPr>
    </w:lvl>
  </w:abstractNum>
  <w:abstractNum w:abstractNumId="3">
    <w:nsid w:val="B0A1F553"/>
    <w:multiLevelType w:val="singleLevel"/>
    <w:tmpl w:val="B0A1F553"/>
    <w:lvl w:ilvl="0" w:tentative="0">
      <w:start w:val="1"/>
      <w:numFmt w:val="chineseCounting"/>
      <w:suff w:val="space"/>
      <w:lvlText w:val="（%1）"/>
      <w:lvlJc w:val="left"/>
      <w:rPr>
        <w:rFonts w:hint="eastAsia"/>
      </w:rPr>
    </w:lvl>
  </w:abstractNum>
  <w:abstractNum w:abstractNumId="4">
    <w:nsid w:val="F6336FC7"/>
    <w:multiLevelType w:val="singleLevel"/>
    <w:tmpl w:val="F6336FC7"/>
    <w:lvl w:ilvl="0" w:tentative="0">
      <w:start w:val="1"/>
      <w:numFmt w:val="chineseCounting"/>
      <w:suff w:val="nothing"/>
      <w:lvlText w:val="（%1）"/>
      <w:lvlJc w:val="left"/>
      <w:rPr>
        <w:rFonts w:hint="eastAsia"/>
      </w:rPr>
    </w:lvl>
  </w:abstractNum>
  <w:abstractNum w:abstractNumId="5">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6">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BF56987"/>
    <w:multiLevelType w:val="singleLevel"/>
    <w:tmpl w:val="0BF56987"/>
    <w:lvl w:ilvl="0" w:tentative="0">
      <w:start w:val="1"/>
      <w:numFmt w:val="chineseCounting"/>
      <w:suff w:val="nothing"/>
      <w:lvlText w:val="（%1）"/>
      <w:lvlJc w:val="left"/>
      <w:rPr>
        <w:rFonts w:hint="eastAsia"/>
      </w:rPr>
    </w:lvl>
  </w:abstractNum>
  <w:abstractNum w:abstractNumId="9">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10">
    <w:nsid w:val="55389674"/>
    <w:multiLevelType w:val="singleLevel"/>
    <w:tmpl w:val="55389674"/>
    <w:lvl w:ilvl="0" w:tentative="0">
      <w:start w:val="1"/>
      <w:numFmt w:val="chineseCounting"/>
      <w:suff w:val="nothing"/>
      <w:lvlText w:val="（%1）"/>
      <w:lvlJc w:val="left"/>
      <w:rPr>
        <w:rFonts w:hint="eastAsia"/>
      </w:rPr>
    </w:lvl>
  </w:abstractNum>
  <w:abstractNum w:abstractNumId="11">
    <w:nsid w:val="793E1D4B"/>
    <w:multiLevelType w:val="singleLevel"/>
    <w:tmpl w:val="793E1D4B"/>
    <w:lvl w:ilvl="0" w:tentative="0">
      <w:start w:val="1"/>
      <w:numFmt w:val="chineseCounting"/>
      <w:suff w:val="space"/>
      <w:lvlText w:val="（%1）"/>
      <w:lvlJc w:val="left"/>
      <w:rPr>
        <w:rFonts w:hint="eastAsia"/>
      </w:rPr>
    </w:lvl>
  </w:abstractNum>
  <w:abstractNum w:abstractNumId="12">
    <w:nsid w:val="7AE0C6CF"/>
    <w:multiLevelType w:val="singleLevel"/>
    <w:tmpl w:val="7AE0C6CF"/>
    <w:lvl w:ilvl="0" w:tentative="0">
      <w:start w:val="1"/>
      <w:numFmt w:val="chineseCounting"/>
      <w:suff w:val="space"/>
      <w:lvlText w:val="（%1）"/>
      <w:lvlJc w:val="left"/>
      <w:rPr>
        <w:rFonts w:hint="eastAsia"/>
      </w:rPr>
    </w:lvl>
  </w:abstractNum>
  <w:num w:numId="1">
    <w:abstractNumId w:val="5"/>
  </w:num>
  <w:num w:numId="2">
    <w:abstractNumId w:val="7"/>
  </w:num>
  <w:num w:numId="3">
    <w:abstractNumId w:val="6"/>
  </w:num>
  <w:num w:numId="4">
    <w:abstractNumId w:val="10"/>
  </w:num>
  <w:num w:numId="5">
    <w:abstractNumId w:val="8"/>
  </w:num>
  <w:num w:numId="6">
    <w:abstractNumId w:val="0"/>
  </w:num>
  <w:num w:numId="7">
    <w:abstractNumId w:val="4"/>
  </w:num>
  <w:num w:numId="8">
    <w:abstractNumId w:val="1"/>
  </w:num>
  <w:num w:numId="9">
    <w:abstractNumId w:val="2"/>
  </w:num>
  <w:num w:numId="10">
    <w:abstractNumId w:val="12"/>
  </w:num>
  <w:num w:numId="11">
    <w:abstractNumId w:val="3"/>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24D"/>
    <w:rsid w:val="0000134D"/>
    <w:rsid w:val="000035D6"/>
    <w:rsid w:val="000036D6"/>
    <w:rsid w:val="00003921"/>
    <w:rsid w:val="000039AF"/>
    <w:rsid w:val="00003A46"/>
    <w:rsid w:val="000042A3"/>
    <w:rsid w:val="00004906"/>
    <w:rsid w:val="000049DE"/>
    <w:rsid w:val="00004AF7"/>
    <w:rsid w:val="00004FC4"/>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4515"/>
    <w:rsid w:val="00014625"/>
    <w:rsid w:val="00015940"/>
    <w:rsid w:val="00015AF5"/>
    <w:rsid w:val="00016458"/>
    <w:rsid w:val="000165EF"/>
    <w:rsid w:val="00016FC3"/>
    <w:rsid w:val="000208F8"/>
    <w:rsid w:val="00021304"/>
    <w:rsid w:val="0002197F"/>
    <w:rsid w:val="00022C27"/>
    <w:rsid w:val="00022F4F"/>
    <w:rsid w:val="00022FA9"/>
    <w:rsid w:val="000250AF"/>
    <w:rsid w:val="00025B21"/>
    <w:rsid w:val="00025D5B"/>
    <w:rsid w:val="00026249"/>
    <w:rsid w:val="00026BDD"/>
    <w:rsid w:val="00027415"/>
    <w:rsid w:val="000274F7"/>
    <w:rsid w:val="000307C5"/>
    <w:rsid w:val="00030D77"/>
    <w:rsid w:val="00031887"/>
    <w:rsid w:val="000319D1"/>
    <w:rsid w:val="00034043"/>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14AB"/>
    <w:rsid w:val="00042758"/>
    <w:rsid w:val="00043926"/>
    <w:rsid w:val="00043D2B"/>
    <w:rsid w:val="000447F6"/>
    <w:rsid w:val="00045923"/>
    <w:rsid w:val="00045EB5"/>
    <w:rsid w:val="00046595"/>
    <w:rsid w:val="0004741F"/>
    <w:rsid w:val="00047612"/>
    <w:rsid w:val="00047852"/>
    <w:rsid w:val="00047A79"/>
    <w:rsid w:val="00050F73"/>
    <w:rsid w:val="00051378"/>
    <w:rsid w:val="000529DE"/>
    <w:rsid w:val="00053074"/>
    <w:rsid w:val="00053F8F"/>
    <w:rsid w:val="000545F7"/>
    <w:rsid w:val="00054837"/>
    <w:rsid w:val="000550A3"/>
    <w:rsid w:val="0005520A"/>
    <w:rsid w:val="0005526E"/>
    <w:rsid w:val="000558BB"/>
    <w:rsid w:val="00056374"/>
    <w:rsid w:val="0005650D"/>
    <w:rsid w:val="00056617"/>
    <w:rsid w:val="00057655"/>
    <w:rsid w:val="00060526"/>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554"/>
    <w:rsid w:val="00074BEF"/>
    <w:rsid w:val="00075AD5"/>
    <w:rsid w:val="00080168"/>
    <w:rsid w:val="00080188"/>
    <w:rsid w:val="00080A90"/>
    <w:rsid w:val="00080C2D"/>
    <w:rsid w:val="00081B06"/>
    <w:rsid w:val="000820E6"/>
    <w:rsid w:val="000825F6"/>
    <w:rsid w:val="00082956"/>
    <w:rsid w:val="00082ABE"/>
    <w:rsid w:val="000839DA"/>
    <w:rsid w:val="00083D3F"/>
    <w:rsid w:val="00083E84"/>
    <w:rsid w:val="0008402F"/>
    <w:rsid w:val="00085134"/>
    <w:rsid w:val="000851F8"/>
    <w:rsid w:val="00085317"/>
    <w:rsid w:val="00085419"/>
    <w:rsid w:val="000855C1"/>
    <w:rsid w:val="00085908"/>
    <w:rsid w:val="0008596C"/>
    <w:rsid w:val="00085DE9"/>
    <w:rsid w:val="00085FFE"/>
    <w:rsid w:val="000866A3"/>
    <w:rsid w:val="000867FB"/>
    <w:rsid w:val="00086F62"/>
    <w:rsid w:val="000870F2"/>
    <w:rsid w:val="000878FF"/>
    <w:rsid w:val="00087F07"/>
    <w:rsid w:val="0009127F"/>
    <w:rsid w:val="0009133A"/>
    <w:rsid w:val="0009145A"/>
    <w:rsid w:val="00091526"/>
    <w:rsid w:val="00091CAC"/>
    <w:rsid w:val="00092BD5"/>
    <w:rsid w:val="00094366"/>
    <w:rsid w:val="00095198"/>
    <w:rsid w:val="00095806"/>
    <w:rsid w:val="00095F61"/>
    <w:rsid w:val="00096CE6"/>
    <w:rsid w:val="00097B04"/>
    <w:rsid w:val="000A0947"/>
    <w:rsid w:val="000A0ABE"/>
    <w:rsid w:val="000A0DC0"/>
    <w:rsid w:val="000A24AF"/>
    <w:rsid w:val="000A274D"/>
    <w:rsid w:val="000A2C52"/>
    <w:rsid w:val="000A2D79"/>
    <w:rsid w:val="000A3358"/>
    <w:rsid w:val="000A43D6"/>
    <w:rsid w:val="000A530C"/>
    <w:rsid w:val="000A54E6"/>
    <w:rsid w:val="000A584E"/>
    <w:rsid w:val="000A58B9"/>
    <w:rsid w:val="000A5A8E"/>
    <w:rsid w:val="000A5CD4"/>
    <w:rsid w:val="000A6F16"/>
    <w:rsid w:val="000A7A6C"/>
    <w:rsid w:val="000A7C5A"/>
    <w:rsid w:val="000B0205"/>
    <w:rsid w:val="000B0817"/>
    <w:rsid w:val="000B10D9"/>
    <w:rsid w:val="000B1ED2"/>
    <w:rsid w:val="000B20FC"/>
    <w:rsid w:val="000B3202"/>
    <w:rsid w:val="000B493E"/>
    <w:rsid w:val="000B4F60"/>
    <w:rsid w:val="000B5CC8"/>
    <w:rsid w:val="000B5DFC"/>
    <w:rsid w:val="000B61BF"/>
    <w:rsid w:val="000B620E"/>
    <w:rsid w:val="000B67E1"/>
    <w:rsid w:val="000C080D"/>
    <w:rsid w:val="000C1B95"/>
    <w:rsid w:val="000C299D"/>
    <w:rsid w:val="000C2A5E"/>
    <w:rsid w:val="000C3B21"/>
    <w:rsid w:val="000C428C"/>
    <w:rsid w:val="000C4328"/>
    <w:rsid w:val="000C48DA"/>
    <w:rsid w:val="000C605A"/>
    <w:rsid w:val="000C63AE"/>
    <w:rsid w:val="000C6BB0"/>
    <w:rsid w:val="000C7685"/>
    <w:rsid w:val="000D0C86"/>
    <w:rsid w:val="000D0C91"/>
    <w:rsid w:val="000D11F6"/>
    <w:rsid w:val="000D1EAF"/>
    <w:rsid w:val="000D2C8E"/>
    <w:rsid w:val="000D2CA8"/>
    <w:rsid w:val="000D3909"/>
    <w:rsid w:val="000D39D7"/>
    <w:rsid w:val="000D3DAF"/>
    <w:rsid w:val="000D4816"/>
    <w:rsid w:val="000D48D5"/>
    <w:rsid w:val="000D5E0E"/>
    <w:rsid w:val="000D5E7D"/>
    <w:rsid w:val="000D6088"/>
    <w:rsid w:val="000D6CFF"/>
    <w:rsid w:val="000D6D74"/>
    <w:rsid w:val="000D6F21"/>
    <w:rsid w:val="000D7803"/>
    <w:rsid w:val="000D7D8E"/>
    <w:rsid w:val="000D7DC6"/>
    <w:rsid w:val="000E18B0"/>
    <w:rsid w:val="000E1BD5"/>
    <w:rsid w:val="000E1C6E"/>
    <w:rsid w:val="000E214A"/>
    <w:rsid w:val="000E21D9"/>
    <w:rsid w:val="000E2823"/>
    <w:rsid w:val="000E3219"/>
    <w:rsid w:val="000E321B"/>
    <w:rsid w:val="000E3D76"/>
    <w:rsid w:val="000E52FA"/>
    <w:rsid w:val="000E6437"/>
    <w:rsid w:val="000E671E"/>
    <w:rsid w:val="000F06E7"/>
    <w:rsid w:val="000F0B03"/>
    <w:rsid w:val="000F0D6F"/>
    <w:rsid w:val="000F1EDD"/>
    <w:rsid w:val="000F23CA"/>
    <w:rsid w:val="000F243B"/>
    <w:rsid w:val="000F262E"/>
    <w:rsid w:val="000F3580"/>
    <w:rsid w:val="000F3F04"/>
    <w:rsid w:val="000F420E"/>
    <w:rsid w:val="000F454C"/>
    <w:rsid w:val="000F4EE2"/>
    <w:rsid w:val="000F527A"/>
    <w:rsid w:val="000F5C16"/>
    <w:rsid w:val="000F6308"/>
    <w:rsid w:val="000F6C6E"/>
    <w:rsid w:val="000F7241"/>
    <w:rsid w:val="000F7836"/>
    <w:rsid w:val="000F7F62"/>
    <w:rsid w:val="001001FD"/>
    <w:rsid w:val="00100694"/>
    <w:rsid w:val="001018E6"/>
    <w:rsid w:val="00101DFC"/>
    <w:rsid w:val="00102684"/>
    <w:rsid w:val="00102A12"/>
    <w:rsid w:val="00102CC6"/>
    <w:rsid w:val="00102F0D"/>
    <w:rsid w:val="001048BE"/>
    <w:rsid w:val="0010529C"/>
    <w:rsid w:val="001072EB"/>
    <w:rsid w:val="001075C1"/>
    <w:rsid w:val="00107924"/>
    <w:rsid w:val="001079CD"/>
    <w:rsid w:val="0011014B"/>
    <w:rsid w:val="00111274"/>
    <w:rsid w:val="001117B9"/>
    <w:rsid w:val="0011317D"/>
    <w:rsid w:val="001134EF"/>
    <w:rsid w:val="00114386"/>
    <w:rsid w:val="001148BD"/>
    <w:rsid w:val="001151A9"/>
    <w:rsid w:val="00115CCC"/>
    <w:rsid w:val="00116BDF"/>
    <w:rsid w:val="0012030F"/>
    <w:rsid w:val="00120AB4"/>
    <w:rsid w:val="00120BE1"/>
    <w:rsid w:val="00121A55"/>
    <w:rsid w:val="00121C20"/>
    <w:rsid w:val="00121CCD"/>
    <w:rsid w:val="00122400"/>
    <w:rsid w:val="00122C88"/>
    <w:rsid w:val="00123367"/>
    <w:rsid w:val="00123EA6"/>
    <w:rsid w:val="00124206"/>
    <w:rsid w:val="0012456B"/>
    <w:rsid w:val="00124932"/>
    <w:rsid w:val="0012537B"/>
    <w:rsid w:val="0012558C"/>
    <w:rsid w:val="0012714F"/>
    <w:rsid w:val="00127915"/>
    <w:rsid w:val="0013031C"/>
    <w:rsid w:val="00130801"/>
    <w:rsid w:val="00130A8C"/>
    <w:rsid w:val="001310AA"/>
    <w:rsid w:val="001312DF"/>
    <w:rsid w:val="00132670"/>
    <w:rsid w:val="001328E9"/>
    <w:rsid w:val="00133AF2"/>
    <w:rsid w:val="00133E88"/>
    <w:rsid w:val="0013411A"/>
    <w:rsid w:val="001349F3"/>
    <w:rsid w:val="001356AB"/>
    <w:rsid w:val="0013581C"/>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D73"/>
    <w:rsid w:val="001448C4"/>
    <w:rsid w:val="0014619B"/>
    <w:rsid w:val="001467AB"/>
    <w:rsid w:val="001468DA"/>
    <w:rsid w:val="00146E88"/>
    <w:rsid w:val="00147B19"/>
    <w:rsid w:val="00150618"/>
    <w:rsid w:val="00150E64"/>
    <w:rsid w:val="00151766"/>
    <w:rsid w:val="00152417"/>
    <w:rsid w:val="0015247A"/>
    <w:rsid w:val="00152F39"/>
    <w:rsid w:val="00153226"/>
    <w:rsid w:val="00153918"/>
    <w:rsid w:val="001547E1"/>
    <w:rsid w:val="00154F74"/>
    <w:rsid w:val="00156320"/>
    <w:rsid w:val="00156E27"/>
    <w:rsid w:val="001570A5"/>
    <w:rsid w:val="001571E8"/>
    <w:rsid w:val="0015749F"/>
    <w:rsid w:val="00160375"/>
    <w:rsid w:val="00160D4E"/>
    <w:rsid w:val="00160F50"/>
    <w:rsid w:val="00161522"/>
    <w:rsid w:val="001617AE"/>
    <w:rsid w:val="00161E4F"/>
    <w:rsid w:val="0016263C"/>
    <w:rsid w:val="001628C8"/>
    <w:rsid w:val="00162AE8"/>
    <w:rsid w:val="00162C56"/>
    <w:rsid w:val="00162DB2"/>
    <w:rsid w:val="00163EA0"/>
    <w:rsid w:val="00164626"/>
    <w:rsid w:val="00164924"/>
    <w:rsid w:val="00164A55"/>
    <w:rsid w:val="001657B1"/>
    <w:rsid w:val="00166DCC"/>
    <w:rsid w:val="00167927"/>
    <w:rsid w:val="0017073E"/>
    <w:rsid w:val="00170C17"/>
    <w:rsid w:val="00170C6E"/>
    <w:rsid w:val="0017173E"/>
    <w:rsid w:val="00171CA3"/>
    <w:rsid w:val="001722D8"/>
    <w:rsid w:val="00172715"/>
    <w:rsid w:val="00172A27"/>
    <w:rsid w:val="00172AE3"/>
    <w:rsid w:val="00172C34"/>
    <w:rsid w:val="00173149"/>
    <w:rsid w:val="00173759"/>
    <w:rsid w:val="001739A3"/>
    <w:rsid w:val="00173A21"/>
    <w:rsid w:val="00173D26"/>
    <w:rsid w:val="001742DD"/>
    <w:rsid w:val="00175A5E"/>
    <w:rsid w:val="00177212"/>
    <w:rsid w:val="001774D4"/>
    <w:rsid w:val="00177549"/>
    <w:rsid w:val="00177744"/>
    <w:rsid w:val="001778BE"/>
    <w:rsid w:val="00177F89"/>
    <w:rsid w:val="00180B0D"/>
    <w:rsid w:val="00181389"/>
    <w:rsid w:val="00181FEA"/>
    <w:rsid w:val="00182706"/>
    <w:rsid w:val="0018284B"/>
    <w:rsid w:val="00183600"/>
    <w:rsid w:val="00183836"/>
    <w:rsid w:val="00183DB4"/>
    <w:rsid w:val="001845E9"/>
    <w:rsid w:val="00184630"/>
    <w:rsid w:val="001846D7"/>
    <w:rsid w:val="00184815"/>
    <w:rsid w:val="001856C0"/>
    <w:rsid w:val="00185CB5"/>
    <w:rsid w:val="001864FF"/>
    <w:rsid w:val="00186D2F"/>
    <w:rsid w:val="00187B3E"/>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A040A"/>
    <w:rsid w:val="001A10F7"/>
    <w:rsid w:val="001A173C"/>
    <w:rsid w:val="001A1844"/>
    <w:rsid w:val="001A1998"/>
    <w:rsid w:val="001A1BE9"/>
    <w:rsid w:val="001A20CA"/>
    <w:rsid w:val="001A29AF"/>
    <w:rsid w:val="001A2B9F"/>
    <w:rsid w:val="001A2DA7"/>
    <w:rsid w:val="001A3B13"/>
    <w:rsid w:val="001A3CF6"/>
    <w:rsid w:val="001A3EE7"/>
    <w:rsid w:val="001A4420"/>
    <w:rsid w:val="001A68EC"/>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491"/>
    <w:rsid w:val="001B75CF"/>
    <w:rsid w:val="001B7A8D"/>
    <w:rsid w:val="001B7EBE"/>
    <w:rsid w:val="001C06C0"/>
    <w:rsid w:val="001C0924"/>
    <w:rsid w:val="001C10E5"/>
    <w:rsid w:val="001C1A12"/>
    <w:rsid w:val="001C1D46"/>
    <w:rsid w:val="001C1F6C"/>
    <w:rsid w:val="001C21BB"/>
    <w:rsid w:val="001C3041"/>
    <w:rsid w:val="001C30D1"/>
    <w:rsid w:val="001C33D6"/>
    <w:rsid w:val="001C35B7"/>
    <w:rsid w:val="001C36F7"/>
    <w:rsid w:val="001C3AE0"/>
    <w:rsid w:val="001C3BAD"/>
    <w:rsid w:val="001C5F9A"/>
    <w:rsid w:val="001C7E49"/>
    <w:rsid w:val="001D012D"/>
    <w:rsid w:val="001D0702"/>
    <w:rsid w:val="001D0A25"/>
    <w:rsid w:val="001D1659"/>
    <w:rsid w:val="001D296C"/>
    <w:rsid w:val="001D2F3D"/>
    <w:rsid w:val="001D33C3"/>
    <w:rsid w:val="001D3C8D"/>
    <w:rsid w:val="001D3DED"/>
    <w:rsid w:val="001D3DF8"/>
    <w:rsid w:val="001D4078"/>
    <w:rsid w:val="001D4E6F"/>
    <w:rsid w:val="001D5573"/>
    <w:rsid w:val="001D5E80"/>
    <w:rsid w:val="001D6157"/>
    <w:rsid w:val="001D6356"/>
    <w:rsid w:val="001D6A56"/>
    <w:rsid w:val="001D6EC3"/>
    <w:rsid w:val="001D710C"/>
    <w:rsid w:val="001E11B1"/>
    <w:rsid w:val="001E208F"/>
    <w:rsid w:val="001E233C"/>
    <w:rsid w:val="001E4950"/>
    <w:rsid w:val="001E5014"/>
    <w:rsid w:val="001E630A"/>
    <w:rsid w:val="001E67F4"/>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D92"/>
    <w:rsid w:val="001F4F4A"/>
    <w:rsid w:val="001F534F"/>
    <w:rsid w:val="001F543D"/>
    <w:rsid w:val="001F56BD"/>
    <w:rsid w:val="001F5989"/>
    <w:rsid w:val="001F64C1"/>
    <w:rsid w:val="001F7746"/>
    <w:rsid w:val="002001F1"/>
    <w:rsid w:val="00201348"/>
    <w:rsid w:val="002014D7"/>
    <w:rsid w:val="00201A4E"/>
    <w:rsid w:val="00201B09"/>
    <w:rsid w:val="00201C8A"/>
    <w:rsid w:val="00202525"/>
    <w:rsid w:val="002035A2"/>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9CD"/>
    <w:rsid w:val="00213E88"/>
    <w:rsid w:val="00214C22"/>
    <w:rsid w:val="00214C4A"/>
    <w:rsid w:val="00214FDD"/>
    <w:rsid w:val="0021647A"/>
    <w:rsid w:val="002170FD"/>
    <w:rsid w:val="002175FD"/>
    <w:rsid w:val="0021781A"/>
    <w:rsid w:val="00217A9E"/>
    <w:rsid w:val="002201AC"/>
    <w:rsid w:val="0022067E"/>
    <w:rsid w:val="00221029"/>
    <w:rsid w:val="0022131F"/>
    <w:rsid w:val="002216BD"/>
    <w:rsid w:val="00221E89"/>
    <w:rsid w:val="00221FE8"/>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D0C"/>
    <w:rsid w:val="00230EA4"/>
    <w:rsid w:val="002326BE"/>
    <w:rsid w:val="0023316C"/>
    <w:rsid w:val="002333EF"/>
    <w:rsid w:val="00233C0A"/>
    <w:rsid w:val="00233EA8"/>
    <w:rsid w:val="00233EE9"/>
    <w:rsid w:val="00235237"/>
    <w:rsid w:val="00235CCD"/>
    <w:rsid w:val="0023602F"/>
    <w:rsid w:val="00236048"/>
    <w:rsid w:val="002362ED"/>
    <w:rsid w:val="00237036"/>
    <w:rsid w:val="002372AC"/>
    <w:rsid w:val="00237A33"/>
    <w:rsid w:val="00240B0F"/>
    <w:rsid w:val="00240E54"/>
    <w:rsid w:val="00241314"/>
    <w:rsid w:val="00241B92"/>
    <w:rsid w:val="00241BD9"/>
    <w:rsid w:val="00242B67"/>
    <w:rsid w:val="00243381"/>
    <w:rsid w:val="00243EFD"/>
    <w:rsid w:val="002442A5"/>
    <w:rsid w:val="00244AF3"/>
    <w:rsid w:val="00244CB3"/>
    <w:rsid w:val="00244EFB"/>
    <w:rsid w:val="00245008"/>
    <w:rsid w:val="002451ED"/>
    <w:rsid w:val="0024561B"/>
    <w:rsid w:val="002458E4"/>
    <w:rsid w:val="00245DD8"/>
    <w:rsid w:val="002506EE"/>
    <w:rsid w:val="00250E89"/>
    <w:rsid w:val="00252912"/>
    <w:rsid w:val="00252D49"/>
    <w:rsid w:val="00253C51"/>
    <w:rsid w:val="002548D3"/>
    <w:rsid w:val="0025568B"/>
    <w:rsid w:val="002561B7"/>
    <w:rsid w:val="00257054"/>
    <w:rsid w:val="00257131"/>
    <w:rsid w:val="002572D1"/>
    <w:rsid w:val="0025733E"/>
    <w:rsid w:val="00257F6B"/>
    <w:rsid w:val="002600E9"/>
    <w:rsid w:val="00260DC9"/>
    <w:rsid w:val="00261B4C"/>
    <w:rsid w:val="00261C50"/>
    <w:rsid w:val="00261DE4"/>
    <w:rsid w:val="00261E06"/>
    <w:rsid w:val="0026249A"/>
    <w:rsid w:val="002625B4"/>
    <w:rsid w:val="00263090"/>
    <w:rsid w:val="002640AD"/>
    <w:rsid w:val="0026452A"/>
    <w:rsid w:val="00264570"/>
    <w:rsid w:val="00264D98"/>
    <w:rsid w:val="00265054"/>
    <w:rsid w:val="0026523F"/>
    <w:rsid w:val="002659F4"/>
    <w:rsid w:val="0026696D"/>
    <w:rsid w:val="00266A00"/>
    <w:rsid w:val="00266BE6"/>
    <w:rsid w:val="00267127"/>
    <w:rsid w:val="00267325"/>
    <w:rsid w:val="00267935"/>
    <w:rsid w:val="002703AB"/>
    <w:rsid w:val="00270B8F"/>
    <w:rsid w:val="00271B39"/>
    <w:rsid w:val="00271CD9"/>
    <w:rsid w:val="0027313B"/>
    <w:rsid w:val="002731CD"/>
    <w:rsid w:val="00273CF6"/>
    <w:rsid w:val="00273F3E"/>
    <w:rsid w:val="00274F13"/>
    <w:rsid w:val="002752E7"/>
    <w:rsid w:val="00275567"/>
    <w:rsid w:val="00275D52"/>
    <w:rsid w:val="00276536"/>
    <w:rsid w:val="00276BC6"/>
    <w:rsid w:val="0027723E"/>
    <w:rsid w:val="002772D9"/>
    <w:rsid w:val="002772EA"/>
    <w:rsid w:val="00277FDA"/>
    <w:rsid w:val="0028026F"/>
    <w:rsid w:val="0028028C"/>
    <w:rsid w:val="00280915"/>
    <w:rsid w:val="00280BAD"/>
    <w:rsid w:val="002812B8"/>
    <w:rsid w:val="002814FA"/>
    <w:rsid w:val="00281922"/>
    <w:rsid w:val="00281DA0"/>
    <w:rsid w:val="0028242D"/>
    <w:rsid w:val="00282D45"/>
    <w:rsid w:val="00283253"/>
    <w:rsid w:val="002836C6"/>
    <w:rsid w:val="0028615B"/>
    <w:rsid w:val="00286DFC"/>
    <w:rsid w:val="00287102"/>
    <w:rsid w:val="00290002"/>
    <w:rsid w:val="0029069C"/>
    <w:rsid w:val="002913B8"/>
    <w:rsid w:val="0029244F"/>
    <w:rsid w:val="00293B82"/>
    <w:rsid w:val="00293DA4"/>
    <w:rsid w:val="002965D8"/>
    <w:rsid w:val="002A0381"/>
    <w:rsid w:val="002A0425"/>
    <w:rsid w:val="002A0651"/>
    <w:rsid w:val="002A06BD"/>
    <w:rsid w:val="002A11FB"/>
    <w:rsid w:val="002A120C"/>
    <w:rsid w:val="002A1996"/>
    <w:rsid w:val="002A1F00"/>
    <w:rsid w:val="002A1F34"/>
    <w:rsid w:val="002A2185"/>
    <w:rsid w:val="002A21D9"/>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2CF6"/>
    <w:rsid w:val="002B2E09"/>
    <w:rsid w:val="002B366D"/>
    <w:rsid w:val="002B3C7C"/>
    <w:rsid w:val="002B4B5E"/>
    <w:rsid w:val="002B4F70"/>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B4B"/>
    <w:rsid w:val="002C5EEF"/>
    <w:rsid w:val="002C6527"/>
    <w:rsid w:val="002D13DF"/>
    <w:rsid w:val="002D3B6B"/>
    <w:rsid w:val="002D41A4"/>
    <w:rsid w:val="002D603D"/>
    <w:rsid w:val="002D6332"/>
    <w:rsid w:val="002D7FC5"/>
    <w:rsid w:val="002E00AD"/>
    <w:rsid w:val="002E032F"/>
    <w:rsid w:val="002E075F"/>
    <w:rsid w:val="002E08C1"/>
    <w:rsid w:val="002E0B56"/>
    <w:rsid w:val="002E0B5D"/>
    <w:rsid w:val="002E0B99"/>
    <w:rsid w:val="002E1650"/>
    <w:rsid w:val="002E1DA6"/>
    <w:rsid w:val="002E214F"/>
    <w:rsid w:val="002E24BD"/>
    <w:rsid w:val="002E27B9"/>
    <w:rsid w:val="002E3C98"/>
    <w:rsid w:val="002E4681"/>
    <w:rsid w:val="002E4D51"/>
    <w:rsid w:val="002E554F"/>
    <w:rsid w:val="002E57C9"/>
    <w:rsid w:val="002E6371"/>
    <w:rsid w:val="002E6A58"/>
    <w:rsid w:val="002E6D98"/>
    <w:rsid w:val="002E7881"/>
    <w:rsid w:val="002E7975"/>
    <w:rsid w:val="002E7A31"/>
    <w:rsid w:val="002F01F2"/>
    <w:rsid w:val="002F0F57"/>
    <w:rsid w:val="002F11D5"/>
    <w:rsid w:val="002F2B63"/>
    <w:rsid w:val="002F3765"/>
    <w:rsid w:val="002F44A0"/>
    <w:rsid w:val="002F4F44"/>
    <w:rsid w:val="002F50DA"/>
    <w:rsid w:val="002F56B1"/>
    <w:rsid w:val="002F584B"/>
    <w:rsid w:val="002F5EEE"/>
    <w:rsid w:val="002F5FC3"/>
    <w:rsid w:val="002F6EF2"/>
    <w:rsid w:val="002F79E2"/>
    <w:rsid w:val="002F7D39"/>
    <w:rsid w:val="002F7E4F"/>
    <w:rsid w:val="002F7E8D"/>
    <w:rsid w:val="003022E5"/>
    <w:rsid w:val="00302461"/>
    <w:rsid w:val="00302899"/>
    <w:rsid w:val="00302A04"/>
    <w:rsid w:val="003033D9"/>
    <w:rsid w:val="00303F98"/>
    <w:rsid w:val="00304338"/>
    <w:rsid w:val="003044F5"/>
    <w:rsid w:val="003051C9"/>
    <w:rsid w:val="00305C1F"/>
    <w:rsid w:val="00305D1D"/>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240"/>
    <w:rsid w:val="0031737C"/>
    <w:rsid w:val="00320073"/>
    <w:rsid w:val="003201A8"/>
    <w:rsid w:val="003203BF"/>
    <w:rsid w:val="00320626"/>
    <w:rsid w:val="00320DE9"/>
    <w:rsid w:val="003214C3"/>
    <w:rsid w:val="003214D6"/>
    <w:rsid w:val="003219DD"/>
    <w:rsid w:val="00321CC1"/>
    <w:rsid w:val="0032244E"/>
    <w:rsid w:val="003226A5"/>
    <w:rsid w:val="00323373"/>
    <w:rsid w:val="003242E5"/>
    <w:rsid w:val="00324DD8"/>
    <w:rsid w:val="00324F38"/>
    <w:rsid w:val="003256E0"/>
    <w:rsid w:val="00325E6C"/>
    <w:rsid w:val="00327114"/>
    <w:rsid w:val="003278F8"/>
    <w:rsid w:val="00327B3E"/>
    <w:rsid w:val="00327D2C"/>
    <w:rsid w:val="00327EA3"/>
    <w:rsid w:val="00330181"/>
    <w:rsid w:val="003308E0"/>
    <w:rsid w:val="00332227"/>
    <w:rsid w:val="00332486"/>
    <w:rsid w:val="0033321A"/>
    <w:rsid w:val="00333676"/>
    <w:rsid w:val="003336FD"/>
    <w:rsid w:val="00333A02"/>
    <w:rsid w:val="00333A55"/>
    <w:rsid w:val="00333D3B"/>
    <w:rsid w:val="00333E4C"/>
    <w:rsid w:val="00334224"/>
    <w:rsid w:val="0033425B"/>
    <w:rsid w:val="003342F6"/>
    <w:rsid w:val="00334680"/>
    <w:rsid w:val="00334DBC"/>
    <w:rsid w:val="003350A3"/>
    <w:rsid w:val="0033586C"/>
    <w:rsid w:val="00335EFB"/>
    <w:rsid w:val="003364EB"/>
    <w:rsid w:val="003374CB"/>
    <w:rsid w:val="00337D7C"/>
    <w:rsid w:val="00340405"/>
    <w:rsid w:val="00340445"/>
    <w:rsid w:val="00342098"/>
    <w:rsid w:val="00342BAE"/>
    <w:rsid w:val="003431F0"/>
    <w:rsid w:val="00344388"/>
    <w:rsid w:val="00345387"/>
    <w:rsid w:val="00345AD6"/>
    <w:rsid w:val="00345E2A"/>
    <w:rsid w:val="00345F25"/>
    <w:rsid w:val="00346772"/>
    <w:rsid w:val="00346E05"/>
    <w:rsid w:val="00350C97"/>
    <w:rsid w:val="00351F42"/>
    <w:rsid w:val="00352BC1"/>
    <w:rsid w:val="003536EE"/>
    <w:rsid w:val="00353939"/>
    <w:rsid w:val="00354E1D"/>
    <w:rsid w:val="00354FA4"/>
    <w:rsid w:val="00355855"/>
    <w:rsid w:val="003571E8"/>
    <w:rsid w:val="00357CBA"/>
    <w:rsid w:val="003602AF"/>
    <w:rsid w:val="003619E8"/>
    <w:rsid w:val="00361FC9"/>
    <w:rsid w:val="00363CCB"/>
    <w:rsid w:val="003640EA"/>
    <w:rsid w:val="003642A2"/>
    <w:rsid w:val="003646C5"/>
    <w:rsid w:val="00365006"/>
    <w:rsid w:val="00365258"/>
    <w:rsid w:val="00365ABF"/>
    <w:rsid w:val="00366FA8"/>
    <w:rsid w:val="0037017C"/>
    <w:rsid w:val="003703D0"/>
    <w:rsid w:val="003706B3"/>
    <w:rsid w:val="003709F9"/>
    <w:rsid w:val="00372522"/>
    <w:rsid w:val="003728C9"/>
    <w:rsid w:val="00373353"/>
    <w:rsid w:val="00373923"/>
    <w:rsid w:val="003744B5"/>
    <w:rsid w:val="003745F2"/>
    <w:rsid w:val="00374BA5"/>
    <w:rsid w:val="003750DD"/>
    <w:rsid w:val="003756AA"/>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1591"/>
    <w:rsid w:val="00392CF1"/>
    <w:rsid w:val="00393028"/>
    <w:rsid w:val="0039313E"/>
    <w:rsid w:val="003934F9"/>
    <w:rsid w:val="00393CB5"/>
    <w:rsid w:val="00394848"/>
    <w:rsid w:val="00394A73"/>
    <w:rsid w:val="00394BD9"/>
    <w:rsid w:val="00394CBF"/>
    <w:rsid w:val="00394D1B"/>
    <w:rsid w:val="00394EA1"/>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94A"/>
    <w:rsid w:val="003A3C39"/>
    <w:rsid w:val="003A3CAC"/>
    <w:rsid w:val="003A3EFB"/>
    <w:rsid w:val="003A407A"/>
    <w:rsid w:val="003A44F3"/>
    <w:rsid w:val="003A574F"/>
    <w:rsid w:val="003A58D0"/>
    <w:rsid w:val="003A6FDB"/>
    <w:rsid w:val="003B01FA"/>
    <w:rsid w:val="003B0A1B"/>
    <w:rsid w:val="003B1B85"/>
    <w:rsid w:val="003B23AD"/>
    <w:rsid w:val="003B246D"/>
    <w:rsid w:val="003B2926"/>
    <w:rsid w:val="003B3713"/>
    <w:rsid w:val="003B3AA5"/>
    <w:rsid w:val="003B445F"/>
    <w:rsid w:val="003B495A"/>
    <w:rsid w:val="003B4982"/>
    <w:rsid w:val="003B4B46"/>
    <w:rsid w:val="003B5C4E"/>
    <w:rsid w:val="003B65AB"/>
    <w:rsid w:val="003B6CFD"/>
    <w:rsid w:val="003B7115"/>
    <w:rsid w:val="003B77CE"/>
    <w:rsid w:val="003B7B4E"/>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63D8"/>
    <w:rsid w:val="003C6619"/>
    <w:rsid w:val="003D06D4"/>
    <w:rsid w:val="003D16D0"/>
    <w:rsid w:val="003D27FB"/>
    <w:rsid w:val="003D3FDB"/>
    <w:rsid w:val="003D482D"/>
    <w:rsid w:val="003D53DC"/>
    <w:rsid w:val="003D589A"/>
    <w:rsid w:val="003D5A2F"/>
    <w:rsid w:val="003D647B"/>
    <w:rsid w:val="003D6826"/>
    <w:rsid w:val="003D6E2F"/>
    <w:rsid w:val="003D7964"/>
    <w:rsid w:val="003D7BA8"/>
    <w:rsid w:val="003D7DF8"/>
    <w:rsid w:val="003E0E08"/>
    <w:rsid w:val="003E1C2F"/>
    <w:rsid w:val="003E1EDB"/>
    <w:rsid w:val="003E2286"/>
    <w:rsid w:val="003E27AC"/>
    <w:rsid w:val="003E2AFF"/>
    <w:rsid w:val="003E2D32"/>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CC4"/>
    <w:rsid w:val="003F179E"/>
    <w:rsid w:val="003F1823"/>
    <w:rsid w:val="003F1DDF"/>
    <w:rsid w:val="003F1F28"/>
    <w:rsid w:val="003F253B"/>
    <w:rsid w:val="003F3ED0"/>
    <w:rsid w:val="003F447B"/>
    <w:rsid w:val="003F4F4B"/>
    <w:rsid w:val="003F50A1"/>
    <w:rsid w:val="003F5132"/>
    <w:rsid w:val="003F65B3"/>
    <w:rsid w:val="003F6B1B"/>
    <w:rsid w:val="003F6BA8"/>
    <w:rsid w:val="003F7D12"/>
    <w:rsid w:val="003F7F24"/>
    <w:rsid w:val="00400133"/>
    <w:rsid w:val="004004F2"/>
    <w:rsid w:val="0040061D"/>
    <w:rsid w:val="004009A7"/>
    <w:rsid w:val="00400A0B"/>
    <w:rsid w:val="00400A9F"/>
    <w:rsid w:val="00400D1B"/>
    <w:rsid w:val="004015AD"/>
    <w:rsid w:val="00401E65"/>
    <w:rsid w:val="00402593"/>
    <w:rsid w:val="004025F3"/>
    <w:rsid w:val="00402AB6"/>
    <w:rsid w:val="00402FEE"/>
    <w:rsid w:val="004030E9"/>
    <w:rsid w:val="00403343"/>
    <w:rsid w:val="004035B9"/>
    <w:rsid w:val="00403DA9"/>
    <w:rsid w:val="00404F25"/>
    <w:rsid w:val="00405A2A"/>
    <w:rsid w:val="00405AF2"/>
    <w:rsid w:val="00405C91"/>
    <w:rsid w:val="00405E73"/>
    <w:rsid w:val="004061A4"/>
    <w:rsid w:val="004061E0"/>
    <w:rsid w:val="0040632D"/>
    <w:rsid w:val="004077BD"/>
    <w:rsid w:val="00407B04"/>
    <w:rsid w:val="00407BC7"/>
    <w:rsid w:val="00407C5E"/>
    <w:rsid w:val="00410BE7"/>
    <w:rsid w:val="00410D26"/>
    <w:rsid w:val="0041105B"/>
    <w:rsid w:val="004124E8"/>
    <w:rsid w:val="00413625"/>
    <w:rsid w:val="00413661"/>
    <w:rsid w:val="00413BFD"/>
    <w:rsid w:val="004146C1"/>
    <w:rsid w:val="00414A4F"/>
    <w:rsid w:val="00415756"/>
    <w:rsid w:val="00415B9C"/>
    <w:rsid w:val="00415FC6"/>
    <w:rsid w:val="0041688D"/>
    <w:rsid w:val="004168DB"/>
    <w:rsid w:val="00416907"/>
    <w:rsid w:val="00416A9F"/>
    <w:rsid w:val="004170BB"/>
    <w:rsid w:val="00417D63"/>
    <w:rsid w:val="004201B7"/>
    <w:rsid w:val="00421FC0"/>
    <w:rsid w:val="00422A18"/>
    <w:rsid w:val="00422B01"/>
    <w:rsid w:val="00423668"/>
    <w:rsid w:val="00423C36"/>
    <w:rsid w:val="004242E7"/>
    <w:rsid w:val="00424697"/>
    <w:rsid w:val="00424B8A"/>
    <w:rsid w:val="00424DD1"/>
    <w:rsid w:val="00425A62"/>
    <w:rsid w:val="00426433"/>
    <w:rsid w:val="004274CF"/>
    <w:rsid w:val="00427BF1"/>
    <w:rsid w:val="00430051"/>
    <w:rsid w:val="004304D3"/>
    <w:rsid w:val="00430640"/>
    <w:rsid w:val="00430E30"/>
    <w:rsid w:val="00432AF7"/>
    <w:rsid w:val="004342A5"/>
    <w:rsid w:val="0043621F"/>
    <w:rsid w:val="00436AF4"/>
    <w:rsid w:val="00436D58"/>
    <w:rsid w:val="00437066"/>
    <w:rsid w:val="00437998"/>
    <w:rsid w:val="004379D3"/>
    <w:rsid w:val="004406D0"/>
    <w:rsid w:val="004407FB"/>
    <w:rsid w:val="00441233"/>
    <w:rsid w:val="0044149E"/>
    <w:rsid w:val="00441512"/>
    <w:rsid w:val="00441873"/>
    <w:rsid w:val="00441F5D"/>
    <w:rsid w:val="00442241"/>
    <w:rsid w:val="004424D0"/>
    <w:rsid w:val="00442D09"/>
    <w:rsid w:val="004434AB"/>
    <w:rsid w:val="00443DFB"/>
    <w:rsid w:val="0044427D"/>
    <w:rsid w:val="0044493B"/>
    <w:rsid w:val="00444C0A"/>
    <w:rsid w:val="00444CD2"/>
    <w:rsid w:val="0044510F"/>
    <w:rsid w:val="00445E9A"/>
    <w:rsid w:val="00446573"/>
    <w:rsid w:val="0044696A"/>
    <w:rsid w:val="004469FF"/>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92A"/>
    <w:rsid w:val="0046451D"/>
    <w:rsid w:val="00464A3F"/>
    <w:rsid w:val="00464A7E"/>
    <w:rsid w:val="004652F8"/>
    <w:rsid w:val="00465B3E"/>
    <w:rsid w:val="00465C0D"/>
    <w:rsid w:val="00465DED"/>
    <w:rsid w:val="004662D1"/>
    <w:rsid w:val="00466945"/>
    <w:rsid w:val="00466ED5"/>
    <w:rsid w:val="00467388"/>
    <w:rsid w:val="00470261"/>
    <w:rsid w:val="00470367"/>
    <w:rsid w:val="004705C5"/>
    <w:rsid w:val="00470934"/>
    <w:rsid w:val="00470AE5"/>
    <w:rsid w:val="0047124D"/>
    <w:rsid w:val="00471CC8"/>
    <w:rsid w:val="00471F5C"/>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561"/>
    <w:rsid w:val="0049059F"/>
    <w:rsid w:val="00492CA8"/>
    <w:rsid w:val="00493018"/>
    <w:rsid w:val="004932D3"/>
    <w:rsid w:val="00493783"/>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D79"/>
    <w:rsid w:val="004A4862"/>
    <w:rsid w:val="004A4E10"/>
    <w:rsid w:val="004A565E"/>
    <w:rsid w:val="004A59A4"/>
    <w:rsid w:val="004A6E06"/>
    <w:rsid w:val="004A73C9"/>
    <w:rsid w:val="004A7475"/>
    <w:rsid w:val="004A7F95"/>
    <w:rsid w:val="004B261D"/>
    <w:rsid w:val="004B35DD"/>
    <w:rsid w:val="004B6062"/>
    <w:rsid w:val="004B7F2B"/>
    <w:rsid w:val="004C067A"/>
    <w:rsid w:val="004C1447"/>
    <w:rsid w:val="004C262D"/>
    <w:rsid w:val="004C2758"/>
    <w:rsid w:val="004C3CB6"/>
    <w:rsid w:val="004C54EE"/>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76E"/>
    <w:rsid w:val="004D1F1A"/>
    <w:rsid w:val="004D241E"/>
    <w:rsid w:val="004D36B7"/>
    <w:rsid w:val="004D411E"/>
    <w:rsid w:val="004D591C"/>
    <w:rsid w:val="004D5B92"/>
    <w:rsid w:val="004D5ED0"/>
    <w:rsid w:val="004D6A22"/>
    <w:rsid w:val="004D6CA1"/>
    <w:rsid w:val="004D6F8E"/>
    <w:rsid w:val="004D7070"/>
    <w:rsid w:val="004D7151"/>
    <w:rsid w:val="004D7D6F"/>
    <w:rsid w:val="004D7DAB"/>
    <w:rsid w:val="004E019A"/>
    <w:rsid w:val="004E05BE"/>
    <w:rsid w:val="004E0BF6"/>
    <w:rsid w:val="004E0D9C"/>
    <w:rsid w:val="004E10C4"/>
    <w:rsid w:val="004E1BC0"/>
    <w:rsid w:val="004E2860"/>
    <w:rsid w:val="004E345A"/>
    <w:rsid w:val="004E3F06"/>
    <w:rsid w:val="004E4394"/>
    <w:rsid w:val="004E52D5"/>
    <w:rsid w:val="004E59C7"/>
    <w:rsid w:val="004E5C61"/>
    <w:rsid w:val="004E67CC"/>
    <w:rsid w:val="004E6BED"/>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76DE"/>
    <w:rsid w:val="004F797F"/>
    <w:rsid w:val="004F7E38"/>
    <w:rsid w:val="0050043A"/>
    <w:rsid w:val="00500875"/>
    <w:rsid w:val="005011A8"/>
    <w:rsid w:val="0050193A"/>
    <w:rsid w:val="00501956"/>
    <w:rsid w:val="00501E03"/>
    <w:rsid w:val="00501E5A"/>
    <w:rsid w:val="00501EB7"/>
    <w:rsid w:val="00502668"/>
    <w:rsid w:val="0050276C"/>
    <w:rsid w:val="005027F7"/>
    <w:rsid w:val="0050367F"/>
    <w:rsid w:val="00503E1C"/>
    <w:rsid w:val="00503FE5"/>
    <w:rsid w:val="00504068"/>
    <w:rsid w:val="00504889"/>
    <w:rsid w:val="005049EE"/>
    <w:rsid w:val="00504F17"/>
    <w:rsid w:val="00505297"/>
    <w:rsid w:val="0050563F"/>
    <w:rsid w:val="0050650A"/>
    <w:rsid w:val="00507045"/>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FA1"/>
    <w:rsid w:val="00523995"/>
    <w:rsid w:val="00523B53"/>
    <w:rsid w:val="00523BBD"/>
    <w:rsid w:val="0052405C"/>
    <w:rsid w:val="005241B2"/>
    <w:rsid w:val="00524351"/>
    <w:rsid w:val="00524414"/>
    <w:rsid w:val="005244D3"/>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47D3F"/>
    <w:rsid w:val="00550163"/>
    <w:rsid w:val="00550FF4"/>
    <w:rsid w:val="00551A35"/>
    <w:rsid w:val="00552287"/>
    <w:rsid w:val="005531EF"/>
    <w:rsid w:val="0055408C"/>
    <w:rsid w:val="00555289"/>
    <w:rsid w:val="00555AEF"/>
    <w:rsid w:val="00556DFE"/>
    <w:rsid w:val="00557BE8"/>
    <w:rsid w:val="00560452"/>
    <w:rsid w:val="0056097F"/>
    <w:rsid w:val="00560E39"/>
    <w:rsid w:val="005622D6"/>
    <w:rsid w:val="00562AD4"/>
    <w:rsid w:val="00563583"/>
    <w:rsid w:val="005635DB"/>
    <w:rsid w:val="00563722"/>
    <w:rsid w:val="00563E78"/>
    <w:rsid w:val="00564CC4"/>
    <w:rsid w:val="00565126"/>
    <w:rsid w:val="0056554D"/>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C96"/>
    <w:rsid w:val="00574200"/>
    <w:rsid w:val="00574266"/>
    <w:rsid w:val="00574539"/>
    <w:rsid w:val="00574776"/>
    <w:rsid w:val="00574ADD"/>
    <w:rsid w:val="00574BF4"/>
    <w:rsid w:val="00575FD0"/>
    <w:rsid w:val="00576547"/>
    <w:rsid w:val="005766D7"/>
    <w:rsid w:val="00576ED0"/>
    <w:rsid w:val="00576F87"/>
    <w:rsid w:val="005800A3"/>
    <w:rsid w:val="00580E5C"/>
    <w:rsid w:val="00581587"/>
    <w:rsid w:val="00581F5A"/>
    <w:rsid w:val="00582B82"/>
    <w:rsid w:val="00582EF6"/>
    <w:rsid w:val="00583464"/>
    <w:rsid w:val="00583A9B"/>
    <w:rsid w:val="00585D80"/>
    <w:rsid w:val="00586A60"/>
    <w:rsid w:val="0058774E"/>
    <w:rsid w:val="00587847"/>
    <w:rsid w:val="00587868"/>
    <w:rsid w:val="00587E0C"/>
    <w:rsid w:val="00591025"/>
    <w:rsid w:val="00591555"/>
    <w:rsid w:val="00592E85"/>
    <w:rsid w:val="00592F69"/>
    <w:rsid w:val="00593557"/>
    <w:rsid w:val="005935DB"/>
    <w:rsid w:val="0059385F"/>
    <w:rsid w:val="005946F1"/>
    <w:rsid w:val="00595BF2"/>
    <w:rsid w:val="00597E2F"/>
    <w:rsid w:val="005A02B7"/>
    <w:rsid w:val="005A07C9"/>
    <w:rsid w:val="005A10EF"/>
    <w:rsid w:val="005A12C1"/>
    <w:rsid w:val="005A12E3"/>
    <w:rsid w:val="005A1307"/>
    <w:rsid w:val="005A1548"/>
    <w:rsid w:val="005A1D55"/>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DB"/>
    <w:rsid w:val="005B1C58"/>
    <w:rsid w:val="005B2A88"/>
    <w:rsid w:val="005B342A"/>
    <w:rsid w:val="005B37AA"/>
    <w:rsid w:val="005B4418"/>
    <w:rsid w:val="005B4B65"/>
    <w:rsid w:val="005B5529"/>
    <w:rsid w:val="005B645D"/>
    <w:rsid w:val="005B663F"/>
    <w:rsid w:val="005B6B95"/>
    <w:rsid w:val="005B6F4F"/>
    <w:rsid w:val="005B707A"/>
    <w:rsid w:val="005B7160"/>
    <w:rsid w:val="005B73A6"/>
    <w:rsid w:val="005B768C"/>
    <w:rsid w:val="005C0EE2"/>
    <w:rsid w:val="005C160D"/>
    <w:rsid w:val="005C1691"/>
    <w:rsid w:val="005C283A"/>
    <w:rsid w:val="005C33DE"/>
    <w:rsid w:val="005C3571"/>
    <w:rsid w:val="005C3DAD"/>
    <w:rsid w:val="005C403A"/>
    <w:rsid w:val="005C4C1F"/>
    <w:rsid w:val="005C5F97"/>
    <w:rsid w:val="005C6799"/>
    <w:rsid w:val="005C7036"/>
    <w:rsid w:val="005C7053"/>
    <w:rsid w:val="005D0181"/>
    <w:rsid w:val="005D1B22"/>
    <w:rsid w:val="005D1F87"/>
    <w:rsid w:val="005D247E"/>
    <w:rsid w:val="005D2797"/>
    <w:rsid w:val="005D2821"/>
    <w:rsid w:val="005D29AB"/>
    <w:rsid w:val="005D2AD9"/>
    <w:rsid w:val="005D383B"/>
    <w:rsid w:val="005D487B"/>
    <w:rsid w:val="005D569E"/>
    <w:rsid w:val="005D6A20"/>
    <w:rsid w:val="005D75A8"/>
    <w:rsid w:val="005D7F63"/>
    <w:rsid w:val="005D7FD7"/>
    <w:rsid w:val="005E0134"/>
    <w:rsid w:val="005E01D6"/>
    <w:rsid w:val="005E0D2C"/>
    <w:rsid w:val="005E0FBF"/>
    <w:rsid w:val="005E10AA"/>
    <w:rsid w:val="005E1A94"/>
    <w:rsid w:val="005E1E5E"/>
    <w:rsid w:val="005E2578"/>
    <w:rsid w:val="005E320C"/>
    <w:rsid w:val="005E3644"/>
    <w:rsid w:val="005E43D7"/>
    <w:rsid w:val="005E43D9"/>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5C60"/>
    <w:rsid w:val="005F5D4D"/>
    <w:rsid w:val="005F65D7"/>
    <w:rsid w:val="005F7277"/>
    <w:rsid w:val="0060015E"/>
    <w:rsid w:val="00600FF2"/>
    <w:rsid w:val="0060107B"/>
    <w:rsid w:val="00601744"/>
    <w:rsid w:val="00601EEB"/>
    <w:rsid w:val="0060324A"/>
    <w:rsid w:val="00603B00"/>
    <w:rsid w:val="00604156"/>
    <w:rsid w:val="006041F6"/>
    <w:rsid w:val="00604586"/>
    <w:rsid w:val="00604591"/>
    <w:rsid w:val="00604A3E"/>
    <w:rsid w:val="00604E98"/>
    <w:rsid w:val="00605593"/>
    <w:rsid w:val="0060751C"/>
    <w:rsid w:val="00607D49"/>
    <w:rsid w:val="00607E9C"/>
    <w:rsid w:val="00610586"/>
    <w:rsid w:val="00610A0E"/>
    <w:rsid w:val="00611ED2"/>
    <w:rsid w:val="00613239"/>
    <w:rsid w:val="00614D9F"/>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7AAB"/>
    <w:rsid w:val="00627B99"/>
    <w:rsid w:val="00627E79"/>
    <w:rsid w:val="006300C1"/>
    <w:rsid w:val="006304B1"/>
    <w:rsid w:val="00631533"/>
    <w:rsid w:val="00631EC7"/>
    <w:rsid w:val="0063209E"/>
    <w:rsid w:val="006335B0"/>
    <w:rsid w:val="00633D19"/>
    <w:rsid w:val="00633D42"/>
    <w:rsid w:val="00634056"/>
    <w:rsid w:val="00634CAD"/>
    <w:rsid w:val="00634E82"/>
    <w:rsid w:val="006363FA"/>
    <w:rsid w:val="0063655E"/>
    <w:rsid w:val="00636979"/>
    <w:rsid w:val="00636B5D"/>
    <w:rsid w:val="006372D5"/>
    <w:rsid w:val="006379A7"/>
    <w:rsid w:val="00637EA1"/>
    <w:rsid w:val="00640237"/>
    <w:rsid w:val="0064124F"/>
    <w:rsid w:val="00641AB6"/>
    <w:rsid w:val="00642173"/>
    <w:rsid w:val="00642997"/>
    <w:rsid w:val="00642BFD"/>
    <w:rsid w:val="006436D0"/>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B2"/>
    <w:rsid w:val="00654F65"/>
    <w:rsid w:val="006556B0"/>
    <w:rsid w:val="0065588A"/>
    <w:rsid w:val="00655983"/>
    <w:rsid w:val="00656065"/>
    <w:rsid w:val="00656AE4"/>
    <w:rsid w:val="006571CF"/>
    <w:rsid w:val="0065748E"/>
    <w:rsid w:val="00657934"/>
    <w:rsid w:val="00657A63"/>
    <w:rsid w:val="006604AF"/>
    <w:rsid w:val="006612B7"/>
    <w:rsid w:val="00661497"/>
    <w:rsid w:val="00661503"/>
    <w:rsid w:val="006617A5"/>
    <w:rsid w:val="00661EB0"/>
    <w:rsid w:val="0066235E"/>
    <w:rsid w:val="00662523"/>
    <w:rsid w:val="00662B0D"/>
    <w:rsid w:val="00663E53"/>
    <w:rsid w:val="006644CF"/>
    <w:rsid w:val="00666308"/>
    <w:rsid w:val="00666BB7"/>
    <w:rsid w:val="00666C4C"/>
    <w:rsid w:val="00667518"/>
    <w:rsid w:val="00670342"/>
    <w:rsid w:val="00670C82"/>
    <w:rsid w:val="00670D33"/>
    <w:rsid w:val="00671921"/>
    <w:rsid w:val="00671AFA"/>
    <w:rsid w:val="006722F6"/>
    <w:rsid w:val="006725F0"/>
    <w:rsid w:val="00672A00"/>
    <w:rsid w:val="0067332F"/>
    <w:rsid w:val="00674A25"/>
    <w:rsid w:val="00674DCE"/>
    <w:rsid w:val="00675104"/>
    <w:rsid w:val="006755EE"/>
    <w:rsid w:val="00675A8E"/>
    <w:rsid w:val="00675D1F"/>
    <w:rsid w:val="00676955"/>
    <w:rsid w:val="00676D3E"/>
    <w:rsid w:val="00677048"/>
    <w:rsid w:val="0068046C"/>
    <w:rsid w:val="006812C0"/>
    <w:rsid w:val="00682313"/>
    <w:rsid w:val="006828B7"/>
    <w:rsid w:val="00683085"/>
    <w:rsid w:val="0068387C"/>
    <w:rsid w:val="00683942"/>
    <w:rsid w:val="00683ACE"/>
    <w:rsid w:val="00683E1A"/>
    <w:rsid w:val="0068574F"/>
    <w:rsid w:val="00686222"/>
    <w:rsid w:val="0068634C"/>
    <w:rsid w:val="00686C68"/>
    <w:rsid w:val="00686F04"/>
    <w:rsid w:val="00686F62"/>
    <w:rsid w:val="00687043"/>
    <w:rsid w:val="00690B64"/>
    <w:rsid w:val="00691F51"/>
    <w:rsid w:val="006922DF"/>
    <w:rsid w:val="00692328"/>
    <w:rsid w:val="0069241A"/>
    <w:rsid w:val="00693531"/>
    <w:rsid w:val="006935B9"/>
    <w:rsid w:val="00694848"/>
    <w:rsid w:val="00695224"/>
    <w:rsid w:val="006953B6"/>
    <w:rsid w:val="00695AF5"/>
    <w:rsid w:val="00696667"/>
    <w:rsid w:val="00696EA4"/>
    <w:rsid w:val="00697A24"/>
    <w:rsid w:val="00697C1D"/>
    <w:rsid w:val="006A0902"/>
    <w:rsid w:val="006A0DC0"/>
    <w:rsid w:val="006A104A"/>
    <w:rsid w:val="006A158C"/>
    <w:rsid w:val="006A189A"/>
    <w:rsid w:val="006A1938"/>
    <w:rsid w:val="006A1BD9"/>
    <w:rsid w:val="006A1D13"/>
    <w:rsid w:val="006A20E5"/>
    <w:rsid w:val="006A231D"/>
    <w:rsid w:val="006A231F"/>
    <w:rsid w:val="006A256B"/>
    <w:rsid w:val="006A2F27"/>
    <w:rsid w:val="006A333F"/>
    <w:rsid w:val="006A33B2"/>
    <w:rsid w:val="006A38CC"/>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E18"/>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76D"/>
    <w:rsid w:val="006D7DAF"/>
    <w:rsid w:val="006D7E04"/>
    <w:rsid w:val="006E0126"/>
    <w:rsid w:val="006E0848"/>
    <w:rsid w:val="006E11AC"/>
    <w:rsid w:val="006E28B4"/>
    <w:rsid w:val="006E42A9"/>
    <w:rsid w:val="006E4C76"/>
    <w:rsid w:val="006E5C0D"/>
    <w:rsid w:val="006E67A9"/>
    <w:rsid w:val="006E6FF8"/>
    <w:rsid w:val="006E7584"/>
    <w:rsid w:val="006F0B48"/>
    <w:rsid w:val="006F1D0E"/>
    <w:rsid w:val="006F1F52"/>
    <w:rsid w:val="006F2368"/>
    <w:rsid w:val="006F2601"/>
    <w:rsid w:val="006F2B93"/>
    <w:rsid w:val="006F2C93"/>
    <w:rsid w:val="006F4258"/>
    <w:rsid w:val="006F4A3B"/>
    <w:rsid w:val="006F4B32"/>
    <w:rsid w:val="006F6278"/>
    <w:rsid w:val="006F6F4D"/>
    <w:rsid w:val="006F7BB8"/>
    <w:rsid w:val="00701022"/>
    <w:rsid w:val="0070184D"/>
    <w:rsid w:val="00701DDF"/>
    <w:rsid w:val="00702247"/>
    <w:rsid w:val="007033F1"/>
    <w:rsid w:val="00704CBD"/>
    <w:rsid w:val="00705148"/>
    <w:rsid w:val="0070597A"/>
    <w:rsid w:val="007059E9"/>
    <w:rsid w:val="00705DC2"/>
    <w:rsid w:val="0070655B"/>
    <w:rsid w:val="00706FFC"/>
    <w:rsid w:val="00707536"/>
    <w:rsid w:val="00707A84"/>
    <w:rsid w:val="00707DE3"/>
    <w:rsid w:val="00710292"/>
    <w:rsid w:val="00714054"/>
    <w:rsid w:val="00714083"/>
    <w:rsid w:val="007157B2"/>
    <w:rsid w:val="00716559"/>
    <w:rsid w:val="00716825"/>
    <w:rsid w:val="007205F0"/>
    <w:rsid w:val="0072127E"/>
    <w:rsid w:val="007215B3"/>
    <w:rsid w:val="0072271B"/>
    <w:rsid w:val="00723C90"/>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3153"/>
    <w:rsid w:val="0073339B"/>
    <w:rsid w:val="00733B22"/>
    <w:rsid w:val="00733FF7"/>
    <w:rsid w:val="007356DE"/>
    <w:rsid w:val="00735C72"/>
    <w:rsid w:val="007367CA"/>
    <w:rsid w:val="00736C6D"/>
    <w:rsid w:val="007377B5"/>
    <w:rsid w:val="00737C0A"/>
    <w:rsid w:val="00740187"/>
    <w:rsid w:val="0074160D"/>
    <w:rsid w:val="00741C58"/>
    <w:rsid w:val="00741C5E"/>
    <w:rsid w:val="00743262"/>
    <w:rsid w:val="00744153"/>
    <w:rsid w:val="007444BF"/>
    <w:rsid w:val="007444FA"/>
    <w:rsid w:val="00744BE0"/>
    <w:rsid w:val="0074533B"/>
    <w:rsid w:val="00745BD2"/>
    <w:rsid w:val="00746164"/>
    <w:rsid w:val="007463BC"/>
    <w:rsid w:val="00746A22"/>
    <w:rsid w:val="00746AEF"/>
    <w:rsid w:val="00746F94"/>
    <w:rsid w:val="00746FB8"/>
    <w:rsid w:val="00747C97"/>
    <w:rsid w:val="00747CEF"/>
    <w:rsid w:val="0075028B"/>
    <w:rsid w:val="00750D85"/>
    <w:rsid w:val="00750D90"/>
    <w:rsid w:val="00751041"/>
    <w:rsid w:val="00751196"/>
    <w:rsid w:val="00751C20"/>
    <w:rsid w:val="00752B74"/>
    <w:rsid w:val="00752E07"/>
    <w:rsid w:val="00752FEA"/>
    <w:rsid w:val="00753B52"/>
    <w:rsid w:val="00753F35"/>
    <w:rsid w:val="0075447B"/>
    <w:rsid w:val="0075523F"/>
    <w:rsid w:val="00755530"/>
    <w:rsid w:val="00755E79"/>
    <w:rsid w:val="007566DE"/>
    <w:rsid w:val="00756F86"/>
    <w:rsid w:val="0075777A"/>
    <w:rsid w:val="0076013E"/>
    <w:rsid w:val="007645ED"/>
    <w:rsid w:val="00765002"/>
    <w:rsid w:val="0076501C"/>
    <w:rsid w:val="007675F7"/>
    <w:rsid w:val="0077091F"/>
    <w:rsid w:val="00771266"/>
    <w:rsid w:val="00772036"/>
    <w:rsid w:val="0077203D"/>
    <w:rsid w:val="00772114"/>
    <w:rsid w:val="00772150"/>
    <w:rsid w:val="007721E3"/>
    <w:rsid w:val="00775850"/>
    <w:rsid w:val="00776534"/>
    <w:rsid w:val="007768AE"/>
    <w:rsid w:val="00776F7B"/>
    <w:rsid w:val="00777322"/>
    <w:rsid w:val="00777C1D"/>
    <w:rsid w:val="00777E1B"/>
    <w:rsid w:val="00780D57"/>
    <w:rsid w:val="00780F67"/>
    <w:rsid w:val="007811DE"/>
    <w:rsid w:val="007818C5"/>
    <w:rsid w:val="00781EF6"/>
    <w:rsid w:val="00781F40"/>
    <w:rsid w:val="00782CE7"/>
    <w:rsid w:val="00782F5F"/>
    <w:rsid w:val="00784306"/>
    <w:rsid w:val="00784450"/>
    <w:rsid w:val="00784DDD"/>
    <w:rsid w:val="00785434"/>
    <w:rsid w:val="007854AB"/>
    <w:rsid w:val="00785789"/>
    <w:rsid w:val="007857B5"/>
    <w:rsid w:val="00785F9C"/>
    <w:rsid w:val="00786820"/>
    <w:rsid w:val="00786D03"/>
    <w:rsid w:val="007874E8"/>
    <w:rsid w:val="00787A4E"/>
    <w:rsid w:val="00787E46"/>
    <w:rsid w:val="00790B36"/>
    <w:rsid w:val="00790C65"/>
    <w:rsid w:val="007914C4"/>
    <w:rsid w:val="007919AA"/>
    <w:rsid w:val="00792891"/>
    <w:rsid w:val="00794258"/>
    <w:rsid w:val="00794997"/>
    <w:rsid w:val="0079543C"/>
    <w:rsid w:val="00795707"/>
    <w:rsid w:val="007958A2"/>
    <w:rsid w:val="00795A32"/>
    <w:rsid w:val="00795C4E"/>
    <w:rsid w:val="007970DC"/>
    <w:rsid w:val="00797438"/>
    <w:rsid w:val="00797A25"/>
    <w:rsid w:val="00797EDC"/>
    <w:rsid w:val="007A03B1"/>
    <w:rsid w:val="007A0520"/>
    <w:rsid w:val="007A0605"/>
    <w:rsid w:val="007A0E19"/>
    <w:rsid w:val="007A0E2F"/>
    <w:rsid w:val="007A10E6"/>
    <w:rsid w:val="007A1136"/>
    <w:rsid w:val="007A241F"/>
    <w:rsid w:val="007A26FB"/>
    <w:rsid w:val="007A2E07"/>
    <w:rsid w:val="007A3506"/>
    <w:rsid w:val="007A4153"/>
    <w:rsid w:val="007A424B"/>
    <w:rsid w:val="007A46C9"/>
    <w:rsid w:val="007A4983"/>
    <w:rsid w:val="007A501A"/>
    <w:rsid w:val="007A530D"/>
    <w:rsid w:val="007A5CB7"/>
    <w:rsid w:val="007A5CE6"/>
    <w:rsid w:val="007A6113"/>
    <w:rsid w:val="007A6DFA"/>
    <w:rsid w:val="007A6F5D"/>
    <w:rsid w:val="007A7B86"/>
    <w:rsid w:val="007B1A47"/>
    <w:rsid w:val="007B1DED"/>
    <w:rsid w:val="007B2741"/>
    <w:rsid w:val="007B3EEC"/>
    <w:rsid w:val="007B3F83"/>
    <w:rsid w:val="007B3FFF"/>
    <w:rsid w:val="007B47BA"/>
    <w:rsid w:val="007B4B17"/>
    <w:rsid w:val="007B62F5"/>
    <w:rsid w:val="007B7A1F"/>
    <w:rsid w:val="007B7ACF"/>
    <w:rsid w:val="007C07D2"/>
    <w:rsid w:val="007C0C41"/>
    <w:rsid w:val="007C0E51"/>
    <w:rsid w:val="007C0F7B"/>
    <w:rsid w:val="007C12FC"/>
    <w:rsid w:val="007C1A56"/>
    <w:rsid w:val="007C1BD2"/>
    <w:rsid w:val="007C22A2"/>
    <w:rsid w:val="007C2322"/>
    <w:rsid w:val="007C2370"/>
    <w:rsid w:val="007C44C4"/>
    <w:rsid w:val="007C4B16"/>
    <w:rsid w:val="007C573D"/>
    <w:rsid w:val="007C5EB7"/>
    <w:rsid w:val="007D02AD"/>
    <w:rsid w:val="007D0368"/>
    <w:rsid w:val="007D04E6"/>
    <w:rsid w:val="007D06EE"/>
    <w:rsid w:val="007D0D57"/>
    <w:rsid w:val="007D1D33"/>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965"/>
    <w:rsid w:val="007E03E4"/>
    <w:rsid w:val="007E0EDD"/>
    <w:rsid w:val="007E0F1F"/>
    <w:rsid w:val="007E1165"/>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614B"/>
    <w:rsid w:val="007E6353"/>
    <w:rsid w:val="007E637E"/>
    <w:rsid w:val="007E7BB8"/>
    <w:rsid w:val="007E7BEA"/>
    <w:rsid w:val="007F0400"/>
    <w:rsid w:val="007F040C"/>
    <w:rsid w:val="007F0A9F"/>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1AB1"/>
    <w:rsid w:val="00801EA6"/>
    <w:rsid w:val="00802C82"/>
    <w:rsid w:val="008033B8"/>
    <w:rsid w:val="008033C1"/>
    <w:rsid w:val="00803689"/>
    <w:rsid w:val="00803DDC"/>
    <w:rsid w:val="00803EBA"/>
    <w:rsid w:val="0080498C"/>
    <w:rsid w:val="008049DB"/>
    <w:rsid w:val="0080557B"/>
    <w:rsid w:val="00805B7B"/>
    <w:rsid w:val="00805D34"/>
    <w:rsid w:val="00806393"/>
    <w:rsid w:val="00806D7C"/>
    <w:rsid w:val="00806FF0"/>
    <w:rsid w:val="00810A80"/>
    <w:rsid w:val="00811009"/>
    <w:rsid w:val="00812CAB"/>
    <w:rsid w:val="00812D0A"/>
    <w:rsid w:val="00813405"/>
    <w:rsid w:val="0081357E"/>
    <w:rsid w:val="00813C9D"/>
    <w:rsid w:val="00814F99"/>
    <w:rsid w:val="00815C51"/>
    <w:rsid w:val="00816BEF"/>
    <w:rsid w:val="0081722B"/>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54A4"/>
    <w:rsid w:val="008275A6"/>
    <w:rsid w:val="00827773"/>
    <w:rsid w:val="00827B06"/>
    <w:rsid w:val="00827E2A"/>
    <w:rsid w:val="00830148"/>
    <w:rsid w:val="00830AF2"/>
    <w:rsid w:val="00830BFC"/>
    <w:rsid w:val="00830EAB"/>
    <w:rsid w:val="008310D2"/>
    <w:rsid w:val="00831F24"/>
    <w:rsid w:val="00832458"/>
    <w:rsid w:val="00832601"/>
    <w:rsid w:val="00832DD9"/>
    <w:rsid w:val="00832EE1"/>
    <w:rsid w:val="00833A00"/>
    <w:rsid w:val="0083687A"/>
    <w:rsid w:val="0083775C"/>
    <w:rsid w:val="008400CE"/>
    <w:rsid w:val="00841487"/>
    <w:rsid w:val="008415DF"/>
    <w:rsid w:val="0084170D"/>
    <w:rsid w:val="00841F99"/>
    <w:rsid w:val="0084293B"/>
    <w:rsid w:val="00842ACC"/>
    <w:rsid w:val="00842BD7"/>
    <w:rsid w:val="008430B9"/>
    <w:rsid w:val="00843A6E"/>
    <w:rsid w:val="008443F1"/>
    <w:rsid w:val="00844AC8"/>
    <w:rsid w:val="0084510F"/>
    <w:rsid w:val="0084544D"/>
    <w:rsid w:val="008454E1"/>
    <w:rsid w:val="00845E68"/>
    <w:rsid w:val="008460C4"/>
    <w:rsid w:val="008469B2"/>
    <w:rsid w:val="00847032"/>
    <w:rsid w:val="008472DB"/>
    <w:rsid w:val="008476CA"/>
    <w:rsid w:val="0084776B"/>
    <w:rsid w:val="00850E57"/>
    <w:rsid w:val="0085101E"/>
    <w:rsid w:val="00852470"/>
    <w:rsid w:val="008524EA"/>
    <w:rsid w:val="00852846"/>
    <w:rsid w:val="008538E8"/>
    <w:rsid w:val="00854CBF"/>
    <w:rsid w:val="00855CB8"/>
    <w:rsid w:val="00856618"/>
    <w:rsid w:val="008566CA"/>
    <w:rsid w:val="008568C5"/>
    <w:rsid w:val="00856B2E"/>
    <w:rsid w:val="008576E8"/>
    <w:rsid w:val="00862342"/>
    <w:rsid w:val="00862D18"/>
    <w:rsid w:val="008632E4"/>
    <w:rsid w:val="008638FB"/>
    <w:rsid w:val="00864BA7"/>
    <w:rsid w:val="00864FA0"/>
    <w:rsid w:val="00864FD5"/>
    <w:rsid w:val="00867216"/>
    <w:rsid w:val="0086743B"/>
    <w:rsid w:val="0087014B"/>
    <w:rsid w:val="00870347"/>
    <w:rsid w:val="00870CEF"/>
    <w:rsid w:val="0087154B"/>
    <w:rsid w:val="00871579"/>
    <w:rsid w:val="00871B86"/>
    <w:rsid w:val="00872962"/>
    <w:rsid w:val="008729E8"/>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D1B"/>
    <w:rsid w:val="00876093"/>
    <w:rsid w:val="008774B2"/>
    <w:rsid w:val="008815C0"/>
    <w:rsid w:val="0088250C"/>
    <w:rsid w:val="008832BB"/>
    <w:rsid w:val="00884182"/>
    <w:rsid w:val="008844CC"/>
    <w:rsid w:val="00884DE8"/>
    <w:rsid w:val="0088512A"/>
    <w:rsid w:val="00885F38"/>
    <w:rsid w:val="008864C3"/>
    <w:rsid w:val="00886B83"/>
    <w:rsid w:val="00887AA2"/>
    <w:rsid w:val="008900AB"/>
    <w:rsid w:val="00890CC0"/>
    <w:rsid w:val="00891630"/>
    <w:rsid w:val="008916E6"/>
    <w:rsid w:val="00891B0F"/>
    <w:rsid w:val="0089263D"/>
    <w:rsid w:val="008926B9"/>
    <w:rsid w:val="00892BD6"/>
    <w:rsid w:val="00892CA6"/>
    <w:rsid w:val="008935B1"/>
    <w:rsid w:val="00894579"/>
    <w:rsid w:val="008959FD"/>
    <w:rsid w:val="00895C6B"/>
    <w:rsid w:val="00896D0A"/>
    <w:rsid w:val="0089751D"/>
    <w:rsid w:val="00897A46"/>
    <w:rsid w:val="00897F8F"/>
    <w:rsid w:val="008A0126"/>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71AE"/>
    <w:rsid w:val="008B761D"/>
    <w:rsid w:val="008C0190"/>
    <w:rsid w:val="008C01FF"/>
    <w:rsid w:val="008C0A9D"/>
    <w:rsid w:val="008C17E1"/>
    <w:rsid w:val="008C32C7"/>
    <w:rsid w:val="008C455A"/>
    <w:rsid w:val="008C4A4A"/>
    <w:rsid w:val="008C4CA8"/>
    <w:rsid w:val="008C4EDA"/>
    <w:rsid w:val="008C5305"/>
    <w:rsid w:val="008C5566"/>
    <w:rsid w:val="008C562A"/>
    <w:rsid w:val="008C5863"/>
    <w:rsid w:val="008C6D7A"/>
    <w:rsid w:val="008C7124"/>
    <w:rsid w:val="008C713E"/>
    <w:rsid w:val="008C76FE"/>
    <w:rsid w:val="008C7B9B"/>
    <w:rsid w:val="008D0D6B"/>
    <w:rsid w:val="008D0E73"/>
    <w:rsid w:val="008D0EAD"/>
    <w:rsid w:val="008D14B9"/>
    <w:rsid w:val="008D1648"/>
    <w:rsid w:val="008D2745"/>
    <w:rsid w:val="008D2A84"/>
    <w:rsid w:val="008D4D1D"/>
    <w:rsid w:val="008D5D67"/>
    <w:rsid w:val="008D5F2F"/>
    <w:rsid w:val="008D6448"/>
    <w:rsid w:val="008D7E7E"/>
    <w:rsid w:val="008E02FA"/>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F04AE"/>
    <w:rsid w:val="008F0682"/>
    <w:rsid w:val="008F06E3"/>
    <w:rsid w:val="008F0D7F"/>
    <w:rsid w:val="008F247C"/>
    <w:rsid w:val="008F2C96"/>
    <w:rsid w:val="008F349F"/>
    <w:rsid w:val="008F3767"/>
    <w:rsid w:val="008F3AB4"/>
    <w:rsid w:val="008F432B"/>
    <w:rsid w:val="008F43F9"/>
    <w:rsid w:val="008F4452"/>
    <w:rsid w:val="008F4F69"/>
    <w:rsid w:val="008F4FFD"/>
    <w:rsid w:val="008F53DF"/>
    <w:rsid w:val="008F6E39"/>
    <w:rsid w:val="00900473"/>
    <w:rsid w:val="009005B3"/>
    <w:rsid w:val="00900ED9"/>
    <w:rsid w:val="009013F6"/>
    <w:rsid w:val="00901880"/>
    <w:rsid w:val="009018CE"/>
    <w:rsid w:val="00901D16"/>
    <w:rsid w:val="00901EB2"/>
    <w:rsid w:val="00902AA5"/>
    <w:rsid w:val="009044CE"/>
    <w:rsid w:val="00904F14"/>
    <w:rsid w:val="0090562E"/>
    <w:rsid w:val="00905A66"/>
    <w:rsid w:val="00905DB4"/>
    <w:rsid w:val="00906446"/>
    <w:rsid w:val="00906459"/>
    <w:rsid w:val="00906C94"/>
    <w:rsid w:val="00911100"/>
    <w:rsid w:val="009130F8"/>
    <w:rsid w:val="00913494"/>
    <w:rsid w:val="009134BC"/>
    <w:rsid w:val="00913699"/>
    <w:rsid w:val="00913C46"/>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251C"/>
    <w:rsid w:val="009226C5"/>
    <w:rsid w:val="009229C9"/>
    <w:rsid w:val="0092357A"/>
    <w:rsid w:val="0092402B"/>
    <w:rsid w:val="00924588"/>
    <w:rsid w:val="00924A9F"/>
    <w:rsid w:val="00925042"/>
    <w:rsid w:val="009251E0"/>
    <w:rsid w:val="00925E8E"/>
    <w:rsid w:val="009269BD"/>
    <w:rsid w:val="00926AA3"/>
    <w:rsid w:val="009303D6"/>
    <w:rsid w:val="00930B44"/>
    <w:rsid w:val="00931225"/>
    <w:rsid w:val="0093126B"/>
    <w:rsid w:val="0093128F"/>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11EB"/>
    <w:rsid w:val="00951479"/>
    <w:rsid w:val="00951870"/>
    <w:rsid w:val="00951EE6"/>
    <w:rsid w:val="00953D69"/>
    <w:rsid w:val="00954226"/>
    <w:rsid w:val="00954658"/>
    <w:rsid w:val="00956153"/>
    <w:rsid w:val="009561B4"/>
    <w:rsid w:val="009565AE"/>
    <w:rsid w:val="00956AA3"/>
    <w:rsid w:val="009574B7"/>
    <w:rsid w:val="009605F6"/>
    <w:rsid w:val="009611D3"/>
    <w:rsid w:val="0096138E"/>
    <w:rsid w:val="00962193"/>
    <w:rsid w:val="009627CF"/>
    <w:rsid w:val="00962A11"/>
    <w:rsid w:val="00962E7D"/>
    <w:rsid w:val="0096406A"/>
    <w:rsid w:val="00964A4F"/>
    <w:rsid w:val="00964D10"/>
    <w:rsid w:val="00965153"/>
    <w:rsid w:val="00965371"/>
    <w:rsid w:val="00965468"/>
    <w:rsid w:val="00965874"/>
    <w:rsid w:val="00965E71"/>
    <w:rsid w:val="009667F1"/>
    <w:rsid w:val="009668D3"/>
    <w:rsid w:val="009670C2"/>
    <w:rsid w:val="00970100"/>
    <w:rsid w:val="0097040B"/>
    <w:rsid w:val="00972177"/>
    <w:rsid w:val="00973222"/>
    <w:rsid w:val="00973DF4"/>
    <w:rsid w:val="00974624"/>
    <w:rsid w:val="00975087"/>
    <w:rsid w:val="00975C59"/>
    <w:rsid w:val="00975DEE"/>
    <w:rsid w:val="00976215"/>
    <w:rsid w:val="00976309"/>
    <w:rsid w:val="0097700C"/>
    <w:rsid w:val="009773D6"/>
    <w:rsid w:val="00977A8A"/>
    <w:rsid w:val="00977C0C"/>
    <w:rsid w:val="009808B3"/>
    <w:rsid w:val="0098149C"/>
    <w:rsid w:val="00982626"/>
    <w:rsid w:val="00982DCA"/>
    <w:rsid w:val="00983210"/>
    <w:rsid w:val="009833D1"/>
    <w:rsid w:val="0098376A"/>
    <w:rsid w:val="00983F50"/>
    <w:rsid w:val="0098413C"/>
    <w:rsid w:val="0098560B"/>
    <w:rsid w:val="0098605C"/>
    <w:rsid w:val="0098675C"/>
    <w:rsid w:val="00987290"/>
    <w:rsid w:val="009872EB"/>
    <w:rsid w:val="009876EE"/>
    <w:rsid w:val="00987AA2"/>
    <w:rsid w:val="00987B8C"/>
    <w:rsid w:val="00987CEE"/>
    <w:rsid w:val="00990C19"/>
    <w:rsid w:val="00991530"/>
    <w:rsid w:val="009916DA"/>
    <w:rsid w:val="00991D80"/>
    <w:rsid w:val="00991EA5"/>
    <w:rsid w:val="009920AC"/>
    <w:rsid w:val="00992B33"/>
    <w:rsid w:val="009945E8"/>
    <w:rsid w:val="00994FC7"/>
    <w:rsid w:val="009959BD"/>
    <w:rsid w:val="00995E92"/>
    <w:rsid w:val="00996363"/>
    <w:rsid w:val="009964CD"/>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5EE"/>
    <w:rsid w:val="009B5882"/>
    <w:rsid w:val="009B6644"/>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6134"/>
    <w:rsid w:val="009C7301"/>
    <w:rsid w:val="009C749C"/>
    <w:rsid w:val="009C788F"/>
    <w:rsid w:val="009C7ACB"/>
    <w:rsid w:val="009C7EF2"/>
    <w:rsid w:val="009D135A"/>
    <w:rsid w:val="009D16E4"/>
    <w:rsid w:val="009D1A50"/>
    <w:rsid w:val="009D1B41"/>
    <w:rsid w:val="009D2F15"/>
    <w:rsid w:val="009D321C"/>
    <w:rsid w:val="009D32F7"/>
    <w:rsid w:val="009D3F25"/>
    <w:rsid w:val="009D4A53"/>
    <w:rsid w:val="009D4B3F"/>
    <w:rsid w:val="009D500B"/>
    <w:rsid w:val="009D5228"/>
    <w:rsid w:val="009D57AF"/>
    <w:rsid w:val="009D5899"/>
    <w:rsid w:val="009D5EFF"/>
    <w:rsid w:val="009D60D2"/>
    <w:rsid w:val="009D648F"/>
    <w:rsid w:val="009D737C"/>
    <w:rsid w:val="009D7683"/>
    <w:rsid w:val="009D7811"/>
    <w:rsid w:val="009D7E70"/>
    <w:rsid w:val="009D7EC6"/>
    <w:rsid w:val="009E0313"/>
    <w:rsid w:val="009E1C84"/>
    <w:rsid w:val="009E1E04"/>
    <w:rsid w:val="009E1FF9"/>
    <w:rsid w:val="009E4179"/>
    <w:rsid w:val="009E4732"/>
    <w:rsid w:val="009E59F4"/>
    <w:rsid w:val="009E5C5E"/>
    <w:rsid w:val="009E5D79"/>
    <w:rsid w:val="009E7266"/>
    <w:rsid w:val="009E7D74"/>
    <w:rsid w:val="009F0190"/>
    <w:rsid w:val="009F047C"/>
    <w:rsid w:val="009F0F0E"/>
    <w:rsid w:val="009F1217"/>
    <w:rsid w:val="009F1D5A"/>
    <w:rsid w:val="009F1DEF"/>
    <w:rsid w:val="009F2418"/>
    <w:rsid w:val="009F2588"/>
    <w:rsid w:val="009F36C5"/>
    <w:rsid w:val="009F3CE4"/>
    <w:rsid w:val="009F3D5F"/>
    <w:rsid w:val="009F51A2"/>
    <w:rsid w:val="009F5F4C"/>
    <w:rsid w:val="009F6D94"/>
    <w:rsid w:val="009F7480"/>
    <w:rsid w:val="009F7689"/>
    <w:rsid w:val="00A00170"/>
    <w:rsid w:val="00A00BB2"/>
    <w:rsid w:val="00A013B0"/>
    <w:rsid w:val="00A017CD"/>
    <w:rsid w:val="00A01E51"/>
    <w:rsid w:val="00A04494"/>
    <w:rsid w:val="00A04EC8"/>
    <w:rsid w:val="00A0546E"/>
    <w:rsid w:val="00A0551C"/>
    <w:rsid w:val="00A05BB8"/>
    <w:rsid w:val="00A06295"/>
    <w:rsid w:val="00A06427"/>
    <w:rsid w:val="00A07156"/>
    <w:rsid w:val="00A076BA"/>
    <w:rsid w:val="00A121A7"/>
    <w:rsid w:val="00A12416"/>
    <w:rsid w:val="00A125BD"/>
    <w:rsid w:val="00A12C45"/>
    <w:rsid w:val="00A136C6"/>
    <w:rsid w:val="00A136CE"/>
    <w:rsid w:val="00A13755"/>
    <w:rsid w:val="00A13A89"/>
    <w:rsid w:val="00A13AA8"/>
    <w:rsid w:val="00A13FE3"/>
    <w:rsid w:val="00A14158"/>
    <w:rsid w:val="00A14256"/>
    <w:rsid w:val="00A146AA"/>
    <w:rsid w:val="00A14BAC"/>
    <w:rsid w:val="00A14D5C"/>
    <w:rsid w:val="00A154F9"/>
    <w:rsid w:val="00A15D6B"/>
    <w:rsid w:val="00A1666B"/>
    <w:rsid w:val="00A16DD2"/>
    <w:rsid w:val="00A16FBE"/>
    <w:rsid w:val="00A170A7"/>
    <w:rsid w:val="00A17BA4"/>
    <w:rsid w:val="00A207DC"/>
    <w:rsid w:val="00A20CEB"/>
    <w:rsid w:val="00A21118"/>
    <w:rsid w:val="00A22977"/>
    <w:rsid w:val="00A232E0"/>
    <w:rsid w:val="00A23A82"/>
    <w:rsid w:val="00A241F9"/>
    <w:rsid w:val="00A24437"/>
    <w:rsid w:val="00A252B6"/>
    <w:rsid w:val="00A25FFF"/>
    <w:rsid w:val="00A2607B"/>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B6F"/>
    <w:rsid w:val="00A47C6D"/>
    <w:rsid w:val="00A50E22"/>
    <w:rsid w:val="00A5145B"/>
    <w:rsid w:val="00A51586"/>
    <w:rsid w:val="00A52936"/>
    <w:rsid w:val="00A52EE9"/>
    <w:rsid w:val="00A53746"/>
    <w:rsid w:val="00A54141"/>
    <w:rsid w:val="00A541FD"/>
    <w:rsid w:val="00A54589"/>
    <w:rsid w:val="00A54811"/>
    <w:rsid w:val="00A54BD8"/>
    <w:rsid w:val="00A54CB9"/>
    <w:rsid w:val="00A551E5"/>
    <w:rsid w:val="00A55987"/>
    <w:rsid w:val="00A560B3"/>
    <w:rsid w:val="00A56340"/>
    <w:rsid w:val="00A57688"/>
    <w:rsid w:val="00A57A69"/>
    <w:rsid w:val="00A57F82"/>
    <w:rsid w:val="00A60351"/>
    <w:rsid w:val="00A607BD"/>
    <w:rsid w:val="00A608B7"/>
    <w:rsid w:val="00A60FE1"/>
    <w:rsid w:val="00A61836"/>
    <w:rsid w:val="00A61853"/>
    <w:rsid w:val="00A618C6"/>
    <w:rsid w:val="00A622E3"/>
    <w:rsid w:val="00A62436"/>
    <w:rsid w:val="00A62A4D"/>
    <w:rsid w:val="00A62CC5"/>
    <w:rsid w:val="00A6317B"/>
    <w:rsid w:val="00A63184"/>
    <w:rsid w:val="00A639B1"/>
    <w:rsid w:val="00A63DF1"/>
    <w:rsid w:val="00A6410C"/>
    <w:rsid w:val="00A6435A"/>
    <w:rsid w:val="00A647CD"/>
    <w:rsid w:val="00A6560B"/>
    <w:rsid w:val="00A65C42"/>
    <w:rsid w:val="00A65EF7"/>
    <w:rsid w:val="00A66396"/>
    <w:rsid w:val="00A671D1"/>
    <w:rsid w:val="00A67879"/>
    <w:rsid w:val="00A67EF5"/>
    <w:rsid w:val="00A7218B"/>
    <w:rsid w:val="00A7234D"/>
    <w:rsid w:val="00A72703"/>
    <w:rsid w:val="00A72852"/>
    <w:rsid w:val="00A72E28"/>
    <w:rsid w:val="00A732BA"/>
    <w:rsid w:val="00A74454"/>
    <w:rsid w:val="00A754DD"/>
    <w:rsid w:val="00A75510"/>
    <w:rsid w:val="00A75723"/>
    <w:rsid w:val="00A75E47"/>
    <w:rsid w:val="00A766AD"/>
    <w:rsid w:val="00A76961"/>
    <w:rsid w:val="00A76BFB"/>
    <w:rsid w:val="00A8122B"/>
    <w:rsid w:val="00A81726"/>
    <w:rsid w:val="00A81A20"/>
    <w:rsid w:val="00A81B8D"/>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3EDF"/>
    <w:rsid w:val="00AA4239"/>
    <w:rsid w:val="00AA4D46"/>
    <w:rsid w:val="00AA5361"/>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423"/>
    <w:rsid w:val="00AC4A20"/>
    <w:rsid w:val="00AC4FEA"/>
    <w:rsid w:val="00AC5213"/>
    <w:rsid w:val="00AC53F3"/>
    <w:rsid w:val="00AC56B3"/>
    <w:rsid w:val="00AC584E"/>
    <w:rsid w:val="00AC5B6E"/>
    <w:rsid w:val="00AC5E1A"/>
    <w:rsid w:val="00AC7B80"/>
    <w:rsid w:val="00AD0A32"/>
    <w:rsid w:val="00AD1442"/>
    <w:rsid w:val="00AD14AB"/>
    <w:rsid w:val="00AD1B73"/>
    <w:rsid w:val="00AD20ED"/>
    <w:rsid w:val="00AD20FA"/>
    <w:rsid w:val="00AD2CBD"/>
    <w:rsid w:val="00AD2DED"/>
    <w:rsid w:val="00AD2F04"/>
    <w:rsid w:val="00AD2FE7"/>
    <w:rsid w:val="00AD30DD"/>
    <w:rsid w:val="00AD3BC2"/>
    <w:rsid w:val="00AD4264"/>
    <w:rsid w:val="00AD4434"/>
    <w:rsid w:val="00AD53AA"/>
    <w:rsid w:val="00AD72BC"/>
    <w:rsid w:val="00AD79BF"/>
    <w:rsid w:val="00AD7C84"/>
    <w:rsid w:val="00AE03CE"/>
    <w:rsid w:val="00AE07E1"/>
    <w:rsid w:val="00AE1170"/>
    <w:rsid w:val="00AE1D52"/>
    <w:rsid w:val="00AE2133"/>
    <w:rsid w:val="00AE2622"/>
    <w:rsid w:val="00AE43F4"/>
    <w:rsid w:val="00AE4550"/>
    <w:rsid w:val="00AE5099"/>
    <w:rsid w:val="00AE50D3"/>
    <w:rsid w:val="00AE597B"/>
    <w:rsid w:val="00AE5A64"/>
    <w:rsid w:val="00AE606A"/>
    <w:rsid w:val="00AE7312"/>
    <w:rsid w:val="00AF013B"/>
    <w:rsid w:val="00AF0A66"/>
    <w:rsid w:val="00AF0CF8"/>
    <w:rsid w:val="00AF218F"/>
    <w:rsid w:val="00AF262C"/>
    <w:rsid w:val="00AF381C"/>
    <w:rsid w:val="00AF415A"/>
    <w:rsid w:val="00AF4288"/>
    <w:rsid w:val="00AF44F2"/>
    <w:rsid w:val="00AF4950"/>
    <w:rsid w:val="00AF53AB"/>
    <w:rsid w:val="00AF53BA"/>
    <w:rsid w:val="00AF69B4"/>
    <w:rsid w:val="00AF717B"/>
    <w:rsid w:val="00B00415"/>
    <w:rsid w:val="00B00CD0"/>
    <w:rsid w:val="00B00D77"/>
    <w:rsid w:val="00B0117B"/>
    <w:rsid w:val="00B011BD"/>
    <w:rsid w:val="00B01283"/>
    <w:rsid w:val="00B0153C"/>
    <w:rsid w:val="00B02A46"/>
    <w:rsid w:val="00B035B9"/>
    <w:rsid w:val="00B03EBB"/>
    <w:rsid w:val="00B04DD4"/>
    <w:rsid w:val="00B0530B"/>
    <w:rsid w:val="00B05993"/>
    <w:rsid w:val="00B060CD"/>
    <w:rsid w:val="00B0686C"/>
    <w:rsid w:val="00B06E97"/>
    <w:rsid w:val="00B077F2"/>
    <w:rsid w:val="00B102AD"/>
    <w:rsid w:val="00B10681"/>
    <w:rsid w:val="00B10B50"/>
    <w:rsid w:val="00B116D4"/>
    <w:rsid w:val="00B1238A"/>
    <w:rsid w:val="00B134E7"/>
    <w:rsid w:val="00B13A79"/>
    <w:rsid w:val="00B14B59"/>
    <w:rsid w:val="00B14FC0"/>
    <w:rsid w:val="00B159F7"/>
    <w:rsid w:val="00B16524"/>
    <w:rsid w:val="00B165E7"/>
    <w:rsid w:val="00B16E86"/>
    <w:rsid w:val="00B17315"/>
    <w:rsid w:val="00B20364"/>
    <w:rsid w:val="00B20661"/>
    <w:rsid w:val="00B2130C"/>
    <w:rsid w:val="00B215D0"/>
    <w:rsid w:val="00B21EDE"/>
    <w:rsid w:val="00B226A9"/>
    <w:rsid w:val="00B2300D"/>
    <w:rsid w:val="00B230F6"/>
    <w:rsid w:val="00B23139"/>
    <w:rsid w:val="00B232D6"/>
    <w:rsid w:val="00B23368"/>
    <w:rsid w:val="00B23539"/>
    <w:rsid w:val="00B23551"/>
    <w:rsid w:val="00B24DC8"/>
    <w:rsid w:val="00B25335"/>
    <w:rsid w:val="00B2556A"/>
    <w:rsid w:val="00B25FA0"/>
    <w:rsid w:val="00B26391"/>
    <w:rsid w:val="00B26A06"/>
    <w:rsid w:val="00B27AD5"/>
    <w:rsid w:val="00B27F3D"/>
    <w:rsid w:val="00B30E74"/>
    <w:rsid w:val="00B3108F"/>
    <w:rsid w:val="00B3114E"/>
    <w:rsid w:val="00B3148D"/>
    <w:rsid w:val="00B31CC5"/>
    <w:rsid w:val="00B32AD4"/>
    <w:rsid w:val="00B33D79"/>
    <w:rsid w:val="00B33E3B"/>
    <w:rsid w:val="00B33F59"/>
    <w:rsid w:val="00B34483"/>
    <w:rsid w:val="00B34DAE"/>
    <w:rsid w:val="00B359E3"/>
    <w:rsid w:val="00B365CA"/>
    <w:rsid w:val="00B36CA1"/>
    <w:rsid w:val="00B379C8"/>
    <w:rsid w:val="00B40514"/>
    <w:rsid w:val="00B41014"/>
    <w:rsid w:val="00B41534"/>
    <w:rsid w:val="00B4154B"/>
    <w:rsid w:val="00B41784"/>
    <w:rsid w:val="00B42E68"/>
    <w:rsid w:val="00B43910"/>
    <w:rsid w:val="00B4420E"/>
    <w:rsid w:val="00B45669"/>
    <w:rsid w:val="00B46554"/>
    <w:rsid w:val="00B466F0"/>
    <w:rsid w:val="00B467BB"/>
    <w:rsid w:val="00B47E3B"/>
    <w:rsid w:val="00B50892"/>
    <w:rsid w:val="00B511ED"/>
    <w:rsid w:val="00B51602"/>
    <w:rsid w:val="00B51F21"/>
    <w:rsid w:val="00B52540"/>
    <w:rsid w:val="00B53C34"/>
    <w:rsid w:val="00B53F0D"/>
    <w:rsid w:val="00B5455A"/>
    <w:rsid w:val="00B5657A"/>
    <w:rsid w:val="00B56B84"/>
    <w:rsid w:val="00B57961"/>
    <w:rsid w:val="00B57C56"/>
    <w:rsid w:val="00B61614"/>
    <w:rsid w:val="00B61672"/>
    <w:rsid w:val="00B61B8F"/>
    <w:rsid w:val="00B61EEB"/>
    <w:rsid w:val="00B62488"/>
    <w:rsid w:val="00B628A4"/>
    <w:rsid w:val="00B62D2F"/>
    <w:rsid w:val="00B63293"/>
    <w:rsid w:val="00B64774"/>
    <w:rsid w:val="00B64E06"/>
    <w:rsid w:val="00B65CB5"/>
    <w:rsid w:val="00B65D4A"/>
    <w:rsid w:val="00B668FC"/>
    <w:rsid w:val="00B66B65"/>
    <w:rsid w:val="00B70F06"/>
    <w:rsid w:val="00B70FEF"/>
    <w:rsid w:val="00B7145B"/>
    <w:rsid w:val="00B71881"/>
    <w:rsid w:val="00B718FB"/>
    <w:rsid w:val="00B721B5"/>
    <w:rsid w:val="00B72FA4"/>
    <w:rsid w:val="00B7374F"/>
    <w:rsid w:val="00B74500"/>
    <w:rsid w:val="00B74AFB"/>
    <w:rsid w:val="00B7547E"/>
    <w:rsid w:val="00B754EA"/>
    <w:rsid w:val="00B75A04"/>
    <w:rsid w:val="00B7605A"/>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80A"/>
    <w:rsid w:val="00B83638"/>
    <w:rsid w:val="00B839BC"/>
    <w:rsid w:val="00B84738"/>
    <w:rsid w:val="00B84B83"/>
    <w:rsid w:val="00B8517C"/>
    <w:rsid w:val="00B853F9"/>
    <w:rsid w:val="00B860D7"/>
    <w:rsid w:val="00B86158"/>
    <w:rsid w:val="00B868DC"/>
    <w:rsid w:val="00B92342"/>
    <w:rsid w:val="00B92412"/>
    <w:rsid w:val="00B92971"/>
    <w:rsid w:val="00B92D1A"/>
    <w:rsid w:val="00B93445"/>
    <w:rsid w:val="00B93720"/>
    <w:rsid w:val="00B938AB"/>
    <w:rsid w:val="00B939A1"/>
    <w:rsid w:val="00B93B87"/>
    <w:rsid w:val="00B9431E"/>
    <w:rsid w:val="00B9465D"/>
    <w:rsid w:val="00B9473D"/>
    <w:rsid w:val="00B94881"/>
    <w:rsid w:val="00B9517B"/>
    <w:rsid w:val="00B95517"/>
    <w:rsid w:val="00B95C12"/>
    <w:rsid w:val="00B961F1"/>
    <w:rsid w:val="00B96885"/>
    <w:rsid w:val="00B96C4E"/>
    <w:rsid w:val="00B973E7"/>
    <w:rsid w:val="00B979CC"/>
    <w:rsid w:val="00B97C50"/>
    <w:rsid w:val="00BA0AC7"/>
    <w:rsid w:val="00BA1434"/>
    <w:rsid w:val="00BA3212"/>
    <w:rsid w:val="00BA3B4B"/>
    <w:rsid w:val="00BA40BE"/>
    <w:rsid w:val="00BA467B"/>
    <w:rsid w:val="00BA4D41"/>
    <w:rsid w:val="00BA57F5"/>
    <w:rsid w:val="00BA58BB"/>
    <w:rsid w:val="00BA67FC"/>
    <w:rsid w:val="00BA6B8E"/>
    <w:rsid w:val="00BA70FF"/>
    <w:rsid w:val="00BA711E"/>
    <w:rsid w:val="00BA7285"/>
    <w:rsid w:val="00BA7BE8"/>
    <w:rsid w:val="00BB08F7"/>
    <w:rsid w:val="00BB0BA7"/>
    <w:rsid w:val="00BB0CA1"/>
    <w:rsid w:val="00BB133D"/>
    <w:rsid w:val="00BB1924"/>
    <w:rsid w:val="00BB26EB"/>
    <w:rsid w:val="00BB2C15"/>
    <w:rsid w:val="00BB37AA"/>
    <w:rsid w:val="00BB3C8A"/>
    <w:rsid w:val="00BB4049"/>
    <w:rsid w:val="00BB5E0A"/>
    <w:rsid w:val="00BB7AF7"/>
    <w:rsid w:val="00BC00C1"/>
    <w:rsid w:val="00BC0230"/>
    <w:rsid w:val="00BC0688"/>
    <w:rsid w:val="00BC11B0"/>
    <w:rsid w:val="00BC1478"/>
    <w:rsid w:val="00BC1BFE"/>
    <w:rsid w:val="00BC2264"/>
    <w:rsid w:val="00BC2C3A"/>
    <w:rsid w:val="00BC3982"/>
    <w:rsid w:val="00BC3B6C"/>
    <w:rsid w:val="00BC3CE2"/>
    <w:rsid w:val="00BC3E3B"/>
    <w:rsid w:val="00BC52DE"/>
    <w:rsid w:val="00BC69C6"/>
    <w:rsid w:val="00BC7956"/>
    <w:rsid w:val="00BD0288"/>
    <w:rsid w:val="00BD02E6"/>
    <w:rsid w:val="00BD065D"/>
    <w:rsid w:val="00BD0CF8"/>
    <w:rsid w:val="00BD0DDA"/>
    <w:rsid w:val="00BD1469"/>
    <w:rsid w:val="00BD154F"/>
    <w:rsid w:val="00BD1AFC"/>
    <w:rsid w:val="00BD1E2C"/>
    <w:rsid w:val="00BD1FF6"/>
    <w:rsid w:val="00BD2256"/>
    <w:rsid w:val="00BD24B6"/>
    <w:rsid w:val="00BD3080"/>
    <w:rsid w:val="00BD3124"/>
    <w:rsid w:val="00BD316A"/>
    <w:rsid w:val="00BD33EC"/>
    <w:rsid w:val="00BD3A94"/>
    <w:rsid w:val="00BD4CF5"/>
    <w:rsid w:val="00BD5C38"/>
    <w:rsid w:val="00BD6C08"/>
    <w:rsid w:val="00BD72A6"/>
    <w:rsid w:val="00BD762F"/>
    <w:rsid w:val="00BD7A8E"/>
    <w:rsid w:val="00BD7D70"/>
    <w:rsid w:val="00BE0529"/>
    <w:rsid w:val="00BE09C7"/>
    <w:rsid w:val="00BE12EF"/>
    <w:rsid w:val="00BE1AA5"/>
    <w:rsid w:val="00BE1BBB"/>
    <w:rsid w:val="00BE2ACB"/>
    <w:rsid w:val="00BE3013"/>
    <w:rsid w:val="00BE367D"/>
    <w:rsid w:val="00BE3CB6"/>
    <w:rsid w:val="00BE4035"/>
    <w:rsid w:val="00BE4239"/>
    <w:rsid w:val="00BE4A58"/>
    <w:rsid w:val="00BE4B70"/>
    <w:rsid w:val="00BE4C67"/>
    <w:rsid w:val="00BE5120"/>
    <w:rsid w:val="00BE5756"/>
    <w:rsid w:val="00BE576D"/>
    <w:rsid w:val="00BE59E5"/>
    <w:rsid w:val="00BE64BF"/>
    <w:rsid w:val="00BE654A"/>
    <w:rsid w:val="00BE6653"/>
    <w:rsid w:val="00BE7783"/>
    <w:rsid w:val="00BE7B46"/>
    <w:rsid w:val="00BF02D4"/>
    <w:rsid w:val="00BF0724"/>
    <w:rsid w:val="00BF15B9"/>
    <w:rsid w:val="00BF1896"/>
    <w:rsid w:val="00BF324E"/>
    <w:rsid w:val="00BF329F"/>
    <w:rsid w:val="00BF3D79"/>
    <w:rsid w:val="00BF3DDC"/>
    <w:rsid w:val="00BF4674"/>
    <w:rsid w:val="00BF47B7"/>
    <w:rsid w:val="00BF5020"/>
    <w:rsid w:val="00BF55BA"/>
    <w:rsid w:val="00BF58F2"/>
    <w:rsid w:val="00BF590D"/>
    <w:rsid w:val="00BF63BD"/>
    <w:rsid w:val="00BF6637"/>
    <w:rsid w:val="00BF756C"/>
    <w:rsid w:val="00BF7870"/>
    <w:rsid w:val="00BF794A"/>
    <w:rsid w:val="00BF7E92"/>
    <w:rsid w:val="00C017D4"/>
    <w:rsid w:val="00C023E0"/>
    <w:rsid w:val="00C024DF"/>
    <w:rsid w:val="00C028F9"/>
    <w:rsid w:val="00C02F52"/>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77A9"/>
    <w:rsid w:val="00C10D34"/>
    <w:rsid w:val="00C11612"/>
    <w:rsid w:val="00C11B8C"/>
    <w:rsid w:val="00C12101"/>
    <w:rsid w:val="00C1230F"/>
    <w:rsid w:val="00C12EC3"/>
    <w:rsid w:val="00C13810"/>
    <w:rsid w:val="00C13934"/>
    <w:rsid w:val="00C13B21"/>
    <w:rsid w:val="00C14234"/>
    <w:rsid w:val="00C14C9F"/>
    <w:rsid w:val="00C155CC"/>
    <w:rsid w:val="00C15941"/>
    <w:rsid w:val="00C15A4A"/>
    <w:rsid w:val="00C160D1"/>
    <w:rsid w:val="00C168BD"/>
    <w:rsid w:val="00C16E20"/>
    <w:rsid w:val="00C16F02"/>
    <w:rsid w:val="00C170CD"/>
    <w:rsid w:val="00C2047B"/>
    <w:rsid w:val="00C20A4F"/>
    <w:rsid w:val="00C215BB"/>
    <w:rsid w:val="00C21801"/>
    <w:rsid w:val="00C2304D"/>
    <w:rsid w:val="00C236EB"/>
    <w:rsid w:val="00C23BE9"/>
    <w:rsid w:val="00C24016"/>
    <w:rsid w:val="00C24904"/>
    <w:rsid w:val="00C2541E"/>
    <w:rsid w:val="00C25F86"/>
    <w:rsid w:val="00C2649C"/>
    <w:rsid w:val="00C26623"/>
    <w:rsid w:val="00C26685"/>
    <w:rsid w:val="00C26D74"/>
    <w:rsid w:val="00C2701E"/>
    <w:rsid w:val="00C27850"/>
    <w:rsid w:val="00C30824"/>
    <w:rsid w:val="00C30AA8"/>
    <w:rsid w:val="00C30F87"/>
    <w:rsid w:val="00C31BF8"/>
    <w:rsid w:val="00C3273C"/>
    <w:rsid w:val="00C3307F"/>
    <w:rsid w:val="00C33F77"/>
    <w:rsid w:val="00C348FF"/>
    <w:rsid w:val="00C34CC3"/>
    <w:rsid w:val="00C34F30"/>
    <w:rsid w:val="00C363E7"/>
    <w:rsid w:val="00C3640A"/>
    <w:rsid w:val="00C36F96"/>
    <w:rsid w:val="00C37086"/>
    <w:rsid w:val="00C3796D"/>
    <w:rsid w:val="00C4057F"/>
    <w:rsid w:val="00C40753"/>
    <w:rsid w:val="00C40815"/>
    <w:rsid w:val="00C40B89"/>
    <w:rsid w:val="00C40B90"/>
    <w:rsid w:val="00C41BEB"/>
    <w:rsid w:val="00C427A2"/>
    <w:rsid w:val="00C42E64"/>
    <w:rsid w:val="00C43C61"/>
    <w:rsid w:val="00C441C2"/>
    <w:rsid w:val="00C4421D"/>
    <w:rsid w:val="00C47B24"/>
    <w:rsid w:val="00C50040"/>
    <w:rsid w:val="00C507A3"/>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5B8"/>
    <w:rsid w:val="00C61AFD"/>
    <w:rsid w:val="00C62D67"/>
    <w:rsid w:val="00C6356B"/>
    <w:rsid w:val="00C652E2"/>
    <w:rsid w:val="00C653FB"/>
    <w:rsid w:val="00C65CBF"/>
    <w:rsid w:val="00C66375"/>
    <w:rsid w:val="00C667D0"/>
    <w:rsid w:val="00C66AD7"/>
    <w:rsid w:val="00C66E3C"/>
    <w:rsid w:val="00C67EA5"/>
    <w:rsid w:val="00C70107"/>
    <w:rsid w:val="00C70E36"/>
    <w:rsid w:val="00C71279"/>
    <w:rsid w:val="00C71351"/>
    <w:rsid w:val="00C71A08"/>
    <w:rsid w:val="00C72625"/>
    <w:rsid w:val="00C7271D"/>
    <w:rsid w:val="00C72B6C"/>
    <w:rsid w:val="00C73FAB"/>
    <w:rsid w:val="00C747DA"/>
    <w:rsid w:val="00C74CF6"/>
    <w:rsid w:val="00C75A01"/>
    <w:rsid w:val="00C75BCA"/>
    <w:rsid w:val="00C75C66"/>
    <w:rsid w:val="00C75DB6"/>
    <w:rsid w:val="00C76E04"/>
    <w:rsid w:val="00C76FB0"/>
    <w:rsid w:val="00C81278"/>
    <w:rsid w:val="00C81A2C"/>
    <w:rsid w:val="00C82647"/>
    <w:rsid w:val="00C8285E"/>
    <w:rsid w:val="00C82F2D"/>
    <w:rsid w:val="00C83260"/>
    <w:rsid w:val="00C836F0"/>
    <w:rsid w:val="00C8398B"/>
    <w:rsid w:val="00C84318"/>
    <w:rsid w:val="00C856BE"/>
    <w:rsid w:val="00C85F2C"/>
    <w:rsid w:val="00C8734C"/>
    <w:rsid w:val="00C87A9E"/>
    <w:rsid w:val="00C91633"/>
    <w:rsid w:val="00C9382C"/>
    <w:rsid w:val="00C94C71"/>
    <w:rsid w:val="00C94F15"/>
    <w:rsid w:val="00C954BD"/>
    <w:rsid w:val="00C95615"/>
    <w:rsid w:val="00C97517"/>
    <w:rsid w:val="00C97CC0"/>
    <w:rsid w:val="00C97D75"/>
    <w:rsid w:val="00CA0261"/>
    <w:rsid w:val="00CA04BA"/>
    <w:rsid w:val="00CA136D"/>
    <w:rsid w:val="00CA147B"/>
    <w:rsid w:val="00CA1DF5"/>
    <w:rsid w:val="00CA2400"/>
    <w:rsid w:val="00CA24A1"/>
    <w:rsid w:val="00CA2D7A"/>
    <w:rsid w:val="00CA41B5"/>
    <w:rsid w:val="00CA47F5"/>
    <w:rsid w:val="00CA4CA2"/>
    <w:rsid w:val="00CA5103"/>
    <w:rsid w:val="00CA5368"/>
    <w:rsid w:val="00CA6310"/>
    <w:rsid w:val="00CA6FE5"/>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597B"/>
    <w:rsid w:val="00CC5AA0"/>
    <w:rsid w:val="00CC669A"/>
    <w:rsid w:val="00CC75B6"/>
    <w:rsid w:val="00CC779B"/>
    <w:rsid w:val="00CD28B2"/>
    <w:rsid w:val="00CD2DD0"/>
    <w:rsid w:val="00CD33EE"/>
    <w:rsid w:val="00CD3776"/>
    <w:rsid w:val="00CD4D65"/>
    <w:rsid w:val="00CD5120"/>
    <w:rsid w:val="00CD55B1"/>
    <w:rsid w:val="00CD648D"/>
    <w:rsid w:val="00CD6B80"/>
    <w:rsid w:val="00CD7616"/>
    <w:rsid w:val="00CD775A"/>
    <w:rsid w:val="00CE01B5"/>
    <w:rsid w:val="00CE021F"/>
    <w:rsid w:val="00CE0765"/>
    <w:rsid w:val="00CE0959"/>
    <w:rsid w:val="00CE0B98"/>
    <w:rsid w:val="00CE2312"/>
    <w:rsid w:val="00CE336E"/>
    <w:rsid w:val="00CE384F"/>
    <w:rsid w:val="00CE3CDF"/>
    <w:rsid w:val="00CE3D08"/>
    <w:rsid w:val="00CE3E07"/>
    <w:rsid w:val="00CE455E"/>
    <w:rsid w:val="00CE68A3"/>
    <w:rsid w:val="00CE79A8"/>
    <w:rsid w:val="00CE7BC1"/>
    <w:rsid w:val="00CE7E34"/>
    <w:rsid w:val="00CF0639"/>
    <w:rsid w:val="00CF0AE5"/>
    <w:rsid w:val="00CF12B7"/>
    <w:rsid w:val="00CF14A0"/>
    <w:rsid w:val="00CF19DF"/>
    <w:rsid w:val="00CF1F8D"/>
    <w:rsid w:val="00CF2172"/>
    <w:rsid w:val="00CF25F6"/>
    <w:rsid w:val="00CF2BBB"/>
    <w:rsid w:val="00CF366B"/>
    <w:rsid w:val="00CF3B6C"/>
    <w:rsid w:val="00CF4810"/>
    <w:rsid w:val="00CF4D38"/>
    <w:rsid w:val="00CF4F1F"/>
    <w:rsid w:val="00CF4F47"/>
    <w:rsid w:val="00CF5030"/>
    <w:rsid w:val="00CF6A40"/>
    <w:rsid w:val="00CF6ED0"/>
    <w:rsid w:val="00CF7193"/>
    <w:rsid w:val="00D00511"/>
    <w:rsid w:val="00D005B4"/>
    <w:rsid w:val="00D00784"/>
    <w:rsid w:val="00D00BC5"/>
    <w:rsid w:val="00D00D4D"/>
    <w:rsid w:val="00D01549"/>
    <w:rsid w:val="00D019EA"/>
    <w:rsid w:val="00D01AD1"/>
    <w:rsid w:val="00D02277"/>
    <w:rsid w:val="00D022F4"/>
    <w:rsid w:val="00D02BB4"/>
    <w:rsid w:val="00D03128"/>
    <w:rsid w:val="00D033C8"/>
    <w:rsid w:val="00D03B43"/>
    <w:rsid w:val="00D03C14"/>
    <w:rsid w:val="00D046B2"/>
    <w:rsid w:val="00D04B2D"/>
    <w:rsid w:val="00D04C84"/>
    <w:rsid w:val="00D052B0"/>
    <w:rsid w:val="00D053AF"/>
    <w:rsid w:val="00D058FD"/>
    <w:rsid w:val="00D05F86"/>
    <w:rsid w:val="00D06433"/>
    <w:rsid w:val="00D070BE"/>
    <w:rsid w:val="00D07169"/>
    <w:rsid w:val="00D07583"/>
    <w:rsid w:val="00D0769F"/>
    <w:rsid w:val="00D07C40"/>
    <w:rsid w:val="00D102A5"/>
    <w:rsid w:val="00D109FA"/>
    <w:rsid w:val="00D10F4D"/>
    <w:rsid w:val="00D10F85"/>
    <w:rsid w:val="00D111EF"/>
    <w:rsid w:val="00D11712"/>
    <w:rsid w:val="00D11EC0"/>
    <w:rsid w:val="00D120D2"/>
    <w:rsid w:val="00D13294"/>
    <w:rsid w:val="00D13A91"/>
    <w:rsid w:val="00D13CB3"/>
    <w:rsid w:val="00D14D12"/>
    <w:rsid w:val="00D171C8"/>
    <w:rsid w:val="00D20137"/>
    <w:rsid w:val="00D208E6"/>
    <w:rsid w:val="00D2190E"/>
    <w:rsid w:val="00D21A55"/>
    <w:rsid w:val="00D22651"/>
    <w:rsid w:val="00D23AD0"/>
    <w:rsid w:val="00D23B0A"/>
    <w:rsid w:val="00D23E23"/>
    <w:rsid w:val="00D24239"/>
    <w:rsid w:val="00D24BAF"/>
    <w:rsid w:val="00D24C26"/>
    <w:rsid w:val="00D255C6"/>
    <w:rsid w:val="00D2620A"/>
    <w:rsid w:val="00D27091"/>
    <w:rsid w:val="00D277EE"/>
    <w:rsid w:val="00D27D59"/>
    <w:rsid w:val="00D309DD"/>
    <w:rsid w:val="00D30C66"/>
    <w:rsid w:val="00D30ECB"/>
    <w:rsid w:val="00D31163"/>
    <w:rsid w:val="00D31D60"/>
    <w:rsid w:val="00D3238A"/>
    <w:rsid w:val="00D3330C"/>
    <w:rsid w:val="00D3330E"/>
    <w:rsid w:val="00D3349D"/>
    <w:rsid w:val="00D33682"/>
    <w:rsid w:val="00D34598"/>
    <w:rsid w:val="00D3511A"/>
    <w:rsid w:val="00D35572"/>
    <w:rsid w:val="00D35F28"/>
    <w:rsid w:val="00D36458"/>
    <w:rsid w:val="00D3672A"/>
    <w:rsid w:val="00D368A2"/>
    <w:rsid w:val="00D368FF"/>
    <w:rsid w:val="00D369D2"/>
    <w:rsid w:val="00D36D8E"/>
    <w:rsid w:val="00D374D1"/>
    <w:rsid w:val="00D37596"/>
    <w:rsid w:val="00D37899"/>
    <w:rsid w:val="00D37FCE"/>
    <w:rsid w:val="00D40238"/>
    <w:rsid w:val="00D40D79"/>
    <w:rsid w:val="00D4117C"/>
    <w:rsid w:val="00D41258"/>
    <w:rsid w:val="00D43430"/>
    <w:rsid w:val="00D439C3"/>
    <w:rsid w:val="00D449C6"/>
    <w:rsid w:val="00D44A3B"/>
    <w:rsid w:val="00D451A0"/>
    <w:rsid w:val="00D451C2"/>
    <w:rsid w:val="00D45385"/>
    <w:rsid w:val="00D45C34"/>
    <w:rsid w:val="00D4777F"/>
    <w:rsid w:val="00D478D3"/>
    <w:rsid w:val="00D5062B"/>
    <w:rsid w:val="00D50B46"/>
    <w:rsid w:val="00D51867"/>
    <w:rsid w:val="00D519DD"/>
    <w:rsid w:val="00D51AD4"/>
    <w:rsid w:val="00D53414"/>
    <w:rsid w:val="00D54B76"/>
    <w:rsid w:val="00D54E08"/>
    <w:rsid w:val="00D5508A"/>
    <w:rsid w:val="00D55828"/>
    <w:rsid w:val="00D55C1D"/>
    <w:rsid w:val="00D56305"/>
    <w:rsid w:val="00D566F1"/>
    <w:rsid w:val="00D57388"/>
    <w:rsid w:val="00D61A0D"/>
    <w:rsid w:val="00D63F0E"/>
    <w:rsid w:val="00D63F45"/>
    <w:rsid w:val="00D64048"/>
    <w:rsid w:val="00D645A6"/>
    <w:rsid w:val="00D64E9D"/>
    <w:rsid w:val="00D65A11"/>
    <w:rsid w:val="00D65B91"/>
    <w:rsid w:val="00D662C7"/>
    <w:rsid w:val="00D6688A"/>
    <w:rsid w:val="00D66CD5"/>
    <w:rsid w:val="00D67145"/>
    <w:rsid w:val="00D70FF2"/>
    <w:rsid w:val="00D7160F"/>
    <w:rsid w:val="00D7197E"/>
    <w:rsid w:val="00D726FD"/>
    <w:rsid w:val="00D72C26"/>
    <w:rsid w:val="00D73288"/>
    <w:rsid w:val="00D73686"/>
    <w:rsid w:val="00D7371E"/>
    <w:rsid w:val="00D741DB"/>
    <w:rsid w:val="00D742A0"/>
    <w:rsid w:val="00D74E88"/>
    <w:rsid w:val="00D75216"/>
    <w:rsid w:val="00D756A7"/>
    <w:rsid w:val="00D75D33"/>
    <w:rsid w:val="00D75E56"/>
    <w:rsid w:val="00D763AE"/>
    <w:rsid w:val="00D76CD8"/>
    <w:rsid w:val="00D76F2E"/>
    <w:rsid w:val="00D77919"/>
    <w:rsid w:val="00D779D4"/>
    <w:rsid w:val="00D8158C"/>
    <w:rsid w:val="00D8359E"/>
    <w:rsid w:val="00D85096"/>
    <w:rsid w:val="00D857FE"/>
    <w:rsid w:val="00D86F69"/>
    <w:rsid w:val="00D86F82"/>
    <w:rsid w:val="00D87458"/>
    <w:rsid w:val="00D901F7"/>
    <w:rsid w:val="00D90311"/>
    <w:rsid w:val="00D907F2"/>
    <w:rsid w:val="00D913F3"/>
    <w:rsid w:val="00D915FF"/>
    <w:rsid w:val="00D91CC6"/>
    <w:rsid w:val="00D92BBF"/>
    <w:rsid w:val="00D933F6"/>
    <w:rsid w:val="00D93F68"/>
    <w:rsid w:val="00D94010"/>
    <w:rsid w:val="00D948C4"/>
    <w:rsid w:val="00D94E85"/>
    <w:rsid w:val="00D962CF"/>
    <w:rsid w:val="00D9652E"/>
    <w:rsid w:val="00D96531"/>
    <w:rsid w:val="00D96E0B"/>
    <w:rsid w:val="00D97CEB"/>
    <w:rsid w:val="00DA0A11"/>
    <w:rsid w:val="00DA0D59"/>
    <w:rsid w:val="00DA0F56"/>
    <w:rsid w:val="00DA26B3"/>
    <w:rsid w:val="00DA2FCF"/>
    <w:rsid w:val="00DA3113"/>
    <w:rsid w:val="00DA3199"/>
    <w:rsid w:val="00DA38EC"/>
    <w:rsid w:val="00DA3AAC"/>
    <w:rsid w:val="00DA3F40"/>
    <w:rsid w:val="00DA435A"/>
    <w:rsid w:val="00DA43EB"/>
    <w:rsid w:val="00DA465F"/>
    <w:rsid w:val="00DA4823"/>
    <w:rsid w:val="00DA4E2E"/>
    <w:rsid w:val="00DA518C"/>
    <w:rsid w:val="00DA5B16"/>
    <w:rsid w:val="00DA654C"/>
    <w:rsid w:val="00DA77DE"/>
    <w:rsid w:val="00DA7C18"/>
    <w:rsid w:val="00DB0A0F"/>
    <w:rsid w:val="00DB2AEF"/>
    <w:rsid w:val="00DB2B51"/>
    <w:rsid w:val="00DB341C"/>
    <w:rsid w:val="00DB4525"/>
    <w:rsid w:val="00DB47A5"/>
    <w:rsid w:val="00DB4D17"/>
    <w:rsid w:val="00DB55E1"/>
    <w:rsid w:val="00DB5EDA"/>
    <w:rsid w:val="00DB7CED"/>
    <w:rsid w:val="00DC09FC"/>
    <w:rsid w:val="00DC102C"/>
    <w:rsid w:val="00DC1EC8"/>
    <w:rsid w:val="00DC2E18"/>
    <w:rsid w:val="00DC2FA0"/>
    <w:rsid w:val="00DC30FE"/>
    <w:rsid w:val="00DC3512"/>
    <w:rsid w:val="00DC385E"/>
    <w:rsid w:val="00DC3EC8"/>
    <w:rsid w:val="00DC4068"/>
    <w:rsid w:val="00DC4145"/>
    <w:rsid w:val="00DC493B"/>
    <w:rsid w:val="00DC759F"/>
    <w:rsid w:val="00DD0B51"/>
    <w:rsid w:val="00DD0BE6"/>
    <w:rsid w:val="00DD1707"/>
    <w:rsid w:val="00DD1C59"/>
    <w:rsid w:val="00DD23B0"/>
    <w:rsid w:val="00DD2FD9"/>
    <w:rsid w:val="00DD3272"/>
    <w:rsid w:val="00DD3467"/>
    <w:rsid w:val="00DD45B5"/>
    <w:rsid w:val="00DD474F"/>
    <w:rsid w:val="00DD4A1A"/>
    <w:rsid w:val="00DD52FC"/>
    <w:rsid w:val="00DD5516"/>
    <w:rsid w:val="00DD5C3A"/>
    <w:rsid w:val="00DD64C8"/>
    <w:rsid w:val="00DD674D"/>
    <w:rsid w:val="00DD701C"/>
    <w:rsid w:val="00DD7DA4"/>
    <w:rsid w:val="00DE017D"/>
    <w:rsid w:val="00DE0CC3"/>
    <w:rsid w:val="00DE0F83"/>
    <w:rsid w:val="00DE2C73"/>
    <w:rsid w:val="00DE3136"/>
    <w:rsid w:val="00DE39F4"/>
    <w:rsid w:val="00DE39F8"/>
    <w:rsid w:val="00DE3A27"/>
    <w:rsid w:val="00DE3A6B"/>
    <w:rsid w:val="00DE3C7D"/>
    <w:rsid w:val="00DE4965"/>
    <w:rsid w:val="00DE4EA8"/>
    <w:rsid w:val="00DE50FD"/>
    <w:rsid w:val="00DE5854"/>
    <w:rsid w:val="00DE587D"/>
    <w:rsid w:val="00DE6805"/>
    <w:rsid w:val="00DE7807"/>
    <w:rsid w:val="00DE7C25"/>
    <w:rsid w:val="00DF0D0A"/>
    <w:rsid w:val="00DF1211"/>
    <w:rsid w:val="00DF1385"/>
    <w:rsid w:val="00DF1FB9"/>
    <w:rsid w:val="00DF2469"/>
    <w:rsid w:val="00DF2EB3"/>
    <w:rsid w:val="00DF316E"/>
    <w:rsid w:val="00DF3626"/>
    <w:rsid w:val="00DF3FC2"/>
    <w:rsid w:val="00DF58E5"/>
    <w:rsid w:val="00DF7634"/>
    <w:rsid w:val="00DF79E1"/>
    <w:rsid w:val="00E000D0"/>
    <w:rsid w:val="00E00F2E"/>
    <w:rsid w:val="00E01525"/>
    <w:rsid w:val="00E0160E"/>
    <w:rsid w:val="00E0186E"/>
    <w:rsid w:val="00E01FE1"/>
    <w:rsid w:val="00E024B2"/>
    <w:rsid w:val="00E025CC"/>
    <w:rsid w:val="00E02FCC"/>
    <w:rsid w:val="00E03063"/>
    <w:rsid w:val="00E036B3"/>
    <w:rsid w:val="00E03797"/>
    <w:rsid w:val="00E057EA"/>
    <w:rsid w:val="00E05BBB"/>
    <w:rsid w:val="00E06FAA"/>
    <w:rsid w:val="00E07AA2"/>
    <w:rsid w:val="00E1015B"/>
    <w:rsid w:val="00E106AE"/>
    <w:rsid w:val="00E10723"/>
    <w:rsid w:val="00E10E5A"/>
    <w:rsid w:val="00E11A5C"/>
    <w:rsid w:val="00E1223A"/>
    <w:rsid w:val="00E122A9"/>
    <w:rsid w:val="00E12ABE"/>
    <w:rsid w:val="00E1415F"/>
    <w:rsid w:val="00E15683"/>
    <w:rsid w:val="00E1603D"/>
    <w:rsid w:val="00E171AC"/>
    <w:rsid w:val="00E1784D"/>
    <w:rsid w:val="00E20A95"/>
    <w:rsid w:val="00E20E02"/>
    <w:rsid w:val="00E21BD1"/>
    <w:rsid w:val="00E2282E"/>
    <w:rsid w:val="00E2294D"/>
    <w:rsid w:val="00E2297A"/>
    <w:rsid w:val="00E229C1"/>
    <w:rsid w:val="00E22C09"/>
    <w:rsid w:val="00E2339C"/>
    <w:rsid w:val="00E238C8"/>
    <w:rsid w:val="00E239E9"/>
    <w:rsid w:val="00E23FAE"/>
    <w:rsid w:val="00E26416"/>
    <w:rsid w:val="00E2796A"/>
    <w:rsid w:val="00E30003"/>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E14"/>
    <w:rsid w:val="00E408E9"/>
    <w:rsid w:val="00E418F1"/>
    <w:rsid w:val="00E41C29"/>
    <w:rsid w:val="00E4238A"/>
    <w:rsid w:val="00E423EE"/>
    <w:rsid w:val="00E4324D"/>
    <w:rsid w:val="00E43812"/>
    <w:rsid w:val="00E4443F"/>
    <w:rsid w:val="00E44935"/>
    <w:rsid w:val="00E4579A"/>
    <w:rsid w:val="00E46771"/>
    <w:rsid w:val="00E46E0B"/>
    <w:rsid w:val="00E471ED"/>
    <w:rsid w:val="00E478DA"/>
    <w:rsid w:val="00E479FF"/>
    <w:rsid w:val="00E5076A"/>
    <w:rsid w:val="00E50E1F"/>
    <w:rsid w:val="00E52538"/>
    <w:rsid w:val="00E528AD"/>
    <w:rsid w:val="00E52A22"/>
    <w:rsid w:val="00E53041"/>
    <w:rsid w:val="00E535C2"/>
    <w:rsid w:val="00E53728"/>
    <w:rsid w:val="00E53914"/>
    <w:rsid w:val="00E540D5"/>
    <w:rsid w:val="00E54A4F"/>
    <w:rsid w:val="00E564BC"/>
    <w:rsid w:val="00E5696B"/>
    <w:rsid w:val="00E60221"/>
    <w:rsid w:val="00E6098E"/>
    <w:rsid w:val="00E60A5A"/>
    <w:rsid w:val="00E61389"/>
    <w:rsid w:val="00E61780"/>
    <w:rsid w:val="00E6301A"/>
    <w:rsid w:val="00E649E1"/>
    <w:rsid w:val="00E65663"/>
    <w:rsid w:val="00E661DB"/>
    <w:rsid w:val="00E66781"/>
    <w:rsid w:val="00E66C88"/>
    <w:rsid w:val="00E67BA3"/>
    <w:rsid w:val="00E67D73"/>
    <w:rsid w:val="00E67D7A"/>
    <w:rsid w:val="00E71086"/>
    <w:rsid w:val="00E71B32"/>
    <w:rsid w:val="00E72079"/>
    <w:rsid w:val="00E72E8F"/>
    <w:rsid w:val="00E72F98"/>
    <w:rsid w:val="00E736AA"/>
    <w:rsid w:val="00E7391F"/>
    <w:rsid w:val="00E745BB"/>
    <w:rsid w:val="00E75BEC"/>
    <w:rsid w:val="00E7632F"/>
    <w:rsid w:val="00E767E3"/>
    <w:rsid w:val="00E777A5"/>
    <w:rsid w:val="00E77BF3"/>
    <w:rsid w:val="00E77E32"/>
    <w:rsid w:val="00E800B4"/>
    <w:rsid w:val="00E809C8"/>
    <w:rsid w:val="00E80EE9"/>
    <w:rsid w:val="00E8173D"/>
    <w:rsid w:val="00E81907"/>
    <w:rsid w:val="00E81B11"/>
    <w:rsid w:val="00E825D5"/>
    <w:rsid w:val="00E82FC8"/>
    <w:rsid w:val="00E8339E"/>
    <w:rsid w:val="00E834BF"/>
    <w:rsid w:val="00E83987"/>
    <w:rsid w:val="00E84CC4"/>
    <w:rsid w:val="00E87BD5"/>
    <w:rsid w:val="00E87C5D"/>
    <w:rsid w:val="00E90B12"/>
    <w:rsid w:val="00E91E57"/>
    <w:rsid w:val="00E921EF"/>
    <w:rsid w:val="00E92BF5"/>
    <w:rsid w:val="00E95897"/>
    <w:rsid w:val="00E95C12"/>
    <w:rsid w:val="00E95DDA"/>
    <w:rsid w:val="00E972A2"/>
    <w:rsid w:val="00EA021F"/>
    <w:rsid w:val="00EA0243"/>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5A78"/>
    <w:rsid w:val="00EA5DE5"/>
    <w:rsid w:val="00EA71D3"/>
    <w:rsid w:val="00EA7791"/>
    <w:rsid w:val="00EB051D"/>
    <w:rsid w:val="00EB1072"/>
    <w:rsid w:val="00EB1A14"/>
    <w:rsid w:val="00EB2610"/>
    <w:rsid w:val="00EB2A87"/>
    <w:rsid w:val="00EB2D92"/>
    <w:rsid w:val="00EB3229"/>
    <w:rsid w:val="00EB341F"/>
    <w:rsid w:val="00EB43C4"/>
    <w:rsid w:val="00EB5C2A"/>
    <w:rsid w:val="00EB686E"/>
    <w:rsid w:val="00EB6974"/>
    <w:rsid w:val="00EB6D6E"/>
    <w:rsid w:val="00EB7570"/>
    <w:rsid w:val="00EB76BD"/>
    <w:rsid w:val="00EC05A9"/>
    <w:rsid w:val="00EC07EF"/>
    <w:rsid w:val="00EC2103"/>
    <w:rsid w:val="00EC27C8"/>
    <w:rsid w:val="00EC2BE5"/>
    <w:rsid w:val="00EC2CCA"/>
    <w:rsid w:val="00EC2E57"/>
    <w:rsid w:val="00EC2E71"/>
    <w:rsid w:val="00EC4BC3"/>
    <w:rsid w:val="00EC4D53"/>
    <w:rsid w:val="00EC5347"/>
    <w:rsid w:val="00EC5FAC"/>
    <w:rsid w:val="00EC6B91"/>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A91"/>
    <w:rsid w:val="00ED6C71"/>
    <w:rsid w:val="00ED71AE"/>
    <w:rsid w:val="00ED73A4"/>
    <w:rsid w:val="00ED7D8F"/>
    <w:rsid w:val="00EE1A53"/>
    <w:rsid w:val="00EE1BEE"/>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BE1"/>
    <w:rsid w:val="00EF41A1"/>
    <w:rsid w:val="00EF4351"/>
    <w:rsid w:val="00EF4927"/>
    <w:rsid w:val="00EF4B23"/>
    <w:rsid w:val="00EF5363"/>
    <w:rsid w:val="00EF5387"/>
    <w:rsid w:val="00EF59F2"/>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FFD"/>
    <w:rsid w:val="00F3079C"/>
    <w:rsid w:val="00F3223F"/>
    <w:rsid w:val="00F3267F"/>
    <w:rsid w:val="00F33779"/>
    <w:rsid w:val="00F33B9C"/>
    <w:rsid w:val="00F340F6"/>
    <w:rsid w:val="00F34129"/>
    <w:rsid w:val="00F3424C"/>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C32"/>
    <w:rsid w:val="00F44601"/>
    <w:rsid w:val="00F453B6"/>
    <w:rsid w:val="00F4568C"/>
    <w:rsid w:val="00F45854"/>
    <w:rsid w:val="00F45D0C"/>
    <w:rsid w:val="00F468F2"/>
    <w:rsid w:val="00F4697F"/>
    <w:rsid w:val="00F46B56"/>
    <w:rsid w:val="00F46D54"/>
    <w:rsid w:val="00F50DC4"/>
    <w:rsid w:val="00F524C0"/>
    <w:rsid w:val="00F52A72"/>
    <w:rsid w:val="00F53548"/>
    <w:rsid w:val="00F548BE"/>
    <w:rsid w:val="00F5528F"/>
    <w:rsid w:val="00F567D9"/>
    <w:rsid w:val="00F568B3"/>
    <w:rsid w:val="00F568CD"/>
    <w:rsid w:val="00F569C2"/>
    <w:rsid w:val="00F56AE4"/>
    <w:rsid w:val="00F57C62"/>
    <w:rsid w:val="00F57FC5"/>
    <w:rsid w:val="00F6000C"/>
    <w:rsid w:val="00F61269"/>
    <w:rsid w:val="00F61EFA"/>
    <w:rsid w:val="00F62DFC"/>
    <w:rsid w:val="00F62F58"/>
    <w:rsid w:val="00F6362F"/>
    <w:rsid w:val="00F6381A"/>
    <w:rsid w:val="00F64983"/>
    <w:rsid w:val="00F65403"/>
    <w:rsid w:val="00F658BB"/>
    <w:rsid w:val="00F6598F"/>
    <w:rsid w:val="00F65FF3"/>
    <w:rsid w:val="00F66292"/>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BD6"/>
    <w:rsid w:val="00F76257"/>
    <w:rsid w:val="00F765FF"/>
    <w:rsid w:val="00F76B38"/>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3B27"/>
    <w:rsid w:val="00F83E60"/>
    <w:rsid w:val="00F83FD9"/>
    <w:rsid w:val="00F84289"/>
    <w:rsid w:val="00F84293"/>
    <w:rsid w:val="00F857D6"/>
    <w:rsid w:val="00F87193"/>
    <w:rsid w:val="00F8722D"/>
    <w:rsid w:val="00F87F99"/>
    <w:rsid w:val="00F87FCA"/>
    <w:rsid w:val="00F902E6"/>
    <w:rsid w:val="00F9196A"/>
    <w:rsid w:val="00F92621"/>
    <w:rsid w:val="00F92790"/>
    <w:rsid w:val="00F92920"/>
    <w:rsid w:val="00F92ACA"/>
    <w:rsid w:val="00F92E7C"/>
    <w:rsid w:val="00F92EAB"/>
    <w:rsid w:val="00F93083"/>
    <w:rsid w:val="00F930D9"/>
    <w:rsid w:val="00F93EEE"/>
    <w:rsid w:val="00F954CA"/>
    <w:rsid w:val="00F96280"/>
    <w:rsid w:val="00F96E84"/>
    <w:rsid w:val="00F97914"/>
    <w:rsid w:val="00FA01D4"/>
    <w:rsid w:val="00FA084F"/>
    <w:rsid w:val="00FA2BD7"/>
    <w:rsid w:val="00FA30F5"/>
    <w:rsid w:val="00FA3BAD"/>
    <w:rsid w:val="00FA3F06"/>
    <w:rsid w:val="00FA416A"/>
    <w:rsid w:val="00FA4744"/>
    <w:rsid w:val="00FA62E0"/>
    <w:rsid w:val="00FA63D3"/>
    <w:rsid w:val="00FA6741"/>
    <w:rsid w:val="00FA6DE6"/>
    <w:rsid w:val="00FA6F37"/>
    <w:rsid w:val="00FA6FA7"/>
    <w:rsid w:val="00FB0862"/>
    <w:rsid w:val="00FB119A"/>
    <w:rsid w:val="00FB1431"/>
    <w:rsid w:val="00FB181F"/>
    <w:rsid w:val="00FB1918"/>
    <w:rsid w:val="00FB1AE8"/>
    <w:rsid w:val="00FB1D7A"/>
    <w:rsid w:val="00FB24C0"/>
    <w:rsid w:val="00FB286E"/>
    <w:rsid w:val="00FB2A18"/>
    <w:rsid w:val="00FB3F9C"/>
    <w:rsid w:val="00FB4206"/>
    <w:rsid w:val="00FB4D9A"/>
    <w:rsid w:val="00FB526E"/>
    <w:rsid w:val="00FB5CF6"/>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3C18"/>
    <w:rsid w:val="00FC4A41"/>
    <w:rsid w:val="00FC5E6F"/>
    <w:rsid w:val="00FC7615"/>
    <w:rsid w:val="00FC7785"/>
    <w:rsid w:val="00FC7F4D"/>
    <w:rsid w:val="00FD058E"/>
    <w:rsid w:val="00FD05BC"/>
    <w:rsid w:val="00FD0E60"/>
    <w:rsid w:val="00FD2102"/>
    <w:rsid w:val="00FD2718"/>
    <w:rsid w:val="00FD3889"/>
    <w:rsid w:val="00FD45D6"/>
    <w:rsid w:val="00FD465C"/>
    <w:rsid w:val="00FD4D73"/>
    <w:rsid w:val="00FD562A"/>
    <w:rsid w:val="00FD6411"/>
    <w:rsid w:val="00FD64EF"/>
    <w:rsid w:val="00FD7771"/>
    <w:rsid w:val="00FE0294"/>
    <w:rsid w:val="00FE14D4"/>
    <w:rsid w:val="00FE18B4"/>
    <w:rsid w:val="00FE2F0E"/>
    <w:rsid w:val="00FE2F48"/>
    <w:rsid w:val="00FE357B"/>
    <w:rsid w:val="00FE37C2"/>
    <w:rsid w:val="00FE4F46"/>
    <w:rsid w:val="00FE5276"/>
    <w:rsid w:val="00FE563B"/>
    <w:rsid w:val="00FE5DA3"/>
    <w:rsid w:val="00FE66FB"/>
    <w:rsid w:val="00FE6997"/>
    <w:rsid w:val="00FE6FAA"/>
    <w:rsid w:val="00FE7053"/>
    <w:rsid w:val="00FE7884"/>
    <w:rsid w:val="00FE7D12"/>
    <w:rsid w:val="00FF3DBD"/>
    <w:rsid w:val="00FF4204"/>
    <w:rsid w:val="00FF4314"/>
    <w:rsid w:val="00FF456E"/>
    <w:rsid w:val="00FF4A19"/>
    <w:rsid w:val="00FF4CE2"/>
    <w:rsid w:val="00FF520E"/>
    <w:rsid w:val="00FF7533"/>
    <w:rsid w:val="00FF7BA6"/>
    <w:rsid w:val="00FF7C38"/>
    <w:rsid w:val="01F0299B"/>
    <w:rsid w:val="026E4F91"/>
    <w:rsid w:val="041D095D"/>
    <w:rsid w:val="05262358"/>
    <w:rsid w:val="05C87DB9"/>
    <w:rsid w:val="0961739E"/>
    <w:rsid w:val="098E6083"/>
    <w:rsid w:val="0B205B2B"/>
    <w:rsid w:val="0B782559"/>
    <w:rsid w:val="0C646A14"/>
    <w:rsid w:val="0D566BC9"/>
    <w:rsid w:val="0E180322"/>
    <w:rsid w:val="0E802C69"/>
    <w:rsid w:val="0E8C4995"/>
    <w:rsid w:val="0EF27BFB"/>
    <w:rsid w:val="0FBC50EF"/>
    <w:rsid w:val="115F3FD7"/>
    <w:rsid w:val="11A259DD"/>
    <w:rsid w:val="120474A0"/>
    <w:rsid w:val="13102ABE"/>
    <w:rsid w:val="15916E76"/>
    <w:rsid w:val="15FD0C36"/>
    <w:rsid w:val="167D280D"/>
    <w:rsid w:val="17047766"/>
    <w:rsid w:val="17935895"/>
    <w:rsid w:val="17F52C18"/>
    <w:rsid w:val="184530EF"/>
    <w:rsid w:val="19227A4B"/>
    <w:rsid w:val="1B3E182A"/>
    <w:rsid w:val="1B4B5195"/>
    <w:rsid w:val="1C174C6F"/>
    <w:rsid w:val="1C7C020D"/>
    <w:rsid w:val="1C8F78BA"/>
    <w:rsid w:val="1C9B0D84"/>
    <w:rsid w:val="1CDD3F3B"/>
    <w:rsid w:val="1D4D6869"/>
    <w:rsid w:val="21760101"/>
    <w:rsid w:val="22B25284"/>
    <w:rsid w:val="22C07D9F"/>
    <w:rsid w:val="23056CBA"/>
    <w:rsid w:val="234C1E42"/>
    <w:rsid w:val="23C6059E"/>
    <w:rsid w:val="23C95079"/>
    <w:rsid w:val="24031A53"/>
    <w:rsid w:val="24307C26"/>
    <w:rsid w:val="248E5D4C"/>
    <w:rsid w:val="24C47897"/>
    <w:rsid w:val="24E337F8"/>
    <w:rsid w:val="258D3B57"/>
    <w:rsid w:val="262336EE"/>
    <w:rsid w:val="269E4C0C"/>
    <w:rsid w:val="27024D1A"/>
    <w:rsid w:val="2AD85037"/>
    <w:rsid w:val="2B617EE2"/>
    <w:rsid w:val="2BD0253B"/>
    <w:rsid w:val="2C444480"/>
    <w:rsid w:val="2C564DC3"/>
    <w:rsid w:val="2D6C141D"/>
    <w:rsid w:val="2EB64B4B"/>
    <w:rsid w:val="2EDB590A"/>
    <w:rsid w:val="2F0A29E3"/>
    <w:rsid w:val="30817D6A"/>
    <w:rsid w:val="3157114E"/>
    <w:rsid w:val="31F2037F"/>
    <w:rsid w:val="329B11F6"/>
    <w:rsid w:val="336E087E"/>
    <w:rsid w:val="33C3087D"/>
    <w:rsid w:val="35961B12"/>
    <w:rsid w:val="35985F07"/>
    <w:rsid w:val="364523AD"/>
    <w:rsid w:val="36700D38"/>
    <w:rsid w:val="36C4673D"/>
    <w:rsid w:val="37B10B63"/>
    <w:rsid w:val="37D17C49"/>
    <w:rsid w:val="390721D7"/>
    <w:rsid w:val="393B510C"/>
    <w:rsid w:val="393F4767"/>
    <w:rsid w:val="39A97E97"/>
    <w:rsid w:val="3A260C29"/>
    <w:rsid w:val="3B57268D"/>
    <w:rsid w:val="3B6176CE"/>
    <w:rsid w:val="3BF9504C"/>
    <w:rsid w:val="3CF11603"/>
    <w:rsid w:val="3D7507FB"/>
    <w:rsid w:val="3EB5127A"/>
    <w:rsid w:val="3F503E5E"/>
    <w:rsid w:val="3FC16214"/>
    <w:rsid w:val="41576FF8"/>
    <w:rsid w:val="41D9164E"/>
    <w:rsid w:val="41DD521D"/>
    <w:rsid w:val="421C536A"/>
    <w:rsid w:val="423B7022"/>
    <w:rsid w:val="4389060E"/>
    <w:rsid w:val="43C8028A"/>
    <w:rsid w:val="43D51667"/>
    <w:rsid w:val="443B2C25"/>
    <w:rsid w:val="448421F1"/>
    <w:rsid w:val="45D37D9B"/>
    <w:rsid w:val="46D55CF5"/>
    <w:rsid w:val="48194FD5"/>
    <w:rsid w:val="484514CB"/>
    <w:rsid w:val="48C86EE1"/>
    <w:rsid w:val="49FA6EF8"/>
    <w:rsid w:val="4A784961"/>
    <w:rsid w:val="4ACF3A3C"/>
    <w:rsid w:val="4B1700DF"/>
    <w:rsid w:val="4D000C6F"/>
    <w:rsid w:val="4F0F6A19"/>
    <w:rsid w:val="51D10A66"/>
    <w:rsid w:val="528A390F"/>
    <w:rsid w:val="528C6991"/>
    <w:rsid w:val="54054633"/>
    <w:rsid w:val="540605E4"/>
    <w:rsid w:val="547F0032"/>
    <w:rsid w:val="54A02A20"/>
    <w:rsid w:val="55C87B3E"/>
    <w:rsid w:val="57A33A2A"/>
    <w:rsid w:val="58D67D8C"/>
    <w:rsid w:val="58E05E41"/>
    <w:rsid w:val="58E10577"/>
    <w:rsid w:val="59165EF7"/>
    <w:rsid w:val="59702A12"/>
    <w:rsid w:val="5AED2A9C"/>
    <w:rsid w:val="5BC746C9"/>
    <w:rsid w:val="5CC61F72"/>
    <w:rsid w:val="5CF206F7"/>
    <w:rsid w:val="5EA0340D"/>
    <w:rsid w:val="5ED66C3C"/>
    <w:rsid w:val="5FDD643B"/>
    <w:rsid w:val="60BA3E42"/>
    <w:rsid w:val="6194383B"/>
    <w:rsid w:val="61A14A39"/>
    <w:rsid w:val="61CB5375"/>
    <w:rsid w:val="623348CA"/>
    <w:rsid w:val="65CA685B"/>
    <w:rsid w:val="65CF34A7"/>
    <w:rsid w:val="65F660EF"/>
    <w:rsid w:val="6673798C"/>
    <w:rsid w:val="673905B6"/>
    <w:rsid w:val="681C3942"/>
    <w:rsid w:val="68460AAC"/>
    <w:rsid w:val="68AC1CFE"/>
    <w:rsid w:val="6BCD1DE6"/>
    <w:rsid w:val="6C505023"/>
    <w:rsid w:val="6D14299F"/>
    <w:rsid w:val="6D672A1E"/>
    <w:rsid w:val="6DC237D1"/>
    <w:rsid w:val="6F40725E"/>
    <w:rsid w:val="710F14B1"/>
    <w:rsid w:val="711172CF"/>
    <w:rsid w:val="71FD54DD"/>
    <w:rsid w:val="7410294D"/>
    <w:rsid w:val="76D71644"/>
    <w:rsid w:val="776C2FB6"/>
    <w:rsid w:val="7818061E"/>
    <w:rsid w:val="79982284"/>
    <w:rsid w:val="7998662D"/>
    <w:rsid w:val="79C337EB"/>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0"/>
    <w:qFormat/>
    <w:uiPriority w:val="0"/>
    <w:pPr>
      <w:spacing w:before="460" w:after="450" w:line="360" w:lineRule="auto"/>
      <w:jc w:val="center"/>
      <w:outlineLvl w:val="0"/>
    </w:pPr>
    <w:rPr>
      <w:rFonts w:eastAsiaTheme="minorEastAsia"/>
      <w:bCs w:val="0"/>
      <w:kern w:val="44"/>
      <w:sz w:val="44"/>
      <w:szCs w:val="28"/>
    </w:rPr>
  </w:style>
  <w:style w:type="paragraph" w:styleId="4">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7"/>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link w:val="71"/>
    <w:qFormat/>
    <w:uiPriority w:val="0"/>
    <w:pPr>
      <w:spacing w:after="120"/>
    </w:pPr>
  </w:style>
  <w:style w:type="paragraph" w:styleId="21">
    <w:name w:val="Body Text Indent"/>
    <w:basedOn w:val="1"/>
    <w:link w:val="74"/>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5"/>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63"/>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3"/>
    <w:qFormat/>
    <w:uiPriority w:val="0"/>
    <w:rPr>
      <w:b/>
      <w:bCs/>
      <w:kern w:val="2"/>
      <w:sz w:val="24"/>
      <w:szCs w:val="32"/>
    </w:rPr>
  </w:style>
  <w:style w:type="character" w:customStyle="1" w:styleId="60">
    <w:name w:val="标题 1 Char"/>
    <w:basedOn w:val="52"/>
    <w:link w:val="2"/>
    <w:qFormat/>
    <w:uiPriority w:val="0"/>
    <w:rPr>
      <w:rFonts w:eastAsiaTheme="minorEastAsia"/>
      <w:b/>
      <w:kern w:val="44"/>
      <w:sz w:val="44"/>
      <w:szCs w:val="28"/>
    </w:rPr>
  </w:style>
  <w:style w:type="character" w:customStyle="1" w:styleId="61">
    <w:name w:val="标题 2 Char"/>
    <w:basedOn w:val="52"/>
    <w:link w:val="4"/>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qFormat/>
    <w:uiPriority w:val="0"/>
    <w:rPr>
      <w:b/>
      <w:kern w:val="2"/>
      <w:sz w:val="28"/>
      <w:szCs w:val="24"/>
    </w:rPr>
  </w:style>
  <w:style w:type="character" w:customStyle="1" w:styleId="65">
    <w:name w:val="标题 6 Char1"/>
    <w:basedOn w:val="52"/>
    <w:link w:val="8"/>
    <w:qFormat/>
    <w:uiPriority w:val="9"/>
    <w:rPr>
      <w:rFonts w:ascii="Arial" w:hAnsi="Arial" w:eastAsia="黑体"/>
      <w:b/>
      <w:kern w:val="2"/>
      <w:sz w:val="24"/>
      <w:szCs w:val="24"/>
    </w:rPr>
  </w:style>
  <w:style w:type="character" w:customStyle="1" w:styleId="66">
    <w:name w:val="标题 7 Char1"/>
    <w:basedOn w:val="52"/>
    <w:link w:val="9"/>
    <w:qFormat/>
    <w:uiPriority w:val="9"/>
    <w:rPr>
      <w:b/>
      <w:kern w:val="2"/>
      <w:sz w:val="24"/>
      <w:szCs w:val="24"/>
    </w:rPr>
  </w:style>
  <w:style w:type="character" w:customStyle="1" w:styleId="67">
    <w:name w:val="标题 8 Char1"/>
    <w:basedOn w:val="52"/>
    <w:link w:val="10"/>
    <w:qFormat/>
    <w:uiPriority w:val="9"/>
    <w:rPr>
      <w:rFonts w:ascii="Arial" w:hAnsi="Arial" w:eastAsia="黑体"/>
      <w:kern w:val="2"/>
      <w:sz w:val="24"/>
      <w:szCs w:val="24"/>
    </w:rPr>
  </w:style>
  <w:style w:type="character" w:customStyle="1" w:styleId="68">
    <w:name w:val="标题 9 Char1"/>
    <w:basedOn w:val="52"/>
    <w:link w:val="11"/>
    <w:qFormat/>
    <w:uiPriority w:val="0"/>
    <w:rPr>
      <w:rFonts w:ascii="Arial" w:hAnsi="Arial" w:eastAsia="黑体"/>
      <w:kern w:val="2"/>
      <w:sz w:val="21"/>
      <w:szCs w:val="24"/>
    </w:rPr>
  </w:style>
  <w:style w:type="character" w:customStyle="1" w:styleId="69">
    <w:name w:val="批注文字 Char"/>
    <w:link w:val="18"/>
    <w:qFormat/>
    <w:uiPriority w:val="0"/>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20"/>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7"/>
    <w:qFormat/>
    <w:uiPriority w:val="0"/>
    <w:rPr>
      <w:kern w:val="2"/>
      <w:sz w:val="21"/>
      <w:szCs w:val="24"/>
      <w:shd w:val="clear" w:color="auto" w:fill="000080"/>
    </w:rPr>
  </w:style>
  <w:style w:type="character" w:customStyle="1" w:styleId="74">
    <w:name w:val="正文文本缩进 Char1"/>
    <w:basedOn w:val="52"/>
    <w:link w:val="21"/>
    <w:qFormat/>
    <w:uiPriority w:val="0"/>
    <w:rPr>
      <w:kern w:val="2"/>
      <w:sz w:val="21"/>
      <w:szCs w:val="24"/>
    </w:rPr>
  </w:style>
  <w:style w:type="character" w:customStyle="1" w:styleId="75">
    <w:name w:val="纯文本 Char"/>
    <w:link w:val="26"/>
    <w:qFormat/>
    <w:uiPriority w:val="0"/>
    <w:rPr>
      <w:rFonts w:ascii="宋体" w:hAnsi="Courier New" w:eastAsia="宋体"/>
      <w:kern w:val="2"/>
      <w:sz w:val="21"/>
      <w:lang w:val="en-US" w:eastAsia="zh-CN" w:bidi="ar-SA"/>
    </w:rPr>
  </w:style>
  <w:style w:type="character" w:customStyle="1" w:styleId="76">
    <w:name w:val="正文文本缩进 2 Char1"/>
    <w:link w:val="29"/>
    <w:qFormat/>
    <w:uiPriority w:val="0"/>
    <w:rPr>
      <w:kern w:val="2"/>
      <w:sz w:val="21"/>
      <w:szCs w:val="24"/>
    </w:rPr>
  </w:style>
  <w:style w:type="character" w:customStyle="1" w:styleId="77">
    <w:name w:val="批注框文本 Char"/>
    <w:basedOn w:val="52"/>
    <w:link w:val="30"/>
    <w:qFormat/>
    <w:uiPriority w:val="99"/>
    <w:rPr>
      <w:kern w:val="2"/>
      <w:sz w:val="18"/>
      <w:szCs w:val="18"/>
    </w:rPr>
  </w:style>
  <w:style w:type="character" w:customStyle="1" w:styleId="78">
    <w:name w:val="页脚 Char"/>
    <w:basedOn w:val="52"/>
    <w:link w:val="31"/>
    <w:qFormat/>
    <w:uiPriority w:val="99"/>
    <w:rPr>
      <w:kern w:val="2"/>
      <w:sz w:val="18"/>
      <w:szCs w:val="18"/>
    </w:rPr>
  </w:style>
  <w:style w:type="character" w:customStyle="1" w:styleId="79">
    <w:name w:val="页眉 Char"/>
    <w:link w:val="32"/>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3"/>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5"/>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5"/>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uiPriority w:val="0"/>
    <w:rPr>
      <w:kern w:val="2"/>
      <w:sz w:val="28"/>
    </w:rPr>
  </w:style>
  <w:style w:type="character" w:customStyle="1" w:styleId="309">
    <w:name w:val="Char Char6"/>
    <w:uiPriority w:val="0"/>
    <w:rPr>
      <w:rFonts w:ascii="宋体" w:hAnsi="宋体" w:eastAsia="宋体"/>
      <w:szCs w:val="24"/>
      <w:lang w:bidi="ar-SA"/>
    </w:rPr>
  </w:style>
  <w:style w:type="character" w:customStyle="1" w:styleId="310">
    <w:name w:val="Char Char15"/>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4"/>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19"/>
    <w:uiPriority w:val="0"/>
    <w:rPr>
      <w:kern w:val="2"/>
      <w:sz w:val="16"/>
      <w:szCs w:val="16"/>
    </w:rPr>
  </w:style>
  <w:style w:type="character" w:customStyle="1" w:styleId="459">
    <w:name w:val="content"/>
    <w:basedOn w:val="52"/>
    <w:uiPriority w:val="0"/>
  </w:style>
  <w:style w:type="character" w:customStyle="1" w:styleId="460">
    <w:name w:val="ca-3"/>
    <w:basedOn w:val="52"/>
    <w:uiPriority w:val="0"/>
  </w:style>
  <w:style w:type="character" w:customStyle="1" w:styleId="461">
    <w:name w:val="textcontents1"/>
    <w:uiPriority w:val="0"/>
    <w:rPr>
      <w:rFonts w:hint="default" w:ascii="ˎ̥" w:hAnsi="ˎ̥"/>
      <w:sz w:val="21"/>
      <w:szCs w:val="21"/>
    </w:rPr>
  </w:style>
  <w:style w:type="character" w:customStyle="1" w:styleId="462">
    <w:name w:val="脚注文本 Char1"/>
    <w:uiPriority w:val="0"/>
    <w:rPr>
      <w:kern w:val="2"/>
      <w:sz w:val="18"/>
      <w:szCs w:val="18"/>
    </w:rPr>
  </w:style>
  <w:style w:type="character" w:customStyle="1" w:styleId="463">
    <w:name w:val="脚注文本 Char"/>
    <w:link w:val="38"/>
    <w:uiPriority w:val="0"/>
    <w:rPr>
      <w:kern w:val="2"/>
      <w:sz w:val="18"/>
      <w:szCs w:val="18"/>
    </w:rPr>
  </w:style>
  <w:style w:type="character" w:customStyle="1" w:styleId="464">
    <w:name w:val="正文首行缩进（绿盟科技） Char"/>
    <w:link w:val="465"/>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uiPriority w:val="0"/>
  </w:style>
  <w:style w:type="character" w:customStyle="1" w:styleId="467">
    <w:name w:val="Char Char21"/>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uiPriority w:val="0"/>
  </w:style>
  <w:style w:type="character" w:customStyle="1" w:styleId="470">
    <w:name w:val="apple-style-span"/>
    <w:basedOn w:val="52"/>
    <w:uiPriority w:val="0"/>
  </w:style>
  <w:style w:type="paragraph" w:customStyle="1" w:styleId="471">
    <w:name w:val="缺省文本"/>
    <w:basedOn w:val="1"/>
    <w:uiPriority w:val="0"/>
    <w:pPr>
      <w:autoSpaceDE w:val="0"/>
      <w:autoSpaceDN w:val="0"/>
      <w:adjustRightInd w:val="0"/>
      <w:jc w:val="left"/>
    </w:pPr>
    <w:rPr>
      <w:kern w:val="0"/>
      <w:sz w:val="24"/>
    </w:rPr>
  </w:style>
  <w:style w:type="paragraph" w:customStyle="1" w:styleId="472">
    <w:name w:val="xl62"/>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uiPriority w:val="0"/>
    <w:pPr>
      <w:widowControl/>
      <w:spacing w:after="160" w:line="240" w:lineRule="exact"/>
      <w:jc w:val="left"/>
    </w:pPr>
  </w:style>
  <w:style w:type="paragraph" w:customStyle="1" w:styleId="476">
    <w:name w:val="USE 1"/>
    <w:basedOn w:val="1"/>
    <w:uiPriority w:val="0"/>
    <w:pPr>
      <w:spacing w:line="200" w:lineRule="atLeast"/>
      <w:jc w:val="left"/>
    </w:pPr>
    <w:rPr>
      <w:rFonts w:ascii="宋体" w:hAnsi="宋体"/>
      <w:b/>
      <w:sz w:val="24"/>
      <w:szCs w:val="28"/>
    </w:rPr>
  </w:style>
  <w:style w:type="paragraph" w:customStyle="1" w:styleId="477">
    <w:name w:val="xl6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uiPriority w:val="0"/>
    <w:rPr>
      <w:rFonts w:ascii="宋体" w:hAnsi="Courier New"/>
      <w:szCs w:val="20"/>
    </w:rPr>
  </w:style>
  <w:style w:type="character" w:customStyle="1" w:styleId="481">
    <w:name w:val="脚注文本 Char2"/>
    <w:basedOn w:val="52"/>
    <w:semiHidden/>
    <w:uiPriority w:val="0"/>
    <w:rPr>
      <w:kern w:val="2"/>
      <w:sz w:val="18"/>
      <w:szCs w:val="18"/>
    </w:rPr>
  </w:style>
  <w:style w:type="paragraph" w:customStyle="1" w:styleId="482">
    <w:name w:val="_Style 56"/>
    <w:basedOn w:val="1"/>
    <w:next w:val="26"/>
    <w:uiPriority w:val="0"/>
    <w:rPr>
      <w:rFonts w:ascii="宋体" w:hAnsi="Courier New"/>
      <w:szCs w:val="20"/>
    </w:rPr>
  </w:style>
  <w:style w:type="paragraph" w:customStyle="1" w:styleId="483">
    <w:name w:val="Char Char Char Char2"/>
    <w:basedOn w:val="1"/>
    <w:uiPriority w:val="0"/>
    <w:pPr>
      <w:widowControl/>
      <w:spacing w:after="160" w:line="240" w:lineRule="exact"/>
      <w:jc w:val="center"/>
    </w:pPr>
  </w:style>
  <w:style w:type="paragraph" w:customStyle="1" w:styleId="484">
    <w:name w:val="font10"/>
    <w:basedOn w:val="1"/>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uiPriority w:val="0"/>
    <w:pPr>
      <w:widowControl/>
      <w:spacing w:after="160" w:line="240" w:lineRule="exact"/>
      <w:jc w:val="left"/>
    </w:pPr>
  </w:style>
  <w:style w:type="paragraph" w:customStyle="1" w:styleId="490">
    <w:name w:val="_Style 50"/>
    <w:basedOn w:val="1"/>
    <w:next w:val="29"/>
    <w:uiPriority w:val="0"/>
    <w:pPr>
      <w:adjustRightInd w:val="0"/>
      <w:snapToGrid w:val="0"/>
      <w:spacing w:line="300" w:lineRule="auto"/>
      <w:ind w:firstLine="630" w:firstLineChars="300"/>
    </w:pPr>
    <w:rPr>
      <w:snapToGrid w:val="0"/>
      <w:kern w:val="0"/>
    </w:rPr>
  </w:style>
  <w:style w:type="paragraph" w:customStyle="1" w:styleId="491">
    <w:name w:val="修订2"/>
    <w:semiHidden/>
    <w:uiPriority w:val="99"/>
    <w:rPr>
      <w:rFonts w:ascii="Times New Roman" w:hAnsi="Times New Roman" w:eastAsia="宋体" w:cs="Times New Roman"/>
      <w:kern w:val="2"/>
      <w:sz w:val="21"/>
      <w:szCs w:val="24"/>
      <w:lang w:val="en-US" w:eastAsia="zh-CN" w:bidi="ar-SA"/>
    </w:rPr>
  </w:style>
  <w:style w:type="paragraph" w:customStyle="1" w:styleId="492">
    <w:name w:val="xl50"/>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uiPriority w:val="0"/>
    <w:rPr>
      <w:rFonts w:ascii="宋体" w:hAnsi="Courier New"/>
      <w:szCs w:val="20"/>
    </w:rPr>
  </w:style>
  <w:style w:type="paragraph" w:customStyle="1" w:styleId="495">
    <w:name w:val="Char Char Char"/>
    <w:basedOn w:val="1"/>
    <w:uiPriority w:val="0"/>
    <w:rPr>
      <w:szCs w:val="20"/>
    </w:rPr>
  </w:style>
  <w:style w:type="paragraph" w:customStyle="1" w:styleId="496">
    <w:name w:val="Char2"/>
    <w:basedOn w:val="1"/>
    <w:uiPriority w:val="0"/>
    <w:rPr>
      <w:rFonts w:ascii="Tahoma" w:hAnsi="Tahoma"/>
      <w:sz w:val="24"/>
      <w:szCs w:val="20"/>
    </w:rPr>
  </w:style>
  <w:style w:type="paragraph" w:customStyle="1" w:styleId="497">
    <w:name w:val="xl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uiPriority w:val="0"/>
    <w:rPr>
      <w:rFonts w:ascii="宋体" w:hAnsi="Courier New"/>
      <w:szCs w:val="20"/>
    </w:rPr>
  </w:style>
  <w:style w:type="paragraph" w:customStyle="1" w:styleId="501">
    <w:name w:val="2"/>
    <w:basedOn w:val="1"/>
    <w:next w:val="45"/>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uiPriority w:val="0"/>
    <w:pPr>
      <w:adjustRightInd w:val="0"/>
      <w:snapToGrid w:val="0"/>
      <w:spacing w:line="300" w:lineRule="auto"/>
      <w:ind w:firstLine="630" w:firstLineChars="300"/>
    </w:pPr>
    <w:rPr>
      <w:snapToGrid w:val="0"/>
      <w:kern w:val="0"/>
    </w:rPr>
  </w:style>
  <w:style w:type="paragraph" w:customStyle="1" w:styleId="503">
    <w:name w:val="xl52"/>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rPr>
  </w:style>
  <w:style w:type="character" w:customStyle="1" w:styleId="505">
    <w:name w:val="纯文本 Char2"/>
    <w:uiPriority w:val="99"/>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91"/>
    <customShpInfo spid="_x0000_s3090"/>
    <customShpInfo spid="_x0000_s3089"/>
    <customShpInfo spid="_x0000_s3088"/>
    <customShpInfo spid="_x0000_s3087"/>
    <customShpInfo spid="_x0000_s3086"/>
    <customShpInfo spid="_x0000_s3085"/>
    <customShpInfo spid="_x0000_s3084"/>
    <customShpInfo spid="_x0000_s3083"/>
    <customShpInfo spid="_x0000_s3082"/>
    <customShpInfo spid="_x0000_s3081"/>
    <customShpInfo spid="_x0000_s3080"/>
    <customShpInfo spid="_x0000_s3079"/>
    <customShpInfo spid="_x0000_s3078"/>
    <customShpInfo spid="_x0000_s3077"/>
    <customShpInfo spid="_x0000_s3096"/>
    <customShpInfo spid="_x0000_s3095"/>
    <customShpInfo spid="_x0000_s3093"/>
    <customShpInfo spid="_x0000_s309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944177-FF67-4D76-920E-1065CCECA7F2}">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Pages>
  <Words>7634</Words>
  <Characters>43520</Characters>
  <Lines>362</Lines>
  <Paragraphs>102</Paragraphs>
  <TotalTime>1</TotalTime>
  <ScaleCrop>false</ScaleCrop>
  <LinksUpToDate>false</LinksUpToDate>
  <CharactersWithSpaces>51052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2019-11-08T01:16:00Z</dcterms:created>
  <dc:creator>微软用户</dc:creator>
  <cp:lastModifiedBy>佳慧</cp:lastModifiedBy>
  <cp:lastPrinted>2020-05-26T01:03:00Z</cp:lastPrinted>
  <dcterms:modified xsi:type="dcterms:W3CDTF">2021-09-28T08:51:51Z</dcterms:modified>
  <dc:title>招标编号：UHO2010-G0029</dc:title>
  <cp:revision>447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F81D6110254448B9A6F7DAD1A1AA3058</vt:lpwstr>
  </property>
</Properties>
</file>